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webextensions/webextension1.xml" ContentType="application/vnd.ms-office.webextension+xml"/>
  <Override PartName="/word/webextensions/taskpanes.xml" ContentType="application/vnd.ms-office.webextensiontaskpanes+xml"/>
  <Override PartName="/word/settings.xml" ContentType="application/vnd.openxmlformats-officedocument.wordprocessingml.setting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70E51" w14:textId="1C53C340" w:rsidR="00AB183B" w:rsidRPr="00AE2F32" w:rsidRDefault="00AB183B" w:rsidP="00EB1CFE">
      <w:pPr>
        <w:rPr>
          <w:rFonts w:cs="Arial"/>
          <w:sz w:val="22"/>
          <w:szCs w:val="22"/>
          <w:lang w:val="en-GB"/>
        </w:rPr>
      </w:pPr>
    </w:p>
    <w:p w14:paraId="01D20A60" w14:textId="48C03824" w:rsidR="00AB183B" w:rsidRDefault="00AB183B" w:rsidP="00EB1CFE">
      <w:pPr>
        <w:jc w:val="center"/>
        <w:rPr>
          <w:rFonts w:cs="Arial"/>
          <w:sz w:val="22"/>
          <w:szCs w:val="22"/>
          <w:lang w:val="en-GB"/>
        </w:rPr>
      </w:pPr>
    </w:p>
    <w:p w14:paraId="11369AAB" w14:textId="5EBE7067" w:rsidR="007F343D" w:rsidRDefault="007F343D" w:rsidP="00EB1CFE">
      <w:pPr>
        <w:jc w:val="center"/>
        <w:rPr>
          <w:rFonts w:cs="Arial"/>
          <w:sz w:val="22"/>
          <w:szCs w:val="22"/>
          <w:lang w:val="en-GB"/>
        </w:rPr>
      </w:pPr>
    </w:p>
    <w:p w14:paraId="4AEB01E0" w14:textId="34B3BBC7" w:rsidR="007F343D" w:rsidRDefault="007F343D" w:rsidP="00EB1CFE">
      <w:pPr>
        <w:jc w:val="center"/>
        <w:rPr>
          <w:rFonts w:cs="Arial"/>
          <w:sz w:val="22"/>
          <w:szCs w:val="22"/>
          <w:lang w:val="en-GB"/>
        </w:rPr>
      </w:pPr>
    </w:p>
    <w:p w14:paraId="6E378D1E" w14:textId="642DB135" w:rsidR="007F343D" w:rsidRDefault="007F343D" w:rsidP="00EB1CFE">
      <w:pPr>
        <w:jc w:val="center"/>
        <w:rPr>
          <w:rFonts w:cs="Arial"/>
          <w:sz w:val="22"/>
          <w:szCs w:val="22"/>
          <w:lang w:val="en-GB"/>
        </w:rPr>
      </w:pPr>
    </w:p>
    <w:p w14:paraId="47F41B17" w14:textId="77777777" w:rsidR="007F343D" w:rsidRPr="00AE2F32" w:rsidRDefault="007F343D" w:rsidP="00EB1CFE">
      <w:pPr>
        <w:jc w:val="center"/>
        <w:rPr>
          <w:rFonts w:cs="Arial"/>
          <w:sz w:val="22"/>
          <w:szCs w:val="22"/>
          <w:lang w:val="en-GB"/>
        </w:rPr>
      </w:pPr>
    </w:p>
    <w:p w14:paraId="6C22A1A8" w14:textId="31099A6F" w:rsidR="00AB183B" w:rsidRPr="00AE2F32" w:rsidRDefault="00AB183B" w:rsidP="00EB1CFE">
      <w:pPr>
        <w:jc w:val="center"/>
        <w:rPr>
          <w:rFonts w:cs="Arial"/>
          <w:sz w:val="22"/>
          <w:szCs w:val="22"/>
          <w:lang w:val="en-GB"/>
        </w:rPr>
      </w:pPr>
    </w:p>
    <w:p w14:paraId="16CFC5A2" w14:textId="45CF634D" w:rsidR="00A543DF" w:rsidRPr="007F343D" w:rsidRDefault="00A543DF" w:rsidP="00A543DF">
      <w:pPr>
        <w:jc w:val="center"/>
        <w:rPr>
          <w:rFonts w:cs="Arial"/>
          <w:sz w:val="26"/>
          <w:szCs w:val="26"/>
          <w:lang w:val="en-GB"/>
        </w:rPr>
      </w:pPr>
      <w:r w:rsidRPr="007F343D">
        <w:rPr>
          <w:rFonts w:cs="Arial"/>
          <w:sz w:val="26"/>
          <w:szCs w:val="26"/>
          <w:lang w:val="en-GB"/>
        </w:rPr>
        <w:t xml:space="preserve">Alternative Report on </w:t>
      </w:r>
    </w:p>
    <w:p w14:paraId="3BDD9D63" w14:textId="77777777" w:rsidR="00A543DF" w:rsidRPr="007F343D" w:rsidRDefault="00A543DF" w:rsidP="00A543DF">
      <w:pPr>
        <w:jc w:val="center"/>
        <w:rPr>
          <w:rFonts w:cs="Arial"/>
          <w:sz w:val="26"/>
          <w:szCs w:val="26"/>
          <w:lang w:val="en-GB"/>
        </w:rPr>
      </w:pPr>
      <w:r w:rsidRPr="007F343D">
        <w:rPr>
          <w:rFonts w:cs="Arial"/>
          <w:sz w:val="26"/>
          <w:szCs w:val="26"/>
          <w:lang w:val="en-GB"/>
        </w:rPr>
        <w:t xml:space="preserve">Georgia’s Compliance with the </w:t>
      </w:r>
    </w:p>
    <w:p w14:paraId="232A2B35" w14:textId="4E99A57A" w:rsidR="00AB183B" w:rsidRPr="007F343D" w:rsidRDefault="00A543DF" w:rsidP="00A543DF">
      <w:pPr>
        <w:jc w:val="center"/>
        <w:rPr>
          <w:rFonts w:cs="Arial"/>
          <w:sz w:val="26"/>
          <w:szCs w:val="26"/>
          <w:lang w:val="en-GB"/>
        </w:rPr>
      </w:pPr>
      <w:r w:rsidRPr="007F343D">
        <w:rPr>
          <w:rFonts w:cs="Arial"/>
          <w:sz w:val="26"/>
          <w:szCs w:val="26"/>
          <w:lang w:val="en-GB"/>
        </w:rPr>
        <w:t>International Covenant on Civil and Political Rights</w:t>
      </w:r>
    </w:p>
    <w:p w14:paraId="776E151B" w14:textId="77777777" w:rsidR="00A543DF" w:rsidRPr="007F343D" w:rsidRDefault="00A543DF" w:rsidP="00A543DF">
      <w:pPr>
        <w:jc w:val="center"/>
        <w:rPr>
          <w:rFonts w:cs="Arial"/>
          <w:sz w:val="26"/>
          <w:szCs w:val="26"/>
          <w:lang w:val="en-GB"/>
        </w:rPr>
      </w:pPr>
    </w:p>
    <w:p w14:paraId="064CE473" w14:textId="0890D6B3" w:rsidR="00AB183B" w:rsidRPr="007F343D" w:rsidRDefault="00AB183B" w:rsidP="00EB1CFE">
      <w:pPr>
        <w:rPr>
          <w:rFonts w:cs="Arial"/>
          <w:sz w:val="26"/>
          <w:szCs w:val="26"/>
          <w:lang w:val="en-GB"/>
        </w:rPr>
      </w:pPr>
    </w:p>
    <w:p w14:paraId="4EE4BAB6" w14:textId="4BAC8F52" w:rsidR="00AB183B" w:rsidRPr="007F343D" w:rsidRDefault="00AB183B" w:rsidP="00EB1CFE">
      <w:pPr>
        <w:jc w:val="center"/>
        <w:rPr>
          <w:rFonts w:cs="Arial"/>
          <w:sz w:val="26"/>
          <w:szCs w:val="26"/>
          <w:lang w:val="en-GB"/>
        </w:rPr>
      </w:pPr>
    </w:p>
    <w:p w14:paraId="37DBB507" w14:textId="4AFE71F4" w:rsidR="00AB183B" w:rsidRPr="007F343D" w:rsidRDefault="00A543DF" w:rsidP="00EB1CFE">
      <w:pPr>
        <w:jc w:val="center"/>
        <w:rPr>
          <w:rFonts w:cs="Arial"/>
          <w:sz w:val="26"/>
          <w:szCs w:val="26"/>
          <w:lang w:val="en-GB"/>
        </w:rPr>
      </w:pPr>
      <w:r w:rsidRPr="007F343D">
        <w:rPr>
          <w:rFonts w:cs="Arial"/>
          <w:sz w:val="26"/>
          <w:szCs w:val="26"/>
          <w:lang w:val="en-GB"/>
        </w:rPr>
        <w:t>August</w:t>
      </w:r>
      <w:r w:rsidR="00E04BFC" w:rsidRPr="007F343D">
        <w:rPr>
          <w:rFonts w:cs="Arial"/>
          <w:sz w:val="26"/>
          <w:szCs w:val="26"/>
          <w:lang w:val="en-GB"/>
        </w:rPr>
        <w:t xml:space="preserve"> </w:t>
      </w:r>
      <w:r w:rsidR="00AB183B" w:rsidRPr="007F343D">
        <w:rPr>
          <w:rFonts w:cs="Arial"/>
          <w:sz w:val="26"/>
          <w:szCs w:val="26"/>
          <w:lang w:val="en-GB"/>
        </w:rPr>
        <w:t>2020</w:t>
      </w:r>
    </w:p>
    <w:p w14:paraId="3454E4FC" w14:textId="102C223F" w:rsidR="005838CC" w:rsidRPr="00AE2F32" w:rsidRDefault="005838CC" w:rsidP="00EB1CFE">
      <w:pPr>
        <w:rPr>
          <w:rFonts w:eastAsia="Times New Roman" w:cs="Times New Roman"/>
          <w:b/>
          <w:bCs/>
          <w:sz w:val="22"/>
          <w:szCs w:val="22"/>
          <w:lang w:val="en-GB"/>
        </w:rPr>
      </w:pPr>
    </w:p>
    <w:p w14:paraId="5BD97664" w14:textId="77777777" w:rsidR="005838CC" w:rsidRPr="00AE2F32" w:rsidRDefault="005838CC" w:rsidP="00EB1CFE">
      <w:pPr>
        <w:rPr>
          <w:rFonts w:eastAsia="Times New Roman" w:cs="Times New Roman"/>
          <w:b/>
          <w:bCs/>
          <w:sz w:val="22"/>
          <w:szCs w:val="22"/>
          <w:lang w:val="en-GB"/>
        </w:rPr>
      </w:pPr>
    </w:p>
    <w:p w14:paraId="49F5059D" w14:textId="77777777" w:rsidR="005838CC" w:rsidRPr="00AE2F32" w:rsidRDefault="005838CC" w:rsidP="00EB1CFE">
      <w:pPr>
        <w:rPr>
          <w:rFonts w:eastAsia="Times New Roman" w:cs="Times New Roman"/>
          <w:b/>
          <w:bCs/>
          <w:sz w:val="22"/>
          <w:szCs w:val="22"/>
          <w:lang w:val="en-GB"/>
        </w:rPr>
      </w:pPr>
    </w:p>
    <w:p w14:paraId="0C5E6B14" w14:textId="77777777" w:rsidR="005838CC" w:rsidRPr="00AE2F32" w:rsidRDefault="005838CC" w:rsidP="00EB1CFE">
      <w:pPr>
        <w:rPr>
          <w:rFonts w:eastAsia="Times New Roman" w:cs="Times New Roman"/>
          <w:b/>
          <w:bCs/>
          <w:sz w:val="22"/>
          <w:szCs w:val="22"/>
          <w:lang w:val="en-GB"/>
        </w:rPr>
      </w:pPr>
    </w:p>
    <w:p w14:paraId="06F0BA9A" w14:textId="77777777" w:rsidR="005838CC" w:rsidRPr="00AE2F32" w:rsidRDefault="005838CC" w:rsidP="00EB1CFE">
      <w:pPr>
        <w:rPr>
          <w:rFonts w:eastAsia="Times New Roman" w:cs="Times New Roman"/>
          <w:b/>
          <w:bCs/>
          <w:sz w:val="22"/>
          <w:szCs w:val="22"/>
          <w:lang w:val="en-GB"/>
        </w:rPr>
      </w:pPr>
    </w:p>
    <w:p w14:paraId="37EF01EF" w14:textId="77777777" w:rsidR="005838CC" w:rsidRPr="00AE2F32" w:rsidRDefault="005838CC" w:rsidP="00EB1CFE">
      <w:pPr>
        <w:rPr>
          <w:rFonts w:eastAsia="Times New Roman" w:cs="Times New Roman"/>
          <w:b/>
          <w:bCs/>
          <w:sz w:val="22"/>
          <w:szCs w:val="22"/>
          <w:lang w:val="en-GB"/>
        </w:rPr>
      </w:pPr>
    </w:p>
    <w:p w14:paraId="525537DA" w14:textId="77777777" w:rsidR="005838CC" w:rsidRPr="00AE2F32" w:rsidRDefault="005838CC" w:rsidP="00EB1CFE">
      <w:pPr>
        <w:rPr>
          <w:rFonts w:eastAsia="Times New Roman" w:cs="Times New Roman"/>
          <w:b/>
          <w:bCs/>
          <w:sz w:val="22"/>
          <w:szCs w:val="22"/>
          <w:lang w:val="en-GB"/>
        </w:rPr>
      </w:pPr>
    </w:p>
    <w:p w14:paraId="54D2BFB0" w14:textId="725988CD" w:rsidR="005838CC" w:rsidRPr="00AE2F32" w:rsidRDefault="00150AC1" w:rsidP="00EB1CFE">
      <w:pPr>
        <w:rPr>
          <w:rFonts w:eastAsia="Times New Roman" w:cs="Times New Roman"/>
          <w:b/>
          <w:bCs/>
          <w:sz w:val="22"/>
          <w:szCs w:val="22"/>
          <w:lang w:val="en-GB"/>
        </w:rPr>
      </w:pPr>
      <w:r w:rsidRPr="00AE2F32">
        <w:rPr>
          <w:rFonts w:cs="Arial"/>
          <w:noProof/>
          <w:sz w:val="22"/>
          <w:szCs w:val="22"/>
        </w:rPr>
        <w:drawing>
          <wp:anchor distT="0" distB="0" distL="114300" distR="114300" simplePos="0" relativeHeight="251658240" behindDoc="0" locked="0" layoutInCell="1" allowOverlap="1" wp14:anchorId="692385B2" wp14:editId="4EE197A1">
            <wp:simplePos x="0" y="0"/>
            <wp:positionH relativeFrom="margin">
              <wp:posOffset>4248150</wp:posOffset>
            </wp:positionH>
            <wp:positionV relativeFrom="margin">
              <wp:posOffset>3720025</wp:posOffset>
            </wp:positionV>
            <wp:extent cx="1422400" cy="14224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YLA (2).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2400" cy="1422400"/>
                    </a:xfrm>
                    <a:prstGeom prst="rect">
                      <a:avLst/>
                    </a:prstGeom>
                  </pic:spPr>
                </pic:pic>
              </a:graphicData>
            </a:graphic>
            <wp14:sizeRelH relativeFrom="margin">
              <wp14:pctWidth>0</wp14:pctWidth>
            </wp14:sizeRelH>
            <wp14:sizeRelV relativeFrom="margin">
              <wp14:pctHeight>0</wp14:pctHeight>
            </wp14:sizeRelV>
          </wp:anchor>
        </w:drawing>
      </w:r>
    </w:p>
    <w:p w14:paraId="000D056C" w14:textId="6FE21236" w:rsidR="005838CC" w:rsidRPr="00AE2F32" w:rsidRDefault="007F343D" w:rsidP="00EB1CFE">
      <w:pPr>
        <w:rPr>
          <w:rFonts w:eastAsia="Times New Roman" w:cs="Times New Roman"/>
          <w:b/>
          <w:bCs/>
          <w:sz w:val="22"/>
          <w:szCs w:val="22"/>
          <w:lang w:val="en-GB"/>
        </w:rPr>
      </w:pPr>
      <w:r w:rsidRPr="00AE2F32">
        <w:rPr>
          <w:rFonts w:cs="Menlo Bold"/>
          <w:b/>
          <w:noProof/>
          <w:sz w:val="22"/>
          <w:szCs w:val="22"/>
        </w:rPr>
        <w:drawing>
          <wp:anchor distT="0" distB="0" distL="114300" distR="114300" simplePos="0" relativeHeight="251660288" behindDoc="0" locked="0" layoutInCell="1" allowOverlap="1" wp14:anchorId="6D6555F4" wp14:editId="58317DBB">
            <wp:simplePos x="0" y="0"/>
            <wp:positionH relativeFrom="margin">
              <wp:posOffset>0</wp:posOffset>
            </wp:positionH>
            <wp:positionV relativeFrom="margin">
              <wp:posOffset>4062095</wp:posOffset>
            </wp:positionV>
            <wp:extent cx="2632075" cy="868045"/>
            <wp:effectExtent l="0" t="0" r="0" b="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2075" cy="8680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13D633" w14:textId="19EC0798" w:rsidR="005838CC" w:rsidRPr="00AE2F32" w:rsidRDefault="005838CC" w:rsidP="00EB1CFE">
      <w:pPr>
        <w:rPr>
          <w:rFonts w:eastAsia="Times New Roman" w:cs="Times New Roman"/>
          <w:b/>
          <w:bCs/>
          <w:sz w:val="22"/>
          <w:szCs w:val="22"/>
          <w:lang w:val="en-GB"/>
        </w:rPr>
      </w:pPr>
    </w:p>
    <w:p w14:paraId="679919DD" w14:textId="41528C9E" w:rsidR="005838CC" w:rsidRPr="00AE2F32" w:rsidRDefault="005838CC" w:rsidP="00EB1CFE">
      <w:pPr>
        <w:rPr>
          <w:rFonts w:eastAsia="Times New Roman" w:cs="Times New Roman"/>
          <w:b/>
          <w:bCs/>
          <w:sz w:val="22"/>
          <w:szCs w:val="22"/>
          <w:lang w:val="en-GB"/>
        </w:rPr>
      </w:pPr>
    </w:p>
    <w:p w14:paraId="56D62CE9" w14:textId="77777777" w:rsidR="005838CC" w:rsidRPr="00AE2F32" w:rsidRDefault="005838CC" w:rsidP="00EB1CFE">
      <w:pPr>
        <w:rPr>
          <w:rFonts w:eastAsia="Times New Roman" w:cs="Times New Roman"/>
          <w:b/>
          <w:bCs/>
          <w:sz w:val="22"/>
          <w:szCs w:val="22"/>
          <w:lang w:val="en-GB"/>
        </w:rPr>
      </w:pPr>
    </w:p>
    <w:p w14:paraId="36C27DDA" w14:textId="77777777" w:rsidR="005838CC" w:rsidRPr="00AE2F32" w:rsidRDefault="005838CC" w:rsidP="00EB1CFE">
      <w:pPr>
        <w:rPr>
          <w:rFonts w:eastAsia="Times New Roman" w:cs="Times New Roman"/>
          <w:b/>
          <w:bCs/>
          <w:sz w:val="22"/>
          <w:szCs w:val="22"/>
          <w:lang w:val="en-GB"/>
        </w:rPr>
      </w:pPr>
    </w:p>
    <w:p w14:paraId="14979DD7" w14:textId="77777777" w:rsidR="005838CC" w:rsidRPr="00AE2F32" w:rsidRDefault="005838CC" w:rsidP="00EB1CFE">
      <w:pPr>
        <w:rPr>
          <w:rFonts w:eastAsia="Times New Roman" w:cs="Times New Roman"/>
          <w:b/>
          <w:bCs/>
          <w:sz w:val="22"/>
          <w:szCs w:val="22"/>
          <w:lang w:val="en-GB"/>
        </w:rPr>
      </w:pPr>
    </w:p>
    <w:p w14:paraId="199C549E" w14:textId="77777777" w:rsidR="005838CC" w:rsidRPr="00AE2F32" w:rsidRDefault="005838CC" w:rsidP="00EB1CFE">
      <w:pPr>
        <w:rPr>
          <w:rFonts w:eastAsia="Times New Roman" w:cs="Times New Roman"/>
          <w:b/>
          <w:bCs/>
          <w:sz w:val="22"/>
          <w:szCs w:val="22"/>
          <w:lang w:val="en-GB"/>
        </w:rPr>
      </w:pPr>
    </w:p>
    <w:p w14:paraId="114A2153" w14:textId="77777777" w:rsidR="005838CC" w:rsidRPr="00AE2F32" w:rsidRDefault="005838CC" w:rsidP="00EB1CFE">
      <w:pPr>
        <w:rPr>
          <w:rFonts w:eastAsia="Times New Roman" w:cs="Times New Roman"/>
          <w:b/>
          <w:bCs/>
          <w:sz w:val="22"/>
          <w:szCs w:val="22"/>
          <w:lang w:val="en-GB"/>
        </w:rPr>
      </w:pPr>
    </w:p>
    <w:p w14:paraId="1AB3560B" w14:textId="77777777" w:rsidR="005838CC" w:rsidRPr="00AE2F32" w:rsidRDefault="005838CC" w:rsidP="00EB1CFE">
      <w:pPr>
        <w:rPr>
          <w:rFonts w:eastAsia="Times New Roman" w:cs="Times New Roman"/>
          <w:b/>
          <w:bCs/>
          <w:sz w:val="22"/>
          <w:szCs w:val="22"/>
          <w:lang w:val="en-GB"/>
        </w:rPr>
      </w:pPr>
    </w:p>
    <w:p w14:paraId="57BC9D98" w14:textId="751D488A" w:rsidR="006F3DA3" w:rsidRPr="00AE2F32" w:rsidRDefault="006F3DA3" w:rsidP="00EB1CFE">
      <w:pPr>
        <w:rPr>
          <w:rFonts w:eastAsia="Times New Roman" w:cs="Times New Roman"/>
          <w:b/>
          <w:bCs/>
          <w:sz w:val="22"/>
          <w:szCs w:val="22"/>
          <w:lang w:val="en-GB"/>
        </w:rPr>
      </w:pPr>
    </w:p>
    <w:p w14:paraId="7F74D522" w14:textId="4021750F" w:rsidR="00E21151" w:rsidRPr="00AE2F32" w:rsidRDefault="00E21151" w:rsidP="00EB1CFE">
      <w:pPr>
        <w:rPr>
          <w:rFonts w:eastAsia="Times New Roman" w:cs="Times New Roman"/>
          <w:b/>
          <w:bCs/>
          <w:sz w:val="22"/>
          <w:szCs w:val="22"/>
          <w:lang w:val="en-GB"/>
        </w:rPr>
      </w:pPr>
    </w:p>
    <w:p w14:paraId="5E949617" w14:textId="77777777" w:rsidR="00E21151" w:rsidRPr="00AE2F32" w:rsidRDefault="00E21151" w:rsidP="00EB1CFE">
      <w:pPr>
        <w:rPr>
          <w:rFonts w:eastAsia="Times New Roman" w:cs="Times New Roman"/>
          <w:b/>
          <w:bCs/>
          <w:sz w:val="22"/>
          <w:szCs w:val="22"/>
          <w:lang w:val="en-GB"/>
        </w:rPr>
      </w:pPr>
    </w:p>
    <w:p w14:paraId="14C84594" w14:textId="77777777" w:rsidR="00E62D0D" w:rsidRPr="00AE2F32" w:rsidRDefault="00E62D0D" w:rsidP="00EB1CFE">
      <w:pPr>
        <w:rPr>
          <w:rFonts w:eastAsia="Times New Roman" w:cs="Times New Roman"/>
          <w:b/>
          <w:bCs/>
          <w:sz w:val="22"/>
          <w:szCs w:val="22"/>
          <w:lang w:val="en-GB"/>
        </w:rPr>
      </w:pPr>
    </w:p>
    <w:p w14:paraId="6846AE06" w14:textId="092F184D" w:rsidR="00703E03" w:rsidRPr="00AE2F32" w:rsidRDefault="00A543DF" w:rsidP="00EB1CFE">
      <w:pPr>
        <w:rPr>
          <w:rFonts w:eastAsia="Times New Roman" w:cs="Times New Roman"/>
          <w:b/>
          <w:bCs/>
          <w:sz w:val="22"/>
          <w:szCs w:val="22"/>
          <w:lang w:val="en-GB"/>
        </w:rPr>
      </w:pPr>
      <w:r w:rsidRPr="00AE2F32">
        <w:rPr>
          <w:rFonts w:eastAsia="Times New Roman" w:cs="Times New Roman"/>
          <w:b/>
          <w:bCs/>
          <w:sz w:val="22"/>
          <w:szCs w:val="22"/>
          <w:lang w:val="en-GB"/>
        </w:rPr>
        <w:t>Contact Person</w:t>
      </w:r>
      <w:r w:rsidR="00D83814">
        <w:rPr>
          <w:rFonts w:eastAsia="Times New Roman" w:cs="Times New Roman"/>
          <w:b/>
          <w:bCs/>
          <w:sz w:val="22"/>
          <w:szCs w:val="22"/>
          <w:lang w:val="en-GB"/>
        </w:rPr>
        <w:t>s</w:t>
      </w:r>
      <w:r w:rsidRPr="00AE2F32">
        <w:rPr>
          <w:rFonts w:eastAsia="Times New Roman" w:cs="Times New Roman"/>
          <w:b/>
          <w:bCs/>
          <w:sz w:val="22"/>
          <w:szCs w:val="22"/>
          <w:lang w:val="en-GB"/>
        </w:rPr>
        <w:t xml:space="preserve">: </w:t>
      </w:r>
    </w:p>
    <w:p w14:paraId="3A32C6D7" w14:textId="77777777" w:rsidR="00E62D0D" w:rsidRPr="00AE2F32" w:rsidRDefault="00E62D0D" w:rsidP="00EB1CFE">
      <w:pPr>
        <w:rPr>
          <w:rFonts w:eastAsia="Times New Roman" w:cs="Times New Roman"/>
          <w:sz w:val="22"/>
          <w:szCs w:val="22"/>
          <w:lang w:val="en-GB"/>
        </w:rPr>
      </w:pPr>
    </w:p>
    <w:p w14:paraId="22D5E76D" w14:textId="09F78856" w:rsidR="00E62D0D" w:rsidRPr="00AE2F32" w:rsidRDefault="00A543DF" w:rsidP="00EB1CFE">
      <w:pPr>
        <w:rPr>
          <w:rFonts w:eastAsia="Times New Roman" w:cs="Times New Roman"/>
          <w:sz w:val="22"/>
          <w:szCs w:val="22"/>
          <w:lang w:val="en-GB"/>
        </w:rPr>
      </w:pPr>
      <w:r w:rsidRPr="00AE2F32">
        <w:rPr>
          <w:rFonts w:eastAsia="Times New Roman" w:cs="Times New Roman"/>
          <w:sz w:val="22"/>
          <w:szCs w:val="22"/>
          <w:lang w:val="en-GB"/>
        </w:rPr>
        <w:t>Teona Piranishvili</w:t>
      </w:r>
    </w:p>
    <w:p w14:paraId="486CCF0B" w14:textId="7382DC0F" w:rsidR="00A543DF" w:rsidRPr="00AE2F32" w:rsidRDefault="00E62D0D" w:rsidP="00EB1CFE">
      <w:pPr>
        <w:rPr>
          <w:rFonts w:eastAsia="Times New Roman" w:cs="Times New Roman"/>
          <w:sz w:val="22"/>
          <w:szCs w:val="22"/>
          <w:lang w:val="en-GB"/>
        </w:rPr>
      </w:pPr>
      <w:r w:rsidRPr="00AE2F32">
        <w:rPr>
          <w:rFonts w:eastAsia="Times New Roman" w:cs="Times New Roman"/>
          <w:sz w:val="22"/>
          <w:szCs w:val="22"/>
          <w:lang w:val="en-GB"/>
        </w:rPr>
        <w:t xml:space="preserve">EMC, </w:t>
      </w:r>
      <w:r w:rsidR="00A543DF" w:rsidRPr="00AE2F32">
        <w:rPr>
          <w:rFonts w:eastAsia="Times New Roman" w:cs="Times New Roman"/>
          <w:sz w:val="22"/>
          <w:szCs w:val="22"/>
          <w:lang w:val="en-GB"/>
        </w:rPr>
        <w:t xml:space="preserve">Project Coordinator </w:t>
      </w:r>
    </w:p>
    <w:p w14:paraId="03C189CE" w14:textId="404EF12C" w:rsidR="00E62D0D" w:rsidRPr="00AE2F32" w:rsidRDefault="00A543DF" w:rsidP="00EB1CFE">
      <w:pPr>
        <w:rPr>
          <w:rFonts w:eastAsia="Times New Roman" w:cs="Times New Roman"/>
          <w:sz w:val="22"/>
          <w:szCs w:val="22"/>
          <w:lang w:val="en-GB"/>
        </w:rPr>
      </w:pPr>
      <w:r w:rsidRPr="00AE2F32">
        <w:rPr>
          <w:sz w:val="22"/>
          <w:szCs w:val="22"/>
          <w:lang w:val="en-GB"/>
        </w:rPr>
        <w:t xml:space="preserve">Email: </w:t>
      </w:r>
      <w:hyperlink r:id="rId10" w:history="1">
        <w:r w:rsidRPr="00AE2F32">
          <w:rPr>
            <w:rStyle w:val="Hyperlink"/>
            <w:rFonts w:eastAsia="Times New Roman" w:cs="Times New Roman"/>
            <w:sz w:val="22"/>
            <w:szCs w:val="22"/>
            <w:lang w:val="en-GB"/>
          </w:rPr>
          <w:t>teo.phiranishvili@gmail.com</w:t>
        </w:r>
      </w:hyperlink>
    </w:p>
    <w:p w14:paraId="37564D33" w14:textId="77777777" w:rsidR="00E62D0D" w:rsidRPr="00AE2F32" w:rsidRDefault="00E62D0D" w:rsidP="00EB1CFE">
      <w:pPr>
        <w:rPr>
          <w:rFonts w:eastAsia="Times New Roman" w:cs="Times New Roman"/>
          <w:b/>
          <w:bCs/>
          <w:sz w:val="22"/>
          <w:szCs w:val="22"/>
          <w:lang w:val="en-GB"/>
        </w:rPr>
      </w:pPr>
    </w:p>
    <w:p w14:paraId="7CA8D357" w14:textId="77777777" w:rsidR="00193E80" w:rsidRPr="00F0039C" w:rsidRDefault="00193E80" w:rsidP="00193E80">
      <w:pPr>
        <w:rPr>
          <w:rFonts w:eastAsia="Times New Roman" w:cs="Times New Roman"/>
          <w:bCs/>
          <w:sz w:val="22"/>
          <w:szCs w:val="22"/>
        </w:rPr>
      </w:pPr>
      <w:r w:rsidRPr="00F0039C">
        <w:rPr>
          <w:rFonts w:eastAsia="Times New Roman" w:cs="Times New Roman"/>
          <w:bCs/>
          <w:sz w:val="22"/>
          <w:szCs w:val="22"/>
        </w:rPr>
        <w:t>Merab Kartvelishvili</w:t>
      </w:r>
    </w:p>
    <w:p w14:paraId="73C0B5E6" w14:textId="77777777" w:rsidR="00193E80" w:rsidRPr="00F0039C" w:rsidRDefault="00193E80" w:rsidP="00193E80">
      <w:pPr>
        <w:rPr>
          <w:rFonts w:eastAsia="Times New Roman" w:cs="Times New Roman"/>
          <w:bCs/>
          <w:sz w:val="22"/>
          <w:szCs w:val="22"/>
        </w:rPr>
      </w:pPr>
      <w:r>
        <w:rPr>
          <w:rFonts w:eastAsia="Times New Roman" w:cs="Times New Roman"/>
          <w:bCs/>
          <w:sz w:val="22"/>
          <w:szCs w:val="22"/>
        </w:rPr>
        <w:t>GYLA, Human Rights Program Director</w:t>
      </w:r>
    </w:p>
    <w:p w14:paraId="29D7D31F" w14:textId="5C841C76" w:rsidR="006C743C" w:rsidRDefault="00193E80" w:rsidP="00193E80">
      <w:pPr>
        <w:rPr>
          <w:rFonts w:eastAsia="Times New Roman" w:cs="Times New Roman"/>
          <w:b/>
          <w:bCs/>
          <w:sz w:val="22"/>
          <w:szCs w:val="22"/>
        </w:rPr>
      </w:pPr>
      <w:r w:rsidRPr="00F0039C">
        <w:rPr>
          <w:rFonts w:eastAsia="Times New Roman" w:cs="Times New Roman"/>
          <w:bCs/>
          <w:sz w:val="22"/>
          <w:szCs w:val="22"/>
        </w:rPr>
        <w:t xml:space="preserve">E-mail: </w:t>
      </w:r>
      <w:hyperlink r:id="rId11" w:history="1">
        <w:r w:rsidRPr="00F0039C">
          <w:rPr>
            <w:rStyle w:val="Hyperlink"/>
            <w:rFonts w:eastAsia="Times New Roman" w:cs="Times New Roman"/>
            <w:bCs/>
            <w:sz w:val="22"/>
            <w:szCs w:val="22"/>
          </w:rPr>
          <w:t>Mkartvelishvili@gyla.ge</w:t>
        </w:r>
      </w:hyperlink>
      <w:r>
        <w:rPr>
          <w:rFonts w:eastAsia="Times New Roman" w:cs="Times New Roman"/>
          <w:b/>
          <w:bCs/>
          <w:sz w:val="22"/>
          <w:szCs w:val="22"/>
        </w:rPr>
        <w:t xml:space="preserve"> </w:t>
      </w:r>
    </w:p>
    <w:p w14:paraId="5344BC50" w14:textId="0EF91857" w:rsidR="00256F01" w:rsidRDefault="00256F01" w:rsidP="00193E80">
      <w:pPr>
        <w:rPr>
          <w:rFonts w:eastAsia="Times New Roman" w:cs="Times New Roman"/>
          <w:b/>
          <w:bCs/>
          <w:sz w:val="22"/>
          <w:szCs w:val="22"/>
        </w:rPr>
      </w:pPr>
    </w:p>
    <w:p w14:paraId="05277BD4" w14:textId="56C62CA9" w:rsidR="00256F01" w:rsidRDefault="00256F01" w:rsidP="00193E80">
      <w:pPr>
        <w:rPr>
          <w:rFonts w:eastAsia="Times New Roman" w:cs="Times New Roman"/>
          <w:b/>
          <w:bCs/>
          <w:sz w:val="22"/>
          <w:szCs w:val="22"/>
        </w:rPr>
      </w:pPr>
    </w:p>
    <w:p w14:paraId="0BAC3586" w14:textId="77777777" w:rsidR="00256F01" w:rsidRPr="00AE2F32" w:rsidRDefault="00256F01" w:rsidP="00193E80">
      <w:pPr>
        <w:rPr>
          <w:rFonts w:eastAsia="Times New Roman" w:cs="Times New Roman"/>
          <w:b/>
          <w:bCs/>
          <w:sz w:val="22"/>
          <w:szCs w:val="22"/>
          <w:lang w:val="en-GB"/>
        </w:rPr>
      </w:pPr>
    </w:p>
    <w:sdt>
      <w:sdtPr>
        <w:rPr>
          <w:rFonts w:asciiTheme="minorHAnsi" w:eastAsiaTheme="minorHAnsi" w:hAnsiTheme="minorHAnsi" w:cstheme="minorBidi"/>
          <w:b w:val="0"/>
          <w:bCs w:val="0"/>
          <w:color w:val="auto"/>
          <w:sz w:val="22"/>
          <w:szCs w:val="22"/>
          <w:lang w:val="en-GB"/>
        </w:rPr>
        <w:id w:val="-664407487"/>
        <w:docPartObj>
          <w:docPartGallery w:val="Table of Contents"/>
          <w:docPartUnique/>
        </w:docPartObj>
      </w:sdtPr>
      <w:sdtEndPr/>
      <w:sdtContent>
        <w:p w14:paraId="19AC09F6" w14:textId="13936316" w:rsidR="00D4229E" w:rsidRPr="00AE2F32" w:rsidRDefault="00D4229E" w:rsidP="00EB1CFE">
          <w:pPr>
            <w:pStyle w:val="TOCHeading"/>
            <w:spacing w:before="0" w:line="240" w:lineRule="auto"/>
            <w:rPr>
              <w:rFonts w:asciiTheme="minorHAnsi" w:hAnsiTheme="minorHAnsi"/>
              <w:sz w:val="22"/>
              <w:szCs w:val="22"/>
              <w:lang w:val="en-GB"/>
            </w:rPr>
          </w:pPr>
          <w:r w:rsidRPr="00AE2F32">
            <w:rPr>
              <w:rFonts w:asciiTheme="minorHAnsi" w:hAnsiTheme="minorHAnsi"/>
              <w:sz w:val="22"/>
              <w:szCs w:val="22"/>
              <w:lang w:val="en-GB"/>
            </w:rPr>
            <w:t>Table of Contents</w:t>
          </w:r>
        </w:p>
        <w:p w14:paraId="184CEE87" w14:textId="77777777" w:rsidR="00AC3BA9" w:rsidRPr="00AE2F32" w:rsidRDefault="00AC3BA9" w:rsidP="00AC3BA9">
          <w:pPr>
            <w:rPr>
              <w:sz w:val="22"/>
              <w:szCs w:val="22"/>
              <w:lang w:val="en-GB"/>
            </w:rPr>
          </w:pPr>
        </w:p>
        <w:p w14:paraId="608E878B" w14:textId="0A1F6C94" w:rsidR="00222E8B" w:rsidRDefault="00B87F85">
          <w:pPr>
            <w:pStyle w:val="TOC1"/>
            <w:tabs>
              <w:tab w:val="right" w:leader="dot" w:pos="9350"/>
            </w:tabs>
            <w:rPr>
              <w:rFonts w:eastAsiaTheme="minorEastAsia" w:cstheme="minorBidi"/>
              <w:b w:val="0"/>
              <w:bCs w:val="0"/>
              <w:caps w:val="0"/>
              <w:noProof/>
              <w:sz w:val="24"/>
              <w:szCs w:val="24"/>
              <w:lang w:val="en-GE"/>
            </w:rPr>
          </w:pPr>
          <w:r w:rsidRPr="00AE2F32">
            <w:rPr>
              <w:caps w:val="0"/>
              <w:sz w:val="22"/>
              <w:szCs w:val="22"/>
              <w:lang w:val="en-GB"/>
            </w:rPr>
            <w:fldChar w:fldCharType="begin"/>
          </w:r>
          <w:r w:rsidRPr="00AE2F32">
            <w:rPr>
              <w:caps w:val="0"/>
              <w:sz w:val="22"/>
              <w:szCs w:val="22"/>
              <w:lang w:val="en-GB"/>
            </w:rPr>
            <w:instrText xml:space="preserve"> TOC \o "1-3" \h \z \u </w:instrText>
          </w:r>
          <w:r w:rsidRPr="00AE2F32">
            <w:rPr>
              <w:caps w:val="0"/>
              <w:sz w:val="22"/>
              <w:szCs w:val="22"/>
              <w:lang w:val="en-GB"/>
            </w:rPr>
            <w:fldChar w:fldCharType="separate"/>
          </w:r>
          <w:hyperlink w:anchor="_Toc48565924" w:history="1">
            <w:r w:rsidR="00222E8B" w:rsidRPr="00542215">
              <w:rPr>
                <w:rStyle w:val="Hyperlink"/>
                <w:rFonts w:eastAsia="Times New Roman" w:cs="Times New Roman"/>
                <w:noProof/>
              </w:rPr>
              <w:t>Introduction</w:t>
            </w:r>
            <w:r w:rsidR="00222E8B">
              <w:rPr>
                <w:noProof/>
                <w:webHidden/>
              </w:rPr>
              <w:tab/>
            </w:r>
            <w:r w:rsidR="00222E8B">
              <w:rPr>
                <w:noProof/>
                <w:webHidden/>
              </w:rPr>
              <w:fldChar w:fldCharType="begin"/>
            </w:r>
            <w:r w:rsidR="00222E8B">
              <w:rPr>
                <w:noProof/>
                <w:webHidden/>
              </w:rPr>
              <w:instrText xml:space="preserve"> PAGEREF _Toc48565924 \h </w:instrText>
            </w:r>
            <w:r w:rsidR="00222E8B">
              <w:rPr>
                <w:noProof/>
                <w:webHidden/>
              </w:rPr>
            </w:r>
            <w:r w:rsidR="00222E8B">
              <w:rPr>
                <w:noProof/>
                <w:webHidden/>
              </w:rPr>
              <w:fldChar w:fldCharType="separate"/>
            </w:r>
            <w:r w:rsidR="00222E8B">
              <w:rPr>
                <w:noProof/>
                <w:webHidden/>
              </w:rPr>
              <w:t>3</w:t>
            </w:r>
            <w:r w:rsidR="00222E8B">
              <w:rPr>
                <w:noProof/>
                <w:webHidden/>
              </w:rPr>
              <w:fldChar w:fldCharType="end"/>
            </w:r>
          </w:hyperlink>
        </w:p>
        <w:p w14:paraId="56F2D9B4" w14:textId="23D351AB" w:rsidR="00222E8B" w:rsidRDefault="002C171F">
          <w:pPr>
            <w:pStyle w:val="TOC1"/>
            <w:tabs>
              <w:tab w:val="left" w:pos="480"/>
              <w:tab w:val="right" w:leader="dot" w:pos="9350"/>
            </w:tabs>
            <w:rPr>
              <w:rFonts w:eastAsiaTheme="minorEastAsia" w:cstheme="minorBidi"/>
              <w:b w:val="0"/>
              <w:bCs w:val="0"/>
              <w:caps w:val="0"/>
              <w:noProof/>
              <w:sz w:val="24"/>
              <w:szCs w:val="24"/>
              <w:lang w:val="en-GE"/>
            </w:rPr>
          </w:pPr>
          <w:hyperlink w:anchor="_Toc48565925" w:history="1">
            <w:r w:rsidR="00222E8B" w:rsidRPr="00542215">
              <w:rPr>
                <w:rStyle w:val="Hyperlink"/>
                <w:rFonts w:eastAsia="Times New Roman" w:cs="Times New Roman"/>
                <w:noProof/>
                <w:lang w:val="en-GB"/>
              </w:rPr>
              <w:t>I.</w:t>
            </w:r>
            <w:r w:rsidR="00222E8B">
              <w:rPr>
                <w:rFonts w:eastAsiaTheme="minorEastAsia" w:cstheme="minorBidi"/>
                <w:b w:val="0"/>
                <w:bCs w:val="0"/>
                <w:caps w:val="0"/>
                <w:noProof/>
                <w:sz w:val="24"/>
                <w:szCs w:val="24"/>
                <w:lang w:val="en-GE"/>
              </w:rPr>
              <w:tab/>
            </w:r>
            <w:r w:rsidR="00222E8B" w:rsidRPr="00542215">
              <w:rPr>
                <w:rStyle w:val="Hyperlink"/>
                <w:rFonts w:eastAsia="Times New Roman" w:cs="Times New Roman"/>
                <w:noProof/>
                <w:lang w:val="en-GB"/>
              </w:rPr>
              <w:t>Alternative Evaluation of the Concluding Recommendations issued by the Committee</w:t>
            </w:r>
            <w:r w:rsidR="00222E8B">
              <w:rPr>
                <w:noProof/>
                <w:webHidden/>
              </w:rPr>
              <w:tab/>
            </w:r>
            <w:r w:rsidR="00222E8B">
              <w:rPr>
                <w:noProof/>
                <w:webHidden/>
              </w:rPr>
              <w:fldChar w:fldCharType="begin"/>
            </w:r>
            <w:r w:rsidR="00222E8B">
              <w:rPr>
                <w:noProof/>
                <w:webHidden/>
              </w:rPr>
              <w:instrText xml:space="preserve"> PAGEREF _Toc48565925 \h </w:instrText>
            </w:r>
            <w:r w:rsidR="00222E8B">
              <w:rPr>
                <w:noProof/>
                <w:webHidden/>
              </w:rPr>
            </w:r>
            <w:r w:rsidR="00222E8B">
              <w:rPr>
                <w:noProof/>
                <w:webHidden/>
              </w:rPr>
              <w:fldChar w:fldCharType="separate"/>
            </w:r>
            <w:r w:rsidR="00222E8B">
              <w:rPr>
                <w:noProof/>
                <w:webHidden/>
              </w:rPr>
              <w:t>3</w:t>
            </w:r>
            <w:r w:rsidR="00222E8B">
              <w:rPr>
                <w:noProof/>
                <w:webHidden/>
              </w:rPr>
              <w:fldChar w:fldCharType="end"/>
            </w:r>
          </w:hyperlink>
        </w:p>
        <w:p w14:paraId="3D96B20C" w14:textId="7C4F3D4A" w:rsidR="00222E8B" w:rsidRDefault="002C171F">
          <w:pPr>
            <w:pStyle w:val="TOC2"/>
            <w:tabs>
              <w:tab w:val="left" w:pos="720"/>
              <w:tab w:val="right" w:leader="dot" w:pos="9350"/>
            </w:tabs>
            <w:rPr>
              <w:rFonts w:eastAsiaTheme="minorEastAsia" w:cstheme="minorBidi"/>
              <w:smallCaps w:val="0"/>
              <w:noProof/>
              <w:sz w:val="24"/>
              <w:szCs w:val="24"/>
              <w:lang w:val="en-GE"/>
            </w:rPr>
          </w:pPr>
          <w:hyperlink w:anchor="_Toc48565926" w:history="1">
            <w:r w:rsidR="00222E8B" w:rsidRPr="00542215">
              <w:rPr>
                <w:rStyle w:val="Hyperlink"/>
                <w:rFonts w:cs="Times New Roman"/>
                <w:noProof/>
                <w:lang w:val="en-GB"/>
              </w:rPr>
              <w:t>1.</w:t>
            </w:r>
            <w:r w:rsidR="00222E8B">
              <w:rPr>
                <w:rFonts w:eastAsiaTheme="minorEastAsia" w:cstheme="minorBidi"/>
                <w:smallCaps w:val="0"/>
                <w:noProof/>
                <w:sz w:val="24"/>
                <w:szCs w:val="24"/>
                <w:lang w:val="en-GE"/>
              </w:rPr>
              <w:tab/>
            </w:r>
            <w:r w:rsidR="00222E8B" w:rsidRPr="00542215">
              <w:rPr>
                <w:rStyle w:val="Hyperlink"/>
                <w:rFonts w:cs="Times New Roman"/>
                <w:noProof/>
                <w:lang w:val="en-GB"/>
              </w:rPr>
              <w:t>Antidiscrimination Legislation (Paragraph 6 of the Committee Recommendations)</w:t>
            </w:r>
            <w:r w:rsidR="00222E8B">
              <w:rPr>
                <w:noProof/>
                <w:webHidden/>
              </w:rPr>
              <w:tab/>
            </w:r>
            <w:r w:rsidR="00222E8B">
              <w:rPr>
                <w:noProof/>
                <w:webHidden/>
              </w:rPr>
              <w:fldChar w:fldCharType="begin"/>
            </w:r>
            <w:r w:rsidR="00222E8B">
              <w:rPr>
                <w:noProof/>
                <w:webHidden/>
              </w:rPr>
              <w:instrText xml:space="preserve"> PAGEREF _Toc48565926 \h </w:instrText>
            </w:r>
            <w:r w:rsidR="00222E8B">
              <w:rPr>
                <w:noProof/>
                <w:webHidden/>
              </w:rPr>
            </w:r>
            <w:r w:rsidR="00222E8B">
              <w:rPr>
                <w:noProof/>
                <w:webHidden/>
              </w:rPr>
              <w:fldChar w:fldCharType="separate"/>
            </w:r>
            <w:r w:rsidR="00222E8B">
              <w:rPr>
                <w:noProof/>
                <w:webHidden/>
              </w:rPr>
              <w:t>3</w:t>
            </w:r>
            <w:r w:rsidR="00222E8B">
              <w:rPr>
                <w:noProof/>
                <w:webHidden/>
              </w:rPr>
              <w:fldChar w:fldCharType="end"/>
            </w:r>
          </w:hyperlink>
        </w:p>
        <w:p w14:paraId="5939402A" w14:textId="7292DA52" w:rsidR="00222E8B" w:rsidRDefault="002C171F">
          <w:pPr>
            <w:pStyle w:val="TOC2"/>
            <w:tabs>
              <w:tab w:val="left" w:pos="720"/>
              <w:tab w:val="right" w:leader="dot" w:pos="9350"/>
            </w:tabs>
            <w:rPr>
              <w:rFonts w:eastAsiaTheme="minorEastAsia" w:cstheme="minorBidi"/>
              <w:smallCaps w:val="0"/>
              <w:noProof/>
              <w:sz w:val="24"/>
              <w:szCs w:val="24"/>
              <w:lang w:val="en-GE"/>
            </w:rPr>
          </w:pPr>
          <w:hyperlink w:anchor="_Toc48565927" w:history="1">
            <w:r w:rsidR="00222E8B" w:rsidRPr="00542215">
              <w:rPr>
                <w:rStyle w:val="Hyperlink"/>
                <w:rFonts w:cs="Times New Roman"/>
                <w:noProof/>
                <w:lang w:val="en-GB"/>
              </w:rPr>
              <w:t>2.</w:t>
            </w:r>
            <w:r w:rsidR="00222E8B">
              <w:rPr>
                <w:rFonts w:eastAsiaTheme="minorEastAsia" w:cstheme="minorBidi"/>
                <w:smallCaps w:val="0"/>
                <w:noProof/>
                <w:sz w:val="24"/>
                <w:szCs w:val="24"/>
                <w:lang w:val="en-GE"/>
              </w:rPr>
              <w:tab/>
            </w:r>
            <w:r w:rsidR="00222E8B" w:rsidRPr="00542215">
              <w:rPr>
                <w:rStyle w:val="Hyperlink"/>
                <w:rFonts w:cs="Times New Roman"/>
                <w:noProof/>
                <w:lang w:val="en-GB"/>
              </w:rPr>
              <w:t>Antidiscrimination and Gender Equality (Paragraph 7 of the Committee Recommendations)</w:t>
            </w:r>
            <w:r w:rsidR="00222E8B">
              <w:rPr>
                <w:noProof/>
                <w:webHidden/>
              </w:rPr>
              <w:tab/>
            </w:r>
            <w:r w:rsidR="00222E8B">
              <w:rPr>
                <w:noProof/>
                <w:webHidden/>
              </w:rPr>
              <w:fldChar w:fldCharType="begin"/>
            </w:r>
            <w:r w:rsidR="00222E8B">
              <w:rPr>
                <w:noProof/>
                <w:webHidden/>
              </w:rPr>
              <w:instrText xml:space="preserve"> PAGEREF _Toc48565927 \h </w:instrText>
            </w:r>
            <w:r w:rsidR="00222E8B">
              <w:rPr>
                <w:noProof/>
                <w:webHidden/>
              </w:rPr>
            </w:r>
            <w:r w:rsidR="00222E8B">
              <w:rPr>
                <w:noProof/>
                <w:webHidden/>
              </w:rPr>
              <w:fldChar w:fldCharType="separate"/>
            </w:r>
            <w:r w:rsidR="00222E8B">
              <w:rPr>
                <w:noProof/>
                <w:webHidden/>
              </w:rPr>
              <w:t>3</w:t>
            </w:r>
            <w:r w:rsidR="00222E8B">
              <w:rPr>
                <w:noProof/>
                <w:webHidden/>
              </w:rPr>
              <w:fldChar w:fldCharType="end"/>
            </w:r>
          </w:hyperlink>
        </w:p>
        <w:p w14:paraId="045F61E1" w14:textId="26A98D63" w:rsidR="00222E8B" w:rsidRDefault="002C171F">
          <w:pPr>
            <w:pStyle w:val="TOC2"/>
            <w:tabs>
              <w:tab w:val="left" w:pos="720"/>
              <w:tab w:val="right" w:leader="dot" w:pos="9350"/>
            </w:tabs>
            <w:rPr>
              <w:rFonts w:eastAsiaTheme="minorEastAsia" w:cstheme="minorBidi"/>
              <w:smallCaps w:val="0"/>
              <w:noProof/>
              <w:sz w:val="24"/>
              <w:szCs w:val="24"/>
              <w:lang w:val="en-GE"/>
            </w:rPr>
          </w:pPr>
          <w:hyperlink w:anchor="_Toc48565928" w:history="1">
            <w:r w:rsidR="00222E8B" w:rsidRPr="00542215">
              <w:rPr>
                <w:rStyle w:val="Hyperlink"/>
                <w:rFonts w:cs="Times New Roman"/>
                <w:noProof/>
                <w:lang w:val="en-GB"/>
              </w:rPr>
              <w:t>3.</w:t>
            </w:r>
            <w:r w:rsidR="00222E8B">
              <w:rPr>
                <w:rFonts w:eastAsiaTheme="minorEastAsia" w:cstheme="minorBidi"/>
                <w:smallCaps w:val="0"/>
                <w:noProof/>
                <w:sz w:val="24"/>
                <w:szCs w:val="24"/>
                <w:lang w:val="en-GE"/>
              </w:rPr>
              <w:tab/>
            </w:r>
            <w:r w:rsidR="00222E8B" w:rsidRPr="00542215">
              <w:rPr>
                <w:rStyle w:val="Hyperlink"/>
                <w:rFonts w:cs="Times New Roman"/>
                <w:noProof/>
                <w:lang w:val="en-GB"/>
              </w:rPr>
              <w:t>Discrimination on the grounds of sexual orientation and gender identity (Paragraph 8 of the Committee Recommendations)</w:t>
            </w:r>
            <w:r w:rsidR="00222E8B">
              <w:rPr>
                <w:noProof/>
                <w:webHidden/>
              </w:rPr>
              <w:tab/>
            </w:r>
            <w:r w:rsidR="00222E8B">
              <w:rPr>
                <w:noProof/>
                <w:webHidden/>
              </w:rPr>
              <w:fldChar w:fldCharType="begin"/>
            </w:r>
            <w:r w:rsidR="00222E8B">
              <w:rPr>
                <w:noProof/>
                <w:webHidden/>
              </w:rPr>
              <w:instrText xml:space="preserve"> PAGEREF _Toc48565928 \h </w:instrText>
            </w:r>
            <w:r w:rsidR="00222E8B">
              <w:rPr>
                <w:noProof/>
                <w:webHidden/>
              </w:rPr>
            </w:r>
            <w:r w:rsidR="00222E8B">
              <w:rPr>
                <w:noProof/>
                <w:webHidden/>
              </w:rPr>
              <w:fldChar w:fldCharType="separate"/>
            </w:r>
            <w:r w:rsidR="00222E8B">
              <w:rPr>
                <w:noProof/>
                <w:webHidden/>
              </w:rPr>
              <w:t>3</w:t>
            </w:r>
            <w:r w:rsidR="00222E8B">
              <w:rPr>
                <w:noProof/>
                <w:webHidden/>
              </w:rPr>
              <w:fldChar w:fldCharType="end"/>
            </w:r>
          </w:hyperlink>
        </w:p>
        <w:p w14:paraId="5A3AA750" w14:textId="283A27F5" w:rsidR="00222E8B" w:rsidRDefault="002C171F">
          <w:pPr>
            <w:pStyle w:val="TOC2"/>
            <w:tabs>
              <w:tab w:val="left" w:pos="720"/>
              <w:tab w:val="right" w:leader="dot" w:pos="9350"/>
            </w:tabs>
            <w:rPr>
              <w:rFonts w:eastAsiaTheme="minorEastAsia" w:cstheme="minorBidi"/>
              <w:smallCaps w:val="0"/>
              <w:noProof/>
              <w:sz w:val="24"/>
              <w:szCs w:val="24"/>
              <w:lang w:val="en-GE"/>
            </w:rPr>
          </w:pPr>
          <w:hyperlink w:anchor="_Toc48565929" w:history="1">
            <w:r w:rsidR="00222E8B" w:rsidRPr="00542215">
              <w:rPr>
                <w:rStyle w:val="Hyperlink"/>
                <w:rFonts w:cs="Times New Roman"/>
                <w:noProof/>
                <w:lang w:val="en-GB"/>
              </w:rPr>
              <w:t>4.</w:t>
            </w:r>
            <w:r w:rsidR="00222E8B">
              <w:rPr>
                <w:rFonts w:eastAsiaTheme="minorEastAsia" w:cstheme="minorBidi"/>
                <w:smallCaps w:val="0"/>
                <w:noProof/>
                <w:sz w:val="24"/>
                <w:szCs w:val="24"/>
                <w:lang w:val="en-GE"/>
              </w:rPr>
              <w:tab/>
            </w:r>
            <w:r w:rsidR="00222E8B" w:rsidRPr="00542215">
              <w:rPr>
                <w:rStyle w:val="Hyperlink"/>
                <w:rFonts w:cs="Times New Roman"/>
                <w:noProof/>
                <w:lang w:val="en-GB"/>
              </w:rPr>
              <w:t>Domestic violence and corporal punishment of children (Paragraph 9 of the Committee Recommendations)</w:t>
            </w:r>
            <w:r w:rsidR="00222E8B">
              <w:rPr>
                <w:noProof/>
                <w:webHidden/>
              </w:rPr>
              <w:tab/>
            </w:r>
            <w:r w:rsidR="00222E8B">
              <w:rPr>
                <w:noProof/>
                <w:webHidden/>
              </w:rPr>
              <w:fldChar w:fldCharType="begin"/>
            </w:r>
            <w:r w:rsidR="00222E8B">
              <w:rPr>
                <w:noProof/>
                <w:webHidden/>
              </w:rPr>
              <w:instrText xml:space="preserve"> PAGEREF _Toc48565929 \h </w:instrText>
            </w:r>
            <w:r w:rsidR="00222E8B">
              <w:rPr>
                <w:noProof/>
                <w:webHidden/>
              </w:rPr>
            </w:r>
            <w:r w:rsidR="00222E8B">
              <w:rPr>
                <w:noProof/>
                <w:webHidden/>
              </w:rPr>
              <w:fldChar w:fldCharType="separate"/>
            </w:r>
            <w:r w:rsidR="00222E8B">
              <w:rPr>
                <w:noProof/>
                <w:webHidden/>
              </w:rPr>
              <w:t>3</w:t>
            </w:r>
            <w:r w:rsidR="00222E8B">
              <w:rPr>
                <w:noProof/>
                <w:webHidden/>
              </w:rPr>
              <w:fldChar w:fldCharType="end"/>
            </w:r>
          </w:hyperlink>
        </w:p>
        <w:p w14:paraId="17319935" w14:textId="514AD778" w:rsidR="00222E8B" w:rsidRDefault="002C171F">
          <w:pPr>
            <w:pStyle w:val="TOC2"/>
            <w:tabs>
              <w:tab w:val="left" w:pos="720"/>
              <w:tab w:val="right" w:leader="dot" w:pos="9350"/>
            </w:tabs>
            <w:rPr>
              <w:rFonts w:eastAsiaTheme="minorEastAsia" w:cstheme="minorBidi"/>
              <w:smallCaps w:val="0"/>
              <w:noProof/>
              <w:sz w:val="24"/>
              <w:szCs w:val="24"/>
              <w:lang w:val="en-GE"/>
            </w:rPr>
          </w:pPr>
          <w:hyperlink w:anchor="_Toc48565930" w:history="1">
            <w:r w:rsidR="00222E8B" w:rsidRPr="00542215">
              <w:rPr>
                <w:rStyle w:val="Hyperlink"/>
                <w:rFonts w:cs="Times New Roman"/>
                <w:noProof/>
                <w:lang w:val="en-GB"/>
              </w:rPr>
              <w:t>5.</w:t>
            </w:r>
            <w:r w:rsidR="00222E8B">
              <w:rPr>
                <w:rFonts w:eastAsiaTheme="minorEastAsia" w:cstheme="minorBidi"/>
                <w:smallCaps w:val="0"/>
                <w:noProof/>
                <w:sz w:val="24"/>
                <w:szCs w:val="24"/>
                <w:lang w:val="en-GE"/>
              </w:rPr>
              <w:tab/>
            </w:r>
            <w:r w:rsidR="00222E8B" w:rsidRPr="00542215">
              <w:rPr>
                <w:rStyle w:val="Hyperlink"/>
                <w:rFonts w:cs="Times New Roman"/>
                <w:noProof/>
                <w:lang w:val="en-GB"/>
              </w:rPr>
              <w:t xml:space="preserve">Accountability for </w:t>
            </w:r>
            <w:r w:rsidR="00222E8B" w:rsidRPr="00542215">
              <w:rPr>
                <w:rStyle w:val="Hyperlink"/>
                <w:rFonts w:cs="Times New Roman"/>
                <w:noProof/>
              </w:rPr>
              <w:t xml:space="preserve">past </w:t>
            </w:r>
            <w:r w:rsidR="00222E8B" w:rsidRPr="00542215">
              <w:rPr>
                <w:rStyle w:val="Hyperlink"/>
                <w:rFonts w:cs="Times New Roman"/>
                <w:noProof/>
                <w:lang w:val="en-GB"/>
              </w:rPr>
              <w:t>human rights violations (paragraphs 10-12 of Committee recommendations)</w:t>
            </w:r>
            <w:r w:rsidR="00222E8B">
              <w:rPr>
                <w:noProof/>
                <w:webHidden/>
              </w:rPr>
              <w:tab/>
            </w:r>
            <w:r w:rsidR="00222E8B">
              <w:rPr>
                <w:noProof/>
                <w:webHidden/>
              </w:rPr>
              <w:fldChar w:fldCharType="begin"/>
            </w:r>
            <w:r w:rsidR="00222E8B">
              <w:rPr>
                <w:noProof/>
                <w:webHidden/>
              </w:rPr>
              <w:instrText xml:space="preserve"> PAGEREF _Toc48565930 \h </w:instrText>
            </w:r>
            <w:r w:rsidR="00222E8B">
              <w:rPr>
                <w:noProof/>
                <w:webHidden/>
              </w:rPr>
            </w:r>
            <w:r w:rsidR="00222E8B">
              <w:rPr>
                <w:noProof/>
                <w:webHidden/>
              </w:rPr>
              <w:fldChar w:fldCharType="separate"/>
            </w:r>
            <w:r w:rsidR="00222E8B">
              <w:rPr>
                <w:noProof/>
                <w:webHidden/>
              </w:rPr>
              <w:t>4</w:t>
            </w:r>
            <w:r w:rsidR="00222E8B">
              <w:rPr>
                <w:noProof/>
                <w:webHidden/>
              </w:rPr>
              <w:fldChar w:fldCharType="end"/>
            </w:r>
          </w:hyperlink>
        </w:p>
        <w:p w14:paraId="64CF445E" w14:textId="356DD1E3" w:rsidR="00222E8B" w:rsidRDefault="002C171F">
          <w:pPr>
            <w:pStyle w:val="TOC2"/>
            <w:tabs>
              <w:tab w:val="left" w:pos="720"/>
              <w:tab w:val="right" w:leader="dot" w:pos="9350"/>
            </w:tabs>
            <w:rPr>
              <w:rFonts w:eastAsiaTheme="minorEastAsia" w:cstheme="minorBidi"/>
              <w:smallCaps w:val="0"/>
              <w:noProof/>
              <w:sz w:val="24"/>
              <w:szCs w:val="24"/>
              <w:lang w:val="en-GE"/>
            </w:rPr>
          </w:pPr>
          <w:hyperlink w:anchor="_Toc48565931" w:history="1">
            <w:r w:rsidR="00222E8B" w:rsidRPr="00542215">
              <w:rPr>
                <w:rStyle w:val="Hyperlink"/>
                <w:rFonts w:cs="Times New Roman"/>
                <w:noProof/>
                <w:lang w:val="en-GB"/>
              </w:rPr>
              <w:t>6.</w:t>
            </w:r>
            <w:r w:rsidR="00222E8B">
              <w:rPr>
                <w:rFonts w:eastAsiaTheme="minorEastAsia" w:cstheme="minorBidi"/>
                <w:smallCaps w:val="0"/>
                <w:noProof/>
                <w:sz w:val="24"/>
                <w:szCs w:val="24"/>
                <w:lang w:val="en-GE"/>
              </w:rPr>
              <w:tab/>
            </w:r>
            <w:r w:rsidR="00222E8B" w:rsidRPr="00542215">
              <w:rPr>
                <w:rStyle w:val="Hyperlink"/>
                <w:rFonts w:cs="Times New Roman"/>
                <w:noProof/>
                <w:lang w:val="en-GB"/>
              </w:rPr>
              <w:t>Administrative Detentions (paragraph 13 of the Committee recommendation)</w:t>
            </w:r>
            <w:r w:rsidR="00222E8B">
              <w:rPr>
                <w:noProof/>
                <w:webHidden/>
              </w:rPr>
              <w:tab/>
            </w:r>
            <w:r w:rsidR="00222E8B">
              <w:rPr>
                <w:noProof/>
                <w:webHidden/>
              </w:rPr>
              <w:fldChar w:fldCharType="begin"/>
            </w:r>
            <w:r w:rsidR="00222E8B">
              <w:rPr>
                <w:noProof/>
                <w:webHidden/>
              </w:rPr>
              <w:instrText xml:space="preserve"> PAGEREF _Toc48565931 \h </w:instrText>
            </w:r>
            <w:r w:rsidR="00222E8B">
              <w:rPr>
                <w:noProof/>
                <w:webHidden/>
              </w:rPr>
            </w:r>
            <w:r w:rsidR="00222E8B">
              <w:rPr>
                <w:noProof/>
                <w:webHidden/>
              </w:rPr>
              <w:fldChar w:fldCharType="separate"/>
            </w:r>
            <w:r w:rsidR="00222E8B">
              <w:rPr>
                <w:noProof/>
                <w:webHidden/>
              </w:rPr>
              <w:t>6</w:t>
            </w:r>
            <w:r w:rsidR="00222E8B">
              <w:rPr>
                <w:noProof/>
                <w:webHidden/>
              </w:rPr>
              <w:fldChar w:fldCharType="end"/>
            </w:r>
          </w:hyperlink>
        </w:p>
        <w:p w14:paraId="7E7EBA3D" w14:textId="463199F1" w:rsidR="00222E8B" w:rsidRDefault="002C171F">
          <w:pPr>
            <w:pStyle w:val="TOC2"/>
            <w:tabs>
              <w:tab w:val="left" w:pos="720"/>
              <w:tab w:val="right" w:leader="dot" w:pos="9350"/>
            </w:tabs>
            <w:rPr>
              <w:rFonts w:eastAsiaTheme="minorEastAsia" w:cstheme="minorBidi"/>
              <w:smallCaps w:val="0"/>
              <w:noProof/>
              <w:sz w:val="24"/>
              <w:szCs w:val="24"/>
              <w:lang w:val="en-GE"/>
            </w:rPr>
          </w:pPr>
          <w:hyperlink w:anchor="_Toc48565932" w:history="1">
            <w:r w:rsidR="00222E8B" w:rsidRPr="00542215">
              <w:rPr>
                <w:rStyle w:val="Hyperlink"/>
                <w:rFonts w:cs="Times New Roman"/>
                <w:noProof/>
                <w:lang w:val="en-GB"/>
              </w:rPr>
              <w:t>7.</w:t>
            </w:r>
            <w:r w:rsidR="00222E8B">
              <w:rPr>
                <w:rFonts w:eastAsiaTheme="minorEastAsia" w:cstheme="minorBidi"/>
                <w:smallCaps w:val="0"/>
                <w:noProof/>
                <w:sz w:val="24"/>
                <w:szCs w:val="24"/>
                <w:lang w:val="en-GE"/>
              </w:rPr>
              <w:tab/>
            </w:r>
            <w:r w:rsidR="00222E8B" w:rsidRPr="00542215">
              <w:rPr>
                <w:rStyle w:val="Hyperlink"/>
                <w:rFonts w:cs="Times New Roman"/>
                <w:noProof/>
                <w:lang w:val="en-GB"/>
              </w:rPr>
              <w:t xml:space="preserve">Plea </w:t>
            </w:r>
            <w:r w:rsidR="00222E8B" w:rsidRPr="00542215">
              <w:rPr>
                <w:rStyle w:val="Hyperlink"/>
                <w:rFonts w:ascii="Calibri" w:hAnsi="Calibri"/>
                <w:noProof/>
                <w:lang w:val="en-GB"/>
              </w:rPr>
              <w:t>bargain</w:t>
            </w:r>
            <w:r w:rsidR="00222E8B" w:rsidRPr="00542215">
              <w:rPr>
                <w:rStyle w:val="Hyperlink"/>
                <w:rFonts w:ascii="Sylfaen" w:hAnsi="Sylfaen"/>
                <w:noProof/>
                <w:lang w:val="ka-GE"/>
              </w:rPr>
              <w:t xml:space="preserve"> </w:t>
            </w:r>
            <w:r w:rsidR="00222E8B" w:rsidRPr="00542215">
              <w:rPr>
                <w:rStyle w:val="Hyperlink"/>
                <w:rFonts w:cs="Times New Roman"/>
                <w:noProof/>
                <w:lang w:val="en-GB"/>
              </w:rPr>
              <w:t>and Zero Tolerance Drug Policy (paragraph 15 of Committee recommendation)</w:t>
            </w:r>
            <w:r w:rsidR="00222E8B">
              <w:rPr>
                <w:noProof/>
                <w:webHidden/>
              </w:rPr>
              <w:tab/>
            </w:r>
            <w:r w:rsidR="00222E8B">
              <w:rPr>
                <w:noProof/>
                <w:webHidden/>
              </w:rPr>
              <w:fldChar w:fldCharType="begin"/>
            </w:r>
            <w:r w:rsidR="00222E8B">
              <w:rPr>
                <w:noProof/>
                <w:webHidden/>
              </w:rPr>
              <w:instrText xml:space="preserve"> PAGEREF _Toc48565932 \h </w:instrText>
            </w:r>
            <w:r w:rsidR="00222E8B">
              <w:rPr>
                <w:noProof/>
                <w:webHidden/>
              </w:rPr>
            </w:r>
            <w:r w:rsidR="00222E8B">
              <w:rPr>
                <w:noProof/>
                <w:webHidden/>
              </w:rPr>
              <w:fldChar w:fldCharType="separate"/>
            </w:r>
            <w:r w:rsidR="00222E8B">
              <w:rPr>
                <w:noProof/>
                <w:webHidden/>
              </w:rPr>
              <w:t>7</w:t>
            </w:r>
            <w:r w:rsidR="00222E8B">
              <w:rPr>
                <w:noProof/>
                <w:webHidden/>
              </w:rPr>
              <w:fldChar w:fldCharType="end"/>
            </w:r>
          </w:hyperlink>
        </w:p>
        <w:p w14:paraId="5EBBAC2C" w14:textId="4E421C14" w:rsidR="00222E8B" w:rsidRDefault="002C171F">
          <w:pPr>
            <w:pStyle w:val="TOC2"/>
            <w:tabs>
              <w:tab w:val="left" w:pos="720"/>
              <w:tab w:val="right" w:leader="dot" w:pos="9350"/>
            </w:tabs>
            <w:rPr>
              <w:rFonts w:eastAsiaTheme="minorEastAsia" w:cstheme="minorBidi"/>
              <w:smallCaps w:val="0"/>
              <w:noProof/>
              <w:sz w:val="24"/>
              <w:szCs w:val="24"/>
              <w:lang w:val="en-GE"/>
            </w:rPr>
          </w:pPr>
          <w:hyperlink w:anchor="_Toc48565933" w:history="1">
            <w:r w:rsidR="00222E8B" w:rsidRPr="00542215">
              <w:rPr>
                <w:rStyle w:val="Hyperlink"/>
                <w:rFonts w:cs="Times New Roman"/>
                <w:noProof/>
                <w:lang w:val="en-GB"/>
              </w:rPr>
              <w:t>8.</w:t>
            </w:r>
            <w:r w:rsidR="00222E8B">
              <w:rPr>
                <w:rFonts w:eastAsiaTheme="minorEastAsia" w:cstheme="minorBidi"/>
                <w:smallCaps w:val="0"/>
                <w:noProof/>
                <w:sz w:val="24"/>
                <w:szCs w:val="24"/>
                <w:lang w:val="en-GE"/>
              </w:rPr>
              <w:tab/>
            </w:r>
            <w:r w:rsidR="00222E8B" w:rsidRPr="00542215">
              <w:rPr>
                <w:rStyle w:val="Hyperlink"/>
                <w:rFonts w:cs="Times New Roman"/>
                <w:noProof/>
                <w:lang w:val="en-GB"/>
              </w:rPr>
              <w:t>Juvenile Justice (Paragraph 16 of Committee recommendation)</w:t>
            </w:r>
            <w:r w:rsidR="00222E8B">
              <w:rPr>
                <w:noProof/>
                <w:webHidden/>
              </w:rPr>
              <w:tab/>
            </w:r>
            <w:r w:rsidR="00222E8B">
              <w:rPr>
                <w:noProof/>
                <w:webHidden/>
              </w:rPr>
              <w:fldChar w:fldCharType="begin"/>
            </w:r>
            <w:r w:rsidR="00222E8B">
              <w:rPr>
                <w:noProof/>
                <w:webHidden/>
              </w:rPr>
              <w:instrText xml:space="preserve"> PAGEREF _Toc48565933 \h </w:instrText>
            </w:r>
            <w:r w:rsidR="00222E8B">
              <w:rPr>
                <w:noProof/>
                <w:webHidden/>
              </w:rPr>
            </w:r>
            <w:r w:rsidR="00222E8B">
              <w:rPr>
                <w:noProof/>
                <w:webHidden/>
              </w:rPr>
              <w:fldChar w:fldCharType="separate"/>
            </w:r>
            <w:r w:rsidR="00222E8B">
              <w:rPr>
                <w:noProof/>
                <w:webHidden/>
              </w:rPr>
              <w:t>8</w:t>
            </w:r>
            <w:r w:rsidR="00222E8B">
              <w:rPr>
                <w:noProof/>
                <w:webHidden/>
              </w:rPr>
              <w:fldChar w:fldCharType="end"/>
            </w:r>
          </w:hyperlink>
        </w:p>
        <w:p w14:paraId="60C8F11E" w14:textId="690A949C" w:rsidR="00222E8B" w:rsidRDefault="002C171F">
          <w:pPr>
            <w:pStyle w:val="TOC2"/>
            <w:tabs>
              <w:tab w:val="left" w:pos="720"/>
              <w:tab w:val="right" w:leader="dot" w:pos="9350"/>
            </w:tabs>
            <w:rPr>
              <w:rFonts w:eastAsiaTheme="minorEastAsia" w:cstheme="minorBidi"/>
              <w:smallCaps w:val="0"/>
              <w:noProof/>
              <w:sz w:val="24"/>
              <w:szCs w:val="24"/>
              <w:lang w:val="en-GE"/>
            </w:rPr>
          </w:pPr>
          <w:hyperlink w:anchor="_Toc48565934" w:history="1">
            <w:r w:rsidR="00222E8B" w:rsidRPr="00542215">
              <w:rPr>
                <w:rStyle w:val="Hyperlink"/>
                <w:rFonts w:cs="Times New Roman"/>
                <w:noProof/>
                <w:lang w:val="en-GB"/>
              </w:rPr>
              <w:t>9.</w:t>
            </w:r>
            <w:r w:rsidR="00222E8B">
              <w:rPr>
                <w:rFonts w:eastAsiaTheme="minorEastAsia" w:cstheme="minorBidi"/>
                <w:smallCaps w:val="0"/>
                <w:noProof/>
                <w:sz w:val="24"/>
                <w:szCs w:val="24"/>
                <w:lang w:val="en-GE"/>
              </w:rPr>
              <w:tab/>
            </w:r>
            <w:r w:rsidR="00222E8B" w:rsidRPr="00542215">
              <w:rPr>
                <w:rStyle w:val="Hyperlink"/>
                <w:rFonts w:cs="Times New Roman"/>
                <w:noProof/>
              </w:rPr>
              <w:t>Internally Displaced Persons</w:t>
            </w:r>
            <w:r w:rsidR="00222E8B" w:rsidRPr="00542215">
              <w:rPr>
                <w:rStyle w:val="Hyperlink"/>
                <w:rFonts w:cs="Times New Roman"/>
                <w:noProof/>
                <w:lang w:val="ka-GE"/>
              </w:rPr>
              <w:t xml:space="preserve"> (</w:t>
            </w:r>
            <w:r w:rsidR="00222E8B" w:rsidRPr="00542215">
              <w:rPr>
                <w:rStyle w:val="Hyperlink"/>
                <w:rFonts w:cs="Times New Roman"/>
                <w:noProof/>
              </w:rPr>
              <w:t xml:space="preserve">IDPs) </w:t>
            </w:r>
            <w:r w:rsidR="00222E8B" w:rsidRPr="00542215">
              <w:rPr>
                <w:rStyle w:val="Hyperlink"/>
                <w:rFonts w:cs="Times New Roman"/>
                <w:noProof/>
                <w:lang w:val="en-GB"/>
              </w:rPr>
              <w:t xml:space="preserve"> (Paragraph 17 of Committee recommendation)</w:t>
            </w:r>
            <w:r w:rsidR="00222E8B">
              <w:rPr>
                <w:noProof/>
                <w:webHidden/>
              </w:rPr>
              <w:tab/>
            </w:r>
            <w:r w:rsidR="00222E8B">
              <w:rPr>
                <w:noProof/>
                <w:webHidden/>
              </w:rPr>
              <w:fldChar w:fldCharType="begin"/>
            </w:r>
            <w:r w:rsidR="00222E8B">
              <w:rPr>
                <w:noProof/>
                <w:webHidden/>
              </w:rPr>
              <w:instrText xml:space="preserve"> PAGEREF _Toc48565934 \h </w:instrText>
            </w:r>
            <w:r w:rsidR="00222E8B">
              <w:rPr>
                <w:noProof/>
                <w:webHidden/>
              </w:rPr>
            </w:r>
            <w:r w:rsidR="00222E8B">
              <w:rPr>
                <w:noProof/>
                <w:webHidden/>
              </w:rPr>
              <w:fldChar w:fldCharType="separate"/>
            </w:r>
            <w:r w:rsidR="00222E8B">
              <w:rPr>
                <w:noProof/>
                <w:webHidden/>
              </w:rPr>
              <w:t>9</w:t>
            </w:r>
            <w:r w:rsidR="00222E8B">
              <w:rPr>
                <w:noProof/>
                <w:webHidden/>
              </w:rPr>
              <w:fldChar w:fldCharType="end"/>
            </w:r>
          </w:hyperlink>
        </w:p>
        <w:p w14:paraId="17D703A3" w14:textId="347CC966" w:rsidR="00222E8B" w:rsidRDefault="002C171F">
          <w:pPr>
            <w:pStyle w:val="TOC2"/>
            <w:tabs>
              <w:tab w:val="left" w:pos="960"/>
              <w:tab w:val="right" w:leader="dot" w:pos="9350"/>
            </w:tabs>
            <w:rPr>
              <w:rFonts w:eastAsiaTheme="minorEastAsia" w:cstheme="minorBidi"/>
              <w:smallCaps w:val="0"/>
              <w:noProof/>
              <w:sz w:val="24"/>
              <w:szCs w:val="24"/>
              <w:lang w:val="en-GE"/>
            </w:rPr>
          </w:pPr>
          <w:hyperlink w:anchor="_Toc48565935" w:history="1">
            <w:r w:rsidR="00222E8B" w:rsidRPr="00542215">
              <w:rPr>
                <w:rStyle w:val="Hyperlink"/>
                <w:rFonts w:cs="Times New Roman"/>
                <w:noProof/>
              </w:rPr>
              <w:t>10.</w:t>
            </w:r>
            <w:r w:rsidR="00222E8B">
              <w:rPr>
                <w:rFonts w:eastAsiaTheme="minorEastAsia" w:cstheme="minorBidi"/>
                <w:smallCaps w:val="0"/>
                <w:noProof/>
                <w:sz w:val="24"/>
                <w:szCs w:val="24"/>
                <w:lang w:val="en-GE"/>
              </w:rPr>
              <w:tab/>
            </w:r>
            <w:r w:rsidR="00222E8B" w:rsidRPr="00542215">
              <w:rPr>
                <w:rStyle w:val="Hyperlink"/>
                <w:rFonts w:cs="Times New Roman"/>
                <w:noProof/>
              </w:rPr>
              <w:t>Freedom of Religious Belief (Paragraph 18 of Committee recommendation)</w:t>
            </w:r>
            <w:r w:rsidR="00222E8B">
              <w:rPr>
                <w:noProof/>
                <w:webHidden/>
              </w:rPr>
              <w:tab/>
            </w:r>
            <w:r w:rsidR="00222E8B">
              <w:rPr>
                <w:noProof/>
                <w:webHidden/>
              </w:rPr>
              <w:fldChar w:fldCharType="begin"/>
            </w:r>
            <w:r w:rsidR="00222E8B">
              <w:rPr>
                <w:noProof/>
                <w:webHidden/>
              </w:rPr>
              <w:instrText xml:space="preserve"> PAGEREF _Toc48565935 \h </w:instrText>
            </w:r>
            <w:r w:rsidR="00222E8B">
              <w:rPr>
                <w:noProof/>
                <w:webHidden/>
              </w:rPr>
            </w:r>
            <w:r w:rsidR="00222E8B">
              <w:rPr>
                <w:noProof/>
                <w:webHidden/>
              </w:rPr>
              <w:fldChar w:fldCharType="separate"/>
            </w:r>
            <w:r w:rsidR="00222E8B">
              <w:rPr>
                <w:noProof/>
                <w:webHidden/>
              </w:rPr>
              <w:t>10</w:t>
            </w:r>
            <w:r w:rsidR="00222E8B">
              <w:rPr>
                <w:noProof/>
                <w:webHidden/>
              </w:rPr>
              <w:fldChar w:fldCharType="end"/>
            </w:r>
          </w:hyperlink>
        </w:p>
        <w:p w14:paraId="2EB341BB" w14:textId="1AFA1CDB" w:rsidR="00222E8B" w:rsidRDefault="002C171F">
          <w:pPr>
            <w:pStyle w:val="TOC2"/>
            <w:tabs>
              <w:tab w:val="left" w:pos="960"/>
              <w:tab w:val="right" w:leader="dot" w:pos="9350"/>
            </w:tabs>
            <w:rPr>
              <w:rFonts w:eastAsiaTheme="minorEastAsia" w:cstheme="minorBidi"/>
              <w:smallCaps w:val="0"/>
              <w:noProof/>
              <w:sz w:val="24"/>
              <w:szCs w:val="24"/>
              <w:lang w:val="en-GE"/>
            </w:rPr>
          </w:pPr>
          <w:hyperlink w:anchor="_Toc48565936" w:history="1">
            <w:r w:rsidR="00222E8B" w:rsidRPr="00542215">
              <w:rPr>
                <w:rStyle w:val="Hyperlink"/>
                <w:rFonts w:cs="Times New Roman"/>
                <w:noProof/>
                <w:lang w:val="en-GB"/>
              </w:rPr>
              <w:t>11.</w:t>
            </w:r>
            <w:r w:rsidR="00222E8B">
              <w:rPr>
                <w:rFonts w:eastAsiaTheme="minorEastAsia" w:cstheme="minorBidi"/>
                <w:smallCaps w:val="0"/>
                <w:noProof/>
                <w:sz w:val="24"/>
                <w:szCs w:val="24"/>
                <w:lang w:val="en-GE"/>
              </w:rPr>
              <w:tab/>
            </w:r>
            <w:r w:rsidR="00222E8B" w:rsidRPr="00542215">
              <w:rPr>
                <w:rStyle w:val="Hyperlink"/>
                <w:rFonts w:cs="Times New Roman"/>
                <w:noProof/>
              </w:rPr>
              <w:t>Rights of Minorities  (Paragraph 19 of Committee recommendation)</w:t>
            </w:r>
            <w:r w:rsidR="00222E8B">
              <w:rPr>
                <w:noProof/>
                <w:webHidden/>
              </w:rPr>
              <w:tab/>
            </w:r>
            <w:r w:rsidR="00222E8B">
              <w:rPr>
                <w:noProof/>
                <w:webHidden/>
              </w:rPr>
              <w:fldChar w:fldCharType="begin"/>
            </w:r>
            <w:r w:rsidR="00222E8B">
              <w:rPr>
                <w:noProof/>
                <w:webHidden/>
              </w:rPr>
              <w:instrText xml:space="preserve"> PAGEREF _Toc48565936 \h </w:instrText>
            </w:r>
            <w:r w:rsidR="00222E8B">
              <w:rPr>
                <w:noProof/>
                <w:webHidden/>
              </w:rPr>
            </w:r>
            <w:r w:rsidR="00222E8B">
              <w:rPr>
                <w:noProof/>
                <w:webHidden/>
              </w:rPr>
              <w:fldChar w:fldCharType="separate"/>
            </w:r>
            <w:r w:rsidR="00222E8B">
              <w:rPr>
                <w:noProof/>
                <w:webHidden/>
              </w:rPr>
              <w:t>10</w:t>
            </w:r>
            <w:r w:rsidR="00222E8B">
              <w:rPr>
                <w:noProof/>
                <w:webHidden/>
              </w:rPr>
              <w:fldChar w:fldCharType="end"/>
            </w:r>
          </w:hyperlink>
        </w:p>
        <w:p w14:paraId="2DED81A5" w14:textId="4564DCD7" w:rsidR="00222E8B" w:rsidRDefault="002C171F">
          <w:pPr>
            <w:pStyle w:val="TOC1"/>
            <w:tabs>
              <w:tab w:val="left" w:pos="480"/>
              <w:tab w:val="right" w:leader="dot" w:pos="9350"/>
            </w:tabs>
            <w:rPr>
              <w:rFonts w:eastAsiaTheme="minorEastAsia" w:cstheme="minorBidi"/>
              <w:b w:val="0"/>
              <w:bCs w:val="0"/>
              <w:caps w:val="0"/>
              <w:noProof/>
              <w:sz w:val="24"/>
              <w:szCs w:val="24"/>
              <w:lang w:val="en-GE"/>
            </w:rPr>
          </w:pPr>
          <w:hyperlink w:anchor="_Toc48565937" w:history="1">
            <w:r w:rsidR="00222E8B" w:rsidRPr="00542215">
              <w:rPr>
                <w:rStyle w:val="Hyperlink"/>
                <w:rFonts w:cs="Times New Roman"/>
                <w:noProof/>
                <w:lang w:val="en-GB"/>
              </w:rPr>
              <w:t>II.</w:t>
            </w:r>
            <w:r w:rsidR="00222E8B">
              <w:rPr>
                <w:rFonts w:eastAsiaTheme="minorEastAsia" w:cstheme="minorBidi"/>
                <w:b w:val="0"/>
                <w:bCs w:val="0"/>
                <w:caps w:val="0"/>
                <w:noProof/>
                <w:sz w:val="24"/>
                <w:szCs w:val="24"/>
                <w:lang w:val="en-GE"/>
              </w:rPr>
              <w:tab/>
            </w:r>
            <w:r w:rsidR="00222E8B" w:rsidRPr="00542215">
              <w:rPr>
                <w:rStyle w:val="Hyperlink"/>
                <w:rFonts w:eastAsia="Times New Roman" w:cs="Times New Roman"/>
                <w:noProof/>
                <w:lang w:val="en-GB"/>
              </w:rPr>
              <w:t>Alternative Evaluation of Covenant’s Implementation</w:t>
            </w:r>
            <w:r w:rsidR="00222E8B">
              <w:rPr>
                <w:noProof/>
                <w:webHidden/>
              </w:rPr>
              <w:tab/>
            </w:r>
            <w:r w:rsidR="00222E8B">
              <w:rPr>
                <w:noProof/>
                <w:webHidden/>
              </w:rPr>
              <w:fldChar w:fldCharType="begin"/>
            </w:r>
            <w:r w:rsidR="00222E8B">
              <w:rPr>
                <w:noProof/>
                <w:webHidden/>
              </w:rPr>
              <w:instrText xml:space="preserve"> PAGEREF _Toc48565937 \h </w:instrText>
            </w:r>
            <w:r w:rsidR="00222E8B">
              <w:rPr>
                <w:noProof/>
                <w:webHidden/>
              </w:rPr>
            </w:r>
            <w:r w:rsidR="00222E8B">
              <w:rPr>
                <w:noProof/>
                <w:webHidden/>
              </w:rPr>
              <w:fldChar w:fldCharType="separate"/>
            </w:r>
            <w:r w:rsidR="00222E8B">
              <w:rPr>
                <w:noProof/>
                <w:webHidden/>
              </w:rPr>
              <w:t>10</w:t>
            </w:r>
            <w:r w:rsidR="00222E8B">
              <w:rPr>
                <w:noProof/>
                <w:webHidden/>
              </w:rPr>
              <w:fldChar w:fldCharType="end"/>
            </w:r>
          </w:hyperlink>
        </w:p>
        <w:p w14:paraId="0B936133" w14:textId="3AF67C69" w:rsidR="00222E8B" w:rsidRDefault="002C171F">
          <w:pPr>
            <w:pStyle w:val="TOC2"/>
            <w:tabs>
              <w:tab w:val="left" w:pos="720"/>
              <w:tab w:val="right" w:leader="dot" w:pos="9350"/>
            </w:tabs>
            <w:rPr>
              <w:rFonts w:eastAsiaTheme="minorEastAsia" w:cstheme="minorBidi"/>
              <w:smallCaps w:val="0"/>
              <w:noProof/>
              <w:sz w:val="24"/>
              <w:szCs w:val="24"/>
              <w:lang w:val="en-GE"/>
            </w:rPr>
          </w:pPr>
          <w:hyperlink w:anchor="_Toc48565938" w:history="1">
            <w:r w:rsidR="00222E8B" w:rsidRPr="00542215">
              <w:rPr>
                <w:rStyle w:val="Hyperlink"/>
                <w:rFonts w:cs="Times New Roman"/>
                <w:b/>
                <w:bCs/>
                <w:noProof/>
                <w:lang w:val="en-GB"/>
              </w:rPr>
              <w:t>1.</w:t>
            </w:r>
            <w:r w:rsidR="00222E8B">
              <w:rPr>
                <w:rFonts w:eastAsiaTheme="minorEastAsia" w:cstheme="minorBidi"/>
                <w:smallCaps w:val="0"/>
                <w:noProof/>
                <w:sz w:val="24"/>
                <w:szCs w:val="24"/>
                <w:lang w:val="en-GE"/>
              </w:rPr>
              <w:tab/>
            </w:r>
            <w:r w:rsidR="00222E8B" w:rsidRPr="00542215">
              <w:rPr>
                <w:rStyle w:val="Hyperlink"/>
                <w:rFonts w:cs="Times New Roman"/>
                <w:noProof/>
              </w:rPr>
              <w:t>Article 2: Anti-discrimination Legislation, Constitutional and Legal Framework, and Access to Legal Remedies</w:t>
            </w:r>
            <w:r w:rsidR="00222E8B">
              <w:rPr>
                <w:noProof/>
                <w:webHidden/>
              </w:rPr>
              <w:tab/>
            </w:r>
            <w:r w:rsidR="00222E8B">
              <w:rPr>
                <w:noProof/>
                <w:webHidden/>
              </w:rPr>
              <w:fldChar w:fldCharType="begin"/>
            </w:r>
            <w:r w:rsidR="00222E8B">
              <w:rPr>
                <w:noProof/>
                <w:webHidden/>
              </w:rPr>
              <w:instrText xml:space="preserve"> PAGEREF _Toc48565938 \h </w:instrText>
            </w:r>
            <w:r w:rsidR="00222E8B">
              <w:rPr>
                <w:noProof/>
                <w:webHidden/>
              </w:rPr>
            </w:r>
            <w:r w:rsidR="00222E8B">
              <w:rPr>
                <w:noProof/>
                <w:webHidden/>
              </w:rPr>
              <w:fldChar w:fldCharType="separate"/>
            </w:r>
            <w:r w:rsidR="00222E8B">
              <w:rPr>
                <w:noProof/>
                <w:webHidden/>
              </w:rPr>
              <w:t>10</w:t>
            </w:r>
            <w:r w:rsidR="00222E8B">
              <w:rPr>
                <w:noProof/>
                <w:webHidden/>
              </w:rPr>
              <w:fldChar w:fldCharType="end"/>
            </w:r>
          </w:hyperlink>
        </w:p>
        <w:p w14:paraId="3004953B" w14:textId="17B95B67" w:rsidR="00222E8B" w:rsidRDefault="002C171F">
          <w:pPr>
            <w:pStyle w:val="TOC2"/>
            <w:tabs>
              <w:tab w:val="left" w:pos="720"/>
              <w:tab w:val="right" w:leader="dot" w:pos="9350"/>
            </w:tabs>
            <w:rPr>
              <w:rFonts w:eastAsiaTheme="minorEastAsia" w:cstheme="minorBidi"/>
              <w:smallCaps w:val="0"/>
              <w:noProof/>
              <w:sz w:val="24"/>
              <w:szCs w:val="24"/>
              <w:lang w:val="en-GE"/>
            </w:rPr>
          </w:pPr>
          <w:hyperlink w:anchor="_Toc48565939" w:history="1">
            <w:r w:rsidR="00222E8B" w:rsidRPr="00542215">
              <w:rPr>
                <w:rStyle w:val="Hyperlink"/>
                <w:rFonts w:cs="Sylfaen"/>
                <w:b/>
                <w:bCs/>
                <w:noProof/>
                <w:lang w:val="en-GB"/>
              </w:rPr>
              <w:t>2.</w:t>
            </w:r>
            <w:r w:rsidR="00222E8B">
              <w:rPr>
                <w:rFonts w:eastAsiaTheme="minorEastAsia" w:cstheme="minorBidi"/>
                <w:smallCaps w:val="0"/>
                <w:noProof/>
                <w:sz w:val="24"/>
                <w:szCs w:val="24"/>
                <w:lang w:val="en-GE"/>
              </w:rPr>
              <w:tab/>
            </w:r>
            <w:r w:rsidR="00222E8B" w:rsidRPr="00542215">
              <w:rPr>
                <w:rStyle w:val="Hyperlink"/>
                <w:rFonts w:cs="Sylfaen"/>
                <w:noProof/>
                <w:lang w:val="en-GB"/>
              </w:rPr>
              <w:t>Article 3: Gender Equality</w:t>
            </w:r>
            <w:r w:rsidR="00222E8B">
              <w:rPr>
                <w:noProof/>
                <w:webHidden/>
              </w:rPr>
              <w:tab/>
            </w:r>
            <w:r w:rsidR="00222E8B">
              <w:rPr>
                <w:noProof/>
                <w:webHidden/>
              </w:rPr>
              <w:fldChar w:fldCharType="begin"/>
            </w:r>
            <w:r w:rsidR="00222E8B">
              <w:rPr>
                <w:noProof/>
                <w:webHidden/>
              </w:rPr>
              <w:instrText xml:space="preserve"> PAGEREF _Toc48565939 \h </w:instrText>
            </w:r>
            <w:r w:rsidR="00222E8B">
              <w:rPr>
                <w:noProof/>
                <w:webHidden/>
              </w:rPr>
            </w:r>
            <w:r w:rsidR="00222E8B">
              <w:rPr>
                <w:noProof/>
                <w:webHidden/>
              </w:rPr>
              <w:fldChar w:fldCharType="separate"/>
            </w:r>
            <w:r w:rsidR="00222E8B">
              <w:rPr>
                <w:noProof/>
                <w:webHidden/>
              </w:rPr>
              <w:t>11</w:t>
            </w:r>
            <w:r w:rsidR="00222E8B">
              <w:rPr>
                <w:noProof/>
                <w:webHidden/>
              </w:rPr>
              <w:fldChar w:fldCharType="end"/>
            </w:r>
          </w:hyperlink>
        </w:p>
        <w:p w14:paraId="3ADDB8A6" w14:textId="731CE523" w:rsidR="00222E8B" w:rsidRDefault="002C171F">
          <w:pPr>
            <w:pStyle w:val="TOC2"/>
            <w:tabs>
              <w:tab w:val="left" w:pos="720"/>
              <w:tab w:val="right" w:leader="dot" w:pos="9350"/>
            </w:tabs>
            <w:rPr>
              <w:rFonts w:eastAsiaTheme="minorEastAsia" w:cstheme="minorBidi"/>
              <w:smallCaps w:val="0"/>
              <w:noProof/>
              <w:sz w:val="24"/>
              <w:szCs w:val="24"/>
              <w:lang w:val="en-GE"/>
            </w:rPr>
          </w:pPr>
          <w:hyperlink w:anchor="_Toc48565940" w:history="1">
            <w:r w:rsidR="00222E8B" w:rsidRPr="00542215">
              <w:rPr>
                <w:rStyle w:val="Hyperlink"/>
                <w:rFonts w:cs="Sylfaen"/>
                <w:b/>
                <w:bCs/>
                <w:noProof/>
                <w:lang w:val="en-GB"/>
              </w:rPr>
              <w:t>3.</w:t>
            </w:r>
            <w:r w:rsidR="00222E8B">
              <w:rPr>
                <w:rFonts w:eastAsiaTheme="minorEastAsia" w:cstheme="minorBidi"/>
                <w:smallCaps w:val="0"/>
                <w:noProof/>
                <w:sz w:val="24"/>
                <w:szCs w:val="24"/>
                <w:lang w:val="en-GE"/>
              </w:rPr>
              <w:tab/>
            </w:r>
            <w:r w:rsidR="00222E8B" w:rsidRPr="00542215">
              <w:rPr>
                <w:rStyle w:val="Hyperlink"/>
                <w:rFonts w:cs="Sylfaen"/>
                <w:noProof/>
                <w:lang w:val="en-GB"/>
              </w:rPr>
              <w:t>Article 6: Right to life</w:t>
            </w:r>
            <w:r w:rsidR="00222E8B">
              <w:rPr>
                <w:noProof/>
                <w:webHidden/>
              </w:rPr>
              <w:tab/>
            </w:r>
            <w:r w:rsidR="00222E8B">
              <w:rPr>
                <w:noProof/>
                <w:webHidden/>
              </w:rPr>
              <w:fldChar w:fldCharType="begin"/>
            </w:r>
            <w:r w:rsidR="00222E8B">
              <w:rPr>
                <w:noProof/>
                <w:webHidden/>
              </w:rPr>
              <w:instrText xml:space="preserve"> PAGEREF _Toc48565940 \h </w:instrText>
            </w:r>
            <w:r w:rsidR="00222E8B">
              <w:rPr>
                <w:noProof/>
                <w:webHidden/>
              </w:rPr>
            </w:r>
            <w:r w:rsidR="00222E8B">
              <w:rPr>
                <w:noProof/>
                <w:webHidden/>
              </w:rPr>
              <w:fldChar w:fldCharType="separate"/>
            </w:r>
            <w:r w:rsidR="00222E8B">
              <w:rPr>
                <w:noProof/>
                <w:webHidden/>
              </w:rPr>
              <w:t>12</w:t>
            </w:r>
            <w:r w:rsidR="00222E8B">
              <w:rPr>
                <w:noProof/>
                <w:webHidden/>
              </w:rPr>
              <w:fldChar w:fldCharType="end"/>
            </w:r>
          </w:hyperlink>
        </w:p>
        <w:p w14:paraId="67018554" w14:textId="71E5D846" w:rsidR="00222E8B" w:rsidRDefault="002C171F">
          <w:pPr>
            <w:pStyle w:val="TOC2"/>
            <w:tabs>
              <w:tab w:val="left" w:pos="720"/>
              <w:tab w:val="right" w:leader="dot" w:pos="9350"/>
            </w:tabs>
            <w:rPr>
              <w:rFonts w:eastAsiaTheme="minorEastAsia" w:cstheme="minorBidi"/>
              <w:smallCaps w:val="0"/>
              <w:noProof/>
              <w:sz w:val="24"/>
              <w:szCs w:val="24"/>
              <w:lang w:val="en-GE"/>
            </w:rPr>
          </w:pPr>
          <w:hyperlink w:anchor="_Toc48565941" w:history="1">
            <w:r w:rsidR="00222E8B" w:rsidRPr="00542215">
              <w:rPr>
                <w:rStyle w:val="Hyperlink"/>
                <w:rFonts w:cs="Sylfaen"/>
                <w:b/>
                <w:bCs/>
                <w:noProof/>
                <w:lang w:val="en-GB"/>
              </w:rPr>
              <w:t>4.</w:t>
            </w:r>
            <w:r w:rsidR="00222E8B">
              <w:rPr>
                <w:rFonts w:eastAsiaTheme="minorEastAsia" w:cstheme="minorBidi"/>
                <w:smallCaps w:val="0"/>
                <w:noProof/>
                <w:sz w:val="24"/>
                <w:szCs w:val="24"/>
                <w:lang w:val="en-GE"/>
              </w:rPr>
              <w:tab/>
            </w:r>
            <w:r w:rsidR="00222E8B" w:rsidRPr="00542215">
              <w:rPr>
                <w:rStyle w:val="Hyperlink"/>
                <w:rFonts w:cs="Sylfaen"/>
                <w:noProof/>
                <w:lang w:val="en-GB"/>
              </w:rPr>
              <w:t>Article 7: Prohibition of Torture</w:t>
            </w:r>
            <w:r w:rsidR="00222E8B">
              <w:rPr>
                <w:noProof/>
                <w:webHidden/>
              </w:rPr>
              <w:tab/>
            </w:r>
            <w:r w:rsidR="00222E8B">
              <w:rPr>
                <w:noProof/>
                <w:webHidden/>
              </w:rPr>
              <w:fldChar w:fldCharType="begin"/>
            </w:r>
            <w:r w:rsidR="00222E8B">
              <w:rPr>
                <w:noProof/>
                <w:webHidden/>
              </w:rPr>
              <w:instrText xml:space="preserve"> PAGEREF _Toc48565941 \h </w:instrText>
            </w:r>
            <w:r w:rsidR="00222E8B">
              <w:rPr>
                <w:noProof/>
                <w:webHidden/>
              </w:rPr>
            </w:r>
            <w:r w:rsidR="00222E8B">
              <w:rPr>
                <w:noProof/>
                <w:webHidden/>
              </w:rPr>
              <w:fldChar w:fldCharType="separate"/>
            </w:r>
            <w:r w:rsidR="00222E8B">
              <w:rPr>
                <w:noProof/>
                <w:webHidden/>
              </w:rPr>
              <w:t>14</w:t>
            </w:r>
            <w:r w:rsidR="00222E8B">
              <w:rPr>
                <w:noProof/>
                <w:webHidden/>
              </w:rPr>
              <w:fldChar w:fldCharType="end"/>
            </w:r>
          </w:hyperlink>
        </w:p>
        <w:p w14:paraId="4064DD3A" w14:textId="5F4D9E74" w:rsidR="00222E8B" w:rsidRDefault="002C171F">
          <w:pPr>
            <w:pStyle w:val="TOC2"/>
            <w:tabs>
              <w:tab w:val="left" w:pos="720"/>
              <w:tab w:val="right" w:leader="dot" w:pos="9350"/>
            </w:tabs>
            <w:rPr>
              <w:rFonts w:eastAsiaTheme="minorEastAsia" w:cstheme="minorBidi"/>
              <w:smallCaps w:val="0"/>
              <w:noProof/>
              <w:sz w:val="24"/>
              <w:szCs w:val="24"/>
              <w:lang w:val="en-GE"/>
            </w:rPr>
          </w:pPr>
          <w:hyperlink w:anchor="_Toc48565942" w:history="1">
            <w:r w:rsidR="00222E8B" w:rsidRPr="00542215">
              <w:rPr>
                <w:rStyle w:val="Hyperlink"/>
                <w:rFonts w:cs="Sylfaen"/>
                <w:b/>
                <w:bCs/>
                <w:noProof/>
                <w:lang w:val="en-GB"/>
              </w:rPr>
              <w:t>5.</w:t>
            </w:r>
            <w:r w:rsidR="00222E8B">
              <w:rPr>
                <w:rFonts w:eastAsiaTheme="minorEastAsia" w:cstheme="minorBidi"/>
                <w:smallCaps w:val="0"/>
                <w:noProof/>
                <w:sz w:val="24"/>
                <w:szCs w:val="24"/>
                <w:lang w:val="en-GE"/>
              </w:rPr>
              <w:tab/>
            </w:r>
            <w:r w:rsidR="00222E8B" w:rsidRPr="00542215">
              <w:rPr>
                <w:rStyle w:val="Hyperlink"/>
                <w:rFonts w:cs="Sylfaen"/>
                <w:noProof/>
                <w:lang w:val="en-GB"/>
              </w:rPr>
              <w:t>Article 8: Prohibition of Slavery</w:t>
            </w:r>
            <w:r w:rsidR="00222E8B">
              <w:rPr>
                <w:noProof/>
                <w:webHidden/>
              </w:rPr>
              <w:tab/>
            </w:r>
            <w:r w:rsidR="00222E8B">
              <w:rPr>
                <w:noProof/>
                <w:webHidden/>
              </w:rPr>
              <w:fldChar w:fldCharType="begin"/>
            </w:r>
            <w:r w:rsidR="00222E8B">
              <w:rPr>
                <w:noProof/>
                <w:webHidden/>
              </w:rPr>
              <w:instrText xml:space="preserve"> PAGEREF _Toc48565942 \h </w:instrText>
            </w:r>
            <w:r w:rsidR="00222E8B">
              <w:rPr>
                <w:noProof/>
                <w:webHidden/>
              </w:rPr>
            </w:r>
            <w:r w:rsidR="00222E8B">
              <w:rPr>
                <w:noProof/>
                <w:webHidden/>
              </w:rPr>
              <w:fldChar w:fldCharType="separate"/>
            </w:r>
            <w:r w:rsidR="00222E8B">
              <w:rPr>
                <w:noProof/>
                <w:webHidden/>
              </w:rPr>
              <w:t>17</w:t>
            </w:r>
            <w:r w:rsidR="00222E8B">
              <w:rPr>
                <w:noProof/>
                <w:webHidden/>
              </w:rPr>
              <w:fldChar w:fldCharType="end"/>
            </w:r>
          </w:hyperlink>
        </w:p>
        <w:p w14:paraId="7887E19E" w14:textId="06DDB3C3" w:rsidR="00222E8B" w:rsidRDefault="002C171F">
          <w:pPr>
            <w:pStyle w:val="TOC2"/>
            <w:tabs>
              <w:tab w:val="left" w:pos="720"/>
              <w:tab w:val="right" w:leader="dot" w:pos="9350"/>
            </w:tabs>
            <w:rPr>
              <w:rFonts w:eastAsiaTheme="minorEastAsia" w:cstheme="minorBidi"/>
              <w:smallCaps w:val="0"/>
              <w:noProof/>
              <w:sz w:val="24"/>
              <w:szCs w:val="24"/>
              <w:lang w:val="en-GE"/>
            </w:rPr>
          </w:pPr>
          <w:hyperlink w:anchor="_Toc48565943" w:history="1">
            <w:r w:rsidR="00222E8B" w:rsidRPr="00542215">
              <w:rPr>
                <w:rStyle w:val="Hyperlink"/>
                <w:rFonts w:eastAsia="Times New Roman" w:cs="Times New Roman"/>
                <w:b/>
                <w:bCs/>
                <w:noProof/>
                <w:lang w:val="en-GB"/>
              </w:rPr>
              <w:t>6.</w:t>
            </w:r>
            <w:r w:rsidR="00222E8B">
              <w:rPr>
                <w:rFonts w:eastAsiaTheme="minorEastAsia" w:cstheme="minorBidi"/>
                <w:smallCaps w:val="0"/>
                <w:noProof/>
                <w:sz w:val="24"/>
                <w:szCs w:val="24"/>
                <w:lang w:val="en-GE"/>
              </w:rPr>
              <w:tab/>
            </w:r>
            <w:r w:rsidR="00222E8B" w:rsidRPr="00542215">
              <w:rPr>
                <w:rStyle w:val="Hyperlink"/>
                <w:rFonts w:cs="Sylfaen"/>
                <w:noProof/>
                <w:lang w:val="en-GB"/>
              </w:rPr>
              <w:t>Article 9: Right to liberty and Security /Prohibition of Arbitrary Detention</w:t>
            </w:r>
            <w:r w:rsidR="00222E8B">
              <w:rPr>
                <w:noProof/>
                <w:webHidden/>
              </w:rPr>
              <w:tab/>
            </w:r>
            <w:r w:rsidR="00222E8B">
              <w:rPr>
                <w:noProof/>
                <w:webHidden/>
              </w:rPr>
              <w:fldChar w:fldCharType="begin"/>
            </w:r>
            <w:r w:rsidR="00222E8B">
              <w:rPr>
                <w:noProof/>
                <w:webHidden/>
              </w:rPr>
              <w:instrText xml:space="preserve"> PAGEREF _Toc48565943 \h </w:instrText>
            </w:r>
            <w:r w:rsidR="00222E8B">
              <w:rPr>
                <w:noProof/>
                <w:webHidden/>
              </w:rPr>
            </w:r>
            <w:r w:rsidR="00222E8B">
              <w:rPr>
                <w:noProof/>
                <w:webHidden/>
              </w:rPr>
              <w:fldChar w:fldCharType="separate"/>
            </w:r>
            <w:r w:rsidR="00222E8B">
              <w:rPr>
                <w:noProof/>
                <w:webHidden/>
              </w:rPr>
              <w:t>17</w:t>
            </w:r>
            <w:r w:rsidR="00222E8B">
              <w:rPr>
                <w:noProof/>
                <w:webHidden/>
              </w:rPr>
              <w:fldChar w:fldCharType="end"/>
            </w:r>
          </w:hyperlink>
        </w:p>
        <w:p w14:paraId="0FE76BA7" w14:textId="3C24B5AE" w:rsidR="00222E8B" w:rsidRDefault="002C171F">
          <w:pPr>
            <w:pStyle w:val="TOC2"/>
            <w:tabs>
              <w:tab w:val="left" w:pos="720"/>
              <w:tab w:val="right" w:leader="dot" w:pos="9350"/>
            </w:tabs>
            <w:rPr>
              <w:rFonts w:eastAsiaTheme="minorEastAsia" w:cstheme="minorBidi"/>
              <w:smallCaps w:val="0"/>
              <w:noProof/>
              <w:sz w:val="24"/>
              <w:szCs w:val="24"/>
              <w:lang w:val="en-GE"/>
            </w:rPr>
          </w:pPr>
          <w:hyperlink w:anchor="_Toc48565944" w:history="1">
            <w:r w:rsidR="00222E8B" w:rsidRPr="00542215">
              <w:rPr>
                <w:rStyle w:val="Hyperlink"/>
                <w:rFonts w:cs="Sylfaen"/>
                <w:b/>
                <w:bCs/>
                <w:noProof/>
                <w:lang w:val="en-GB"/>
              </w:rPr>
              <w:t>7.</w:t>
            </w:r>
            <w:r w:rsidR="00222E8B">
              <w:rPr>
                <w:rFonts w:eastAsiaTheme="minorEastAsia" w:cstheme="minorBidi"/>
                <w:smallCaps w:val="0"/>
                <w:noProof/>
                <w:sz w:val="24"/>
                <w:szCs w:val="24"/>
                <w:lang w:val="en-GE"/>
              </w:rPr>
              <w:tab/>
            </w:r>
            <w:r w:rsidR="00222E8B" w:rsidRPr="00542215">
              <w:rPr>
                <w:rStyle w:val="Hyperlink"/>
                <w:rFonts w:cs="Sylfaen"/>
                <w:noProof/>
                <w:lang w:val="en-GB"/>
              </w:rPr>
              <w:t>Article 12: Freedom of Movement</w:t>
            </w:r>
            <w:r w:rsidR="00222E8B">
              <w:rPr>
                <w:noProof/>
                <w:webHidden/>
              </w:rPr>
              <w:tab/>
            </w:r>
            <w:r w:rsidR="00222E8B">
              <w:rPr>
                <w:noProof/>
                <w:webHidden/>
              </w:rPr>
              <w:fldChar w:fldCharType="begin"/>
            </w:r>
            <w:r w:rsidR="00222E8B">
              <w:rPr>
                <w:noProof/>
                <w:webHidden/>
              </w:rPr>
              <w:instrText xml:space="preserve"> PAGEREF _Toc48565944 \h </w:instrText>
            </w:r>
            <w:r w:rsidR="00222E8B">
              <w:rPr>
                <w:noProof/>
                <w:webHidden/>
              </w:rPr>
            </w:r>
            <w:r w:rsidR="00222E8B">
              <w:rPr>
                <w:noProof/>
                <w:webHidden/>
              </w:rPr>
              <w:fldChar w:fldCharType="separate"/>
            </w:r>
            <w:r w:rsidR="00222E8B">
              <w:rPr>
                <w:noProof/>
                <w:webHidden/>
              </w:rPr>
              <w:t>20</w:t>
            </w:r>
            <w:r w:rsidR="00222E8B">
              <w:rPr>
                <w:noProof/>
                <w:webHidden/>
              </w:rPr>
              <w:fldChar w:fldCharType="end"/>
            </w:r>
          </w:hyperlink>
        </w:p>
        <w:p w14:paraId="3C19A5E2" w14:textId="7A920784" w:rsidR="00222E8B" w:rsidRDefault="002C171F">
          <w:pPr>
            <w:pStyle w:val="TOC2"/>
            <w:tabs>
              <w:tab w:val="left" w:pos="720"/>
              <w:tab w:val="right" w:leader="dot" w:pos="9350"/>
            </w:tabs>
            <w:rPr>
              <w:rFonts w:eastAsiaTheme="minorEastAsia" w:cstheme="minorBidi"/>
              <w:smallCaps w:val="0"/>
              <w:noProof/>
              <w:sz w:val="24"/>
              <w:szCs w:val="24"/>
              <w:lang w:val="en-GE"/>
            </w:rPr>
          </w:pPr>
          <w:hyperlink w:anchor="_Toc48565945" w:history="1">
            <w:r w:rsidR="00222E8B" w:rsidRPr="00542215">
              <w:rPr>
                <w:rStyle w:val="Hyperlink"/>
                <w:rFonts w:cs="Sylfaen"/>
                <w:b/>
                <w:bCs/>
                <w:noProof/>
                <w:lang w:val="en-GB"/>
              </w:rPr>
              <w:t>8.</w:t>
            </w:r>
            <w:r w:rsidR="00222E8B">
              <w:rPr>
                <w:rFonts w:eastAsiaTheme="minorEastAsia" w:cstheme="minorBidi"/>
                <w:smallCaps w:val="0"/>
                <w:noProof/>
                <w:sz w:val="24"/>
                <w:szCs w:val="24"/>
                <w:lang w:val="en-GE"/>
              </w:rPr>
              <w:tab/>
            </w:r>
            <w:r w:rsidR="00222E8B" w:rsidRPr="00542215">
              <w:rPr>
                <w:rStyle w:val="Hyperlink"/>
                <w:rFonts w:cs="Sylfaen"/>
                <w:noProof/>
                <w:lang w:val="en-GB"/>
              </w:rPr>
              <w:t>Article 13: Right to remain in a State</w:t>
            </w:r>
            <w:r w:rsidR="00222E8B">
              <w:rPr>
                <w:noProof/>
                <w:webHidden/>
              </w:rPr>
              <w:tab/>
            </w:r>
            <w:r w:rsidR="00222E8B">
              <w:rPr>
                <w:noProof/>
                <w:webHidden/>
              </w:rPr>
              <w:fldChar w:fldCharType="begin"/>
            </w:r>
            <w:r w:rsidR="00222E8B">
              <w:rPr>
                <w:noProof/>
                <w:webHidden/>
              </w:rPr>
              <w:instrText xml:space="preserve"> PAGEREF _Toc48565945 \h </w:instrText>
            </w:r>
            <w:r w:rsidR="00222E8B">
              <w:rPr>
                <w:noProof/>
                <w:webHidden/>
              </w:rPr>
            </w:r>
            <w:r w:rsidR="00222E8B">
              <w:rPr>
                <w:noProof/>
                <w:webHidden/>
              </w:rPr>
              <w:fldChar w:fldCharType="separate"/>
            </w:r>
            <w:r w:rsidR="00222E8B">
              <w:rPr>
                <w:noProof/>
                <w:webHidden/>
              </w:rPr>
              <w:t>20</w:t>
            </w:r>
            <w:r w:rsidR="00222E8B">
              <w:rPr>
                <w:noProof/>
                <w:webHidden/>
              </w:rPr>
              <w:fldChar w:fldCharType="end"/>
            </w:r>
          </w:hyperlink>
        </w:p>
        <w:p w14:paraId="3EFD9C21" w14:textId="530FDF2F" w:rsidR="00222E8B" w:rsidRDefault="002C171F">
          <w:pPr>
            <w:pStyle w:val="TOC2"/>
            <w:tabs>
              <w:tab w:val="left" w:pos="720"/>
              <w:tab w:val="right" w:leader="dot" w:pos="9350"/>
            </w:tabs>
            <w:rPr>
              <w:rFonts w:eastAsiaTheme="minorEastAsia" w:cstheme="minorBidi"/>
              <w:smallCaps w:val="0"/>
              <w:noProof/>
              <w:sz w:val="24"/>
              <w:szCs w:val="24"/>
              <w:lang w:val="en-GE"/>
            </w:rPr>
          </w:pPr>
          <w:hyperlink w:anchor="_Toc48565946" w:history="1">
            <w:r w:rsidR="00222E8B" w:rsidRPr="00542215">
              <w:rPr>
                <w:rStyle w:val="Hyperlink"/>
                <w:rFonts w:cs="Sylfaen"/>
                <w:b/>
                <w:bCs/>
                <w:noProof/>
                <w:lang w:val="en-GB"/>
              </w:rPr>
              <w:t>9.</w:t>
            </w:r>
            <w:r w:rsidR="00222E8B">
              <w:rPr>
                <w:rFonts w:eastAsiaTheme="minorEastAsia" w:cstheme="minorBidi"/>
                <w:smallCaps w:val="0"/>
                <w:noProof/>
                <w:sz w:val="24"/>
                <w:szCs w:val="24"/>
                <w:lang w:val="en-GE"/>
              </w:rPr>
              <w:tab/>
            </w:r>
            <w:r w:rsidR="00222E8B" w:rsidRPr="00542215">
              <w:rPr>
                <w:rStyle w:val="Hyperlink"/>
                <w:rFonts w:cs="Sylfaen"/>
                <w:noProof/>
                <w:lang w:val="en-GB"/>
              </w:rPr>
              <w:t>Article 14: Rights to a fair trial</w:t>
            </w:r>
            <w:r w:rsidR="00222E8B">
              <w:rPr>
                <w:noProof/>
                <w:webHidden/>
              </w:rPr>
              <w:tab/>
            </w:r>
            <w:r w:rsidR="00222E8B">
              <w:rPr>
                <w:noProof/>
                <w:webHidden/>
              </w:rPr>
              <w:fldChar w:fldCharType="begin"/>
            </w:r>
            <w:r w:rsidR="00222E8B">
              <w:rPr>
                <w:noProof/>
                <w:webHidden/>
              </w:rPr>
              <w:instrText xml:space="preserve"> PAGEREF _Toc48565946 \h </w:instrText>
            </w:r>
            <w:r w:rsidR="00222E8B">
              <w:rPr>
                <w:noProof/>
                <w:webHidden/>
              </w:rPr>
            </w:r>
            <w:r w:rsidR="00222E8B">
              <w:rPr>
                <w:noProof/>
                <w:webHidden/>
              </w:rPr>
              <w:fldChar w:fldCharType="separate"/>
            </w:r>
            <w:r w:rsidR="00222E8B">
              <w:rPr>
                <w:noProof/>
                <w:webHidden/>
              </w:rPr>
              <w:t>21</w:t>
            </w:r>
            <w:r w:rsidR="00222E8B">
              <w:rPr>
                <w:noProof/>
                <w:webHidden/>
              </w:rPr>
              <w:fldChar w:fldCharType="end"/>
            </w:r>
          </w:hyperlink>
        </w:p>
        <w:p w14:paraId="225B6D57" w14:textId="29EFD035" w:rsidR="00222E8B" w:rsidRDefault="002C171F">
          <w:pPr>
            <w:pStyle w:val="TOC2"/>
            <w:tabs>
              <w:tab w:val="left" w:pos="960"/>
              <w:tab w:val="right" w:leader="dot" w:pos="9350"/>
            </w:tabs>
            <w:rPr>
              <w:rFonts w:eastAsiaTheme="minorEastAsia" w:cstheme="minorBidi"/>
              <w:smallCaps w:val="0"/>
              <w:noProof/>
              <w:sz w:val="24"/>
              <w:szCs w:val="24"/>
              <w:lang w:val="en-GE"/>
            </w:rPr>
          </w:pPr>
          <w:hyperlink w:anchor="_Toc48565947" w:history="1">
            <w:r w:rsidR="00222E8B" w:rsidRPr="00542215">
              <w:rPr>
                <w:rStyle w:val="Hyperlink"/>
                <w:rFonts w:cs="Sylfaen"/>
                <w:b/>
                <w:bCs/>
                <w:noProof/>
                <w:lang w:val="en-GB"/>
              </w:rPr>
              <w:t>10.</w:t>
            </w:r>
            <w:r w:rsidR="00222E8B">
              <w:rPr>
                <w:rFonts w:eastAsiaTheme="minorEastAsia" w:cstheme="minorBidi"/>
                <w:smallCaps w:val="0"/>
                <w:noProof/>
                <w:sz w:val="24"/>
                <w:szCs w:val="24"/>
                <w:lang w:val="en-GE"/>
              </w:rPr>
              <w:tab/>
            </w:r>
            <w:r w:rsidR="00222E8B" w:rsidRPr="00542215">
              <w:rPr>
                <w:rStyle w:val="Hyperlink"/>
                <w:rFonts w:cs="Sylfaen"/>
                <w:noProof/>
                <w:lang w:val="en-GB"/>
              </w:rPr>
              <w:t>Article 16: Recognition as a Person before the Law</w:t>
            </w:r>
            <w:r w:rsidR="00222E8B">
              <w:rPr>
                <w:noProof/>
                <w:webHidden/>
              </w:rPr>
              <w:tab/>
            </w:r>
            <w:r w:rsidR="00222E8B">
              <w:rPr>
                <w:noProof/>
                <w:webHidden/>
              </w:rPr>
              <w:fldChar w:fldCharType="begin"/>
            </w:r>
            <w:r w:rsidR="00222E8B">
              <w:rPr>
                <w:noProof/>
                <w:webHidden/>
              </w:rPr>
              <w:instrText xml:space="preserve"> PAGEREF _Toc48565947 \h </w:instrText>
            </w:r>
            <w:r w:rsidR="00222E8B">
              <w:rPr>
                <w:noProof/>
                <w:webHidden/>
              </w:rPr>
            </w:r>
            <w:r w:rsidR="00222E8B">
              <w:rPr>
                <w:noProof/>
                <w:webHidden/>
              </w:rPr>
              <w:fldChar w:fldCharType="separate"/>
            </w:r>
            <w:r w:rsidR="00222E8B">
              <w:rPr>
                <w:noProof/>
                <w:webHidden/>
              </w:rPr>
              <w:t>22</w:t>
            </w:r>
            <w:r w:rsidR="00222E8B">
              <w:rPr>
                <w:noProof/>
                <w:webHidden/>
              </w:rPr>
              <w:fldChar w:fldCharType="end"/>
            </w:r>
          </w:hyperlink>
        </w:p>
        <w:p w14:paraId="287E63CB" w14:textId="29B9409C" w:rsidR="00222E8B" w:rsidRDefault="002C171F">
          <w:pPr>
            <w:pStyle w:val="TOC2"/>
            <w:tabs>
              <w:tab w:val="left" w:pos="960"/>
              <w:tab w:val="right" w:leader="dot" w:pos="9350"/>
            </w:tabs>
            <w:rPr>
              <w:rFonts w:eastAsiaTheme="minorEastAsia" w:cstheme="minorBidi"/>
              <w:smallCaps w:val="0"/>
              <w:noProof/>
              <w:sz w:val="24"/>
              <w:szCs w:val="24"/>
              <w:lang w:val="en-GE"/>
            </w:rPr>
          </w:pPr>
          <w:hyperlink w:anchor="_Toc48565948" w:history="1">
            <w:r w:rsidR="00222E8B" w:rsidRPr="00542215">
              <w:rPr>
                <w:rStyle w:val="Hyperlink"/>
                <w:rFonts w:cs="Sylfaen"/>
                <w:b/>
                <w:bCs/>
                <w:noProof/>
                <w:lang w:val="en-GB"/>
              </w:rPr>
              <w:t>11.</w:t>
            </w:r>
            <w:r w:rsidR="00222E8B">
              <w:rPr>
                <w:rFonts w:eastAsiaTheme="minorEastAsia" w:cstheme="minorBidi"/>
                <w:smallCaps w:val="0"/>
                <w:noProof/>
                <w:sz w:val="24"/>
                <w:szCs w:val="24"/>
                <w:lang w:val="en-GE"/>
              </w:rPr>
              <w:tab/>
            </w:r>
            <w:r w:rsidR="00222E8B" w:rsidRPr="00542215">
              <w:rPr>
                <w:rStyle w:val="Hyperlink"/>
                <w:rFonts w:cs="Sylfaen"/>
                <w:noProof/>
                <w:lang w:val="en-GB"/>
              </w:rPr>
              <w:t>Article 17: Right to private life</w:t>
            </w:r>
            <w:r w:rsidR="00222E8B">
              <w:rPr>
                <w:noProof/>
                <w:webHidden/>
              </w:rPr>
              <w:tab/>
            </w:r>
            <w:r w:rsidR="00222E8B">
              <w:rPr>
                <w:noProof/>
                <w:webHidden/>
              </w:rPr>
              <w:fldChar w:fldCharType="begin"/>
            </w:r>
            <w:r w:rsidR="00222E8B">
              <w:rPr>
                <w:noProof/>
                <w:webHidden/>
              </w:rPr>
              <w:instrText xml:space="preserve"> PAGEREF _Toc48565948 \h </w:instrText>
            </w:r>
            <w:r w:rsidR="00222E8B">
              <w:rPr>
                <w:noProof/>
                <w:webHidden/>
              </w:rPr>
            </w:r>
            <w:r w:rsidR="00222E8B">
              <w:rPr>
                <w:noProof/>
                <w:webHidden/>
              </w:rPr>
              <w:fldChar w:fldCharType="separate"/>
            </w:r>
            <w:r w:rsidR="00222E8B">
              <w:rPr>
                <w:noProof/>
                <w:webHidden/>
              </w:rPr>
              <w:t>23</w:t>
            </w:r>
            <w:r w:rsidR="00222E8B">
              <w:rPr>
                <w:noProof/>
                <w:webHidden/>
              </w:rPr>
              <w:fldChar w:fldCharType="end"/>
            </w:r>
          </w:hyperlink>
        </w:p>
        <w:p w14:paraId="13C73DA3" w14:textId="4EFAFAB5" w:rsidR="00222E8B" w:rsidRDefault="002C171F">
          <w:pPr>
            <w:pStyle w:val="TOC2"/>
            <w:tabs>
              <w:tab w:val="left" w:pos="960"/>
              <w:tab w:val="right" w:leader="dot" w:pos="9350"/>
            </w:tabs>
            <w:rPr>
              <w:rFonts w:eastAsiaTheme="minorEastAsia" w:cstheme="minorBidi"/>
              <w:smallCaps w:val="0"/>
              <w:noProof/>
              <w:sz w:val="24"/>
              <w:szCs w:val="24"/>
              <w:lang w:val="en-GE"/>
            </w:rPr>
          </w:pPr>
          <w:hyperlink w:anchor="_Toc48565949" w:history="1">
            <w:r w:rsidR="00222E8B" w:rsidRPr="00542215">
              <w:rPr>
                <w:rStyle w:val="Hyperlink"/>
                <w:rFonts w:cs="Sylfaen"/>
                <w:b/>
                <w:bCs/>
                <w:noProof/>
                <w:lang w:val="en-GB"/>
              </w:rPr>
              <w:t>12.</w:t>
            </w:r>
            <w:r w:rsidR="00222E8B">
              <w:rPr>
                <w:rFonts w:eastAsiaTheme="minorEastAsia" w:cstheme="minorBidi"/>
                <w:smallCaps w:val="0"/>
                <w:noProof/>
                <w:sz w:val="24"/>
                <w:szCs w:val="24"/>
                <w:lang w:val="en-GE"/>
              </w:rPr>
              <w:tab/>
            </w:r>
            <w:r w:rsidR="00222E8B" w:rsidRPr="00542215">
              <w:rPr>
                <w:rStyle w:val="Hyperlink"/>
                <w:rFonts w:cs="Sylfaen"/>
                <w:noProof/>
                <w:lang w:val="en-GB"/>
              </w:rPr>
              <w:t>Article 18: Freedom of Religion</w:t>
            </w:r>
            <w:r w:rsidR="00222E8B">
              <w:rPr>
                <w:noProof/>
                <w:webHidden/>
              </w:rPr>
              <w:tab/>
            </w:r>
            <w:r w:rsidR="00222E8B">
              <w:rPr>
                <w:noProof/>
                <w:webHidden/>
              </w:rPr>
              <w:fldChar w:fldCharType="begin"/>
            </w:r>
            <w:r w:rsidR="00222E8B">
              <w:rPr>
                <w:noProof/>
                <w:webHidden/>
              </w:rPr>
              <w:instrText xml:space="preserve"> PAGEREF _Toc48565949 \h </w:instrText>
            </w:r>
            <w:r w:rsidR="00222E8B">
              <w:rPr>
                <w:noProof/>
                <w:webHidden/>
              </w:rPr>
            </w:r>
            <w:r w:rsidR="00222E8B">
              <w:rPr>
                <w:noProof/>
                <w:webHidden/>
              </w:rPr>
              <w:fldChar w:fldCharType="separate"/>
            </w:r>
            <w:r w:rsidR="00222E8B">
              <w:rPr>
                <w:noProof/>
                <w:webHidden/>
              </w:rPr>
              <w:t>26</w:t>
            </w:r>
            <w:r w:rsidR="00222E8B">
              <w:rPr>
                <w:noProof/>
                <w:webHidden/>
              </w:rPr>
              <w:fldChar w:fldCharType="end"/>
            </w:r>
          </w:hyperlink>
        </w:p>
        <w:p w14:paraId="5D94565A" w14:textId="5A5EE622" w:rsidR="00222E8B" w:rsidRDefault="002C171F">
          <w:pPr>
            <w:pStyle w:val="TOC2"/>
            <w:tabs>
              <w:tab w:val="left" w:pos="960"/>
              <w:tab w:val="right" w:leader="dot" w:pos="9350"/>
            </w:tabs>
            <w:rPr>
              <w:rFonts w:eastAsiaTheme="minorEastAsia" w:cstheme="minorBidi"/>
              <w:smallCaps w:val="0"/>
              <w:noProof/>
              <w:sz w:val="24"/>
              <w:szCs w:val="24"/>
              <w:lang w:val="en-GE"/>
            </w:rPr>
          </w:pPr>
          <w:hyperlink w:anchor="_Toc48565950" w:history="1">
            <w:r w:rsidR="00222E8B" w:rsidRPr="00542215">
              <w:rPr>
                <w:rStyle w:val="Hyperlink"/>
                <w:rFonts w:cs="Sylfaen"/>
                <w:b/>
                <w:bCs/>
                <w:noProof/>
                <w:lang w:val="en-GB"/>
              </w:rPr>
              <w:t>13.</w:t>
            </w:r>
            <w:r w:rsidR="00222E8B">
              <w:rPr>
                <w:rFonts w:eastAsiaTheme="minorEastAsia" w:cstheme="minorBidi"/>
                <w:smallCaps w:val="0"/>
                <w:noProof/>
                <w:sz w:val="24"/>
                <w:szCs w:val="24"/>
                <w:lang w:val="en-GE"/>
              </w:rPr>
              <w:tab/>
            </w:r>
            <w:r w:rsidR="00222E8B" w:rsidRPr="00542215">
              <w:rPr>
                <w:rStyle w:val="Hyperlink"/>
                <w:rFonts w:cs="Sylfaen"/>
                <w:noProof/>
                <w:lang w:val="en-GB"/>
              </w:rPr>
              <w:t>Article 19: Freedom of Expression</w:t>
            </w:r>
            <w:r w:rsidR="00222E8B">
              <w:rPr>
                <w:noProof/>
                <w:webHidden/>
              </w:rPr>
              <w:tab/>
            </w:r>
            <w:r w:rsidR="00222E8B">
              <w:rPr>
                <w:noProof/>
                <w:webHidden/>
              </w:rPr>
              <w:fldChar w:fldCharType="begin"/>
            </w:r>
            <w:r w:rsidR="00222E8B">
              <w:rPr>
                <w:noProof/>
                <w:webHidden/>
              </w:rPr>
              <w:instrText xml:space="preserve"> PAGEREF _Toc48565950 \h </w:instrText>
            </w:r>
            <w:r w:rsidR="00222E8B">
              <w:rPr>
                <w:noProof/>
                <w:webHidden/>
              </w:rPr>
            </w:r>
            <w:r w:rsidR="00222E8B">
              <w:rPr>
                <w:noProof/>
                <w:webHidden/>
              </w:rPr>
              <w:fldChar w:fldCharType="separate"/>
            </w:r>
            <w:r w:rsidR="00222E8B">
              <w:rPr>
                <w:noProof/>
                <w:webHidden/>
              </w:rPr>
              <w:t>28</w:t>
            </w:r>
            <w:r w:rsidR="00222E8B">
              <w:rPr>
                <w:noProof/>
                <w:webHidden/>
              </w:rPr>
              <w:fldChar w:fldCharType="end"/>
            </w:r>
          </w:hyperlink>
        </w:p>
        <w:p w14:paraId="1EC1A71E" w14:textId="64682B56" w:rsidR="00222E8B" w:rsidRDefault="002C171F">
          <w:pPr>
            <w:pStyle w:val="TOC2"/>
            <w:tabs>
              <w:tab w:val="left" w:pos="960"/>
              <w:tab w:val="right" w:leader="dot" w:pos="9350"/>
            </w:tabs>
            <w:rPr>
              <w:rFonts w:eastAsiaTheme="minorEastAsia" w:cstheme="minorBidi"/>
              <w:smallCaps w:val="0"/>
              <w:noProof/>
              <w:sz w:val="24"/>
              <w:szCs w:val="24"/>
              <w:lang w:val="en-GE"/>
            </w:rPr>
          </w:pPr>
          <w:hyperlink w:anchor="_Toc48565951" w:history="1">
            <w:r w:rsidR="00222E8B" w:rsidRPr="00542215">
              <w:rPr>
                <w:rStyle w:val="Hyperlink"/>
                <w:rFonts w:cs="Sylfaen"/>
                <w:b/>
                <w:bCs/>
                <w:noProof/>
                <w:lang w:val="en-GB"/>
              </w:rPr>
              <w:t>14.</w:t>
            </w:r>
            <w:r w:rsidR="00222E8B">
              <w:rPr>
                <w:rFonts w:eastAsiaTheme="minorEastAsia" w:cstheme="minorBidi"/>
                <w:smallCaps w:val="0"/>
                <w:noProof/>
                <w:sz w:val="24"/>
                <w:szCs w:val="24"/>
                <w:lang w:val="en-GE"/>
              </w:rPr>
              <w:tab/>
            </w:r>
            <w:r w:rsidR="00222E8B" w:rsidRPr="00542215">
              <w:rPr>
                <w:rStyle w:val="Hyperlink"/>
                <w:rFonts w:cs="Sylfaen"/>
                <w:noProof/>
                <w:lang w:val="en-GB"/>
              </w:rPr>
              <w:t>Article 20: Propaganda for War and Advocacy of National, Racial and Religious Hatred</w:t>
            </w:r>
            <w:r w:rsidR="00222E8B">
              <w:rPr>
                <w:noProof/>
                <w:webHidden/>
              </w:rPr>
              <w:tab/>
            </w:r>
            <w:r w:rsidR="00222E8B">
              <w:rPr>
                <w:noProof/>
                <w:webHidden/>
              </w:rPr>
              <w:fldChar w:fldCharType="begin"/>
            </w:r>
            <w:r w:rsidR="00222E8B">
              <w:rPr>
                <w:noProof/>
                <w:webHidden/>
              </w:rPr>
              <w:instrText xml:space="preserve"> PAGEREF _Toc48565951 \h </w:instrText>
            </w:r>
            <w:r w:rsidR="00222E8B">
              <w:rPr>
                <w:noProof/>
                <w:webHidden/>
              </w:rPr>
            </w:r>
            <w:r w:rsidR="00222E8B">
              <w:rPr>
                <w:noProof/>
                <w:webHidden/>
              </w:rPr>
              <w:fldChar w:fldCharType="separate"/>
            </w:r>
            <w:r w:rsidR="00222E8B">
              <w:rPr>
                <w:noProof/>
                <w:webHidden/>
              </w:rPr>
              <w:t>29</w:t>
            </w:r>
            <w:r w:rsidR="00222E8B">
              <w:rPr>
                <w:noProof/>
                <w:webHidden/>
              </w:rPr>
              <w:fldChar w:fldCharType="end"/>
            </w:r>
          </w:hyperlink>
        </w:p>
        <w:p w14:paraId="0634FD5F" w14:textId="5E0ECEEE" w:rsidR="00222E8B" w:rsidRDefault="002C171F">
          <w:pPr>
            <w:pStyle w:val="TOC2"/>
            <w:tabs>
              <w:tab w:val="left" w:pos="960"/>
              <w:tab w:val="right" w:leader="dot" w:pos="9350"/>
            </w:tabs>
            <w:rPr>
              <w:rFonts w:eastAsiaTheme="minorEastAsia" w:cstheme="minorBidi"/>
              <w:smallCaps w:val="0"/>
              <w:noProof/>
              <w:sz w:val="24"/>
              <w:szCs w:val="24"/>
              <w:lang w:val="en-GE"/>
            </w:rPr>
          </w:pPr>
          <w:hyperlink w:anchor="_Toc48565952" w:history="1">
            <w:r w:rsidR="00222E8B" w:rsidRPr="00542215">
              <w:rPr>
                <w:rStyle w:val="Hyperlink"/>
                <w:rFonts w:cs="Sylfaen"/>
                <w:b/>
                <w:bCs/>
                <w:noProof/>
                <w:lang w:val="en-GB"/>
              </w:rPr>
              <w:t>15.</w:t>
            </w:r>
            <w:r w:rsidR="00222E8B">
              <w:rPr>
                <w:rFonts w:eastAsiaTheme="minorEastAsia" w:cstheme="minorBidi"/>
                <w:smallCaps w:val="0"/>
                <w:noProof/>
                <w:sz w:val="24"/>
                <w:szCs w:val="24"/>
                <w:lang w:val="en-GE"/>
              </w:rPr>
              <w:tab/>
            </w:r>
            <w:r w:rsidR="00222E8B" w:rsidRPr="00542215">
              <w:rPr>
                <w:rStyle w:val="Hyperlink"/>
                <w:rFonts w:cs="Sylfaen"/>
                <w:noProof/>
                <w:lang w:val="en-GB"/>
              </w:rPr>
              <w:t>Article 21: Freedom of Assembly</w:t>
            </w:r>
            <w:r w:rsidR="00222E8B">
              <w:rPr>
                <w:noProof/>
                <w:webHidden/>
              </w:rPr>
              <w:tab/>
            </w:r>
            <w:r w:rsidR="00222E8B">
              <w:rPr>
                <w:noProof/>
                <w:webHidden/>
              </w:rPr>
              <w:fldChar w:fldCharType="begin"/>
            </w:r>
            <w:r w:rsidR="00222E8B">
              <w:rPr>
                <w:noProof/>
                <w:webHidden/>
              </w:rPr>
              <w:instrText xml:space="preserve"> PAGEREF _Toc48565952 \h </w:instrText>
            </w:r>
            <w:r w:rsidR="00222E8B">
              <w:rPr>
                <w:noProof/>
                <w:webHidden/>
              </w:rPr>
            </w:r>
            <w:r w:rsidR="00222E8B">
              <w:rPr>
                <w:noProof/>
                <w:webHidden/>
              </w:rPr>
              <w:fldChar w:fldCharType="separate"/>
            </w:r>
            <w:r w:rsidR="00222E8B">
              <w:rPr>
                <w:noProof/>
                <w:webHidden/>
              </w:rPr>
              <w:t>30</w:t>
            </w:r>
            <w:r w:rsidR="00222E8B">
              <w:rPr>
                <w:noProof/>
                <w:webHidden/>
              </w:rPr>
              <w:fldChar w:fldCharType="end"/>
            </w:r>
          </w:hyperlink>
        </w:p>
        <w:p w14:paraId="39E8E653" w14:textId="1EED9516" w:rsidR="00222E8B" w:rsidRDefault="002C171F">
          <w:pPr>
            <w:pStyle w:val="TOC2"/>
            <w:tabs>
              <w:tab w:val="left" w:pos="960"/>
              <w:tab w:val="right" w:leader="dot" w:pos="9350"/>
            </w:tabs>
            <w:rPr>
              <w:rFonts w:eastAsiaTheme="minorEastAsia" w:cstheme="minorBidi"/>
              <w:smallCaps w:val="0"/>
              <w:noProof/>
              <w:sz w:val="24"/>
              <w:szCs w:val="24"/>
              <w:lang w:val="en-GE"/>
            </w:rPr>
          </w:pPr>
          <w:hyperlink w:anchor="_Toc48565953" w:history="1">
            <w:r w:rsidR="00222E8B" w:rsidRPr="00542215">
              <w:rPr>
                <w:rStyle w:val="Hyperlink"/>
                <w:rFonts w:cs="Sylfaen"/>
                <w:b/>
                <w:bCs/>
                <w:noProof/>
                <w:lang w:val="en-GB"/>
              </w:rPr>
              <w:t>16.</w:t>
            </w:r>
            <w:r w:rsidR="00222E8B">
              <w:rPr>
                <w:rFonts w:eastAsiaTheme="minorEastAsia" w:cstheme="minorBidi"/>
                <w:smallCaps w:val="0"/>
                <w:noProof/>
                <w:sz w:val="24"/>
                <w:szCs w:val="24"/>
                <w:lang w:val="en-GE"/>
              </w:rPr>
              <w:tab/>
            </w:r>
            <w:r w:rsidR="00222E8B" w:rsidRPr="00542215">
              <w:rPr>
                <w:rStyle w:val="Hyperlink"/>
                <w:rFonts w:cs="Sylfaen"/>
                <w:noProof/>
                <w:lang w:val="en-GB"/>
              </w:rPr>
              <w:t>Article 22: Freedom of Association</w:t>
            </w:r>
            <w:r w:rsidR="00222E8B">
              <w:rPr>
                <w:noProof/>
                <w:webHidden/>
              </w:rPr>
              <w:tab/>
            </w:r>
            <w:r w:rsidR="00222E8B">
              <w:rPr>
                <w:noProof/>
                <w:webHidden/>
              </w:rPr>
              <w:fldChar w:fldCharType="begin"/>
            </w:r>
            <w:r w:rsidR="00222E8B">
              <w:rPr>
                <w:noProof/>
                <w:webHidden/>
              </w:rPr>
              <w:instrText xml:space="preserve"> PAGEREF _Toc48565953 \h </w:instrText>
            </w:r>
            <w:r w:rsidR="00222E8B">
              <w:rPr>
                <w:noProof/>
                <w:webHidden/>
              </w:rPr>
            </w:r>
            <w:r w:rsidR="00222E8B">
              <w:rPr>
                <w:noProof/>
                <w:webHidden/>
              </w:rPr>
              <w:fldChar w:fldCharType="separate"/>
            </w:r>
            <w:r w:rsidR="00222E8B">
              <w:rPr>
                <w:noProof/>
                <w:webHidden/>
              </w:rPr>
              <w:t>33</w:t>
            </w:r>
            <w:r w:rsidR="00222E8B">
              <w:rPr>
                <w:noProof/>
                <w:webHidden/>
              </w:rPr>
              <w:fldChar w:fldCharType="end"/>
            </w:r>
          </w:hyperlink>
        </w:p>
        <w:p w14:paraId="36D8DC90" w14:textId="6A3C04B8" w:rsidR="00222E8B" w:rsidRDefault="002C171F">
          <w:pPr>
            <w:pStyle w:val="TOC2"/>
            <w:tabs>
              <w:tab w:val="left" w:pos="960"/>
              <w:tab w:val="right" w:leader="dot" w:pos="9350"/>
            </w:tabs>
            <w:rPr>
              <w:rFonts w:eastAsiaTheme="minorEastAsia" w:cstheme="minorBidi"/>
              <w:smallCaps w:val="0"/>
              <w:noProof/>
              <w:sz w:val="24"/>
              <w:szCs w:val="24"/>
              <w:lang w:val="en-GE"/>
            </w:rPr>
          </w:pPr>
          <w:hyperlink w:anchor="_Toc48565954" w:history="1">
            <w:r w:rsidR="00222E8B" w:rsidRPr="00542215">
              <w:rPr>
                <w:rStyle w:val="Hyperlink"/>
                <w:rFonts w:cs="Sylfaen"/>
                <w:b/>
                <w:bCs/>
                <w:noProof/>
                <w:lang w:val="en-GB"/>
              </w:rPr>
              <w:t>17.</w:t>
            </w:r>
            <w:r w:rsidR="00222E8B">
              <w:rPr>
                <w:rFonts w:eastAsiaTheme="minorEastAsia" w:cstheme="minorBidi"/>
                <w:smallCaps w:val="0"/>
                <w:noProof/>
                <w:sz w:val="24"/>
                <w:szCs w:val="24"/>
                <w:lang w:val="en-GE"/>
              </w:rPr>
              <w:tab/>
            </w:r>
            <w:r w:rsidR="00222E8B" w:rsidRPr="00542215">
              <w:rPr>
                <w:rStyle w:val="Hyperlink"/>
                <w:rFonts w:cs="Sylfaen"/>
                <w:noProof/>
                <w:lang w:val="en-GB"/>
              </w:rPr>
              <w:t>Article 25: Participation in elections and public affairs</w:t>
            </w:r>
            <w:r w:rsidR="00222E8B">
              <w:rPr>
                <w:noProof/>
                <w:webHidden/>
              </w:rPr>
              <w:tab/>
            </w:r>
            <w:r w:rsidR="00222E8B">
              <w:rPr>
                <w:noProof/>
                <w:webHidden/>
              </w:rPr>
              <w:fldChar w:fldCharType="begin"/>
            </w:r>
            <w:r w:rsidR="00222E8B">
              <w:rPr>
                <w:noProof/>
                <w:webHidden/>
              </w:rPr>
              <w:instrText xml:space="preserve"> PAGEREF _Toc48565954 \h </w:instrText>
            </w:r>
            <w:r w:rsidR="00222E8B">
              <w:rPr>
                <w:noProof/>
                <w:webHidden/>
              </w:rPr>
            </w:r>
            <w:r w:rsidR="00222E8B">
              <w:rPr>
                <w:noProof/>
                <w:webHidden/>
              </w:rPr>
              <w:fldChar w:fldCharType="separate"/>
            </w:r>
            <w:r w:rsidR="00222E8B">
              <w:rPr>
                <w:noProof/>
                <w:webHidden/>
              </w:rPr>
              <w:t>33</w:t>
            </w:r>
            <w:r w:rsidR="00222E8B">
              <w:rPr>
                <w:noProof/>
                <w:webHidden/>
              </w:rPr>
              <w:fldChar w:fldCharType="end"/>
            </w:r>
          </w:hyperlink>
        </w:p>
        <w:p w14:paraId="3892550F" w14:textId="2B37506F" w:rsidR="00222E8B" w:rsidRDefault="002C171F">
          <w:pPr>
            <w:pStyle w:val="TOC2"/>
            <w:tabs>
              <w:tab w:val="left" w:pos="960"/>
              <w:tab w:val="right" w:leader="dot" w:pos="9350"/>
            </w:tabs>
            <w:rPr>
              <w:rFonts w:eastAsiaTheme="minorEastAsia" w:cstheme="minorBidi"/>
              <w:smallCaps w:val="0"/>
              <w:noProof/>
              <w:sz w:val="24"/>
              <w:szCs w:val="24"/>
              <w:lang w:val="en-GE"/>
            </w:rPr>
          </w:pPr>
          <w:hyperlink w:anchor="_Toc48565955" w:history="1">
            <w:r w:rsidR="00222E8B" w:rsidRPr="00542215">
              <w:rPr>
                <w:rStyle w:val="Hyperlink"/>
                <w:rFonts w:cs="Sylfaen"/>
                <w:b/>
                <w:bCs/>
                <w:noProof/>
                <w:lang w:val="en-GB"/>
              </w:rPr>
              <w:t>18.</w:t>
            </w:r>
            <w:r w:rsidR="00222E8B">
              <w:rPr>
                <w:rFonts w:eastAsiaTheme="minorEastAsia" w:cstheme="minorBidi"/>
                <w:smallCaps w:val="0"/>
                <w:noProof/>
                <w:sz w:val="24"/>
                <w:szCs w:val="24"/>
                <w:lang w:val="en-GE"/>
              </w:rPr>
              <w:tab/>
            </w:r>
            <w:r w:rsidR="00222E8B" w:rsidRPr="00542215">
              <w:rPr>
                <w:rStyle w:val="Hyperlink"/>
                <w:rFonts w:cs="Sylfaen"/>
                <w:noProof/>
                <w:lang w:val="en-GB"/>
              </w:rPr>
              <w:t>Right 26: Equality before the law</w:t>
            </w:r>
            <w:r w:rsidR="00222E8B">
              <w:rPr>
                <w:noProof/>
                <w:webHidden/>
              </w:rPr>
              <w:tab/>
            </w:r>
            <w:r w:rsidR="00222E8B">
              <w:rPr>
                <w:noProof/>
                <w:webHidden/>
              </w:rPr>
              <w:fldChar w:fldCharType="begin"/>
            </w:r>
            <w:r w:rsidR="00222E8B">
              <w:rPr>
                <w:noProof/>
                <w:webHidden/>
              </w:rPr>
              <w:instrText xml:space="preserve"> PAGEREF _Toc48565955 \h </w:instrText>
            </w:r>
            <w:r w:rsidR="00222E8B">
              <w:rPr>
                <w:noProof/>
                <w:webHidden/>
              </w:rPr>
            </w:r>
            <w:r w:rsidR="00222E8B">
              <w:rPr>
                <w:noProof/>
                <w:webHidden/>
              </w:rPr>
              <w:fldChar w:fldCharType="separate"/>
            </w:r>
            <w:r w:rsidR="00222E8B">
              <w:rPr>
                <w:noProof/>
                <w:webHidden/>
              </w:rPr>
              <w:t>35</w:t>
            </w:r>
            <w:r w:rsidR="00222E8B">
              <w:rPr>
                <w:noProof/>
                <w:webHidden/>
              </w:rPr>
              <w:fldChar w:fldCharType="end"/>
            </w:r>
          </w:hyperlink>
        </w:p>
        <w:p w14:paraId="60D5E4A2" w14:textId="7D2ABF67" w:rsidR="00222E8B" w:rsidRDefault="002C171F">
          <w:pPr>
            <w:pStyle w:val="TOC2"/>
            <w:tabs>
              <w:tab w:val="left" w:pos="960"/>
              <w:tab w:val="right" w:leader="dot" w:pos="9350"/>
            </w:tabs>
            <w:rPr>
              <w:rFonts w:eastAsiaTheme="minorEastAsia" w:cstheme="minorBidi"/>
              <w:smallCaps w:val="0"/>
              <w:noProof/>
              <w:sz w:val="24"/>
              <w:szCs w:val="24"/>
              <w:lang w:val="en-GE"/>
            </w:rPr>
          </w:pPr>
          <w:hyperlink w:anchor="_Toc48565956" w:history="1">
            <w:r w:rsidR="00222E8B" w:rsidRPr="00542215">
              <w:rPr>
                <w:rStyle w:val="Hyperlink"/>
                <w:rFonts w:cs="Sylfaen"/>
                <w:b/>
                <w:bCs/>
                <w:noProof/>
                <w:lang w:val="en-GB"/>
              </w:rPr>
              <w:t>19.</w:t>
            </w:r>
            <w:r w:rsidR="00222E8B">
              <w:rPr>
                <w:rFonts w:eastAsiaTheme="minorEastAsia" w:cstheme="minorBidi"/>
                <w:smallCaps w:val="0"/>
                <w:noProof/>
                <w:sz w:val="24"/>
                <w:szCs w:val="24"/>
                <w:lang w:val="en-GE"/>
              </w:rPr>
              <w:tab/>
            </w:r>
            <w:r w:rsidR="00222E8B" w:rsidRPr="00542215">
              <w:rPr>
                <w:rStyle w:val="Hyperlink"/>
                <w:rFonts w:cs="Sylfaen"/>
                <w:noProof/>
                <w:lang w:val="en-GB"/>
              </w:rPr>
              <w:t>Article 27: Rights of Minorities</w:t>
            </w:r>
            <w:r w:rsidR="00222E8B">
              <w:rPr>
                <w:noProof/>
                <w:webHidden/>
              </w:rPr>
              <w:tab/>
            </w:r>
            <w:r w:rsidR="00222E8B">
              <w:rPr>
                <w:noProof/>
                <w:webHidden/>
              </w:rPr>
              <w:fldChar w:fldCharType="begin"/>
            </w:r>
            <w:r w:rsidR="00222E8B">
              <w:rPr>
                <w:noProof/>
                <w:webHidden/>
              </w:rPr>
              <w:instrText xml:space="preserve"> PAGEREF _Toc48565956 \h </w:instrText>
            </w:r>
            <w:r w:rsidR="00222E8B">
              <w:rPr>
                <w:noProof/>
                <w:webHidden/>
              </w:rPr>
            </w:r>
            <w:r w:rsidR="00222E8B">
              <w:rPr>
                <w:noProof/>
                <w:webHidden/>
              </w:rPr>
              <w:fldChar w:fldCharType="separate"/>
            </w:r>
            <w:r w:rsidR="00222E8B">
              <w:rPr>
                <w:noProof/>
                <w:webHidden/>
              </w:rPr>
              <w:t>37</w:t>
            </w:r>
            <w:r w:rsidR="00222E8B">
              <w:rPr>
                <w:noProof/>
                <w:webHidden/>
              </w:rPr>
              <w:fldChar w:fldCharType="end"/>
            </w:r>
          </w:hyperlink>
        </w:p>
        <w:p w14:paraId="13ED3F73" w14:textId="08B0FFEF" w:rsidR="00C16CF9" w:rsidRPr="007F343D" w:rsidRDefault="00B87F85" w:rsidP="00EB1CFE">
          <w:pPr>
            <w:rPr>
              <w:sz w:val="22"/>
              <w:szCs w:val="22"/>
              <w:lang w:val="en-GB"/>
            </w:rPr>
          </w:pPr>
          <w:r w:rsidRPr="00AE2F32">
            <w:rPr>
              <w:rFonts w:cstheme="minorHAnsi"/>
              <w:caps/>
              <w:sz w:val="22"/>
              <w:szCs w:val="22"/>
              <w:lang w:val="en-GB"/>
            </w:rPr>
            <w:fldChar w:fldCharType="end"/>
          </w:r>
        </w:p>
      </w:sdtContent>
    </w:sdt>
    <w:p w14:paraId="44CB5D1F" w14:textId="77777777" w:rsidR="007F343D" w:rsidRDefault="007F343D" w:rsidP="009A2C7F">
      <w:pPr>
        <w:pStyle w:val="Heading1"/>
        <w:spacing w:before="0"/>
        <w:jc w:val="both"/>
        <w:rPr>
          <w:rFonts w:asciiTheme="minorHAnsi" w:eastAsia="Times New Roman" w:hAnsiTheme="minorHAnsi" w:cs="Times New Roman"/>
          <w:b/>
          <w:bCs/>
          <w:noProof/>
          <w:sz w:val="22"/>
          <w:szCs w:val="22"/>
        </w:rPr>
      </w:pPr>
      <w:r>
        <w:rPr>
          <w:rFonts w:asciiTheme="minorHAnsi" w:eastAsia="Times New Roman" w:hAnsiTheme="minorHAnsi" w:cs="Times New Roman"/>
          <w:b/>
          <w:bCs/>
          <w:noProof/>
          <w:sz w:val="22"/>
          <w:szCs w:val="22"/>
        </w:rPr>
        <w:br w:type="page"/>
      </w:r>
    </w:p>
    <w:p w14:paraId="57940BA6" w14:textId="5BE6EAD2" w:rsidR="009A2C7F" w:rsidRPr="00AE2F32" w:rsidRDefault="009A2C7F" w:rsidP="009A2C7F">
      <w:pPr>
        <w:pStyle w:val="Heading1"/>
        <w:spacing w:before="0"/>
        <w:jc w:val="both"/>
        <w:rPr>
          <w:rFonts w:asciiTheme="minorHAnsi" w:eastAsia="Times New Roman" w:hAnsiTheme="minorHAnsi" w:cs="Times New Roman"/>
          <w:b/>
          <w:bCs/>
          <w:noProof/>
          <w:sz w:val="22"/>
          <w:szCs w:val="22"/>
        </w:rPr>
      </w:pPr>
      <w:bookmarkStart w:id="0" w:name="_Toc48565924"/>
      <w:r w:rsidRPr="00AE2F32">
        <w:rPr>
          <w:rFonts w:asciiTheme="minorHAnsi" w:eastAsia="Times New Roman" w:hAnsiTheme="minorHAnsi" w:cs="Times New Roman"/>
          <w:b/>
          <w:bCs/>
          <w:noProof/>
          <w:sz w:val="22"/>
          <w:szCs w:val="22"/>
        </w:rPr>
        <w:lastRenderedPageBreak/>
        <w:t>Introduction</w:t>
      </w:r>
      <w:bookmarkEnd w:id="0"/>
    </w:p>
    <w:p w14:paraId="658FC0C9" w14:textId="77777777" w:rsidR="009A2C7F" w:rsidRPr="00AE2F32" w:rsidRDefault="009A2C7F" w:rsidP="009A2C7F">
      <w:pPr>
        <w:jc w:val="both"/>
        <w:rPr>
          <w:rFonts w:eastAsia="Times New Roman" w:cs="Times New Roman"/>
          <w:b/>
          <w:bCs/>
          <w:noProof/>
          <w:sz w:val="22"/>
          <w:szCs w:val="22"/>
          <w:lang w:val="en-GB"/>
        </w:rPr>
      </w:pPr>
    </w:p>
    <w:p w14:paraId="56F48D1D" w14:textId="35DBFC98" w:rsidR="00E27FD2" w:rsidRPr="006A54B3" w:rsidRDefault="009A2C7F" w:rsidP="006A54B3">
      <w:pPr>
        <w:jc w:val="both"/>
        <w:rPr>
          <w:rFonts w:eastAsia="Times New Roman" w:cs="Times New Roman"/>
          <w:b/>
          <w:bCs/>
          <w:noProof/>
          <w:sz w:val="22"/>
          <w:szCs w:val="22"/>
          <w:lang w:val="en-GB"/>
        </w:rPr>
      </w:pPr>
      <w:r w:rsidRPr="00AE2F32">
        <w:rPr>
          <w:rFonts w:eastAsia="Times New Roman" w:cs="Times New Roman"/>
          <w:noProof/>
          <w:sz w:val="22"/>
          <w:szCs w:val="22"/>
          <w:lang w:val="en-GB"/>
        </w:rPr>
        <w:t xml:space="preserve">The report is prepared by a </w:t>
      </w:r>
      <w:r w:rsidR="002634AA">
        <w:rPr>
          <w:rFonts w:eastAsia="Times New Roman" w:cs="Times New Roman"/>
          <w:noProof/>
          <w:sz w:val="22"/>
          <w:szCs w:val="22"/>
          <w:lang w:val="en-GB"/>
        </w:rPr>
        <w:t>coalition</w:t>
      </w:r>
      <w:r w:rsidRPr="00AE2F32">
        <w:rPr>
          <w:rFonts w:eastAsia="Times New Roman" w:cs="Times New Roman"/>
          <w:noProof/>
          <w:sz w:val="22"/>
          <w:szCs w:val="22"/>
          <w:lang w:val="en-GB"/>
        </w:rPr>
        <w:t xml:space="preserve"> of human rights organizations – Human Rights Education and Monitoring Center (EMC) and Georgian Young Lawyers’ Association (GYLA). </w:t>
      </w:r>
      <w:r w:rsidR="006A09A1">
        <w:rPr>
          <w:rFonts w:eastAsia="Times New Roman" w:cs="Times New Roman"/>
          <w:noProof/>
          <w:sz w:val="22"/>
          <w:szCs w:val="22"/>
          <w:lang w:val="en-GB"/>
        </w:rPr>
        <w:t>It</w:t>
      </w:r>
      <w:r w:rsidRPr="00AE2F32">
        <w:rPr>
          <w:rFonts w:eastAsia="Times New Roman" w:cs="Times New Roman"/>
          <w:noProof/>
          <w:sz w:val="22"/>
          <w:szCs w:val="22"/>
          <w:lang w:val="en-GB"/>
        </w:rPr>
        <w:t xml:space="preserve"> critically assesses </w:t>
      </w:r>
      <w:r w:rsidR="002634AA">
        <w:rPr>
          <w:rFonts w:eastAsia="Times New Roman" w:cs="Times New Roman"/>
          <w:noProof/>
          <w:sz w:val="22"/>
          <w:szCs w:val="22"/>
          <w:lang w:val="en-GB"/>
        </w:rPr>
        <w:t xml:space="preserve">the </w:t>
      </w:r>
      <w:r w:rsidRPr="00AE2F32">
        <w:rPr>
          <w:rFonts w:eastAsia="Times New Roman" w:cs="Times New Roman"/>
          <w:noProof/>
          <w:sz w:val="22"/>
          <w:szCs w:val="22"/>
          <w:lang w:val="en-GB"/>
        </w:rPr>
        <w:t xml:space="preserve">fulfillment of recommendations issued by the Committee within the framework of the fourth monitoring cycle, as well as the performance of the Government of the Covenant throughout the past 6 years. </w:t>
      </w:r>
      <w:r w:rsidR="00C72D39">
        <w:rPr>
          <w:rFonts w:eastAsia="Times New Roman" w:cs="Times New Roman"/>
          <w:noProof/>
          <w:sz w:val="22"/>
          <w:szCs w:val="22"/>
          <w:lang w:val="en-GB"/>
        </w:rPr>
        <w:t>Information</w:t>
      </w:r>
      <w:r w:rsidRPr="00AE2F32">
        <w:rPr>
          <w:rFonts w:eastAsia="Times New Roman" w:cs="Times New Roman"/>
          <w:noProof/>
          <w:sz w:val="22"/>
          <w:szCs w:val="22"/>
          <w:lang w:val="en-GB"/>
        </w:rPr>
        <w:t xml:space="preserve"> and assessments in the report are based on research, field work, strategic cases litigated by these organizations and their analysis. </w:t>
      </w:r>
      <w:r w:rsidR="00A47EE8">
        <w:rPr>
          <w:rFonts w:eastAsia="Times New Roman" w:cs="Times New Roman"/>
          <w:noProof/>
          <w:sz w:val="22"/>
          <w:szCs w:val="22"/>
          <w:lang w:val="en-GB"/>
        </w:rPr>
        <w:t xml:space="preserve">Where relevant </w:t>
      </w:r>
      <w:r w:rsidRPr="00AE2F32">
        <w:rPr>
          <w:rFonts w:eastAsia="Times New Roman" w:cs="Times New Roman"/>
          <w:noProof/>
          <w:sz w:val="22"/>
          <w:szCs w:val="22"/>
          <w:lang w:val="en-GB"/>
        </w:rPr>
        <w:t xml:space="preserve">the report </w:t>
      </w:r>
      <w:r w:rsidR="006A09A1">
        <w:rPr>
          <w:rFonts w:eastAsia="Times New Roman" w:cs="Times New Roman"/>
          <w:noProof/>
          <w:sz w:val="22"/>
          <w:szCs w:val="22"/>
          <w:lang w:val="en-GB"/>
        </w:rPr>
        <w:t>relies</w:t>
      </w:r>
      <w:r w:rsidRPr="00AE2F32">
        <w:rPr>
          <w:rFonts w:eastAsia="Times New Roman" w:cs="Times New Roman"/>
          <w:noProof/>
          <w:sz w:val="22"/>
          <w:szCs w:val="22"/>
          <w:lang w:val="en-GB"/>
        </w:rPr>
        <w:t xml:space="preserve"> on the information provided by the state,  assessments </w:t>
      </w:r>
      <w:r w:rsidR="00A47EE8">
        <w:rPr>
          <w:rFonts w:eastAsia="Times New Roman" w:cs="Times New Roman"/>
          <w:noProof/>
          <w:sz w:val="22"/>
          <w:szCs w:val="22"/>
          <w:lang w:val="en-GB"/>
        </w:rPr>
        <w:t>of</w:t>
      </w:r>
      <w:r w:rsidRPr="00AE2F32">
        <w:rPr>
          <w:rFonts w:eastAsia="Times New Roman" w:cs="Times New Roman"/>
          <w:noProof/>
          <w:sz w:val="22"/>
          <w:szCs w:val="22"/>
          <w:lang w:val="en-GB"/>
        </w:rPr>
        <w:t xml:space="preserve"> Public Defender of Georgia</w:t>
      </w:r>
      <w:r w:rsidR="00A47EE8">
        <w:rPr>
          <w:rFonts w:eastAsia="Times New Roman" w:cs="Times New Roman"/>
          <w:noProof/>
          <w:sz w:val="22"/>
          <w:szCs w:val="22"/>
          <w:lang w:val="en-GB"/>
        </w:rPr>
        <w:t xml:space="preserve"> (hereinafter “PDO”)</w:t>
      </w:r>
      <w:r w:rsidR="00BE09B6">
        <w:rPr>
          <w:rFonts w:eastAsia="Times New Roman" w:cs="Times New Roman"/>
          <w:noProof/>
          <w:sz w:val="22"/>
          <w:szCs w:val="22"/>
          <w:lang w:val="en-GB"/>
        </w:rPr>
        <w:t>,</w:t>
      </w:r>
      <w:r w:rsidR="00A47EE8">
        <w:rPr>
          <w:rFonts w:eastAsia="Times New Roman" w:cs="Times New Roman"/>
          <w:noProof/>
          <w:sz w:val="22"/>
          <w:szCs w:val="22"/>
          <w:lang w:val="en-GB"/>
        </w:rPr>
        <w:t xml:space="preserve"> and </w:t>
      </w:r>
      <w:r w:rsidRPr="00AE2F32">
        <w:rPr>
          <w:rFonts w:eastAsia="Times New Roman" w:cs="Times New Roman"/>
          <w:noProof/>
          <w:sz w:val="22"/>
          <w:szCs w:val="22"/>
          <w:lang w:val="en-GB"/>
        </w:rPr>
        <w:t xml:space="preserve">local and international human rights organizations. </w:t>
      </w:r>
    </w:p>
    <w:p w14:paraId="047B636F" w14:textId="0CA24D1A" w:rsidR="006C743C" w:rsidRPr="00AE2F32" w:rsidRDefault="006C743C" w:rsidP="00EB1CFE">
      <w:pPr>
        <w:rPr>
          <w:rFonts w:eastAsia="Times New Roman" w:cs="Times New Roman"/>
          <w:b/>
          <w:bCs/>
          <w:sz w:val="22"/>
          <w:szCs w:val="22"/>
          <w:highlight w:val="yellow"/>
          <w:lang w:val="en-GB"/>
        </w:rPr>
      </w:pPr>
    </w:p>
    <w:p w14:paraId="772B56F1" w14:textId="77777777" w:rsidR="009A2C7F" w:rsidRPr="00AE2F32" w:rsidRDefault="009A2C7F" w:rsidP="009A2C7F">
      <w:pPr>
        <w:pStyle w:val="Heading1"/>
        <w:numPr>
          <w:ilvl w:val="0"/>
          <w:numId w:val="13"/>
        </w:numPr>
        <w:spacing w:before="0"/>
        <w:jc w:val="both"/>
        <w:rPr>
          <w:rFonts w:asciiTheme="minorHAnsi" w:eastAsia="Times New Roman" w:hAnsiTheme="minorHAnsi" w:cs="Times New Roman"/>
          <w:b/>
          <w:bCs/>
          <w:noProof/>
          <w:sz w:val="22"/>
          <w:szCs w:val="22"/>
          <w:lang w:val="en-GB"/>
        </w:rPr>
      </w:pPr>
      <w:bookmarkStart w:id="1" w:name="_Toc48565925"/>
      <w:bookmarkStart w:id="2" w:name="_Toc48038287"/>
      <w:r w:rsidRPr="00AE2F32">
        <w:rPr>
          <w:rFonts w:asciiTheme="minorHAnsi" w:eastAsia="Times New Roman" w:hAnsiTheme="minorHAnsi" w:cs="Times New Roman"/>
          <w:b/>
          <w:bCs/>
          <w:noProof/>
          <w:sz w:val="22"/>
          <w:szCs w:val="22"/>
          <w:lang w:val="en-GB"/>
        </w:rPr>
        <w:t>Alternative Evaluation of the Concluding Recommendations issued by the Committee</w:t>
      </w:r>
      <w:bookmarkEnd w:id="1"/>
    </w:p>
    <w:bookmarkEnd w:id="2"/>
    <w:p w14:paraId="4A7E86C2" w14:textId="77777777" w:rsidR="00D96456" w:rsidRPr="00AE2F32" w:rsidRDefault="00D96456" w:rsidP="00EB1CFE">
      <w:pPr>
        <w:rPr>
          <w:rFonts w:eastAsia="Times New Roman" w:cs="Times New Roman"/>
          <w:b/>
          <w:bCs/>
          <w:sz w:val="22"/>
          <w:szCs w:val="22"/>
          <w:highlight w:val="yellow"/>
          <w:lang w:val="en-GB"/>
        </w:rPr>
      </w:pPr>
    </w:p>
    <w:p w14:paraId="7BB2E8F3" w14:textId="77777777" w:rsidR="009A2C7F" w:rsidRPr="00AE2F32" w:rsidRDefault="009A2C7F" w:rsidP="009A2C7F">
      <w:pPr>
        <w:pStyle w:val="Heading2"/>
        <w:numPr>
          <w:ilvl w:val="0"/>
          <w:numId w:val="14"/>
        </w:numPr>
        <w:spacing w:before="0"/>
        <w:jc w:val="both"/>
        <w:rPr>
          <w:rFonts w:asciiTheme="minorHAnsi" w:hAnsiTheme="minorHAnsi" w:cs="Times New Roman"/>
          <w:noProof/>
          <w:sz w:val="22"/>
          <w:szCs w:val="22"/>
          <w:lang w:val="en-GB"/>
        </w:rPr>
      </w:pPr>
      <w:bookmarkStart w:id="3" w:name="_Toc48565926"/>
      <w:bookmarkStart w:id="4" w:name="_Toc48038288"/>
      <w:r w:rsidRPr="00AE2F32">
        <w:rPr>
          <w:rFonts w:asciiTheme="minorHAnsi" w:hAnsiTheme="minorHAnsi" w:cs="Times New Roman"/>
          <w:noProof/>
          <w:sz w:val="22"/>
          <w:szCs w:val="22"/>
          <w:lang w:val="en-GB"/>
        </w:rPr>
        <w:t>Antidiscrimination Legislation (Paragraph 6 of the Committee Recommendations)</w:t>
      </w:r>
      <w:bookmarkEnd w:id="3"/>
    </w:p>
    <w:bookmarkEnd w:id="4"/>
    <w:p w14:paraId="199FBA80" w14:textId="77777777" w:rsidR="009A2C7F" w:rsidRPr="00AE2F32" w:rsidRDefault="009A2C7F" w:rsidP="009A2C7F">
      <w:pPr>
        <w:ind w:left="720"/>
        <w:jc w:val="both"/>
        <w:textAlignment w:val="baseline"/>
        <w:rPr>
          <w:rFonts w:eastAsia="Times New Roman" w:cs="Times New Roman"/>
          <w:noProof/>
          <w:color w:val="000000"/>
          <w:sz w:val="22"/>
          <w:szCs w:val="22"/>
          <w:lang w:val="en-GB"/>
        </w:rPr>
      </w:pPr>
    </w:p>
    <w:p w14:paraId="1FC27CAB" w14:textId="4B9992AF" w:rsidR="009A2C7F" w:rsidRPr="00AE2F32" w:rsidRDefault="009A2C7F" w:rsidP="009A2C7F">
      <w:pPr>
        <w:ind w:left="720"/>
        <w:jc w:val="both"/>
        <w:textAlignment w:val="baseline"/>
        <w:rPr>
          <w:rFonts w:eastAsia="Times New Roman" w:cs="Times New Roman"/>
          <w:noProof/>
          <w:color w:val="000000"/>
          <w:sz w:val="22"/>
          <w:szCs w:val="22"/>
          <w:lang w:val="en-GB"/>
        </w:rPr>
      </w:pPr>
      <w:r w:rsidRPr="00AE2F32">
        <w:rPr>
          <w:rFonts w:eastAsia="Times New Roman" w:cs="Times New Roman"/>
          <w:noProof/>
          <w:color w:val="000000"/>
          <w:sz w:val="22"/>
          <w:szCs w:val="22"/>
          <w:lang w:val="en-GB"/>
        </w:rPr>
        <w:t xml:space="preserve">See Coalition’s assessment </w:t>
      </w:r>
      <w:r w:rsidR="00810401">
        <w:rPr>
          <w:rFonts w:eastAsia="Times New Roman" w:cs="Times New Roman"/>
          <w:noProof/>
          <w:color w:val="000000"/>
          <w:sz w:val="22"/>
          <w:szCs w:val="22"/>
          <w:lang w:val="en-GB"/>
        </w:rPr>
        <w:t>under</w:t>
      </w:r>
      <w:r w:rsidRPr="00AE2F32">
        <w:rPr>
          <w:rFonts w:eastAsia="Times New Roman" w:cs="Times New Roman"/>
          <w:noProof/>
          <w:color w:val="000000"/>
          <w:sz w:val="22"/>
          <w:szCs w:val="22"/>
          <w:lang w:val="en-GB"/>
        </w:rPr>
        <w:t xml:space="preserve"> </w:t>
      </w:r>
      <w:r w:rsidR="00810401">
        <w:rPr>
          <w:rFonts w:eastAsia="Times New Roman" w:cs="Times New Roman"/>
          <w:noProof/>
          <w:color w:val="000000"/>
          <w:sz w:val="22"/>
          <w:szCs w:val="22"/>
          <w:lang w:val="en-GB"/>
        </w:rPr>
        <w:t>A</w:t>
      </w:r>
      <w:r w:rsidRPr="00AE2F32">
        <w:rPr>
          <w:rFonts w:eastAsia="Times New Roman" w:cs="Times New Roman"/>
          <w:noProof/>
          <w:color w:val="000000"/>
          <w:sz w:val="22"/>
          <w:szCs w:val="22"/>
          <w:lang w:val="en-GB"/>
        </w:rPr>
        <w:t>rticle 2</w:t>
      </w:r>
    </w:p>
    <w:p w14:paraId="489AB5E8" w14:textId="77777777" w:rsidR="00ED79BE" w:rsidRPr="00AE2F32" w:rsidRDefault="00ED79BE" w:rsidP="00EB1CFE">
      <w:pPr>
        <w:ind w:left="720"/>
        <w:textAlignment w:val="baseline"/>
        <w:rPr>
          <w:rFonts w:eastAsia="Times New Roman" w:cs="Times New Roman"/>
          <w:color w:val="000000"/>
          <w:sz w:val="22"/>
          <w:szCs w:val="22"/>
          <w:highlight w:val="yellow"/>
          <w:lang w:val="en-GB"/>
        </w:rPr>
      </w:pPr>
    </w:p>
    <w:p w14:paraId="3D3CD9D1" w14:textId="77777777" w:rsidR="009A2C7F" w:rsidRPr="00AE2F32" w:rsidRDefault="009A2C7F" w:rsidP="009A2C7F">
      <w:pPr>
        <w:pStyle w:val="Heading2"/>
        <w:numPr>
          <w:ilvl w:val="0"/>
          <w:numId w:val="14"/>
        </w:numPr>
        <w:spacing w:before="0"/>
        <w:jc w:val="both"/>
        <w:rPr>
          <w:rFonts w:asciiTheme="minorHAnsi" w:hAnsiTheme="minorHAnsi" w:cs="Times New Roman"/>
          <w:noProof/>
          <w:sz w:val="22"/>
          <w:szCs w:val="22"/>
          <w:lang w:val="en-GB"/>
        </w:rPr>
      </w:pPr>
      <w:bookmarkStart w:id="5" w:name="_Toc48038289"/>
      <w:bookmarkStart w:id="6" w:name="_Toc48565927"/>
      <w:r w:rsidRPr="00AE2F32">
        <w:rPr>
          <w:rFonts w:asciiTheme="minorHAnsi" w:hAnsiTheme="minorHAnsi" w:cs="Times New Roman"/>
          <w:noProof/>
          <w:sz w:val="22"/>
          <w:szCs w:val="22"/>
          <w:lang w:val="en-GB"/>
        </w:rPr>
        <w:t>Antidiscrimination and Gender Equality (Paragraph 7 of the Committee Recommendations)</w:t>
      </w:r>
      <w:bookmarkEnd w:id="5"/>
      <w:bookmarkEnd w:id="6"/>
    </w:p>
    <w:p w14:paraId="627CFF0A" w14:textId="77777777" w:rsidR="009A2C7F" w:rsidRPr="00AE2F32" w:rsidRDefault="009A2C7F" w:rsidP="009A2C7F">
      <w:pPr>
        <w:jc w:val="both"/>
        <w:textAlignment w:val="baseline"/>
        <w:rPr>
          <w:rFonts w:eastAsia="Times New Roman" w:cs="Times New Roman"/>
          <w:noProof/>
          <w:color w:val="000000"/>
          <w:sz w:val="22"/>
          <w:szCs w:val="22"/>
          <w:lang w:val="en-GB"/>
        </w:rPr>
      </w:pPr>
    </w:p>
    <w:p w14:paraId="705113D9" w14:textId="0F720408" w:rsidR="009A2C7F" w:rsidRPr="00AE2F32" w:rsidRDefault="009A2C7F" w:rsidP="009A2C7F">
      <w:pPr>
        <w:ind w:left="720"/>
        <w:jc w:val="both"/>
        <w:textAlignment w:val="baseline"/>
        <w:rPr>
          <w:rFonts w:eastAsia="Times New Roman" w:cs="Times New Roman"/>
          <w:noProof/>
          <w:color w:val="000000"/>
          <w:sz w:val="22"/>
          <w:szCs w:val="22"/>
          <w:lang w:val="en-GB"/>
        </w:rPr>
      </w:pPr>
      <w:r w:rsidRPr="00AE2F32">
        <w:rPr>
          <w:rFonts w:eastAsia="Times New Roman" w:cs="Times New Roman"/>
          <w:noProof/>
          <w:color w:val="000000"/>
          <w:sz w:val="22"/>
          <w:szCs w:val="22"/>
          <w:lang w:val="en-GB"/>
        </w:rPr>
        <w:t xml:space="preserve">See Coalition’s assessment </w:t>
      </w:r>
      <w:r w:rsidR="00810401">
        <w:rPr>
          <w:rFonts w:eastAsia="Times New Roman" w:cs="Times New Roman"/>
          <w:noProof/>
          <w:color w:val="000000"/>
          <w:sz w:val="22"/>
          <w:szCs w:val="22"/>
          <w:lang w:val="en-GB"/>
        </w:rPr>
        <w:t>under A</w:t>
      </w:r>
      <w:r w:rsidRPr="00AE2F32">
        <w:rPr>
          <w:rFonts w:eastAsia="Times New Roman" w:cs="Times New Roman"/>
          <w:noProof/>
          <w:color w:val="000000"/>
          <w:sz w:val="22"/>
          <w:szCs w:val="22"/>
          <w:lang w:val="en-GB"/>
        </w:rPr>
        <w:t xml:space="preserve">rticle 3 </w:t>
      </w:r>
    </w:p>
    <w:p w14:paraId="71735747" w14:textId="77777777" w:rsidR="009A2C7F" w:rsidRPr="00AE2F32" w:rsidRDefault="009A2C7F" w:rsidP="009A2C7F">
      <w:pPr>
        <w:jc w:val="both"/>
        <w:textAlignment w:val="baseline"/>
        <w:rPr>
          <w:rFonts w:eastAsia="Times New Roman" w:cs="Times New Roman"/>
          <w:noProof/>
          <w:color w:val="000000"/>
          <w:sz w:val="22"/>
          <w:szCs w:val="22"/>
          <w:lang w:val="en-GB"/>
        </w:rPr>
      </w:pPr>
    </w:p>
    <w:p w14:paraId="70E82AE9" w14:textId="77777777" w:rsidR="009A2C7F" w:rsidRPr="00AE2F32" w:rsidRDefault="009A2C7F" w:rsidP="009A2C7F">
      <w:pPr>
        <w:pStyle w:val="Heading2"/>
        <w:numPr>
          <w:ilvl w:val="0"/>
          <w:numId w:val="14"/>
        </w:numPr>
        <w:spacing w:before="0"/>
        <w:jc w:val="both"/>
        <w:rPr>
          <w:rFonts w:asciiTheme="minorHAnsi" w:hAnsiTheme="minorHAnsi" w:cs="Times New Roman"/>
          <w:noProof/>
          <w:sz w:val="22"/>
          <w:szCs w:val="22"/>
          <w:lang w:val="en-GB"/>
        </w:rPr>
      </w:pPr>
      <w:bookmarkStart w:id="7" w:name="_Toc48565928"/>
      <w:bookmarkStart w:id="8" w:name="_Toc48038290"/>
      <w:r w:rsidRPr="00AE2F32">
        <w:rPr>
          <w:rFonts w:asciiTheme="minorHAnsi" w:hAnsiTheme="minorHAnsi" w:cs="Times New Roman"/>
          <w:noProof/>
          <w:sz w:val="22"/>
          <w:szCs w:val="22"/>
          <w:lang w:val="en-GB"/>
        </w:rPr>
        <w:t>Discrimination on the grounds of sexual orientation and gender identity (Paragraph 8 of the Committee Recommendations)</w:t>
      </w:r>
      <w:bookmarkEnd w:id="7"/>
    </w:p>
    <w:bookmarkEnd w:id="8"/>
    <w:p w14:paraId="15C3310C" w14:textId="77777777" w:rsidR="009A2C7F" w:rsidRPr="00AE2F32" w:rsidRDefault="009A2C7F" w:rsidP="009A2C7F">
      <w:pPr>
        <w:jc w:val="both"/>
        <w:textAlignment w:val="baseline"/>
        <w:rPr>
          <w:rFonts w:eastAsia="Times New Roman" w:cs="Times New Roman"/>
          <w:noProof/>
          <w:color w:val="000000"/>
          <w:sz w:val="22"/>
          <w:szCs w:val="22"/>
          <w:lang w:val="en-GB"/>
        </w:rPr>
      </w:pPr>
    </w:p>
    <w:p w14:paraId="7C3D4B55" w14:textId="16812C6A" w:rsidR="009A2C7F" w:rsidRPr="00AE2F32" w:rsidRDefault="009A2C7F" w:rsidP="009A2C7F">
      <w:pPr>
        <w:ind w:left="720"/>
        <w:jc w:val="both"/>
        <w:textAlignment w:val="baseline"/>
        <w:rPr>
          <w:rFonts w:eastAsia="Times New Roman" w:cs="Times New Roman"/>
          <w:noProof/>
          <w:color w:val="000000"/>
          <w:sz w:val="22"/>
          <w:szCs w:val="22"/>
          <w:lang w:val="en-GB"/>
        </w:rPr>
      </w:pPr>
      <w:r w:rsidRPr="00AE2F32">
        <w:rPr>
          <w:rFonts w:eastAsia="Times New Roman" w:cs="Times New Roman"/>
          <w:noProof/>
          <w:color w:val="000000"/>
          <w:sz w:val="22"/>
          <w:szCs w:val="22"/>
          <w:lang w:val="en-GB"/>
        </w:rPr>
        <w:t xml:space="preserve">See Coalition’s assessment </w:t>
      </w:r>
      <w:r w:rsidR="00810401">
        <w:rPr>
          <w:rFonts w:eastAsia="Times New Roman" w:cs="Times New Roman"/>
          <w:noProof/>
          <w:color w:val="000000"/>
          <w:sz w:val="22"/>
          <w:szCs w:val="22"/>
          <w:lang w:val="en-GB"/>
        </w:rPr>
        <w:t>under A</w:t>
      </w:r>
      <w:r w:rsidRPr="00AE2F32">
        <w:rPr>
          <w:rFonts w:eastAsia="Times New Roman" w:cs="Times New Roman"/>
          <w:noProof/>
          <w:color w:val="000000"/>
          <w:sz w:val="22"/>
          <w:szCs w:val="22"/>
          <w:lang w:val="en-GB"/>
        </w:rPr>
        <w:t xml:space="preserve">rticles 2 and 3 </w:t>
      </w:r>
    </w:p>
    <w:p w14:paraId="56800200" w14:textId="77777777" w:rsidR="009A2C7F" w:rsidRPr="00AE2F32" w:rsidRDefault="009A2C7F" w:rsidP="009A2C7F">
      <w:pPr>
        <w:jc w:val="both"/>
        <w:rPr>
          <w:rFonts w:cs="Times New Roman"/>
          <w:noProof/>
          <w:sz w:val="22"/>
          <w:szCs w:val="22"/>
          <w:lang w:val="en-GB"/>
        </w:rPr>
      </w:pPr>
    </w:p>
    <w:p w14:paraId="07D9993D" w14:textId="4DA13ADF" w:rsidR="009A2C7F" w:rsidRPr="00AE2F32" w:rsidRDefault="009A2C7F" w:rsidP="009A2C7F">
      <w:pPr>
        <w:pStyle w:val="Heading2"/>
        <w:numPr>
          <w:ilvl w:val="0"/>
          <w:numId w:val="14"/>
        </w:numPr>
        <w:spacing w:before="0"/>
        <w:jc w:val="both"/>
        <w:rPr>
          <w:rFonts w:asciiTheme="minorHAnsi" w:hAnsiTheme="minorHAnsi" w:cs="Times New Roman"/>
          <w:noProof/>
          <w:sz w:val="22"/>
          <w:szCs w:val="22"/>
          <w:lang w:val="en-GB"/>
        </w:rPr>
      </w:pPr>
      <w:bookmarkStart w:id="9" w:name="_Toc48565929"/>
      <w:bookmarkStart w:id="10" w:name="_Toc48038291"/>
      <w:r w:rsidRPr="00AE2F32">
        <w:rPr>
          <w:rFonts w:asciiTheme="minorHAnsi" w:hAnsiTheme="minorHAnsi" w:cs="Times New Roman"/>
          <w:noProof/>
          <w:sz w:val="22"/>
          <w:szCs w:val="22"/>
          <w:lang w:val="en-GB"/>
        </w:rPr>
        <w:t>Domestic violence and corporal punishment of children (Paragraph 9 of the Committee Recommendations)</w:t>
      </w:r>
      <w:bookmarkEnd w:id="9"/>
    </w:p>
    <w:bookmarkEnd w:id="10"/>
    <w:p w14:paraId="0C052266" w14:textId="77777777" w:rsidR="009A2C7F" w:rsidRPr="00AE2F32" w:rsidRDefault="009A2C7F" w:rsidP="009A2C7F">
      <w:pPr>
        <w:autoSpaceDE w:val="0"/>
        <w:autoSpaceDN w:val="0"/>
        <w:adjustRightInd w:val="0"/>
        <w:jc w:val="both"/>
        <w:rPr>
          <w:rFonts w:cs="Times New Roman"/>
          <w:noProof/>
          <w:sz w:val="22"/>
          <w:szCs w:val="22"/>
          <w:shd w:val="clear" w:color="auto" w:fill="FFFFFF"/>
          <w:lang w:val="en-GB"/>
        </w:rPr>
      </w:pPr>
    </w:p>
    <w:p w14:paraId="2F3E8869" w14:textId="1942B7A8" w:rsidR="009A2C7F" w:rsidRPr="00AE2F32" w:rsidRDefault="006A09A1" w:rsidP="009A2C7F">
      <w:pPr>
        <w:autoSpaceDE w:val="0"/>
        <w:autoSpaceDN w:val="0"/>
        <w:adjustRightInd w:val="0"/>
        <w:jc w:val="both"/>
        <w:rPr>
          <w:rFonts w:cs="Times New Roman"/>
          <w:noProof/>
          <w:sz w:val="22"/>
          <w:szCs w:val="22"/>
          <w:shd w:val="clear" w:color="auto" w:fill="FFFFFF"/>
          <w:lang w:val="en-GB"/>
        </w:rPr>
      </w:pPr>
      <w:r>
        <w:rPr>
          <w:rFonts w:cs="Times New Roman"/>
          <w:noProof/>
          <w:sz w:val="22"/>
          <w:szCs w:val="22"/>
          <w:shd w:val="clear" w:color="auto" w:fill="FFFFFF"/>
          <w:lang w:val="en-GB"/>
        </w:rPr>
        <w:t>The</w:t>
      </w:r>
      <w:r w:rsidR="009A2C7F" w:rsidRPr="00AE2F32">
        <w:rPr>
          <w:rFonts w:cs="Times New Roman"/>
          <w:noProof/>
          <w:sz w:val="22"/>
          <w:szCs w:val="22"/>
          <w:shd w:val="clear" w:color="auto" w:fill="FFFFFF"/>
          <w:lang w:val="en-GB"/>
        </w:rPr>
        <w:t xml:space="preserve"> measures taken by the state in recent years for </w:t>
      </w:r>
      <w:r w:rsidR="009A2C7F" w:rsidRPr="00AE2F32">
        <w:rPr>
          <w:rFonts w:cs="Times New Roman"/>
          <w:sz w:val="22"/>
          <w:szCs w:val="22"/>
          <w:shd w:val="clear" w:color="auto" w:fill="FFFFFF"/>
          <w:lang w:val="en-GB"/>
        </w:rPr>
        <w:t xml:space="preserve">combating </w:t>
      </w:r>
      <w:r w:rsidR="009A2C7F" w:rsidRPr="00AE2F32">
        <w:rPr>
          <w:rFonts w:cs="Times New Roman"/>
          <w:noProof/>
          <w:sz w:val="22"/>
          <w:szCs w:val="22"/>
          <w:shd w:val="clear" w:color="auto" w:fill="FFFFFF"/>
          <w:lang w:val="en-GB"/>
        </w:rPr>
        <w:t xml:space="preserve">domestic violence and gender-based violence against women have to be assessed positively. In this regard, the most important step was </w:t>
      </w:r>
      <w:r w:rsidR="00BE09B6">
        <w:rPr>
          <w:rFonts w:cs="Times New Roman"/>
          <w:noProof/>
          <w:sz w:val="22"/>
          <w:szCs w:val="22"/>
          <w:shd w:val="clear" w:color="auto" w:fill="FFFFFF"/>
          <w:lang w:val="en-GB"/>
        </w:rPr>
        <w:t xml:space="preserve">the </w:t>
      </w:r>
      <w:r w:rsidR="009A2C7F" w:rsidRPr="00AE2F32">
        <w:rPr>
          <w:rFonts w:cs="Times New Roman"/>
          <w:noProof/>
          <w:sz w:val="22"/>
          <w:szCs w:val="22"/>
          <w:shd w:val="clear" w:color="auto" w:fill="FFFFFF"/>
          <w:lang w:val="en-GB"/>
        </w:rPr>
        <w:t xml:space="preserve">ratification of the 2011 Council of Europe Convention on “Preventing and Combating Violence against Women and Domestic Violence” (Istanbul Convention). Certain measures and reforms have already been adopted on the domestic level for </w:t>
      </w:r>
      <w:r w:rsidR="00BE09B6">
        <w:rPr>
          <w:rFonts w:cs="Times New Roman"/>
          <w:noProof/>
          <w:sz w:val="22"/>
          <w:szCs w:val="22"/>
          <w:shd w:val="clear" w:color="auto" w:fill="FFFFFF"/>
          <w:lang w:val="en-GB"/>
        </w:rPr>
        <w:t xml:space="preserve">the </w:t>
      </w:r>
      <w:r w:rsidR="009A2C7F" w:rsidRPr="00AE2F32">
        <w:rPr>
          <w:rFonts w:cs="Times New Roman"/>
          <w:noProof/>
          <w:sz w:val="22"/>
          <w:szCs w:val="22"/>
          <w:shd w:val="clear" w:color="auto" w:fill="FFFFFF"/>
          <w:lang w:val="en-GB"/>
        </w:rPr>
        <w:t>fulfillment of obligations in the Convention. However, the legislation is not</w:t>
      </w:r>
      <w:r>
        <w:rPr>
          <w:rFonts w:cs="Times New Roman"/>
          <w:noProof/>
          <w:sz w:val="22"/>
          <w:szCs w:val="22"/>
          <w:shd w:val="clear" w:color="auto" w:fill="FFFFFF"/>
          <w:lang w:val="en-GB"/>
        </w:rPr>
        <w:t xml:space="preserve"> still</w:t>
      </w:r>
      <w:r w:rsidR="009A2C7F" w:rsidRPr="00AE2F32">
        <w:rPr>
          <w:rFonts w:cs="Times New Roman"/>
          <w:noProof/>
          <w:sz w:val="22"/>
          <w:szCs w:val="22"/>
          <w:shd w:val="clear" w:color="auto" w:fill="FFFFFF"/>
          <w:lang w:val="en-GB"/>
        </w:rPr>
        <w:t xml:space="preserve"> in full compliance with Convention provisions.</w:t>
      </w:r>
      <w:r w:rsidR="009A2C7F" w:rsidRPr="00AE2F32">
        <w:rPr>
          <w:rStyle w:val="FootnoteReference"/>
          <w:rFonts w:eastAsia="Times New Roman" w:cs="Times New Roman"/>
          <w:bCs/>
          <w:noProof/>
          <w:sz w:val="22"/>
          <w:szCs w:val="22"/>
          <w:lang w:val="en-GB" w:eastAsia="x-none"/>
        </w:rPr>
        <w:footnoteReference w:id="1"/>
      </w:r>
    </w:p>
    <w:p w14:paraId="0D03FA04" w14:textId="77777777" w:rsidR="009A2C7F" w:rsidRPr="00AE2F32" w:rsidRDefault="009A2C7F" w:rsidP="009A2C7F">
      <w:pPr>
        <w:autoSpaceDE w:val="0"/>
        <w:autoSpaceDN w:val="0"/>
        <w:adjustRightInd w:val="0"/>
        <w:jc w:val="both"/>
        <w:rPr>
          <w:rFonts w:cs="Times New Roman"/>
          <w:noProof/>
          <w:sz w:val="22"/>
          <w:szCs w:val="22"/>
          <w:shd w:val="clear" w:color="auto" w:fill="FFFFFF"/>
          <w:lang w:val="en-GB"/>
        </w:rPr>
      </w:pPr>
    </w:p>
    <w:p w14:paraId="6C9B2512" w14:textId="0B45E371" w:rsidR="009A2C7F" w:rsidRPr="00AE2F32" w:rsidRDefault="009A2C7F" w:rsidP="009A2C7F">
      <w:pPr>
        <w:jc w:val="both"/>
        <w:rPr>
          <w:rFonts w:cs="Times New Roman"/>
          <w:noProof/>
          <w:sz w:val="22"/>
          <w:szCs w:val="22"/>
          <w:lang w:val="en-GB"/>
        </w:rPr>
      </w:pPr>
      <w:r w:rsidRPr="00AE2F32">
        <w:rPr>
          <w:rFonts w:cs="Times New Roman"/>
          <w:noProof/>
          <w:sz w:val="22"/>
          <w:szCs w:val="22"/>
          <w:lang w:val="en-GB"/>
        </w:rPr>
        <w:t xml:space="preserve">Despite legislative </w:t>
      </w:r>
      <w:r w:rsidR="00BE09B6">
        <w:rPr>
          <w:rFonts w:cs="Times New Roman"/>
          <w:noProof/>
          <w:sz w:val="22"/>
          <w:szCs w:val="22"/>
          <w:lang w:val="en-GB"/>
        </w:rPr>
        <w:t>recognition</w:t>
      </w:r>
      <w:r w:rsidRPr="00AE2F32">
        <w:rPr>
          <w:rFonts w:cs="Times New Roman"/>
          <w:noProof/>
          <w:sz w:val="22"/>
          <w:szCs w:val="22"/>
          <w:lang w:val="en-GB"/>
        </w:rPr>
        <w:t xml:space="preserve"> of gender equality, still</w:t>
      </w:r>
      <w:r w:rsidR="00BE09B6">
        <w:rPr>
          <w:rFonts w:cs="Times New Roman"/>
          <w:noProof/>
          <w:sz w:val="22"/>
          <w:szCs w:val="22"/>
          <w:lang w:val="en-GB"/>
        </w:rPr>
        <w:t>,</w:t>
      </w:r>
      <w:r w:rsidRPr="00AE2F32">
        <w:rPr>
          <w:rFonts w:cs="Times New Roman"/>
          <w:noProof/>
          <w:sz w:val="22"/>
          <w:szCs w:val="22"/>
          <w:lang w:val="en-GB"/>
        </w:rPr>
        <w:t xml:space="preserve"> enforcement of these rights is problematic.  Clear vision about what is</w:t>
      </w:r>
      <w:r w:rsidR="00BE09B6">
        <w:rPr>
          <w:rFonts w:cs="Times New Roman"/>
          <w:noProof/>
          <w:sz w:val="22"/>
          <w:szCs w:val="22"/>
          <w:lang w:val="en-GB"/>
        </w:rPr>
        <w:t xml:space="preserve"> </w:t>
      </w:r>
      <w:r w:rsidRPr="00AE2F32">
        <w:rPr>
          <w:rFonts w:cs="Times New Roman"/>
          <w:noProof/>
          <w:sz w:val="22"/>
          <w:szCs w:val="22"/>
          <w:lang w:val="en-GB"/>
        </w:rPr>
        <w:t xml:space="preserve">a gender-based motive is crucial. </w:t>
      </w:r>
      <w:r w:rsidR="00BE09B6">
        <w:rPr>
          <w:rFonts w:cs="Times New Roman"/>
          <w:noProof/>
          <w:sz w:val="22"/>
          <w:szCs w:val="22"/>
          <w:lang w:val="en-GB"/>
        </w:rPr>
        <w:t>Although</w:t>
      </w:r>
      <w:r w:rsidRPr="00AE2F32">
        <w:rPr>
          <w:rFonts w:cs="Times New Roman"/>
          <w:noProof/>
          <w:sz w:val="22"/>
          <w:szCs w:val="22"/>
          <w:lang w:val="en-GB"/>
        </w:rPr>
        <w:t xml:space="preserve"> in the recent years, the Prosecutor’s office and the Court changed their approaches and act </w:t>
      </w:r>
      <w:r w:rsidR="00BE09B6">
        <w:rPr>
          <w:rFonts w:cs="Times New Roman"/>
          <w:noProof/>
          <w:sz w:val="22"/>
          <w:szCs w:val="22"/>
          <w:lang w:val="en-GB"/>
        </w:rPr>
        <w:t>more positively and responsibly</w:t>
      </w:r>
      <w:r w:rsidRPr="00AE2F32">
        <w:rPr>
          <w:rFonts w:cs="Times New Roman"/>
          <w:noProof/>
          <w:sz w:val="22"/>
          <w:szCs w:val="22"/>
          <w:lang w:val="en-GB"/>
        </w:rPr>
        <w:t>, identification of a motive</w:t>
      </w:r>
      <w:r w:rsidR="001B38F1">
        <w:rPr>
          <w:rFonts w:cs="Times New Roman"/>
          <w:noProof/>
          <w:sz w:val="22"/>
          <w:szCs w:val="22"/>
          <w:lang w:val="en-GB"/>
        </w:rPr>
        <w:t>,</w:t>
      </w:r>
      <w:r w:rsidRPr="00AE2F32">
        <w:rPr>
          <w:rFonts w:cs="Times New Roman"/>
          <w:noProof/>
          <w:sz w:val="22"/>
          <w:szCs w:val="22"/>
          <w:lang w:val="en-GB"/>
        </w:rPr>
        <w:t xml:space="preserve"> and </w:t>
      </w:r>
      <w:r w:rsidR="00FF31EB">
        <w:rPr>
          <w:rFonts w:cs="Times New Roman"/>
          <w:noProof/>
          <w:sz w:val="22"/>
          <w:szCs w:val="22"/>
          <w:lang w:val="en-GB"/>
        </w:rPr>
        <w:t>its</w:t>
      </w:r>
      <w:r w:rsidR="00FF31EB" w:rsidRPr="00AE2F32">
        <w:rPr>
          <w:rFonts w:cs="Times New Roman"/>
          <w:noProof/>
          <w:sz w:val="22"/>
          <w:szCs w:val="22"/>
          <w:lang w:val="en-GB"/>
        </w:rPr>
        <w:t xml:space="preserve"> </w:t>
      </w:r>
      <w:r w:rsidRPr="00AE2F32">
        <w:rPr>
          <w:rFonts w:cs="Times New Roman"/>
          <w:noProof/>
          <w:sz w:val="22"/>
          <w:szCs w:val="22"/>
          <w:lang w:val="en-GB"/>
        </w:rPr>
        <w:t>reflection in the courts</w:t>
      </w:r>
      <w:r w:rsidR="00FF31EB">
        <w:rPr>
          <w:rFonts w:cs="Times New Roman"/>
          <w:noProof/>
          <w:sz w:val="22"/>
          <w:szCs w:val="22"/>
          <w:lang w:val="en-GB"/>
        </w:rPr>
        <w:t>’ judgments</w:t>
      </w:r>
      <w:r w:rsidRPr="00AE2F32">
        <w:rPr>
          <w:rFonts w:cs="Times New Roman"/>
          <w:noProof/>
          <w:sz w:val="22"/>
          <w:szCs w:val="22"/>
          <w:lang w:val="en-GB"/>
        </w:rPr>
        <w:t xml:space="preserve"> is still problematic.</w:t>
      </w:r>
      <w:r w:rsidRPr="00AE2F32">
        <w:rPr>
          <w:rStyle w:val="FootnoteReference"/>
          <w:rFonts w:cs="Times New Roman"/>
          <w:noProof/>
          <w:sz w:val="22"/>
          <w:szCs w:val="22"/>
          <w:lang w:val="en-GB"/>
        </w:rPr>
        <w:footnoteReference w:id="2"/>
      </w:r>
    </w:p>
    <w:p w14:paraId="11E9EE64" w14:textId="77777777" w:rsidR="00EB1CFE" w:rsidRPr="00AE2F32" w:rsidRDefault="00EB1CFE" w:rsidP="00EB1C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cs="Sylfaen"/>
          <w:sz w:val="22"/>
          <w:szCs w:val="22"/>
          <w:highlight w:val="yellow"/>
          <w:shd w:val="clear" w:color="auto" w:fill="FFFFFF"/>
          <w:lang w:val="en-GB"/>
        </w:rPr>
      </w:pPr>
    </w:p>
    <w:p w14:paraId="3C86D9EC" w14:textId="264273EC" w:rsidR="009A2C7F" w:rsidRPr="00AE2F32" w:rsidRDefault="009A2C7F" w:rsidP="009A2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cs="Times New Roman"/>
          <w:noProof/>
          <w:sz w:val="22"/>
          <w:szCs w:val="22"/>
          <w:shd w:val="clear" w:color="auto" w:fill="FFFFFF"/>
          <w:lang w:val="en-GB"/>
        </w:rPr>
      </w:pPr>
      <w:r w:rsidRPr="00AE2F32">
        <w:rPr>
          <w:rFonts w:cs="Times New Roman"/>
          <w:noProof/>
          <w:sz w:val="22"/>
          <w:szCs w:val="22"/>
          <w:shd w:val="clear" w:color="auto" w:fill="FFFFFF"/>
          <w:lang w:val="en-GB"/>
        </w:rPr>
        <w:t xml:space="preserve">Prevention of femicide and effective </w:t>
      </w:r>
      <w:r w:rsidR="00BE09B6">
        <w:rPr>
          <w:rFonts w:cs="Times New Roman"/>
          <w:noProof/>
          <w:sz w:val="22"/>
          <w:szCs w:val="22"/>
          <w:shd w:val="clear" w:color="auto" w:fill="FFFFFF"/>
          <w:lang w:val="en-GB"/>
        </w:rPr>
        <w:t>fulfillment</w:t>
      </w:r>
      <w:r w:rsidRPr="00AE2F32">
        <w:rPr>
          <w:rFonts w:cs="Times New Roman"/>
          <w:noProof/>
          <w:sz w:val="22"/>
          <w:szCs w:val="22"/>
          <w:shd w:val="clear" w:color="auto" w:fill="FFFFFF"/>
          <w:lang w:val="en-GB"/>
        </w:rPr>
        <w:t xml:space="preserve"> of judicial and law enforcement functions remain problematic. The highest number of murders against women was observed in 2014 (35 incidents), in the coming years this number decreased (18 incidents each for 2017 and 2018 years)</w:t>
      </w:r>
      <w:r w:rsidR="00E375FD">
        <w:rPr>
          <w:rFonts w:cs="Times New Roman"/>
          <w:noProof/>
          <w:sz w:val="22"/>
          <w:szCs w:val="22"/>
          <w:shd w:val="clear" w:color="auto" w:fill="FFFFFF"/>
          <w:lang w:val="en-GB"/>
        </w:rPr>
        <w:t>.</w:t>
      </w:r>
      <w:r w:rsidRPr="00AE2F32">
        <w:rPr>
          <w:rStyle w:val="FootnoteReference"/>
          <w:rFonts w:cs="Times New Roman"/>
          <w:noProof/>
          <w:sz w:val="22"/>
          <w:szCs w:val="22"/>
          <w:lang w:val="en-GB"/>
        </w:rPr>
        <w:t xml:space="preserve"> </w:t>
      </w:r>
      <w:r w:rsidRPr="00AE2F32">
        <w:rPr>
          <w:rStyle w:val="FootnoteReference"/>
          <w:rFonts w:cs="Times New Roman"/>
          <w:noProof/>
          <w:sz w:val="22"/>
          <w:szCs w:val="22"/>
          <w:lang w:val="en-GB"/>
        </w:rPr>
        <w:footnoteReference w:id="3"/>
      </w:r>
      <w:r w:rsidRPr="00AE2F32">
        <w:rPr>
          <w:rFonts w:cs="Times New Roman"/>
          <w:noProof/>
          <w:sz w:val="22"/>
          <w:szCs w:val="22"/>
          <w:lang w:val="en-GB"/>
        </w:rPr>
        <w:t xml:space="preserve"> </w:t>
      </w:r>
      <w:r w:rsidR="00E375FD">
        <w:rPr>
          <w:rFonts w:cs="Times New Roman"/>
          <w:noProof/>
          <w:sz w:val="22"/>
          <w:szCs w:val="22"/>
          <w:lang w:val="en-GB"/>
        </w:rPr>
        <w:t>H</w:t>
      </w:r>
      <w:r w:rsidRPr="00AE2F32">
        <w:rPr>
          <w:rFonts w:cs="Times New Roman"/>
          <w:noProof/>
          <w:sz w:val="22"/>
          <w:szCs w:val="22"/>
          <w:lang w:val="en-GB"/>
        </w:rPr>
        <w:t>owever, this number is still alarming in 2020, as by March 8, 8 women had been killed.</w:t>
      </w:r>
      <w:r w:rsidRPr="00AE2F32">
        <w:rPr>
          <w:rStyle w:val="FootnoteReference"/>
          <w:rFonts w:cs="Times New Roman"/>
          <w:noProof/>
          <w:sz w:val="22"/>
          <w:szCs w:val="22"/>
          <w:lang w:val="en-GB"/>
        </w:rPr>
        <w:footnoteReference w:id="4"/>
      </w:r>
    </w:p>
    <w:p w14:paraId="5541FC9A" w14:textId="5E65EE76" w:rsidR="009A2C7F" w:rsidRPr="00AE2F32" w:rsidRDefault="009A2C7F" w:rsidP="009A2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cs="Times New Roman"/>
          <w:noProof/>
          <w:sz w:val="22"/>
          <w:szCs w:val="22"/>
          <w:lang w:val="en-GB"/>
        </w:rPr>
      </w:pPr>
      <w:r w:rsidRPr="00AE2F32">
        <w:rPr>
          <w:rFonts w:cs="Times New Roman"/>
          <w:noProof/>
          <w:sz w:val="22"/>
          <w:szCs w:val="22"/>
          <w:lang w:val="en-GB"/>
        </w:rPr>
        <w:lastRenderedPageBreak/>
        <w:t>It is noteworthy, that on September 5, 2017, GYLA in cooperation with European Human Rights Advocacy Centre (EHRAC) submitted the case on femicide to the Committee on the Elimination of Discrimination against Women (CEDAW).</w:t>
      </w:r>
      <w:r w:rsidRPr="00AE2F32">
        <w:rPr>
          <w:rStyle w:val="FootnoteReference"/>
          <w:rFonts w:cs="Times New Roman"/>
          <w:noProof/>
          <w:sz w:val="22"/>
          <w:szCs w:val="22"/>
          <w:lang w:val="en-GB"/>
        </w:rPr>
        <w:footnoteReference w:id="5"/>
      </w:r>
      <w:r w:rsidRPr="00AE2F32">
        <w:rPr>
          <w:rFonts w:cs="Times New Roman"/>
          <w:noProof/>
          <w:sz w:val="22"/>
          <w:szCs w:val="22"/>
          <w:lang w:val="en-GB"/>
        </w:rPr>
        <w:t xml:space="preserve"> The case concerns state inaction to prevent femicide and inadequate investigation of the crime, which illustrates systemic problems of discrimination against women in Georgia. These tragedies </w:t>
      </w:r>
      <w:r w:rsidR="00E375FD">
        <w:rPr>
          <w:rFonts w:cs="Times New Roman"/>
          <w:noProof/>
          <w:sz w:val="22"/>
          <w:szCs w:val="22"/>
          <w:lang w:val="en-GB"/>
        </w:rPr>
        <w:t>demonstrate that state measures are</w:t>
      </w:r>
      <w:r w:rsidRPr="00AE2F32">
        <w:rPr>
          <w:rFonts w:cs="Times New Roman"/>
          <w:noProof/>
          <w:sz w:val="22"/>
          <w:szCs w:val="22"/>
          <w:lang w:val="en-GB"/>
        </w:rPr>
        <w:t xml:space="preserve"> largely chaotic and fragmented, which decreases </w:t>
      </w:r>
      <w:r w:rsidR="00BE09B6">
        <w:rPr>
          <w:rFonts w:cs="Times New Roman"/>
          <w:noProof/>
          <w:sz w:val="22"/>
          <w:szCs w:val="22"/>
          <w:lang w:val="en-GB"/>
        </w:rPr>
        <w:t xml:space="preserve">the </w:t>
      </w:r>
      <w:r w:rsidRPr="00AE2F32">
        <w:rPr>
          <w:rFonts w:cs="Times New Roman"/>
          <w:noProof/>
          <w:sz w:val="22"/>
          <w:szCs w:val="22"/>
          <w:lang w:val="en-GB"/>
        </w:rPr>
        <w:t xml:space="preserve">effectiveness of preventive mechanisms. </w:t>
      </w:r>
    </w:p>
    <w:p w14:paraId="5F849009" w14:textId="77777777" w:rsidR="009A2C7F" w:rsidRPr="00AE2F32" w:rsidRDefault="009A2C7F" w:rsidP="009A2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cs="Times New Roman"/>
          <w:noProof/>
          <w:sz w:val="22"/>
          <w:szCs w:val="22"/>
          <w:shd w:val="clear" w:color="auto" w:fill="FFFFFF"/>
          <w:lang w:val="en-GB"/>
        </w:rPr>
      </w:pPr>
    </w:p>
    <w:p w14:paraId="7B969F47" w14:textId="35C74615" w:rsidR="009A2C7F" w:rsidRPr="00AE2F32" w:rsidRDefault="009A2C7F" w:rsidP="009A2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Times New Roman" w:cs="Times New Roman"/>
          <w:bCs/>
          <w:noProof/>
          <w:sz w:val="22"/>
          <w:szCs w:val="22"/>
          <w:lang w:val="en-GB" w:eastAsia="x-none"/>
        </w:rPr>
      </w:pPr>
      <w:r w:rsidRPr="00AE2F32">
        <w:rPr>
          <w:rFonts w:eastAsia="Times New Roman" w:cs="Times New Roman"/>
          <w:bCs/>
          <w:noProof/>
          <w:sz w:val="22"/>
          <w:szCs w:val="22"/>
          <w:lang w:val="en-GB" w:eastAsia="x-none"/>
        </w:rPr>
        <w:t xml:space="preserve">One of the core components in combating domestic violence and violence against women is </w:t>
      </w:r>
      <w:r w:rsidR="00BE09B6">
        <w:rPr>
          <w:rFonts w:eastAsia="Times New Roman" w:cs="Times New Roman"/>
          <w:bCs/>
          <w:noProof/>
          <w:sz w:val="22"/>
          <w:szCs w:val="22"/>
          <w:lang w:val="en-GB" w:eastAsia="x-none"/>
        </w:rPr>
        <w:t xml:space="preserve">the </w:t>
      </w:r>
      <w:r w:rsidRPr="00AE2F32">
        <w:rPr>
          <w:rFonts w:eastAsia="Times New Roman" w:cs="Times New Roman"/>
          <w:bCs/>
          <w:noProof/>
          <w:sz w:val="22"/>
          <w:szCs w:val="22"/>
          <w:lang w:val="en-GB" w:eastAsia="x-none"/>
        </w:rPr>
        <w:t xml:space="preserve">protection of victims and their support. </w:t>
      </w:r>
      <w:r w:rsidR="00F84E02">
        <w:rPr>
          <w:rFonts w:eastAsia="Times New Roman" w:cs="Times New Roman"/>
          <w:bCs/>
          <w:noProof/>
          <w:sz w:val="22"/>
          <w:szCs w:val="22"/>
          <w:lang w:val="en-GB" w:eastAsia="x-none"/>
        </w:rPr>
        <w:t>To identify</w:t>
      </w:r>
      <w:r w:rsidRPr="00AE2F32">
        <w:rPr>
          <w:rFonts w:eastAsia="Times New Roman" w:cs="Times New Roman"/>
          <w:bCs/>
          <w:noProof/>
          <w:sz w:val="22"/>
          <w:szCs w:val="22"/>
          <w:lang w:val="en-GB" w:eastAsia="x-none"/>
        </w:rPr>
        <w:t xml:space="preserve"> victims’ needs, it is crucial to develop coordinated and complex </w:t>
      </w:r>
      <w:r w:rsidR="00F84E02">
        <w:rPr>
          <w:rFonts w:eastAsia="Times New Roman" w:cs="Times New Roman"/>
          <w:bCs/>
          <w:noProof/>
          <w:sz w:val="22"/>
          <w:szCs w:val="22"/>
          <w:lang w:val="en-GB" w:eastAsia="x-none"/>
        </w:rPr>
        <w:t xml:space="preserve">responsive </w:t>
      </w:r>
      <w:r w:rsidRPr="00AE2F32">
        <w:rPr>
          <w:rFonts w:eastAsia="Times New Roman" w:cs="Times New Roman"/>
          <w:bCs/>
          <w:noProof/>
          <w:sz w:val="22"/>
          <w:szCs w:val="22"/>
          <w:lang w:val="en-GB" w:eastAsia="x-none"/>
        </w:rPr>
        <w:t xml:space="preserve">mechanisms, which will </w:t>
      </w:r>
      <w:r w:rsidR="000C18ED">
        <w:rPr>
          <w:rFonts w:eastAsia="Times New Roman" w:cs="Times New Roman"/>
          <w:bCs/>
          <w:noProof/>
          <w:sz w:val="22"/>
          <w:szCs w:val="22"/>
          <w:lang w:val="en-GB" w:eastAsia="x-none"/>
        </w:rPr>
        <w:t>consider</w:t>
      </w:r>
      <w:r w:rsidR="00BE09B6">
        <w:rPr>
          <w:rFonts w:eastAsia="Times New Roman" w:cs="Times New Roman"/>
          <w:bCs/>
          <w:noProof/>
          <w:sz w:val="22"/>
          <w:szCs w:val="22"/>
          <w:lang w:val="en-GB" w:eastAsia="x-none"/>
        </w:rPr>
        <w:t xml:space="preserve"> </w:t>
      </w:r>
      <w:r w:rsidRPr="00AE2F32">
        <w:rPr>
          <w:rFonts w:eastAsia="Times New Roman" w:cs="Times New Roman"/>
          <w:bCs/>
          <w:noProof/>
          <w:sz w:val="22"/>
          <w:szCs w:val="22"/>
          <w:lang w:val="en-GB" w:eastAsia="x-none"/>
        </w:rPr>
        <w:t xml:space="preserve">issues of criminal responsibility and prevention of future </w:t>
      </w:r>
      <w:r w:rsidRPr="00AE2F32">
        <w:rPr>
          <w:rFonts w:eastAsia="Times New Roman" w:cs="Times New Roman"/>
          <w:bCs/>
          <w:sz w:val="22"/>
          <w:szCs w:val="22"/>
          <w:lang w:eastAsia="x-none"/>
        </w:rPr>
        <w:t>violence</w:t>
      </w:r>
      <w:r w:rsidRPr="00AE2F32">
        <w:rPr>
          <w:rFonts w:eastAsia="Times New Roman" w:cs="Times New Roman"/>
          <w:bCs/>
          <w:noProof/>
          <w:sz w:val="22"/>
          <w:szCs w:val="22"/>
          <w:lang w:val="en-GB" w:eastAsia="x-none"/>
        </w:rPr>
        <w:t xml:space="preserve">, as well as </w:t>
      </w:r>
      <w:r w:rsidR="00BE09B6">
        <w:rPr>
          <w:rFonts w:eastAsia="Times New Roman" w:cs="Times New Roman"/>
          <w:bCs/>
          <w:noProof/>
          <w:sz w:val="22"/>
          <w:szCs w:val="22"/>
          <w:lang w:val="en-GB" w:eastAsia="x-none"/>
        </w:rPr>
        <w:t>components</w:t>
      </w:r>
      <w:r w:rsidRPr="00AE2F32">
        <w:rPr>
          <w:rFonts w:eastAsia="Times New Roman" w:cs="Times New Roman"/>
          <w:bCs/>
          <w:noProof/>
          <w:sz w:val="22"/>
          <w:szCs w:val="22"/>
          <w:lang w:val="en-GB" w:eastAsia="x-none"/>
        </w:rPr>
        <w:t xml:space="preserve"> of victim support. </w:t>
      </w:r>
    </w:p>
    <w:p w14:paraId="03D13581" w14:textId="77777777" w:rsidR="00AF1A58" w:rsidRPr="00AE2F32" w:rsidRDefault="00AF1A58" w:rsidP="00EB1C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Times New Roman" w:cs="Sylfaen"/>
          <w:bCs/>
          <w:sz w:val="22"/>
          <w:szCs w:val="22"/>
          <w:highlight w:val="yellow"/>
          <w:lang w:val="en-GB" w:eastAsia="x-none"/>
        </w:rPr>
      </w:pPr>
    </w:p>
    <w:p w14:paraId="4A36C875" w14:textId="77777777" w:rsidR="009A2C7F" w:rsidRPr="00AE2F32" w:rsidRDefault="009A2C7F" w:rsidP="009A2C7F">
      <w:pPr>
        <w:shd w:val="clear" w:color="auto" w:fill="C9C9C9" w:themeFill="accent3" w:themeFillTint="99"/>
        <w:jc w:val="both"/>
        <w:rPr>
          <w:rFonts w:cs="Times New Roman"/>
          <w:b/>
          <w:noProof/>
          <w:sz w:val="22"/>
          <w:szCs w:val="22"/>
          <w:lang w:val="en-GB"/>
        </w:rPr>
      </w:pPr>
    </w:p>
    <w:p w14:paraId="67859630" w14:textId="2231EB14" w:rsidR="009A2C7F" w:rsidRPr="000F4173" w:rsidRDefault="009A2C7F" w:rsidP="009A2C7F">
      <w:pPr>
        <w:shd w:val="clear" w:color="auto" w:fill="C9C9C9" w:themeFill="accent3" w:themeFillTint="99"/>
        <w:jc w:val="both"/>
        <w:rPr>
          <w:rFonts w:cs="Times New Roman"/>
          <w:noProof/>
          <w:sz w:val="22"/>
          <w:szCs w:val="22"/>
          <w:lang w:val="en-GB"/>
        </w:rPr>
      </w:pPr>
      <w:r w:rsidRPr="00AE2F32">
        <w:rPr>
          <w:rFonts w:cs="Times New Roman"/>
          <w:b/>
          <w:noProof/>
          <w:sz w:val="22"/>
          <w:szCs w:val="22"/>
          <w:lang w:val="en-GB"/>
        </w:rPr>
        <w:t>Recommendations</w:t>
      </w:r>
    </w:p>
    <w:p w14:paraId="0ADFA89A" w14:textId="5F7F8233" w:rsidR="009A2C7F" w:rsidRPr="00AE2F32" w:rsidRDefault="00FB498A" w:rsidP="009A2C7F">
      <w:pPr>
        <w:pStyle w:val="ListParagraph"/>
        <w:numPr>
          <w:ilvl w:val="0"/>
          <w:numId w:val="4"/>
        </w:numPr>
        <w:shd w:val="clear" w:color="auto" w:fill="C9C9C9" w:themeFill="accent3" w:themeFillTint="99"/>
        <w:jc w:val="both"/>
        <w:rPr>
          <w:rFonts w:cs="Times New Roman"/>
          <w:noProof/>
          <w:sz w:val="22"/>
          <w:szCs w:val="22"/>
          <w:lang w:val="en-GB"/>
        </w:rPr>
      </w:pPr>
      <w:r>
        <w:rPr>
          <w:rFonts w:cs="Times New Roman"/>
          <w:noProof/>
          <w:sz w:val="22"/>
          <w:szCs w:val="22"/>
          <w:lang w:val="en-GB"/>
        </w:rPr>
        <w:t>Create</w:t>
      </w:r>
      <w:r w:rsidR="009A2C7F" w:rsidRPr="00AE2F32">
        <w:rPr>
          <w:rFonts w:cs="Times New Roman"/>
          <w:noProof/>
          <w:sz w:val="22"/>
          <w:szCs w:val="22"/>
          <w:lang w:val="en-GB"/>
        </w:rPr>
        <w:t xml:space="preserve"> systemic preventive mechanisms, which will plan preventive measures for equitable representation of women, among others on the following issues: domestic violence, sexual </w:t>
      </w:r>
      <w:r w:rsidR="00BE09B6">
        <w:rPr>
          <w:rFonts w:cs="Times New Roman"/>
          <w:noProof/>
          <w:sz w:val="22"/>
          <w:szCs w:val="22"/>
          <w:lang w:val="en-GB"/>
        </w:rPr>
        <w:t>harassment</w:t>
      </w:r>
      <w:r w:rsidR="009A2C7F" w:rsidRPr="00AE2F32">
        <w:rPr>
          <w:rFonts w:cs="Times New Roman"/>
          <w:noProof/>
          <w:sz w:val="22"/>
          <w:szCs w:val="22"/>
          <w:lang w:val="en-GB"/>
        </w:rPr>
        <w:t xml:space="preserve">, early and forced marriage; </w:t>
      </w:r>
    </w:p>
    <w:p w14:paraId="4153C468" w14:textId="305B3DF7" w:rsidR="009A2C7F" w:rsidRPr="00AE2F32" w:rsidRDefault="00FB498A" w:rsidP="009A2C7F">
      <w:pPr>
        <w:pStyle w:val="ListParagraph"/>
        <w:numPr>
          <w:ilvl w:val="0"/>
          <w:numId w:val="4"/>
        </w:numPr>
        <w:shd w:val="clear" w:color="auto" w:fill="C9C9C9" w:themeFill="accent3" w:themeFillTint="99"/>
        <w:jc w:val="both"/>
        <w:rPr>
          <w:rFonts w:cs="Times New Roman"/>
          <w:noProof/>
          <w:sz w:val="22"/>
          <w:szCs w:val="22"/>
          <w:lang w:val="en-GB"/>
        </w:rPr>
      </w:pPr>
      <w:r>
        <w:rPr>
          <w:rFonts w:cs="Times New Roman"/>
          <w:noProof/>
          <w:sz w:val="22"/>
          <w:szCs w:val="22"/>
          <w:lang w:val="en-GB"/>
        </w:rPr>
        <w:t xml:space="preserve">Develop and </w:t>
      </w:r>
      <w:r w:rsidR="00BE09B6">
        <w:rPr>
          <w:rFonts w:cs="Times New Roman"/>
          <w:noProof/>
          <w:sz w:val="22"/>
          <w:szCs w:val="22"/>
          <w:lang w:val="en-GB"/>
        </w:rPr>
        <w:t>implement</w:t>
      </w:r>
      <w:r>
        <w:rPr>
          <w:rFonts w:cs="Times New Roman"/>
          <w:noProof/>
          <w:sz w:val="22"/>
          <w:szCs w:val="22"/>
          <w:lang w:val="en-GB"/>
        </w:rPr>
        <w:t xml:space="preserve"> </w:t>
      </w:r>
      <w:r w:rsidRPr="00AE2F32">
        <w:rPr>
          <w:rFonts w:cs="Times New Roman"/>
          <w:noProof/>
          <w:sz w:val="22"/>
          <w:szCs w:val="22"/>
          <w:lang w:val="en-GB"/>
        </w:rPr>
        <w:t xml:space="preserve">professional training programs and shelter services </w:t>
      </w:r>
      <w:r>
        <w:rPr>
          <w:rFonts w:cs="Times New Roman"/>
          <w:noProof/>
          <w:sz w:val="22"/>
          <w:szCs w:val="22"/>
          <w:lang w:val="en-GB"/>
        </w:rPr>
        <w:t>f</w:t>
      </w:r>
      <w:r w:rsidR="009A2C7F" w:rsidRPr="00AE2F32">
        <w:rPr>
          <w:rFonts w:cs="Times New Roman"/>
          <w:noProof/>
          <w:sz w:val="22"/>
          <w:szCs w:val="22"/>
          <w:lang w:val="en-GB"/>
        </w:rPr>
        <w:t xml:space="preserve">or </w:t>
      </w:r>
      <w:r w:rsidR="00BE09B6">
        <w:rPr>
          <w:rFonts w:cs="Times New Roman"/>
          <w:noProof/>
          <w:sz w:val="22"/>
          <w:szCs w:val="22"/>
          <w:lang w:val="en-GB"/>
        </w:rPr>
        <w:t xml:space="preserve">the </w:t>
      </w:r>
      <w:r w:rsidR="009A2C7F" w:rsidRPr="00AE2F32">
        <w:rPr>
          <w:rFonts w:cs="Times New Roman"/>
          <w:noProof/>
          <w:sz w:val="22"/>
          <w:szCs w:val="22"/>
          <w:lang w:val="en-GB"/>
        </w:rPr>
        <w:t>economic strengthening of women</w:t>
      </w:r>
      <w:r>
        <w:rPr>
          <w:rFonts w:cs="Times New Roman"/>
          <w:noProof/>
          <w:sz w:val="22"/>
          <w:szCs w:val="22"/>
          <w:lang w:val="en-GB"/>
        </w:rPr>
        <w:t>;</w:t>
      </w:r>
    </w:p>
    <w:p w14:paraId="45A2A6EB" w14:textId="680CA765" w:rsidR="009A2C7F" w:rsidRPr="00AE2F32" w:rsidRDefault="00FB498A" w:rsidP="009A2C7F">
      <w:pPr>
        <w:pStyle w:val="ListParagraph"/>
        <w:numPr>
          <w:ilvl w:val="0"/>
          <w:numId w:val="4"/>
        </w:numPr>
        <w:shd w:val="clear" w:color="auto" w:fill="C9C9C9" w:themeFill="accent3" w:themeFillTint="99"/>
        <w:jc w:val="both"/>
        <w:rPr>
          <w:rFonts w:cs="Times New Roman"/>
          <w:noProof/>
          <w:sz w:val="22"/>
          <w:szCs w:val="22"/>
          <w:lang w:val="en-GB"/>
        </w:rPr>
      </w:pPr>
      <w:r>
        <w:rPr>
          <w:rFonts w:cs="Times New Roman"/>
          <w:noProof/>
          <w:sz w:val="22"/>
          <w:szCs w:val="22"/>
          <w:lang w:val="en-GB"/>
        </w:rPr>
        <w:t xml:space="preserve">Timely develop and implement </w:t>
      </w:r>
      <w:r w:rsidR="009A2C7F" w:rsidRPr="00AE2F32">
        <w:rPr>
          <w:rFonts w:cs="Times New Roman"/>
          <w:noProof/>
          <w:sz w:val="22"/>
          <w:szCs w:val="22"/>
          <w:lang w:val="en-GB"/>
        </w:rPr>
        <w:t xml:space="preserve">behavior modification programs of those persons, in relation to whom a protective order has been issued; </w:t>
      </w:r>
    </w:p>
    <w:p w14:paraId="0BEA56BF" w14:textId="3764F94F" w:rsidR="009A2C7F" w:rsidRPr="00AE2F32" w:rsidRDefault="00FB498A" w:rsidP="009A2C7F">
      <w:pPr>
        <w:pStyle w:val="ListParagraph"/>
        <w:numPr>
          <w:ilvl w:val="0"/>
          <w:numId w:val="4"/>
        </w:numPr>
        <w:shd w:val="clear" w:color="auto" w:fill="C9C9C9" w:themeFill="accent3" w:themeFillTint="99"/>
        <w:jc w:val="both"/>
        <w:rPr>
          <w:rFonts w:cs="Times New Roman"/>
          <w:noProof/>
          <w:sz w:val="22"/>
          <w:szCs w:val="22"/>
          <w:lang w:val="en-GB"/>
        </w:rPr>
      </w:pPr>
      <w:r>
        <w:rPr>
          <w:rFonts w:cs="Times New Roman"/>
          <w:noProof/>
          <w:sz w:val="22"/>
          <w:szCs w:val="22"/>
          <w:lang w:val="en-GB"/>
        </w:rPr>
        <w:t>Law-Enforcers should examine i</w:t>
      </w:r>
      <w:r w:rsidR="009A2C7F" w:rsidRPr="00AE2F32">
        <w:rPr>
          <w:rFonts w:cs="Times New Roman"/>
          <w:noProof/>
          <w:sz w:val="22"/>
          <w:szCs w:val="22"/>
          <w:lang w:val="en-GB"/>
        </w:rPr>
        <w:t xml:space="preserve">n each </w:t>
      </w:r>
      <w:r w:rsidR="000C18ED">
        <w:rPr>
          <w:rFonts w:cs="Times New Roman"/>
          <w:noProof/>
          <w:sz w:val="22"/>
          <w:szCs w:val="22"/>
          <w:lang w:val="en-GB"/>
        </w:rPr>
        <w:t>femicide case</w:t>
      </w:r>
      <w:r w:rsidR="009A2C7F" w:rsidRPr="00AE2F32">
        <w:rPr>
          <w:rFonts w:cs="Times New Roman"/>
          <w:noProof/>
          <w:sz w:val="22"/>
          <w:szCs w:val="22"/>
          <w:lang w:val="en-GB"/>
        </w:rPr>
        <w:t xml:space="preserve"> whether the victim addressed the police and/or prosecution officers and how timely, effective</w:t>
      </w:r>
      <w:r w:rsidR="00BE09B6">
        <w:rPr>
          <w:rFonts w:cs="Times New Roman"/>
          <w:noProof/>
          <w:sz w:val="22"/>
          <w:szCs w:val="22"/>
          <w:lang w:val="en-GB"/>
        </w:rPr>
        <w:t>,</w:t>
      </w:r>
      <w:r w:rsidR="009A2C7F" w:rsidRPr="00AE2F32">
        <w:rPr>
          <w:rFonts w:cs="Times New Roman"/>
          <w:noProof/>
          <w:sz w:val="22"/>
          <w:szCs w:val="22"/>
          <w:lang w:val="en-GB"/>
        </w:rPr>
        <w:t xml:space="preserve"> and adequate the</w:t>
      </w:r>
      <w:r w:rsidR="000C18ED">
        <w:rPr>
          <w:rFonts w:cs="Times New Roman"/>
          <w:noProof/>
          <w:sz w:val="22"/>
          <w:szCs w:val="22"/>
          <w:lang w:val="en-GB"/>
        </w:rPr>
        <w:t>ir response was.</w:t>
      </w:r>
    </w:p>
    <w:p w14:paraId="380E9AE7" w14:textId="137F0740" w:rsidR="009A2C7F" w:rsidRPr="00AE2F32" w:rsidRDefault="00BE09B6" w:rsidP="009A2C7F">
      <w:pPr>
        <w:pStyle w:val="ListParagraph"/>
        <w:numPr>
          <w:ilvl w:val="0"/>
          <w:numId w:val="4"/>
        </w:numPr>
        <w:shd w:val="clear" w:color="auto" w:fill="C9C9C9" w:themeFill="accent3" w:themeFillTint="99"/>
        <w:jc w:val="both"/>
        <w:rPr>
          <w:rFonts w:cs="Times New Roman"/>
          <w:noProof/>
          <w:sz w:val="22"/>
          <w:szCs w:val="22"/>
          <w:lang w:val="en-GB"/>
        </w:rPr>
      </w:pPr>
      <w:r>
        <w:rPr>
          <w:rFonts w:cs="Times New Roman"/>
          <w:noProof/>
          <w:sz w:val="22"/>
          <w:szCs w:val="22"/>
          <w:lang w:val="en-GB"/>
        </w:rPr>
        <w:t>Continuously</w:t>
      </w:r>
      <w:r w:rsidR="001B38F1">
        <w:rPr>
          <w:rFonts w:cs="Times New Roman"/>
          <w:noProof/>
          <w:sz w:val="22"/>
          <w:szCs w:val="22"/>
          <w:lang w:val="en-GB"/>
        </w:rPr>
        <w:t xml:space="preserve"> </w:t>
      </w:r>
      <w:r w:rsidR="009A2C7F" w:rsidRPr="00AE2F32">
        <w:rPr>
          <w:rFonts w:cs="Times New Roman"/>
          <w:noProof/>
          <w:sz w:val="22"/>
          <w:szCs w:val="22"/>
          <w:lang w:val="en-GB"/>
        </w:rPr>
        <w:t>train</w:t>
      </w:r>
      <w:r>
        <w:rPr>
          <w:rFonts w:cs="Times New Roman"/>
          <w:noProof/>
          <w:sz w:val="22"/>
          <w:szCs w:val="22"/>
          <w:lang w:val="en-GB"/>
        </w:rPr>
        <w:t xml:space="preserve"> </w:t>
      </w:r>
      <w:r w:rsidR="009A2C7F" w:rsidRPr="00AE2F32">
        <w:rPr>
          <w:rFonts w:cs="Times New Roman"/>
          <w:noProof/>
          <w:sz w:val="22"/>
          <w:szCs w:val="22"/>
          <w:lang w:val="en-GB"/>
        </w:rPr>
        <w:t>law enforc</w:t>
      </w:r>
      <w:r w:rsidR="00E37326">
        <w:rPr>
          <w:rFonts w:cs="Times New Roman"/>
          <w:noProof/>
          <w:sz w:val="22"/>
          <w:szCs w:val="22"/>
          <w:lang w:val="en-GB"/>
        </w:rPr>
        <w:t>ers</w:t>
      </w:r>
      <w:r>
        <w:rPr>
          <w:rFonts w:cs="Times New Roman"/>
          <w:noProof/>
          <w:sz w:val="22"/>
          <w:szCs w:val="22"/>
          <w:lang w:val="en-GB"/>
        </w:rPr>
        <w:t xml:space="preserve"> </w:t>
      </w:r>
      <w:r w:rsidR="009A2C7F" w:rsidRPr="00AE2F32">
        <w:rPr>
          <w:rFonts w:cs="Times New Roman"/>
          <w:noProof/>
          <w:sz w:val="22"/>
          <w:szCs w:val="22"/>
          <w:lang w:val="en-GB"/>
        </w:rPr>
        <w:t xml:space="preserve">and judges so that the ground of gender and </w:t>
      </w:r>
      <w:r>
        <w:rPr>
          <w:rFonts w:cs="Times New Roman"/>
          <w:noProof/>
          <w:sz w:val="22"/>
          <w:szCs w:val="22"/>
          <w:lang w:val="en-GB"/>
        </w:rPr>
        <w:t xml:space="preserve">the </w:t>
      </w:r>
      <w:r w:rsidR="009A2C7F" w:rsidRPr="00AE2F32">
        <w:rPr>
          <w:rFonts w:cs="Times New Roman"/>
          <w:noProof/>
          <w:sz w:val="22"/>
          <w:szCs w:val="22"/>
          <w:lang w:val="en-GB"/>
        </w:rPr>
        <w:t xml:space="preserve">gender-related motive is identified in crimes against women. </w:t>
      </w:r>
    </w:p>
    <w:p w14:paraId="23596EA1" w14:textId="77777777" w:rsidR="009A2C7F" w:rsidRPr="00AE2F32" w:rsidRDefault="009A2C7F" w:rsidP="009A2C7F">
      <w:pPr>
        <w:jc w:val="both"/>
        <w:rPr>
          <w:rFonts w:cs="Times New Roman"/>
          <w:noProof/>
          <w:sz w:val="22"/>
          <w:szCs w:val="22"/>
          <w:lang w:val="en-GB"/>
        </w:rPr>
      </w:pPr>
    </w:p>
    <w:p w14:paraId="38F5E0BE" w14:textId="77777777" w:rsidR="009A2C7F" w:rsidRPr="00AE2F32" w:rsidRDefault="009A2C7F" w:rsidP="009A2C7F">
      <w:pPr>
        <w:shd w:val="clear" w:color="auto" w:fill="D0CECE" w:themeFill="background2" w:themeFillShade="E6"/>
        <w:jc w:val="both"/>
        <w:rPr>
          <w:rFonts w:cs="Times New Roman"/>
          <w:b/>
          <w:bCs/>
          <w:noProof/>
          <w:sz w:val="22"/>
          <w:szCs w:val="22"/>
          <w:lang w:val="ka-GE"/>
        </w:rPr>
      </w:pPr>
      <w:r w:rsidRPr="00AE2F32">
        <w:rPr>
          <w:rFonts w:cs="Times New Roman"/>
          <w:b/>
          <w:bCs/>
          <w:noProof/>
          <w:sz w:val="22"/>
          <w:szCs w:val="22"/>
        </w:rPr>
        <w:t>Questions:</w:t>
      </w:r>
    </w:p>
    <w:p w14:paraId="4BBBB316" w14:textId="487A3103" w:rsidR="009A2C7F" w:rsidRPr="00AE2F32" w:rsidRDefault="009A2C7F" w:rsidP="009A2C7F">
      <w:pPr>
        <w:pStyle w:val="ListParagraph"/>
        <w:numPr>
          <w:ilvl w:val="0"/>
          <w:numId w:val="37"/>
        </w:numPr>
        <w:shd w:val="clear" w:color="auto" w:fill="D0CECE" w:themeFill="background2" w:themeFillShade="E6"/>
        <w:jc w:val="both"/>
        <w:rPr>
          <w:rFonts w:cs="Times New Roman"/>
          <w:iCs/>
          <w:noProof/>
          <w:sz w:val="22"/>
          <w:szCs w:val="22"/>
          <w:lang w:val="ka-GE"/>
        </w:rPr>
      </w:pPr>
      <w:r w:rsidRPr="00AE2F32">
        <w:rPr>
          <w:rFonts w:cs="Times New Roman"/>
          <w:iCs/>
          <w:noProof/>
          <w:sz w:val="22"/>
          <w:szCs w:val="22"/>
        </w:rPr>
        <w:t xml:space="preserve">What steps are planned for economic strengthening of women (employment; professional training) and whether </w:t>
      </w:r>
      <w:r w:rsidR="00BE09B6">
        <w:rPr>
          <w:rFonts w:cs="Times New Roman"/>
          <w:iCs/>
          <w:noProof/>
          <w:sz w:val="22"/>
          <w:szCs w:val="22"/>
        </w:rPr>
        <w:t xml:space="preserve">the </w:t>
      </w:r>
      <w:r w:rsidRPr="00AE2F32">
        <w:rPr>
          <w:rFonts w:cs="Times New Roman"/>
          <w:iCs/>
          <w:noProof/>
          <w:sz w:val="22"/>
          <w:szCs w:val="22"/>
        </w:rPr>
        <w:t>develop</w:t>
      </w:r>
      <w:r w:rsidR="00E37326">
        <w:rPr>
          <w:rFonts w:cs="Times New Roman"/>
          <w:iCs/>
          <w:noProof/>
          <w:sz w:val="22"/>
          <w:szCs w:val="22"/>
        </w:rPr>
        <w:t>ment of</w:t>
      </w:r>
      <w:r w:rsidRPr="00AE2F32">
        <w:rPr>
          <w:rFonts w:cs="Times New Roman"/>
          <w:iCs/>
          <w:noProof/>
          <w:sz w:val="22"/>
          <w:szCs w:val="22"/>
        </w:rPr>
        <w:t xml:space="preserve">  shelter services</w:t>
      </w:r>
      <w:r w:rsidR="00E37326">
        <w:rPr>
          <w:rFonts w:cs="Times New Roman"/>
          <w:iCs/>
          <w:noProof/>
          <w:sz w:val="22"/>
          <w:szCs w:val="22"/>
        </w:rPr>
        <w:t xml:space="preserve"> is planned for</w:t>
      </w:r>
      <w:r w:rsidRPr="00AE2F32">
        <w:rPr>
          <w:rFonts w:cs="Times New Roman"/>
          <w:iCs/>
          <w:noProof/>
          <w:sz w:val="22"/>
          <w:szCs w:val="22"/>
        </w:rPr>
        <w:t xml:space="preserve"> the next period; </w:t>
      </w:r>
    </w:p>
    <w:p w14:paraId="7AD23991" w14:textId="34F54424" w:rsidR="009A2C7F" w:rsidRPr="00AE2F32" w:rsidRDefault="009A2C7F" w:rsidP="009A2C7F">
      <w:pPr>
        <w:pStyle w:val="ListParagraph"/>
        <w:numPr>
          <w:ilvl w:val="0"/>
          <w:numId w:val="37"/>
        </w:numPr>
        <w:shd w:val="clear" w:color="auto" w:fill="D0CECE" w:themeFill="background2" w:themeFillShade="E6"/>
        <w:jc w:val="both"/>
        <w:rPr>
          <w:rFonts w:cs="Times New Roman"/>
          <w:iCs/>
          <w:noProof/>
          <w:sz w:val="22"/>
          <w:szCs w:val="22"/>
          <w:lang w:val="ka-GE"/>
        </w:rPr>
      </w:pPr>
      <w:r w:rsidRPr="00AE2F32">
        <w:rPr>
          <w:rFonts w:cs="Times New Roman"/>
          <w:iCs/>
          <w:noProof/>
          <w:sz w:val="22"/>
          <w:szCs w:val="22"/>
        </w:rPr>
        <w:t xml:space="preserve">In case protective order is </w:t>
      </w:r>
      <w:r w:rsidR="00E37326">
        <w:rPr>
          <w:rFonts w:cs="Times New Roman"/>
          <w:iCs/>
          <w:noProof/>
          <w:sz w:val="22"/>
          <w:szCs w:val="22"/>
        </w:rPr>
        <w:t>issued</w:t>
      </w:r>
      <w:r w:rsidRPr="00AE2F32">
        <w:rPr>
          <w:rFonts w:cs="Times New Roman"/>
          <w:iCs/>
          <w:noProof/>
          <w:sz w:val="22"/>
          <w:szCs w:val="22"/>
        </w:rPr>
        <w:t xml:space="preserve">, whether </w:t>
      </w:r>
      <w:r w:rsidR="00BE09B6">
        <w:rPr>
          <w:rFonts w:cs="Times New Roman"/>
          <w:iCs/>
          <w:noProof/>
          <w:sz w:val="22"/>
          <w:szCs w:val="22"/>
        </w:rPr>
        <w:t xml:space="preserve">the </w:t>
      </w:r>
      <w:r w:rsidRPr="00AE2F32">
        <w:rPr>
          <w:rFonts w:cs="Times New Roman"/>
          <w:iCs/>
          <w:noProof/>
          <w:sz w:val="22"/>
          <w:szCs w:val="22"/>
        </w:rPr>
        <w:t xml:space="preserve">behavior modification program is legislatively regulated, what kind of measures are carried out in this </w:t>
      </w:r>
      <w:r w:rsidR="00BE09B6">
        <w:rPr>
          <w:rFonts w:cs="Times New Roman"/>
          <w:iCs/>
          <w:noProof/>
          <w:sz w:val="22"/>
          <w:szCs w:val="22"/>
        </w:rPr>
        <w:t>direction,</w:t>
      </w:r>
      <w:r w:rsidRPr="00AE2F32">
        <w:rPr>
          <w:rFonts w:cs="Times New Roman"/>
          <w:iCs/>
          <w:noProof/>
          <w:sz w:val="22"/>
          <w:szCs w:val="22"/>
        </w:rPr>
        <w:t xml:space="preserve"> and whether there is a concrete agency, which is responsible for carrying out programs towards perpetrators</w:t>
      </w:r>
      <w:r w:rsidRPr="00AE2F32">
        <w:rPr>
          <w:rFonts w:cs="Times New Roman"/>
          <w:iCs/>
          <w:noProof/>
          <w:sz w:val="22"/>
          <w:szCs w:val="22"/>
          <w:lang w:val="ka-GE"/>
        </w:rPr>
        <w:t xml:space="preserve">. </w:t>
      </w:r>
    </w:p>
    <w:p w14:paraId="3C954B94" w14:textId="77777777" w:rsidR="006F7C0F" w:rsidRPr="00AE2F32" w:rsidRDefault="006F7C0F" w:rsidP="00E77D35">
      <w:pPr>
        <w:rPr>
          <w:sz w:val="22"/>
          <w:szCs w:val="22"/>
          <w:highlight w:val="yellow"/>
          <w:lang w:val="en-GB"/>
        </w:rPr>
      </w:pPr>
    </w:p>
    <w:p w14:paraId="1B1B3418" w14:textId="5D242FF3" w:rsidR="009A2C7F" w:rsidRPr="00AE2F32" w:rsidRDefault="009A2C7F" w:rsidP="009A2C7F">
      <w:pPr>
        <w:pStyle w:val="Heading2"/>
        <w:numPr>
          <w:ilvl w:val="0"/>
          <w:numId w:val="14"/>
        </w:numPr>
        <w:spacing w:before="0"/>
        <w:jc w:val="both"/>
        <w:rPr>
          <w:rFonts w:asciiTheme="minorHAnsi" w:hAnsiTheme="minorHAnsi" w:cs="Times New Roman"/>
          <w:noProof/>
          <w:sz w:val="22"/>
          <w:szCs w:val="22"/>
          <w:lang w:val="en-GB"/>
        </w:rPr>
      </w:pPr>
      <w:bookmarkStart w:id="11" w:name="_Toc48565930"/>
      <w:bookmarkStart w:id="12" w:name="_Toc48038292"/>
      <w:r w:rsidRPr="00AE2F32">
        <w:rPr>
          <w:rFonts w:asciiTheme="minorHAnsi" w:hAnsiTheme="minorHAnsi" w:cs="Times New Roman"/>
          <w:noProof/>
          <w:sz w:val="22"/>
          <w:szCs w:val="22"/>
          <w:lang w:val="en-GB"/>
        </w:rPr>
        <w:t xml:space="preserve">Accountability for </w:t>
      </w:r>
      <w:r w:rsidR="00985C2C">
        <w:rPr>
          <w:rFonts w:asciiTheme="minorHAnsi" w:hAnsiTheme="minorHAnsi" w:cs="Times New Roman"/>
          <w:noProof/>
          <w:sz w:val="22"/>
          <w:szCs w:val="22"/>
        </w:rPr>
        <w:t xml:space="preserve">past </w:t>
      </w:r>
      <w:r w:rsidRPr="00AE2F32">
        <w:rPr>
          <w:rFonts w:asciiTheme="minorHAnsi" w:hAnsiTheme="minorHAnsi" w:cs="Times New Roman"/>
          <w:noProof/>
          <w:sz w:val="22"/>
          <w:szCs w:val="22"/>
          <w:lang w:val="en-GB"/>
        </w:rPr>
        <w:t xml:space="preserve">human rights </w:t>
      </w:r>
      <w:r w:rsidR="00985C2C">
        <w:rPr>
          <w:rFonts w:asciiTheme="minorHAnsi" w:hAnsiTheme="minorHAnsi" w:cs="Times New Roman"/>
          <w:noProof/>
          <w:sz w:val="22"/>
          <w:szCs w:val="22"/>
          <w:lang w:val="en-GB"/>
        </w:rPr>
        <w:t xml:space="preserve">violations </w:t>
      </w:r>
      <w:r w:rsidRPr="00AE2F32">
        <w:rPr>
          <w:rFonts w:asciiTheme="minorHAnsi" w:hAnsiTheme="minorHAnsi" w:cs="Times New Roman"/>
          <w:noProof/>
          <w:sz w:val="22"/>
          <w:szCs w:val="22"/>
          <w:lang w:val="en-GB"/>
        </w:rPr>
        <w:t>(paragraphs 10-12 of Committee recommendations)</w:t>
      </w:r>
      <w:bookmarkEnd w:id="11"/>
    </w:p>
    <w:bookmarkEnd w:id="12"/>
    <w:p w14:paraId="7DAA4D90" w14:textId="77777777" w:rsidR="009A2C7F" w:rsidRPr="00AE2F32" w:rsidRDefault="009A2C7F" w:rsidP="009A2C7F">
      <w:pPr>
        <w:shd w:val="clear" w:color="auto" w:fill="FFFFFF"/>
        <w:jc w:val="both"/>
        <w:rPr>
          <w:rFonts w:cs="Times New Roman"/>
          <w:bCs/>
          <w:i/>
          <w:iCs/>
          <w:noProof/>
          <w:sz w:val="22"/>
          <w:szCs w:val="22"/>
          <w:u w:val="single"/>
          <w:lang w:val="en-GB"/>
        </w:rPr>
      </w:pPr>
    </w:p>
    <w:p w14:paraId="096E8D25" w14:textId="038AB04C" w:rsidR="009A2C7F" w:rsidRPr="00AE2F32" w:rsidRDefault="009A2C7F" w:rsidP="009A2C7F">
      <w:pPr>
        <w:shd w:val="clear" w:color="auto" w:fill="FFFFFF"/>
        <w:jc w:val="both"/>
        <w:rPr>
          <w:rFonts w:cs="Times New Roman"/>
          <w:bCs/>
          <w:i/>
          <w:iCs/>
          <w:noProof/>
          <w:sz w:val="22"/>
          <w:szCs w:val="22"/>
          <w:u w:val="single"/>
          <w:lang w:val="en-GB"/>
        </w:rPr>
      </w:pPr>
      <w:r w:rsidRPr="00AE2F32">
        <w:rPr>
          <w:rFonts w:cs="Times New Roman"/>
          <w:bCs/>
          <w:i/>
          <w:iCs/>
          <w:noProof/>
          <w:sz w:val="22"/>
          <w:szCs w:val="22"/>
          <w:u w:val="single"/>
          <w:lang w:val="en-GB"/>
        </w:rPr>
        <w:t xml:space="preserve">Crimes Committed during </w:t>
      </w:r>
      <w:r w:rsidR="00BE09B6">
        <w:rPr>
          <w:rFonts w:cs="Times New Roman"/>
          <w:bCs/>
          <w:i/>
          <w:iCs/>
          <w:noProof/>
          <w:sz w:val="22"/>
          <w:szCs w:val="22"/>
          <w:u w:val="single"/>
          <w:lang w:val="en-GB"/>
        </w:rPr>
        <w:t xml:space="preserve">the </w:t>
      </w:r>
      <w:r w:rsidRPr="00AE2F32">
        <w:rPr>
          <w:rFonts w:cs="Times New Roman"/>
          <w:bCs/>
          <w:i/>
          <w:iCs/>
          <w:noProof/>
          <w:sz w:val="22"/>
          <w:szCs w:val="22"/>
          <w:u w:val="single"/>
          <w:lang w:val="en-GB"/>
        </w:rPr>
        <w:t>2008 August War</w:t>
      </w:r>
    </w:p>
    <w:p w14:paraId="7129736B" w14:textId="77777777" w:rsidR="009A2C7F" w:rsidRPr="00AE2F32" w:rsidRDefault="009A2C7F" w:rsidP="009A2C7F">
      <w:pPr>
        <w:shd w:val="clear" w:color="auto" w:fill="FFFFFF"/>
        <w:jc w:val="both"/>
        <w:rPr>
          <w:rFonts w:eastAsia="Times New Roman" w:cs="Times New Roman"/>
          <w:noProof/>
          <w:color w:val="070606"/>
          <w:sz w:val="22"/>
          <w:szCs w:val="22"/>
          <w:lang w:val="en-GB"/>
        </w:rPr>
      </w:pPr>
    </w:p>
    <w:p w14:paraId="5E3DCBCD" w14:textId="0B9B1079" w:rsidR="009A2C7F" w:rsidRPr="00AE2F32" w:rsidRDefault="009A2C7F" w:rsidP="009A2C7F">
      <w:pPr>
        <w:shd w:val="clear" w:color="auto" w:fill="FFFFFF"/>
        <w:jc w:val="both"/>
        <w:rPr>
          <w:rFonts w:eastAsia="Times New Roman" w:cs="Times New Roman"/>
          <w:noProof/>
          <w:color w:val="070606"/>
          <w:sz w:val="22"/>
          <w:szCs w:val="22"/>
          <w:lang w:val="en-GB"/>
        </w:rPr>
      </w:pPr>
      <w:r w:rsidRPr="00AE2F32">
        <w:rPr>
          <w:rFonts w:eastAsia="Times New Roman" w:cs="Times New Roman"/>
          <w:noProof/>
          <w:color w:val="070606"/>
          <w:sz w:val="22"/>
          <w:szCs w:val="22"/>
          <w:lang w:val="en-GB"/>
        </w:rPr>
        <w:t xml:space="preserve">During </w:t>
      </w:r>
      <w:r w:rsidR="00BE09B6">
        <w:rPr>
          <w:rFonts w:eastAsia="Times New Roman" w:cs="Times New Roman"/>
          <w:noProof/>
          <w:color w:val="070606"/>
          <w:sz w:val="22"/>
          <w:szCs w:val="22"/>
          <w:lang w:val="en-GB"/>
        </w:rPr>
        <w:t xml:space="preserve">the </w:t>
      </w:r>
      <w:r w:rsidRPr="00AE2F32">
        <w:rPr>
          <w:rFonts w:eastAsia="Times New Roman" w:cs="Times New Roman"/>
          <w:noProof/>
          <w:color w:val="070606"/>
          <w:sz w:val="22"/>
          <w:szCs w:val="22"/>
          <w:lang w:val="en-GB"/>
        </w:rPr>
        <w:t xml:space="preserve">2008 Russian-Georgian war and in the coming period allegedly crimes against humanity and war crimes were committed. Since January 2016, these crimes have been investigated by the </w:t>
      </w:r>
      <w:r w:rsidR="002C36DB">
        <w:rPr>
          <w:rFonts w:eastAsia="Times New Roman" w:cs="Times New Roman"/>
          <w:noProof/>
          <w:color w:val="070606"/>
          <w:sz w:val="22"/>
          <w:szCs w:val="22"/>
          <w:lang w:val="en-GB"/>
        </w:rPr>
        <w:t>P</w:t>
      </w:r>
      <w:r w:rsidRPr="00AE2F32">
        <w:rPr>
          <w:rFonts w:eastAsia="Times New Roman" w:cs="Times New Roman"/>
          <w:noProof/>
          <w:color w:val="070606"/>
          <w:sz w:val="22"/>
          <w:szCs w:val="22"/>
          <w:lang w:val="en-GB"/>
        </w:rPr>
        <w:t xml:space="preserve">rosecutor’s </w:t>
      </w:r>
      <w:r w:rsidR="002C36DB">
        <w:rPr>
          <w:rFonts w:eastAsia="Times New Roman" w:cs="Times New Roman"/>
          <w:noProof/>
          <w:color w:val="070606"/>
          <w:sz w:val="22"/>
          <w:szCs w:val="22"/>
          <w:lang w:val="en-GB"/>
        </w:rPr>
        <w:t>O</w:t>
      </w:r>
      <w:r w:rsidRPr="00AE2F32">
        <w:rPr>
          <w:rFonts w:eastAsia="Times New Roman" w:cs="Times New Roman"/>
          <w:noProof/>
          <w:color w:val="070606"/>
          <w:sz w:val="22"/>
          <w:szCs w:val="22"/>
          <w:lang w:val="en-GB"/>
        </w:rPr>
        <w:t>ffice of</w:t>
      </w:r>
      <w:r w:rsidR="00BE09B6">
        <w:rPr>
          <w:rFonts w:eastAsia="Times New Roman" w:cs="Times New Roman"/>
          <w:noProof/>
          <w:color w:val="070606"/>
          <w:sz w:val="22"/>
          <w:szCs w:val="22"/>
          <w:lang w:val="en-GB"/>
        </w:rPr>
        <w:t xml:space="preserve"> </w:t>
      </w:r>
      <w:r w:rsidRPr="00AE2F32">
        <w:rPr>
          <w:rFonts w:eastAsia="Times New Roman" w:cs="Times New Roman"/>
          <w:noProof/>
          <w:color w:val="070606"/>
          <w:sz w:val="22"/>
          <w:szCs w:val="22"/>
          <w:lang w:val="en-GB"/>
        </w:rPr>
        <w:t>the International Criminal Court</w:t>
      </w:r>
      <w:r w:rsidR="008648A5">
        <w:rPr>
          <w:rFonts w:eastAsia="Times New Roman" w:cs="Times New Roman"/>
          <w:noProof/>
          <w:color w:val="070606"/>
          <w:sz w:val="22"/>
          <w:szCs w:val="22"/>
          <w:lang w:val="en-GB"/>
        </w:rPr>
        <w:t xml:space="preserve"> (ICC)</w:t>
      </w:r>
      <w:r w:rsidRPr="00AE2F32">
        <w:rPr>
          <w:rFonts w:eastAsia="Times New Roman" w:cs="Times New Roman"/>
          <w:noProof/>
          <w:color w:val="070606"/>
          <w:sz w:val="22"/>
          <w:szCs w:val="22"/>
          <w:lang w:val="en-GB"/>
        </w:rPr>
        <w:t>.</w:t>
      </w:r>
      <w:r w:rsidRPr="00AE2F32">
        <w:rPr>
          <w:rStyle w:val="FootnoteReference"/>
          <w:rFonts w:eastAsia="Times New Roman" w:cs="Times New Roman"/>
          <w:noProof/>
          <w:color w:val="070606"/>
          <w:sz w:val="22"/>
          <w:szCs w:val="22"/>
          <w:lang w:val="en-GB"/>
        </w:rPr>
        <w:t xml:space="preserve"> </w:t>
      </w:r>
      <w:r w:rsidRPr="00AE2F32">
        <w:rPr>
          <w:rStyle w:val="FootnoteReference"/>
          <w:rFonts w:eastAsia="Times New Roman" w:cs="Times New Roman"/>
          <w:noProof/>
          <w:color w:val="070606"/>
          <w:sz w:val="22"/>
          <w:szCs w:val="22"/>
          <w:lang w:val="en-GB"/>
        </w:rPr>
        <w:footnoteReference w:id="6"/>
      </w:r>
      <w:r w:rsidRPr="00AE2F32">
        <w:rPr>
          <w:rFonts w:eastAsia="Times New Roman" w:cs="Times New Roman"/>
          <w:noProof/>
          <w:color w:val="070606"/>
          <w:sz w:val="22"/>
          <w:szCs w:val="22"/>
          <w:lang w:val="en-GB"/>
        </w:rPr>
        <w:t xml:space="preserve"> Correspondence of March 2015 of the Justice Ministry of Georgia preceded </w:t>
      </w:r>
      <w:r w:rsidR="008648A5">
        <w:rPr>
          <w:rFonts w:eastAsia="Times New Roman" w:cs="Times New Roman"/>
          <w:noProof/>
          <w:color w:val="070606"/>
          <w:sz w:val="22"/>
          <w:szCs w:val="22"/>
          <w:lang w:val="en-GB"/>
        </w:rPr>
        <w:t xml:space="preserve">ICC </w:t>
      </w:r>
      <w:r w:rsidRPr="00AE2F32">
        <w:rPr>
          <w:rFonts w:eastAsia="Times New Roman" w:cs="Times New Roman"/>
          <w:noProof/>
          <w:color w:val="070606"/>
          <w:sz w:val="22"/>
          <w:szCs w:val="22"/>
          <w:lang w:val="en-GB"/>
        </w:rPr>
        <w:t xml:space="preserve">investigation, in which the Ministry informed the Prosecutor’s Office, that the </w:t>
      </w:r>
      <w:r w:rsidRPr="00AE2F32">
        <w:rPr>
          <w:rFonts w:eastAsia="Times New Roman" w:cs="Times New Roman"/>
          <w:noProof/>
          <w:color w:val="070606"/>
          <w:sz w:val="22"/>
          <w:szCs w:val="22"/>
          <w:lang w:val="en-GB"/>
        </w:rPr>
        <w:lastRenderedPageBreak/>
        <w:t>national investigation initiated in 2008</w:t>
      </w:r>
      <w:r w:rsidRPr="00AE2F32">
        <w:rPr>
          <w:rStyle w:val="FootnoteReference"/>
          <w:rFonts w:eastAsia="Times New Roman" w:cs="Times New Roman"/>
          <w:noProof/>
          <w:color w:val="070606"/>
          <w:sz w:val="22"/>
          <w:szCs w:val="22"/>
          <w:lang w:val="en-GB"/>
        </w:rPr>
        <w:footnoteReference w:id="7"/>
      </w:r>
      <w:r w:rsidRPr="00AE2F32">
        <w:rPr>
          <w:rFonts w:cs="Times New Roman"/>
          <w:noProof/>
          <w:sz w:val="22"/>
          <w:szCs w:val="22"/>
          <w:lang w:val="en-GB"/>
        </w:rPr>
        <w:t xml:space="preserve"> </w:t>
      </w:r>
      <w:r w:rsidRPr="00AE2F32">
        <w:rPr>
          <w:rFonts w:eastAsia="Times New Roman" w:cs="Times New Roman"/>
          <w:noProof/>
          <w:color w:val="070606"/>
          <w:sz w:val="22"/>
          <w:szCs w:val="22"/>
          <w:lang w:val="en-GB"/>
        </w:rPr>
        <w:t>was suspended for an indefinite period. The Ministry indicated serious security problems on the occupied and adjacent territories as the reason for that.</w:t>
      </w:r>
      <w:r w:rsidRPr="00AE2F32">
        <w:rPr>
          <w:rStyle w:val="FootnoteReference"/>
          <w:rFonts w:cs="Times New Roman"/>
          <w:noProof/>
          <w:sz w:val="22"/>
          <w:szCs w:val="22"/>
          <w:lang w:val="en-GB"/>
        </w:rPr>
        <w:footnoteReference w:id="8"/>
      </w:r>
      <w:r w:rsidRPr="00AE2F32">
        <w:rPr>
          <w:rFonts w:cs="Times New Roman"/>
          <w:noProof/>
          <w:sz w:val="22"/>
          <w:szCs w:val="22"/>
          <w:lang w:val="en-GB"/>
        </w:rPr>
        <w:t xml:space="preserve"> </w:t>
      </w:r>
      <w:r w:rsidR="008648A5">
        <w:rPr>
          <w:rFonts w:cs="Times New Roman"/>
          <w:noProof/>
          <w:sz w:val="22"/>
          <w:szCs w:val="22"/>
          <w:lang w:val="en-GB"/>
        </w:rPr>
        <w:t>ICC</w:t>
      </w:r>
      <w:r w:rsidRPr="00AE2F32">
        <w:rPr>
          <w:rFonts w:eastAsia="Times New Roman" w:cs="Times New Roman"/>
          <w:noProof/>
          <w:color w:val="070606"/>
          <w:sz w:val="22"/>
          <w:szCs w:val="22"/>
          <w:lang w:val="en-GB"/>
        </w:rPr>
        <w:t xml:space="preserve"> Prosecutor’s office has been investigating crimes committed during the August war for more than 4 years now. However, </w:t>
      </w:r>
      <w:r w:rsidR="00BE09B6">
        <w:rPr>
          <w:rFonts w:eastAsia="Times New Roman" w:cs="Times New Roman"/>
          <w:noProof/>
          <w:color w:val="070606"/>
          <w:sz w:val="22"/>
          <w:szCs w:val="22"/>
          <w:lang w:val="en-GB"/>
        </w:rPr>
        <w:t xml:space="preserve">a </w:t>
      </w:r>
      <w:r w:rsidRPr="00AE2F32">
        <w:rPr>
          <w:rFonts w:eastAsia="Times New Roman" w:cs="Times New Roman"/>
          <w:noProof/>
          <w:color w:val="070606"/>
          <w:sz w:val="22"/>
          <w:szCs w:val="22"/>
          <w:lang w:val="en-GB"/>
        </w:rPr>
        <w:t xml:space="preserve">responsible person </w:t>
      </w:r>
      <w:r w:rsidR="00BE09B6">
        <w:rPr>
          <w:rFonts w:eastAsia="Times New Roman" w:cs="Times New Roman"/>
          <w:noProof/>
          <w:color w:val="070606"/>
          <w:sz w:val="22"/>
          <w:szCs w:val="22"/>
          <w:lang w:val="en-GB"/>
        </w:rPr>
        <w:t>has</w:t>
      </w:r>
      <w:r w:rsidRPr="00AE2F32">
        <w:rPr>
          <w:rFonts w:eastAsia="Times New Roman" w:cs="Times New Roman"/>
          <w:noProof/>
          <w:color w:val="070606"/>
          <w:sz w:val="22"/>
          <w:szCs w:val="22"/>
          <w:lang w:val="en-GB"/>
        </w:rPr>
        <w:t xml:space="preserve"> not been identified</w:t>
      </w:r>
      <w:r w:rsidR="008648A5">
        <w:rPr>
          <w:rFonts w:eastAsia="Times New Roman" w:cs="Times New Roman"/>
          <w:noProof/>
          <w:color w:val="070606"/>
          <w:sz w:val="22"/>
          <w:szCs w:val="22"/>
          <w:lang w:val="en-GB"/>
        </w:rPr>
        <w:t xml:space="preserve"> yet</w:t>
      </w:r>
      <w:r w:rsidRPr="00AE2F32">
        <w:rPr>
          <w:rFonts w:eastAsia="Times New Roman" w:cs="Times New Roman"/>
          <w:noProof/>
          <w:color w:val="070606"/>
          <w:sz w:val="22"/>
          <w:szCs w:val="22"/>
          <w:lang w:val="en-GB"/>
        </w:rPr>
        <w:t>.</w:t>
      </w:r>
      <w:r w:rsidRPr="00AE2F32">
        <w:rPr>
          <w:rStyle w:val="FootnoteReference"/>
          <w:rFonts w:cs="Times New Roman"/>
          <w:noProof/>
          <w:sz w:val="22"/>
          <w:szCs w:val="22"/>
          <w:shd w:val="clear" w:color="auto" w:fill="FFFFFF"/>
          <w:lang w:val="en-GB"/>
        </w:rPr>
        <w:footnoteReference w:id="9"/>
      </w:r>
      <w:r w:rsidRPr="00AE2F32">
        <w:rPr>
          <w:rFonts w:eastAsia="Times New Roman" w:cs="Times New Roman"/>
          <w:noProof/>
          <w:color w:val="070606"/>
          <w:sz w:val="22"/>
          <w:szCs w:val="22"/>
          <w:lang w:val="en-GB"/>
        </w:rPr>
        <w:t xml:space="preserve"> In case perpetrators are identified, </w:t>
      </w:r>
      <w:r w:rsidR="008648A5">
        <w:rPr>
          <w:rFonts w:eastAsia="Times New Roman" w:cs="Times New Roman"/>
          <w:noProof/>
          <w:color w:val="070606"/>
          <w:sz w:val="22"/>
          <w:szCs w:val="22"/>
          <w:lang w:val="en-GB"/>
        </w:rPr>
        <w:t>ICC</w:t>
      </w:r>
      <w:r w:rsidRPr="00AE2F32">
        <w:rPr>
          <w:rFonts w:eastAsia="Times New Roman" w:cs="Times New Roman"/>
          <w:noProof/>
          <w:color w:val="070606"/>
          <w:sz w:val="22"/>
          <w:szCs w:val="22"/>
          <w:lang w:val="en-GB"/>
        </w:rPr>
        <w:t xml:space="preserve"> will only establish </w:t>
      </w:r>
      <w:r w:rsidR="00BE09B6">
        <w:rPr>
          <w:rFonts w:eastAsia="Times New Roman" w:cs="Times New Roman"/>
          <w:noProof/>
          <w:color w:val="070606"/>
          <w:sz w:val="22"/>
          <w:szCs w:val="22"/>
          <w:lang w:val="en-GB"/>
        </w:rPr>
        <w:t xml:space="preserve">the </w:t>
      </w:r>
      <w:r w:rsidRPr="00AE2F32">
        <w:rPr>
          <w:rFonts w:eastAsia="Times New Roman" w:cs="Times New Roman"/>
          <w:noProof/>
          <w:color w:val="070606"/>
          <w:sz w:val="22"/>
          <w:szCs w:val="22"/>
          <w:lang w:val="en-GB"/>
        </w:rPr>
        <w:t xml:space="preserve">responsibility of high-ranking officials, while identification and prosecution of low-ranking perpetrators </w:t>
      </w:r>
      <w:r w:rsidR="00BE09B6">
        <w:rPr>
          <w:rFonts w:eastAsia="Times New Roman" w:cs="Times New Roman"/>
          <w:noProof/>
          <w:color w:val="070606"/>
          <w:sz w:val="22"/>
          <w:szCs w:val="22"/>
          <w:lang w:val="en-GB"/>
        </w:rPr>
        <w:t>remain</w:t>
      </w:r>
      <w:r w:rsidRPr="00AE2F32">
        <w:rPr>
          <w:rFonts w:eastAsia="Times New Roman" w:cs="Times New Roman"/>
          <w:noProof/>
          <w:color w:val="070606"/>
          <w:sz w:val="22"/>
          <w:szCs w:val="22"/>
          <w:lang w:val="en-GB"/>
        </w:rPr>
        <w:t xml:space="preserve"> the duty of the national government. </w:t>
      </w:r>
    </w:p>
    <w:p w14:paraId="03C0621A" w14:textId="77777777" w:rsidR="009A2C7F" w:rsidRPr="00AE2F32" w:rsidRDefault="009A2C7F" w:rsidP="009A2C7F">
      <w:pPr>
        <w:shd w:val="clear" w:color="auto" w:fill="FFFFFF"/>
        <w:jc w:val="both"/>
        <w:rPr>
          <w:rFonts w:eastAsia="Times New Roman" w:cs="Times New Roman"/>
          <w:noProof/>
          <w:color w:val="070606"/>
          <w:sz w:val="22"/>
          <w:szCs w:val="22"/>
          <w:lang w:val="en-GB"/>
        </w:rPr>
      </w:pPr>
    </w:p>
    <w:p w14:paraId="06801EC5" w14:textId="1F5D5566" w:rsidR="009A2C7F" w:rsidRPr="00AE2F32" w:rsidRDefault="009A2C7F" w:rsidP="009A2C7F">
      <w:pPr>
        <w:shd w:val="clear" w:color="auto" w:fill="FFFFFF"/>
        <w:jc w:val="both"/>
        <w:rPr>
          <w:rFonts w:cs="Times New Roman"/>
          <w:noProof/>
          <w:sz w:val="22"/>
          <w:szCs w:val="22"/>
        </w:rPr>
      </w:pPr>
      <w:r w:rsidRPr="00AE2F32">
        <w:rPr>
          <w:rFonts w:cs="Times New Roman"/>
          <w:noProof/>
          <w:sz w:val="22"/>
          <w:szCs w:val="22"/>
        </w:rPr>
        <w:t xml:space="preserve">Accordingly, despite </w:t>
      </w:r>
      <w:r w:rsidR="00BE09B6">
        <w:rPr>
          <w:rFonts w:cs="Times New Roman"/>
          <w:noProof/>
          <w:sz w:val="22"/>
          <w:szCs w:val="22"/>
        </w:rPr>
        <w:t xml:space="preserve">the </w:t>
      </w:r>
      <w:r w:rsidRPr="00AE2F32">
        <w:rPr>
          <w:rFonts w:cs="Times New Roman"/>
          <w:noProof/>
          <w:sz w:val="22"/>
          <w:szCs w:val="22"/>
        </w:rPr>
        <w:t xml:space="preserve">investigation </w:t>
      </w:r>
      <w:r w:rsidR="008648A5">
        <w:rPr>
          <w:rFonts w:cs="Times New Roman"/>
          <w:noProof/>
          <w:sz w:val="22"/>
          <w:szCs w:val="22"/>
        </w:rPr>
        <w:t xml:space="preserve">of </w:t>
      </w:r>
      <w:r w:rsidR="00BE09B6">
        <w:rPr>
          <w:rFonts w:cs="Times New Roman"/>
          <w:noProof/>
          <w:sz w:val="22"/>
          <w:szCs w:val="22"/>
        </w:rPr>
        <w:t xml:space="preserve">the </w:t>
      </w:r>
      <w:r w:rsidR="008648A5">
        <w:rPr>
          <w:rFonts w:cs="Times New Roman"/>
          <w:noProof/>
          <w:sz w:val="22"/>
          <w:szCs w:val="22"/>
        </w:rPr>
        <w:t>ICC</w:t>
      </w:r>
      <w:r w:rsidRPr="00AE2F32">
        <w:rPr>
          <w:rFonts w:cs="Times New Roman"/>
          <w:noProof/>
          <w:sz w:val="22"/>
          <w:szCs w:val="22"/>
        </w:rPr>
        <w:t xml:space="preserve"> Prosecutor’s Office</w:t>
      </w:r>
      <w:r w:rsidR="008648A5">
        <w:rPr>
          <w:rFonts w:cs="Times New Roman"/>
          <w:noProof/>
          <w:sz w:val="22"/>
          <w:szCs w:val="22"/>
        </w:rPr>
        <w:t>,</w:t>
      </w:r>
      <w:r w:rsidRPr="00AE2F32">
        <w:rPr>
          <w:rFonts w:cs="Times New Roman"/>
          <w:noProof/>
          <w:sz w:val="22"/>
          <w:szCs w:val="22"/>
        </w:rPr>
        <w:t xml:space="preserve"> Georgia is obliged to continue </w:t>
      </w:r>
      <w:r w:rsidR="00BE09B6">
        <w:rPr>
          <w:rFonts w:cs="Times New Roman"/>
          <w:noProof/>
          <w:sz w:val="22"/>
          <w:szCs w:val="22"/>
        </w:rPr>
        <w:t xml:space="preserve">the </w:t>
      </w:r>
      <w:r w:rsidRPr="00AE2F32">
        <w:rPr>
          <w:rFonts w:cs="Times New Roman"/>
          <w:noProof/>
          <w:sz w:val="22"/>
          <w:szCs w:val="22"/>
        </w:rPr>
        <w:t xml:space="preserve">investigation on </w:t>
      </w:r>
      <w:r w:rsidR="00BE09B6">
        <w:rPr>
          <w:rFonts w:cs="Times New Roman"/>
          <w:noProof/>
          <w:sz w:val="22"/>
          <w:szCs w:val="22"/>
        </w:rPr>
        <w:t xml:space="preserve">the </w:t>
      </w:r>
      <w:r w:rsidRPr="00AE2F32">
        <w:rPr>
          <w:rFonts w:cs="Times New Roman"/>
          <w:noProof/>
          <w:sz w:val="22"/>
          <w:szCs w:val="22"/>
        </w:rPr>
        <w:t xml:space="preserve">domestic level. However, it is unknown for victims, whether </w:t>
      </w:r>
      <w:r w:rsidR="00BE09B6">
        <w:rPr>
          <w:rFonts w:cs="Times New Roman"/>
          <w:noProof/>
          <w:sz w:val="22"/>
          <w:szCs w:val="22"/>
        </w:rPr>
        <w:t xml:space="preserve">the </w:t>
      </w:r>
      <w:r w:rsidR="008648A5">
        <w:rPr>
          <w:rFonts w:cs="Times New Roman"/>
          <w:noProof/>
          <w:sz w:val="22"/>
          <w:szCs w:val="22"/>
        </w:rPr>
        <w:t>Georgian</w:t>
      </w:r>
      <w:r w:rsidR="008648A5" w:rsidRPr="00AE2F32">
        <w:rPr>
          <w:rFonts w:cs="Times New Roman"/>
          <w:noProof/>
          <w:sz w:val="22"/>
          <w:szCs w:val="22"/>
        </w:rPr>
        <w:t xml:space="preserve"> </w:t>
      </w:r>
      <w:r w:rsidRPr="00AE2F32">
        <w:rPr>
          <w:rFonts w:cs="Times New Roman"/>
          <w:noProof/>
          <w:sz w:val="22"/>
          <w:szCs w:val="22"/>
        </w:rPr>
        <w:t>Prosecutor’s Office renewed investigation. Despite requests, the Prosecutor’s Office does not provide this information to the victims and leaves them in an informational vacuum.</w:t>
      </w:r>
      <w:r w:rsidRPr="00AE2F32">
        <w:rPr>
          <w:rStyle w:val="FootnoteReference"/>
          <w:rFonts w:cs="Times New Roman"/>
          <w:noProof/>
          <w:sz w:val="22"/>
          <w:szCs w:val="22"/>
          <w:lang w:val="en-GB"/>
        </w:rPr>
        <w:footnoteReference w:id="10"/>
      </w:r>
      <w:r w:rsidRPr="00AE2F32">
        <w:rPr>
          <w:rFonts w:cs="Times New Roman"/>
          <w:noProof/>
          <w:sz w:val="22"/>
          <w:szCs w:val="22"/>
          <w:lang w:val="en-GB"/>
        </w:rPr>
        <w:t xml:space="preserve"> </w:t>
      </w:r>
      <w:r w:rsidRPr="00AE2F32">
        <w:rPr>
          <w:rFonts w:cs="Times New Roman"/>
          <w:noProof/>
          <w:sz w:val="22"/>
          <w:szCs w:val="22"/>
        </w:rPr>
        <w:t xml:space="preserve"> 12 years after the war, the Prosecutor’s Office has not</w:t>
      </w:r>
      <w:r w:rsidR="008648A5">
        <w:rPr>
          <w:rFonts w:cs="Times New Roman"/>
          <w:noProof/>
          <w:sz w:val="22"/>
          <w:szCs w:val="22"/>
        </w:rPr>
        <w:t xml:space="preserve"> yet</w:t>
      </w:r>
      <w:r w:rsidRPr="00AE2F32">
        <w:rPr>
          <w:rFonts w:cs="Times New Roman"/>
          <w:noProof/>
          <w:sz w:val="22"/>
          <w:szCs w:val="22"/>
        </w:rPr>
        <w:t xml:space="preserve"> interrogated certain witnesses and victims, neither has victim status been granted,</w:t>
      </w:r>
      <w:r w:rsidRPr="00AE2F32">
        <w:rPr>
          <w:rStyle w:val="FootnoteReference"/>
          <w:rFonts w:cs="Times New Roman"/>
          <w:noProof/>
          <w:sz w:val="22"/>
          <w:szCs w:val="22"/>
          <w:lang w:val="en-GB"/>
        </w:rPr>
        <w:footnoteReference w:id="11"/>
      </w:r>
      <w:r w:rsidRPr="00AE2F32">
        <w:rPr>
          <w:rFonts w:cs="Times New Roman"/>
          <w:noProof/>
          <w:sz w:val="22"/>
          <w:szCs w:val="22"/>
        </w:rPr>
        <w:t xml:space="preserve"> </w:t>
      </w:r>
      <w:r w:rsidR="00BE09B6">
        <w:rPr>
          <w:rFonts w:cs="Times New Roman"/>
          <w:noProof/>
          <w:sz w:val="22"/>
          <w:szCs w:val="22"/>
        </w:rPr>
        <w:t>although</w:t>
      </w:r>
      <w:r w:rsidRPr="00AE2F32">
        <w:rPr>
          <w:rFonts w:cs="Times New Roman"/>
          <w:noProof/>
          <w:sz w:val="22"/>
          <w:szCs w:val="22"/>
        </w:rPr>
        <w:t xml:space="preserve"> the conditions on the occupied and adjacent territories do not hinder </w:t>
      </w:r>
      <w:r w:rsidR="00497802">
        <w:rPr>
          <w:rFonts w:cs="Times New Roman"/>
          <w:noProof/>
          <w:sz w:val="22"/>
          <w:szCs w:val="22"/>
        </w:rPr>
        <w:t>such</w:t>
      </w:r>
      <w:r w:rsidRPr="00AE2F32">
        <w:rPr>
          <w:rFonts w:cs="Times New Roman"/>
          <w:noProof/>
          <w:sz w:val="22"/>
          <w:szCs w:val="22"/>
        </w:rPr>
        <w:t xml:space="preserve"> investigative measures. </w:t>
      </w:r>
    </w:p>
    <w:p w14:paraId="7C291C31" w14:textId="77777777" w:rsidR="009A2C7F" w:rsidRPr="00AE2F32" w:rsidRDefault="009A2C7F" w:rsidP="009A2C7F">
      <w:pPr>
        <w:shd w:val="clear" w:color="auto" w:fill="FFFFFF"/>
        <w:jc w:val="both"/>
        <w:rPr>
          <w:rFonts w:cs="Times New Roman"/>
          <w:noProof/>
          <w:sz w:val="22"/>
          <w:szCs w:val="22"/>
          <w:lang w:val="en-GB"/>
        </w:rPr>
      </w:pPr>
    </w:p>
    <w:p w14:paraId="502B7F95" w14:textId="755973A3" w:rsidR="009A2C7F" w:rsidRPr="00AE2F32" w:rsidRDefault="009A2C7F" w:rsidP="009A2C7F">
      <w:pPr>
        <w:jc w:val="both"/>
        <w:rPr>
          <w:rFonts w:cs="Times New Roman"/>
          <w:i/>
          <w:iCs/>
          <w:noProof/>
          <w:sz w:val="22"/>
          <w:szCs w:val="22"/>
          <w:u w:val="single"/>
          <w:lang w:val="en-GB"/>
        </w:rPr>
      </w:pPr>
      <w:r w:rsidRPr="00AE2F32">
        <w:rPr>
          <w:rFonts w:cs="Times New Roman"/>
          <w:i/>
          <w:iCs/>
          <w:noProof/>
          <w:sz w:val="22"/>
          <w:szCs w:val="22"/>
          <w:u w:val="single"/>
          <w:lang w:val="en-GB"/>
        </w:rPr>
        <w:t>Investigation of June 15</w:t>
      </w:r>
      <w:r w:rsidR="005713A9">
        <w:rPr>
          <w:rFonts w:cs="Times New Roman"/>
          <w:i/>
          <w:iCs/>
          <w:noProof/>
          <w:sz w:val="22"/>
          <w:szCs w:val="22"/>
          <w:u w:val="single"/>
          <w:lang w:val="en-GB"/>
        </w:rPr>
        <w:t>, 2009</w:t>
      </w:r>
      <w:r w:rsidRPr="00AE2F32">
        <w:rPr>
          <w:rFonts w:cs="Times New Roman"/>
          <w:i/>
          <w:iCs/>
          <w:noProof/>
          <w:sz w:val="22"/>
          <w:szCs w:val="22"/>
          <w:u w:val="single"/>
          <w:lang w:val="en-GB"/>
        </w:rPr>
        <w:t xml:space="preserve"> </w:t>
      </w:r>
      <w:r w:rsidR="005713A9">
        <w:rPr>
          <w:rFonts w:cs="Times New Roman"/>
          <w:i/>
          <w:iCs/>
          <w:noProof/>
          <w:sz w:val="22"/>
          <w:szCs w:val="22"/>
          <w:u w:val="single"/>
          <w:lang w:val="en-GB"/>
        </w:rPr>
        <w:t>events</w:t>
      </w:r>
    </w:p>
    <w:p w14:paraId="2FCA53AB" w14:textId="77777777" w:rsidR="009A2C7F" w:rsidRPr="00AE2F32" w:rsidRDefault="009A2C7F" w:rsidP="009A2C7F">
      <w:pPr>
        <w:jc w:val="both"/>
        <w:rPr>
          <w:rFonts w:cs="Times New Roman"/>
          <w:i/>
          <w:iCs/>
          <w:noProof/>
          <w:sz w:val="22"/>
          <w:szCs w:val="22"/>
          <w:lang w:val="en-GB"/>
        </w:rPr>
      </w:pPr>
    </w:p>
    <w:p w14:paraId="7FF8871B" w14:textId="10E03BEF" w:rsidR="009A2C7F" w:rsidRPr="00AE2F32" w:rsidRDefault="009A2C7F" w:rsidP="009A2C7F">
      <w:pPr>
        <w:pStyle w:val="Default"/>
        <w:jc w:val="both"/>
        <w:rPr>
          <w:rFonts w:asciiTheme="minorHAnsi" w:hAnsiTheme="minorHAnsi" w:cs="Times New Roman"/>
          <w:b/>
          <w:noProof/>
          <w:sz w:val="22"/>
          <w:szCs w:val="22"/>
          <w:u w:val="single"/>
          <w:lang w:val="en-GB"/>
        </w:rPr>
      </w:pPr>
      <w:r w:rsidRPr="00AE2F32">
        <w:rPr>
          <w:rFonts w:asciiTheme="minorHAnsi" w:hAnsiTheme="minorHAnsi" w:cs="Times New Roman"/>
          <w:noProof/>
          <w:sz w:val="22"/>
          <w:szCs w:val="22"/>
        </w:rPr>
        <w:t xml:space="preserve">On June 15, 2009, participants of the protest rally, representatives of the </w:t>
      </w:r>
      <w:r w:rsidR="00497802">
        <w:rPr>
          <w:rFonts w:asciiTheme="minorHAnsi" w:hAnsiTheme="minorHAnsi" w:cs="Times New Roman"/>
          <w:noProof/>
          <w:sz w:val="22"/>
          <w:szCs w:val="22"/>
        </w:rPr>
        <w:t>PDO</w:t>
      </w:r>
      <w:r w:rsidR="00BE09B6">
        <w:rPr>
          <w:rFonts w:asciiTheme="minorHAnsi" w:hAnsiTheme="minorHAnsi" w:cs="Times New Roman"/>
          <w:noProof/>
          <w:sz w:val="22"/>
          <w:szCs w:val="22"/>
        </w:rPr>
        <w:t>,</w:t>
      </w:r>
      <w:r w:rsidRPr="00AE2F32">
        <w:rPr>
          <w:rFonts w:asciiTheme="minorHAnsi" w:hAnsiTheme="minorHAnsi" w:cs="Times New Roman"/>
          <w:noProof/>
          <w:sz w:val="22"/>
          <w:szCs w:val="22"/>
        </w:rPr>
        <w:t xml:space="preserve"> and journalists were ill-treated by police officers during the dispersal of a peaceful protest, journalistic activities were disrupted and freedom of assembly of protest participants was violated.</w:t>
      </w:r>
      <w:r w:rsidRPr="00AE2F32">
        <w:rPr>
          <w:rStyle w:val="FootnoteReference"/>
          <w:rFonts w:asciiTheme="minorHAnsi" w:hAnsiTheme="minorHAnsi" w:cs="Times New Roman"/>
          <w:noProof/>
          <w:sz w:val="22"/>
          <w:szCs w:val="22"/>
          <w:lang w:val="en-GB"/>
        </w:rPr>
        <w:footnoteReference w:id="12"/>
      </w:r>
      <w:r w:rsidRPr="00AE2F32">
        <w:rPr>
          <w:rFonts w:asciiTheme="minorHAnsi" w:hAnsiTheme="minorHAnsi" w:cs="Times New Roman"/>
          <w:noProof/>
          <w:sz w:val="22"/>
          <w:szCs w:val="22"/>
        </w:rPr>
        <w:t xml:space="preserve"> </w:t>
      </w:r>
      <w:r w:rsidR="00497802" w:rsidRPr="00AE2F32">
        <w:rPr>
          <w:rFonts w:asciiTheme="minorHAnsi" w:hAnsiTheme="minorHAnsi" w:cs="Times New Roman"/>
          <w:noProof/>
          <w:sz w:val="22"/>
          <w:szCs w:val="22"/>
        </w:rPr>
        <w:t xml:space="preserve">General Prosecutor’s office of Georgia </w:t>
      </w:r>
      <w:r w:rsidR="00497802">
        <w:rPr>
          <w:rFonts w:asciiTheme="minorHAnsi" w:hAnsiTheme="minorHAnsi" w:cs="Times New Roman"/>
          <w:noProof/>
          <w:sz w:val="22"/>
          <w:szCs w:val="22"/>
        </w:rPr>
        <w:t xml:space="preserve">commenced </w:t>
      </w:r>
      <w:r w:rsidR="00BE09B6">
        <w:rPr>
          <w:rFonts w:asciiTheme="minorHAnsi" w:hAnsiTheme="minorHAnsi" w:cs="Times New Roman"/>
          <w:noProof/>
          <w:sz w:val="22"/>
          <w:szCs w:val="22"/>
        </w:rPr>
        <w:t xml:space="preserve">an </w:t>
      </w:r>
      <w:r w:rsidR="00497802">
        <w:rPr>
          <w:rFonts w:asciiTheme="minorHAnsi" w:hAnsiTheme="minorHAnsi" w:cs="Times New Roman"/>
          <w:noProof/>
          <w:sz w:val="22"/>
          <w:szCs w:val="22"/>
        </w:rPr>
        <w:t>investigation</w:t>
      </w:r>
      <w:r w:rsidRPr="00AE2F32">
        <w:rPr>
          <w:rFonts w:asciiTheme="minorHAnsi" w:hAnsiTheme="minorHAnsi" w:cs="Times New Roman"/>
          <w:noProof/>
          <w:sz w:val="22"/>
          <w:szCs w:val="22"/>
        </w:rPr>
        <w:t xml:space="preserve">, however, 11 years after the events, investigation still </w:t>
      </w:r>
      <w:r w:rsidR="005713A9">
        <w:rPr>
          <w:rFonts w:asciiTheme="minorHAnsi" w:hAnsiTheme="minorHAnsi" w:cs="Times New Roman"/>
          <w:noProof/>
          <w:sz w:val="22"/>
          <w:szCs w:val="22"/>
        </w:rPr>
        <w:t>does</w:t>
      </w:r>
      <w:r w:rsidR="005713A9" w:rsidRPr="00AE2F32">
        <w:rPr>
          <w:rFonts w:asciiTheme="minorHAnsi" w:hAnsiTheme="minorHAnsi" w:cs="Times New Roman"/>
          <w:noProof/>
          <w:sz w:val="22"/>
          <w:szCs w:val="22"/>
        </w:rPr>
        <w:t xml:space="preserve"> </w:t>
      </w:r>
      <w:r w:rsidRPr="00AE2F32">
        <w:rPr>
          <w:rFonts w:asciiTheme="minorHAnsi" w:hAnsiTheme="minorHAnsi" w:cs="Times New Roman"/>
          <w:noProof/>
          <w:sz w:val="22"/>
          <w:szCs w:val="22"/>
        </w:rPr>
        <w:t xml:space="preserve">not </w:t>
      </w:r>
      <w:r w:rsidR="005713A9">
        <w:rPr>
          <w:rFonts w:asciiTheme="minorHAnsi" w:hAnsiTheme="minorHAnsi" w:cs="Times New Roman"/>
          <w:noProof/>
          <w:sz w:val="22"/>
          <w:szCs w:val="22"/>
        </w:rPr>
        <w:t>have</w:t>
      </w:r>
      <w:r w:rsidR="005713A9" w:rsidRPr="00AE2F32">
        <w:rPr>
          <w:rFonts w:asciiTheme="minorHAnsi" w:hAnsiTheme="minorHAnsi" w:cs="Times New Roman"/>
          <w:noProof/>
          <w:sz w:val="22"/>
          <w:szCs w:val="22"/>
        </w:rPr>
        <w:t xml:space="preserve"> </w:t>
      </w:r>
      <w:r w:rsidRPr="00AE2F32">
        <w:rPr>
          <w:rFonts w:asciiTheme="minorHAnsi" w:hAnsiTheme="minorHAnsi" w:cs="Times New Roman"/>
          <w:noProof/>
          <w:sz w:val="22"/>
          <w:szCs w:val="22"/>
        </w:rPr>
        <w:t xml:space="preserve">an outcome. </w:t>
      </w:r>
      <w:r w:rsidR="00BE09B6">
        <w:rPr>
          <w:rFonts w:asciiTheme="minorHAnsi" w:hAnsiTheme="minorHAnsi" w:cs="Times New Roman"/>
          <w:noProof/>
          <w:sz w:val="22"/>
          <w:szCs w:val="22"/>
        </w:rPr>
        <w:t>Given</w:t>
      </w:r>
      <w:r w:rsidRPr="00AE2F32">
        <w:rPr>
          <w:rFonts w:asciiTheme="minorHAnsi" w:hAnsiTheme="minorHAnsi" w:cs="Times New Roman"/>
          <w:noProof/>
          <w:sz w:val="22"/>
          <w:szCs w:val="22"/>
        </w:rPr>
        <w:t xml:space="preserve"> undertaken investigative measures, it is clear that the purpose of the Prosecutor’s Office is not </w:t>
      </w:r>
      <w:r w:rsidR="00BE09B6">
        <w:rPr>
          <w:rFonts w:asciiTheme="minorHAnsi" w:hAnsiTheme="minorHAnsi" w:cs="Times New Roman"/>
          <w:noProof/>
          <w:sz w:val="22"/>
          <w:szCs w:val="22"/>
        </w:rPr>
        <w:t xml:space="preserve">the </w:t>
      </w:r>
      <w:r w:rsidRPr="00AE2F32">
        <w:rPr>
          <w:rFonts w:asciiTheme="minorHAnsi" w:hAnsiTheme="minorHAnsi" w:cs="Times New Roman"/>
          <w:noProof/>
          <w:sz w:val="22"/>
          <w:szCs w:val="22"/>
        </w:rPr>
        <w:t xml:space="preserve">imposition of criminal responsibility on high-ranking officials, who planned dispersal of the </w:t>
      </w:r>
      <w:r w:rsidR="005713A9">
        <w:rPr>
          <w:rFonts w:asciiTheme="minorHAnsi" w:hAnsiTheme="minorHAnsi" w:cs="Times New Roman"/>
          <w:noProof/>
          <w:sz w:val="22"/>
          <w:szCs w:val="22"/>
        </w:rPr>
        <w:t>demonstration</w:t>
      </w:r>
      <w:r w:rsidRPr="00AE2F32">
        <w:rPr>
          <w:rFonts w:asciiTheme="minorHAnsi" w:hAnsiTheme="minorHAnsi" w:cs="Times New Roman"/>
          <w:noProof/>
          <w:sz w:val="22"/>
          <w:szCs w:val="22"/>
        </w:rPr>
        <w:t>, beatings</w:t>
      </w:r>
      <w:r w:rsidR="00BE09B6">
        <w:rPr>
          <w:rFonts w:asciiTheme="minorHAnsi" w:hAnsiTheme="minorHAnsi" w:cs="Times New Roman"/>
          <w:noProof/>
          <w:sz w:val="22"/>
          <w:szCs w:val="22"/>
        </w:rPr>
        <w:t>,</w:t>
      </w:r>
      <w:r w:rsidRPr="00AE2F32">
        <w:rPr>
          <w:rFonts w:asciiTheme="minorHAnsi" w:hAnsiTheme="minorHAnsi" w:cs="Times New Roman"/>
          <w:noProof/>
          <w:sz w:val="22"/>
          <w:szCs w:val="22"/>
        </w:rPr>
        <w:t xml:space="preserve"> and detentions of participants, but sanctioning of </w:t>
      </w:r>
      <w:r w:rsidR="005713A9">
        <w:rPr>
          <w:rFonts w:asciiTheme="minorHAnsi" w:hAnsiTheme="minorHAnsi" w:cs="Times New Roman"/>
          <w:noProof/>
          <w:sz w:val="22"/>
          <w:szCs w:val="22"/>
        </w:rPr>
        <w:t>low-rank</w:t>
      </w:r>
      <w:r w:rsidR="005713A9" w:rsidRPr="00AE2F32">
        <w:rPr>
          <w:rFonts w:asciiTheme="minorHAnsi" w:hAnsiTheme="minorHAnsi" w:cs="Times New Roman"/>
          <w:noProof/>
          <w:sz w:val="22"/>
          <w:szCs w:val="22"/>
        </w:rPr>
        <w:t xml:space="preserve"> </w:t>
      </w:r>
      <w:r w:rsidRPr="00AE2F32">
        <w:rPr>
          <w:rFonts w:asciiTheme="minorHAnsi" w:hAnsiTheme="minorHAnsi" w:cs="Times New Roman"/>
          <w:noProof/>
          <w:sz w:val="22"/>
          <w:szCs w:val="22"/>
        </w:rPr>
        <w:t xml:space="preserve">police officers. </w:t>
      </w:r>
      <w:r w:rsidR="00BE09B6">
        <w:rPr>
          <w:rFonts w:asciiTheme="minorHAnsi" w:hAnsiTheme="minorHAnsi" w:cs="Times New Roman"/>
          <w:noProof/>
          <w:sz w:val="22"/>
          <w:szCs w:val="22"/>
        </w:rPr>
        <w:t>The investigation</w:t>
      </w:r>
      <w:r w:rsidRPr="00AE2F32">
        <w:rPr>
          <w:rFonts w:asciiTheme="minorHAnsi" w:hAnsiTheme="minorHAnsi" w:cs="Times New Roman"/>
          <w:noProof/>
          <w:sz w:val="22"/>
          <w:szCs w:val="22"/>
        </w:rPr>
        <w:t xml:space="preserve"> is ongoing on the facts of exceeding official powers</w:t>
      </w:r>
      <w:r w:rsidR="005713A9">
        <w:rPr>
          <w:rFonts w:asciiTheme="minorHAnsi" w:hAnsiTheme="minorHAnsi" w:cs="Times New Roman"/>
          <w:noProof/>
          <w:sz w:val="22"/>
          <w:szCs w:val="22"/>
        </w:rPr>
        <w:t>,</w:t>
      </w:r>
      <w:r w:rsidRPr="00AE2F32">
        <w:rPr>
          <w:rStyle w:val="FootnoteReference"/>
          <w:rFonts w:asciiTheme="minorHAnsi" w:hAnsiTheme="minorHAnsi" w:cs="Times New Roman"/>
          <w:noProof/>
          <w:sz w:val="22"/>
          <w:szCs w:val="22"/>
          <w:lang w:val="en-GB"/>
        </w:rPr>
        <w:footnoteReference w:id="13"/>
      </w:r>
      <w:r w:rsidRPr="00AE2F32">
        <w:rPr>
          <w:rFonts w:asciiTheme="minorHAnsi" w:hAnsiTheme="minorHAnsi" w:cs="Times New Roman"/>
          <w:noProof/>
          <w:sz w:val="22"/>
          <w:szCs w:val="22"/>
          <w:lang w:val="en-GB"/>
        </w:rPr>
        <w:t xml:space="preserve"> </w:t>
      </w:r>
      <w:r w:rsidRPr="00AE2F32">
        <w:rPr>
          <w:rFonts w:asciiTheme="minorHAnsi" w:hAnsiTheme="minorHAnsi" w:cs="Times New Roman"/>
          <w:noProof/>
          <w:sz w:val="22"/>
          <w:szCs w:val="22"/>
        </w:rPr>
        <w:t xml:space="preserve">  which is problematic on its own, as the acts committed against certain </w:t>
      </w:r>
      <w:r w:rsidR="005713A9">
        <w:rPr>
          <w:rFonts w:asciiTheme="minorHAnsi" w:hAnsiTheme="minorHAnsi" w:cs="Times New Roman"/>
          <w:noProof/>
          <w:sz w:val="22"/>
          <w:szCs w:val="22"/>
        </w:rPr>
        <w:t xml:space="preserve">protesters </w:t>
      </w:r>
      <w:r w:rsidRPr="00AE2F32">
        <w:rPr>
          <w:rFonts w:asciiTheme="minorHAnsi" w:hAnsiTheme="minorHAnsi" w:cs="Times New Roman"/>
          <w:noProof/>
          <w:sz w:val="22"/>
          <w:szCs w:val="22"/>
        </w:rPr>
        <w:t xml:space="preserve">considering its </w:t>
      </w:r>
      <w:r w:rsidR="00BE09B6">
        <w:rPr>
          <w:rFonts w:asciiTheme="minorHAnsi" w:hAnsiTheme="minorHAnsi" w:cs="Times New Roman"/>
          <w:noProof/>
          <w:sz w:val="22"/>
          <w:szCs w:val="22"/>
        </w:rPr>
        <w:t>severity</w:t>
      </w:r>
      <w:r w:rsidRPr="00AE2F32">
        <w:rPr>
          <w:rFonts w:asciiTheme="minorHAnsi" w:hAnsiTheme="minorHAnsi" w:cs="Times New Roman"/>
          <w:noProof/>
          <w:sz w:val="22"/>
          <w:szCs w:val="22"/>
        </w:rPr>
        <w:t>, degree</w:t>
      </w:r>
      <w:r w:rsidR="00BE09B6">
        <w:rPr>
          <w:rFonts w:asciiTheme="minorHAnsi" w:hAnsiTheme="minorHAnsi" w:cs="Times New Roman"/>
          <w:noProof/>
          <w:sz w:val="22"/>
          <w:szCs w:val="22"/>
        </w:rPr>
        <w:t>,</w:t>
      </w:r>
      <w:r w:rsidRPr="00AE2F32">
        <w:rPr>
          <w:rFonts w:asciiTheme="minorHAnsi" w:hAnsiTheme="minorHAnsi" w:cs="Times New Roman"/>
          <w:noProof/>
          <w:sz w:val="22"/>
          <w:szCs w:val="22"/>
        </w:rPr>
        <w:t xml:space="preserve"> and intensity amounted to torture and/or inhuman and degrading treatment.</w:t>
      </w:r>
      <w:r w:rsidRPr="00AE2F32">
        <w:rPr>
          <w:rStyle w:val="FootnoteReference"/>
          <w:rFonts w:asciiTheme="minorHAnsi" w:hAnsiTheme="minorHAnsi" w:cs="Times New Roman"/>
          <w:noProof/>
          <w:sz w:val="22"/>
          <w:szCs w:val="22"/>
          <w:lang w:val="en-GB"/>
        </w:rPr>
        <w:footnoteReference w:id="14"/>
      </w:r>
      <w:r w:rsidRPr="00AE2F32">
        <w:rPr>
          <w:rFonts w:asciiTheme="minorHAnsi" w:hAnsiTheme="minorHAnsi" w:cs="Times New Roman"/>
          <w:noProof/>
          <w:sz w:val="22"/>
          <w:szCs w:val="22"/>
          <w:lang w:val="en-GB"/>
        </w:rPr>
        <w:t xml:space="preserve"> Despite requests, </w:t>
      </w:r>
      <w:r w:rsidR="00BE09B6">
        <w:rPr>
          <w:rFonts w:asciiTheme="minorHAnsi" w:hAnsiTheme="minorHAnsi" w:cs="Times New Roman"/>
          <w:noProof/>
          <w:sz w:val="22"/>
          <w:szCs w:val="22"/>
          <w:lang w:val="en-GB"/>
        </w:rPr>
        <w:t xml:space="preserve">the </w:t>
      </w:r>
      <w:r w:rsidR="005713A9" w:rsidRPr="00AE2F32">
        <w:rPr>
          <w:rFonts w:asciiTheme="minorHAnsi" w:hAnsiTheme="minorHAnsi" w:cs="Times New Roman"/>
          <w:noProof/>
          <w:sz w:val="22"/>
          <w:szCs w:val="22"/>
          <w:lang w:val="en-GB"/>
        </w:rPr>
        <w:t xml:space="preserve">investigative body </w:t>
      </w:r>
      <w:r w:rsidR="005713A9">
        <w:rPr>
          <w:rFonts w:asciiTheme="minorHAnsi" w:hAnsiTheme="minorHAnsi" w:cs="Times New Roman"/>
          <w:noProof/>
          <w:sz w:val="22"/>
          <w:szCs w:val="22"/>
          <w:lang w:val="en-GB"/>
        </w:rPr>
        <w:t xml:space="preserve">had not changed </w:t>
      </w:r>
      <w:r w:rsidRPr="00AE2F32">
        <w:rPr>
          <w:rFonts w:asciiTheme="minorHAnsi" w:hAnsiTheme="minorHAnsi" w:cs="Times New Roman"/>
          <w:noProof/>
          <w:sz w:val="22"/>
          <w:szCs w:val="22"/>
          <w:lang w:val="en-GB"/>
        </w:rPr>
        <w:t>qualification. Apart from that, since August 2018, the Prosecutor’s office has not inform</w:t>
      </w:r>
      <w:r w:rsidR="005713A9">
        <w:rPr>
          <w:rFonts w:asciiTheme="minorHAnsi" w:hAnsiTheme="minorHAnsi" w:cs="Times New Roman"/>
          <w:noProof/>
          <w:sz w:val="22"/>
          <w:szCs w:val="22"/>
          <w:lang w:val="en-GB"/>
        </w:rPr>
        <w:t>ed</w:t>
      </w:r>
      <w:r w:rsidRPr="00AE2F32">
        <w:rPr>
          <w:rFonts w:asciiTheme="minorHAnsi" w:hAnsiTheme="minorHAnsi" w:cs="Times New Roman"/>
          <w:noProof/>
          <w:sz w:val="22"/>
          <w:szCs w:val="22"/>
          <w:lang w:val="en-GB"/>
        </w:rPr>
        <w:t xml:space="preserve"> victims about the progress of </w:t>
      </w:r>
      <w:r w:rsidR="00BE09B6">
        <w:rPr>
          <w:rFonts w:asciiTheme="minorHAnsi" w:hAnsiTheme="minorHAnsi" w:cs="Times New Roman"/>
          <w:noProof/>
          <w:sz w:val="22"/>
          <w:szCs w:val="22"/>
          <w:lang w:val="en-GB"/>
        </w:rPr>
        <w:t xml:space="preserve">the </w:t>
      </w:r>
      <w:r w:rsidRPr="00AE2F32">
        <w:rPr>
          <w:rFonts w:asciiTheme="minorHAnsi" w:hAnsiTheme="minorHAnsi" w:cs="Times New Roman"/>
          <w:noProof/>
          <w:sz w:val="22"/>
          <w:szCs w:val="22"/>
          <w:lang w:val="en-GB"/>
        </w:rPr>
        <w:t>investigation.</w:t>
      </w:r>
      <w:r w:rsidRPr="00AE2F32">
        <w:rPr>
          <w:rStyle w:val="FootnoteReference"/>
          <w:rFonts w:asciiTheme="minorHAnsi" w:hAnsiTheme="minorHAnsi" w:cs="Times New Roman"/>
          <w:noProof/>
          <w:sz w:val="22"/>
          <w:szCs w:val="22"/>
          <w:lang w:val="en-GB"/>
        </w:rPr>
        <w:footnoteReference w:id="15"/>
      </w:r>
      <w:r w:rsidRPr="00AE2F32">
        <w:rPr>
          <w:rFonts w:asciiTheme="minorHAnsi" w:hAnsiTheme="minorHAnsi" w:cs="Times New Roman"/>
          <w:noProof/>
          <w:sz w:val="22"/>
          <w:szCs w:val="22"/>
          <w:lang w:val="en-GB"/>
        </w:rPr>
        <w:t xml:space="preserve"> </w:t>
      </w:r>
    </w:p>
    <w:p w14:paraId="7C641BA7" w14:textId="77777777" w:rsidR="009A2C7F" w:rsidRPr="00AE2F32" w:rsidRDefault="009A2C7F" w:rsidP="009A2C7F">
      <w:pPr>
        <w:jc w:val="both"/>
        <w:rPr>
          <w:rFonts w:cs="Times New Roman"/>
          <w:bCs/>
          <w:i/>
          <w:iCs/>
          <w:noProof/>
          <w:sz w:val="22"/>
          <w:szCs w:val="22"/>
          <w:u w:val="single"/>
          <w:lang w:val="en-GB"/>
        </w:rPr>
      </w:pPr>
    </w:p>
    <w:p w14:paraId="2785D7D2" w14:textId="77777777" w:rsidR="009A2C7F" w:rsidRPr="00AE2F32" w:rsidRDefault="009A2C7F" w:rsidP="009A2C7F">
      <w:pPr>
        <w:jc w:val="both"/>
        <w:rPr>
          <w:rFonts w:cs="Times New Roman"/>
          <w:bCs/>
          <w:i/>
          <w:iCs/>
          <w:noProof/>
          <w:sz w:val="22"/>
          <w:szCs w:val="22"/>
          <w:u w:val="single"/>
          <w:lang w:val="en-GB"/>
        </w:rPr>
      </w:pPr>
      <w:r w:rsidRPr="00AE2F32">
        <w:rPr>
          <w:rFonts w:cs="Times New Roman"/>
          <w:bCs/>
          <w:i/>
          <w:iCs/>
          <w:noProof/>
          <w:sz w:val="22"/>
          <w:szCs w:val="22"/>
          <w:u w:val="single"/>
          <w:lang w:val="en-GB"/>
        </w:rPr>
        <w:t xml:space="preserve">Prison Riot Cases </w:t>
      </w:r>
    </w:p>
    <w:p w14:paraId="54B55A65" w14:textId="77777777" w:rsidR="009A2C7F" w:rsidRPr="00AE2F32" w:rsidRDefault="009A2C7F" w:rsidP="009A2C7F">
      <w:pPr>
        <w:jc w:val="both"/>
        <w:rPr>
          <w:rFonts w:cs="Times New Roman"/>
          <w:bCs/>
          <w:i/>
          <w:iCs/>
          <w:noProof/>
          <w:sz w:val="22"/>
          <w:szCs w:val="22"/>
          <w:lang w:val="en-GB"/>
        </w:rPr>
      </w:pPr>
    </w:p>
    <w:p w14:paraId="4C59BCFE" w14:textId="0567F434" w:rsidR="009A2C7F" w:rsidRPr="00AE2F32" w:rsidRDefault="009A2C7F" w:rsidP="009A2C7F">
      <w:pPr>
        <w:jc w:val="both"/>
        <w:rPr>
          <w:rFonts w:cs="Times New Roman"/>
          <w:noProof/>
          <w:sz w:val="22"/>
          <w:szCs w:val="22"/>
          <w:shd w:val="clear" w:color="auto" w:fill="FFFFFF"/>
          <w:lang w:val="en-GB"/>
        </w:rPr>
      </w:pPr>
      <w:r w:rsidRPr="00AE2F32">
        <w:rPr>
          <w:rFonts w:cs="Times New Roman"/>
          <w:noProof/>
          <w:sz w:val="22"/>
          <w:szCs w:val="22"/>
          <w:shd w:val="clear" w:color="auto" w:fill="FFFFFF"/>
          <w:lang w:val="en-GB"/>
        </w:rPr>
        <w:t xml:space="preserve">On March 27, 2006, the incumbent head of the penitentiary department of the Ministry of Justice carried out a special operation to suppress protest of prisoners, which had started in prison #5. As a result of the special operation, 7 prisoners died and 22 of them received bodily injury. The European Court of Human </w:t>
      </w:r>
      <w:r w:rsidRPr="00AE2F32">
        <w:rPr>
          <w:rFonts w:cs="Times New Roman"/>
          <w:noProof/>
          <w:sz w:val="22"/>
          <w:szCs w:val="22"/>
          <w:shd w:val="clear" w:color="auto" w:fill="FFFFFF"/>
          <w:lang w:val="en-GB"/>
        </w:rPr>
        <w:lastRenderedPageBreak/>
        <w:t xml:space="preserve">Rights </w:t>
      </w:r>
      <w:r w:rsidR="009165C2">
        <w:rPr>
          <w:rFonts w:cs="Times New Roman"/>
          <w:noProof/>
          <w:sz w:val="22"/>
          <w:szCs w:val="22"/>
          <w:shd w:val="clear" w:color="auto" w:fill="FFFFFF"/>
          <w:lang w:val="en-GB"/>
        </w:rPr>
        <w:t>(</w:t>
      </w:r>
      <w:r w:rsidR="006A7D0D">
        <w:rPr>
          <w:rFonts w:cs="Times New Roman"/>
          <w:noProof/>
          <w:sz w:val="22"/>
          <w:szCs w:val="22"/>
          <w:shd w:val="clear" w:color="auto" w:fill="FFFFFF"/>
          <w:lang w:val="en-GB"/>
        </w:rPr>
        <w:t>The ECHR</w:t>
      </w:r>
      <w:r w:rsidR="009165C2">
        <w:rPr>
          <w:rFonts w:cs="Times New Roman"/>
          <w:noProof/>
          <w:sz w:val="22"/>
          <w:szCs w:val="22"/>
          <w:shd w:val="clear" w:color="auto" w:fill="FFFFFF"/>
          <w:lang w:val="en-GB"/>
        </w:rPr>
        <w:t>)</w:t>
      </w:r>
      <w:r w:rsidR="006A7D0D">
        <w:rPr>
          <w:rFonts w:cs="Times New Roman"/>
          <w:noProof/>
          <w:sz w:val="22"/>
          <w:szCs w:val="22"/>
          <w:shd w:val="clear" w:color="auto" w:fill="FFFFFF"/>
          <w:lang w:val="en-GB"/>
        </w:rPr>
        <w:t xml:space="preserve"> </w:t>
      </w:r>
      <w:r w:rsidRPr="00AE2F32">
        <w:rPr>
          <w:rFonts w:cs="Times New Roman"/>
          <w:noProof/>
          <w:sz w:val="22"/>
          <w:szCs w:val="22"/>
          <w:shd w:val="clear" w:color="auto" w:fill="FFFFFF"/>
          <w:lang w:val="en-GB"/>
        </w:rPr>
        <w:t>in its decision of April 2, 2020</w:t>
      </w:r>
      <w:r w:rsidR="00BE09B6">
        <w:rPr>
          <w:rFonts w:cs="Times New Roman"/>
          <w:noProof/>
          <w:sz w:val="22"/>
          <w:szCs w:val="22"/>
          <w:shd w:val="clear" w:color="auto" w:fill="FFFFFF"/>
          <w:lang w:val="en-GB"/>
        </w:rPr>
        <w:t>,</w:t>
      </w:r>
      <w:r w:rsidRPr="00AE2F32">
        <w:rPr>
          <w:rFonts w:cs="Times New Roman"/>
          <w:noProof/>
          <w:sz w:val="22"/>
          <w:szCs w:val="22"/>
          <w:shd w:val="clear" w:color="auto" w:fill="FFFFFF"/>
          <w:lang w:val="en-GB"/>
        </w:rPr>
        <w:t xml:space="preserve"> assessed the force used by special task officers during the special operation as disproportionate and excessive.</w:t>
      </w:r>
      <w:r w:rsidRPr="00AE2F32">
        <w:rPr>
          <w:rStyle w:val="FootnoteReference"/>
          <w:rFonts w:eastAsia="Times New Roman" w:cs="Times New Roman"/>
          <w:noProof/>
          <w:sz w:val="22"/>
          <w:szCs w:val="22"/>
          <w:lang w:val="en-GB"/>
        </w:rPr>
        <w:footnoteReference w:id="16"/>
      </w:r>
      <w:r w:rsidRPr="00AE2F32">
        <w:rPr>
          <w:rFonts w:eastAsia="Times New Roman" w:cs="Times New Roman"/>
          <w:noProof/>
          <w:sz w:val="22"/>
          <w:szCs w:val="22"/>
          <w:lang w:val="en-GB"/>
        </w:rPr>
        <w:t xml:space="preserve">  </w:t>
      </w:r>
      <w:r w:rsidRPr="00AE2F32">
        <w:rPr>
          <w:rFonts w:cs="Times New Roman"/>
          <w:noProof/>
          <w:sz w:val="22"/>
          <w:szCs w:val="22"/>
          <w:shd w:val="clear" w:color="auto" w:fill="FFFFFF"/>
          <w:lang w:val="en-GB"/>
        </w:rPr>
        <w:t xml:space="preserve"> </w:t>
      </w:r>
    </w:p>
    <w:p w14:paraId="29B4301F" w14:textId="77777777" w:rsidR="009A2C7F" w:rsidRPr="00AE2F32" w:rsidRDefault="009A2C7F" w:rsidP="009A2C7F">
      <w:pPr>
        <w:jc w:val="both"/>
        <w:rPr>
          <w:rFonts w:cs="Times New Roman"/>
          <w:noProof/>
          <w:sz w:val="22"/>
          <w:szCs w:val="22"/>
          <w:shd w:val="clear" w:color="auto" w:fill="FFFFFF"/>
          <w:lang w:val="en-GB"/>
        </w:rPr>
      </w:pPr>
    </w:p>
    <w:p w14:paraId="1AE85B65" w14:textId="064AE3EA" w:rsidR="009A2C7F" w:rsidRPr="00AE2F32" w:rsidRDefault="006A7D0D" w:rsidP="009A2C7F">
      <w:pPr>
        <w:jc w:val="both"/>
        <w:rPr>
          <w:rFonts w:cs="Times New Roman"/>
          <w:noProof/>
          <w:sz w:val="22"/>
          <w:szCs w:val="22"/>
          <w:shd w:val="clear" w:color="auto" w:fill="FFFFFF"/>
          <w:lang w:val="en-GB"/>
        </w:rPr>
      </w:pPr>
      <w:r>
        <w:rPr>
          <w:rFonts w:cs="Times New Roman"/>
          <w:noProof/>
          <w:sz w:val="22"/>
          <w:szCs w:val="22"/>
          <w:shd w:val="clear" w:color="auto" w:fill="FFFFFF"/>
          <w:lang w:val="en-GB"/>
        </w:rPr>
        <w:t>Since 2006, t</w:t>
      </w:r>
      <w:r w:rsidR="009A2C7F" w:rsidRPr="00AE2F32">
        <w:rPr>
          <w:rFonts w:cs="Times New Roman"/>
          <w:noProof/>
          <w:sz w:val="22"/>
          <w:szCs w:val="22"/>
          <w:shd w:val="clear" w:color="auto" w:fill="FFFFFF"/>
          <w:lang w:val="en-GB"/>
        </w:rPr>
        <w:t xml:space="preserve">he General Prosecutor’s office has been investigating facts of exceeding power during suppressing the so-called prison riot. </w:t>
      </w:r>
      <w:r>
        <w:rPr>
          <w:rFonts w:cs="Times New Roman"/>
          <w:noProof/>
          <w:sz w:val="22"/>
          <w:szCs w:val="22"/>
          <w:shd w:val="clear" w:color="auto" w:fill="FFFFFF"/>
          <w:lang w:val="en-GB"/>
        </w:rPr>
        <w:t>Even though</w:t>
      </w:r>
      <w:r w:rsidR="009A2C7F" w:rsidRPr="00AE2F32">
        <w:rPr>
          <w:rFonts w:cs="Times New Roman"/>
          <w:noProof/>
          <w:sz w:val="22"/>
          <w:szCs w:val="22"/>
          <w:shd w:val="clear" w:color="auto" w:fill="FFFFFF"/>
          <w:lang w:val="en-GB"/>
        </w:rPr>
        <w:t xml:space="preserve"> 14 years have passed since the riot, these facts </w:t>
      </w:r>
      <w:r>
        <w:rPr>
          <w:rFonts w:cs="Times New Roman"/>
          <w:noProof/>
          <w:sz w:val="22"/>
          <w:szCs w:val="22"/>
          <w:shd w:val="clear" w:color="auto" w:fill="FFFFFF"/>
          <w:lang w:val="en-GB"/>
        </w:rPr>
        <w:t>are not</w:t>
      </w:r>
      <w:r w:rsidR="009A2C7F" w:rsidRPr="00AE2F32">
        <w:rPr>
          <w:rFonts w:cs="Times New Roman"/>
          <w:noProof/>
          <w:sz w:val="22"/>
          <w:szCs w:val="22"/>
          <w:shd w:val="clear" w:color="auto" w:fill="FFFFFF"/>
          <w:lang w:val="en-GB"/>
        </w:rPr>
        <w:t xml:space="preserve"> appropriately investigated, neither have necessary investigative measures been carried out, accordingly, perpetrators </w:t>
      </w:r>
      <w:r>
        <w:rPr>
          <w:rFonts w:cs="Times New Roman"/>
          <w:noProof/>
          <w:sz w:val="22"/>
          <w:szCs w:val="22"/>
          <w:shd w:val="clear" w:color="auto" w:fill="FFFFFF"/>
          <w:lang w:val="en-GB"/>
        </w:rPr>
        <w:t xml:space="preserve">are not </w:t>
      </w:r>
      <w:r w:rsidR="009A2C7F" w:rsidRPr="00AE2F32">
        <w:rPr>
          <w:rFonts w:cs="Times New Roman"/>
          <w:noProof/>
          <w:sz w:val="22"/>
          <w:szCs w:val="22"/>
          <w:shd w:val="clear" w:color="auto" w:fill="FFFFFF"/>
          <w:lang w:val="en-GB"/>
        </w:rPr>
        <w:t>still identified.</w:t>
      </w:r>
      <w:r w:rsidR="009A2C7F" w:rsidRPr="00AE2F32">
        <w:rPr>
          <w:rStyle w:val="FootnoteReference"/>
          <w:rFonts w:cs="Times New Roman"/>
          <w:noProof/>
          <w:sz w:val="22"/>
          <w:szCs w:val="22"/>
          <w:shd w:val="clear" w:color="auto" w:fill="FFFFFF"/>
          <w:lang w:val="en-GB"/>
        </w:rPr>
        <w:footnoteReference w:id="17"/>
      </w:r>
      <w:r w:rsidR="009A2C7F" w:rsidRPr="00AE2F32">
        <w:rPr>
          <w:rFonts w:cs="Times New Roman"/>
          <w:noProof/>
          <w:sz w:val="22"/>
          <w:szCs w:val="22"/>
          <w:shd w:val="clear" w:color="auto" w:fill="FFFFFF"/>
          <w:lang w:val="en-GB"/>
        </w:rPr>
        <w:t xml:space="preserve">  </w:t>
      </w:r>
    </w:p>
    <w:p w14:paraId="5F06E1F2" w14:textId="77777777" w:rsidR="009A2C7F" w:rsidRPr="00AE2F32" w:rsidRDefault="009A2C7F" w:rsidP="009A2C7F">
      <w:pPr>
        <w:jc w:val="both"/>
        <w:rPr>
          <w:rFonts w:cs="Times New Roman"/>
          <w:noProof/>
          <w:sz w:val="22"/>
          <w:szCs w:val="22"/>
          <w:lang w:val="en-GB"/>
        </w:rPr>
      </w:pPr>
    </w:p>
    <w:p w14:paraId="2616E55B" w14:textId="77777777" w:rsidR="009A2C7F" w:rsidRPr="00AE2F32" w:rsidRDefault="009A2C7F" w:rsidP="009A2C7F">
      <w:pPr>
        <w:shd w:val="clear" w:color="auto" w:fill="C9C9C9" w:themeFill="accent3" w:themeFillTint="99"/>
        <w:jc w:val="both"/>
        <w:rPr>
          <w:rFonts w:cs="Times New Roman"/>
          <w:b/>
          <w:bCs/>
          <w:noProof/>
          <w:sz w:val="22"/>
          <w:szCs w:val="22"/>
          <w:lang w:val="en-GB"/>
        </w:rPr>
      </w:pPr>
      <w:r w:rsidRPr="00AE2F32">
        <w:rPr>
          <w:rFonts w:cs="Times New Roman"/>
          <w:b/>
          <w:bCs/>
          <w:noProof/>
          <w:sz w:val="22"/>
          <w:szCs w:val="22"/>
          <w:lang w:val="en-GB"/>
        </w:rPr>
        <w:t xml:space="preserve">Recommendation: </w:t>
      </w:r>
    </w:p>
    <w:p w14:paraId="5769AD86" w14:textId="77777777" w:rsidR="009A2C7F" w:rsidRPr="00AE2F32" w:rsidRDefault="009A2C7F" w:rsidP="009A2C7F">
      <w:pPr>
        <w:shd w:val="clear" w:color="auto" w:fill="C9C9C9" w:themeFill="accent3" w:themeFillTint="99"/>
        <w:jc w:val="both"/>
        <w:rPr>
          <w:rFonts w:cs="Times New Roman"/>
          <w:noProof/>
          <w:sz w:val="22"/>
          <w:szCs w:val="22"/>
          <w:lang w:val="en-GB"/>
        </w:rPr>
      </w:pPr>
    </w:p>
    <w:p w14:paraId="0C32C2E0" w14:textId="0AAC3BA8" w:rsidR="009A2C7F" w:rsidRPr="00AE2F32" w:rsidRDefault="0098372D" w:rsidP="009A2C7F">
      <w:pPr>
        <w:pStyle w:val="ListParagraph"/>
        <w:numPr>
          <w:ilvl w:val="0"/>
          <w:numId w:val="5"/>
        </w:numPr>
        <w:shd w:val="clear" w:color="auto" w:fill="C9C9C9" w:themeFill="accent3" w:themeFillTint="99"/>
        <w:jc w:val="both"/>
        <w:rPr>
          <w:rFonts w:cs="Times New Roman"/>
          <w:noProof/>
          <w:sz w:val="22"/>
          <w:szCs w:val="22"/>
          <w:lang w:val="en-GB"/>
        </w:rPr>
      </w:pPr>
      <w:r>
        <w:rPr>
          <w:rFonts w:cs="Times New Roman"/>
          <w:noProof/>
          <w:sz w:val="22"/>
          <w:szCs w:val="22"/>
          <w:lang w:val="en-GB"/>
        </w:rPr>
        <w:t xml:space="preserve">On </w:t>
      </w:r>
      <w:r w:rsidR="001B38F1">
        <w:rPr>
          <w:rFonts w:cs="Times New Roman"/>
          <w:noProof/>
          <w:sz w:val="22"/>
          <w:szCs w:val="22"/>
          <w:lang w:val="en-GB"/>
        </w:rPr>
        <w:t xml:space="preserve">a </w:t>
      </w:r>
      <w:r>
        <w:rPr>
          <w:rFonts w:cs="Times New Roman"/>
          <w:noProof/>
          <w:sz w:val="22"/>
          <w:szCs w:val="22"/>
          <w:lang w:val="en-GB"/>
        </w:rPr>
        <w:t>national level, e</w:t>
      </w:r>
      <w:r w:rsidR="009A2C7F" w:rsidRPr="00AE2F32">
        <w:rPr>
          <w:rFonts w:cs="Times New Roman"/>
          <w:noProof/>
          <w:sz w:val="22"/>
          <w:szCs w:val="22"/>
          <w:lang w:val="en-GB"/>
        </w:rPr>
        <w:t>ffective</w:t>
      </w:r>
      <w:r w:rsidR="00FB498A">
        <w:rPr>
          <w:rFonts w:cs="Times New Roman"/>
          <w:noProof/>
          <w:sz w:val="22"/>
          <w:szCs w:val="22"/>
          <w:lang w:val="en-GB"/>
        </w:rPr>
        <w:t>ly investigate</w:t>
      </w:r>
      <w:r w:rsidR="001B38F1">
        <w:rPr>
          <w:rFonts w:cs="Times New Roman"/>
          <w:noProof/>
          <w:sz w:val="22"/>
          <w:szCs w:val="22"/>
          <w:lang w:val="en-GB"/>
        </w:rPr>
        <w:t xml:space="preserve"> </w:t>
      </w:r>
      <w:r w:rsidR="009A2C7F" w:rsidRPr="00AE2F32">
        <w:rPr>
          <w:rFonts w:cs="Times New Roman"/>
          <w:noProof/>
          <w:sz w:val="22"/>
          <w:szCs w:val="22"/>
          <w:lang w:val="en-GB"/>
        </w:rPr>
        <w:t xml:space="preserve">crimes committed during </w:t>
      </w:r>
      <w:r w:rsidR="001B38F1">
        <w:rPr>
          <w:rFonts w:cs="Times New Roman"/>
          <w:noProof/>
          <w:sz w:val="22"/>
          <w:szCs w:val="22"/>
          <w:lang w:val="en-GB"/>
        </w:rPr>
        <w:t xml:space="preserve">the </w:t>
      </w:r>
      <w:r w:rsidR="009A2C7F" w:rsidRPr="00AE2F32">
        <w:rPr>
          <w:rFonts w:cs="Times New Roman"/>
          <w:noProof/>
          <w:sz w:val="22"/>
          <w:szCs w:val="22"/>
          <w:lang w:val="en-GB"/>
        </w:rPr>
        <w:t xml:space="preserve">2008 August war, on June 15 and during </w:t>
      </w:r>
      <w:r w:rsidR="001B38F1">
        <w:rPr>
          <w:rFonts w:cs="Times New Roman"/>
          <w:noProof/>
          <w:sz w:val="22"/>
          <w:szCs w:val="22"/>
          <w:lang w:val="en-GB"/>
        </w:rPr>
        <w:t xml:space="preserve">a </w:t>
      </w:r>
      <w:r w:rsidR="009A2C7F" w:rsidRPr="00AE2F32">
        <w:rPr>
          <w:rFonts w:cs="Times New Roman"/>
          <w:noProof/>
          <w:sz w:val="22"/>
          <w:szCs w:val="22"/>
          <w:lang w:val="en-GB"/>
        </w:rPr>
        <w:t>prison riot, appropriate</w:t>
      </w:r>
      <w:r w:rsidR="00FB498A">
        <w:rPr>
          <w:rFonts w:cs="Times New Roman"/>
          <w:noProof/>
          <w:sz w:val="22"/>
          <w:szCs w:val="22"/>
          <w:lang w:val="en-GB"/>
        </w:rPr>
        <w:t>ly involve</w:t>
      </w:r>
      <w:r w:rsidR="009A2C7F" w:rsidRPr="00AE2F32">
        <w:rPr>
          <w:rFonts w:cs="Times New Roman"/>
          <w:noProof/>
          <w:sz w:val="22"/>
          <w:szCs w:val="22"/>
          <w:lang w:val="en-GB"/>
        </w:rPr>
        <w:t xml:space="preserve"> victims in the ongoing investigation, also </w:t>
      </w:r>
      <w:r w:rsidR="001B38F1">
        <w:rPr>
          <w:rFonts w:cs="Times New Roman"/>
          <w:noProof/>
          <w:sz w:val="22"/>
          <w:szCs w:val="22"/>
          <w:lang w:val="en-GB"/>
        </w:rPr>
        <w:t>identify</w:t>
      </w:r>
      <w:r w:rsidR="00FB498A" w:rsidRPr="00AE2F32">
        <w:rPr>
          <w:rFonts w:cs="Times New Roman"/>
          <w:noProof/>
          <w:sz w:val="22"/>
          <w:szCs w:val="22"/>
          <w:lang w:val="en-GB"/>
        </w:rPr>
        <w:t xml:space="preserve"> </w:t>
      </w:r>
      <w:r w:rsidR="009A2C7F" w:rsidRPr="00AE2F32">
        <w:rPr>
          <w:rFonts w:cs="Times New Roman"/>
          <w:noProof/>
          <w:sz w:val="22"/>
          <w:szCs w:val="22"/>
          <w:lang w:val="en-GB"/>
        </w:rPr>
        <w:t>and adequate</w:t>
      </w:r>
      <w:r w:rsidR="00FB498A">
        <w:rPr>
          <w:rFonts w:cs="Times New Roman"/>
          <w:noProof/>
          <w:sz w:val="22"/>
          <w:szCs w:val="22"/>
          <w:lang w:val="en-GB"/>
        </w:rPr>
        <w:t>ly</w:t>
      </w:r>
      <w:r w:rsidR="009A2C7F" w:rsidRPr="00AE2F32">
        <w:rPr>
          <w:rFonts w:cs="Times New Roman"/>
          <w:noProof/>
          <w:sz w:val="22"/>
          <w:szCs w:val="22"/>
          <w:lang w:val="en-GB"/>
        </w:rPr>
        <w:t xml:space="preserve"> </w:t>
      </w:r>
      <w:r w:rsidR="00FB498A">
        <w:rPr>
          <w:rFonts w:cs="Times New Roman"/>
          <w:noProof/>
          <w:sz w:val="22"/>
          <w:szCs w:val="22"/>
          <w:lang w:val="en-GB"/>
        </w:rPr>
        <w:t>punish</w:t>
      </w:r>
      <w:r w:rsidR="00FB498A" w:rsidRPr="00AE2F32">
        <w:rPr>
          <w:rFonts w:cs="Times New Roman"/>
          <w:noProof/>
          <w:sz w:val="22"/>
          <w:szCs w:val="22"/>
          <w:lang w:val="en-GB"/>
        </w:rPr>
        <w:t xml:space="preserve"> </w:t>
      </w:r>
      <w:r w:rsidR="009A2C7F" w:rsidRPr="00AE2F32">
        <w:rPr>
          <w:rFonts w:cs="Times New Roman"/>
          <w:noProof/>
          <w:sz w:val="22"/>
          <w:szCs w:val="22"/>
          <w:lang w:val="en-GB"/>
        </w:rPr>
        <w:t xml:space="preserve">perpetrators. </w:t>
      </w:r>
    </w:p>
    <w:p w14:paraId="126AD302" w14:textId="77777777" w:rsidR="009A2C7F" w:rsidRPr="00AE2F32" w:rsidRDefault="009A2C7F" w:rsidP="009A2C7F">
      <w:pPr>
        <w:jc w:val="both"/>
        <w:rPr>
          <w:rFonts w:cs="Times New Roman"/>
          <w:noProof/>
          <w:sz w:val="22"/>
          <w:szCs w:val="22"/>
          <w:lang w:val="en-GB"/>
        </w:rPr>
      </w:pPr>
    </w:p>
    <w:p w14:paraId="1450C6A7" w14:textId="77777777" w:rsidR="00425AE5" w:rsidRPr="00AE2F32" w:rsidRDefault="00425AE5" w:rsidP="00425AE5">
      <w:pPr>
        <w:jc w:val="both"/>
        <w:rPr>
          <w:sz w:val="22"/>
          <w:szCs w:val="22"/>
          <w:highlight w:val="yellow"/>
          <w:lang w:val="en-GB"/>
        </w:rPr>
      </w:pPr>
    </w:p>
    <w:p w14:paraId="059C122F" w14:textId="77777777" w:rsidR="009A2C7F" w:rsidRPr="00AE2F32" w:rsidRDefault="009A2C7F" w:rsidP="009A2C7F">
      <w:pPr>
        <w:pStyle w:val="Heading2"/>
        <w:numPr>
          <w:ilvl w:val="0"/>
          <w:numId w:val="14"/>
        </w:numPr>
        <w:spacing w:before="0"/>
        <w:jc w:val="both"/>
        <w:rPr>
          <w:rFonts w:asciiTheme="minorHAnsi" w:hAnsiTheme="minorHAnsi" w:cs="Times New Roman"/>
          <w:noProof/>
          <w:sz w:val="22"/>
          <w:szCs w:val="22"/>
          <w:lang w:val="en-GB"/>
        </w:rPr>
      </w:pPr>
      <w:bookmarkStart w:id="13" w:name="_Toc48565931"/>
      <w:bookmarkStart w:id="14" w:name="_Toc48038293"/>
      <w:r w:rsidRPr="00AE2F32">
        <w:rPr>
          <w:rFonts w:asciiTheme="minorHAnsi" w:hAnsiTheme="minorHAnsi" w:cs="Times New Roman"/>
          <w:noProof/>
          <w:sz w:val="22"/>
          <w:szCs w:val="22"/>
          <w:lang w:val="en-GB"/>
        </w:rPr>
        <w:t>Administrative Detentions (paragraph 13 of the Committee recommendation)</w:t>
      </w:r>
      <w:bookmarkEnd w:id="13"/>
      <w:r w:rsidRPr="00AE2F32">
        <w:rPr>
          <w:rFonts w:asciiTheme="minorHAnsi" w:hAnsiTheme="minorHAnsi" w:cs="Times New Roman"/>
          <w:noProof/>
          <w:sz w:val="22"/>
          <w:szCs w:val="22"/>
          <w:lang w:val="en-GB"/>
        </w:rPr>
        <w:t xml:space="preserve"> </w:t>
      </w:r>
      <w:bookmarkEnd w:id="14"/>
    </w:p>
    <w:p w14:paraId="4F7252BD" w14:textId="77777777" w:rsidR="009A2C7F" w:rsidRPr="00AE2F32" w:rsidRDefault="009A2C7F" w:rsidP="009A2C7F">
      <w:pPr>
        <w:jc w:val="both"/>
        <w:textAlignment w:val="baseline"/>
        <w:rPr>
          <w:rFonts w:eastAsia="Times New Roman" w:cs="Times New Roman"/>
          <w:noProof/>
          <w:color w:val="000000"/>
          <w:sz w:val="22"/>
          <w:szCs w:val="22"/>
          <w:lang w:val="en-GB"/>
        </w:rPr>
      </w:pPr>
    </w:p>
    <w:p w14:paraId="6FDD094E" w14:textId="6EA8C799" w:rsidR="009A2C7F" w:rsidRPr="00AE2F32" w:rsidRDefault="009A2C7F" w:rsidP="009A2C7F">
      <w:pPr>
        <w:jc w:val="both"/>
        <w:rPr>
          <w:rFonts w:eastAsia="Cambria" w:cs="Times New Roman"/>
          <w:noProof/>
          <w:sz w:val="22"/>
          <w:szCs w:val="22"/>
          <w:lang w:val="en-GB"/>
        </w:rPr>
      </w:pPr>
      <w:r w:rsidRPr="00AE2F32">
        <w:rPr>
          <w:rFonts w:eastAsia="Cambria" w:cs="Times New Roman"/>
          <w:noProof/>
          <w:sz w:val="22"/>
          <w:szCs w:val="22"/>
          <w:lang w:val="en-GB"/>
        </w:rPr>
        <w:t xml:space="preserve">Administrative Offences Code establishes administrative sanctions and foresees procedures of imposing sanctions for minor wrongdoings. Accordingly, positive changes in the sphere of criminal justice </w:t>
      </w:r>
      <w:r w:rsidR="001B38F1">
        <w:rPr>
          <w:rFonts w:eastAsia="Cambria" w:cs="Times New Roman"/>
          <w:noProof/>
          <w:sz w:val="22"/>
          <w:szCs w:val="22"/>
          <w:lang w:val="en-GB"/>
        </w:rPr>
        <w:t xml:space="preserve">are not affected </w:t>
      </w:r>
      <w:r w:rsidRPr="00AE2F32">
        <w:rPr>
          <w:rFonts w:eastAsia="Cambria" w:cs="Times New Roman"/>
          <w:noProof/>
          <w:sz w:val="22"/>
          <w:szCs w:val="22"/>
          <w:lang w:val="en-GB"/>
        </w:rPr>
        <w:t xml:space="preserve">administrative </w:t>
      </w:r>
      <w:r w:rsidR="001B38F1">
        <w:rPr>
          <w:rFonts w:eastAsia="Cambria" w:cs="Times New Roman"/>
          <w:noProof/>
          <w:sz w:val="22"/>
          <w:szCs w:val="22"/>
          <w:lang w:val="en-GB"/>
        </w:rPr>
        <w:t>offenses</w:t>
      </w:r>
      <w:r w:rsidRPr="00AE2F32">
        <w:rPr>
          <w:rFonts w:eastAsia="Cambria" w:cs="Times New Roman"/>
          <w:noProof/>
          <w:sz w:val="22"/>
          <w:szCs w:val="22"/>
          <w:lang w:val="en-GB"/>
        </w:rPr>
        <w:t xml:space="preserve"> legislation,</w:t>
      </w:r>
      <w:r w:rsidR="007A5438">
        <w:rPr>
          <w:rFonts w:eastAsia="Cambria" w:cs="Times New Roman"/>
          <w:noProof/>
          <w:sz w:val="22"/>
          <w:szCs w:val="22"/>
          <w:lang w:val="en-GB"/>
        </w:rPr>
        <w:t xml:space="preserve"> as</w:t>
      </w:r>
      <w:r w:rsidRPr="00AE2F32">
        <w:rPr>
          <w:rFonts w:eastAsia="Cambria" w:cs="Times New Roman"/>
          <w:noProof/>
          <w:sz w:val="22"/>
          <w:szCs w:val="22"/>
          <w:lang w:val="en-GB"/>
        </w:rPr>
        <w:t xml:space="preserve"> persons cannot enjoy fair trial guarantees and unsubstantiated arrest, </w:t>
      </w:r>
      <w:r w:rsidR="001B38F1">
        <w:rPr>
          <w:rFonts w:eastAsia="Cambria" w:cs="Times New Roman"/>
          <w:noProof/>
          <w:sz w:val="22"/>
          <w:szCs w:val="22"/>
          <w:lang w:val="en-GB"/>
        </w:rPr>
        <w:t xml:space="preserve">the </w:t>
      </w:r>
      <w:r w:rsidRPr="00AE2F32">
        <w:rPr>
          <w:rFonts w:eastAsia="Cambria" w:cs="Times New Roman"/>
          <w:noProof/>
          <w:sz w:val="22"/>
          <w:szCs w:val="22"/>
          <w:lang w:val="en-GB"/>
        </w:rPr>
        <w:t>imposition of administrative detention or a fine is a widespread practice.</w:t>
      </w:r>
      <w:r w:rsidRPr="00AE2F32">
        <w:rPr>
          <w:rStyle w:val="FootnoteReference"/>
          <w:rFonts w:eastAsia="Cambria" w:cs="Times New Roman"/>
          <w:noProof/>
          <w:sz w:val="22"/>
          <w:szCs w:val="22"/>
          <w:lang w:val="en-GB"/>
        </w:rPr>
        <w:t xml:space="preserve"> </w:t>
      </w:r>
      <w:r w:rsidRPr="00AE2F32">
        <w:rPr>
          <w:rStyle w:val="FootnoteReference"/>
          <w:rFonts w:eastAsia="Cambria" w:cs="Times New Roman"/>
          <w:noProof/>
          <w:sz w:val="22"/>
          <w:szCs w:val="22"/>
          <w:lang w:val="en-GB"/>
        </w:rPr>
        <w:footnoteReference w:id="18"/>
      </w:r>
      <w:r w:rsidRPr="00AE2F32">
        <w:rPr>
          <w:rFonts w:eastAsia="Cambria" w:cs="Times New Roman"/>
          <w:noProof/>
          <w:sz w:val="22"/>
          <w:szCs w:val="22"/>
          <w:lang w:val="en-GB"/>
        </w:rPr>
        <w:t xml:space="preserve">   </w:t>
      </w:r>
    </w:p>
    <w:p w14:paraId="0DBADDB7" w14:textId="77777777" w:rsidR="009A2C7F" w:rsidRPr="00AE2F32" w:rsidRDefault="009A2C7F" w:rsidP="009A2C7F">
      <w:pPr>
        <w:jc w:val="both"/>
        <w:rPr>
          <w:rFonts w:eastAsia="Cambria" w:cs="Times New Roman"/>
          <w:noProof/>
          <w:sz w:val="22"/>
          <w:szCs w:val="22"/>
          <w:lang w:val="en-GB"/>
        </w:rPr>
      </w:pPr>
    </w:p>
    <w:p w14:paraId="54D86A01" w14:textId="3DF00127" w:rsidR="009A2C7F" w:rsidRPr="00AE2F32" w:rsidRDefault="007A5438" w:rsidP="009A2C7F">
      <w:pPr>
        <w:jc w:val="both"/>
        <w:rPr>
          <w:rFonts w:cs="Times New Roman"/>
          <w:noProof/>
          <w:sz w:val="22"/>
          <w:szCs w:val="22"/>
          <w:lang w:val="en-GB"/>
        </w:rPr>
      </w:pPr>
      <w:r>
        <w:rPr>
          <w:rFonts w:cs="Times New Roman"/>
          <w:noProof/>
          <w:sz w:val="22"/>
          <w:szCs w:val="22"/>
          <w:lang w:val="en-GB"/>
        </w:rPr>
        <w:t>Although</w:t>
      </w:r>
      <w:r w:rsidR="009A2C7F" w:rsidRPr="00AE2F32">
        <w:rPr>
          <w:rFonts w:cs="Times New Roman"/>
          <w:noProof/>
          <w:sz w:val="22"/>
          <w:szCs w:val="22"/>
          <w:lang w:val="en-GB"/>
        </w:rPr>
        <w:t xml:space="preserve"> administrative detention time decreased from 90 days to 15 </w:t>
      </w:r>
      <w:r>
        <w:rPr>
          <w:rFonts w:cs="Times New Roman"/>
          <w:noProof/>
          <w:sz w:val="22"/>
          <w:szCs w:val="22"/>
          <w:lang w:val="en-GB"/>
        </w:rPr>
        <w:t xml:space="preserve">since </w:t>
      </w:r>
      <w:r w:rsidR="009A2C7F" w:rsidRPr="00AE2F32">
        <w:rPr>
          <w:rFonts w:cs="Times New Roman"/>
          <w:noProof/>
          <w:sz w:val="22"/>
          <w:szCs w:val="22"/>
          <w:lang w:val="en-GB"/>
        </w:rPr>
        <w:t>August 18, 2014, risks fundamental rights</w:t>
      </w:r>
      <w:r>
        <w:rPr>
          <w:rFonts w:cs="Times New Roman"/>
          <w:noProof/>
          <w:sz w:val="22"/>
          <w:szCs w:val="22"/>
          <w:lang w:val="en-GB"/>
        </w:rPr>
        <w:t xml:space="preserve"> </w:t>
      </w:r>
      <w:r w:rsidR="001B38F1">
        <w:rPr>
          <w:rFonts w:cs="Times New Roman"/>
          <w:noProof/>
          <w:sz w:val="22"/>
          <w:szCs w:val="22"/>
          <w:lang w:val="en-GB"/>
        </w:rPr>
        <w:t>violations</w:t>
      </w:r>
      <w:r w:rsidR="009A2C7F" w:rsidRPr="00AE2F32">
        <w:rPr>
          <w:rFonts w:cs="Times New Roman"/>
          <w:noProof/>
          <w:sz w:val="22"/>
          <w:szCs w:val="22"/>
          <w:lang w:val="en-GB"/>
        </w:rPr>
        <w:t xml:space="preserve"> </w:t>
      </w:r>
      <w:r>
        <w:rPr>
          <w:rFonts w:cs="Times New Roman"/>
          <w:noProof/>
          <w:sz w:val="22"/>
          <w:szCs w:val="22"/>
          <w:lang w:val="en-GB"/>
        </w:rPr>
        <w:t>are</w:t>
      </w:r>
      <w:r w:rsidRPr="00AE2F32">
        <w:rPr>
          <w:rFonts w:cs="Times New Roman"/>
          <w:noProof/>
          <w:sz w:val="22"/>
          <w:szCs w:val="22"/>
          <w:lang w:val="en-GB"/>
        </w:rPr>
        <w:t xml:space="preserve"> </w:t>
      </w:r>
      <w:r w:rsidR="009A2C7F" w:rsidRPr="00AE2F32">
        <w:rPr>
          <w:rFonts w:cs="Times New Roman"/>
          <w:noProof/>
          <w:sz w:val="22"/>
          <w:szCs w:val="22"/>
          <w:lang w:val="en-GB"/>
        </w:rPr>
        <w:t xml:space="preserve">not lowered. With the existing legislation, a person is left without adequate legal guarantees. </w:t>
      </w:r>
    </w:p>
    <w:p w14:paraId="0D678EDE" w14:textId="77777777" w:rsidR="009A2C7F" w:rsidRPr="00AE2F32" w:rsidRDefault="009A2C7F" w:rsidP="009A2C7F">
      <w:pPr>
        <w:jc w:val="both"/>
        <w:rPr>
          <w:rFonts w:cs="Times New Roman"/>
          <w:noProof/>
          <w:sz w:val="22"/>
          <w:szCs w:val="22"/>
          <w:lang w:val="en-GB"/>
        </w:rPr>
      </w:pPr>
    </w:p>
    <w:p w14:paraId="58E0A0B5" w14:textId="40C363AD" w:rsidR="009A2C7F" w:rsidRPr="00AE2F32" w:rsidRDefault="007A5438" w:rsidP="009A2C7F">
      <w:pPr>
        <w:jc w:val="both"/>
        <w:rPr>
          <w:rFonts w:cs="Times New Roman"/>
          <w:noProof/>
          <w:sz w:val="22"/>
          <w:szCs w:val="22"/>
          <w:lang w:val="en-GB"/>
        </w:rPr>
      </w:pPr>
      <w:r>
        <w:rPr>
          <w:rFonts w:cs="Times New Roman"/>
          <w:noProof/>
          <w:sz w:val="22"/>
          <w:szCs w:val="22"/>
          <w:lang w:val="en-GB"/>
        </w:rPr>
        <w:t>A</w:t>
      </w:r>
      <w:r w:rsidR="009A2C7F" w:rsidRPr="00AE2F32">
        <w:rPr>
          <w:rFonts w:cs="Times New Roman"/>
          <w:noProof/>
          <w:sz w:val="22"/>
          <w:szCs w:val="22"/>
          <w:lang w:val="en-GB"/>
        </w:rPr>
        <w:t>dministrative detention</w:t>
      </w:r>
      <w:r>
        <w:rPr>
          <w:rFonts w:cs="Times New Roman"/>
          <w:noProof/>
          <w:sz w:val="22"/>
          <w:szCs w:val="22"/>
          <w:lang w:val="en-GB"/>
        </w:rPr>
        <w:t xml:space="preserve"> is </w:t>
      </w:r>
      <w:r w:rsidR="001B38F1">
        <w:rPr>
          <w:rFonts w:cs="Times New Roman"/>
          <w:noProof/>
          <w:sz w:val="22"/>
          <w:szCs w:val="22"/>
          <w:lang w:val="en-GB"/>
        </w:rPr>
        <w:t xml:space="preserve">the </w:t>
      </w:r>
      <w:r>
        <w:rPr>
          <w:rFonts w:cs="Times New Roman"/>
          <w:noProof/>
          <w:sz w:val="22"/>
          <w:szCs w:val="22"/>
          <w:lang w:val="en-GB"/>
        </w:rPr>
        <w:t>most severe sanction under the Administrative Offences Code</w:t>
      </w:r>
      <w:r w:rsidR="009A2C7F" w:rsidRPr="00AE2F32">
        <w:rPr>
          <w:rFonts w:cs="Times New Roman"/>
          <w:noProof/>
          <w:sz w:val="22"/>
          <w:szCs w:val="22"/>
          <w:lang w:val="en-GB"/>
        </w:rPr>
        <w:t xml:space="preserve">, which requires </w:t>
      </w:r>
      <w:r w:rsidR="001B38F1">
        <w:rPr>
          <w:rFonts w:cs="Times New Roman"/>
          <w:noProof/>
          <w:sz w:val="22"/>
          <w:szCs w:val="22"/>
          <w:lang w:val="en-GB"/>
        </w:rPr>
        <w:t xml:space="preserve">the </w:t>
      </w:r>
      <w:r w:rsidR="009A2C7F" w:rsidRPr="00AE2F32">
        <w:rPr>
          <w:rFonts w:cs="Times New Roman"/>
          <w:noProof/>
          <w:sz w:val="22"/>
          <w:szCs w:val="22"/>
          <w:lang w:val="en-GB"/>
        </w:rPr>
        <w:t xml:space="preserve">use of procedural guarantees linked with criminal </w:t>
      </w:r>
      <w:r w:rsidR="001B38F1">
        <w:rPr>
          <w:rFonts w:cs="Times New Roman"/>
          <w:noProof/>
          <w:sz w:val="22"/>
          <w:szCs w:val="22"/>
          <w:lang w:val="en-GB"/>
        </w:rPr>
        <w:t>offenses</w:t>
      </w:r>
      <w:r w:rsidR="009A2C7F" w:rsidRPr="00AE2F32">
        <w:rPr>
          <w:rFonts w:cs="Times New Roman"/>
          <w:noProof/>
          <w:sz w:val="22"/>
          <w:szCs w:val="22"/>
          <w:lang w:val="en-GB"/>
        </w:rPr>
        <w:t xml:space="preserve">. </w:t>
      </w:r>
      <w:r w:rsidR="00A67369" w:rsidRPr="00A67369">
        <w:rPr>
          <w:rFonts w:cs="Times New Roman"/>
          <w:noProof/>
          <w:sz w:val="22"/>
          <w:szCs w:val="22"/>
          <w:lang w:val="en-GB"/>
        </w:rPr>
        <w:t>Nevertheless</w:t>
      </w:r>
      <w:r w:rsidR="00A67369">
        <w:rPr>
          <w:rFonts w:cs="Times New Roman"/>
          <w:noProof/>
          <w:sz w:val="22"/>
          <w:szCs w:val="22"/>
          <w:lang w:val="en-GB"/>
        </w:rPr>
        <w:t xml:space="preserve">, </w:t>
      </w:r>
      <w:r w:rsidR="009A2C7F" w:rsidRPr="00AE2F32">
        <w:rPr>
          <w:rFonts w:cs="Times New Roman"/>
          <w:noProof/>
          <w:sz w:val="22"/>
          <w:szCs w:val="22"/>
          <w:lang w:val="en-GB"/>
        </w:rPr>
        <w:t>the Code foresees much lower standard, than the defendant</w:t>
      </w:r>
      <w:r w:rsidR="001B38F1">
        <w:rPr>
          <w:rFonts w:cs="Times New Roman"/>
          <w:noProof/>
          <w:sz w:val="22"/>
          <w:szCs w:val="22"/>
          <w:lang w:val="en-GB"/>
        </w:rPr>
        <w:t xml:space="preserve"> </w:t>
      </w:r>
      <w:r w:rsidR="00A67369" w:rsidRPr="00AE2F32">
        <w:rPr>
          <w:rFonts w:cs="Times New Roman"/>
          <w:noProof/>
          <w:sz w:val="22"/>
          <w:szCs w:val="22"/>
          <w:lang w:val="en-GB"/>
        </w:rPr>
        <w:t xml:space="preserve">enjoys </w:t>
      </w:r>
      <w:r w:rsidR="009A2C7F" w:rsidRPr="00AE2F32">
        <w:rPr>
          <w:rFonts w:cs="Times New Roman"/>
          <w:noProof/>
          <w:sz w:val="22"/>
          <w:szCs w:val="22"/>
          <w:lang w:val="en-GB"/>
        </w:rPr>
        <w:t xml:space="preserve">in </w:t>
      </w:r>
      <w:r w:rsidR="001B38F1">
        <w:rPr>
          <w:rFonts w:cs="Times New Roman"/>
          <w:noProof/>
          <w:sz w:val="22"/>
          <w:szCs w:val="22"/>
          <w:lang w:val="en-GB"/>
        </w:rPr>
        <w:t xml:space="preserve">a </w:t>
      </w:r>
      <w:r w:rsidR="009A2C7F" w:rsidRPr="00AE2F32">
        <w:rPr>
          <w:rFonts w:cs="Times New Roman"/>
          <w:noProof/>
          <w:sz w:val="22"/>
          <w:szCs w:val="22"/>
          <w:lang w:val="en-GB"/>
        </w:rPr>
        <w:t>criminal case; does not envisage requirements of presumption of innocence; does not oblige the judge to follow the standard of beyond reasonable doubt. Tight procedures for case consideration and imposition of sanctions cannot guarantee effective legal representation (case consideration may last 10-15 minutes). Accordingly, fundamental rights and international obligations undertaken by Georgia</w:t>
      </w:r>
      <w:r w:rsidR="00A67369">
        <w:rPr>
          <w:rFonts w:cs="Times New Roman"/>
          <w:noProof/>
          <w:sz w:val="22"/>
          <w:szCs w:val="22"/>
          <w:lang w:val="en-GB"/>
        </w:rPr>
        <w:t xml:space="preserve"> are violated</w:t>
      </w:r>
      <w:r w:rsidR="009A2C7F" w:rsidRPr="00AE2F32">
        <w:rPr>
          <w:rFonts w:cs="Times New Roman"/>
          <w:noProof/>
          <w:sz w:val="22"/>
          <w:szCs w:val="22"/>
          <w:lang w:val="en-GB"/>
        </w:rPr>
        <w:t>.</w:t>
      </w:r>
      <w:r w:rsidR="009A2C7F" w:rsidRPr="00AE2F32">
        <w:rPr>
          <w:rFonts w:cs="Times New Roman"/>
          <w:noProof/>
          <w:sz w:val="22"/>
          <w:szCs w:val="22"/>
          <w:vertAlign w:val="superscript"/>
          <w:lang w:val="en-GB"/>
        </w:rPr>
        <w:footnoteReference w:id="19"/>
      </w:r>
    </w:p>
    <w:p w14:paraId="3C821339" w14:textId="77777777" w:rsidR="009A2C7F" w:rsidRPr="00AE2F32" w:rsidRDefault="009A2C7F" w:rsidP="009A2C7F">
      <w:pPr>
        <w:jc w:val="both"/>
        <w:rPr>
          <w:rFonts w:cs="Times New Roman"/>
          <w:noProof/>
          <w:sz w:val="22"/>
          <w:szCs w:val="22"/>
          <w:lang w:val="en-GB"/>
        </w:rPr>
      </w:pPr>
    </w:p>
    <w:p w14:paraId="652858E2" w14:textId="2EB1D743" w:rsidR="009A2C7F" w:rsidRPr="00AE2F32" w:rsidRDefault="009A2C7F" w:rsidP="009A2C7F">
      <w:pPr>
        <w:jc w:val="both"/>
        <w:rPr>
          <w:rFonts w:cs="Times New Roman"/>
          <w:noProof/>
          <w:sz w:val="22"/>
          <w:szCs w:val="22"/>
          <w:lang w:val="en-GB"/>
        </w:rPr>
      </w:pPr>
      <w:r w:rsidRPr="00AE2F32">
        <w:rPr>
          <w:rFonts w:cs="Times New Roman"/>
          <w:noProof/>
          <w:sz w:val="22"/>
          <w:szCs w:val="22"/>
        </w:rPr>
        <w:t xml:space="preserve">The above </w:t>
      </w:r>
      <w:r w:rsidR="005D426A">
        <w:rPr>
          <w:rFonts w:cs="Times New Roman"/>
          <w:noProof/>
          <w:sz w:val="22"/>
          <w:szCs w:val="22"/>
        </w:rPr>
        <w:t xml:space="preserve">consideration was </w:t>
      </w:r>
      <w:r w:rsidRPr="00AE2F32">
        <w:rPr>
          <w:rFonts w:cs="Times New Roman"/>
          <w:noProof/>
          <w:sz w:val="22"/>
          <w:szCs w:val="22"/>
        </w:rPr>
        <w:t>confirmed by the</w:t>
      </w:r>
      <w:r w:rsidR="00A67369">
        <w:rPr>
          <w:rFonts w:cs="Times New Roman"/>
          <w:noProof/>
          <w:sz w:val="22"/>
          <w:szCs w:val="22"/>
        </w:rPr>
        <w:t xml:space="preserve"> court’s</w:t>
      </w:r>
      <w:r w:rsidRPr="00AE2F32">
        <w:rPr>
          <w:rFonts w:cs="Times New Roman"/>
          <w:noProof/>
          <w:sz w:val="22"/>
          <w:szCs w:val="22"/>
        </w:rPr>
        <w:t xml:space="preserve"> blanket</w:t>
      </w:r>
      <w:r w:rsidR="00A67369">
        <w:rPr>
          <w:rFonts w:cs="Times New Roman"/>
          <w:noProof/>
          <w:sz w:val="22"/>
          <w:szCs w:val="22"/>
        </w:rPr>
        <w:t xml:space="preserve"> approach towards</w:t>
      </w:r>
      <w:r w:rsidRPr="00AE2F32">
        <w:rPr>
          <w:rFonts w:cs="Times New Roman"/>
          <w:noProof/>
          <w:sz w:val="22"/>
          <w:szCs w:val="22"/>
        </w:rPr>
        <w:t xml:space="preserve"> mass detentions following the events of June 20-21, 2019. Instead of study and assess</w:t>
      </w:r>
      <w:r w:rsidR="005D426A">
        <w:rPr>
          <w:rFonts w:cs="Times New Roman"/>
          <w:noProof/>
          <w:sz w:val="22"/>
          <w:szCs w:val="22"/>
        </w:rPr>
        <w:t>ment of</w:t>
      </w:r>
      <w:r w:rsidRPr="00AE2F32">
        <w:rPr>
          <w:rFonts w:cs="Times New Roman"/>
          <w:noProof/>
          <w:sz w:val="22"/>
          <w:szCs w:val="22"/>
        </w:rPr>
        <w:t xml:space="preserve"> individual circumstances, judges prioritized fast consideration of cases</w:t>
      </w:r>
      <w:r w:rsidR="005D426A">
        <w:rPr>
          <w:rFonts w:cs="Times New Roman"/>
          <w:noProof/>
          <w:sz w:val="22"/>
          <w:szCs w:val="22"/>
        </w:rPr>
        <w:t xml:space="preserve"> and </w:t>
      </w:r>
      <w:r w:rsidRPr="00AE2F32">
        <w:rPr>
          <w:rFonts w:cs="Times New Roman"/>
          <w:noProof/>
          <w:sz w:val="22"/>
          <w:szCs w:val="22"/>
        </w:rPr>
        <w:t>merged</w:t>
      </w:r>
      <w:r w:rsidR="005D426A">
        <w:rPr>
          <w:rFonts w:cs="Times New Roman"/>
          <w:noProof/>
          <w:sz w:val="22"/>
          <w:szCs w:val="22"/>
        </w:rPr>
        <w:t xml:space="preserve"> </w:t>
      </w:r>
      <w:r w:rsidR="005D426A" w:rsidRPr="00AE2F32">
        <w:rPr>
          <w:rFonts w:cs="Times New Roman"/>
          <w:noProof/>
          <w:sz w:val="22"/>
          <w:szCs w:val="22"/>
        </w:rPr>
        <w:t>unrelated</w:t>
      </w:r>
      <w:r w:rsidRPr="00AE2F32">
        <w:rPr>
          <w:rFonts w:cs="Times New Roman"/>
          <w:noProof/>
          <w:sz w:val="22"/>
          <w:szCs w:val="22"/>
        </w:rPr>
        <w:t xml:space="preserve"> cases</w:t>
      </w:r>
      <w:r w:rsidRPr="00AE2F32">
        <w:rPr>
          <w:rFonts w:cs="Times New Roman"/>
          <w:noProof/>
          <w:sz w:val="22"/>
          <w:szCs w:val="22"/>
          <w:lang w:val="en-GB"/>
        </w:rPr>
        <w:t>.</w:t>
      </w:r>
      <w:r w:rsidRPr="00AE2F32">
        <w:rPr>
          <w:rStyle w:val="FootnoteReference"/>
          <w:rFonts w:cs="Times New Roman"/>
          <w:noProof/>
          <w:sz w:val="22"/>
          <w:szCs w:val="22"/>
          <w:lang w:val="en-GB"/>
        </w:rPr>
        <w:footnoteReference w:id="20"/>
      </w:r>
    </w:p>
    <w:p w14:paraId="57E6B483" w14:textId="77777777" w:rsidR="009A2C7F" w:rsidRPr="00AE2F32" w:rsidRDefault="009A2C7F" w:rsidP="009A2C7F">
      <w:pPr>
        <w:jc w:val="both"/>
        <w:rPr>
          <w:rFonts w:cs="Times New Roman"/>
          <w:noProof/>
          <w:sz w:val="22"/>
          <w:szCs w:val="22"/>
          <w:lang w:val="en-GB"/>
        </w:rPr>
      </w:pPr>
    </w:p>
    <w:p w14:paraId="48A7DA55" w14:textId="2CBB4B7F" w:rsidR="009A2C7F" w:rsidRPr="00AE2F32" w:rsidRDefault="009A2C7F" w:rsidP="009A2C7F">
      <w:pPr>
        <w:jc w:val="both"/>
        <w:rPr>
          <w:rFonts w:cs="Times New Roman"/>
          <w:noProof/>
          <w:sz w:val="22"/>
          <w:szCs w:val="22"/>
        </w:rPr>
      </w:pPr>
      <w:r w:rsidRPr="00AE2F32">
        <w:rPr>
          <w:rFonts w:cs="Times New Roman"/>
          <w:noProof/>
          <w:sz w:val="22"/>
          <w:szCs w:val="22"/>
          <w:lang w:val="en-GB"/>
        </w:rPr>
        <w:lastRenderedPageBreak/>
        <w:t xml:space="preserve">The Code foresees administrative arrest and administrative detention. </w:t>
      </w:r>
      <w:r w:rsidR="001B38F1">
        <w:rPr>
          <w:rFonts w:cs="Times New Roman"/>
          <w:noProof/>
          <w:sz w:val="22"/>
          <w:szCs w:val="22"/>
          <w:lang w:val="en-GB"/>
        </w:rPr>
        <w:t>An administrative</w:t>
      </w:r>
      <w:r w:rsidRPr="00AE2F32">
        <w:rPr>
          <w:rFonts w:cs="Times New Roman"/>
          <w:noProof/>
          <w:sz w:val="22"/>
          <w:szCs w:val="22"/>
          <w:lang w:val="en-GB"/>
        </w:rPr>
        <w:t xml:space="preserve"> arrest is a</w:t>
      </w:r>
      <w:r w:rsidRPr="00AE2F32">
        <w:rPr>
          <w:rFonts w:cs="Times New Roman"/>
          <w:noProof/>
          <w:sz w:val="22"/>
          <w:szCs w:val="22"/>
          <w:lang w:val="ka-GE"/>
        </w:rPr>
        <w:t xml:space="preserve"> </w:t>
      </w:r>
      <w:r w:rsidRPr="00AE2F32">
        <w:rPr>
          <w:rFonts w:cs="Times New Roman"/>
          <w:noProof/>
          <w:sz w:val="22"/>
          <w:szCs w:val="22"/>
        </w:rPr>
        <w:t>provisional measure, while detention is the harshest sanction for administrative wrongdoing. The Code foresees a 12-hour maximum time for an arrest, however, if the person’s arrest coincides with non-working days, it may last for  48 hours.</w:t>
      </w:r>
      <w:r w:rsidRPr="00AE2F32">
        <w:rPr>
          <w:rStyle w:val="FootnoteReference"/>
          <w:rFonts w:cs="Times New Roman"/>
          <w:noProof/>
          <w:sz w:val="22"/>
          <w:szCs w:val="22"/>
          <w:lang w:val="en-GB"/>
        </w:rPr>
        <w:footnoteReference w:id="21"/>
      </w:r>
    </w:p>
    <w:p w14:paraId="6A6FD96D" w14:textId="77777777" w:rsidR="009A2C7F" w:rsidRPr="00AE2F32" w:rsidRDefault="009A2C7F" w:rsidP="009A2C7F">
      <w:pPr>
        <w:autoSpaceDE w:val="0"/>
        <w:autoSpaceDN w:val="0"/>
        <w:adjustRightInd w:val="0"/>
        <w:jc w:val="both"/>
        <w:rPr>
          <w:rFonts w:cs="Times New Roman"/>
          <w:noProof/>
          <w:sz w:val="22"/>
          <w:szCs w:val="22"/>
          <w:lang w:val="en-GB"/>
        </w:rPr>
      </w:pPr>
    </w:p>
    <w:p w14:paraId="5FF50FAD" w14:textId="24AE1E26" w:rsidR="009A2C7F" w:rsidRPr="00AE2F32" w:rsidRDefault="009A2C7F" w:rsidP="009A2C7F">
      <w:pPr>
        <w:jc w:val="both"/>
        <w:rPr>
          <w:rFonts w:cs="Times New Roman"/>
          <w:noProof/>
          <w:sz w:val="22"/>
          <w:szCs w:val="22"/>
          <w:lang w:val="en-GB"/>
        </w:rPr>
      </w:pPr>
      <w:r w:rsidRPr="00AE2F32">
        <w:rPr>
          <w:rFonts w:cs="Times New Roman"/>
          <w:noProof/>
          <w:sz w:val="22"/>
          <w:szCs w:val="22"/>
          <w:lang w:val="en-GB"/>
        </w:rPr>
        <w:t xml:space="preserve">In 2019, 1802 persons were arrested for an administrative </w:t>
      </w:r>
      <w:r w:rsidR="001B38F1">
        <w:rPr>
          <w:rFonts w:cs="Times New Roman"/>
          <w:noProof/>
          <w:sz w:val="22"/>
          <w:szCs w:val="22"/>
          <w:lang w:val="en-GB"/>
        </w:rPr>
        <w:t>offense</w:t>
      </w:r>
      <w:r w:rsidRPr="00AE2F32">
        <w:rPr>
          <w:rFonts w:cs="Times New Roman"/>
          <w:noProof/>
          <w:sz w:val="22"/>
          <w:szCs w:val="22"/>
          <w:lang w:val="en-GB"/>
        </w:rPr>
        <w:t>.</w:t>
      </w:r>
      <w:r w:rsidRPr="00AE2F32">
        <w:rPr>
          <w:rStyle w:val="FootnoteReference"/>
          <w:rFonts w:cs="Times New Roman"/>
          <w:noProof/>
          <w:sz w:val="22"/>
          <w:szCs w:val="22"/>
          <w:lang w:val="en-GB"/>
        </w:rPr>
        <w:footnoteReference w:id="22"/>
      </w:r>
      <w:r w:rsidRPr="00AE2F32">
        <w:rPr>
          <w:rFonts w:cs="Times New Roman"/>
          <w:noProof/>
          <w:sz w:val="22"/>
          <w:szCs w:val="22"/>
          <w:lang w:val="en-GB"/>
        </w:rPr>
        <w:t xml:space="preserve"> Each time during the consideration of an administrative </w:t>
      </w:r>
      <w:r w:rsidR="001B38F1">
        <w:rPr>
          <w:rFonts w:cs="Times New Roman"/>
          <w:noProof/>
          <w:sz w:val="22"/>
          <w:szCs w:val="22"/>
          <w:lang w:val="en-GB"/>
        </w:rPr>
        <w:t>offense</w:t>
      </w:r>
      <w:r w:rsidRPr="00AE2F32">
        <w:rPr>
          <w:rFonts w:cs="Times New Roman"/>
          <w:noProof/>
          <w:sz w:val="22"/>
          <w:szCs w:val="22"/>
          <w:lang w:val="en-GB"/>
        </w:rPr>
        <w:t xml:space="preserve"> case, at every stage of proceedings, fundamental rights are violated and adequate legal guarantees are absent. Administrative detention is a sanction characteristic to </w:t>
      </w:r>
      <w:r w:rsidR="001B38F1">
        <w:rPr>
          <w:rFonts w:cs="Times New Roman"/>
          <w:noProof/>
          <w:sz w:val="22"/>
          <w:szCs w:val="22"/>
          <w:lang w:val="en-GB"/>
        </w:rPr>
        <w:t xml:space="preserve">the </w:t>
      </w:r>
      <w:r w:rsidRPr="00AE2F32">
        <w:rPr>
          <w:rFonts w:cs="Times New Roman"/>
          <w:noProof/>
          <w:sz w:val="22"/>
          <w:szCs w:val="22"/>
          <w:lang w:val="en-GB"/>
        </w:rPr>
        <w:t>administration of criminal justice. Administrative wrongdoings shall not foresee sanctions, that interfere with a person’s freedom to a similar degree.</w:t>
      </w:r>
      <w:r w:rsidRPr="00AE2F32">
        <w:rPr>
          <w:rFonts w:cs="Times New Roman"/>
          <w:noProof/>
          <w:sz w:val="22"/>
          <w:szCs w:val="22"/>
          <w:vertAlign w:val="superscript"/>
          <w:lang w:val="en-GB"/>
        </w:rPr>
        <w:footnoteReference w:id="23"/>
      </w:r>
      <w:r w:rsidRPr="00AE2F32">
        <w:rPr>
          <w:rFonts w:eastAsia="Times New Roman" w:cs="Times New Roman"/>
          <w:noProof/>
          <w:sz w:val="22"/>
          <w:szCs w:val="22"/>
          <w:lang w:val="en-GB"/>
        </w:rPr>
        <w:t xml:space="preserve"> </w:t>
      </w:r>
    </w:p>
    <w:p w14:paraId="57673AF6" w14:textId="77777777" w:rsidR="009A2C7F" w:rsidRPr="00AE2F32" w:rsidRDefault="009A2C7F" w:rsidP="009A2C7F">
      <w:pPr>
        <w:jc w:val="both"/>
        <w:rPr>
          <w:rFonts w:eastAsia="Times New Roman" w:cs="Times New Roman"/>
          <w:noProof/>
          <w:sz w:val="22"/>
          <w:szCs w:val="22"/>
          <w:lang w:val="en-GB"/>
        </w:rPr>
      </w:pPr>
    </w:p>
    <w:p w14:paraId="2E4DC46A" w14:textId="77777777" w:rsidR="009A2C7F" w:rsidRPr="00AE2F32" w:rsidRDefault="009A2C7F" w:rsidP="009A2C7F">
      <w:pPr>
        <w:shd w:val="clear" w:color="auto" w:fill="C9C9C9" w:themeFill="accent3" w:themeFillTint="99"/>
        <w:jc w:val="both"/>
        <w:rPr>
          <w:rFonts w:cs="Times New Roman"/>
          <w:b/>
          <w:noProof/>
          <w:sz w:val="22"/>
          <w:szCs w:val="22"/>
          <w:u w:val="single"/>
          <w:lang w:val="en-GB"/>
        </w:rPr>
      </w:pPr>
      <w:r w:rsidRPr="00AE2F32">
        <w:rPr>
          <w:rFonts w:cs="Times New Roman"/>
          <w:b/>
          <w:noProof/>
          <w:sz w:val="22"/>
          <w:szCs w:val="22"/>
          <w:u w:val="single"/>
          <w:lang w:val="en-GB"/>
        </w:rPr>
        <w:t xml:space="preserve">Recommendations:  </w:t>
      </w:r>
    </w:p>
    <w:p w14:paraId="7874D033" w14:textId="77777777" w:rsidR="009A2C7F" w:rsidRPr="00AE2F32" w:rsidRDefault="009A2C7F" w:rsidP="009A2C7F">
      <w:pPr>
        <w:shd w:val="clear" w:color="auto" w:fill="C9C9C9" w:themeFill="accent3" w:themeFillTint="99"/>
        <w:jc w:val="both"/>
        <w:rPr>
          <w:rFonts w:cs="Times New Roman"/>
          <w:b/>
          <w:noProof/>
          <w:sz w:val="22"/>
          <w:szCs w:val="22"/>
          <w:u w:val="single"/>
          <w:lang w:val="en-GB"/>
        </w:rPr>
      </w:pPr>
    </w:p>
    <w:p w14:paraId="34642F7C" w14:textId="65D5B4D6" w:rsidR="009A2C7F" w:rsidRPr="00AE2F32" w:rsidRDefault="000642CC" w:rsidP="009A2C7F">
      <w:pPr>
        <w:numPr>
          <w:ilvl w:val="0"/>
          <w:numId w:val="16"/>
        </w:numPr>
        <w:shd w:val="clear" w:color="auto" w:fill="C9C9C9" w:themeFill="accent3" w:themeFillTint="99"/>
        <w:jc w:val="both"/>
        <w:rPr>
          <w:rFonts w:cs="Times New Roman"/>
          <w:noProof/>
          <w:sz w:val="22"/>
          <w:szCs w:val="22"/>
          <w:lang w:val="en-GB"/>
        </w:rPr>
      </w:pPr>
      <w:r>
        <w:rPr>
          <w:rFonts w:cs="Times New Roman"/>
          <w:noProof/>
          <w:sz w:val="22"/>
          <w:szCs w:val="22"/>
          <w:lang w:val="en-GB"/>
        </w:rPr>
        <w:t>Undertake</w:t>
      </w:r>
      <w:r w:rsidRPr="00AE2F32">
        <w:rPr>
          <w:rFonts w:cs="Times New Roman"/>
          <w:noProof/>
          <w:sz w:val="22"/>
          <w:szCs w:val="22"/>
          <w:lang w:val="en-GB"/>
        </w:rPr>
        <w:t xml:space="preserve"> </w:t>
      </w:r>
      <w:r w:rsidR="009A2C7F" w:rsidRPr="00AE2F32">
        <w:rPr>
          <w:rFonts w:cs="Times New Roman"/>
          <w:noProof/>
          <w:sz w:val="22"/>
          <w:szCs w:val="22"/>
          <w:lang w:val="en-GB"/>
        </w:rPr>
        <w:t xml:space="preserve"> a fundamental reform of the Administrative Offences Code, which will </w:t>
      </w:r>
      <w:r>
        <w:rPr>
          <w:rFonts w:cs="Times New Roman"/>
          <w:noProof/>
          <w:sz w:val="22"/>
          <w:szCs w:val="22"/>
          <w:lang w:val="en-GB"/>
        </w:rPr>
        <w:t>amend</w:t>
      </w:r>
      <w:r w:rsidRPr="00AE2F32">
        <w:rPr>
          <w:rFonts w:cs="Times New Roman"/>
          <w:noProof/>
          <w:sz w:val="22"/>
          <w:szCs w:val="22"/>
          <w:lang w:val="en-GB"/>
        </w:rPr>
        <w:t xml:space="preserve"> </w:t>
      </w:r>
      <w:r w:rsidR="009A2C7F" w:rsidRPr="00AE2F32">
        <w:rPr>
          <w:rFonts w:cs="Times New Roman"/>
          <w:noProof/>
          <w:sz w:val="22"/>
          <w:szCs w:val="22"/>
          <w:lang w:val="en-GB"/>
        </w:rPr>
        <w:t>existing law in line</w:t>
      </w:r>
      <w:r>
        <w:rPr>
          <w:rFonts w:cs="Times New Roman"/>
          <w:noProof/>
          <w:sz w:val="22"/>
          <w:szCs w:val="22"/>
          <w:lang w:val="en-GB"/>
        </w:rPr>
        <w:t xml:space="preserve"> with</w:t>
      </w:r>
      <w:r w:rsidR="009A2C7F" w:rsidRPr="00AE2F32">
        <w:rPr>
          <w:rFonts w:cs="Times New Roman"/>
          <w:noProof/>
          <w:sz w:val="22"/>
          <w:szCs w:val="22"/>
          <w:lang w:val="en-GB"/>
        </w:rPr>
        <w:t xml:space="preserve"> the Constitution and international standards; </w:t>
      </w:r>
    </w:p>
    <w:p w14:paraId="027E84BD" w14:textId="6016C3D1" w:rsidR="009A2C7F" w:rsidRPr="00AE2F32" w:rsidRDefault="001B38F1" w:rsidP="009A2C7F">
      <w:pPr>
        <w:numPr>
          <w:ilvl w:val="0"/>
          <w:numId w:val="16"/>
        </w:numPr>
        <w:shd w:val="clear" w:color="auto" w:fill="C9C9C9" w:themeFill="accent3" w:themeFillTint="99"/>
        <w:jc w:val="both"/>
        <w:rPr>
          <w:rFonts w:cs="Times New Roman"/>
          <w:noProof/>
          <w:sz w:val="22"/>
          <w:szCs w:val="22"/>
          <w:lang w:val="en-GB"/>
        </w:rPr>
      </w:pPr>
      <w:r>
        <w:rPr>
          <w:rFonts w:cs="Times New Roman"/>
          <w:noProof/>
          <w:sz w:val="22"/>
          <w:szCs w:val="22"/>
          <w:lang w:val="en-GB"/>
        </w:rPr>
        <w:t>Revoke</w:t>
      </w:r>
      <w:r w:rsidR="009A2C7F" w:rsidRPr="00AE2F32">
        <w:rPr>
          <w:rFonts w:cs="Times New Roman"/>
          <w:noProof/>
          <w:sz w:val="22"/>
          <w:szCs w:val="22"/>
          <w:lang w:val="en-GB"/>
        </w:rPr>
        <w:t xml:space="preserve"> administrative detention as a sanction for administrative wrongdoing; </w:t>
      </w:r>
    </w:p>
    <w:p w14:paraId="4AB6EE39" w14:textId="28445251" w:rsidR="009A2C7F" w:rsidRPr="00AE2F32" w:rsidRDefault="000642CC" w:rsidP="009A2C7F">
      <w:pPr>
        <w:numPr>
          <w:ilvl w:val="0"/>
          <w:numId w:val="16"/>
        </w:numPr>
        <w:shd w:val="clear" w:color="auto" w:fill="C9C9C9" w:themeFill="accent3" w:themeFillTint="99"/>
        <w:jc w:val="both"/>
        <w:rPr>
          <w:rFonts w:cs="Times New Roman"/>
          <w:noProof/>
          <w:sz w:val="22"/>
          <w:szCs w:val="22"/>
          <w:lang w:val="en-GB"/>
        </w:rPr>
      </w:pPr>
      <w:r>
        <w:rPr>
          <w:rFonts w:cs="Times New Roman"/>
          <w:noProof/>
          <w:sz w:val="22"/>
          <w:szCs w:val="22"/>
          <w:lang w:val="en-GB"/>
        </w:rPr>
        <w:t>Transfer</w:t>
      </w:r>
      <w:r w:rsidR="009A2C7F" w:rsidRPr="00AE2F32">
        <w:rPr>
          <w:rFonts w:cs="Times New Roman"/>
          <w:noProof/>
          <w:sz w:val="22"/>
          <w:szCs w:val="22"/>
          <w:lang w:val="en-GB"/>
        </w:rPr>
        <w:t xml:space="preserve"> wrongdoings of a criminal nature to the Criminal Code as a </w:t>
      </w:r>
      <w:r w:rsidR="007F2F51">
        <w:rPr>
          <w:rFonts w:cs="Times New Roman"/>
          <w:noProof/>
          <w:sz w:val="22"/>
          <w:szCs w:val="22"/>
          <w:lang w:val="en-GB"/>
        </w:rPr>
        <w:t>misdemeanor</w:t>
      </w:r>
    </w:p>
    <w:p w14:paraId="66DDD6F3" w14:textId="41819201" w:rsidR="009A2C7F" w:rsidRPr="00AE2F32" w:rsidRDefault="000642CC" w:rsidP="009A2C7F">
      <w:pPr>
        <w:numPr>
          <w:ilvl w:val="0"/>
          <w:numId w:val="16"/>
        </w:numPr>
        <w:shd w:val="clear" w:color="auto" w:fill="C9C9C9" w:themeFill="accent3" w:themeFillTint="99"/>
        <w:jc w:val="both"/>
        <w:textAlignment w:val="baseline"/>
        <w:rPr>
          <w:rFonts w:eastAsia="Times New Roman" w:cs="Times New Roman"/>
          <w:noProof/>
          <w:color w:val="000000"/>
          <w:sz w:val="22"/>
          <w:szCs w:val="22"/>
          <w:lang w:val="en-GB"/>
        </w:rPr>
      </w:pPr>
      <w:r>
        <w:rPr>
          <w:rFonts w:cs="Times New Roman"/>
          <w:noProof/>
          <w:sz w:val="22"/>
          <w:szCs w:val="22"/>
          <w:lang w:val="en-GB"/>
        </w:rPr>
        <w:t>Ensure</w:t>
      </w:r>
      <w:r w:rsidR="009A2C7F" w:rsidRPr="00AE2F32">
        <w:rPr>
          <w:rFonts w:cs="Times New Roman"/>
          <w:noProof/>
          <w:sz w:val="22"/>
          <w:szCs w:val="22"/>
          <w:lang w:val="en-GB"/>
        </w:rPr>
        <w:t xml:space="preserve"> procedural rights guaranteed to the defendant by criminal procedure legislation apply to wrongdoings of a criminal nature foreseen in the Administrative Offences Code. </w:t>
      </w:r>
    </w:p>
    <w:p w14:paraId="678C1BBD" w14:textId="77777777" w:rsidR="009A2C7F" w:rsidRPr="00AE2F32" w:rsidRDefault="009A2C7F" w:rsidP="009A2C7F">
      <w:pPr>
        <w:shd w:val="clear" w:color="auto" w:fill="C9C9C9" w:themeFill="accent3" w:themeFillTint="99"/>
        <w:jc w:val="both"/>
        <w:textAlignment w:val="baseline"/>
        <w:rPr>
          <w:rFonts w:eastAsia="Times New Roman" w:cs="Times New Roman"/>
          <w:noProof/>
          <w:color w:val="000000"/>
          <w:sz w:val="22"/>
          <w:szCs w:val="22"/>
          <w:lang w:val="en-GB"/>
        </w:rPr>
      </w:pPr>
    </w:p>
    <w:p w14:paraId="7CC5D308" w14:textId="4A7574F9" w:rsidR="009A2C7F" w:rsidRPr="00256F01" w:rsidRDefault="009A2C7F" w:rsidP="009A2C7F">
      <w:pPr>
        <w:shd w:val="clear" w:color="auto" w:fill="C9C9C9" w:themeFill="accent3" w:themeFillTint="99"/>
        <w:jc w:val="both"/>
        <w:rPr>
          <w:rFonts w:cs="Times New Roman"/>
          <w:b/>
          <w:noProof/>
          <w:sz w:val="22"/>
          <w:szCs w:val="22"/>
          <w:u w:val="single"/>
        </w:rPr>
      </w:pPr>
      <w:r w:rsidRPr="00AE2F32">
        <w:rPr>
          <w:rFonts w:cs="Times New Roman"/>
          <w:b/>
          <w:noProof/>
          <w:sz w:val="22"/>
          <w:szCs w:val="22"/>
          <w:u w:val="single"/>
        </w:rPr>
        <w:t xml:space="preserve">Questions: </w:t>
      </w:r>
    </w:p>
    <w:p w14:paraId="4C3DDB88" w14:textId="5522042B" w:rsidR="009A2C7F" w:rsidRPr="00AE2F32" w:rsidRDefault="009A2C7F" w:rsidP="009A2C7F">
      <w:pPr>
        <w:pStyle w:val="ListParagraph"/>
        <w:numPr>
          <w:ilvl w:val="0"/>
          <w:numId w:val="41"/>
        </w:numPr>
        <w:shd w:val="clear" w:color="auto" w:fill="C9C9C9" w:themeFill="accent3" w:themeFillTint="99"/>
        <w:jc w:val="both"/>
        <w:rPr>
          <w:rFonts w:cs="Times New Roman"/>
          <w:noProof/>
          <w:sz w:val="22"/>
          <w:szCs w:val="22"/>
          <w:lang w:val="en-GB"/>
        </w:rPr>
      </w:pPr>
      <w:r w:rsidRPr="00AE2F32">
        <w:rPr>
          <w:rFonts w:cs="Times New Roman"/>
          <w:noProof/>
          <w:sz w:val="22"/>
          <w:szCs w:val="22"/>
        </w:rPr>
        <w:t xml:space="preserve">Is fundamental reform of the Administrative Offences Code planned </w:t>
      </w:r>
      <w:r w:rsidR="001B38F1">
        <w:rPr>
          <w:rFonts w:cs="Times New Roman"/>
          <w:noProof/>
          <w:sz w:val="22"/>
          <w:szCs w:val="22"/>
        </w:rPr>
        <w:t>shortly</w:t>
      </w:r>
      <w:r w:rsidRPr="00AE2F32">
        <w:rPr>
          <w:rFonts w:cs="Times New Roman"/>
          <w:noProof/>
          <w:sz w:val="22"/>
          <w:szCs w:val="22"/>
        </w:rPr>
        <w:t xml:space="preserve">? </w:t>
      </w:r>
    </w:p>
    <w:p w14:paraId="7C1BD388" w14:textId="77777777" w:rsidR="009A2C7F" w:rsidRPr="00AE2F32" w:rsidRDefault="009A2C7F" w:rsidP="009A2C7F">
      <w:pPr>
        <w:jc w:val="both"/>
        <w:textAlignment w:val="baseline"/>
        <w:rPr>
          <w:rFonts w:eastAsia="Times New Roman" w:cs="Times New Roman"/>
          <w:noProof/>
          <w:color w:val="000000"/>
          <w:sz w:val="22"/>
          <w:szCs w:val="22"/>
          <w:lang w:val="en-GB"/>
        </w:rPr>
      </w:pPr>
    </w:p>
    <w:p w14:paraId="5A1D25A6" w14:textId="2E32C1C4" w:rsidR="00DF45DD" w:rsidRPr="00AE2F32" w:rsidRDefault="00DF45DD" w:rsidP="00EB1CFE">
      <w:pPr>
        <w:textAlignment w:val="baseline"/>
        <w:rPr>
          <w:rFonts w:eastAsia="Times New Roman" w:cs="Times New Roman"/>
          <w:color w:val="000000"/>
          <w:sz w:val="22"/>
          <w:szCs w:val="22"/>
          <w:highlight w:val="yellow"/>
          <w:lang w:val="en-GB"/>
        </w:rPr>
      </w:pPr>
    </w:p>
    <w:p w14:paraId="1E4D6506" w14:textId="60BDF0CC" w:rsidR="009A2C7F" w:rsidRPr="00AE2F32" w:rsidRDefault="009A2C7F" w:rsidP="009A2C7F">
      <w:pPr>
        <w:pStyle w:val="Heading2"/>
        <w:numPr>
          <w:ilvl w:val="0"/>
          <w:numId w:val="14"/>
        </w:numPr>
        <w:spacing w:before="0"/>
        <w:jc w:val="both"/>
        <w:rPr>
          <w:rFonts w:asciiTheme="minorHAnsi" w:hAnsiTheme="minorHAnsi" w:cs="Times New Roman"/>
          <w:noProof/>
          <w:sz w:val="22"/>
          <w:szCs w:val="22"/>
          <w:lang w:val="en-GB"/>
        </w:rPr>
      </w:pPr>
      <w:bookmarkStart w:id="15" w:name="_Toc48565932"/>
      <w:bookmarkStart w:id="16" w:name="_Toc48038294"/>
      <w:r w:rsidRPr="00AE2F32">
        <w:rPr>
          <w:rFonts w:asciiTheme="minorHAnsi" w:hAnsiTheme="minorHAnsi" w:cs="Times New Roman"/>
          <w:noProof/>
          <w:sz w:val="22"/>
          <w:szCs w:val="22"/>
          <w:lang w:val="en-GB"/>
        </w:rPr>
        <w:t xml:space="preserve">Plea </w:t>
      </w:r>
      <w:r w:rsidR="0087397A" w:rsidRPr="0033376B">
        <w:rPr>
          <w:rFonts w:ascii="Calibri" w:hAnsi="Calibri"/>
          <w:noProof/>
          <w:sz w:val="22"/>
          <w:szCs w:val="22"/>
          <w:lang w:val="en-GB"/>
        </w:rPr>
        <w:t>bargain</w:t>
      </w:r>
      <w:r w:rsidR="0087397A">
        <w:rPr>
          <w:rFonts w:ascii="Sylfaen" w:hAnsi="Sylfaen"/>
          <w:noProof/>
          <w:sz w:val="22"/>
          <w:szCs w:val="22"/>
          <w:lang w:val="ka-GE"/>
        </w:rPr>
        <w:t xml:space="preserve"> </w:t>
      </w:r>
      <w:r w:rsidRPr="00AE2F32">
        <w:rPr>
          <w:rFonts w:asciiTheme="minorHAnsi" w:hAnsiTheme="minorHAnsi" w:cs="Times New Roman"/>
          <w:noProof/>
          <w:sz w:val="22"/>
          <w:szCs w:val="22"/>
          <w:lang w:val="en-GB"/>
        </w:rPr>
        <w:t xml:space="preserve">and Zero Tolerance </w:t>
      </w:r>
      <w:r w:rsidR="0087397A">
        <w:rPr>
          <w:rFonts w:asciiTheme="minorHAnsi" w:hAnsiTheme="minorHAnsi" w:cs="Times New Roman"/>
          <w:noProof/>
          <w:sz w:val="22"/>
          <w:szCs w:val="22"/>
          <w:lang w:val="en-GB"/>
        </w:rPr>
        <w:t xml:space="preserve">Drug </w:t>
      </w:r>
      <w:r w:rsidRPr="00AE2F32">
        <w:rPr>
          <w:rFonts w:asciiTheme="minorHAnsi" w:hAnsiTheme="minorHAnsi" w:cs="Times New Roman"/>
          <w:noProof/>
          <w:sz w:val="22"/>
          <w:szCs w:val="22"/>
          <w:lang w:val="en-GB"/>
        </w:rPr>
        <w:t>Policy (paragraph 15 of Committee recommendation)</w:t>
      </w:r>
      <w:bookmarkEnd w:id="15"/>
    </w:p>
    <w:bookmarkEnd w:id="16"/>
    <w:p w14:paraId="1A294663" w14:textId="77777777" w:rsidR="009A2C7F" w:rsidRPr="00AE2F32" w:rsidRDefault="009A2C7F" w:rsidP="009A2C7F">
      <w:pPr>
        <w:jc w:val="both"/>
        <w:rPr>
          <w:rFonts w:cs="Times New Roman"/>
          <w:noProof/>
          <w:sz w:val="22"/>
          <w:szCs w:val="22"/>
          <w:lang w:val="en-GB"/>
        </w:rPr>
      </w:pPr>
    </w:p>
    <w:p w14:paraId="3C7E0813" w14:textId="77777777" w:rsidR="009A2C7F" w:rsidRPr="00AE2F32" w:rsidRDefault="009A2C7F" w:rsidP="009A2C7F">
      <w:pPr>
        <w:jc w:val="both"/>
        <w:rPr>
          <w:rFonts w:cs="Times New Roman"/>
          <w:noProof/>
          <w:sz w:val="22"/>
          <w:szCs w:val="22"/>
          <w:lang w:val="en-GB"/>
        </w:rPr>
      </w:pPr>
      <w:r w:rsidRPr="00AE2F32">
        <w:rPr>
          <w:rFonts w:cs="Times New Roman"/>
          <w:noProof/>
          <w:sz w:val="22"/>
          <w:szCs w:val="22"/>
          <w:lang w:val="en-GB"/>
        </w:rPr>
        <w:t xml:space="preserve">Repressive drug policy is a serious challenge for the country. The state is avoiding political responsibility and systemic reforms in this direction. </w:t>
      </w:r>
      <w:r w:rsidRPr="00AE2F32">
        <w:rPr>
          <w:rStyle w:val="FootnoteReference"/>
          <w:rFonts w:cs="Times New Roman"/>
          <w:noProof/>
          <w:sz w:val="22"/>
          <w:szCs w:val="22"/>
          <w:lang w:val="en-GB"/>
        </w:rPr>
        <w:footnoteReference w:id="24"/>
      </w:r>
    </w:p>
    <w:p w14:paraId="4A089F03" w14:textId="77777777" w:rsidR="009A2C7F" w:rsidRPr="00AE2F32" w:rsidRDefault="009A2C7F" w:rsidP="009A2C7F">
      <w:pPr>
        <w:jc w:val="both"/>
        <w:rPr>
          <w:rFonts w:cs="Times New Roman"/>
          <w:noProof/>
          <w:sz w:val="22"/>
          <w:szCs w:val="22"/>
          <w:lang w:val="en-GB"/>
        </w:rPr>
      </w:pPr>
    </w:p>
    <w:p w14:paraId="47C91553" w14:textId="49643E89" w:rsidR="009A2C7F" w:rsidRPr="00AE2F32" w:rsidRDefault="009A2C7F" w:rsidP="009A2C7F">
      <w:pPr>
        <w:jc w:val="both"/>
        <w:rPr>
          <w:rFonts w:cs="Times New Roman"/>
          <w:noProof/>
          <w:sz w:val="22"/>
          <w:szCs w:val="22"/>
          <w:lang w:val="en-GB"/>
        </w:rPr>
      </w:pPr>
      <w:r w:rsidRPr="00AE2F32">
        <w:rPr>
          <w:rFonts w:cs="Times New Roman"/>
          <w:noProof/>
          <w:sz w:val="22"/>
          <w:szCs w:val="22"/>
          <w:lang w:val="en-GB"/>
        </w:rPr>
        <w:t xml:space="preserve">In 2017, </w:t>
      </w:r>
      <w:r w:rsidR="001B38F1">
        <w:rPr>
          <w:rFonts w:cs="Times New Roman"/>
          <w:noProof/>
          <w:sz w:val="22"/>
          <w:szCs w:val="22"/>
          <w:lang w:val="en-GB"/>
        </w:rPr>
        <w:t xml:space="preserve">the </w:t>
      </w:r>
      <w:r w:rsidRPr="00AE2F32">
        <w:rPr>
          <w:rFonts w:cs="Times New Roman"/>
          <w:noProof/>
          <w:sz w:val="22"/>
          <w:szCs w:val="22"/>
          <w:lang w:val="en-GB"/>
        </w:rPr>
        <w:t xml:space="preserve">draft bill was registered in Parliament, which foresees </w:t>
      </w:r>
      <w:r w:rsidR="001B38F1">
        <w:rPr>
          <w:rFonts w:cs="Times New Roman"/>
          <w:noProof/>
          <w:sz w:val="22"/>
          <w:szCs w:val="22"/>
          <w:lang w:val="en-GB"/>
        </w:rPr>
        <w:t>fundamental</w:t>
      </w:r>
      <w:r w:rsidRPr="00AE2F32">
        <w:rPr>
          <w:rFonts w:cs="Times New Roman"/>
          <w:noProof/>
          <w:sz w:val="22"/>
          <w:szCs w:val="22"/>
          <w:lang w:val="en-GB"/>
        </w:rPr>
        <w:t xml:space="preserve"> reform of existing policy, addresses practically all challenges, that drug policy faces.</w:t>
      </w:r>
      <w:r w:rsidRPr="00AE2F32">
        <w:rPr>
          <w:rStyle w:val="FootnoteReference"/>
          <w:rFonts w:cs="Times New Roman"/>
          <w:noProof/>
          <w:sz w:val="22"/>
          <w:szCs w:val="22"/>
          <w:lang w:val="en-GB"/>
        </w:rPr>
        <w:footnoteReference w:id="25"/>
      </w:r>
      <w:r w:rsidRPr="00AE2F32">
        <w:rPr>
          <w:rFonts w:cs="Times New Roman"/>
          <w:noProof/>
          <w:sz w:val="22"/>
          <w:szCs w:val="22"/>
          <w:lang w:val="en-GB"/>
        </w:rPr>
        <w:t xml:space="preserve"> However, process is </w:t>
      </w:r>
      <w:r w:rsidR="0087397A">
        <w:rPr>
          <w:rFonts w:cs="Times New Roman"/>
          <w:noProof/>
          <w:sz w:val="22"/>
          <w:szCs w:val="22"/>
          <w:lang w:val="en-GB"/>
        </w:rPr>
        <w:t xml:space="preserve">still </w:t>
      </w:r>
      <w:r w:rsidRPr="00AE2F32">
        <w:rPr>
          <w:rFonts w:cs="Times New Roman"/>
          <w:noProof/>
          <w:sz w:val="22"/>
          <w:szCs w:val="22"/>
          <w:lang w:val="en-GB"/>
        </w:rPr>
        <w:t xml:space="preserve">suspended. </w:t>
      </w:r>
    </w:p>
    <w:p w14:paraId="0843E5D3" w14:textId="77777777" w:rsidR="009A2C7F" w:rsidRPr="00AE2F32" w:rsidRDefault="009A2C7F" w:rsidP="009A2C7F">
      <w:pPr>
        <w:jc w:val="both"/>
        <w:rPr>
          <w:rFonts w:cs="Times New Roman"/>
          <w:noProof/>
          <w:sz w:val="22"/>
          <w:szCs w:val="22"/>
          <w:lang w:val="en-GB"/>
        </w:rPr>
      </w:pPr>
    </w:p>
    <w:p w14:paraId="2FD48CDF" w14:textId="47E92E4B" w:rsidR="009A2C7F" w:rsidRPr="00AE2F32" w:rsidRDefault="0087397A" w:rsidP="009A2C7F">
      <w:pPr>
        <w:jc w:val="both"/>
        <w:rPr>
          <w:rFonts w:cs="Times New Roman"/>
          <w:noProof/>
          <w:sz w:val="22"/>
          <w:szCs w:val="22"/>
          <w:lang w:val="en-GB"/>
        </w:rPr>
      </w:pPr>
      <w:r>
        <w:rPr>
          <w:rFonts w:cs="Times New Roman"/>
          <w:noProof/>
          <w:sz w:val="22"/>
          <w:szCs w:val="22"/>
          <w:lang w:val="en-GB"/>
        </w:rPr>
        <w:t>D</w:t>
      </w:r>
      <w:r w:rsidR="009A2C7F" w:rsidRPr="00AE2F32">
        <w:rPr>
          <w:rFonts w:cs="Times New Roman"/>
          <w:noProof/>
          <w:sz w:val="22"/>
          <w:szCs w:val="22"/>
          <w:lang w:val="en-GB"/>
        </w:rPr>
        <w:t xml:space="preserve">rug policy </w:t>
      </w:r>
      <w:r>
        <w:rPr>
          <w:rFonts w:cs="Times New Roman"/>
          <w:noProof/>
          <w:sz w:val="22"/>
          <w:szCs w:val="22"/>
          <w:lang w:val="en-GB"/>
        </w:rPr>
        <w:t xml:space="preserve">reform </w:t>
      </w:r>
      <w:r w:rsidR="009A2C7F" w:rsidRPr="00AE2F32">
        <w:rPr>
          <w:rFonts w:cs="Times New Roman"/>
          <w:noProof/>
          <w:sz w:val="22"/>
          <w:szCs w:val="22"/>
          <w:lang w:val="en-GB"/>
        </w:rPr>
        <w:t>became actual again after the events of May 12, 2018,</w:t>
      </w:r>
      <w:r w:rsidR="009A2C7F" w:rsidRPr="00AE2F32">
        <w:rPr>
          <w:rStyle w:val="FootnoteReference"/>
          <w:rFonts w:cs="Times New Roman"/>
          <w:noProof/>
          <w:sz w:val="22"/>
          <w:szCs w:val="22"/>
          <w:lang w:val="en-GB"/>
        </w:rPr>
        <w:footnoteReference w:id="26"/>
      </w:r>
      <w:r w:rsidR="009A2C7F" w:rsidRPr="00AE2F32">
        <w:rPr>
          <w:rFonts w:cs="Times New Roman"/>
          <w:noProof/>
          <w:sz w:val="22"/>
          <w:szCs w:val="22"/>
          <w:lang w:val="en-GB"/>
        </w:rPr>
        <w:t xml:space="preserve"> (see the assessment of </w:t>
      </w:r>
      <w:r w:rsidR="00EE6F44">
        <w:rPr>
          <w:rFonts w:cs="Times New Roman"/>
          <w:noProof/>
          <w:sz w:val="22"/>
          <w:szCs w:val="22"/>
          <w:lang w:val="en-GB"/>
        </w:rPr>
        <w:t>A</w:t>
      </w:r>
      <w:r w:rsidR="009A2C7F" w:rsidRPr="00AE2F32">
        <w:rPr>
          <w:rFonts w:cs="Times New Roman"/>
          <w:noProof/>
          <w:sz w:val="22"/>
          <w:szCs w:val="22"/>
          <w:lang w:val="en-GB"/>
        </w:rPr>
        <w:t xml:space="preserve">rticle 21), since then state authorities have not presented their position publicly </w:t>
      </w:r>
      <w:r w:rsidR="007F2F51">
        <w:rPr>
          <w:rFonts w:cs="Times New Roman"/>
          <w:noProof/>
          <w:sz w:val="22"/>
          <w:szCs w:val="22"/>
          <w:lang w:val="en-GB"/>
        </w:rPr>
        <w:t>concerning</w:t>
      </w:r>
      <w:r w:rsidR="009A2C7F" w:rsidRPr="00AE2F32">
        <w:rPr>
          <w:rFonts w:cs="Times New Roman"/>
          <w:noProof/>
          <w:sz w:val="22"/>
          <w:szCs w:val="22"/>
          <w:lang w:val="en-GB"/>
        </w:rPr>
        <w:t xml:space="preserve"> drug policy reform. </w:t>
      </w:r>
    </w:p>
    <w:p w14:paraId="082D09DA" w14:textId="77777777" w:rsidR="009A2C7F" w:rsidRPr="00AE2F32" w:rsidRDefault="009A2C7F" w:rsidP="009A2C7F">
      <w:pPr>
        <w:jc w:val="both"/>
        <w:rPr>
          <w:rFonts w:cs="Times New Roman"/>
          <w:noProof/>
          <w:sz w:val="22"/>
          <w:szCs w:val="22"/>
          <w:lang w:val="en-GB"/>
        </w:rPr>
      </w:pPr>
    </w:p>
    <w:p w14:paraId="42DFA492" w14:textId="76B2A63D" w:rsidR="009A2C7F" w:rsidRPr="00AE2F32" w:rsidRDefault="0087397A" w:rsidP="009A2C7F">
      <w:pPr>
        <w:jc w:val="both"/>
        <w:rPr>
          <w:rFonts w:cs="Times New Roman"/>
          <w:noProof/>
          <w:sz w:val="22"/>
          <w:szCs w:val="22"/>
          <w:lang w:val="en-GB"/>
        </w:rPr>
      </w:pPr>
      <w:r>
        <w:rPr>
          <w:rFonts w:cs="Times New Roman"/>
          <w:noProof/>
          <w:sz w:val="22"/>
          <w:szCs w:val="22"/>
          <w:lang w:val="en-GB"/>
        </w:rPr>
        <w:t>C</w:t>
      </w:r>
      <w:r w:rsidR="009A2C7F" w:rsidRPr="00AE2F32">
        <w:rPr>
          <w:rFonts w:cs="Times New Roman"/>
          <w:noProof/>
          <w:sz w:val="22"/>
          <w:szCs w:val="22"/>
          <w:lang w:val="en-GB"/>
        </w:rPr>
        <w:t xml:space="preserve">riminal </w:t>
      </w:r>
      <w:r>
        <w:rPr>
          <w:noProof/>
          <w:sz w:val="22"/>
          <w:szCs w:val="22"/>
          <w:lang w:val="en-GB"/>
        </w:rPr>
        <w:t xml:space="preserve">liability </w:t>
      </w:r>
      <w:r w:rsidR="009A2C7F" w:rsidRPr="00AE2F32">
        <w:rPr>
          <w:rFonts w:cs="Times New Roman"/>
          <w:noProof/>
          <w:sz w:val="22"/>
          <w:szCs w:val="22"/>
          <w:lang w:val="en-GB"/>
        </w:rPr>
        <w:t xml:space="preserve">for drug </w:t>
      </w:r>
      <w:r>
        <w:rPr>
          <w:rFonts w:cs="Times New Roman"/>
          <w:noProof/>
          <w:sz w:val="22"/>
          <w:szCs w:val="22"/>
          <w:lang w:val="en-GB"/>
        </w:rPr>
        <w:t>crime</w:t>
      </w:r>
      <w:r w:rsidRPr="00AE2F32">
        <w:rPr>
          <w:rFonts w:cs="Times New Roman"/>
          <w:noProof/>
          <w:sz w:val="22"/>
          <w:szCs w:val="22"/>
          <w:lang w:val="en-GB"/>
        </w:rPr>
        <w:t xml:space="preserve"> </w:t>
      </w:r>
      <w:r w:rsidR="009A2C7F" w:rsidRPr="00AE2F32">
        <w:rPr>
          <w:rFonts w:cs="Times New Roman"/>
          <w:noProof/>
          <w:sz w:val="22"/>
          <w:szCs w:val="22"/>
          <w:lang w:val="en-GB"/>
        </w:rPr>
        <w:t>corresponds to amounts of drug substances, which is not reasonably defined.</w:t>
      </w:r>
      <w:r>
        <w:rPr>
          <w:rFonts w:cs="Times New Roman"/>
          <w:noProof/>
          <w:sz w:val="22"/>
          <w:szCs w:val="22"/>
          <w:lang w:val="en-GB"/>
        </w:rPr>
        <w:t xml:space="preserve"> Sanctions</w:t>
      </w:r>
      <w:r w:rsidR="009A2C7F" w:rsidRPr="00AE2F32">
        <w:rPr>
          <w:rFonts w:cs="Times New Roman"/>
          <w:noProof/>
          <w:sz w:val="22"/>
          <w:szCs w:val="22"/>
          <w:lang w:val="en-GB"/>
        </w:rPr>
        <w:t xml:space="preserve"> for the smallest amounts of drug substance</w:t>
      </w:r>
      <w:r>
        <w:rPr>
          <w:rFonts w:cs="Times New Roman"/>
          <w:noProof/>
          <w:sz w:val="22"/>
          <w:szCs w:val="22"/>
          <w:lang w:val="en-GB"/>
        </w:rPr>
        <w:t xml:space="preserve"> </w:t>
      </w:r>
      <w:r>
        <w:rPr>
          <w:noProof/>
          <w:sz w:val="22"/>
          <w:szCs w:val="22"/>
          <w:lang w:val="en-GB"/>
        </w:rPr>
        <w:t>possession</w:t>
      </w:r>
      <w:r w:rsidR="009A2C7F" w:rsidRPr="00AE2F32">
        <w:rPr>
          <w:rFonts w:cs="Times New Roman"/>
          <w:noProof/>
          <w:sz w:val="22"/>
          <w:szCs w:val="22"/>
          <w:lang w:val="en-GB"/>
        </w:rPr>
        <w:t xml:space="preserve"> is disproportional</w:t>
      </w:r>
      <w:r>
        <w:rPr>
          <w:rFonts w:cs="Times New Roman"/>
          <w:noProof/>
          <w:sz w:val="22"/>
          <w:szCs w:val="22"/>
          <w:lang w:val="en-GB"/>
        </w:rPr>
        <w:t xml:space="preserve"> </w:t>
      </w:r>
      <w:r w:rsidR="009A2C7F" w:rsidRPr="00AE2F32">
        <w:rPr>
          <w:rFonts w:cs="Times New Roman"/>
          <w:noProof/>
          <w:sz w:val="22"/>
          <w:szCs w:val="22"/>
          <w:lang w:val="en-GB"/>
        </w:rPr>
        <w:t xml:space="preserve"> (e.g. trace of a drug substance in an empty syringe), </w:t>
      </w:r>
      <w:r>
        <w:rPr>
          <w:noProof/>
          <w:sz w:val="22"/>
          <w:szCs w:val="22"/>
          <w:lang w:val="en-GB"/>
        </w:rPr>
        <w:t xml:space="preserve">carries </w:t>
      </w:r>
      <w:r w:rsidRPr="00F0039C">
        <w:rPr>
          <w:rFonts w:ascii="Calibri" w:eastAsia="Calibri" w:hAnsi="Calibri" w:cs="Times New Roman"/>
          <w:noProof/>
          <w:sz w:val="22"/>
          <w:szCs w:val="22"/>
          <w:lang w:val="en-GB"/>
        </w:rPr>
        <w:t xml:space="preserve">a prison sentence of </w:t>
      </w:r>
      <w:r w:rsidR="009A2C7F" w:rsidRPr="00AE2F32">
        <w:rPr>
          <w:rFonts w:cs="Times New Roman"/>
          <w:noProof/>
          <w:sz w:val="22"/>
          <w:szCs w:val="22"/>
          <w:lang w:val="en-GB"/>
        </w:rPr>
        <w:t>from 5 to 8 years.</w:t>
      </w:r>
      <w:r w:rsidR="009A2C7F" w:rsidRPr="00AE2F32">
        <w:rPr>
          <w:rStyle w:val="FootnoteReference"/>
          <w:rFonts w:cs="Times New Roman"/>
          <w:noProof/>
          <w:sz w:val="22"/>
          <w:szCs w:val="22"/>
          <w:lang w:val="en-GB"/>
        </w:rPr>
        <w:t xml:space="preserve"> </w:t>
      </w:r>
      <w:r w:rsidR="009A2C7F" w:rsidRPr="00AE2F32">
        <w:rPr>
          <w:rStyle w:val="FootnoteReference"/>
          <w:rFonts w:cs="Times New Roman"/>
          <w:noProof/>
          <w:sz w:val="22"/>
          <w:szCs w:val="22"/>
          <w:lang w:val="en-GB"/>
        </w:rPr>
        <w:footnoteReference w:id="27"/>
      </w:r>
      <w:r w:rsidR="009A2C7F" w:rsidRPr="00AE2F32">
        <w:rPr>
          <w:rFonts w:cs="Times New Roman"/>
          <w:noProof/>
          <w:sz w:val="22"/>
          <w:szCs w:val="22"/>
          <w:lang w:val="en-GB"/>
        </w:rPr>
        <w:t xml:space="preserve"> The </w:t>
      </w:r>
      <w:r w:rsidR="007F2F51">
        <w:rPr>
          <w:rFonts w:cs="Times New Roman"/>
          <w:noProof/>
          <w:sz w:val="22"/>
          <w:szCs w:val="22"/>
          <w:lang w:val="en-GB"/>
        </w:rPr>
        <w:t>Parliament</w:t>
      </w:r>
      <w:r w:rsidR="009A2C7F" w:rsidRPr="00AE2F32">
        <w:rPr>
          <w:rFonts w:cs="Times New Roman"/>
          <w:noProof/>
          <w:sz w:val="22"/>
          <w:szCs w:val="22"/>
          <w:lang w:val="en-GB"/>
        </w:rPr>
        <w:t xml:space="preserve"> </w:t>
      </w:r>
      <w:r w:rsidR="009A2C7F" w:rsidRPr="00AE2F32">
        <w:rPr>
          <w:rFonts w:cs="Times New Roman"/>
          <w:noProof/>
          <w:sz w:val="22"/>
          <w:szCs w:val="22"/>
          <w:lang w:val="en-GB"/>
        </w:rPr>
        <w:lastRenderedPageBreak/>
        <w:t>has not presented their views about implementation of the Constitutional Court’s decision regarding strict sanctions for possession of certain amounts of drug substances.</w:t>
      </w:r>
      <w:r w:rsidR="009A2C7F" w:rsidRPr="00AE2F32">
        <w:rPr>
          <w:rStyle w:val="FootnoteReference"/>
          <w:rFonts w:cs="Times New Roman"/>
          <w:noProof/>
          <w:sz w:val="22"/>
          <w:szCs w:val="22"/>
          <w:lang w:val="en-GB"/>
        </w:rPr>
        <w:t xml:space="preserve"> </w:t>
      </w:r>
      <w:r w:rsidR="009A2C7F" w:rsidRPr="00AE2F32">
        <w:rPr>
          <w:rStyle w:val="FootnoteReference"/>
          <w:rFonts w:cs="Times New Roman"/>
          <w:noProof/>
          <w:sz w:val="22"/>
          <w:szCs w:val="22"/>
          <w:lang w:val="en-GB"/>
        </w:rPr>
        <w:footnoteReference w:id="28"/>
      </w:r>
      <w:r w:rsidR="009A2C7F" w:rsidRPr="00AE2F32">
        <w:rPr>
          <w:rFonts w:cs="Times New Roman"/>
          <w:noProof/>
          <w:sz w:val="22"/>
          <w:szCs w:val="22"/>
          <w:lang w:val="en-GB"/>
        </w:rPr>
        <w:t xml:space="preserve"> </w:t>
      </w:r>
    </w:p>
    <w:p w14:paraId="18B94D9B" w14:textId="77777777" w:rsidR="009A2C7F" w:rsidRPr="00AE2F32" w:rsidRDefault="009A2C7F" w:rsidP="009A2C7F">
      <w:pPr>
        <w:jc w:val="both"/>
        <w:rPr>
          <w:rFonts w:cs="Times New Roman"/>
          <w:noProof/>
          <w:sz w:val="22"/>
          <w:szCs w:val="22"/>
          <w:lang w:val="en-GB"/>
        </w:rPr>
      </w:pPr>
    </w:p>
    <w:p w14:paraId="17E3019D" w14:textId="7DDF36A9" w:rsidR="009A2C7F" w:rsidRPr="00AE2F32" w:rsidRDefault="00871AD1" w:rsidP="009A2C7F">
      <w:pPr>
        <w:jc w:val="both"/>
        <w:rPr>
          <w:rFonts w:cs="Times New Roman"/>
          <w:noProof/>
          <w:sz w:val="22"/>
          <w:szCs w:val="22"/>
        </w:rPr>
      </w:pPr>
      <w:r>
        <w:rPr>
          <w:rFonts w:ascii="Calibri" w:eastAsia="Calibri" w:hAnsi="Calibri" w:cs="Times New Roman"/>
          <w:noProof/>
          <w:sz w:val="22"/>
          <w:szCs w:val="22"/>
          <w:lang w:val="en-GB"/>
        </w:rPr>
        <w:t>D</w:t>
      </w:r>
      <w:r w:rsidRPr="00F0039C">
        <w:rPr>
          <w:rFonts w:ascii="Calibri" w:eastAsia="Calibri" w:hAnsi="Calibri" w:cs="Times New Roman"/>
          <w:noProof/>
          <w:sz w:val="22"/>
          <w:szCs w:val="22"/>
          <w:lang w:val="en-GB"/>
        </w:rPr>
        <w:t>rug abuser is automatically subjected to the restriction of additional civil rights</w:t>
      </w:r>
      <w:r>
        <w:rPr>
          <w:rFonts w:ascii="Calibri" w:eastAsia="Calibri" w:hAnsi="Calibri" w:cs="Times New Roman"/>
          <w:noProof/>
          <w:sz w:val="22"/>
          <w:szCs w:val="22"/>
          <w:lang w:val="en-GB"/>
        </w:rPr>
        <w:t>.</w:t>
      </w:r>
      <w:r w:rsidRPr="00AE2F32">
        <w:rPr>
          <w:rFonts w:cs="Times New Roman"/>
          <w:noProof/>
          <w:sz w:val="22"/>
          <w:szCs w:val="22"/>
        </w:rPr>
        <w:t xml:space="preserve"> </w:t>
      </w:r>
      <w:r w:rsidR="009A2C7F" w:rsidRPr="00AE2F32">
        <w:rPr>
          <w:rFonts w:cs="Times New Roman"/>
          <w:noProof/>
          <w:sz w:val="22"/>
          <w:szCs w:val="22"/>
        </w:rPr>
        <w:t>e.g. driving</w:t>
      </w:r>
      <w:r>
        <w:rPr>
          <w:rFonts w:cs="Times New Roman"/>
          <w:noProof/>
          <w:sz w:val="22"/>
          <w:szCs w:val="22"/>
        </w:rPr>
        <w:t xml:space="preserve"> </w:t>
      </w:r>
      <w:r w:rsidR="007F2F51">
        <w:rPr>
          <w:rFonts w:cs="Times New Roman"/>
          <w:noProof/>
          <w:sz w:val="22"/>
          <w:szCs w:val="22"/>
        </w:rPr>
        <w:t>license</w:t>
      </w:r>
      <w:r w:rsidR="009A2C7F" w:rsidRPr="00AE2F32">
        <w:rPr>
          <w:rFonts w:cs="Times New Roman"/>
          <w:noProof/>
          <w:sz w:val="22"/>
          <w:szCs w:val="22"/>
        </w:rPr>
        <w:t>, employment in a public institution</w:t>
      </w:r>
      <w:r w:rsidR="007F2F51">
        <w:rPr>
          <w:rFonts w:cs="Times New Roman"/>
          <w:noProof/>
          <w:sz w:val="22"/>
          <w:szCs w:val="22"/>
        </w:rPr>
        <w:t>,</w:t>
      </w:r>
      <w:r w:rsidR="009A2C7F" w:rsidRPr="00AE2F32">
        <w:rPr>
          <w:rFonts w:cs="Times New Roman"/>
          <w:noProof/>
          <w:sz w:val="22"/>
          <w:szCs w:val="22"/>
        </w:rPr>
        <w:t xml:space="preserve"> etc. from 3 to 20 years,</w:t>
      </w:r>
      <w:r w:rsidR="009A2C7F" w:rsidRPr="00AE2F32">
        <w:rPr>
          <w:rStyle w:val="FootnoteReference"/>
          <w:rFonts w:cs="Times New Roman"/>
          <w:noProof/>
          <w:sz w:val="22"/>
          <w:szCs w:val="22"/>
          <w:lang w:val="en-GB"/>
        </w:rPr>
        <w:footnoteReference w:id="29"/>
      </w:r>
      <w:r w:rsidR="009A2C7F" w:rsidRPr="00AE2F32">
        <w:rPr>
          <w:rFonts w:cs="Times New Roman"/>
          <w:noProof/>
          <w:sz w:val="22"/>
          <w:szCs w:val="22"/>
        </w:rPr>
        <w:t xml:space="preserve"> which complicates resocialization of convicts.</w:t>
      </w:r>
      <w:r w:rsidR="009A2C7F" w:rsidRPr="00AE2F32">
        <w:rPr>
          <w:rStyle w:val="FootnoteReference"/>
          <w:rFonts w:cs="Times New Roman"/>
          <w:noProof/>
          <w:sz w:val="22"/>
          <w:szCs w:val="22"/>
          <w:lang w:val="en-GB"/>
        </w:rPr>
        <w:footnoteReference w:id="30"/>
      </w:r>
      <w:r w:rsidRPr="00871AD1">
        <w:rPr>
          <w:noProof/>
          <w:sz w:val="22"/>
          <w:szCs w:val="22"/>
        </w:rPr>
        <w:t xml:space="preserve"> </w:t>
      </w:r>
      <w:r w:rsidR="007F2F51">
        <w:rPr>
          <w:noProof/>
          <w:sz w:val="22"/>
          <w:szCs w:val="22"/>
        </w:rPr>
        <w:t>In addition</w:t>
      </w:r>
      <w:r>
        <w:rPr>
          <w:noProof/>
          <w:sz w:val="22"/>
          <w:szCs w:val="22"/>
        </w:rPr>
        <w:t xml:space="preserve"> to crimes, </w:t>
      </w:r>
      <w:r w:rsidR="009A2C7F" w:rsidRPr="00AE2F32">
        <w:rPr>
          <w:rFonts w:cs="Times New Roman"/>
          <w:noProof/>
          <w:sz w:val="22"/>
          <w:szCs w:val="22"/>
        </w:rPr>
        <w:t>2018, these restrictions</w:t>
      </w:r>
      <w:r>
        <w:rPr>
          <w:rFonts w:cs="Times New Roman"/>
          <w:noProof/>
          <w:sz w:val="22"/>
          <w:szCs w:val="22"/>
        </w:rPr>
        <w:t xml:space="preserve"> </w:t>
      </w:r>
      <w:r w:rsidR="007F2F51">
        <w:rPr>
          <w:noProof/>
          <w:sz w:val="22"/>
          <w:szCs w:val="22"/>
        </w:rPr>
        <w:t>relate</w:t>
      </w:r>
      <w:r>
        <w:rPr>
          <w:noProof/>
          <w:sz w:val="22"/>
          <w:szCs w:val="22"/>
        </w:rPr>
        <w:t xml:space="preserve"> to</w:t>
      </w:r>
      <w:r w:rsidR="009A2C7F" w:rsidRPr="00AE2F32">
        <w:rPr>
          <w:rFonts w:cs="Times New Roman"/>
          <w:noProof/>
          <w:sz w:val="22"/>
          <w:szCs w:val="22"/>
        </w:rPr>
        <w:t xml:space="preserve"> administrative</w:t>
      </w:r>
      <w:r>
        <w:rPr>
          <w:rFonts w:cs="Times New Roman"/>
          <w:noProof/>
          <w:sz w:val="22"/>
          <w:szCs w:val="22"/>
        </w:rPr>
        <w:t xml:space="preserve"> </w:t>
      </w:r>
      <w:r w:rsidR="007F2F51">
        <w:rPr>
          <w:noProof/>
          <w:sz w:val="22"/>
          <w:szCs w:val="22"/>
        </w:rPr>
        <w:t>offenses</w:t>
      </w:r>
      <w:r>
        <w:rPr>
          <w:rFonts w:cs="Times New Roman"/>
          <w:noProof/>
          <w:sz w:val="22"/>
          <w:szCs w:val="22"/>
        </w:rPr>
        <w:t xml:space="preserve"> </w:t>
      </w:r>
      <w:r>
        <w:rPr>
          <w:noProof/>
          <w:sz w:val="22"/>
          <w:szCs w:val="22"/>
        </w:rPr>
        <w:t xml:space="preserve">in case of </w:t>
      </w:r>
      <w:r w:rsidR="009A2C7F" w:rsidRPr="00AE2F32">
        <w:rPr>
          <w:rFonts w:cs="Times New Roman"/>
          <w:noProof/>
          <w:sz w:val="22"/>
          <w:szCs w:val="22"/>
        </w:rPr>
        <w:t xml:space="preserve">consumption of marijuana. In this case, court is authorized to </w:t>
      </w:r>
      <w:r w:rsidR="007F2F51">
        <w:rPr>
          <w:rFonts w:cs="Times New Roman"/>
          <w:noProof/>
          <w:sz w:val="22"/>
          <w:szCs w:val="22"/>
        </w:rPr>
        <w:t>restrict</w:t>
      </w:r>
      <w:r w:rsidR="009A2C7F" w:rsidRPr="00AE2F32">
        <w:rPr>
          <w:rFonts w:cs="Times New Roman"/>
          <w:noProof/>
          <w:sz w:val="22"/>
          <w:szCs w:val="22"/>
        </w:rPr>
        <w:t xml:space="preserve"> </w:t>
      </w:r>
      <w:r>
        <w:rPr>
          <w:noProof/>
          <w:sz w:val="22"/>
          <w:szCs w:val="22"/>
        </w:rPr>
        <w:t xml:space="preserve">mentioned </w:t>
      </w:r>
      <w:r w:rsidR="009A2C7F" w:rsidRPr="00AE2F32">
        <w:rPr>
          <w:rFonts w:cs="Times New Roman"/>
          <w:noProof/>
          <w:sz w:val="22"/>
          <w:szCs w:val="22"/>
        </w:rPr>
        <w:t xml:space="preserve">civil </w:t>
      </w:r>
      <w:r w:rsidR="007F2F51">
        <w:rPr>
          <w:rFonts w:cs="Times New Roman"/>
          <w:noProof/>
          <w:sz w:val="22"/>
          <w:szCs w:val="22"/>
        </w:rPr>
        <w:t>rights</w:t>
      </w:r>
      <w:r w:rsidR="009A2C7F" w:rsidRPr="00AE2F32">
        <w:rPr>
          <w:rFonts w:cs="Times New Roman"/>
          <w:noProof/>
          <w:sz w:val="22"/>
          <w:szCs w:val="22"/>
        </w:rPr>
        <w:t xml:space="preserve"> for up to 3 years.</w:t>
      </w:r>
      <w:r w:rsidR="009A2C7F" w:rsidRPr="00AE2F32">
        <w:rPr>
          <w:rStyle w:val="FootnoteReference"/>
          <w:rFonts w:cs="Times New Roman"/>
          <w:noProof/>
          <w:sz w:val="22"/>
          <w:szCs w:val="22"/>
          <w:lang w:val="en-GB"/>
        </w:rPr>
        <w:footnoteReference w:id="31"/>
      </w:r>
      <w:r w:rsidR="009A2C7F" w:rsidRPr="00AE2F32">
        <w:rPr>
          <w:rFonts w:cs="Times New Roman"/>
          <w:noProof/>
          <w:sz w:val="22"/>
          <w:szCs w:val="22"/>
          <w:lang w:val="en-GB"/>
        </w:rPr>
        <w:t xml:space="preserve"> </w:t>
      </w:r>
    </w:p>
    <w:p w14:paraId="7AC19064" w14:textId="77777777" w:rsidR="009A2C7F" w:rsidRPr="00AE2F32" w:rsidRDefault="009A2C7F" w:rsidP="009A2C7F">
      <w:pPr>
        <w:jc w:val="both"/>
        <w:rPr>
          <w:rFonts w:cs="Times New Roman"/>
          <w:noProof/>
          <w:sz w:val="22"/>
          <w:szCs w:val="22"/>
          <w:lang w:val="en-GB"/>
        </w:rPr>
      </w:pPr>
    </w:p>
    <w:p w14:paraId="6ECD3A8C" w14:textId="76C57477" w:rsidR="009A2C7F" w:rsidRPr="00AE2F32" w:rsidRDefault="00871AD1" w:rsidP="009A2C7F">
      <w:pPr>
        <w:jc w:val="both"/>
        <w:rPr>
          <w:rFonts w:cs="Times New Roman"/>
          <w:noProof/>
          <w:sz w:val="22"/>
          <w:szCs w:val="22"/>
        </w:rPr>
      </w:pPr>
      <w:r>
        <w:rPr>
          <w:noProof/>
          <w:sz w:val="22"/>
          <w:szCs w:val="22"/>
          <w:lang w:val="en-GB"/>
        </w:rPr>
        <w:t xml:space="preserve">Issues of </w:t>
      </w:r>
      <w:r w:rsidR="009A2C7F" w:rsidRPr="00AE2F32">
        <w:rPr>
          <w:rFonts w:cs="Times New Roman"/>
          <w:noProof/>
          <w:sz w:val="22"/>
          <w:szCs w:val="22"/>
          <w:lang w:val="en-GB"/>
        </w:rPr>
        <w:t>street drug tests</w:t>
      </w:r>
      <w:r>
        <w:rPr>
          <w:rFonts w:cs="Times New Roman"/>
          <w:noProof/>
          <w:sz w:val="22"/>
          <w:szCs w:val="22"/>
          <w:lang w:val="en-GB"/>
        </w:rPr>
        <w:t xml:space="preserve"> </w:t>
      </w:r>
      <w:r>
        <w:rPr>
          <w:noProof/>
          <w:sz w:val="22"/>
          <w:szCs w:val="22"/>
          <w:lang w:val="en-GB"/>
        </w:rPr>
        <w:t>are critical</w:t>
      </w:r>
      <w:r w:rsidR="009A2C7F" w:rsidRPr="00AE2F32">
        <w:rPr>
          <w:rFonts w:cs="Times New Roman"/>
          <w:noProof/>
          <w:sz w:val="22"/>
          <w:szCs w:val="22"/>
          <w:lang w:val="en-GB"/>
        </w:rPr>
        <w:t xml:space="preserve">, </w:t>
      </w:r>
      <w:r w:rsidR="007F2F51">
        <w:rPr>
          <w:rFonts w:cs="Times New Roman"/>
          <w:noProof/>
          <w:sz w:val="22"/>
          <w:szCs w:val="22"/>
          <w:lang w:val="en-GB"/>
        </w:rPr>
        <w:t xml:space="preserve">the </w:t>
      </w:r>
      <w:r w:rsidR="009A2C7F" w:rsidRPr="00AE2F32">
        <w:rPr>
          <w:rFonts w:cs="Times New Roman"/>
          <w:noProof/>
          <w:sz w:val="22"/>
          <w:szCs w:val="22"/>
          <w:lang w:val="en-GB"/>
        </w:rPr>
        <w:t xml:space="preserve">police </w:t>
      </w:r>
      <w:r w:rsidR="00B655B8">
        <w:rPr>
          <w:noProof/>
          <w:sz w:val="22"/>
          <w:szCs w:val="22"/>
          <w:lang w:val="en-GB"/>
        </w:rPr>
        <w:t>are</w:t>
      </w:r>
      <w:r w:rsidR="00923082">
        <w:rPr>
          <w:noProof/>
          <w:sz w:val="22"/>
          <w:szCs w:val="22"/>
          <w:lang w:val="en-GB"/>
        </w:rPr>
        <w:t xml:space="preserve"> authorized </w:t>
      </w:r>
      <w:r w:rsidR="009A2C7F" w:rsidRPr="00AE2F32">
        <w:rPr>
          <w:rFonts w:cs="Times New Roman"/>
          <w:noProof/>
          <w:sz w:val="22"/>
          <w:szCs w:val="22"/>
          <w:lang w:val="en-GB"/>
        </w:rPr>
        <w:t>to transfer any person</w:t>
      </w:r>
      <w:r w:rsidR="007F2F51">
        <w:rPr>
          <w:rFonts w:cs="Times New Roman"/>
          <w:noProof/>
          <w:sz w:val="22"/>
          <w:szCs w:val="22"/>
          <w:lang w:val="en-GB"/>
        </w:rPr>
        <w:t xml:space="preserve"> </w:t>
      </w:r>
      <w:r w:rsidR="009A2C7F" w:rsidRPr="00AE2F32">
        <w:rPr>
          <w:rFonts w:cs="Times New Roman"/>
          <w:noProof/>
          <w:sz w:val="22"/>
          <w:szCs w:val="22"/>
          <w:lang w:val="en-GB"/>
        </w:rPr>
        <w:t xml:space="preserve">to </w:t>
      </w:r>
      <w:r w:rsidR="00923082" w:rsidRPr="00923082">
        <w:rPr>
          <w:rFonts w:cs="Times New Roman"/>
          <w:noProof/>
          <w:sz w:val="22"/>
          <w:szCs w:val="22"/>
        </w:rPr>
        <w:t>a forensic drug examination</w:t>
      </w:r>
      <w:r w:rsidR="009A2C7F" w:rsidRPr="00AE2F32">
        <w:rPr>
          <w:rFonts w:cs="Times New Roman"/>
          <w:noProof/>
          <w:sz w:val="22"/>
          <w:szCs w:val="22"/>
          <w:lang w:val="en-GB"/>
        </w:rPr>
        <w:t xml:space="preserve">, including only </w:t>
      </w:r>
      <w:r w:rsidR="007F2F51">
        <w:rPr>
          <w:rFonts w:cs="Times New Roman"/>
          <w:noProof/>
          <w:sz w:val="22"/>
          <w:szCs w:val="22"/>
          <w:lang w:val="en-GB"/>
        </w:rPr>
        <w:t>based on</w:t>
      </w:r>
      <w:r w:rsidR="009A2C7F" w:rsidRPr="00AE2F32">
        <w:rPr>
          <w:rFonts w:cs="Times New Roman"/>
          <w:noProof/>
          <w:sz w:val="22"/>
          <w:szCs w:val="22"/>
          <w:lang w:val="en-GB"/>
        </w:rPr>
        <w:t xml:space="preserve"> operative information.</w:t>
      </w:r>
      <w:r w:rsidR="009A2C7F" w:rsidRPr="00AE2F32">
        <w:rPr>
          <w:rStyle w:val="FootnoteReference"/>
          <w:rFonts w:cs="Times New Roman"/>
          <w:noProof/>
          <w:sz w:val="22"/>
          <w:szCs w:val="22"/>
          <w:lang w:val="en-GB"/>
        </w:rPr>
        <w:footnoteReference w:id="32"/>
      </w:r>
      <w:r w:rsidR="009A2C7F" w:rsidRPr="00AE2F32">
        <w:rPr>
          <w:rFonts w:cs="Times New Roman"/>
          <w:noProof/>
          <w:sz w:val="22"/>
          <w:szCs w:val="22"/>
          <w:lang w:val="ka-GE"/>
        </w:rPr>
        <w:t xml:space="preserve"> </w:t>
      </w:r>
      <w:r w:rsidR="00923082" w:rsidRPr="00923082">
        <w:rPr>
          <w:rFonts w:cs="Times New Roman"/>
          <w:noProof/>
          <w:sz w:val="22"/>
          <w:szCs w:val="22"/>
          <w:lang w:val="ka-GE"/>
        </w:rPr>
        <w:t>Neither judicial nor prosecutorial control applies to the credibility verification of operative information</w:t>
      </w:r>
      <w:r w:rsidR="00923082">
        <w:rPr>
          <w:rFonts w:cs="Times New Roman"/>
          <w:noProof/>
          <w:sz w:val="22"/>
          <w:szCs w:val="22"/>
        </w:rPr>
        <w:t>.</w:t>
      </w:r>
      <w:r w:rsidR="009A2C7F" w:rsidRPr="00AE2F32">
        <w:rPr>
          <w:rStyle w:val="FootnoteReference"/>
          <w:rFonts w:cs="Times New Roman"/>
          <w:noProof/>
          <w:sz w:val="22"/>
          <w:szCs w:val="22"/>
          <w:lang w:val="en-GB"/>
        </w:rPr>
        <w:footnoteReference w:id="33"/>
      </w:r>
    </w:p>
    <w:p w14:paraId="524BEE31" w14:textId="77777777" w:rsidR="009A2C7F" w:rsidRPr="00AE2F32" w:rsidRDefault="009A2C7F" w:rsidP="009A2C7F">
      <w:pPr>
        <w:jc w:val="both"/>
        <w:rPr>
          <w:rFonts w:cs="Times New Roman"/>
          <w:noProof/>
          <w:sz w:val="22"/>
          <w:szCs w:val="22"/>
          <w:lang w:val="en-GB"/>
        </w:rPr>
      </w:pPr>
    </w:p>
    <w:p w14:paraId="45FDA5D7" w14:textId="2D505D8F" w:rsidR="009A2C7F" w:rsidRPr="00AE2F32" w:rsidRDefault="00923082" w:rsidP="009A2C7F">
      <w:pPr>
        <w:jc w:val="both"/>
        <w:rPr>
          <w:rFonts w:cs="Times New Roman"/>
          <w:noProof/>
          <w:sz w:val="22"/>
          <w:szCs w:val="22"/>
        </w:rPr>
      </w:pPr>
      <w:r>
        <w:rPr>
          <w:rFonts w:cs="Times New Roman"/>
          <w:noProof/>
          <w:sz w:val="22"/>
          <w:szCs w:val="22"/>
          <w:lang w:val="en-GB"/>
        </w:rPr>
        <w:t>P</w:t>
      </w:r>
      <w:r w:rsidRPr="00923082">
        <w:rPr>
          <w:rFonts w:cs="Times New Roman"/>
          <w:noProof/>
          <w:sz w:val="22"/>
          <w:szCs w:val="22"/>
          <w:lang w:val="en-GB"/>
        </w:rPr>
        <w:t>ersons addicted to drugs are not adequately provided with treatment tailored to their medical, psychological</w:t>
      </w:r>
      <w:r w:rsidR="007F2F51">
        <w:rPr>
          <w:rFonts w:cs="Times New Roman"/>
          <w:noProof/>
          <w:sz w:val="22"/>
          <w:szCs w:val="22"/>
          <w:lang w:val="en-GB"/>
        </w:rPr>
        <w:t>,</w:t>
      </w:r>
      <w:r w:rsidRPr="00923082">
        <w:rPr>
          <w:rFonts w:cs="Times New Roman"/>
          <w:noProof/>
          <w:sz w:val="22"/>
          <w:szCs w:val="22"/>
          <w:lang w:val="en-GB"/>
        </w:rPr>
        <w:t xml:space="preserve"> and social needs.</w:t>
      </w:r>
      <w:r>
        <w:rPr>
          <w:rFonts w:cs="Times New Roman"/>
          <w:noProof/>
          <w:sz w:val="22"/>
          <w:szCs w:val="22"/>
          <w:lang w:val="en-GB"/>
        </w:rPr>
        <w:t xml:space="preserve"> </w:t>
      </w:r>
      <w:r w:rsidR="009A2C7F" w:rsidRPr="00AE2F32">
        <w:rPr>
          <w:rStyle w:val="FootnoteReference"/>
          <w:rFonts w:cs="Times New Roman"/>
          <w:noProof/>
          <w:sz w:val="22"/>
          <w:szCs w:val="22"/>
          <w:lang w:val="en-GB"/>
        </w:rPr>
        <w:footnoteReference w:id="34"/>
      </w:r>
      <w:r w:rsidR="009A2C7F" w:rsidRPr="00AE2F32">
        <w:rPr>
          <w:rFonts w:cs="Times New Roman"/>
          <w:noProof/>
          <w:sz w:val="22"/>
          <w:szCs w:val="22"/>
        </w:rPr>
        <w:t xml:space="preserve"> (see </w:t>
      </w:r>
      <w:r w:rsidR="00ED7756">
        <w:rPr>
          <w:rFonts w:cs="Times New Roman"/>
          <w:noProof/>
          <w:sz w:val="22"/>
          <w:szCs w:val="22"/>
        </w:rPr>
        <w:t xml:space="preserve">Appendix </w:t>
      </w:r>
      <w:r w:rsidR="00636398">
        <w:rPr>
          <w:rFonts w:cs="Times New Roman"/>
          <w:noProof/>
          <w:sz w:val="22"/>
          <w:szCs w:val="22"/>
        </w:rPr>
        <w:t>N1,</w:t>
      </w:r>
      <w:r w:rsidR="00ED7756" w:rsidRPr="00AE2F32">
        <w:rPr>
          <w:rFonts w:cs="Times New Roman"/>
          <w:noProof/>
          <w:sz w:val="22"/>
          <w:szCs w:val="22"/>
        </w:rPr>
        <w:t xml:space="preserve"> </w:t>
      </w:r>
      <w:r w:rsidR="00636398">
        <w:rPr>
          <w:rFonts w:cs="Times New Roman"/>
          <w:noProof/>
          <w:sz w:val="22"/>
          <w:szCs w:val="22"/>
        </w:rPr>
        <w:t>pg: 1-58</w:t>
      </w:r>
      <w:r w:rsidR="009A2C7F" w:rsidRPr="00AE2F32">
        <w:rPr>
          <w:rFonts w:cs="Times New Roman"/>
          <w:noProof/>
          <w:sz w:val="22"/>
          <w:szCs w:val="22"/>
        </w:rPr>
        <w:t xml:space="preserve">). </w:t>
      </w:r>
    </w:p>
    <w:p w14:paraId="2ED0135B" w14:textId="77777777" w:rsidR="009A2C7F" w:rsidRPr="00AE2F32" w:rsidRDefault="009A2C7F" w:rsidP="009A2C7F">
      <w:pPr>
        <w:jc w:val="both"/>
        <w:rPr>
          <w:rFonts w:cs="Times New Roman"/>
          <w:noProof/>
          <w:sz w:val="22"/>
          <w:szCs w:val="22"/>
          <w:lang w:val="en-GB"/>
        </w:rPr>
      </w:pPr>
    </w:p>
    <w:p w14:paraId="6C1E1CEF" w14:textId="17154E4D" w:rsidR="009A2C7F" w:rsidRPr="00AE2F32" w:rsidRDefault="009A2C7F" w:rsidP="009A2C7F">
      <w:pPr>
        <w:shd w:val="clear" w:color="auto" w:fill="C9C9C9" w:themeFill="accent3" w:themeFillTint="99"/>
        <w:jc w:val="both"/>
        <w:rPr>
          <w:rFonts w:cs="Times New Roman"/>
          <w:b/>
          <w:iCs/>
          <w:noProof/>
          <w:sz w:val="22"/>
          <w:szCs w:val="22"/>
          <w:lang w:val="en-GB"/>
        </w:rPr>
      </w:pPr>
      <w:r w:rsidRPr="00AE2F32">
        <w:rPr>
          <w:rFonts w:cs="Times New Roman"/>
          <w:b/>
          <w:iCs/>
          <w:noProof/>
          <w:sz w:val="22"/>
          <w:szCs w:val="22"/>
          <w:lang w:val="en-GB"/>
        </w:rPr>
        <w:t xml:space="preserve">Recommendations: </w:t>
      </w:r>
    </w:p>
    <w:p w14:paraId="5A48F6BB" w14:textId="7EF13A32" w:rsidR="009A2C7F" w:rsidRPr="00AE2F32" w:rsidRDefault="000642CC" w:rsidP="009A2C7F">
      <w:pPr>
        <w:pStyle w:val="ListParagraph"/>
        <w:numPr>
          <w:ilvl w:val="0"/>
          <w:numId w:val="17"/>
        </w:numPr>
        <w:shd w:val="clear" w:color="auto" w:fill="C9C9C9" w:themeFill="accent3" w:themeFillTint="99"/>
        <w:jc w:val="both"/>
        <w:rPr>
          <w:rFonts w:cs="Times New Roman"/>
          <w:noProof/>
          <w:sz w:val="22"/>
          <w:szCs w:val="22"/>
          <w:lang w:val="en-GB"/>
        </w:rPr>
      </w:pPr>
      <w:r>
        <w:rPr>
          <w:rFonts w:cs="Times New Roman"/>
          <w:noProof/>
          <w:sz w:val="22"/>
          <w:szCs w:val="22"/>
          <w:lang w:val="en-GB"/>
        </w:rPr>
        <w:t>Revive</w:t>
      </w:r>
      <w:r w:rsidR="009A2C7F" w:rsidRPr="00AE2F32">
        <w:rPr>
          <w:rFonts w:cs="Times New Roman"/>
          <w:noProof/>
          <w:sz w:val="22"/>
          <w:szCs w:val="22"/>
          <w:lang w:val="en-GB"/>
        </w:rPr>
        <w:t xml:space="preserve"> systemic drug policy reform; </w:t>
      </w:r>
    </w:p>
    <w:p w14:paraId="3C2E5227" w14:textId="586AFCCF" w:rsidR="009A2C7F" w:rsidRPr="00AE2F32" w:rsidRDefault="007F2F51" w:rsidP="009A2C7F">
      <w:pPr>
        <w:pStyle w:val="ListParagraph"/>
        <w:numPr>
          <w:ilvl w:val="0"/>
          <w:numId w:val="17"/>
        </w:numPr>
        <w:shd w:val="clear" w:color="auto" w:fill="C9C9C9" w:themeFill="accent3" w:themeFillTint="99"/>
        <w:jc w:val="both"/>
        <w:rPr>
          <w:rFonts w:cs="Times New Roman"/>
          <w:noProof/>
          <w:sz w:val="22"/>
          <w:szCs w:val="22"/>
          <w:lang w:val="en-GB"/>
        </w:rPr>
      </w:pPr>
      <w:r>
        <w:rPr>
          <w:rFonts w:cs="Times New Roman"/>
          <w:noProof/>
          <w:sz w:val="22"/>
          <w:szCs w:val="22"/>
          <w:lang w:val="en-GB"/>
        </w:rPr>
        <w:t>Revoke</w:t>
      </w:r>
      <w:r w:rsidR="009A2C7F" w:rsidRPr="00AE2F32">
        <w:rPr>
          <w:rFonts w:cs="Times New Roman"/>
          <w:noProof/>
          <w:sz w:val="22"/>
          <w:szCs w:val="22"/>
          <w:lang w:val="en-GB"/>
        </w:rPr>
        <w:t xml:space="preserve"> criminal responsibility for consumption of drugs;</w:t>
      </w:r>
    </w:p>
    <w:p w14:paraId="5812836C" w14:textId="6AB0DE75" w:rsidR="009A2C7F" w:rsidRPr="00AE2F32" w:rsidRDefault="007F2F51" w:rsidP="009A2C7F">
      <w:pPr>
        <w:pStyle w:val="ListParagraph"/>
        <w:numPr>
          <w:ilvl w:val="0"/>
          <w:numId w:val="17"/>
        </w:numPr>
        <w:shd w:val="clear" w:color="auto" w:fill="C9C9C9" w:themeFill="accent3" w:themeFillTint="99"/>
        <w:jc w:val="both"/>
        <w:rPr>
          <w:rFonts w:cs="Times New Roman"/>
          <w:noProof/>
          <w:sz w:val="22"/>
          <w:szCs w:val="22"/>
          <w:lang w:val="en-GB"/>
        </w:rPr>
      </w:pPr>
      <w:r>
        <w:rPr>
          <w:rFonts w:cs="Times New Roman"/>
          <w:noProof/>
          <w:sz w:val="22"/>
          <w:szCs w:val="22"/>
          <w:lang w:val="en-GB"/>
        </w:rPr>
        <w:t>Revoke</w:t>
      </w:r>
      <w:r w:rsidR="000642CC" w:rsidRPr="00AE2F32">
        <w:rPr>
          <w:rFonts w:cs="Times New Roman"/>
          <w:noProof/>
          <w:sz w:val="22"/>
          <w:szCs w:val="22"/>
          <w:lang w:val="en-GB"/>
        </w:rPr>
        <w:t xml:space="preserve"> </w:t>
      </w:r>
      <w:r w:rsidR="009A2C7F" w:rsidRPr="00AE2F32">
        <w:rPr>
          <w:rFonts w:cs="Times New Roman"/>
          <w:noProof/>
          <w:sz w:val="22"/>
          <w:szCs w:val="22"/>
          <w:lang w:val="en-GB"/>
        </w:rPr>
        <w:t xml:space="preserve">automatic deprivation of civil rights; </w:t>
      </w:r>
    </w:p>
    <w:p w14:paraId="5948BD98" w14:textId="1E530EA4" w:rsidR="009A2C7F" w:rsidRPr="00AE2F32" w:rsidRDefault="000642CC" w:rsidP="009A2C7F">
      <w:pPr>
        <w:pStyle w:val="ListParagraph"/>
        <w:numPr>
          <w:ilvl w:val="0"/>
          <w:numId w:val="17"/>
        </w:numPr>
        <w:shd w:val="clear" w:color="auto" w:fill="C9C9C9" w:themeFill="accent3" w:themeFillTint="99"/>
        <w:jc w:val="both"/>
        <w:rPr>
          <w:rFonts w:cs="Times New Roman"/>
          <w:noProof/>
          <w:sz w:val="22"/>
          <w:szCs w:val="22"/>
          <w:lang w:val="en-GB"/>
        </w:rPr>
      </w:pPr>
      <w:r>
        <w:rPr>
          <w:rFonts w:cs="Times New Roman"/>
          <w:noProof/>
          <w:sz w:val="22"/>
          <w:szCs w:val="22"/>
          <w:lang w:val="en-GB"/>
        </w:rPr>
        <w:t>Create</w:t>
      </w:r>
      <w:r w:rsidRPr="00AE2F32">
        <w:rPr>
          <w:rFonts w:cs="Times New Roman"/>
          <w:noProof/>
          <w:sz w:val="22"/>
          <w:szCs w:val="22"/>
          <w:lang w:val="en-GB"/>
        </w:rPr>
        <w:t xml:space="preserve"> </w:t>
      </w:r>
      <w:r w:rsidR="009A2C7F" w:rsidRPr="00AE2F32">
        <w:rPr>
          <w:rFonts w:cs="Times New Roman"/>
          <w:noProof/>
          <w:sz w:val="22"/>
          <w:szCs w:val="22"/>
          <w:lang w:val="en-GB"/>
        </w:rPr>
        <w:t>referral commissions, treatment, support</w:t>
      </w:r>
      <w:r w:rsidR="007F2F51">
        <w:rPr>
          <w:rFonts w:cs="Times New Roman"/>
          <w:noProof/>
          <w:sz w:val="22"/>
          <w:szCs w:val="22"/>
          <w:lang w:val="en-GB"/>
        </w:rPr>
        <w:t>,</w:t>
      </w:r>
      <w:r w:rsidR="009A2C7F" w:rsidRPr="00AE2F32">
        <w:rPr>
          <w:rFonts w:cs="Times New Roman"/>
          <w:noProof/>
          <w:sz w:val="22"/>
          <w:szCs w:val="22"/>
          <w:lang w:val="en-GB"/>
        </w:rPr>
        <w:t xml:space="preserve"> and care services in line with the needs of drug consumers. </w:t>
      </w:r>
    </w:p>
    <w:p w14:paraId="569E579E" w14:textId="77777777" w:rsidR="009A2C7F" w:rsidRPr="00AE2F32" w:rsidRDefault="009A2C7F" w:rsidP="009A2C7F">
      <w:pPr>
        <w:pStyle w:val="ListParagraph"/>
        <w:ind w:left="0"/>
        <w:jc w:val="both"/>
        <w:rPr>
          <w:rFonts w:cs="Times New Roman"/>
          <w:b/>
          <w:noProof/>
          <w:sz w:val="22"/>
          <w:szCs w:val="22"/>
          <w:lang w:val="en-GB"/>
        </w:rPr>
      </w:pPr>
    </w:p>
    <w:p w14:paraId="13943BB7" w14:textId="33E2DB99" w:rsidR="009A2C7F" w:rsidRPr="00AE2F32" w:rsidRDefault="009A2C7F" w:rsidP="009A2C7F">
      <w:pPr>
        <w:shd w:val="clear" w:color="auto" w:fill="C9C9C9"/>
        <w:jc w:val="both"/>
        <w:rPr>
          <w:rFonts w:cs="Times New Roman"/>
          <w:b/>
          <w:iCs/>
          <w:noProof/>
          <w:sz w:val="22"/>
          <w:szCs w:val="22"/>
          <w:lang w:val="en-GB"/>
        </w:rPr>
      </w:pPr>
      <w:r w:rsidRPr="00AE2F32">
        <w:rPr>
          <w:rFonts w:cs="Times New Roman"/>
          <w:b/>
          <w:iCs/>
          <w:noProof/>
          <w:sz w:val="22"/>
          <w:szCs w:val="22"/>
          <w:lang w:val="en-GB"/>
        </w:rPr>
        <w:t xml:space="preserve">Questions: </w:t>
      </w:r>
    </w:p>
    <w:p w14:paraId="210F518E" w14:textId="77777777" w:rsidR="009A2C7F" w:rsidRPr="00AE2F32" w:rsidRDefault="009A2C7F" w:rsidP="009A2C7F">
      <w:pPr>
        <w:shd w:val="clear" w:color="auto" w:fill="C9C9C9"/>
        <w:jc w:val="both"/>
        <w:rPr>
          <w:rFonts w:cs="Times New Roman"/>
          <w:b/>
          <w:iCs/>
          <w:noProof/>
          <w:sz w:val="22"/>
          <w:szCs w:val="22"/>
          <w:lang w:val="en-GB"/>
        </w:rPr>
      </w:pPr>
    </w:p>
    <w:p w14:paraId="36197CED" w14:textId="1571BFFB" w:rsidR="009A2C7F" w:rsidRPr="00AE2F32" w:rsidRDefault="009A2C7F" w:rsidP="00AE2F32">
      <w:pPr>
        <w:numPr>
          <w:ilvl w:val="0"/>
          <w:numId w:val="39"/>
        </w:numPr>
        <w:shd w:val="clear" w:color="auto" w:fill="C9C9C9"/>
        <w:jc w:val="both"/>
        <w:rPr>
          <w:rFonts w:cs="Times New Roman"/>
          <w:bCs/>
          <w:iCs/>
          <w:noProof/>
          <w:sz w:val="22"/>
          <w:szCs w:val="22"/>
          <w:lang w:val="ka-GE"/>
        </w:rPr>
      </w:pPr>
      <w:r w:rsidRPr="00AE2F32">
        <w:rPr>
          <w:rFonts w:cs="Times New Roman"/>
          <w:bCs/>
          <w:iCs/>
          <w:noProof/>
          <w:sz w:val="22"/>
          <w:szCs w:val="22"/>
        </w:rPr>
        <w:t xml:space="preserve">What is the state vision of the drug policy reform and what are the processes ongoing in this direction, including in the Parliament? </w:t>
      </w:r>
    </w:p>
    <w:p w14:paraId="78894912" w14:textId="77777777" w:rsidR="009A2C7F" w:rsidRPr="00AE2F32" w:rsidRDefault="009A2C7F" w:rsidP="009A2C7F">
      <w:pPr>
        <w:rPr>
          <w:sz w:val="22"/>
          <w:szCs w:val="22"/>
          <w:lang w:val="en-GB"/>
        </w:rPr>
      </w:pPr>
    </w:p>
    <w:p w14:paraId="07B58023" w14:textId="77777777" w:rsidR="009A2C7F" w:rsidRPr="00AE2F32" w:rsidRDefault="009A2C7F" w:rsidP="009A2C7F">
      <w:pPr>
        <w:pStyle w:val="Heading2"/>
        <w:numPr>
          <w:ilvl w:val="0"/>
          <w:numId w:val="14"/>
        </w:numPr>
        <w:spacing w:before="0"/>
        <w:jc w:val="both"/>
        <w:rPr>
          <w:rFonts w:asciiTheme="minorHAnsi" w:hAnsiTheme="minorHAnsi" w:cs="Times New Roman"/>
          <w:noProof/>
          <w:sz w:val="22"/>
          <w:szCs w:val="22"/>
          <w:lang w:val="en-GB"/>
        </w:rPr>
      </w:pPr>
      <w:r w:rsidRPr="00AE2F32">
        <w:rPr>
          <w:rFonts w:asciiTheme="minorHAnsi" w:hAnsiTheme="minorHAnsi" w:cs="Times New Roman"/>
          <w:noProof/>
          <w:sz w:val="22"/>
          <w:szCs w:val="22"/>
          <w:lang w:val="en-GB"/>
        </w:rPr>
        <w:t> </w:t>
      </w:r>
      <w:bookmarkStart w:id="17" w:name="_Toc48038295"/>
      <w:bookmarkStart w:id="18" w:name="_Toc48565933"/>
      <w:r w:rsidRPr="00AE2F32">
        <w:rPr>
          <w:rFonts w:asciiTheme="minorHAnsi" w:hAnsiTheme="minorHAnsi" w:cs="Times New Roman"/>
          <w:noProof/>
          <w:sz w:val="22"/>
          <w:szCs w:val="22"/>
          <w:lang w:val="en-GB"/>
        </w:rPr>
        <w:t>Juvenile Justice (Paragraph 16 of Committee recommendation)</w:t>
      </w:r>
      <w:bookmarkEnd w:id="17"/>
      <w:bookmarkEnd w:id="18"/>
      <w:r w:rsidRPr="00AE2F32">
        <w:rPr>
          <w:rFonts w:asciiTheme="minorHAnsi" w:hAnsiTheme="minorHAnsi" w:cs="Times New Roman"/>
          <w:noProof/>
          <w:sz w:val="22"/>
          <w:szCs w:val="22"/>
          <w:lang w:val="en-GB"/>
        </w:rPr>
        <w:t> </w:t>
      </w:r>
    </w:p>
    <w:p w14:paraId="59017509" w14:textId="77777777" w:rsidR="009A2C7F" w:rsidRPr="00AE2F32" w:rsidRDefault="009A2C7F" w:rsidP="009A2C7F">
      <w:pPr>
        <w:jc w:val="both"/>
        <w:textAlignment w:val="baseline"/>
        <w:rPr>
          <w:rFonts w:eastAsia="Times New Roman" w:cs="Times New Roman"/>
          <w:noProof/>
          <w:color w:val="4A86E8"/>
          <w:sz w:val="22"/>
          <w:szCs w:val="22"/>
          <w:lang w:val="en-GB"/>
        </w:rPr>
      </w:pPr>
    </w:p>
    <w:p w14:paraId="27F3CE8F" w14:textId="04F87E76" w:rsidR="009A2C7F" w:rsidRPr="00AE2F32" w:rsidRDefault="009A2C7F" w:rsidP="009A2C7F">
      <w:pPr>
        <w:jc w:val="both"/>
        <w:rPr>
          <w:rFonts w:cs="Times New Roman"/>
          <w:noProof/>
          <w:sz w:val="22"/>
          <w:szCs w:val="22"/>
        </w:rPr>
      </w:pPr>
      <w:r w:rsidRPr="00AE2F32">
        <w:rPr>
          <w:rFonts w:cs="Times New Roman"/>
          <w:noProof/>
          <w:sz w:val="22"/>
          <w:szCs w:val="22"/>
          <w:lang w:val="en-GB"/>
        </w:rPr>
        <w:t xml:space="preserve">On June 12, 2015, Parliament of Georgia adopted </w:t>
      </w:r>
      <w:r w:rsidR="004B4077">
        <w:rPr>
          <w:rFonts w:cs="Times New Roman"/>
          <w:noProof/>
          <w:sz w:val="22"/>
          <w:szCs w:val="22"/>
          <w:lang w:val="en-GB"/>
        </w:rPr>
        <w:t xml:space="preserve">the </w:t>
      </w:r>
      <w:r w:rsidRPr="00AE2F32">
        <w:rPr>
          <w:rFonts w:cs="Times New Roman"/>
          <w:noProof/>
          <w:sz w:val="22"/>
          <w:szCs w:val="22"/>
          <w:lang w:val="en-GB"/>
        </w:rPr>
        <w:t xml:space="preserve">Juvenile Justice Code, which is largely progressive and envisages and affirms legal proceedings in line with the best interests of minors. </w:t>
      </w:r>
      <w:r w:rsidR="00EE6F44">
        <w:rPr>
          <w:rFonts w:cs="Times New Roman"/>
          <w:noProof/>
          <w:sz w:val="22"/>
          <w:szCs w:val="22"/>
          <w:lang w:val="en-GB"/>
        </w:rPr>
        <w:t>According to the new Code</w:t>
      </w:r>
      <w:r w:rsidR="007F2F51">
        <w:rPr>
          <w:rFonts w:cs="Times New Roman"/>
          <w:noProof/>
          <w:sz w:val="22"/>
          <w:szCs w:val="22"/>
          <w:lang w:val="en-GB"/>
        </w:rPr>
        <w:t>,</w:t>
      </w:r>
      <w:r w:rsidRPr="00AE2F32">
        <w:rPr>
          <w:rFonts w:cs="Times New Roman"/>
          <w:noProof/>
          <w:sz w:val="22"/>
          <w:szCs w:val="22"/>
          <w:lang w:val="en-GB"/>
        </w:rPr>
        <w:t xml:space="preserve"> only specialized persons will participate in juvenile justice proceedings, it foresees individual approaches, </w:t>
      </w:r>
      <w:r w:rsidRPr="00AE2F32">
        <w:rPr>
          <w:rFonts w:cs="Times New Roman"/>
          <w:noProof/>
          <w:sz w:val="22"/>
          <w:szCs w:val="22"/>
        </w:rPr>
        <w:t xml:space="preserve">diversion program, resocialization-rehabilitation of juveniles in conflict with </w:t>
      </w:r>
      <w:r w:rsidR="004B4077">
        <w:rPr>
          <w:rFonts w:cs="Times New Roman"/>
          <w:noProof/>
          <w:sz w:val="22"/>
          <w:szCs w:val="22"/>
        </w:rPr>
        <w:t xml:space="preserve">the </w:t>
      </w:r>
      <w:r w:rsidRPr="00AE2F32">
        <w:rPr>
          <w:rFonts w:cs="Times New Roman"/>
          <w:noProof/>
          <w:sz w:val="22"/>
          <w:szCs w:val="22"/>
        </w:rPr>
        <w:t>law, protection of juvenile victims’ and witnesses’ rights</w:t>
      </w:r>
      <w:r w:rsidR="007F2F51">
        <w:rPr>
          <w:rFonts w:cs="Times New Roman"/>
          <w:noProof/>
          <w:sz w:val="22"/>
          <w:szCs w:val="22"/>
        </w:rPr>
        <w:t>,</w:t>
      </w:r>
      <w:r w:rsidRPr="00AE2F32">
        <w:rPr>
          <w:rFonts w:cs="Times New Roman"/>
          <w:noProof/>
          <w:sz w:val="22"/>
          <w:szCs w:val="22"/>
        </w:rPr>
        <w:t xml:space="preserve"> etc. </w:t>
      </w:r>
    </w:p>
    <w:p w14:paraId="4F481A31" w14:textId="77777777" w:rsidR="009A2C7F" w:rsidRPr="00AE2F32" w:rsidRDefault="009A2C7F" w:rsidP="009A2C7F">
      <w:pPr>
        <w:jc w:val="both"/>
        <w:rPr>
          <w:rFonts w:cs="Times New Roman"/>
          <w:noProof/>
          <w:sz w:val="22"/>
          <w:szCs w:val="22"/>
          <w:lang w:val="en-GB"/>
        </w:rPr>
      </w:pPr>
    </w:p>
    <w:p w14:paraId="1C21A644" w14:textId="21AA19CA" w:rsidR="009A2C7F" w:rsidRPr="00AE2F32" w:rsidRDefault="009A2C7F" w:rsidP="009A2C7F">
      <w:pPr>
        <w:jc w:val="both"/>
        <w:rPr>
          <w:rFonts w:cs="Times New Roman"/>
          <w:noProof/>
          <w:sz w:val="22"/>
          <w:szCs w:val="22"/>
          <w:lang w:val="en-GB"/>
        </w:rPr>
      </w:pPr>
      <w:r w:rsidRPr="00AE2F32">
        <w:rPr>
          <w:rFonts w:cs="Times New Roman"/>
          <w:noProof/>
          <w:sz w:val="22"/>
          <w:szCs w:val="22"/>
          <w:lang w:val="en-GB"/>
        </w:rPr>
        <w:t xml:space="preserve">However, </w:t>
      </w:r>
      <w:r w:rsidR="0071006D">
        <w:rPr>
          <w:rFonts w:cs="Times New Roman"/>
          <w:noProof/>
          <w:sz w:val="22"/>
          <w:szCs w:val="22"/>
          <w:lang w:val="en-GB"/>
        </w:rPr>
        <w:t xml:space="preserve">the </w:t>
      </w:r>
      <w:r w:rsidRPr="00AE2F32">
        <w:rPr>
          <w:rFonts w:cs="Times New Roman"/>
          <w:noProof/>
          <w:sz w:val="22"/>
          <w:szCs w:val="22"/>
          <w:lang w:val="en-GB"/>
        </w:rPr>
        <w:t xml:space="preserve">practice accumulated throughout </w:t>
      </w:r>
      <w:r w:rsidR="004B4077">
        <w:rPr>
          <w:rFonts w:cs="Times New Roman"/>
          <w:noProof/>
          <w:sz w:val="22"/>
          <w:szCs w:val="22"/>
          <w:lang w:val="en-GB"/>
        </w:rPr>
        <w:t xml:space="preserve">the </w:t>
      </w:r>
      <w:r w:rsidRPr="00AE2F32">
        <w:rPr>
          <w:rFonts w:cs="Times New Roman"/>
          <w:noProof/>
          <w:sz w:val="22"/>
          <w:szCs w:val="22"/>
          <w:lang w:val="en-GB"/>
        </w:rPr>
        <w:t>years revealed</w:t>
      </w:r>
      <w:r w:rsidR="0071006D">
        <w:rPr>
          <w:rFonts w:cs="Times New Roman"/>
          <w:noProof/>
          <w:sz w:val="22"/>
          <w:szCs w:val="22"/>
          <w:lang w:val="en-GB"/>
        </w:rPr>
        <w:t xml:space="preserve"> numerous</w:t>
      </w:r>
      <w:r w:rsidRPr="00AE2F32">
        <w:rPr>
          <w:rFonts w:cs="Times New Roman"/>
          <w:noProof/>
          <w:sz w:val="22"/>
          <w:szCs w:val="22"/>
          <w:lang w:val="en-GB"/>
        </w:rPr>
        <w:t xml:space="preserve"> problematic issues. Namely, in certain circumstances interviewing/interrogation of juvenile</w:t>
      </w:r>
      <w:r w:rsidR="0071006D">
        <w:rPr>
          <w:rFonts w:cs="Times New Roman"/>
          <w:noProof/>
          <w:sz w:val="22"/>
          <w:szCs w:val="22"/>
          <w:lang w:val="en-GB"/>
        </w:rPr>
        <w:t>s</w:t>
      </w:r>
      <w:r w:rsidRPr="00AE2F32">
        <w:rPr>
          <w:rFonts w:cs="Times New Roman"/>
          <w:noProof/>
          <w:sz w:val="22"/>
          <w:szCs w:val="22"/>
          <w:lang w:val="en-GB"/>
        </w:rPr>
        <w:t xml:space="preserve"> with witness status is permitted without </w:t>
      </w:r>
      <w:r w:rsidR="004B4077">
        <w:rPr>
          <w:rFonts w:cs="Times New Roman"/>
          <w:noProof/>
          <w:sz w:val="22"/>
          <w:szCs w:val="22"/>
          <w:lang w:val="en-GB"/>
        </w:rPr>
        <w:t xml:space="preserve">the </w:t>
      </w:r>
      <w:r w:rsidRPr="00AE2F32">
        <w:rPr>
          <w:rFonts w:cs="Times New Roman"/>
          <w:noProof/>
          <w:sz w:val="22"/>
          <w:szCs w:val="22"/>
          <w:lang w:val="en-GB"/>
        </w:rPr>
        <w:t xml:space="preserve">participation of a legal counsel, also interrogation is not recorded/videotaped. </w:t>
      </w:r>
    </w:p>
    <w:p w14:paraId="51F437B9" w14:textId="77777777" w:rsidR="009A2C7F" w:rsidRPr="00AE2F32" w:rsidRDefault="009A2C7F" w:rsidP="009A2C7F">
      <w:pPr>
        <w:jc w:val="both"/>
        <w:rPr>
          <w:rFonts w:cs="Times New Roman"/>
          <w:noProof/>
          <w:sz w:val="22"/>
          <w:szCs w:val="22"/>
          <w:lang w:val="en-GB"/>
        </w:rPr>
      </w:pPr>
    </w:p>
    <w:p w14:paraId="210A96D1" w14:textId="73959B27" w:rsidR="009A2C7F" w:rsidRPr="00AE2F32" w:rsidRDefault="009A2C7F" w:rsidP="009A2C7F">
      <w:pPr>
        <w:jc w:val="both"/>
        <w:rPr>
          <w:rFonts w:cs="Times New Roman"/>
          <w:noProof/>
          <w:sz w:val="22"/>
          <w:szCs w:val="22"/>
          <w:lang w:val="en-GB"/>
        </w:rPr>
      </w:pPr>
      <w:r w:rsidRPr="00AE2F32">
        <w:rPr>
          <w:rFonts w:cs="Times New Roman"/>
          <w:noProof/>
          <w:sz w:val="22"/>
          <w:szCs w:val="22"/>
          <w:lang w:val="en-GB"/>
        </w:rPr>
        <w:t>An unfortunate case,</w:t>
      </w:r>
      <w:r w:rsidR="0071006D">
        <w:rPr>
          <w:rFonts w:cs="Times New Roman"/>
          <w:noProof/>
          <w:sz w:val="22"/>
          <w:szCs w:val="22"/>
          <w:lang w:val="en-GB"/>
        </w:rPr>
        <w:t xml:space="preserve"> where GYLA provides</w:t>
      </w:r>
      <w:r w:rsidRPr="00AE2F32">
        <w:rPr>
          <w:rFonts w:cs="Times New Roman"/>
          <w:noProof/>
          <w:sz w:val="22"/>
          <w:szCs w:val="22"/>
          <w:lang w:val="en-GB"/>
        </w:rPr>
        <w:t xml:space="preserve"> legal</w:t>
      </w:r>
      <w:r w:rsidR="004B4077">
        <w:rPr>
          <w:rFonts w:cs="Times New Roman"/>
          <w:noProof/>
          <w:sz w:val="22"/>
          <w:szCs w:val="22"/>
          <w:lang w:val="en-GB"/>
        </w:rPr>
        <w:t xml:space="preserve"> representation </w:t>
      </w:r>
      <w:r w:rsidR="0071006D">
        <w:rPr>
          <w:rFonts w:cs="Times New Roman"/>
          <w:noProof/>
          <w:sz w:val="22"/>
          <w:szCs w:val="22"/>
          <w:lang w:val="en-GB"/>
        </w:rPr>
        <w:t xml:space="preserve">lustrated </w:t>
      </w:r>
      <w:r w:rsidRPr="00AE2F32">
        <w:rPr>
          <w:rFonts w:cs="Times New Roman"/>
          <w:noProof/>
          <w:sz w:val="22"/>
          <w:szCs w:val="22"/>
          <w:lang w:val="en-GB"/>
        </w:rPr>
        <w:t xml:space="preserve">the said problematic issues. During </w:t>
      </w:r>
      <w:r w:rsidR="007F2F51">
        <w:rPr>
          <w:rFonts w:cs="Times New Roman"/>
          <w:noProof/>
          <w:sz w:val="22"/>
          <w:szCs w:val="22"/>
          <w:lang w:val="en-GB"/>
        </w:rPr>
        <w:t xml:space="preserve">the </w:t>
      </w:r>
      <w:r w:rsidRPr="00AE2F32">
        <w:rPr>
          <w:rFonts w:cs="Times New Roman"/>
          <w:noProof/>
          <w:sz w:val="22"/>
          <w:szCs w:val="22"/>
          <w:lang w:val="en-GB"/>
        </w:rPr>
        <w:t>interrogation of a minor L.S., psychological violence by</w:t>
      </w:r>
      <w:r w:rsidR="005A3045">
        <w:rPr>
          <w:rFonts w:cs="Times New Roman"/>
          <w:noProof/>
          <w:sz w:val="22"/>
          <w:szCs w:val="22"/>
          <w:lang w:val="en-GB"/>
        </w:rPr>
        <w:t xml:space="preserve"> the</w:t>
      </w:r>
      <w:r w:rsidRPr="00AE2F32">
        <w:rPr>
          <w:rFonts w:cs="Times New Roman"/>
          <w:noProof/>
          <w:sz w:val="22"/>
          <w:szCs w:val="22"/>
          <w:lang w:val="en-GB"/>
        </w:rPr>
        <w:t xml:space="preserve"> law-enforce</w:t>
      </w:r>
      <w:r w:rsidR="005A3045">
        <w:rPr>
          <w:rFonts w:cs="Times New Roman"/>
          <w:noProof/>
          <w:sz w:val="22"/>
          <w:szCs w:val="22"/>
          <w:lang w:val="en-GB"/>
        </w:rPr>
        <w:t>rs</w:t>
      </w:r>
      <w:r w:rsidR="004B4077">
        <w:rPr>
          <w:rFonts w:cs="Times New Roman"/>
          <w:noProof/>
          <w:sz w:val="22"/>
          <w:szCs w:val="22"/>
          <w:lang w:val="ka-GE"/>
        </w:rPr>
        <w:t xml:space="preserve"> </w:t>
      </w:r>
      <w:r w:rsidRPr="00AE2F32">
        <w:rPr>
          <w:rFonts w:cs="Times New Roman"/>
          <w:noProof/>
          <w:sz w:val="22"/>
          <w:szCs w:val="22"/>
          <w:lang w:val="en-GB"/>
        </w:rPr>
        <w:t xml:space="preserve">had tragic consequences. </w:t>
      </w:r>
      <w:r w:rsidRPr="00AE2F32">
        <w:rPr>
          <w:rStyle w:val="FootnoteReference"/>
          <w:rFonts w:cs="Times New Roman"/>
          <w:noProof/>
          <w:sz w:val="22"/>
          <w:szCs w:val="22"/>
          <w:lang w:val="en-GB"/>
        </w:rPr>
        <w:footnoteReference w:id="35"/>
      </w:r>
    </w:p>
    <w:p w14:paraId="2E4884E7" w14:textId="77777777" w:rsidR="009A2C7F" w:rsidRPr="00AE2F32" w:rsidRDefault="009A2C7F" w:rsidP="009A2C7F">
      <w:pPr>
        <w:jc w:val="both"/>
        <w:rPr>
          <w:rFonts w:cs="Times New Roman"/>
          <w:noProof/>
          <w:sz w:val="22"/>
          <w:szCs w:val="22"/>
          <w:lang w:val="en-GB"/>
        </w:rPr>
      </w:pPr>
    </w:p>
    <w:p w14:paraId="6BE96BE6" w14:textId="0E47E864" w:rsidR="006A54B3" w:rsidRDefault="009A2C7F" w:rsidP="009A2C7F">
      <w:pPr>
        <w:jc w:val="both"/>
        <w:rPr>
          <w:rFonts w:cs="Times New Roman"/>
          <w:noProof/>
          <w:sz w:val="22"/>
          <w:szCs w:val="22"/>
          <w:lang w:val="en-GB"/>
        </w:rPr>
      </w:pPr>
      <w:r w:rsidRPr="00AE2F32">
        <w:rPr>
          <w:rFonts w:cs="Times New Roman"/>
          <w:noProof/>
          <w:sz w:val="22"/>
          <w:szCs w:val="22"/>
          <w:lang w:val="en-GB"/>
        </w:rPr>
        <w:t>The case showed shortcomings of the Code</w:t>
      </w:r>
      <w:r w:rsidR="005A3045">
        <w:rPr>
          <w:rFonts w:cs="Times New Roman"/>
          <w:noProof/>
          <w:sz w:val="22"/>
          <w:szCs w:val="22"/>
        </w:rPr>
        <w:t xml:space="preserve"> and</w:t>
      </w:r>
      <w:r w:rsidR="004B4077">
        <w:rPr>
          <w:rFonts w:cs="Times New Roman"/>
          <w:noProof/>
          <w:sz w:val="22"/>
          <w:szCs w:val="22"/>
        </w:rPr>
        <w:t xml:space="preserve"> </w:t>
      </w:r>
      <w:r w:rsidRPr="00AE2F32">
        <w:rPr>
          <w:rFonts w:cs="Times New Roman"/>
          <w:noProof/>
          <w:sz w:val="22"/>
          <w:szCs w:val="22"/>
          <w:lang w:val="en-GB"/>
        </w:rPr>
        <w:t xml:space="preserve">its </w:t>
      </w:r>
      <w:r w:rsidR="007F2F51">
        <w:rPr>
          <w:rFonts w:cs="Times New Roman"/>
          <w:noProof/>
          <w:sz w:val="22"/>
          <w:szCs w:val="22"/>
          <w:lang w:val="en-GB"/>
        </w:rPr>
        <w:t>implementation.</w:t>
      </w:r>
      <w:r w:rsidRPr="00AE2F32">
        <w:rPr>
          <w:rFonts w:cs="Times New Roman"/>
          <w:noProof/>
          <w:sz w:val="22"/>
          <w:szCs w:val="22"/>
          <w:lang w:val="en-GB"/>
        </w:rPr>
        <w:t xml:space="preserve"> Namely, </w:t>
      </w:r>
      <w:r w:rsidRPr="00AE2F32">
        <w:rPr>
          <w:rFonts w:cs="Times New Roman"/>
          <w:noProof/>
          <w:sz w:val="22"/>
          <w:szCs w:val="22"/>
        </w:rPr>
        <w:t xml:space="preserve">mandatory participation of a counsel is not always guaranteed. For reducing risks of possible violence and pressure, </w:t>
      </w:r>
      <w:r w:rsidR="007F2F51">
        <w:rPr>
          <w:rFonts w:cs="Times New Roman"/>
          <w:noProof/>
          <w:sz w:val="22"/>
          <w:szCs w:val="22"/>
        </w:rPr>
        <w:t>a counsel must be</w:t>
      </w:r>
      <w:r w:rsidRPr="00AE2F32">
        <w:rPr>
          <w:rFonts w:cs="Times New Roman"/>
          <w:noProof/>
          <w:sz w:val="22"/>
          <w:szCs w:val="22"/>
        </w:rPr>
        <w:t xml:space="preserve"> involved in the case right after a minor </w:t>
      </w:r>
      <w:r w:rsidRPr="00AE2F32">
        <w:rPr>
          <w:rFonts w:cs="Times New Roman"/>
          <w:noProof/>
          <w:sz w:val="22"/>
          <w:szCs w:val="22"/>
          <w:lang w:val="en-GB"/>
        </w:rPr>
        <w:t xml:space="preserve">has </w:t>
      </w:r>
      <w:r w:rsidR="007F2F51">
        <w:rPr>
          <w:rFonts w:cs="Times New Roman"/>
          <w:noProof/>
          <w:sz w:val="22"/>
          <w:szCs w:val="22"/>
          <w:lang w:val="en-GB"/>
        </w:rPr>
        <w:t xml:space="preserve">the </w:t>
      </w:r>
      <w:r w:rsidRPr="00AE2F32">
        <w:rPr>
          <w:rFonts w:cs="Times New Roman"/>
          <w:noProof/>
          <w:sz w:val="22"/>
          <w:szCs w:val="22"/>
          <w:lang w:val="en-GB"/>
        </w:rPr>
        <w:t xml:space="preserve">first contact with law enforcement bodies. It is also problematic, that prosecution alone assesses and facilitates </w:t>
      </w:r>
      <w:r w:rsidR="007F2F51">
        <w:rPr>
          <w:rFonts w:cs="Times New Roman"/>
          <w:noProof/>
          <w:sz w:val="22"/>
          <w:szCs w:val="22"/>
          <w:lang w:val="en-GB"/>
        </w:rPr>
        <w:t xml:space="preserve">the </w:t>
      </w:r>
      <w:r w:rsidRPr="00AE2F32">
        <w:rPr>
          <w:rFonts w:cs="Times New Roman"/>
          <w:noProof/>
          <w:sz w:val="22"/>
          <w:szCs w:val="22"/>
          <w:lang w:val="en-GB"/>
        </w:rPr>
        <w:t xml:space="preserve">involvement of </w:t>
      </w:r>
      <w:r w:rsidR="007F2F51">
        <w:rPr>
          <w:rFonts w:cs="Times New Roman"/>
          <w:noProof/>
          <w:sz w:val="22"/>
          <w:szCs w:val="22"/>
          <w:lang w:val="en-GB"/>
        </w:rPr>
        <w:t>psychologists</w:t>
      </w:r>
      <w:r w:rsidRPr="00AE2F32">
        <w:rPr>
          <w:rFonts w:cs="Times New Roman"/>
          <w:noProof/>
          <w:sz w:val="22"/>
          <w:szCs w:val="22"/>
          <w:lang w:val="en-GB"/>
        </w:rPr>
        <w:t xml:space="preserve"> during the investigation. The case of L.S. showed that precisely the prosecution officers caused psychological stress of the minor. </w:t>
      </w:r>
    </w:p>
    <w:p w14:paraId="6593590E" w14:textId="77777777" w:rsidR="006A54B3" w:rsidRDefault="006A54B3" w:rsidP="009A2C7F">
      <w:pPr>
        <w:jc w:val="both"/>
        <w:rPr>
          <w:rFonts w:cs="Times New Roman"/>
          <w:noProof/>
          <w:sz w:val="22"/>
          <w:szCs w:val="22"/>
          <w:lang w:val="ka-GE"/>
        </w:rPr>
      </w:pPr>
    </w:p>
    <w:p w14:paraId="481B88AB" w14:textId="5AA1DA4F" w:rsidR="009A2C7F" w:rsidRPr="006A54B3" w:rsidRDefault="009A2C7F" w:rsidP="009A2C7F">
      <w:pPr>
        <w:jc w:val="both"/>
        <w:rPr>
          <w:rFonts w:cs="Times New Roman"/>
          <w:noProof/>
          <w:sz w:val="22"/>
          <w:szCs w:val="22"/>
          <w:lang w:val="ka-GE"/>
        </w:rPr>
      </w:pPr>
      <w:r w:rsidRPr="00AE2F32">
        <w:rPr>
          <w:rFonts w:cs="Times New Roman"/>
          <w:noProof/>
          <w:sz w:val="22"/>
          <w:szCs w:val="22"/>
          <w:lang w:val="en-GB"/>
        </w:rPr>
        <w:t>L.S. case also showed that insufficient sensitivity of participants in specialized proceedings is a challenge.</w:t>
      </w:r>
      <w:r w:rsidRPr="00AE2F32">
        <w:rPr>
          <w:rStyle w:val="FootnoteReference"/>
          <w:rFonts w:cs="Times New Roman"/>
          <w:noProof/>
          <w:sz w:val="22"/>
          <w:szCs w:val="22"/>
          <w:lang w:val="en-GB"/>
        </w:rPr>
        <w:footnoteReference w:id="36"/>
      </w:r>
      <w:r w:rsidRPr="00AE2F32">
        <w:rPr>
          <w:rFonts w:cs="Times New Roman"/>
          <w:noProof/>
          <w:sz w:val="22"/>
          <w:szCs w:val="22"/>
          <w:lang w:val="en-GB"/>
        </w:rPr>
        <w:t xml:space="preserve"> It is true that investigators</w:t>
      </w:r>
      <w:r w:rsidR="007F2F51">
        <w:rPr>
          <w:rFonts w:cs="Times New Roman"/>
          <w:noProof/>
          <w:sz w:val="22"/>
          <w:szCs w:val="22"/>
          <w:lang w:val="en-GB"/>
        </w:rPr>
        <w:t>,</w:t>
      </w:r>
      <w:r w:rsidRPr="00AE2F32">
        <w:rPr>
          <w:rFonts w:cs="Times New Roman"/>
          <w:noProof/>
          <w:sz w:val="22"/>
          <w:szCs w:val="22"/>
          <w:lang w:val="en-GB"/>
        </w:rPr>
        <w:t xml:space="preserve"> in this case</w:t>
      </w:r>
      <w:r w:rsidR="007F2F51">
        <w:rPr>
          <w:rFonts w:cs="Times New Roman"/>
          <w:noProof/>
          <w:sz w:val="22"/>
          <w:szCs w:val="22"/>
          <w:lang w:val="en-GB"/>
        </w:rPr>
        <w:t>,</w:t>
      </w:r>
      <w:r w:rsidRPr="00AE2F32">
        <w:rPr>
          <w:rFonts w:cs="Times New Roman"/>
          <w:noProof/>
          <w:sz w:val="22"/>
          <w:szCs w:val="22"/>
          <w:lang w:val="en-GB"/>
        </w:rPr>
        <w:t xml:space="preserve"> are specialized in juvenile justice,</w:t>
      </w:r>
      <w:r w:rsidRPr="00AE2F32">
        <w:rPr>
          <w:rStyle w:val="FootnoteReference"/>
          <w:rFonts w:cs="Times New Roman"/>
          <w:noProof/>
          <w:sz w:val="22"/>
          <w:szCs w:val="22"/>
          <w:lang w:val="en-GB"/>
        </w:rPr>
        <w:footnoteReference w:id="37"/>
      </w:r>
      <w:r w:rsidRPr="00AE2F32">
        <w:rPr>
          <w:rFonts w:cs="Times New Roman"/>
          <w:noProof/>
          <w:sz w:val="22"/>
          <w:szCs w:val="22"/>
          <w:lang w:val="en-GB"/>
        </w:rPr>
        <w:t xml:space="preserve"> however, mere specialization does not verify a person’s qualification or sensitivity towards the issue.</w:t>
      </w:r>
      <w:r w:rsidRPr="00AE2F32">
        <w:rPr>
          <w:rStyle w:val="FootnoteReference"/>
          <w:rFonts w:cs="Times New Roman"/>
          <w:noProof/>
          <w:sz w:val="22"/>
          <w:szCs w:val="22"/>
          <w:lang w:val="en-GB"/>
        </w:rPr>
        <w:t xml:space="preserve"> </w:t>
      </w:r>
      <w:r w:rsidRPr="00AE2F32">
        <w:rPr>
          <w:rStyle w:val="FootnoteReference"/>
          <w:rFonts w:cs="Times New Roman"/>
          <w:noProof/>
          <w:sz w:val="22"/>
          <w:szCs w:val="22"/>
          <w:lang w:val="en-GB"/>
        </w:rPr>
        <w:footnoteReference w:id="38"/>
      </w:r>
      <w:r w:rsidRPr="00AE2F32">
        <w:rPr>
          <w:rFonts w:cs="Times New Roman"/>
          <w:noProof/>
          <w:sz w:val="22"/>
          <w:szCs w:val="22"/>
          <w:lang w:val="en-GB"/>
        </w:rPr>
        <w:t xml:space="preserve">  </w:t>
      </w:r>
    </w:p>
    <w:p w14:paraId="15FC797E" w14:textId="77777777" w:rsidR="009A2C7F" w:rsidRPr="00AE2F32" w:rsidRDefault="009A2C7F" w:rsidP="009A2C7F">
      <w:pPr>
        <w:jc w:val="both"/>
        <w:rPr>
          <w:rFonts w:cs="Times New Roman"/>
          <w:noProof/>
          <w:sz w:val="22"/>
          <w:szCs w:val="22"/>
          <w:lang w:val="en-GB"/>
        </w:rPr>
      </w:pPr>
    </w:p>
    <w:p w14:paraId="16294052" w14:textId="27698B48" w:rsidR="009A2C7F" w:rsidRPr="00AE2F32" w:rsidRDefault="009A2C7F" w:rsidP="009A2C7F">
      <w:pPr>
        <w:shd w:val="clear" w:color="auto" w:fill="C9C9C9" w:themeFill="accent3" w:themeFillTint="99"/>
        <w:jc w:val="both"/>
        <w:rPr>
          <w:rFonts w:cs="Times New Roman"/>
          <w:b/>
          <w:iCs/>
          <w:noProof/>
          <w:sz w:val="22"/>
          <w:szCs w:val="22"/>
          <w:lang w:val="en-GB"/>
        </w:rPr>
      </w:pPr>
      <w:r w:rsidRPr="00AE2F32">
        <w:rPr>
          <w:rFonts w:cs="Times New Roman"/>
          <w:b/>
          <w:iCs/>
          <w:noProof/>
          <w:sz w:val="22"/>
          <w:szCs w:val="22"/>
          <w:lang w:val="en-GB"/>
        </w:rPr>
        <w:t>Recommendations:</w:t>
      </w:r>
    </w:p>
    <w:p w14:paraId="47954428" w14:textId="2EF79590" w:rsidR="009A2C7F" w:rsidRPr="00AE2F32" w:rsidRDefault="009A2C7F" w:rsidP="009A2C7F">
      <w:pPr>
        <w:pStyle w:val="ListParagraph"/>
        <w:numPr>
          <w:ilvl w:val="0"/>
          <w:numId w:val="18"/>
        </w:numPr>
        <w:shd w:val="clear" w:color="auto" w:fill="C9C9C9" w:themeFill="accent3" w:themeFillTint="99"/>
        <w:jc w:val="both"/>
        <w:rPr>
          <w:rFonts w:cs="Times New Roman"/>
          <w:noProof/>
          <w:sz w:val="22"/>
          <w:szCs w:val="22"/>
          <w:lang w:val="en-GB"/>
        </w:rPr>
      </w:pPr>
      <w:r w:rsidRPr="00AE2F32">
        <w:rPr>
          <w:rFonts w:cs="Times New Roman"/>
          <w:noProof/>
          <w:sz w:val="22"/>
          <w:szCs w:val="22"/>
          <w:lang w:val="en-GB"/>
        </w:rPr>
        <w:t xml:space="preserve">Timely </w:t>
      </w:r>
      <w:r w:rsidR="000642CC">
        <w:rPr>
          <w:rFonts w:cs="Times New Roman"/>
          <w:noProof/>
          <w:sz w:val="22"/>
          <w:szCs w:val="22"/>
          <w:lang w:val="en-GB"/>
        </w:rPr>
        <w:t>adopt</w:t>
      </w:r>
      <w:r w:rsidRPr="00AE2F32">
        <w:rPr>
          <w:rFonts w:cs="Times New Roman"/>
          <w:noProof/>
          <w:sz w:val="22"/>
          <w:szCs w:val="22"/>
          <w:lang w:val="en-GB"/>
        </w:rPr>
        <w:t xml:space="preserve"> legislative changes, according to which </w:t>
      </w:r>
      <w:r w:rsidR="007F2F51">
        <w:rPr>
          <w:rFonts w:cs="Times New Roman"/>
          <w:noProof/>
          <w:sz w:val="22"/>
          <w:szCs w:val="22"/>
          <w:lang w:val="en-GB"/>
        </w:rPr>
        <w:t>participation</w:t>
      </w:r>
      <w:r w:rsidRPr="00AE2F32">
        <w:rPr>
          <w:rFonts w:cs="Times New Roman"/>
          <w:noProof/>
          <w:sz w:val="22"/>
          <w:szCs w:val="22"/>
          <w:lang w:val="en-GB"/>
        </w:rPr>
        <w:t xml:space="preserve"> of a counsel in all interviewing/interrogation procedures of a minor will be mandatory. </w:t>
      </w:r>
    </w:p>
    <w:p w14:paraId="44649F7A" w14:textId="6334830B" w:rsidR="009A2C7F" w:rsidRPr="00AE2F32" w:rsidRDefault="000642CC" w:rsidP="009A2C7F">
      <w:pPr>
        <w:pStyle w:val="ListParagraph"/>
        <w:numPr>
          <w:ilvl w:val="0"/>
          <w:numId w:val="18"/>
        </w:numPr>
        <w:shd w:val="clear" w:color="auto" w:fill="C9C9C9" w:themeFill="accent3" w:themeFillTint="99"/>
        <w:jc w:val="both"/>
        <w:rPr>
          <w:rFonts w:cs="Times New Roman"/>
          <w:noProof/>
          <w:sz w:val="22"/>
          <w:szCs w:val="22"/>
          <w:lang w:val="en-GB"/>
        </w:rPr>
      </w:pPr>
      <w:r>
        <w:rPr>
          <w:rFonts w:cs="Times New Roman"/>
          <w:noProof/>
          <w:sz w:val="22"/>
          <w:szCs w:val="22"/>
          <w:lang w:val="en-GB"/>
        </w:rPr>
        <w:t xml:space="preserve">Ensure effective </w:t>
      </w:r>
      <w:r w:rsidR="007F2F51">
        <w:rPr>
          <w:rFonts w:cs="Times New Roman"/>
          <w:noProof/>
          <w:sz w:val="22"/>
          <w:szCs w:val="22"/>
          <w:lang w:val="en-GB"/>
        </w:rPr>
        <w:t>control</w:t>
      </w:r>
      <w:r>
        <w:rPr>
          <w:rFonts w:cs="Times New Roman"/>
          <w:noProof/>
          <w:sz w:val="22"/>
          <w:szCs w:val="22"/>
          <w:lang w:val="en-GB"/>
        </w:rPr>
        <w:t xml:space="preserve"> of </w:t>
      </w:r>
      <w:r w:rsidR="009A2C7F" w:rsidRPr="00AE2F32">
        <w:rPr>
          <w:rFonts w:cs="Times New Roman"/>
          <w:noProof/>
          <w:sz w:val="22"/>
          <w:szCs w:val="22"/>
          <w:lang w:val="en-GB"/>
        </w:rPr>
        <w:t xml:space="preserve">Juvenile Justice Code </w:t>
      </w:r>
      <w:r>
        <w:rPr>
          <w:rFonts w:cs="Times New Roman"/>
          <w:noProof/>
          <w:sz w:val="22"/>
          <w:szCs w:val="22"/>
          <w:lang w:val="en-GB"/>
        </w:rPr>
        <w:t xml:space="preserve">implementation. </w:t>
      </w:r>
    </w:p>
    <w:p w14:paraId="6346E934" w14:textId="08C8D153" w:rsidR="009A2C7F" w:rsidRPr="00AE2F32" w:rsidRDefault="000642CC" w:rsidP="009A2C7F">
      <w:pPr>
        <w:pStyle w:val="ListParagraph"/>
        <w:numPr>
          <w:ilvl w:val="0"/>
          <w:numId w:val="18"/>
        </w:numPr>
        <w:shd w:val="clear" w:color="auto" w:fill="C9C9C9" w:themeFill="accent3" w:themeFillTint="99"/>
        <w:jc w:val="both"/>
        <w:rPr>
          <w:rFonts w:cs="Times New Roman"/>
          <w:noProof/>
          <w:sz w:val="22"/>
          <w:szCs w:val="22"/>
          <w:lang w:val="en-GB"/>
        </w:rPr>
      </w:pPr>
      <w:r>
        <w:rPr>
          <w:rFonts w:cs="Times New Roman"/>
          <w:noProof/>
          <w:sz w:val="22"/>
          <w:szCs w:val="22"/>
          <w:lang w:val="en-GB"/>
        </w:rPr>
        <w:t>Enhance</w:t>
      </w:r>
      <w:r w:rsidR="009A2C7F" w:rsidRPr="00AE2F32">
        <w:rPr>
          <w:rFonts w:cs="Times New Roman"/>
          <w:noProof/>
          <w:sz w:val="22"/>
          <w:szCs w:val="22"/>
          <w:lang w:val="en-GB"/>
        </w:rPr>
        <w:t xml:space="preserve"> specialization standard for persons involved in juvenile justice proceedings and regular</w:t>
      </w:r>
      <w:r w:rsidR="00D658D6">
        <w:rPr>
          <w:rFonts w:cs="Times New Roman"/>
          <w:noProof/>
          <w:sz w:val="22"/>
          <w:szCs w:val="22"/>
          <w:lang w:val="en-GB"/>
        </w:rPr>
        <w:t>ly train</w:t>
      </w:r>
      <w:r w:rsidR="009A2C7F" w:rsidRPr="00AE2F32">
        <w:rPr>
          <w:rFonts w:cs="Times New Roman"/>
          <w:noProof/>
          <w:sz w:val="22"/>
          <w:szCs w:val="22"/>
          <w:lang w:val="en-GB"/>
        </w:rPr>
        <w:t xml:space="preserve">, so that </w:t>
      </w:r>
      <w:r w:rsidR="00D658D6">
        <w:rPr>
          <w:rFonts w:cs="Times New Roman"/>
          <w:noProof/>
          <w:sz w:val="22"/>
          <w:szCs w:val="22"/>
          <w:lang w:val="en-GB"/>
        </w:rPr>
        <w:t xml:space="preserve">their </w:t>
      </w:r>
      <w:r w:rsidR="009A2C7F" w:rsidRPr="00AE2F32">
        <w:rPr>
          <w:rFonts w:cs="Times New Roman"/>
          <w:noProof/>
          <w:sz w:val="22"/>
          <w:szCs w:val="22"/>
          <w:lang w:val="en-GB"/>
        </w:rPr>
        <w:t xml:space="preserve">sensitivity is increased. </w:t>
      </w:r>
    </w:p>
    <w:p w14:paraId="1D38BD8B" w14:textId="77777777" w:rsidR="00087FE3" w:rsidRPr="00AE2F32" w:rsidRDefault="00087FE3" w:rsidP="00EB1CFE">
      <w:pPr>
        <w:textAlignment w:val="baseline"/>
        <w:rPr>
          <w:rFonts w:eastAsia="Times New Roman" w:cs="Times New Roman"/>
          <w:color w:val="4A86E8"/>
          <w:sz w:val="22"/>
          <w:szCs w:val="22"/>
          <w:highlight w:val="yellow"/>
          <w:lang w:val="en-GB"/>
        </w:rPr>
      </w:pPr>
    </w:p>
    <w:p w14:paraId="63E2E182" w14:textId="70115866" w:rsidR="009A2C7F" w:rsidRPr="00AE2F32" w:rsidRDefault="009A2C7F" w:rsidP="009A2C7F">
      <w:pPr>
        <w:pStyle w:val="Heading2"/>
        <w:numPr>
          <w:ilvl w:val="0"/>
          <w:numId w:val="14"/>
        </w:numPr>
        <w:spacing w:before="0"/>
        <w:jc w:val="both"/>
        <w:rPr>
          <w:rFonts w:asciiTheme="minorHAnsi" w:hAnsiTheme="minorHAnsi" w:cs="Times New Roman"/>
          <w:noProof/>
          <w:sz w:val="22"/>
          <w:szCs w:val="22"/>
          <w:lang w:val="en-GB"/>
        </w:rPr>
      </w:pPr>
      <w:bookmarkStart w:id="19" w:name="_Toc48038296"/>
      <w:bookmarkStart w:id="20" w:name="_Toc48565934"/>
      <w:r w:rsidRPr="00AE2F32">
        <w:rPr>
          <w:rFonts w:asciiTheme="minorHAnsi" w:hAnsiTheme="minorHAnsi" w:cs="Times New Roman"/>
          <w:noProof/>
          <w:sz w:val="22"/>
          <w:szCs w:val="22"/>
        </w:rPr>
        <w:t>Internally Displaced Persons</w:t>
      </w:r>
      <w:r w:rsidR="00AC7ACF">
        <w:rPr>
          <w:rFonts w:asciiTheme="minorHAnsi" w:hAnsiTheme="minorHAnsi" w:cs="Times New Roman"/>
          <w:noProof/>
          <w:sz w:val="22"/>
          <w:szCs w:val="22"/>
          <w:lang w:val="ka-GE"/>
        </w:rPr>
        <w:t xml:space="preserve"> (</w:t>
      </w:r>
      <w:r w:rsidR="00AC7ACF">
        <w:rPr>
          <w:rFonts w:asciiTheme="minorHAnsi" w:hAnsiTheme="minorHAnsi" w:cs="Times New Roman"/>
          <w:noProof/>
          <w:sz w:val="22"/>
          <w:szCs w:val="22"/>
        </w:rPr>
        <w:t>IDPs)</w:t>
      </w:r>
      <w:r w:rsidRPr="00AE2F32">
        <w:rPr>
          <w:rFonts w:asciiTheme="minorHAnsi" w:hAnsiTheme="minorHAnsi" w:cs="Times New Roman"/>
          <w:noProof/>
          <w:sz w:val="22"/>
          <w:szCs w:val="22"/>
        </w:rPr>
        <w:t xml:space="preserve"> </w:t>
      </w:r>
      <w:r w:rsidRPr="00AE2F32">
        <w:rPr>
          <w:rFonts w:asciiTheme="minorHAnsi" w:hAnsiTheme="minorHAnsi" w:cs="Times New Roman"/>
          <w:noProof/>
          <w:sz w:val="22"/>
          <w:szCs w:val="22"/>
          <w:lang w:val="en-GB"/>
        </w:rPr>
        <w:t xml:space="preserve"> (Paragraph 17 of Committee recommendation)</w:t>
      </w:r>
      <w:bookmarkEnd w:id="19"/>
      <w:bookmarkEnd w:id="20"/>
    </w:p>
    <w:p w14:paraId="11F2222E" w14:textId="77777777" w:rsidR="009A2C7F" w:rsidRPr="00AE2F32" w:rsidRDefault="009A2C7F" w:rsidP="009A2C7F">
      <w:pPr>
        <w:jc w:val="both"/>
        <w:textAlignment w:val="baseline"/>
        <w:rPr>
          <w:rFonts w:eastAsia="Times New Roman" w:cs="Times New Roman"/>
          <w:noProof/>
          <w:color w:val="4A86E8"/>
          <w:sz w:val="22"/>
          <w:szCs w:val="22"/>
          <w:lang w:val="en-GB"/>
        </w:rPr>
      </w:pPr>
    </w:p>
    <w:p w14:paraId="110D37B8" w14:textId="4D6E26EC" w:rsidR="009A2C7F" w:rsidRPr="00AC7ACF" w:rsidRDefault="009A2C7F" w:rsidP="009A2C7F">
      <w:pPr>
        <w:jc w:val="both"/>
        <w:rPr>
          <w:rFonts w:eastAsia="Times New Roman" w:cs="Times New Roman"/>
          <w:noProof/>
          <w:sz w:val="22"/>
          <w:szCs w:val="22"/>
        </w:rPr>
      </w:pPr>
      <w:r w:rsidRPr="00AE2F32">
        <w:rPr>
          <w:rFonts w:eastAsia="Times New Roman" w:cs="Times New Roman"/>
          <w:noProof/>
          <w:sz w:val="22"/>
          <w:szCs w:val="22"/>
          <w:lang w:val="en-GB"/>
        </w:rPr>
        <w:t xml:space="preserve">Adequate housing of </w:t>
      </w:r>
      <w:r w:rsidR="00AC7ACF">
        <w:rPr>
          <w:rFonts w:eastAsia="Times New Roman" w:cs="Times New Roman"/>
          <w:noProof/>
          <w:sz w:val="22"/>
          <w:szCs w:val="22"/>
          <w:lang w:val="en-GB"/>
        </w:rPr>
        <w:t>IDPs</w:t>
      </w:r>
      <w:r w:rsidRPr="00AE2F32">
        <w:rPr>
          <w:rFonts w:eastAsia="Times New Roman" w:cs="Times New Roman"/>
          <w:noProof/>
          <w:sz w:val="22"/>
          <w:szCs w:val="22"/>
          <w:lang w:val="en-GB"/>
        </w:rPr>
        <w:t xml:space="preserve"> remains </w:t>
      </w:r>
      <w:r w:rsidR="00AC7ACF">
        <w:rPr>
          <w:rFonts w:eastAsia="Times New Roman" w:cs="Times New Roman"/>
          <w:noProof/>
          <w:sz w:val="22"/>
          <w:szCs w:val="22"/>
          <w:lang w:val="en-GB"/>
        </w:rPr>
        <w:t>challenging</w:t>
      </w:r>
      <w:r w:rsidRPr="00AE2F32">
        <w:rPr>
          <w:rFonts w:eastAsia="Times New Roman" w:cs="Times New Roman"/>
          <w:noProof/>
          <w:sz w:val="22"/>
          <w:szCs w:val="22"/>
          <w:lang w:val="en-GB"/>
        </w:rPr>
        <w:t>. By 2020, out of 90 861 families (more than 282 000 IDPs) 41 263 had been provided with long-term housing.</w:t>
      </w:r>
      <w:r w:rsidRPr="00AE2F32">
        <w:rPr>
          <w:rStyle w:val="FootnoteReference"/>
          <w:rFonts w:eastAsia="Times New Roman" w:cs="Times New Roman"/>
          <w:noProof/>
          <w:sz w:val="22"/>
          <w:szCs w:val="22"/>
          <w:lang w:val="en-GB"/>
        </w:rPr>
        <w:t xml:space="preserve"> </w:t>
      </w:r>
      <w:r w:rsidRPr="00AE2F32">
        <w:rPr>
          <w:rStyle w:val="FootnoteReference"/>
          <w:rFonts w:eastAsia="Times New Roman" w:cs="Times New Roman"/>
          <w:noProof/>
          <w:sz w:val="22"/>
          <w:szCs w:val="22"/>
          <w:lang w:val="en-GB"/>
        </w:rPr>
        <w:footnoteReference w:id="39"/>
      </w:r>
      <w:r w:rsidRPr="00AE2F32">
        <w:rPr>
          <w:rFonts w:eastAsia="Times New Roman" w:cs="Times New Roman"/>
          <w:noProof/>
          <w:sz w:val="22"/>
          <w:szCs w:val="22"/>
          <w:lang w:val="en-GB"/>
        </w:rPr>
        <w:t xml:space="preserve">  In turn, certain </w:t>
      </w:r>
      <w:r w:rsidRPr="00AE2F32">
        <w:rPr>
          <w:rFonts w:eastAsia="Times New Roman" w:cs="Times New Roman"/>
          <w:noProof/>
          <w:sz w:val="22"/>
          <w:szCs w:val="22"/>
        </w:rPr>
        <w:t>places</w:t>
      </w:r>
      <w:r w:rsidRPr="00AE2F32">
        <w:rPr>
          <w:rFonts w:eastAsia="Times New Roman" w:cs="Times New Roman"/>
          <w:noProof/>
          <w:sz w:val="22"/>
          <w:szCs w:val="22"/>
          <w:lang w:val="en-GB"/>
        </w:rPr>
        <w:t xml:space="preserve">, </w:t>
      </w:r>
      <w:r w:rsidR="00AC7ACF">
        <w:rPr>
          <w:rFonts w:eastAsia="Times New Roman" w:cs="Times New Roman"/>
          <w:noProof/>
          <w:sz w:val="22"/>
          <w:szCs w:val="22"/>
          <w:lang w:val="en-GB"/>
        </w:rPr>
        <w:t>where</w:t>
      </w:r>
      <w:r w:rsidRPr="00AE2F32">
        <w:rPr>
          <w:rFonts w:eastAsia="Times New Roman" w:cs="Times New Roman"/>
          <w:noProof/>
          <w:sz w:val="22"/>
          <w:szCs w:val="22"/>
          <w:lang w:val="en-GB"/>
        </w:rPr>
        <w:t xml:space="preserve"> IDPs were settled, </w:t>
      </w:r>
      <w:r w:rsidR="00AC7ACF">
        <w:rPr>
          <w:rFonts w:eastAsia="Times New Roman" w:cs="Times New Roman"/>
          <w:noProof/>
          <w:sz w:val="22"/>
          <w:szCs w:val="22"/>
          <w:lang w:val="en-GB"/>
        </w:rPr>
        <w:t>do</w:t>
      </w:r>
      <w:r w:rsidRPr="00AE2F32">
        <w:rPr>
          <w:rFonts w:eastAsia="Times New Roman" w:cs="Times New Roman"/>
          <w:noProof/>
          <w:sz w:val="22"/>
          <w:szCs w:val="22"/>
          <w:lang w:val="en-GB"/>
        </w:rPr>
        <w:t xml:space="preserve"> not correspond with minimal standards of adequate housing. Existing social-economic circumstances pose </w:t>
      </w:r>
      <w:r w:rsidR="007F2F51">
        <w:rPr>
          <w:rFonts w:eastAsia="Times New Roman" w:cs="Times New Roman"/>
          <w:noProof/>
          <w:sz w:val="22"/>
          <w:szCs w:val="22"/>
          <w:lang w:val="en-GB"/>
        </w:rPr>
        <w:t xml:space="preserve">significant obstacles </w:t>
      </w:r>
      <w:r w:rsidR="00AC7ACF">
        <w:rPr>
          <w:rFonts w:eastAsia="Times New Roman" w:cs="Times New Roman"/>
          <w:noProof/>
          <w:sz w:val="22"/>
          <w:szCs w:val="22"/>
          <w:lang w:val="en-GB"/>
        </w:rPr>
        <w:t xml:space="preserve">for </w:t>
      </w:r>
      <w:r w:rsidRPr="00AE2F32">
        <w:rPr>
          <w:rFonts w:eastAsia="Times New Roman" w:cs="Times New Roman"/>
          <w:noProof/>
          <w:sz w:val="22"/>
          <w:szCs w:val="22"/>
          <w:lang w:val="en-GB"/>
        </w:rPr>
        <w:t>access</w:t>
      </w:r>
      <w:r w:rsidR="00AC7ACF">
        <w:rPr>
          <w:rFonts w:eastAsia="Times New Roman" w:cs="Times New Roman"/>
          <w:noProof/>
          <w:sz w:val="22"/>
          <w:szCs w:val="22"/>
          <w:lang w:val="en-GB"/>
        </w:rPr>
        <w:t xml:space="preserve"> to</w:t>
      </w:r>
      <w:r w:rsidRPr="00AE2F32">
        <w:rPr>
          <w:rFonts w:eastAsia="Times New Roman" w:cs="Times New Roman"/>
          <w:noProof/>
          <w:sz w:val="22"/>
          <w:szCs w:val="22"/>
          <w:lang w:val="en-GB"/>
        </w:rPr>
        <w:t xml:space="preserve"> medical services, </w:t>
      </w:r>
      <w:r w:rsidR="007F2F51">
        <w:rPr>
          <w:rFonts w:eastAsia="Times New Roman" w:cs="Times New Roman"/>
          <w:noProof/>
          <w:sz w:val="22"/>
          <w:szCs w:val="22"/>
          <w:lang w:val="en-GB"/>
        </w:rPr>
        <w:t xml:space="preserve">the </w:t>
      </w:r>
      <w:r w:rsidRPr="00AE2F32">
        <w:rPr>
          <w:rFonts w:eastAsia="Times New Roman" w:cs="Times New Roman"/>
          <w:noProof/>
          <w:sz w:val="22"/>
          <w:szCs w:val="22"/>
          <w:lang w:val="en-GB"/>
        </w:rPr>
        <w:t>realization of the right to education, accessing subsistence resources</w:t>
      </w:r>
      <w:r w:rsidR="007F2F51">
        <w:rPr>
          <w:rFonts w:eastAsia="Times New Roman" w:cs="Times New Roman"/>
          <w:noProof/>
          <w:sz w:val="22"/>
          <w:szCs w:val="22"/>
          <w:lang w:val="en-GB"/>
        </w:rPr>
        <w:t>,</w:t>
      </w:r>
      <w:r w:rsidRPr="00AE2F32">
        <w:rPr>
          <w:rFonts w:eastAsia="Times New Roman" w:cs="Times New Roman"/>
          <w:noProof/>
          <w:sz w:val="22"/>
          <w:szCs w:val="22"/>
          <w:lang w:val="en-GB"/>
        </w:rPr>
        <w:t xml:space="preserve"> and employment.</w:t>
      </w:r>
      <w:r w:rsidRPr="00AE2F32">
        <w:rPr>
          <w:rStyle w:val="FootnoteReference"/>
          <w:rFonts w:eastAsia="Times New Roman" w:cs="Times New Roman"/>
          <w:noProof/>
          <w:sz w:val="22"/>
          <w:szCs w:val="22"/>
          <w:lang w:val="en-GB"/>
        </w:rPr>
        <w:t xml:space="preserve"> </w:t>
      </w:r>
      <w:r w:rsidRPr="00AE2F32">
        <w:rPr>
          <w:rStyle w:val="FootnoteReference"/>
          <w:rFonts w:eastAsia="Times New Roman" w:cs="Times New Roman"/>
          <w:noProof/>
          <w:sz w:val="22"/>
          <w:szCs w:val="22"/>
          <w:lang w:val="en-GB"/>
        </w:rPr>
        <w:footnoteReference w:id="40"/>
      </w:r>
      <w:r w:rsidRPr="00AE2F32">
        <w:rPr>
          <w:rFonts w:eastAsia="Times New Roman" w:cs="Times New Roman"/>
          <w:noProof/>
          <w:sz w:val="22"/>
          <w:szCs w:val="22"/>
          <w:lang w:val="en-GB"/>
        </w:rPr>
        <w:t xml:space="preserve"> Despite existing harsh conditions, services offered by the state </w:t>
      </w:r>
      <w:r w:rsidR="007F2F51">
        <w:rPr>
          <w:rFonts w:eastAsia="Times New Roman" w:cs="Times New Roman"/>
          <w:noProof/>
          <w:sz w:val="22"/>
          <w:szCs w:val="22"/>
          <w:lang w:val="en-GB"/>
        </w:rPr>
        <w:t>are</w:t>
      </w:r>
      <w:r w:rsidRPr="00AE2F32">
        <w:rPr>
          <w:rFonts w:eastAsia="Times New Roman" w:cs="Times New Roman"/>
          <w:noProof/>
          <w:sz w:val="22"/>
          <w:szCs w:val="22"/>
          <w:lang w:val="en-GB"/>
        </w:rPr>
        <w:t xml:space="preserve"> not sufficient for </w:t>
      </w:r>
      <w:r w:rsidR="007F2F51">
        <w:rPr>
          <w:rFonts w:eastAsia="Times New Roman" w:cs="Times New Roman"/>
          <w:noProof/>
          <w:sz w:val="22"/>
          <w:szCs w:val="22"/>
          <w:lang w:val="en-GB"/>
        </w:rPr>
        <w:t xml:space="preserve">the </w:t>
      </w:r>
      <w:r w:rsidRPr="00AE2F32">
        <w:rPr>
          <w:rFonts w:eastAsia="Times New Roman" w:cs="Times New Roman"/>
          <w:noProof/>
          <w:sz w:val="22"/>
          <w:szCs w:val="22"/>
          <w:lang w:val="en-GB"/>
        </w:rPr>
        <w:t xml:space="preserve">improvement of their circumstances. Accordingly, IDPs are left without </w:t>
      </w:r>
      <w:r w:rsidR="007F2F51">
        <w:rPr>
          <w:rFonts w:eastAsia="Times New Roman" w:cs="Times New Roman"/>
          <w:noProof/>
          <w:sz w:val="22"/>
          <w:szCs w:val="22"/>
          <w:lang w:val="en-GB"/>
        </w:rPr>
        <w:t xml:space="preserve">the </w:t>
      </w:r>
      <w:r w:rsidRPr="00AE2F32">
        <w:rPr>
          <w:rFonts w:eastAsia="Times New Roman" w:cs="Times New Roman"/>
          <w:noProof/>
          <w:sz w:val="22"/>
          <w:szCs w:val="22"/>
          <w:lang w:val="en-GB"/>
        </w:rPr>
        <w:t xml:space="preserve">adequate and effective support of the state. </w:t>
      </w:r>
    </w:p>
    <w:p w14:paraId="431F3987" w14:textId="77777777" w:rsidR="009A2C7F" w:rsidRPr="00AE2F32" w:rsidRDefault="009A2C7F" w:rsidP="009A2C7F">
      <w:pPr>
        <w:jc w:val="both"/>
        <w:rPr>
          <w:rFonts w:eastAsia="Times New Roman" w:cs="Times New Roman"/>
          <w:iCs/>
          <w:noProof/>
          <w:sz w:val="22"/>
          <w:szCs w:val="22"/>
          <w:lang w:val="en-GB"/>
        </w:rPr>
      </w:pPr>
    </w:p>
    <w:p w14:paraId="262B5BA1" w14:textId="1711228C" w:rsidR="009A2C7F" w:rsidRPr="00AE2F32" w:rsidRDefault="009A2C7F" w:rsidP="009A2C7F">
      <w:pPr>
        <w:shd w:val="clear" w:color="auto" w:fill="C9C9C9" w:themeFill="accent3" w:themeFillTint="99"/>
        <w:jc w:val="both"/>
        <w:rPr>
          <w:rFonts w:eastAsia="Times New Roman" w:cs="Times New Roman"/>
          <w:b/>
          <w:bCs/>
          <w:iCs/>
          <w:noProof/>
          <w:sz w:val="22"/>
          <w:szCs w:val="22"/>
          <w:lang w:val="en-GB"/>
        </w:rPr>
      </w:pPr>
      <w:r w:rsidRPr="00AE2F32">
        <w:rPr>
          <w:rFonts w:eastAsia="Times New Roman" w:cs="Times New Roman"/>
          <w:b/>
          <w:bCs/>
          <w:iCs/>
          <w:noProof/>
          <w:sz w:val="22"/>
          <w:szCs w:val="22"/>
          <w:lang w:val="en-GB"/>
        </w:rPr>
        <w:t>Recommendations:</w:t>
      </w:r>
    </w:p>
    <w:p w14:paraId="6866FD1D" w14:textId="456914A5" w:rsidR="009A2C7F" w:rsidRPr="00AE2F32" w:rsidRDefault="00D658D6" w:rsidP="009A2C7F">
      <w:pPr>
        <w:pStyle w:val="ListParagraph"/>
        <w:numPr>
          <w:ilvl w:val="0"/>
          <w:numId w:val="12"/>
        </w:numPr>
        <w:shd w:val="clear" w:color="auto" w:fill="C9C9C9" w:themeFill="accent3" w:themeFillTint="99"/>
        <w:jc w:val="both"/>
        <w:rPr>
          <w:rFonts w:eastAsia="Times New Roman" w:cs="Times New Roman"/>
          <w:noProof/>
          <w:sz w:val="22"/>
          <w:szCs w:val="22"/>
          <w:lang w:val="en-GB"/>
        </w:rPr>
      </w:pPr>
      <w:r>
        <w:rPr>
          <w:rFonts w:eastAsia="Times New Roman" w:cs="Times New Roman"/>
          <w:noProof/>
          <w:sz w:val="22"/>
          <w:szCs w:val="22"/>
          <w:lang w:val="en-GB"/>
        </w:rPr>
        <w:t>Strengthen</w:t>
      </w:r>
      <w:r w:rsidR="009A2C7F" w:rsidRPr="00AE2F32">
        <w:rPr>
          <w:rFonts w:eastAsia="Times New Roman" w:cs="Times New Roman"/>
          <w:noProof/>
          <w:sz w:val="22"/>
          <w:szCs w:val="22"/>
          <w:lang w:val="en-GB"/>
        </w:rPr>
        <w:t xml:space="preserve"> efforts </w:t>
      </w:r>
      <w:r w:rsidR="00AC7ACF">
        <w:rPr>
          <w:rFonts w:eastAsia="Times New Roman" w:cs="Times New Roman"/>
          <w:noProof/>
          <w:sz w:val="22"/>
          <w:szCs w:val="22"/>
          <w:lang w:val="en-GB"/>
        </w:rPr>
        <w:t>to</w:t>
      </w:r>
      <w:r w:rsidR="00AC7ACF" w:rsidRPr="00AE2F32">
        <w:rPr>
          <w:rFonts w:eastAsia="Times New Roman" w:cs="Times New Roman"/>
          <w:noProof/>
          <w:sz w:val="22"/>
          <w:szCs w:val="22"/>
          <w:lang w:val="en-GB"/>
        </w:rPr>
        <w:t xml:space="preserve"> </w:t>
      </w:r>
      <w:r w:rsidR="009A2C7F" w:rsidRPr="00AE2F32">
        <w:rPr>
          <w:rFonts w:eastAsia="Times New Roman" w:cs="Times New Roman"/>
          <w:noProof/>
          <w:sz w:val="22"/>
          <w:szCs w:val="22"/>
          <w:lang w:val="en-GB"/>
        </w:rPr>
        <w:t>improv</w:t>
      </w:r>
      <w:r w:rsidR="00AC7ACF">
        <w:rPr>
          <w:rFonts w:eastAsia="Times New Roman" w:cs="Times New Roman"/>
          <w:noProof/>
          <w:sz w:val="22"/>
          <w:szCs w:val="22"/>
          <w:lang w:val="en-GB"/>
        </w:rPr>
        <w:t>e</w:t>
      </w:r>
      <w:r w:rsidR="009A2C7F" w:rsidRPr="00AE2F32">
        <w:rPr>
          <w:rFonts w:eastAsia="Times New Roman" w:cs="Times New Roman"/>
          <w:noProof/>
          <w:sz w:val="22"/>
          <w:szCs w:val="22"/>
          <w:lang w:val="en-GB"/>
        </w:rPr>
        <w:t xml:space="preserve"> </w:t>
      </w:r>
      <w:r w:rsidR="007F2F51">
        <w:rPr>
          <w:rFonts w:eastAsia="Times New Roman" w:cs="Times New Roman"/>
          <w:noProof/>
          <w:sz w:val="22"/>
          <w:szCs w:val="22"/>
          <w:lang w:val="en-GB"/>
        </w:rPr>
        <w:t xml:space="preserve">the </w:t>
      </w:r>
      <w:r w:rsidR="009A2C7F" w:rsidRPr="00AE2F32">
        <w:rPr>
          <w:rFonts w:eastAsia="Times New Roman" w:cs="Times New Roman"/>
          <w:noProof/>
          <w:sz w:val="22"/>
          <w:szCs w:val="22"/>
          <w:lang w:val="en-GB"/>
        </w:rPr>
        <w:t xml:space="preserve">socio-economic circumstances of IDPs and </w:t>
      </w:r>
      <w:r>
        <w:rPr>
          <w:rFonts w:eastAsia="Times New Roman" w:cs="Times New Roman"/>
          <w:noProof/>
          <w:sz w:val="22"/>
          <w:szCs w:val="22"/>
          <w:lang w:val="en-GB"/>
        </w:rPr>
        <w:t>ensure</w:t>
      </w:r>
      <w:r w:rsidRPr="00AE2F32">
        <w:rPr>
          <w:rFonts w:eastAsia="Times New Roman" w:cs="Times New Roman"/>
          <w:noProof/>
          <w:sz w:val="22"/>
          <w:szCs w:val="22"/>
          <w:lang w:val="en-GB"/>
        </w:rPr>
        <w:t xml:space="preserve"> </w:t>
      </w:r>
      <w:r w:rsidR="009A2C7F" w:rsidRPr="00AE2F32">
        <w:rPr>
          <w:rFonts w:eastAsia="Times New Roman" w:cs="Times New Roman"/>
          <w:noProof/>
          <w:sz w:val="22"/>
          <w:szCs w:val="22"/>
          <w:lang w:val="en-GB"/>
        </w:rPr>
        <w:t xml:space="preserve">their integration. </w:t>
      </w:r>
    </w:p>
    <w:p w14:paraId="52092244" w14:textId="77777777" w:rsidR="009A2C7F" w:rsidRPr="00AE2F32" w:rsidRDefault="009A2C7F" w:rsidP="00256F01">
      <w:pPr>
        <w:jc w:val="both"/>
        <w:rPr>
          <w:rFonts w:cs="Times New Roman"/>
          <w:b/>
          <w:bCs/>
          <w:noProof/>
          <w:sz w:val="22"/>
          <w:szCs w:val="22"/>
          <w:lang w:val="ka-GE"/>
        </w:rPr>
      </w:pPr>
    </w:p>
    <w:p w14:paraId="437477A6" w14:textId="77777777" w:rsidR="009A2C7F" w:rsidRPr="00AE2F32" w:rsidRDefault="009A2C7F" w:rsidP="009A2C7F">
      <w:pPr>
        <w:shd w:val="clear" w:color="auto" w:fill="D0CECE" w:themeFill="background2" w:themeFillShade="E6"/>
        <w:jc w:val="both"/>
        <w:rPr>
          <w:rFonts w:cs="Times New Roman"/>
          <w:b/>
          <w:bCs/>
          <w:noProof/>
          <w:sz w:val="22"/>
          <w:szCs w:val="22"/>
          <w:lang w:val="ka-GE"/>
        </w:rPr>
      </w:pPr>
      <w:r w:rsidRPr="00AE2F32">
        <w:rPr>
          <w:rFonts w:cs="Times New Roman"/>
          <w:b/>
          <w:bCs/>
          <w:noProof/>
          <w:sz w:val="22"/>
          <w:szCs w:val="22"/>
        </w:rPr>
        <w:t>Questions:</w:t>
      </w:r>
    </w:p>
    <w:p w14:paraId="661EF930" w14:textId="15D7FA0A" w:rsidR="009A2C7F" w:rsidRPr="00AE2F32" w:rsidRDefault="009A2C7F" w:rsidP="009A2C7F">
      <w:pPr>
        <w:pStyle w:val="ListParagraph"/>
        <w:numPr>
          <w:ilvl w:val="0"/>
          <w:numId w:val="37"/>
        </w:numPr>
        <w:shd w:val="clear" w:color="auto" w:fill="D0CECE" w:themeFill="background2" w:themeFillShade="E6"/>
        <w:jc w:val="both"/>
        <w:rPr>
          <w:rFonts w:cs="Times New Roman"/>
          <w:iCs/>
          <w:noProof/>
          <w:sz w:val="22"/>
          <w:szCs w:val="22"/>
          <w:lang w:val="ka-GE"/>
        </w:rPr>
      </w:pPr>
      <w:r w:rsidRPr="00AE2F32">
        <w:rPr>
          <w:rFonts w:cs="Times New Roman"/>
          <w:iCs/>
          <w:noProof/>
          <w:sz w:val="22"/>
          <w:szCs w:val="22"/>
        </w:rPr>
        <w:t xml:space="preserve">What are the steps undertaken or planned by the state for </w:t>
      </w:r>
      <w:r w:rsidRPr="00AE2F32">
        <w:rPr>
          <w:rFonts w:eastAsia="Times New Roman" w:cs="Times New Roman"/>
          <w:noProof/>
          <w:sz w:val="22"/>
          <w:szCs w:val="22"/>
          <w:lang w:val="en-GB"/>
        </w:rPr>
        <w:t xml:space="preserve">improving </w:t>
      </w:r>
      <w:r w:rsidR="004B4077">
        <w:rPr>
          <w:rFonts w:eastAsia="Times New Roman" w:cs="Times New Roman"/>
          <w:noProof/>
          <w:sz w:val="22"/>
          <w:szCs w:val="22"/>
          <w:lang w:val="en-GB"/>
        </w:rPr>
        <w:t xml:space="preserve">the </w:t>
      </w:r>
      <w:r w:rsidRPr="00AE2F32">
        <w:rPr>
          <w:rFonts w:eastAsia="Times New Roman" w:cs="Times New Roman"/>
          <w:noProof/>
          <w:sz w:val="22"/>
          <w:szCs w:val="22"/>
          <w:lang w:val="en-GB"/>
        </w:rPr>
        <w:t>socio-economic circumstances of IDPs and ensuring their integration?</w:t>
      </w:r>
    </w:p>
    <w:p w14:paraId="7DA61EAD" w14:textId="77777777" w:rsidR="003A79BA" w:rsidRPr="00AE2F32" w:rsidRDefault="003A79BA" w:rsidP="00EB1CFE">
      <w:pPr>
        <w:textAlignment w:val="baseline"/>
        <w:rPr>
          <w:rFonts w:eastAsia="Times New Roman" w:cs="Times New Roman"/>
          <w:color w:val="4A86E8"/>
          <w:sz w:val="22"/>
          <w:szCs w:val="22"/>
          <w:highlight w:val="yellow"/>
          <w:lang w:val="en-GB"/>
        </w:rPr>
      </w:pPr>
    </w:p>
    <w:p w14:paraId="63D07352" w14:textId="77777777" w:rsidR="0035221B" w:rsidRPr="00AE2F32" w:rsidRDefault="0035221B" w:rsidP="0035221B">
      <w:pPr>
        <w:pStyle w:val="Heading2"/>
        <w:numPr>
          <w:ilvl w:val="0"/>
          <w:numId w:val="14"/>
        </w:numPr>
        <w:spacing w:before="0"/>
        <w:jc w:val="both"/>
        <w:rPr>
          <w:rFonts w:asciiTheme="minorHAnsi" w:hAnsiTheme="minorHAnsi" w:cs="Times New Roman"/>
          <w:noProof/>
          <w:sz w:val="22"/>
          <w:szCs w:val="22"/>
        </w:rPr>
      </w:pPr>
      <w:bookmarkStart w:id="21" w:name="_Toc48038297"/>
      <w:bookmarkStart w:id="22" w:name="_Toc48565935"/>
      <w:r w:rsidRPr="00AE2F32">
        <w:rPr>
          <w:rFonts w:asciiTheme="minorHAnsi" w:hAnsiTheme="minorHAnsi" w:cs="Times New Roman"/>
          <w:noProof/>
          <w:sz w:val="22"/>
          <w:szCs w:val="22"/>
        </w:rPr>
        <w:lastRenderedPageBreak/>
        <w:t>Freedom of Religious Belief (Paragraph 18 of Committee recommendation)</w:t>
      </w:r>
      <w:bookmarkEnd w:id="21"/>
      <w:bookmarkEnd w:id="22"/>
    </w:p>
    <w:p w14:paraId="4EE506BA" w14:textId="77777777" w:rsidR="0035221B" w:rsidRPr="00AE2F32" w:rsidRDefault="0035221B" w:rsidP="0035221B">
      <w:pPr>
        <w:jc w:val="both"/>
        <w:rPr>
          <w:rFonts w:cs="Times New Roman"/>
          <w:noProof/>
          <w:sz w:val="22"/>
          <w:szCs w:val="22"/>
          <w:lang w:val="en-GB"/>
        </w:rPr>
      </w:pPr>
    </w:p>
    <w:p w14:paraId="433FE3AA" w14:textId="3E0FE9F2" w:rsidR="0035221B" w:rsidRPr="00AE2F32" w:rsidRDefault="0035221B" w:rsidP="0035221B">
      <w:pPr>
        <w:ind w:left="720"/>
        <w:jc w:val="both"/>
        <w:textAlignment w:val="baseline"/>
        <w:rPr>
          <w:rFonts w:eastAsia="Times New Roman" w:cs="Times New Roman"/>
          <w:noProof/>
          <w:color w:val="000000"/>
          <w:sz w:val="22"/>
          <w:szCs w:val="22"/>
          <w:lang w:val="en-GB"/>
        </w:rPr>
      </w:pPr>
      <w:r w:rsidRPr="00AE2F32">
        <w:rPr>
          <w:rFonts w:eastAsia="Times New Roman" w:cs="Times New Roman"/>
          <w:noProof/>
          <w:color w:val="000000"/>
          <w:sz w:val="22"/>
          <w:szCs w:val="22"/>
          <w:lang w:val="en-GB"/>
        </w:rPr>
        <w:t xml:space="preserve">see coalition assessment under the article 18 implementation </w:t>
      </w:r>
    </w:p>
    <w:p w14:paraId="050DBF49" w14:textId="77777777" w:rsidR="0035221B" w:rsidRPr="00AE2F32" w:rsidRDefault="0035221B" w:rsidP="0035221B">
      <w:pPr>
        <w:ind w:left="720"/>
        <w:jc w:val="both"/>
        <w:textAlignment w:val="baseline"/>
        <w:rPr>
          <w:rFonts w:eastAsia="Times New Roman" w:cs="Times New Roman"/>
          <w:noProof/>
          <w:color w:val="000000"/>
          <w:sz w:val="22"/>
          <w:szCs w:val="22"/>
          <w:lang w:val="en-GB"/>
        </w:rPr>
      </w:pPr>
    </w:p>
    <w:p w14:paraId="7B7014C7" w14:textId="77777777" w:rsidR="0035221B" w:rsidRPr="00AE2F32" w:rsidRDefault="0035221B" w:rsidP="0035221B">
      <w:pPr>
        <w:pStyle w:val="Heading2"/>
        <w:numPr>
          <w:ilvl w:val="0"/>
          <w:numId w:val="14"/>
        </w:numPr>
        <w:spacing w:before="0"/>
        <w:jc w:val="both"/>
        <w:rPr>
          <w:rFonts w:asciiTheme="minorHAnsi" w:hAnsiTheme="minorHAnsi" w:cs="Times New Roman"/>
          <w:noProof/>
          <w:sz w:val="22"/>
          <w:szCs w:val="22"/>
          <w:lang w:val="en-GB"/>
        </w:rPr>
      </w:pPr>
      <w:bookmarkStart w:id="23" w:name="_Toc48038298"/>
      <w:bookmarkStart w:id="24" w:name="_Toc48565936"/>
      <w:r w:rsidRPr="00AE2F32">
        <w:rPr>
          <w:rFonts w:asciiTheme="minorHAnsi" w:hAnsiTheme="minorHAnsi" w:cs="Times New Roman"/>
          <w:noProof/>
          <w:sz w:val="22"/>
          <w:szCs w:val="22"/>
        </w:rPr>
        <w:t>Rights of Minorities  (Paragraph 19 of Committee recommendation</w:t>
      </w:r>
      <w:bookmarkEnd w:id="23"/>
      <w:r w:rsidRPr="00AE2F32">
        <w:rPr>
          <w:rFonts w:asciiTheme="minorHAnsi" w:hAnsiTheme="minorHAnsi" w:cs="Times New Roman"/>
          <w:noProof/>
          <w:sz w:val="22"/>
          <w:szCs w:val="22"/>
        </w:rPr>
        <w:t>)</w:t>
      </w:r>
      <w:bookmarkEnd w:id="24"/>
    </w:p>
    <w:p w14:paraId="15DA1E84" w14:textId="77777777" w:rsidR="0035221B" w:rsidRPr="00AE2F32" w:rsidRDefault="0035221B" w:rsidP="0035221B">
      <w:pPr>
        <w:pStyle w:val="ListParagraph"/>
        <w:jc w:val="both"/>
        <w:textAlignment w:val="baseline"/>
        <w:rPr>
          <w:rFonts w:eastAsia="Times New Roman" w:cs="Times New Roman"/>
          <w:noProof/>
          <w:color w:val="000000"/>
          <w:sz w:val="22"/>
          <w:szCs w:val="22"/>
          <w:lang w:val="en-GB"/>
        </w:rPr>
      </w:pPr>
    </w:p>
    <w:p w14:paraId="6BD16A1E" w14:textId="01769A73" w:rsidR="0035221B" w:rsidRPr="00AE2F32" w:rsidRDefault="0035221B" w:rsidP="0035221B">
      <w:pPr>
        <w:ind w:left="720"/>
        <w:jc w:val="both"/>
        <w:textAlignment w:val="baseline"/>
        <w:rPr>
          <w:rFonts w:eastAsia="Times New Roman" w:cs="Times New Roman"/>
          <w:noProof/>
          <w:color w:val="000000"/>
          <w:sz w:val="22"/>
          <w:szCs w:val="22"/>
          <w:lang w:val="en-GB"/>
        </w:rPr>
      </w:pPr>
      <w:r w:rsidRPr="00AE2F32">
        <w:rPr>
          <w:rFonts w:eastAsia="Times New Roman" w:cs="Times New Roman"/>
          <w:noProof/>
          <w:color w:val="000000"/>
          <w:sz w:val="22"/>
          <w:szCs w:val="22"/>
          <w:lang w:val="en-GB"/>
        </w:rPr>
        <w:t xml:space="preserve">see coalition assessment under the article 27 implementation </w:t>
      </w:r>
    </w:p>
    <w:p w14:paraId="74DE150D" w14:textId="0D810D9D" w:rsidR="00962CBE" w:rsidRPr="00AE2F32" w:rsidRDefault="00962CBE" w:rsidP="00EB1CFE">
      <w:pPr>
        <w:rPr>
          <w:rFonts w:eastAsia="Times New Roman" w:cs="Times New Roman"/>
          <w:b/>
          <w:bCs/>
          <w:sz w:val="22"/>
          <w:szCs w:val="22"/>
          <w:highlight w:val="yellow"/>
          <w:lang w:val="en-GB"/>
        </w:rPr>
      </w:pPr>
    </w:p>
    <w:p w14:paraId="10A1ED15" w14:textId="77777777" w:rsidR="0035221B" w:rsidRPr="00AE2F32" w:rsidRDefault="0035221B" w:rsidP="0035221B">
      <w:pPr>
        <w:pStyle w:val="Heading1"/>
        <w:numPr>
          <w:ilvl w:val="0"/>
          <w:numId w:val="13"/>
        </w:numPr>
        <w:spacing w:before="0"/>
        <w:jc w:val="both"/>
        <w:rPr>
          <w:rFonts w:asciiTheme="minorHAnsi" w:hAnsiTheme="minorHAnsi" w:cs="Times New Roman"/>
          <w:noProof/>
          <w:sz w:val="22"/>
          <w:szCs w:val="22"/>
          <w:lang w:val="en-GB"/>
        </w:rPr>
      </w:pPr>
      <w:bookmarkStart w:id="25" w:name="_Toc48565937"/>
      <w:bookmarkStart w:id="26" w:name="_Toc48038299"/>
      <w:r w:rsidRPr="00AE2F32">
        <w:rPr>
          <w:rFonts w:asciiTheme="minorHAnsi" w:eastAsia="Times New Roman" w:hAnsiTheme="minorHAnsi" w:cs="Times New Roman"/>
          <w:b/>
          <w:bCs/>
          <w:noProof/>
          <w:sz w:val="22"/>
          <w:szCs w:val="22"/>
          <w:lang w:val="en-GB"/>
        </w:rPr>
        <w:t>Alternative Evaluation of Covenant’s Implementation</w:t>
      </w:r>
      <w:bookmarkEnd w:id="25"/>
      <w:r w:rsidRPr="00AE2F32">
        <w:rPr>
          <w:rFonts w:asciiTheme="minorHAnsi" w:eastAsia="Times New Roman" w:hAnsiTheme="minorHAnsi" w:cs="Times New Roman"/>
          <w:b/>
          <w:bCs/>
          <w:noProof/>
          <w:sz w:val="22"/>
          <w:szCs w:val="22"/>
          <w:lang w:val="en-GB"/>
        </w:rPr>
        <w:t xml:space="preserve"> </w:t>
      </w:r>
      <w:bookmarkEnd w:id="26"/>
    </w:p>
    <w:p w14:paraId="0AFE1ACF" w14:textId="77777777" w:rsidR="00724C7B" w:rsidRPr="00AE2F32" w:rsidRDefault="00724C7B" w:rsidP="00724C7B">
      <w:pPr>
        <w:rPr>
          <w:sz w:val="22"/>
          <w:szCs w:val="22"/>
          <w:highlight w:val="yellow"/>
          <w:lang w:val="en-GB"/>
        </w:rPr>
      </w:pPr>
    </w:p>
    <w:p w14:paraId="247CFABD" w14:textId="0800F040" w:rsidR="0035221B" w:rsidRPr="00AE2F32" w:rsidRDefault="0035221B" w:rsidP="0035221B">
      <w:pPr>
        <w:pStyle w:val="Heading2"/>
        <w:numPr>
          <w:ilvl w:val="0"/>
          <w:numId w:val="15"/>
        </w:numPr>
        <w:spacing w:before="0"/>
        <w:jc w:val="both"/>
        <w:rPr>
          <w:rFonts w:asciiTheme="minorHAnsi" w:hAnsiTheme="minorHAnsi" w:cs="Times New Roman"/>
          <w:noProof/>
          <w:sz w:val="22"/>
          <w:szCs w:val="22"/>
          <w:lang w:val="en-GB"/>
        </w:rPr>
      </w:pPr>
      <w:bookmarkStart w:id="27" w:name="_Toc48565938"/>
      <w:bookmarkStart w:id="28" w:name="_Toc48038300"/>
      <w:r w:rsidRPr="00AE2F32">
        <w:rPr>
          <w:rFonts w:asciiTheme="minorHAnsi" w:hAnsiTheme="minorHAnsi" w:cs="Times New Roman"/>
          <w:noProof/>
          <w:sz w:val="22"/>
          <w:szCs w:val="22"/>
        </w:rPr>
        <w:t xml:space="preserve">Article 2: </w:t>
      </w:r>
      <w:r w:rsidR="004B4077">
        <w:rPr>
          <w:rFonts w:asciiTheme="minorHAnsi" w:hAnsiTheme="minorHAnsi" w:cs="Times New Roman"/>
          <w:noProof/>
          <w:sz w:val="22"/>
          <w:szCs w:val="22"/>
        </w:rPr>
        <w:t>Anti-discrimination</w:t>
      </w:r>
      <w:r w:rsidRPr="00AE2F32">
        <w:rPr>
          <w:rFonts w:asciiTheme="minorHAnsi" w:hAnsiTheme="minorHAnsi" w:cs="Times New Roman"/>
          <w:noProof/>
          <w:sz w:val="22"/>
          <w:szCs w:val="22"/>
        </w:rPr>
        <w:t xml:space="preserve"> Legislation, Constitutional and Legal Framework</w:t>
      </w:r>
      <w:r w:rsidR="004B4077">
        <w:rPr>
          <w:rFonts w:asciiTheme="minorHAnsi" w:hAnsiTheme="minorHAnsi" w:cs="Times New Roman"/>
          <w:noProof/>
          <w:sz w:val="22"/>
          <w:szCs w:val="22"/>
        </w:rPr>
        <w:t>,</w:t>
      </w:r>
      <w:r w:rsidRPr="00AE2F32">
        <w:rPr>
          <w:rFonts w:asciiTheme="minorHAnsi" w:hAnsiTheme="minorHAnsi" w:cs="Times New Roman"/>
          <w:noProof/>
          <w:sz w:val="22"/>
          <w:szCs w:val="22"/>
        </w:rPr>
        <w:t xml:space="preserve"> and Access to Legal Remedies</w:t>
      </w:r>
      <w:bookmarkEnd w:id="27"/>
      <w:r w:rsidRPr="00AE2F32">
        <w:rPr>
          <w:rFonts w:asciiTheme="minorHAnsi" w:hAnsiTheme="minorHAnsi" w:cs="Times New Roman"/>
          <w:noProof/>
          <w:sz w:val="22"/>
          <w:szCs w:val="22"/>
        </w:rPr>
        <w:t xml:space="preserve"> </w:t>
      </w:r>
      <w:bookmarkEnd w:id="28"/>
    </w:p>
    <w:p w14:paraId="47208F26" w14:textId="77777777" w:rsidR="002A7AC6" w:rsidRPr="00AE2F32" w:rsidRDefault="002A7AC6" w:rsidP="00EB1CFE">
      <w:pPr>
        <w:jc w:val="both"/>
        <w:rPr>
          <w:sz w:val="22"/>
          <w:szCs w:val="22"/>
          <w:highlight w:val="yellow"/>
          <w:lang w:val="en-GB"/>
        </w:rPr>
      </w:pPr>
    </w:p>
    <w:p w14:paraId="5FC6266F" w14:textId="04D31103" w:rsidR="0035221B" w:rsidRPr="00AE2F32" w:rsidRDefault="0035221B" w:rsidP="0035221B">
      <w:pPr>
        <w:jc w:val="both"/>
        <w:rPr>
          <w:rFonts w:cs="Times New Roman"/>
          <w:color w:val="000000" w:themeColor="text1"/>
          <w:sz w:val="22"/>
          <w:szCs w:val="22"/>
        </w:rPr>
      </w:pPr>
      <w:r w:rsidRPr="00AE2F32">
        <w:rPr>
          <w:rFonts w:cs="Times New Roman"/>
          <w:color w:val="000000" w:themeColor="text1"/>
          <w:sz w:val="22"/>
          <w:szCs w:val="22"/>
        </w:rPr>
        <w:t>Law on Elimination of All Forms of Discrimination was enacted in Georgia in 2014, which was followed by relevant amendments to dozens of legislative acts. However, due to weak provisions on the authority of enforcement mechanisms, the law could not ensure</w:t>
      </w:r>
      <w:r w:rsidR="004B4077">
        <w:rPr>
          <w:rFonts w:cs="Times New Roman"/>
          <w:color w:val="000000" w:themeColor="text1"/>
          <w:sz w:val="22"/>
          <w:szCs w:val="22"/>
        </w:rPr>
        <w:t xml:space="preserve"> a </w:t>
      </w:r>
      <w:r w:rsidRPr="00AE2F32">
        <w:rPr>
          <w:rFonts w:cs="Times New Roman"/>
          <w:color w:val="000000" w:themeColor="text1"/>
          <w:sz w:val="22"/>
          <w:szCs w:val="22"/>
        </w:rPr>
        <w:t xml:space="preserve"> high standard of protection and achievement of a legal outcome for the victims of discrimination. Despite frequent calls from the </w:t>
      </w:r>
      <w:r w:rsidR="00F16F47">
        <w:rPr>
          <w:rFonts w:cs="Times New Roman"/>
          <w:color w:val="000000" w:themeColor="text1"/>
          <w:sz w:val="22"/>
          <w:szCs w:val="22"/>
        </w:rPr>
        <w:t>PDO</w:t>
      </w:r>
      <w:r w:rsidRPr="00AE2F32">
        <w:rPr>
          <w:rFonts w:cs="Times New Roman"/>
          <w:color w:val="000000" w:themeColor="text1"/>
          <w:sz w:val="22"/>
          <w:szCs w:val="22"/>
        </w:rPr>
        <w:t xml:space="preserve"> and human rights organizations, changes for the law’s effectiveness was only adopted in 2019, which partially strengthened enforcement mechanisms.</w:t>
      </w:r>
      <w:r w:rsidRPr="00AE2F32">
        <w:rPr>
          <w:rFonts w:cs="Times New Roman"/>
          <w:color w:val="000000" w:themeColor="text1"/>
          <w:sz w:val="22"/>
          <w:szCs w:val="22"/>
          <w:lang w:val="ka-GE"/>
        </w:rPr>
        <w:t xml:space="preserve"> </w:t>
      </w:r>
    </w:p>
    <w:p w14:paraId="4FBD6669" w14:textId="77777777" w:rsidR="0035221B" w:rsidRPr="00AE2F32" w:rsidRDefault="0035221B" w:rsidP="0035221B">
      <w:pPr>
        <w:jc w:val="both"/>
        <w:rPr>
          <w:rFonts w:cs="Times New Roman"/>
          <w:sz w:val="22"/>
          <w:szCs w:val="22"/>
        </w:rPr>
      </w:pPr>
    </w:p>
    <w:p w14:paraId="300EAE2D" w14:textId="51566BD0" w:rsidR="0035221B" w:rsidRPr="00AE2F32" w:rsidRDefault="0035221B" w:rsidP="0035221B">
      <w:pPr>
        <w:jc w:val="both"/>
        <w:rPr>
          <w:rFonts w:cs="Times New Roman"/>
          <w:color w:val="000000" w:themeColor="text1"/>
          <w:sz w:val="22"/>
          <w:szCs w:val="22"/>
        </w:rPr>
      </w:pPr>
      <w:r w:rsidRPr="00AE2F32">
        <w:rPr>
          <w:rFonts w:cs="Times New Roman"/>
          <w:sz w:val="22"/>
          <w:szCs w:val="22"/>
        </w:rPr>
        <w:t xml:space="preserve">Despite legislative changes, enforcement of equality politics and its effective implementation in practice is still problematic. This is most acute for </w:t>
      </w:r>
      <w:r w:rsidR="007F2F51">
        <w:rPr>
          <w:rFonts w:cs="Times New Roman"/>
          <w:sz w:val="22"/>
          <w:szCs w:val="22"/>
        </w:rPr>
        <w:t xml:space="preserve">the </w:t>
      </w:r>
      <w:r w:rsidRPr="00AE2F32">
        <w:rPr>
          <w:rFonts w:cs="Times New Roman"/>
          <w:sz w:val="22"/>
          <w:szCs w:val="22"/>
        </w:rPr>
        <w:t xml:space="preserve">LGBTQ community, </w:t>
      </w:r>
      <w:r w:rsidR="004B4077">
        <w:rPr>
          <w:rFonts w:cs="Times New Roman"/>
          <w:sz w:val="22"/>
          <w:szCs w:val="22"/>
        </w:rPr>
        <w:t>which</w:t>
      </w:r>
      <w:r w:rsidRPr="00AE2F32">
        <w:rPr>
          <w:rFonts w:cs="Times New Roman"/>
          <w:sz w:val="22"/>
          <w:szCs w:val="22"/>
        </w:rPr>
        <w:t xml:space="preserve"> </w:t>
      </w:r>
      <w:r w:rsidR="007F2F51">
        <w:rPr>
          <w:rFonts w:cs="Times New Roman"/>
          <w:sz w:val="22"/>
          <w:szCs w:val="22"/>
        </w:rPr>
        <w:t>represents</w:t>
      </w:r>
      <w:r w:rsidRPr="00AE2F32">
        <w:rPr>
          <w:rFonts w:cs="Times New Roman"/>
          <w:sz w:val="22"/>
          <w:szCs w:val="22"/>
        </w:rPr>
        <w:t xml:space="preserve"> one of the most vulnerable groups in Georgia</w:t>
      </w:r>
      <w:r w:rsidR="00777BC0">
        <w:rPr>
          <w:rFonts w:cs="Times New Roman"/>
          <w:sz w:val="22"/>
          <w:szCs w:val="22"/>
        </w:rPr>
        <w:t xml:space="preserve">. </w:t>
      </w:r>
      <w:r w:rsidRPr="00AE2F32">
        <w:rPr>
          <w:rFonts w:cs="Times New Roman"/>
          <w:sz w:val="22"/>
          <w:szCs w:val="22"/>
        </w:rPr>
        <w:t xml:space="preserve">Despite </w:t>
      </w:r>
      <w:r w:rsidR="007F2F51">
        <w:rPr>
          <w:rFonts w:cs="Times New Roman"/>
          <w:sz w:val="22"/>
          <w:szCs w:val="22"/>
        </w:rPr>
        <w:t>several</w:t>
      </w:r>
      <w:r w:rsidRPr="00AE2F32">
        <w:rPr>
          <w:rFonts w:cs="Times New Roman"/>
          <w:sz w:val="22"/>
          <w:szCs w:val="22"/>
        </w:rPr>
        <w:t xml:space="preserve"> legislative acts and national action plans, which provided </w:t>
      </w:r>
      <w:r w:rsidR="007F2F51">
        <w:rPr>
          <w:rFonts w:cs="Times New Roman"/>
          <w:sz w:val="22"/>
          <w:szCs w:val="22"/>
        </w:rPr>
        <w:t xml:space="preserve">the </w:t>
      </w:r>
      <w:r w:rsidRPr="00AE2F32">
        <w:rPr>
          <w:rFonts w:cs="Times New Roman"/>
          <w:sz w:val="22"/>
          <w:szCs w:val="22"/>
        </w:rPr>
        <w:t xml:space="preserve">basis for obligations to protect </w:t>
      </w:r>
      <w:r w:rsidR="007F2F51">
        <w:rPr>
          <w:rFonts w:cs="Times New Roman"/>
          <w:sz w:val="22"/>
          <w:szCs w:val="22"/>
        </w:rPr>
        <w:t xml:space="preserve">the </w:t>
      </w:r>
      <w:r w:rsidRPr="00AE2F32">
        <w:rPr>
          <w:rFonts w:cs="Times New Roman"/>
          <w:sz w:val="22"/>
          <w:szCs w:val="22"/>
        </w:rPr>
        <w:t xml:space="preserve">rights of LGBTQ people, those changes were not reflected in real life </w:t>
      </w:r>
      <w:r w:rsidR="00777BC0">
        <w:rPr>
          <w:rFonts w:cs="Times New Roman"/>
          <w:sz w:val="22"/>
          <w:szCs w:val="22"/>
        </w:rPr>
        <w:t xml:space="preserve">due to lack of </w:t>
      </w:r>
      <w:r w:rsidR="00573595">
        <w:rPr>
          <w:rFonts w:cs="Times New Roman"/>
          <w:sz w:val="22"/>
          <w:szCs w:val="22"/>
        </w:rPr>
        <w:t xml:space="preserve">its </w:t>
      </w:r>
      <w:r w:rsidR="00777BC0">
        <w:rPr>
          <w:rFonts w:cs="Times New Roman"/>
          <w:sz w:val="22"/>
          <w:szCs w:val="22"/>
        </w:rPr>
        <w:t xml:space="preserve">effective implementation. </w:t>
      </w:r>
    </w:p>
    <w:p w14:paraId="3E3CBAA1" w14:textId="77777777" w:rsidR="0035221B" w:rsidRPr="00AE2F32" w:rsidRDefault="0035221B" w:rsidP="0035221B">
      <w:pPr>
        <w:jc w:val="both"/>
        <w:rPr>
          <w:rFonts w:cs="Times New Roman"/>
          <w:color w:val="000000" w:themeColor="text1"/>
          <w:sz w:val="22"/>
          <w:szCs w:val="22"/>
        </w:rPr>
      </w:pPr>
    </w:p>
    <w:p w14:paraId="3AD09ADD" w14:textId="30405451" w:rsidR="0035221B" w:rsidRPr="00AE2F32" w:rsidRDefault="0035221B" w:rsidP="0035221B">
      <w:pPr>
        <w:jc w:val="both"/>
        <w:rPr>
          <w:rFonts w:cs="Times New Roman"/>
          <w:sz w:val="22"/>
          <w:szCs w:val="22"/>
        </w:rPr>
      </w:pPr>
      <w:r w:rsidRPr="00AE2F32">
        <w:rPr>
          <w:rFonts w:cs="Times New Roman"/>
          <w:sz w:val="22"/>
          <w:szCs w:val="22"/>
        </w:rPr>
        <w:t xml:space="preserve">Report of the </w:t>
      </w:r>
      <w:r w:rsidR="00573595">
        <w:rPr>
          <w:rFonts w:cs="Times New Roman"/>
          <w:sz w:val="22"/>
          <w:szCs w:val="22"/>
        </w:rPr>
        <w:t xml:space="preserve">UN </w:t>
      </w:r>
      <w:r w:rsidRPr="00AE2F32">
        <w:rPr>
          <w:rFonts w:cs="Times New Roman"/>
          <w:sz w:val="22"/>
          <w:szCs w:val="22"/>
        </w:rPr>
        <w:t>Independent Expert on protection against violence and discrimination based on sexual orientation and gender identity in Georgia</w:t>
      </w:r>
      <w:r w:rsidRPr="00AE2F32">
        <w:rPr>
          <w:rStyle w:val="FootnoteReference"/>
          <w:rFonts w:cs="Times New Roman"/>
          <w:sz w:val="22"/>
          <w:szCs w:val="22"/>
        </w:rPr>
        <w:footnoteReference w:id="41"/>
      </w:r>
      <w:r w:rsidRPr="00AE2F32">
        <w:rPr>
          <w:rFonts w:cs="Times New Roman"/>
          <w:sz w:val="22"/>
          <w:szCs w:val="22"/>
        </w:rPr>
        <w:t xml:space="preserve"> identifies the continuous discriminatory practices towards LGBTQ community and notes, that “beatings are commonplace, harassment and bullying constant, and exclusion from education, work</w:t>
      </w:r>
      <w:r w:rsidR="004B4077">
        <w:rPr>
          <w:rFonts w:cs="Times New Roman"/>
          <w:sz w:val="22"/>
          <w:szCs w:val="22"/>
        </w:rPr>
        <w:t>,</w:t>
      </w:r>
      <w:r w:rsidRPr="00AE2F32">
        <w:rPr>
          <w:rFonts w:cs="Times New Roman"/>
          <w:sz w:val="22"/>
          <w:szCs w:val="22"/>
        </w:rPr>
        <w:t xml:space="preserve"> and health settings appear</w:t>
      </w:r>
      <w:r w:rsidR="007F2F51">
        <w:rPr>
          <w:rFonts w:cs="Times New Roman"/>
          <w:sz w:val="22"/>
          <w:szCs w:val="22"/>
        </w:rPr>
        <w:t xml:space="preserve"> to</w:t>
      </w:r>
      <w:r w:rsidRPr="00AE2F32">
        <w:rPr>
          <w:rFonts w:cs="Times New Roman"/>
          <w:sz w:val="22"/>
          <w:szCs w:val="22"/>
        </w:rPr>
        <w:t xml:space="preserve"> be the norm.”</w:t>
      </w:r>
      <w:r w:rsidRPr="00AE2F32">
        <w:rPr>
          <w:rStyle w:val="FootnoteReference"/>
          <w:rFonts w:cs="Times New Roman"/>
          <w:sz w:val="22"/>
          <w:szCs w:val="22"/>
        </w:rPr>
        <w:footnoteReference w:id="42"/>
      </w:r>
      <w:r w:rsidRPr="00AE2F32">
        <w:rPr>
          <w:rFonts w:cs="Times New Roman"/>
          <w:sz w:val="22"/>
          <w:szCs w:val="22"/>
        </w:rPr>
        <w:t xml:space="preserve"> According to the expert, the fear of having to disclose </w:t>
      </w:r>
      <w:r w:rsidR="007F2F51">
        <w:rPr>
          <w:rFonts w:cs="Times New Roman"/>
          <w:sz w:val="22"/>
          <w:szCs w:val="22"/>
        </w:rPr>
        <w:t xml:space="preserve">the </w:t>
      </w:r>
      <w:r w:rsidRPr="00AE2F32">
        <w:rPr>
          <w:rFonts w:cs="Times New Roman"/>
          <w:sz w:val="22"/>
          <w:szCs w:val="22"/>
        </w:rPr>
        <w:t>identity, the lack of trust in the law enforcement institutions</w:t>
      </w:r>
      <w:r w:rsidR="007F2F51">
        <w:rPr>
          <w:rFonts w:cs="Times New Roman"/>
          <w:sz w:val="22"/>
          <w:szCs w:val="22"/>
        </w:rPr>
        <w:t>,</w:t>
      </w:r>
      <w:r w:rsidRPr="00AE2F32">
        <w:rPr>
          <w:rFonts w:cs="Times New Roman"/>
          <w:sz w:val="22"/>
          <w:szCs w:val="22"/>
        </w:rPr>
        <w:t xml:space="preserve"> and homophobic attitudes coming from police officers</w:t>
      </w:r>
      <w:r w:rsidR="00777BC0">
        <w:rPr>
          <w:rFonts w:cs="Times New Roman"/>
          <w:sz w:val="22"/>
          <w:szCs w:val="22"/>
        </w:rPr>
        <w:t xml:space="preserve"> </w:t>
      </w:r>
      <w:r w:rsidR="00B7474C">
        <w:rPr>
          <w:rFonts w:cs="Times New Roman"/>
          <w:sz w:val="22"/>
          <w:szCs w:val="22"/>
        </w:rPr>
        <w:t>cause</w:t>
      </w:r>
      <w:r w:rsidR="00777BC0">
        <w:rPr>
          <w:rFonts w:cs="Times New Roman"/>
          <w:sz w:val="22"/>
          <w:szCs w:val="22"/>
        </w:rPr>
        <w:t xml:space="preserve"> underreporting of the </w:t>
      </w:r>
      <w:r w:rsidR="00573595">
        <w:rPr>
          <w:rFonts w:cs="Times New Roman"/>
          <w:sz w:val="22"/>
          <w:szCs w:val="22"/>
        </w:rPr>
        <w:t xml:space="preserve">hate </w:t>
      </w:r>
      <w:r w:rsidR="00777BC0">
        <w:rPr>
          <w:rFonts w:cs="Times New Roman"/>
          <w:sz w:val="22"/>
          <w:szCs w:val="22"/>
        </w:rPr>
        <w:t>crimes</w:t>
      </w:r>
      <w:r w:rsidRPr="00AE2F32">
        <w:rPr>
          <w:rFonts w:cs="Times New Roman"/>
          <w:sz w:val="22"/>
          <w:szCs w:val="22"/>
        </w:rPr>
        <w:t>.</w:t>
      </w:r>
      <w:r w:rsidRPr="00AE2F32">
        <w:rPr>
          <w:rStyle w:val="FootnoteReference"/>
          <w:rFonts w:cs="Times New Roman"/>
          <w:sz w:val="22"/>
          <w:szCs w:val="22"/>
        </w:rPr>
        <w:footnoteReference w:id="43"/>
      </w:r>
      <w:r w:rsidRPr="00AE2F32">
        <w:rPr>
          <w:rFonts w:cs="Times New Roman"/>
          <w:sz w:val="22"/>
          <w:szCs w:val="22"/>
        </w:rPr>
        <w:t xml:space="preserve"> According to the official statistics of 2019, criminal prosecutions against crimes committed with discriminatory motives </w:t>
      </w:r>
      <w:r w:rsidR="00573595">
        <w:rPr>
          <w:rFonts w:cs="Times New Roman"/>
          <w:sz w:val="22"/>
          <w:szCs w:val="22"/>
        </w:rPr>
        <w:t>based on SOGI</w:t>
      </w:r>
      <w:r w:rsidRPr="00AE2F32">
        <w:rPr>
          <w:rFonts w:cs="Times New Roman"/>
          <w:sz w:val="22"/>
          <w:szCs w:val="22"/>
        </w:rPr>
        <w:t xml:space="preserve"> had been initiated against 32 persons. However, low reporting rates of violence due to the said barriers cannot reflect its actual scale</w:t>
      </w:r>
      <w:r w:rsidRPr="00AE2F32">
        <w:rPr>
          <w:rFonts w:cs="Times New Roman"/>
          <w:sz w:val="22"/>
          <w:szCs w:val="22"/>
          <w:lang w:val="ka-GE"/>
        </w:rPr>
        <w:t xml:space="preserve">, </w:t>
      </w:r>
      <w:r w:rsidRPr="00AE2F32">
        <w:rPr>
          <w:rFonts w:cs="Times New Roman"/>
          <w:sz w:val="22"/>
          <w:szCs w:val="22"/>
        </w:rPr>
        <w:t>as the statistics documented by community organizations reflect a much higher rate than shown in official statistics</w:t>
      </w:r>
      <w:r w:rsidR="00256F01">
        <w:rPr>
          <w:rFonts w:cs="Times New Roman"/>
          <w:sz w:val="22"/>
          <w:szCs w:val="22"/>
        </w:rPr>
        <w:t>.</w:t>
      </w:r>
      <w:r w:rsidRPr="00AE2F32">
        <w:rPr>
          <w:rStyle w:val="FootnoteReference"/>
          <w:rFonts w:cs="Times New Roman"/>
          <w:sz w:val="22"/>
          <w:szCs w:val="22"/>
        </w:rPr>
        <w:footnoteReference w:id="44"/>
      </w:r>
      <w:r w:rsidRPr="00AE2F32">
        <w:rPr>
          <w:rFonts w:cs="Times New Roman"/>
          <w:sz w:val="22"/>
          <w:szCs w:val="22"/>
        </w:rPr>
        <w:t xml:space="preserve"> </w:t>
      </w:r>
      <w:r w:rsidR="00B7474C">
        <w:rPr>
          <w:rFonts w:cs="Times New Roman"/>
          <w:sz w:val="22"/>
          <w:szCs w:val="22"/>
        </w:rPr>
        <w:t>The absence</w:t>
      </w:r>
      <w:r w:rsidRPr="00AE2F32">
        <w:rPr>
          <w:rFonts w:cs="Times New Roman"/>
          <w:sz w:val="22"/>
          <w:szCs w:val="22"/>
        </w:rPr>
        <w:t xml:space="preserve"> of </w:t>
      </w:r>
      <w:r w:rsidR="004B4077">
        <w:rPr>
          <w:rFonts w:cs="Times New Roman"/>
          <w:sz w:val="22"/>
          <w:szCs w:val="22"/>
        </w:rPr>
        <w:t xml:space="preserve">a </w:t>
      </w:r>
      <w:r w:rsidRPr="00AE2F32">
        <w:rPr>
          <w:rFonts w:cs="Times New Roman"/>
          <w:sz w:val="22"/>
          <w:szCs w:val="22"/>
        </w:rPr>
        <w:t xml:space="preserve">unified methodology for statistics is also problematic, which is an obstacle for crime analysis and prevention policy planning. </w:t>
      </w:r>
    </w:p>
    <w:p w14:paraId="6FD1EB18" w14:textId="77777777" w:rsidR="0035221B" w:rsidRPr="00AE2F32" w:rsidRDefault="0035221B" w:rsidP="0035221B">
      <w:pPr>
        <w:jc w:val="both"/>
        <w:rPr>
          <w:rFonts w:cs="Times New Roman"/>
          <w:sz w:val="22"/>
          <w:szCs w:val="22"/>
          <w:lang w:val="ka-GE"/>
        </w:rPr>
      </w:pPr>
    </w:p>
    <w:p w14:paraId="6334FD9D" w14:textId="2EEF720E" w:rsidR="0035221B" w:rsidRPr="00AE2F32" w:rsidRDefault="0035221B" w:rsidP="0035221B">
      <w:pPr>
        <w:jc w:val="both"/>
        <w:rPr>
          <w:rFonts w:cs="Times New Roman"/>
          <w:sz w:val="22"/>
          <w:szCs w:val="22"/>
        </w:rPr>
      </w:pPr>
      <w:r w:rsidRPr="00AE2F32">
        <w:rPr>
          <w:rFonts w:cs="Times New Roman"/>
          <w:sz w:val="22"/>
          <w:szCs w:val="22"/>
        </w:rPr>
        <w:t xml:space="preserve">Georgia </w:t>
      </w:r>
      <w:r w:rsidR="00777BC0">
        <w:rPr>
          <w:rFonts w:cs="Times New Roman"/>
          <w:sz w:val="22"/>
          <w:szCs w:val="22"/>
        </w:rPr>
        <w:t>was advised by</w:t>
      </w:r>
      <w:r w:rsidRPr="00AE2F32">
        <w:rPr>
          <w:rFonts w:cs="Times New Roman"/>
          <w:sz w:val="22"/>
          <w:szCs w:val="22"/>
        </w:rPr>
        <w:t xml:space="preserve"> </w:t>
      </w:r>
      <w:r w:rsidR="00777BC0">
        <w:rPr>
          <w:rFonts w:cs="Times New Roman"/>
          <w:sz w:val="22"/>
          <w:szCs w:val="22"/>
        </w:rPr>
        <w:t xml:space="preserve">UPR in </w:t>
      </w:r>
      <w:r w:rsidR="00777BC0" w:rsidRPr="00AE2F32">
        <w:rPr>
          <w:rFonts w:cs="Times New Roman"/>
          <w:sz w:val="22"/>
          <w:szCs w:val="22"/>
        </w:rPr>
        <w:t>2015</w:t>
      </w:r>
      <w:r w:rsidR="00777BC0" w:rsidRPr="00AE2F32">
        <w:rPr>
          <w:rStyle w:val="FootnoteReference"/>
          <w:rFonts w:cs="Times New Roman"/>
          <w:sz w:val="22"/>
          <w:szCs w:val="22"/>
        </w:rPr>
        <w:footnoteReference w:id="45"/>
      </w:r>
      <w:r w:rsidR="00777BC0" w:rsidRPr="00AE2F32">
        <w:rPr>
          <w:rFonts w:cs="Times New Roman"/>
          <w:sz w:val="22"/>
          <w:szCs w:val="22"/>
        </w:rPr>
        <w:t xml:space="preserve"> and </w:t>
      </w:r>
      <w:r w:rsidR="00777BC0">
        <w:rPr>
          <w:rFonts w:cs="Times New Roman"/>
          <w:sz w:val="22"/>
          <w:szCs w:val="22"/>
        </w:rPr>
        <w:t>ECRI in 2016</w:t>
      </w:r>
      <w:r w:rsidR="00777BC0" w:rsidRPr="00AE2F32">
        <w:rPr>
          <w:rStyle w:val="FootnoteReference"/>
          <w:rFonts w:cs="Times New Roman"/>
          <w:sz w:val="22"/>
          <w:szCs w:val="22"/>
        </w:rPr>
        <w:footnoteReference w:id="46"/>
      </w:r>
      <w:r w:rsidR="00777BC0" w:rsidRPr="00AE2F32">
        <w:rPr>
          <w:rFonts w:cs="Times New Roman"/>
          <w:sz w:val="22"/>
          <w:szCs w:val="22"/>
          <w:lang w:val="ka-GE"/>
        </w:rPr>
        <w:t xml:space="preserve"> </w:t>
      </w:r>
      <w:r w:rsidRPr="00AE2F32">
        <w:rPr>
          <w:rFonts w:cs="Times New Roman"/>
          <w:sz w:val="22"/>
          <w:szCs w:val="22"/>
        </w:rPr>
        <w:t xml:space="preserve">regarding </w:t>
      </w:r>
      <w:r w:rsidR="00B7474C">
        <w:rPr>
          <w:rFonts w:cs="Times New Roman"/>
          <w:sz w:val="22"/>
          <w:szCs w:val="22"/>
        </w:rPr>
        <w:t xml:space="preserve">the </w:t>
      </w:r>
      <w:r w:rsidRPr="00AE2F32">
        <w:rPr>
          <w:rFonts w:cs="Times New Roman"/>
          <w:sz w:val="22"/>
          <w:szCs w:val="22"/>
        </w:rPr>
        <w:t xml:space="preserve">strengthening of </w:t>
      </w:r>
      <w:r w:rsidR="00B7474C">
        <w:rPr>
          <w:rFonts w:cs="Times New Roman"/>
          <w:sz w:val="22"/>
          <w:szCs w:val="22"/>
        </w:rPr>
        <w:t xml:space="preserve">the </w:t>
      </w:r>
      <w:r w:rsidRPr="00AE2F32">
        <w:rPr>
          <w:rFonts w:cs="Times New Roman"/>
          <w:sz w:val="22"/>
          <w:szCs w:val="22"/>
        </w:rPr>
        <w:t xml:space="preserve">fight against hate crimes and </w:t>
      </w:r>
      <w:r w:rsidR="004B4077">
        <w:rPr>
          <w:rFonts w:cs="Times New Roman"/>
          <w:sz w:val="22"/>
          <w:szCs w:val="22"/>
        </w:rPr>
        <w:t xml:space="preserve">the </w:t>
      </w:r>
      <w:r w:rsidRPr="00AE2F32">
        <w:rPr>
          <w:rFonts w:cs="Times New Roman"/>
          <w:sz w:val="22"/>
          <w:szCs w:val="22"/>
        </w:rPr>
        <w:t>creation of a separate investigative unit, which would deal specifically with hate crimes as effective mechanisms against homo</w:t>
      </w:r>
      <w:r w:rsidR="00777BC0">
        <w:rPr>
          <w:rFonts w:cs="Times New Roman"/>
          <w:sz w:val="22"/>
          <w:szCs w:val="22"/>
        </w:rPr>
        <w:t>/</w:t>
      </w:r>
      <w:r w:rsidRPr="00AE2F32">
        <w:rPr>
          <w:rFonts w:cs="Times New Roman"/>
          <w:sz w:val="22"/>
          <w:szCs w:val="22"/>
        </w:rPr>
        <w:t xml:space="preserve">transphobia. As a result, the Human Rights Protection </w:t>
      </w:r>
      <w:r w:rsidR="00777BC0">
        <w:rPr>
          <w:rFonts w:cs="Times New Roman"/>
          <w:sz w:val="22"/>
          <w:szCs w:val="22"/>
        </w:rPr>
        <w:t xml:space="preserve">and </w:t>
      </w:r>
      <w:r w:rsidR="00777BC0">
        <w:rPr>
          <w:rFonts w:cs="Times New Roman"/>
          <w:sz w:val="22"/>
          <w:szCs w:val="22"/>
        </w:rPr>
        <w:lastRenderedPageBreak/>
        <w:t xml:space="preserve">Quality Monitoring </w:t>
      </w:r>
      <w:r w:rsidRPr="00AE2F32">
        <w:rPr>
          <w:rFonts w:cs="Times New Roman"/>
          <w:sz w:val="22"/>
          <w:szCs w:val="22"/>
        </w:rPr>
        <w:t xml:space="preserve">Department </w:t>
      </w:r>
      <w:r w:rsidR="00B7474C">
        <w:rPr>
          <w:rFonts w:cs="Times New Roman"/>
          <w:sz w:val="22"/>
          <w:szCs w:val="22"/>
        </w:rPr>
        <w:t>were</w:t>
      </w:r>
      <w:r w:rsidRPr="00AE2F32">
        <w:rPr>
          <w:rFonts w:cs="Times New Roman"/>
          <w:sz w:val="22"/>
          <w:szCs w:val="22"/>
        </w:rPr>
        <w:t xml:space="preserve"> established under the Ministry of Internal Affairs</w:t>
      </w:r>
      <w:r w:rsidR="009165C2">
        <w:rPr>
          <w:rFonts w:cs="Times New Roman"/>
          <w:sz w:val="22"/>
          <w:szCs w:val="22"/>
        </w:rPr>
        <w:t xml:space="preserve"> (MIA)</w:t>
      </w:r>
      <w:r w:rsidR="00B20DE4">
        <w:rPr>
          <w:rFonts w:cs="Times New Roman"/>
          <w:sz w:val="22"/>
          <w:szCs w:val="22"/>
        </w:rPr>
        <w:t xml:space="preserve">. </w:t>
      </w:r>
      <w:r w:rsidRPr="00AE2F32">
        <w:rPr>
          <w:rFonts w:cs="Times New Roman"/>
          <w:sz w:val="22"/>
          <w:szCs w:val="22"/>
        </w:rPr>
        <w:t>However, as the department is not a substitute for a specialized investigative unit under the police system, it cannot be seen as part of a planned effort to strengthen investigati</w:t>
      </w:r>
      <w:r w:rsidR="00777BC0">
        <w:rPr>
          <w:rFonts w:cs="Times New Roman"/>
          <w:sz w:val="22"/>
          <w:szCs w:val="22"/>
        </w:rPr>
        <w:t xml:space="preserve">on </w:t>
      </w:r>
      <w:r w:rsidRPr="00AE2F32">
        <w:rPr>
          <w:rFonts w:cs="Times New Roman"/>
          <w:sz w:val="22"/>
          <w:szCs w:val="22"/>
        </w:rPr>
        <w:t>against hate crimes,</w:t>
      </w:r>
      <w:r w:rsidRPr="00AE2F32">
        <w:rPr>
          <w:rStyle w:val="FootnoteReference"/>
          <w:rFonts w:cs="Times New Roman"/>
          <w:sz w:val="22"/>
          <w:szCs w:val="22"/>
        </w:rPr>
        <w:footnoteReference w:id="47"/>
      </w:r>
      <w:r w:rsidRPr="00AE2F32">
        <w:rPr>
          <w:rFonts w:cs="Times New Roman"/>
          <w:sz w:val="22"/>
          <w:szCs w:val="22"/>
        </w:rPr>
        <w:t xml:space="preserve"> neither can it ensure </w:t>
      </w:r>
      <w:r w:rsidR="00B7474C">
        <w:rPr>
          <w:rFonts w:cs="Times New Roman"/>
          <w:sz w:val="22"/>
          <w:szCs w:val="22"/>
        </w:rPr>
        <w:t xml:space="preserve">the </w:t>
      </w:r>
      <w:r w:rsidRPr="00AE2F32">
        <w:rPr>
          <w:rFonts w:cs="Times New Roman"/>
          <w:sz w:val="22"/>
          <w:szCs w:val="22"/>
        </w:rPr>
        <w:t>development of a victim-</w:t>
      </w:r>
      <w:r w:rsidR="00777BC0">
        <w:rPr>
          <w:rFonts w:cs="Times New Roman"/>
          <w:sz w:val="22"/>
          <w:szCs w:val="22"/>
        </w:rPr>
        <w:t>based</w:t>
      </w:r>
      <w:r w:rsidRPr="00AE2F32">
        <w:rPr>
          <w:rFonts w:cs="Times New Roman"/>
          <w:sz w:val="22"/>
          <w:szCs w:val="22"/>
        </w:rPr>
        <w:t xml:space="preserve"> approach and systemic prevention policy. </w:t>
      </w:r>
    </w:p>
    <w:p w14:paraId="02F260A8" w14:textId="77777777" w:rsidR="0035221B" w:rsidRPr="00AE2F32" w:rsidRDefault="0035221B" w:rsidP="0035221B">
      <w:pPr>
        <w:jc w:val="both"/>
        <w:rPr>
          <w:rFonts w:cs="Times New Roman"/>
          <w:color w:val="000000" w:themeColor="text1"/>
          <w:sz w:val="22"/>
          <w:szCs w:val="22"/>
          <w:lang w:val="ka-GE"/>
        </w:rPr>
      </w:pPr>
    </w:p>
    <w:p w14:paraId="2772C0BC" w14:textId="37D46B4F" w:rsidR="0035221B" w:rsidRPr="00AE2F32" w:rsidRDefault="0035221B" w:rsidP="0035221B">
      <w:pPr>
        <w:jc w:val="both"/>
        <w:rPr>
          <w:rFonts w:cs="Times New Roman"/>
          <w:color w:val="000000" w:themeColor="text1"/>
          <w:sz w:val="22"/>
          <w:szCs w:val="22"/>
        </w:rPr>
      </w:pPr>
      <w:r w:rsidRPr="00AE2F32">
        <w:rPr>
          <w:rFonts w:cs="Times New Roman"/>
          <w:color w:val="000000" w:themeColor="text1"/>
          <w:sz w:val="22"/>
          <w:szCs w:val="22"/>
        </w:rPr>
        <w:t xml:space="preserve">The scale of hate crimes is well illustrated by the rise of ultraconservative violent groups and their continuous and explicitly discriminatory practices against </w:t>
      </w:r>
      <w:r w:rsidR="004B4077">
        <w:rPr>
          <w:rFonts w:cs="Times New Roman"/>
          <w:color w:val="000000" w:themeColor="text1"/>
          <w:sz w:val="22"/>
          <w:szCs w:val="22"/>
        </w:rPr>
        <w:t xml:space="preserve">the </w:t>
      </w:r>
      <w:r w:rsidRPr="00AE2F32">
        <w:rPr>
          <w:rFonts w:cs="Times New Roman"/>
          <w:color w:val="000000" w:themeColor="text1"/>
          <w:sz w:val="22"/>
          <w:szCs w:val="22"/>
        </w:rPr>
        <w:t>LGBTQ community. On November 8, 2019, in Tbilisi, during the premiere of the film “and then we danced”</w:t>
      </w:r>
      <w:r w:rsidR="002B4140">
        <w:rPr>
          <w:rFonts w:cs="Times New Roman"/>
          <w:color w:val="000000" w:themeColor="text1"/>
          <w:sz w:val="22"/>
          <w:szCs w:val="22"/>
        </w:rPr>
        <w:t>,</w:t>
      </w:r>
      <w:r w:rsidRPr="00AE2F32">
        <w:rPr>
          <w:rStyle w:val="FootnoteReference"/>
          <w:rFonts w:cs="Times New Roman"/>
          <w:color w:val="000000" w:themeColor="text1"/>
          <w:sz w:val="22"/>
          <w:szCs w:val="22"/>
        </w:rPr>
        <w:t xml:space="preserve"> </w:t>
      </w:r>
      <w:r w:rsidRPr="00AE2F32">
        <w:rPr>
          <w:rStyle w:val="FootnoteReference"/>
          <w:rFonts w:cs="Times New Roman"/>
          <w:color w:val="000000" w:themeColor="text1"/>
          <w:sz w:val="22"/>
          <w:szCs w:val="22"/>
        </w:rPr>
        <w:footnoteReference w:id="48"/>
      </w:r>
      <w:r w:rsidRPr="00AE2F32">
        <w:rPr>
          <w:rFonts w:cs="Times New Roman"/>
          <w:color w:val="000000" w:themeColor="text1"/>
          <w:sz w:val="22"/>
          <w:szCs w:val="22"/>
        </w:rPr>
        <w:t xml:space="preserve"> </w:t>
      </w:r>
      <w:r w:rsidR="002B4140">
        <w:rPr>
          <w:rFonts w:cs="Times New Roman"/>
          <w:color w:val="000000" w:themeColor="text1"/>
          <w:sz w:val="22"/>
          <w:szCs w:val="22"/>
        </w:rPr>
        <w:t xml:space="preserve">various groups, including </w:t>
      </w:r>
      <w:r w:rsidRPr="00AE2F32">
        <w:rPr>
          <w:rFonts w:cs="Times New Roman"/>
          <w:color w:val="000000" w:themeColor="text1"/>
          <w:sz w:val="22"/>
          <w:szCs w:val="22"/>
        </w:rPr>
        <w:t>violent</w:t>
      </w:r>
      <w:r w:rsidR="002B4140">
        <w:rPr>
          <w:rFonts w:cs="Times New Roman"/>
          <w:color w:val="000000" w:themeColor="text1"/>
          <w:sz w:val="22"/>
          <w:szCs w:val="22"/>
        </w:rPr>
        <w:t>,</w:t>
      </w:r>
      <w:r w:rsidRPr="00AE2F32">
        <w:rPr>
          <w:rFonts w:cs="Times New Roman"/>
          <w:color w:val="000000" w:themeColor="text1"/>
          <w:sz w:val="22"/>
          <w:szCs w:val="22"/>
        </w:rPr>
        <w:t xml:space="preserve"> gathered around the cinema and openly confronted those who came to watch the movie, as well as police officers. 27 administrative </w:t>
      </w:r>
      <w:r w:rsidR="00B7474C">
        <w:rPr>
          <w:rFonts w:cs="Times New Roman"/>
          <w:color w:val="000000" w:themeColor="text1"/>
          <w:sz w:val="22"/>
          <w:szCs w:val="22"/>
        </w:rPr>
        <w:t>offenses</w:t>
      </w:r>
      <w:r w:rsidRPr="00AE2F32">
        <w:rPr>
          <w:rFonts w:cs="Times New Roman"/>
          <w:color w:val="000000" w:themeColor="text1"/>
          <w:sz w:val="22"/>
          <w:szCs w:val="22"/>
        </w:rPr>
        <w:t xml:space="preserve"> were recorded, and </w:t>
      </w:r>
      <w:r w:rsidR="004B4077">
        <w:rPr>
          <w:rFonts w:cs="Times New Roman"/>
          <w:color w:val="000000" w:themeColor="text1"/>
          <w:sz w:val="22"/>
          <w:szCs w:val="22"/>
        </w:rPr>
        <w:t xml:space="preserve">an </w:t>
      </w:r>
      <w:r w:rsidRPr="00AE2F32">
        <w:rPr>
          <w:rFonts w:cs="Times New Roman"/>
          <w:color w:val="000000" w:themeColor="text1"/>
          <w:sz w:val="22"/>
          <w:szCs w:val="22"/>
        </w:rPr>
        <w:t>investigation was initiated</w:t>
      </w:r>
      <w:r w:rsidR="00777BC0">
        <w:rPr>
          <w:rFonts w:cs="Times New Roman"/>
          <w:color w:val="000000" w:themeColor="text1"/>
          <w:sz w:val="22"/>
          <w:szCs w:val="22"/>
        </w:rPr>
        <w:t>.</w:t>
      </w:r>
      <w:r w:rsidRPr="00AE2F32">
        <w:rPr>
          <w:rFonts w:cs="Times New Roman"/>
          <w:color w:val="000000" w:themeColor="text1"/>
          <w:sz w:val="22"/>
          <w:szCs w:val="22"/>
        </w:rPr>
        <w:t xml:space="preserve"> However, state indifference towards the statements of violent group</w:t>
      </w:r>
      <w:r w:rsidR="009165C2">
        <w:rPr>
          <w:rFonts w:cs="Times New Roman"/>
          <w:color w:val="000000" w:themeColor="text1"/>
          <w:sz w:val="22"/>
          <w:szCs w:val="22"/>
        </w:rPr>
        <w:t xml:space="preserve"> leaders</w:t>
      </w:r>
      <w:r w:rsidRPr="00AE2F32">
        <w:rPr>
          <w:rFonts w:cs="Times New Roman"/>
          <w:color w:val="000000" w:themeColor="text1"/>
          <w:sz w:val="22"/>
          <w:szCs w:val="22"/>
        </w:rPr>
        <w:t xml:space="preserve"> </w:t>
      </w:r>
      <w:r w:rsidR="004B4077">
        <w:rPr>
          <w:rFonts w:cs="Times New Roman"/>
          <w:color w:val="000000" w:themeColor="text1"/>
          <w:sz w:val="22"/>
          <w:szCs w:val="22"/>
        </w:rPr>
        <w:t>before</w:t>
      </w:r>
      <w:r w:rsidRPr="00AE2F32">
        <w:rPr>
          <w:rFonts w:cs="Times New Roman"/>
          <w:color w:val="000000" w:themeColor="text1"/>
          <w:sz w:val="22"/>
          <w:szCs w:val="22"/>
        </w:rPr>
        <w:t xml:space="preserve"> the premiere, who made public threats and urged supporters to disrupt the premiere, is to be negatively assessed. </w:t>
      </w:r>
      <w:r w:rsidRPr="00AE2F32">
        <w:rPr>
          <w:rStyle w:val="FootnoteReference"/>
          <w:rFonts w:cs="Times New Roman"/>
          <w:color w:val="000000" w:themeColor="text1"/>
          <w:sz w:val="22"/>
          <w:szCs w:val="22"/>
        </w:rPr>
        <w:footnoteReference w:id="49"/>
      </w:r>
      <w:r w:rsidRPr="00AE2F32">
        <w:rPr>
          <w:rFonts w:cs="Times New Roman"/>
          <w:color w:val="000000" w:themeColor="text1"/>
          <w:sz w:val="22"/>
          <w:szCs w:val="22"/>
        </w:rPr>
        <w:t xml:space="preserve"> These activities point to mobilization practices of ultraconservative and violent groups and </w:t>
      </w:r>
      <w:r w:rsidR="00B7474C">
        <w:rPr>
          <w:rFonts w:cs="Times New Roman"/>
          <w:color w:val="000000" w:themeColor="text1"/>
          <w:sz w:val="22"/>
          <w:szCs w:val="22"/>
        </w:rPr>
        <w:t xml:space="preserve">the </w:t>
      </w:r>
      <w:r w:rsidRPr="00AE2F32">
        <w:rPr>
          <w:rFonts w:cs="Times New Roman"/>
          <w:color w:val="000000" w:themeColor="text1"/>
          <w:sz w:val="22"/>
          <w:szCs w:val="22"/>
        </w:rPr>
        <w:t xml:space="preserve">cultivation of homophobia and transphobia in the society, which is not countered by effective preventive and punishment mechanisms. </w:t>
      </w:r>
    </w:p>
    <w:p w14:paraId="7858AC82" w14:textId="77777777" w:rsidR="0035221B" w:rsidRPr="00AE2F32" w:rsidRDefault="0035221B" w:rsidP="0035221B">
      <w:pPr>
        <w:jc w:val="both"/>
        <w:rPr>
          <w:rFonts w:cs="Times New Roman"/>
          <w:noProof/>
          <w:sz w:val="22"/>
          <w:szCs w:val="22"/>
          <w:lang w:val="ka-GE"/>
        </w:rPr>
      </w:pPr>
    </w:p>
    <w:p w14:paraId="124DF71F" w14:textId="5FFE8226" w:rsidR="0035221B" w:rsidRPr="00AE2F32" w:rsidRDefault="0035221B" w:rsidP="0035221B">
      <w:pPr>
        <w:jc w:val="both"/>
        <w:rPr>
          <w:rFonts w:eastAsia="Times New Roman" w:cs="Times New Roman"/>
          <w:b/>
          <w:bCs/>
          <w:noProof/>
          <w:sz w:val="22"/>
          <w:szCs w:val="22"/>
          <w:lang w:val="ka-GE"/>
        </w:rPr>
      </w:pPr>
      <w:r w:rsidRPr="00AE2F32">
        <w:rPr>
          <w:rFonts w:cs="Times New Roman"/>
          <w:noProof/>
          <w:sz w:val="22"/>
          <w:szCs w:val="22"/>
          <w:lang w:val="ka-GE"/>
        </w:rPr>
        <w:t xml:space="preserve">The most </w:t>
      </w:r>
      <w:r w:rsidR="00B7474C">
        <w:rPr>
          <w:rFonts w:cs="Times New Roman"/>
          <w:noProof/>
          <w:sz w:val="22"/>
          <w:szCs w:val="22"/>
          <w:lang w:val="ka-GE"/>
        </w:rPr>
        <w:t>vulnerable</w:t>
      </w:r>
      <w:r w:rsidRPr="00AE2F32">
        <w:rPr>
          <w:rFonts w:cs="Times New Roman"/>
          <w:noProof/>
          <w:sz w:val="22"/>
          <w:szCs w:val="22"/>
          <w:lang w:val="ka-GE"/>
        </w:rPr>
        <w:t xml:space="preserve"> </w:t>
      </w:r>
      <w:r w:rsidRPr="00AE2F32">
        <w:rPr>
          <w:rFonts w:cs="Times New Roman"/>
          <w:noProof/>
          <w:sz w:val="22"/>
          <w:szCs w:val="22"/>
        </w:rPr>
        <w:t xml:space="preserve">group </w:t>
      </w:r>
      <w:r w:rsidRPr="00AE2F32">
        <w:rPr>
          <w:rFonts w:cs="Times New Roman"/>
          <w:noProof/>
          <w:sz w:val="22"/>
          <w:szCs w:val="22"/>
          <w:lang w:val="ka-GE"/>
        </w:rPr>
        <w:t xml:space="preserve">among </w:t>
      </w:r>
      <w:r w:rsidR="00B7474C">
        <w:rPr>
          <w:rFonts w:cs="Times New Roman"/>
          <w:noProof/>
          <w:sz w:val="22"/>
          <w:szCs w:val="22"/>
          <w:lang w:val="ka-GE"/>
        </w:rPr>
        <w:t xml:space="preserve">the </w:t>
      </w:r>
      <w:r w:rsidRPr="00AE2F32">
        <w:rPr>
          <w:rFonts w:cs="Times New Roman"/>
          <w:noProof/>
          <w:sz w:val="22"/>
          <w:szCs w:val="22"/>
          <w:lang w:val="ka-GE"/>
        </w:rPr>
        <w:t xml:space="preserve">LGBTQ community still </w:t>
      </w:r>
      <w:r w:rsidRPr="00AE2F32">
        <w:rPr>
          <w:rFonts w:cs="Times New Roman"/>
          <w:noProof/>
          <w:sz w:val="22"/>
          <w:szCs w:val="22"/>
        </w:rPr>
        <w:t xml:space="preserve">are </w:t>
      </w:r>
      <w:r w:rsidRPr="00AE2F32">
        <w:rPr>
          <w:rFonts w:cs="Times New Roman"/>
          <w:noProof/>
          <w:sz w:val="22"/>
          <w:szCs w:val="22"/>
          <w:lang w:val="ka-GE"/>
        </w:rPr>
        <w:t xml:space="preserve">transgender people. </w:t>
      </w:r>
      <w:r w:rsidRPr="00AE2F32">
        <w:rPr>
          <w:rFonts w:cs="Times New Roman"/>
          <w:noProof/>
          <w:sz w:val="22"/>
          <w:szCs w:val="22"/>
        </w:rPr>
        <w:t>Together with</w:t>
      </w:r>
      <w:r w:rsidRPr="00AE2F32">
        <w:rPr>
          <w:rFonts w:cs="Times New Roman"/>
          <w:noProof/>
          <w:sz w:val="22"/>
          <w:szCs w:val="22"/>
          <w:lang w:val="ka-GE"/>
        </w:rPr>
        <w:t xml:space="preserve"> transphobic crimes, </w:t>
      </w:r>
      <w:r w:rsidR="00B7474C">
        <w:rPr>
          <w:rFonts w:cs="Times New Roman"/>
          <w:noProof/>
          <w:sz w:val="22"/>
          <w:szCs w:val="22"/>
          <w:lang w:val="ka-GE"/>
        </w:rPr>
        <w:t xml:space="preserve">the </w:t>
      </w:r>
      <w:r w:rsidRPr="00AE2F32">
        <w:rPr>
          <w:rFonts w:cs="Times New Roman"/>
          <w:noProof/>
          <w:sz w:val="22"/>
          <w:szCs w:val="22"/>
        </w:rPr>
        <w:t xml:space="preserve">inability to change records of gender in civil acts without undergoing surgery </w:t>
      </w:r>
      <w:r w:rsidR="004B4077">
        <w:rPr>
          <w:rFonts w:cs="Times New Roman"/>
          <w:noProof/>
          <w:sz w:val="22"/>
          <w:szCs w:val="22"/>
        </w:rPr>
        <w:t>remains</w:t>
      </w:r>
      <w:r w:rsidRPr="00AE2F32">
        <w:rPr>
          <w:rFonts w:cs="Times New Roman"/>
          <w:noProof/>
          <w:sz w:val="22"/>
          <w:szCs w:val="22"/>
        </w:rPr>
        <w:t xml:space="preserve"> </w:t>
      </w:r>
      <w:r w:rsidRPr="00AE2F32">
        <w:rPr>
          <w:rFonts w:cs="Times New Roman"/>
          <w:noProof/>
          <w:sz w:val="22"/>
          <w:szCs w:val="22"/>
          <w:lang w:val="ka-GE"/>
        </w:rPr>
        <w:t xml:space="preserve">problematic. </w:t>
      </w:r>
      <w:r w:rsidRPr="00AE2F32">
        <w:rPr>
          <w:rFonts w:cs="Times New Roman"/>
          <w:noProof/>
          <w:sz w:val="22"/>
          <w:szCs w:val="22"/>
        </w:rPr>
        <w:t xml:space="preserve">The requirement of a sex reassignment surgical intervention and a relevant medical certificate for changing records of gender violates </w:t>
      </w:r>
      <w:r w:rsidRPr="00AE2F32">
        <w:rPr>
          <w:rStyle w:val="Strong"/>
          <w:rFonts w:cs="Times New Roman"/>
          <w:sz w:val="22"/>
          <w:szCs w:val="22"/>
          <w:shd w:val="clear" w:color="auto" w:fill="FFFFFF"/>
        </w:rPr>
        <w:t xml:space="preserve">rights to private life, </w:t>
      </w:r>
      <w:r w:rsidR="00B7474C">
        <w:rPr>
          <w:rStyle w:val="Strong"/>
          <w:rFonts w:cs="Times New Roman"/>
          <w:sz w:val="22"/>
          <w:szCs w:val="22"/>
          <w:shd w:val="clear" w:color="auto" w:fill="FFFFFF"/>
        </w:rPr>
        <w:t xml:space="preserve">the </w:t>
      </w:r>
      <w:r w:rsidRPr="00AE2F32">
        <w:rPr>
          <w:rStyle w:val="Strong"/>
          <w:rFonts w:cs="Times New Roman"/>
          <w:sz w:val="22"/>
          <w:szCs w:val="22"/>
          <w:shd w:val="clear" w:color="auto" w:fill="FFFFFF"/>
        </w:rPr>
        <w:t xml:space="preserve">prohibition of inhumane treatment, free personal development, and independent decisions on medical interference. Precisely on this issue, GYLA with a partner organization </w:t>
      </w:r>
      <w:r w:rsidRPr="00AE2F32">
        <w:rPr>
          <w:rFonts w:cs="Times New Roman"/>
          <w:noProof/>
          <w:sz w:val="22"/>
          <w:szCs w:val="22"/>
        </w:rPr>
        <w:t xml:space="preserve">- </w:t>
      </w:r>
      <w:r w:rsidRPr="00AE2F32">
        <w:rPr>
          <w:rFonts w:cs="Times New Roman"/>
          <w:noProof/>
          <w:sz w:val="22"/>
          <w:szCs w:val="22"/>
          <w:lang w:val="ka-GE"/>
        </w:rPr>
        <w:t>EHRAC</w:t>
      </w:r>
      <w:r w:rsidRPr="00AE2F32">
        <w:rPr>
          <w:rFonts w:cs="Times New Roman"/>
          <w:noProof/>
          <w:sz w:val="22"/>
          <w:szCs w:val="22"/>
        </w:rPr>
        <w:t xml:space="preserve"> has </w:t>
      </w:r>
      <w:r w:rsidR="004B4077">
        <w:rPr>
          <w:rFonts w:cs="Times New Roman"/>
          <w:noProof/>
          <w:sz w:val="22"/>
          <w:szCs w:val="22"/>
        </w:rPr>
        <w:t>applied</w:t>
      </w:r>
      <w:r w:rsidRPr="00AE2F32">
        <w:rPr>
          <w:rFonts w:cs="Times New Roman"/>
          <w:noProof/>
          <w:sz w:val="22"/>
          <w:szCs w:val="22"/>
        </w:rPr>
        <w:t xml:space="preserve"> to the </w:t>
      </w:r>
      <w:r w:rsidR="009165C2">
        <w:rPr>
          <w:rFonts w:cs="Times New Roman"/>
          <w:noProof/>
          <w:sz w:val="22"/>
          <w:szCs w:val="22"/>
        </w:rPr>
        <w:t>ECHR</w:t>
      </w:r>
      <w:r w:rsidRPr="00AE2F32">
        <w:rPr>
          <w:rFonts w:cs="Times New Roman"/>
          <w:noProof/>
          <w:sz w:val="22"/>
          <w:szCs w:val="22"/>
          <w:lang w:val="ka-GE"/>
        </w:rPr>
        <w:t>.</w:t>
      </w:r>
      <w:r w:rsidRPr="00AE2F32">
        <w:rPr>
          <w:rStyle w:val="FootnoteReference"/>
          <w:rFonts w:cs="Times New Roman"/>
          <w:noProof/>
          <w:sz w:val="22"/>
          <w:szCs w:val="22"/>
          <w:lang w:val="en-GB"/>
        </w:rPr>
        <w:footnoteReference w:id="50"/>
      </w:r>
    </w:p>
    <w:p w14:paraId="540E2951" w14:textId="77777777" w:rsidR="0035221B" w:rsidRPr="00AE2F32" w:rsidRDefault="0035221B" w:rsidP="0035221B">
      <w:pPr>
        <w:jc w:val="both"/>
        <w:rPr>
          <w:rFonts w:eastAsia="Times New Roman" w:cs="Times New Roman"/>
          <w:b/>
          <w:bCs/>
          <w:noProof/>
          <w:sz w:val="22"/>
          <w:szCs w:val="22"/>
          <w:lang w:val="ka-GE"/>
        </w:rPr>
      </w:pPr>
    </w:p>
    <w:p w14:paraId="3E53E616" w14:textId="77777777" w:rsidR="0035221B" w:rsidRPr="00AE2F32" w:rsidRDefault="0035221B" w:rsidP="0035221B">
      <w:pPr>
        <w:shd w:val="clear" w:color="auto" w:fill="D0CECE" w:themeFill="background2" w:themeFillShade="E6"/>
        <w:jc w:val="both"/>
        <w:rPr>
          <w:rFonts w:cs="Times New Roman"/>
          <w:b/>
          <w:sz w:val="22"/>
          <w:szCs w:val="22"/>
        </w:rPr>
      </w:pPr>
      <w:r w:rsidRPr="00AE2F32">
        <w:rPr>
          <w:rFonts w:cs="Times New Roman"/>
          <w:b/>
          <w:sz w:val="22"/>
          <w:szCs w:val="22"/>
        </w:rPr>
        <w:t>Recommendations:</w:t>
      </w:r>
    </w:p>
    <w:p w14:paraId="33AEB5C8" w14:textId="41D3E7E3" w:rsidR="0035221B" w:rsidRPr="00AE2F32" w:rsidRDefault="003E0673" w:rsidP="003E0673">
      <w:pPr>
        <w:pStyle w:val="ListParagraph"/>
        <w:numPr>
          <w:ilvl w:val="0"/>
          <w:numId w:val="35"/>
        </w:numPr>
        <w:shd w:val="clear" w:color="auto" w:fill="D0CECE" w:themeFill="background2" w:themeFillShade="E6"/>
        <w:spacing w:after="160" w:line="259" w:lineRule="auto"/>
        <w:jc w:val="both"/>
        <w:rPr>
          <w:rFonts w:cs="Times New Roman"/>
          <w:b/>
          <w:sz w:val="22"/>
          <w:szCs w:val="22"/>
        </w:rPr>
      </w:pPr>
      <w:r w:rsidRPr="003E0673">
        <w:rPr>
          <w:rFonts w:cs="Times New Roman"/>
          <w:sz w:val="22"/>
          <w:szCs w:val="22"/>
        </w:rPr>
        <w:t>Strengthening institutional measures within the law enforcement system to effectively fight, investigate</w:t>
      </w:r>
      <w:r w:rsidR="004B4077">
        <w:rPr>
          <w:rFonts w:cs="Times New Roman"/>
          <w:sz w:val="22"/>
          <w:szCs w:val="22"/>
        </w:rPr>
        <w:t>,</w:t>
      </w:r>
      <w:r w:rsidRPr="003E0673">
        <w:rPr>
          <w:rFonts w:cs="Times New Roman"/>
          <w:sz w:val="22"/>
          <w:szCs w:val="22"/>
        </w:rPr>
        <w:t xml:space="preserve"> and prevent hate crimes based on sexual orientation and gender identity</w:t>
      </w:r>
      <w:r>
        <w:rPr>
          <w:rFonts w:cs="Times New Roman"/>
          <w:sz w:val="22"/>
          <w:szCs w:val="22"/>
        </w:rPr>
        <w:t>.</w:t>
      </w:r>
    </w:p>
    <w:p w14:paraId="508080B0" w14:textId="41B9F240" w:rsidR="0035221B" w:rsidRPr="00256F01" w:rsidRDefault="002E49B4" w:rsidP="003E0673">
      <w:pPr>
        <w:pStyle w:val="ListParagraph"/>
        <w:numPr>
          <w:ilvl w:val="0"/>
          <w:numId w:val="35"/>
        </w:numPr>
        <w:shd w:val="clear" w:color="auto" w:fill="D0CECE" w:themeFill="background2" w:themeFillShade="E6"/>
        <w:spacing w:after="160" w:line="259" w:lineRule="auto"/>
        <w:jc w:val="both"/>
        <w:rPr>
          <w:rFonts w:cs="Times New Roman"/>
          <w:sz w:val="22"/>
          <w:szCs w:val="22"/>
        </w:rPr>
      </w:pPr>
      <w:r>
        <w:rPr>
          <w:rFonts w:cs="Times New Roman"/>
          <w:sz w:val="22"/>
          <w:szCs w:val="22"/>
        </w:rPr>
        <w:t>Develop and ensure</w:t>
      </w:r>
      <w:r w:rsidR="003E0673" w:rsidRPr="003E0673">
        <w:rPr>
          <w:rFonts w:cs="Times New Roman"/>
          <w:sz w:val="22"/>
          <w:szCs w:val="22"/>
        </w:rPr>
        <w:t xml:space="preserve"> the elaboration of the effective preventive policies against</w:t>
      </w:r>
      <w:r w:rsidR="003E0673">
        <w:rPr>
          <w:rFonts w:cs="Times New Roman"/>
          <w:sz w:val="22"/>
          <w:szCs w:val="22"/>
        </w:rPr>
        <w:t xml:space="preserve"> </w:t>
      </w:r>
      <w:r w:rsidR="003E0673" w:rsidRPr="00256F01">
        <w:rPr>
          <w:rFonts w:cs="Times New Roman"/>
          <w:sz w:val="22"/>
          <w:szCs w:val="22"/>
        </w:rPr>
        <w:t>hate crimes/</w:t>
      </w:r>
      <w:r w:rsidR="003E0673">
        <w:rPr>
          <w:rFonts w:cs="Times New Roman"/>
          <w:sz w:val="22"/>
          <w:szCs w:val="22"/>
        </w:rPr>
        <w:t>incidents trough interagency and multispectral</w:t>
      </w:r>
      <w:r>
        <w:rPr>
          <w:rFonts w:cs="Times New Roman"/>
          <w:sz w:val="22"/>
          <w:szCs w:val="22"/>
        </w:rPr>
        <w:t xml:space="preserve"> victim-based</w:t>
      </w:r>
      <w:r w:rsidR="003E0673">
        <w:rPr>
          <w:rFonts w:cs="Times New Roman"/>
          <w:sz w:val="22"/>
          <w:szCs w:val="22"/>
        </w:rPr>
        <w:t xml:space="preserve"> approach</w:t>
      </w:r>
      <w:r w:rsidR="003E0673" w:rsidRPr="003E0673">
        <w:rPr>
          <w:rFonts w:cs="Times New Roman"/>
          <w:sz w:val="22"/>
          <w:szCs w:val="22"/>
        </w:rPr>
        <w:t xml:space="preserve">. </w:t>
      </w:r>
    </w:p>
    <w:p w14:paraId="6CD5C144" w14:textId="158F479C" w:rsidR="0035221B" w:rsidRPr="00AE2F32" w:rsidRDefault="00D658D6" w:rsidP="0035221B">
      <w:pPr>
        <w:pStyle w:val="ListParagraph"/>
        <w:numPr>
          <w:ilvl w:val="0"/>
          <w:numId w:val="35"/>
        </w:numPr>
        <w:shd w:val="clear" w:color="auto" w:fill="D0CECE" w:themeFill="background2" w:themeFillShade="E6"/>
        <w:spacing w:after="160" w:line="259" w:lineRule="auto"/>
        <w:jc w:val="both"/>
        <w:rPr>
          <w:rFonts w:cs="Times New Roman"/>
          <w:b/>
          <w:sz w:val="22"/>
          <w:szCs w:val="22"/>
          <w:lang w:val="ka-GE"/>
        </w:rPr>
      </w:pPr>
      <w:r>
        <w:rPr>
          <w:rFonts w:cs="Times New Roman"/>
          <w:bCs/>
          <w:sz w:val="22"/>
          <w:szCs w:val="22"/>
        </w:rPr>
        <w:t>Create</w:t>
      </w:r>
      <w:r w:rsidR="0035221B" w:rsidRPr="00AE2F32">
        <w:rPr>
          <w:rFonts w:cs="Times New Roman"/>
          <w:bCs/>
          <w:sz w:val="22"/>
          <w:szCs w:val="22"/>
        </w:rPr>
        <w:t xml:space="preserve"> transparent and effective administrative mechanisms for legal recognition of gender, which will be detached from a medical sphere and will not foresee inappropriate and intrusive medical intervention as a precondition in the legal recognition process. </w:t>
      </w:r>
    </w:p>
    <w:p w14:paraId="3759EE95" w14:textId="5D4BFEE6" w:rsidR="000567EA" w:rsidRPr="00AE2F32" w:rsidRDefault="000567EA" w:rsidP="00EB1CFE">
      <w:pPr>
        <w:rPr>
          <w:rFonts w:eastAsia="Times New Roman" w:cs="Times New Roman"/>
          <w:sz w:val="22"/>
          <w:szCs w:val="22"/>
          <w:lang w:val="en-GB"/>
        </w:rPr>
      </w:pPr>
    </w:p>
    <w:p w14:paraId="36F6E7C3" w14:textId="72CA77B1" w:rsidR="00962CBE" w:rsidRPr="00AE2F32" w:rsidRDefault="00972A2A" w:rsidP="0023502D">
      <w:pPr>
        <w:pStyle w:val="Heading2"/>
        <w:numPr>
          <w:ilvl w:val="0"/>
          <w:numId w:val="15"/>
        </w:numPr>
        <w:spacing w:before="0"/>
        <w:rPr>
          <w:rFonts w:asciiTheme="minorHAnsi" w:hAnsiTheme="minorHAnsi" w:cs="Sylfaen"/>
          <w:sz w:val="22"/>
          <w:szCs w:val="22"/>
          <w:lang w:val="en-GB"/>
        </w:rPr>
      </w:pPr>
      <w:bookmarkStart w:id="29" w:name="_Toc48565939"/>
      <w:r w:rsidRPr="00AE2F32">
        <w:rPr>
          <w:rFonts w:asciiTheme="minorHAnsi" w:hAnsiTheme="minorHAnsi" w:cs="Sylfaen"/>
          <w:sz w:val="22"/>
          <w:szCs w:val="22"/>
          <w:lang w:val="en-GB"/>
        </w:rPr>
        <w:t>Article</w:t>
      </w:r>
      <w:r w:rsidR="00962CBE" w:rsidRPr="00AE2F32">
        <w:rPr>
          <w:rFonts w:asciiTheme="minorHAnsi" w:hAnsiTheme="minorHAnsi" w:cs="Sylfaen"/>
          <w:sz w:val="22"/>
          <w:szCs w:val="22"/>
          <w:lang w:val="en-GB"/>
        </w:rPr>
        <w:t xml:space="preserve"> 3</w:t>
      </w:r>
      <w:r w:rsidR="00E255C8" w:rsidRPr="00AE2F32">
        <w:rPr>
          <w:rFonts w:asciiTheme="minorHAnsi" w:hAnsiTheme="minorHAnsi" w:cs="Sylfaen"/>
          <w:sz w:val="22"/>
          <w:szCs w:val="22"/>
          <w:lang w:val="en-GB"/>
        </w:rPr>
        <w:t xml:space="preserve">: </w:t>
      </w:r>
      <w:r w:rsidRPr="00AE2F32">
        <w:rPr>
          <w:rFonts w:asciiTheme="minorHAnsi" w:hAnsiTheme="minorHAnsi" w:cs="Sylfaen"/>
          <w:sz w:val="22"/>
          <w:szCs w:val="22"/>
          <w:lang w:val="en-GB"/>
        </w:rPr>
        <w:t>Gender Equality</w:t>
      </w:r>
      <w:bookmarkEnd w:id="29"/>
      <w:r w:rsidRPr="00AE2F32">
        <w:rPr>
          <w:rFonts w:asciiTheme="minorHAnsi" w:hAnsiTheme="minorHAnsi" w:cs="Sylfaen"/>
          <w:sz w:val="22"/>
          <w:szCs w:val="22"/>
          <w:lang w:val="en-GB"/>
        </w:rPr>
        <w:t xml:space="preserve"> </w:t>
      </w:r>
      <w:r w:rsidR="00962CBE" w:rsidRPr="00AE2F32">
        <w:rPr>
          <w:rFonts w:asciiTheme="minorHAnsi" w:hAnsiTheme="minorHAnsi" w:cs="Sylfaen"/>
          <w:sz w:val="22"/>
          <w:szCs w:val="22"/>
          <w:lang w:val="en-GB"/>
        </w:rPr>
        <w:t xml:space="preserve"> </w:t>
      </w:r>
    </w:p>
    <w:p w14:paraId="3925FEA7" w14:textId="6232B96A" w:rsidR="00962CBE" w:rsidRPr="00AE2F32" w:rsidRDefault="00A77BAD" w:rsidP="00EB1CFE">
      <w:pPr>
        <w:rPr>
          <w:rFonts w:eastAsia="Times New Roman" w:cs="Times New Roman"/>
          <w:sz w:val="22"/>
          <w:szCs w:val="22"/>
          <w:lang w:val="en-GB"/>
        </w:rPr>
      </w:pPr>
      <w:r w:rsidRPr="00AE2F32">
        <w:rPr>
          <w:rFonts w:eastAsia="Times New Roman" w:cs="Times New Roman"/>
          <w:b/>
          <w:bCs/>
          <w:sz w:val="22"/>
          <w:szCs w:val="22"/>
          <w:lang w:val="en-GB"/>
        </w:rPr>
        <w:t>                   </w:t>
      </w:r>
    </w:p>
    <w:p w14:paraId="340EA955" w14:textId="00DBD894" w:rsidR="00A43EF6" w:rsidRPr="00AE2F32" w:rsidRDefault="00972A2A" w:rsidP="00A43EF6">
      <w:pPr>
        <w:tabs>
          <w:tab w:val="left" w:pos="360"/>
        </w:tabs>
        <w:autoSpaceDE w:val="0"/>
        <w:autoSpaceDN w:val="0"/>
        <w:adjustRightInd w:val="0"/>
        <w:spacing w:after="120"/>
        <w:jc w:val="both"/>
        <w:rPr>
          <w:rFonts w:cs="Sylfaen"/>
          <w:color w:val="000000"/>
          <w:sz w:val="22"/>
          <w:szCs w:val="22"/>
          <w:lang w:val="en-GB"/>
        </w:rPr>
      </w:pPr>
      <w:r w:rsidRPr="00AE2F32">
        <w:rPr>
          <w:rFonts w:cs="Sylfaen"/>
          <w:color w:val="000000"/>
          <w:sz w:val="22"/>
          <w:szCs w:val="22"/>
          <w:lang w:val="en-GB"/>
        </w:rPr>
        <w:t xml:space="preserve">Women’s participation in </w:t>
      </w:r>
      <w:r w:rsidR="004B4077">
        <w:rPr>
          <w:rFonts w:cs="Sylfaen"/>
          <w:color w:val="000000"/>
          <w:sz w:val="22"/>
          <w:szCs w:val="22"/>
          <w:lang w:val="en-GB"/>
        </w:rPr>
        <w:t xml:space="preserve">the </w:t>
      </w:r>
      <w:r w:rsidRPr="00AE2F32">
        <w:rPr>
          <w:rFonts w:cs="Sylfaen"/>
          <w:color w:val="000000"/>
          <w:sz w:val="22"/>
          <w:szCs w:val="22"/>
          <w:lang w:val="en-GB"/>
        </w:rPr>
        <w:t xml:space="preserve">decision-making process is low in Georgia. Women make up 15% of the </w:t>
      </w:r>
      <w:r w:rsidR="00294ACF" w:rsidRPr="00AE2F32">
        <w:rPr>
          <w:rFonts w:cs="Sylfaen"/>
          <w:color w:val="000000"/>
          <w:sz w:val="22"/>
          <w:szCs w:val="22"/>
          <w:lang w:val="en-GB"/>
        </w:rPr>
        <w:t>P</w:t>
      </w:r>
      <w:r w:rsidRPr="00AE2F32">
        <w:rPr>
          <w:rFonts w:cs="Sylfaen"/>
          <w:color w:val="000000"/>
          <w:sz w:val="22"/>
          <w:szCs w:val="22"/>
          <w:lang w:val="en-GB"/>
        </w:rPr>
        <w:t>arliament and 13.4% of the city council</w:t>
      </w:r>
      <w:r w:rsidR="00294ACF" w:rsidRPr="00AE2F32">
        <w:rPr>
          <w:rFonts w:cs="Sylfaen"/>
          <w:color w:val="000000"/>
          <w:sz w:val="22"/>
          <w:szCs w:val="22"/>
          <w:lang w:val="en-GB"/>
        </w:rPr>
        <w:t>s</w:t>
      </w:r>
      <w:r w:rsidR="00837F27" w:rsidRPr="00AE2F32">
        <w:rPr>
          <w:rFonts w:cs="Sylfaen"/>
          <w:color w:val="000000"/>
          <w:sz w:val="22"/>
          <w:szCs w:val="22"/>
          <w:lang w:val="en-GB"/>
        </w:rPr>
        <w:t>.</w:t>
      </w:r>
      <w:r w:rsidR="00837F27" w:rsidRPr="00AE2F32">
        <w:rPr>
          <w:rFonts w:cs="Sylfaen"/>
          <w:color w:val="000000"/>
          <w:sz w:val="22"/>
          <w:szCs w:val="22"/>
          <w:vertAlign w:val="superscript"/>
          <w:lang w:val="en-GB"/>
        </w:rPr>
        <w:footnoteReference w:id="51"/>
      </w:r>
      <w:r w:rsidR="00837F27" w:rsidRPr="00AE2F32">
        <w:rPr>
          <w:rFonts w:cs="Sylfaen"/>
          <w:color w:val="000000"/>
          <w:sz w:val="22"/>
          <w:szCs w:val="22"/>
          <w:lang w:val="en-GB"/>
        </w:rPr>
        <w:t xml:space="preserve"> </w:t>
      </w:r>
      <w:r w:rsidR="00294ACF" w:rsidRPr="00AE2F32">
        <w:rPr>
          <w:rFonts w:cs="Sylfaen"/>
          <w:color w:val="000000"/>
          <w:sz w:val="22"/>
          <w:szCs w:val="22"/>
          <w:lang w:val="en-GB"/>
        </w:rPr>
        <w:t xml:space="preserve">The Parliament adopted </w:t>
      </w:r>
      <w:r w:rsidR="004B4077">
        <w:rPr>
          <w:rFonts w:cs="Sylfaen"/>
          <w:color w:val="000000"/>
          <w:sz w:val="22"/>
          <w:szCs w:val="22"/>
          <w:lang w:val="en-GB"/>
        </w:rPr>
        <w:t xml:space="preserve">a </w:t>
      </w:r>
      <w:r w:rsidR="00294ACF" w:rsidRPr="00AE2F32">
        <w:rPr>
          <w:rFonts w:cs="Sylfaen"/>
          <w:color w:val="000000"/>
          <w:sz w:val="22"/>
          <w:szCs w:val="22"/>
          <w:lang w:val="en-GB"/>
        </w:rPr>
        <w:t>mandatory quota mechanism.</w:t>
      </w:r>
      <w:r w:rsidR="00A43EF6" w:rsidRPr="00AE2F32">
        <w:rPr>
          <w:rFonts w:cs="Sylfaen"/>
          <w:color w:val="000000"/>
          <w:sz w:val="22"/>
          <w:szCs w:val="22"/>
          <w:lang w:val="en-GB"/>
        </w:rPr>
        <w:t xml:space="preserve"> Gender quota for parliamentary lists is 1/4 until 2028 and </w:t>
      </w:r>
      <w:r w:rsidR="004B4077">
        <w:rPr>
          <w:rFonts w:cs="Sylfaen"/>
          <w:color w:val="000000"/>
          <w:sz w:val="22"/>
          <w:szCs w:val="22"/>
          <w:lang w:val="en-GB"/>
        </w:rPr>
        <w:t>afterward</w:t>
      </w:r>
      <w:r w:rsidR="00A43EF6" w:rsidRPr="00AE2F32">
        <w:rPr>
          <w:rFonts w:cs="Sylfaen"/>
          <w:color w:val="000000"/>
          <w:sz w:val="22"/>
          <w:szCs w:val="22"/>
          <w:lang w:val="en-GB"/>
        </w:rPr>
        <w:t xml:space="preserve"> until 2032, 1/3.</w:t>
      </w:r>
      <w:r w:rsidR="00837F27" w:rsidRPr="00AE2F32">
        <w:rPr>
          <w:rFonts w:cs="Sylfaen"/>
          <w:color w:val="000000"/>
          <w:sz w:val="22"/>
          <w:szCs w:val="22"/>
          <w:vertAlign w:val="superscript"/>
          <w:lang w:val="en-GB"/>
        </w:rPr>
        <w:footnoteReference w:id="52"/>
      </w:r>
      <w:r w:rsidR="00837F27" w:rsidRPr="00AE2F32">
        <w:rPr>
          <w:rFonts w:cs="Sylfaen"/>
          <w:color w:val="000000"/>
          <w:sz w:val="22"/>
          <w:szCs w:val="22"/>
          <w:lang w:val="en-GB"/>
        </w:rPr>
        <w:t xml:space="preserve"> </w:t>
      </w:r>
      <w:r w:rsidR="00A43EF6" w:rsidRPr="00AE2F32">
        <w:rPr>
          <w:rFonts w:cs="Sylfaen"/>
          <w:color w:val="000000"/>
          <w:sz w:val="22"/>
          <w:szCs w:val="22"/>
          <w:lang w:val="en-GB"/>
        </w:rPr>
        <w:t xml:space="preserve">This quota for </w:t>
      </w:r>
      <w:r w:rsidR="00507BCD">
        <w:rPr>
          <w:rFonts w:cs="Sylfaen"/>
          <w:color w:val="000000"/>
          <w:sz w:val="22"/>
          <w:szCs w:val="22"/>
          <w:lang w:val="en-GB"/>
        </w:rPr>
        <w:t xml:space="preserve">the </w:t>
      </w:r>
      <w:r w:rsidR="00A43EF6" w:rsidRPr="00AE2F32">
        <w:rPr>
          <w:rFonts w:cs="Sylfaen"/>
          <w:color w:val="000000"/>
          <w:sz w:val="22"/>
          <w:szCs w:val="22"/>
          <w:lang w:val="en-GB"/>
        </w:rPr>
        <w:t>local self-government level in proportional lists is 50%.</w:t>
      </w:r>
      <w:r w:rsidR="00837F27" w:rsidRPr="00AE2F32">
        <w:rPr>
          <w:rFonts w:cs="Sylfaen"/>
          <w:color w:val="000000"/>
          <w:sz w:val="22"/>
          <w:szCs w:val="22"/>
          <w:vertAlign w:val="superscript"/>
          <w:lang w:val="en-GB"/>
        </w:rPr>
        <w:footnoteReference w:id="53"/>
      </w:r>
      <w:r w:rsidR="00A43EF6" w:rsidRPr="00AE2F32">
        <w:rPr>
          <w:rFonts w:cs="Sylfaen"/>
          <w:color w:val="000000"/>
          <w:sz w:val="22"/>
          <w:szCs w:val="22"/>
          <w:lang w:val="en-GB"/>
        </w:rPr>
        <w:t xml:space="preserve"> </w:t>
      </w:r>
      <w:r w:rsidR="00F323AB" w:rsidRPr="00AE2F32">
        <w:rPr>
          <w:rFonts w:cs="Sylfaen"/>
          <w:color w:val="000000"/>
          <w:sz w:val="22"/>
          <w:szCs w:val="22"/>
          <w:lang w:val="en-GB"/>
        </w:rPr>
        <w:t>On parliamentary level in 2032 and on self-</w:t>
      </w:r>
      <w:r w:rsidR="00F323AB" w:rsidRPr="00AE2F32">
        <w:rPr>
          <w:rFonts w:cs="Sylfaen"/>
          <w:color w:val="000000"/>
          <w:sz w:val="22"/>
          <w:szCs w:val="22"/>
          <w:lang w:val="en-GB"/>
        </w:rPr>
        <w:lastRenderedPageBreak/>
        <w:t xml:space="preserve">government level in </w:t>
      </w:r>
      <w:r w:rsidR="00507BCD">
        <w:rPr>
          <w:rFonts w:cs="Sylfaen"/>
          <w:color w:val="000000"/>
          <w:sz w:val="22"/>
          <w:szCs w:val="22"/>
          <w:lang w:val="en-GB"/>
        </w:rPr>
        <w:t xml:space="preserve">the </w:t>
      </w:r>
      <w:r w:rsidR="00F323AB" w:rsidRPr="00AE2F32">
        <w:rPr>
          <w:rFonts w:cs="Sylfaen"/>
          <w:color w:val="000000"/>
          <w:sz w:val="22"/>
          <w:szCs w:val="22"/>
          <w:lang w:val="en-GB"/>
        </w:rPr>
        <w:t xml:space="preserve">2028 quotation system will be ceased. This is </w:t>
      </w:r>
      <w:r w:rsidR="00507BCD">
        <w:rPr>
          <w:rFonts w:cs="Sylfaen"/>
          <w:color w:val="000000"/>
          <w:sz w:val="22"/>
          <w:szCs w:val="22"/>
          <w:lang w:val="en-GB"/>
        </w:rPr>
        <w:t xml:space="preserve">a </w:t>
      </w:r>
      <w:r w:rsidR="00F323AB" w:rsidRPr="00AE2F32">
        <w:rPr>
          <w:rFonts w:cs="Sylfaen"/>
          <w:color w:val="000000"/>
          <w:sz w:val="22"/>
          <w:szCs w:val="22"/>
          <w:lang w:val="en-GB"/>
        </w:rPr>
        <w:t>step forward, though insufficient.  Quota share is low and the timeframe</w:t>
      </w:r>
      <w:r w:rsidR="00507BCD">
        <w:rPr>
          <w:rFonts w:cs="Sylfaen"/>
          <w:color w:val="000000"/>
          <w:sz w:val="22"/>
          <w:szCs w:val="22"/>
          <w:lang w:val="en-GB"/>
        </w:rPr>
        <w:t>,</w:t>
      </w:r>
      <w:r w:rsidR="00F323AB" w:rsidRPr="00AE2F32">
        <w:rPr>
          <w:rFonts w:cs="Sylfaen"/>
          <w:color w:val="000000"/>
          <w:sz w:val="22"/>
          <w:szCs w:val="22"/>
          <w:lang w:val="en-GB"/>
        </w:rPr>
        <w:t xml:space="preserve"> while this system </w:t>
      </w:r>
      <w:r w:rsidR="00F80225" w:rsidRPr="00AE2F32">
        <w:rPr>
          <w:rFonts w:cs="Sylfaen"/>
          <w:color w:val="000000"/>
          <w:sz w:val="22"/>
          <w:szCs w:val="22"/>
          <w:lang w:val="en-GB"/>
        </w:rPr>
        <w:t>will act</w:t>
      </w:r>
      <w:r w:rsidR="00F323AB" w:rsidRPr="00AE2F32">
        <w:rPr>
          <w:rFonts w:cs="Sylfaen"/>
          <w:color w:val="000000"/>
          <w:sz w:val="22"/>
          <w:szCs w:val="22"/>
          <w:lang w:val="en-GB"/>
        </w:rPr>
        <w:t xml:space="preserve"> to achieve natural equality</w:t>
      </w:r>
      <w:r w:rsidR="00507BCD">
        <w:rPr>
          <w:rFonts w:cs="Sylfaen"/>
          <w:color w:val="000000"/>
          <w:sz w:val="22"/>
          <w:szCs w:val="22"/>
          <w:lang w:val="en-GB"/>
        </w:rPr>
        <w:t>,</w:t>
      </w:r>
      <w:r w:rsidR="00F323AB" w:rsidRPr="00AE2F32">
        <w:rPr>
          <w:rFonts w:cs="Sylfaen"/>
          <w:color w:val="000000"/>
          <w:sz w:val="22"/>
          <w:szCs w:val="22"/>
          <w:lang w:val="en-GB"/>
        </w:rPr>
        <w:t xml:space="preserve"> is short. </w:t>
      </w:r>
    </w:p>
    <w:p w14:paraId="5A9FE7DD" w14:textId="5D009D8A" w:rsidR="00837F27" w:rsidRPr="00AE2F32" w:rsidRDefault="00F80225" w:rsidP="00837F27">
      <w:pPr>
        <w:shd w:val="clear" w:color="auto" w:fill="C9C9C9" w:themeFill="accent3" w:themeFillTint="99"/>
        <w:tabs>
          <w:tab w:val="left" w:pos="360"/>
        </w:tabs>
        <w:autoSpaceDE w:val="0"/>
        <w:autoSpaceDN w:val="0"/>
        <w:adjustRightInd w:val="0"/>
        <w:spacing w:after="120"/>
        <w:jc w:val="both"/>
        <w:rPr>
          <w:rFonts w:cs="Sylfaen"/>
          <w:b/>
          <w:color w:val="000000"/>
          <w:sz w:val="22"/>
          <w:szCs w:val="22"/>
          <w:lang w:val="en-GB"/>
        </w:rPr>
      </w:pPr>
      <w:r w:rsidRPr="00AE2F32">
        <w:rPr>
          <w:rFonts w:cs="Sylfaen"/>
          <w:b/>
          <w:color w:val="000000"/>
          <w:sz w:val="22"/>
          <w:szCs w:val="22"/>
          <w:lang w:val="en-GB"/>
        </w:rPr>
        <w:t xml:space="preserve">Recommendation: </w:t>
      </w:r>
    </w:p>
    <w:p w14:paraId="5372CEE4" w14:textId="743CF37D" w:rsidR="00F80225" w:rsidRPr="00AE2F32" w:rsidRDefault="00D658D6" w:rsidP="0023502D">
      <w:pPr>
        <w:numPr>
          <w:ilvl w:val="0"/>
          <w:numId w:val="6"/>
        </w:numPr>
        <w:shd w:val="clear" w:color="auto" w:fill="C9C9C9" w:themeFill="accent3" w:themeFillTint="99"/>
        <w:tabs>
          <w:tab w:val="left" w:pos="360"/>
        </w:tabs>
        <w:autoSpaceDE w:val="0"/>
        <w:autoSpaceDN w:val="0"/>
        <w:adjustRightInd w:val="0"/>
        <w:spacing w:after="120"/>
        <w:ind w:left="0" w:firstLine="0"/>
        <w:jc w:val="both"/>
        <w:rPr>
          <w:rFonts w:cs="Sylfaen"/>
          <w:color w:val="000000"/>
          <w:sz w:val="22"/>
          <w:szCs w:val="22"/>
          <w:lang w:val="en-GB"/>
        </w:rPr>
      </w:pPr>
      <w:r>
        <w:rPr>
          <w:rFonts w:cs="Sylfaen"/>
          <w:color w:val="000000"/>
          <w:sz w:val="22"/>
          <w:szCs w:val="22"/>
          <w:lang w:val="en-GB"/>
        </w:rPr>
        <w:t>I</w:t>
      </w:r>
      <w:r w:rsidR="00F80225" w:rsidRPr="00AE2F32">
        <w:rPr>
          <w:rFonts w:cs="Sylfaen"/>
          <w:color w:val="000000"/>
          <w:sz w:val="22"/>
          <w:szCs w:val="22"/>
          <w:lang w:val="en-GB"/>
        </w:rPr>
        <w:t xml:space="preserve">ncrease </w:t>
      </w:r>
      <w:r w:rsidR="00B7474C">
        <w:rPr>
          <w:rFonts w:cs="Sylfaen"/>
          <w:color w:val="000000"/>
          <w:sz w:val="22"/>
          <w:szCs w:val="22"/>
          <w:lang w:val="en-GB"/>
        </w:rPr>
        <w:t>women's</w:t>
      </w:r>
      <w:r w:rsidR="00F80225" w:rsidRPr="00AE2F32">
        <w:rPr>
          <w:rFonts w:cs="Sylfaen"/>
          <w:color w:val="000000"/>
          <w:sz w:val="22"/>
          <w:szCs w:val="22"/>
          <w:lang w:val="en-GB"/>
        </w:rPr>
        <w:t xml:space="preserve"> role in politics, amend election code</w:t>
      </w:r>
      <w:r w:rsidR="00B7474C">
        <w:rPr>
          <w:rFonts w:cs="Sylfaen"/>
          <w:color w:val="000000"/>
          <w:sz w:val="22"/>
          <w:szCs w:val="22"/>
          <w:lang w:val="en-GB"/>
        </w:rPr>
        <w:t>,</w:t>
      </w:r>
      <w:r w:rsidR="00F80225" w:rsidRPr="00AE2F32">
        <w:rPr>
          <w:rFonts w:cs="Sylfaen"/>
          <w:color w:val="000000"/>
          <w:sz w:val="22"/>
          <w:szCs w:val="22"/>
          <w:lang w:val="en-GB"/>
        </w:rPr>
        <w:t xml:space="preserve"> </w:t>
      </w:r>
      <w:r w:rsidR="00317E04" w:rsidRPr="00AE2F32">
        <w:rPr>
          <w:rFonts w:cs="Sylfaen"/>
          <w:color w:val="000000"/>
          <w:sz w:val="22"/>
          <w:szCs w:val="22"/>
          <w:lang w:val="en-GB"/>
        </w:rPr>
        <w:t xml:space="preserve">and increase gender quota for election registration to 50% on </w:t>
      </w:r>
      <w:r w:rsidR="00B7474C">
        <w:rPr>
          <w:rFonts w:cs="Sylfaen"/>
          <w:color w:val="000000"/>
          <w:sz w:val="22"/>
          <w:szCs w:val="22"/>
          <w:lang w:val="en-GB"/>
        </w:rPr>
        <w:t xml:space="preserve">the </w:t>
      </w:r>
      <w:r w:rsidR="00317E04" w:rsidRPr="00AE2F32">
        <w:rPr>
          <w:rFonts w:cs="Sylfaen"/>
          <w:color w:val="000000"/>
          <w:sz w:val="22"/>
          <w:szCs w:val="22"/>
          <w:lang w:val="en-GB"/>
        </w:rPr>
        <w:t xml:space="preserve">central level. </w:t>
      </w:r>
    </w:p>
    <w:p w14:paraId="249D1F81" w14:textId="6155EF5B" w:rsidR="00837F27" w:rsidRPr="00AE2F32" w:rsidRDefault="00317E04" w:rsidP="0023502D">
      <w:pPr>
        <w:pStyle w:val="ListParagraph"/>
        <w:numPr>
          <w:ilvl w:val="0"/>
          <w:numId w:val="6"/>
        </w:numPr>
        <w:shd w:val="clear" w:color="auto" w:fill="C9C9C9" w:themeFill="accent3" w:themeFillTint="99"/>
        <w:tabs>
          <w:tab w:val="left" w:pos="360"/>
        </w:tabs>
        <w:autoSpaceDE w:val="0"/>
        <w:autoSpaceDN w:val="0"/>
        <w:adjustRightInd w:val="0"/>
        <w:spacing w:after="120"/>
        <w:jc w:val="both"/>
        <w:rPr>
          <w:rFonts w:cs="Sylfaen"/>
          <w:color w:val="000000"/>
          <w:sz w:val="22"/>
          <w:szCs w:val="22"/>
          <w:lang w:val="en-GB"/>
        </w:rPr>
      </w:pPr>
      <w:r w:rsidRPr="00AE2F32">
        <w:rPr>
          <w:rFonts w:cs="Sylfaen"/>
          <w:color w:val="000000"/>
          <w:sz w:val="22"/>
          <w:szCs w:val="22"/>
          <w:lang w:val="en-GB"/>
        </w:rPr>
        <w:t xml:space="preserve">The regulation should be in force on central and local levels until </w:t>
      </w:r>
      <w:r w:rsidR="00B7474C">
        <w:rPr>
          <w:rFonts w:cs="Sylfaen"/>
          <w:color w:val="000000"/>
          <w:sz w:val="22"/>
          <w:szCs w:val="22"/>
          <w:lang w:val="en-GB"/>
        </w:rPr>
        <w:t xml:space="preserve">the </w:t>
      </w:r>
      <w:r w:rsidRPr="00AE2F32">
        <w:rPr>
          <w:rFonts w:cs="Sylfaen"/>
          <w:color w:val="000000"/>
          <w:sz w:val="22"/>
          <w:szCs w:val="22"/>
          <w:lang w:val="en-GB"/>
        </w:rPr>
        <w:t xml:space="preserve">equal representation is achieved. </w:t>
      </w:r>
    </w:p>
    <w:p w14:paraId="3ACE5B39" w14:textId="6C1BE428" w:rsidR="00837F27" w:rsidRPr="00AE2F32" w:rsidRDefault="00F80225" w:rsidP="00E62D0D">
      <w:pPr>
        <w:shd w:val="clear" w:color="auto" w:fill="C9C9C9" w:themeFill="accent3" w:themeFillTint="99"/>
        <w:autoSpaceDE w:val="0"/>
        <w:autoSpaceDN w:val="0"/>
        <w:adjustRightInd w:val="0"/>
        <w:spacing w:after="120"/>
        <w:jc w:val="both"/>
        <w:rPr>
          <w:rFonts w:cstheme="minorHAnsi"/>
          <w:b/>
          <w:sz w:val="22"/>
          <w:szCs w:val="22"/>
          <w:lang w:val="en-GB"/>
        </w:rPr>
      </w:pPr>
      <w:r w:rsidRPr="00AE2F32">
        <w:rPr>
          <w:rFonts w:cstheme="minorHAnsi"/>
          <w:b/>
          <w:color w:val="000000"/>
          <w:sz w:val="22"/>
          <w:szCs w:val="22"/>
          <w:lang w:val="en-GB"/>
        </w:rPr>
        <w:t xml:space="preserve">Questions: </w:t>
      </w:r>
    </w:p>
    <w:p w14:paraId="571A322F" w14:textId="45767707" w:rsidR="00F80225" w:rsidRPr="00AE2F32" w:rsidRDefault="00F80225" w:rsidP="0023502D">
      <w:pPr>
        <w:numPr>
          <w:ilvl w:val="0"/>
          <w:numId w:val="6"/>
        </w:numPr>
        <w:shd w:val="clear" w:color="auto" w:fill="C9C9C9" w:themeFill="accent3" w:themeFillTint="99"/>
        <w:tabs>
          <w:tab w:val="left" w:pos="360"/>
        </w:tabs>
        <w:autoSpaceDE w:val="0"/>
        <w:autoSpaceDN w:val="0"/>
        <w:adjustRightInd w:val="0"/>
        <w:spacing w:after="120"/>
        <w:ind w:left="0" w:firstLine="0"/>
        <w:jc w:val="both"/>
        <w:rPr>
          <w:rFonts w:cstheme="minorHAnsi"/>
          <w:color w:val="000000"/>
          <w:sz w:val="22"/>
          <w:szCs w:val="22"/>
          <w:lang w:val="en-GB"/>
        </w:rPr>
      </w:pPr>
      <w:r w:rsidRPr="00AE2F32">
        <w:rPr>
          <w:rFonts w:cstheme="minorHAnsi"/>
          <w:color w:val="000000"/>
          <w:sz w:val="22"/>
          <w:szCs w:val="22"/>
          <w:lang w:val="en-GB"/>
        </w:rPr>
        <w:t xml:space="preserve">What measures does </w:t>
      </w:r>
      <w:r w:rsidR="00507BCD">
        <w:rPr>
          <w:rFonts w:cstheme="minorHAnsi"/>
          <w:color w:val="000000"/>
          <w:sz w:val="22"/>
          <w:szCs w:val="22"/>
          <w:lang w:val="en-GB"/>
        </w:rPr>
        <w:t xml:space="preserve">the </w:t>
      </w:r>
      <w:r w:rsidRPr="00AE2F32">
        <w:rPr>
          <w:rFonts w:cstheme="minorHAnsi"/>
          <w:color w:val="000000"/>
          <w:sz w:val="22"/>
          <w:szCs w:val="22"/>
          <w:lang w:val="en-GB"/>
        </w:rPr>
        <w:t xml:space="preserve">Government take to increase </w:t>
      </w:r>
      <w:r w:rsidR="00507BCD">
        <w:rPr>
          <w:rFonts w:cstheme="minorHAnsi"/>
          <w:color w:val="000000"/>
          <w:sz w:val="22"/>
          <w:szCs w:val="22"/>
          <w:lang w:val="en-GB"/>
        </w:rPr>
        <w:t>women's</w:t>
      </w:r>
      <w:r w:rsidRPr="00AE2F32">
        <w:rPr>
          <w:rFonts w:cstheme="minorHAnsi"/>
          <w:color w:val="000000"/>
          <w:sz w:val="22"/>
          <w:szCs w:val="22"/>
          <w:lang w:val="en-GB"/>
        </w:rPr>
        <w:t xml:space="preserve"> political participation on central and local levels? </w:t>
      </w:r>
    </w:p>
    <w:p w14:paraId="67D5A69F" w14:textId="50F16D3E" w:rsidR="00F80225" w:rsidRPr="00AE2F32" w:rsidRDefault="00F80225" w:rsidP="0023502D">
      <w:pPr>
        <w:numPr>
          <w:ilvl w:val="0"/>
          <w:numId w:val="6"/>
        </w:numPr>
        <w:shd w:val="clear" w:color="auto" w:fill="C9C9C9" w:themeFill="accent3" w:themeFillTint="99"/>
        <w:tabs>
          <w:tab w:val="left" w:pos="360"/>
        </w:tabs>
        <w:autoSpaceDE w:val="0"/>
        <w:autoSpaceDN w:val="0"/>
        <w:adjustRightInd w:val="0"/>
        <w:spacing w:after="120"/>
        <w:ind w:left="0" w:firstLine="0"/>
        <w:jc w:val="both"/>
        <w:rPr>
          <w:rFonts w:cstheme="minorHAnsi"/>
          <w:sz w:val="22"/>
          <w:szCs w:val="22"/>
          <w:lang w:val="en-GB"/>
        </w:rPr>
      </w:pPr>
      <w:r w:rsidRPr="00AE2F32">
        <w:rPr>
          <w:rFonts w:cstheme="minorHAnsi"/>
          <w:sz w:val="22"/>
          <w:szCs w:val="22"/>
          <w:lang w:val="en-GB"/>
        </w:rPr>
        <w:t xml:space="preserve">Is </w:t>
      </w:r>
      <w:r w:rsidR="00507BCD">
        <w:rPr>
          <w:rFonts w:cstheme="minorHAnsi"/>
          <w:sz w:val="22"/>
          <w:szCs w:val="22"/>
          <w:lang w:val="en-GB"/>
        </w:rPr>
        <w:t xml:space="preserve">the </w:t>
      </w:r>
      <w:r w:rsidRPr="00AE2F32">
        <w:rPr>
          <w:rFonts w:cstheme="minorHAnsi"/>
          <w:sz w:val="22"/>
          <w:szCs w:val="22"/>
          <w:lang w:val="en-GB"/>
        </w:rPr>
        <w:t xml:space="preserve">existing mechanism enough to increase </w:t>
      </w:r>
      <w:r w:rsidR="00507BCD">
        <w:rPr>
          <w:rFonts w:cstheme="minorHAnsi"/>
          <w:sz w:val="22"/>
          <w:szCs w:val="22"/>
          <w:lang w:val="en-GB"/>
        </w:rPr>
        <w:t>women's</w:t>
      </w:r>
      <w:r w:rsidRPr="00AE2F32">
        <w:rPr>
          <w:rFonts w:cstheme="minorHAnsi"/>
          <w:sz w:val="22"/>
          <w:szCs w:val="22"/>
          <w:lang w:val="en-GB"/>
        </w:rPr>
        <w:t xml:space="preserve"> participation? </w:t>
      </w:r>
    </w:p>
    <w:p w14:paraId="0E21A477" w14:textId="77777777" w:rsidR="00962CBE" w:rsidRPr="00AE2F32" w:rsidRDefault="00962CBE" w:rsidP="00EB1CFE">
      <w:pPr>
        <w:rPr>
          <w:rFonts w:eastAsia="Times New Roman" w:cs="Times New Roman"/>
          <w:b/>
          <w:bCs/>
          <w:sz w:val="22"/>
          <w:szCs w:val="22"/>
          <w:lang w:val="en-GB"/>
        </w:rPr>
      </w:pPr>
    </w:p>
    <w:p w14:paraId="6C4E4F2A" w14:textId="53E43D29" w:rsidR="008F44ED" w:rsidRPr="00AE2F32" w:rsidRDefault="00317E04" w:rsidP="0023502D">
      <w:pPr>
        <w:pStyle w:val="Heading2"/>
        <w:numPr>
          <w:ilvl w:val="0"/>
          <w:numId w:val="15"/>
        </w:numPr>
        <w:spacing w:before="0"/>
        <w:rPr>
          <w:rFonts w:asciiTheme="minorHAnsi" w:hAnsiTheme="minorHAnsi" w:cs="Sylfaen"/>
          <w:sz w:val="22"/>
          <w:szCs w:val="22"/>
          <w:lang w:val="en-GB"/>
        </w:rPr>
      </w:pPr>
      <w:bookmarkStart w:id="30" w:name="_Toc48565940"/>
      <w:r w:rsidRPr="00AE2F32">
        <w:rPr>
          <w:rFonts w:asciiTheme="minorHAnsi" w:hAnsiTheme="minorHAnsi" w:cs="Sylfaen"/>
          <w:sz w:val="22"/>
          <w:szCs w:val="22"/>
          <w:lang w:val="en-GB"/>
        </w:rPr>
        <w:t>Article</w:t>
      </w:r>
      <w:r w:rsidR="00AE2BB0" w:rsidRPr="00AE2F32">
        <w:rPr>
          <w:rFonts w:asciiTheme="minorHAnsi" w:hAnsiTheme="minorHAnsi" w:cs="Sylfaen"/>
          <w:sz w:val="22"/>
          <w:szCs w:val="22"/>
          <w:lang w:val="en-GB"/>
        </w:rPr>
        <w:t xml:space="preserve"> 6</w:t>
      </w:r>
      <w:r w:rsidR="00E255C8" w:rsidRPr="00AE2F32">
        <w:rPr>
          <w:rFonts w:asciiTheme="minorHAnsi" w:hAnsiTheme="minorHAnsi" w:cs="Sylfaen"/>
          <w:sz w:val="22"/>
          <w:szCs w:val="22"/>
          <w:lang w:val="en-GB"/>
        </w:rPr>
        <w:t xml:space="preserve">: </w:t>
      </w:r>
      <w:r w:rsidRPr="00AE2F32">
        <w:rPr>
          <w:rFonts w:asciiTheme="minorHAnsi" w:hAnsiTheme="minorHAnsi" w:cs="Sylfaen"/>
          <w:sz w:val="22"/>
          <w:szCs w:val="22"/>
          <w:lang w:val="en-GB"/>
        </w:rPr>
        <w:t>Right to life</w:t>
      </w:r>
      <w:bookmarkEnd w:id="30"/>
      <w:r w:rsidRPr="00AE2F32">
        <w:rPr>
          <w:rFonts w:asciiTheme="minorHAnsi" w:hAnsiTheme="minorHAnsi" w:cs="Sylfaen"/>
          <w:sz w:val="22"/>
          <w:szCs w:val="22"/>
          <w:lang w:val="en-GB"/>
        </w:rPr>
        <w:t xml:space="preserve"> </w:t>
      </w:r>
      <w:r w:rsidR="00AE2BB0" w:rsidRPr="00AE2F32">
        <w:rPr>
          <w:rFonts w:asciiTheme="minorHAnsi" w:hAnsiTheme="minorHAnsi" w:cs="Sylfaen"/>
          <w:sz w:val="22"/>
          <w:szCs w:val="22"/>
          <w:lang w:val="en-GB"/>
        </w:rPr>
        <w:t xml:space="preserve"> </w:t>
      </w:r>
    </w:p>
    <w:p w14:paraId="37D65D70" w14:textId="77777777" w:rsidR="008F44ED" w:rsidRPr="00AE2F32" w:rsidRDefault="008F44ED" w:rsidP="00EB1CFE">
      <w:pPr>
        <w:rPr>
          <w:rFonts w:eastAsia="Times New Roman" w:cs="Sylfaen"/>
          <w:b/>
          <w:bCs/>
          <w:sz w:val="22"/>
          <w:szCs w:val="22"/>
          <w:lang w:val="en-GB"/>
        </w:rPr>
      </w:pPr>
    </w:p>
    <w:p w14:paraId="27BAA98B" w14:textId="4309318A" w:rsidR="00317E04" w:rsidRPr="00AE2F32" w:rsidRDefault="002B4140" w:rsidP="00EB1CFE">
      <w:pPr>
        <w:ind w:left="720"/>
        <w:rPr>
          <w:rFonts w:eastAsia="Times New Roman" w:cs="Sylfaen"/>
          <w:i/>
          <w:iCs/>
          <w:sz w:val="22"/>
          <w:szCs w:val="22"/>
          <w:lang w:val="en-GB"/>
        </w:rPr>
      </w:pPr>
      <w:r>
        <w:rPr>
          <w:rFonts w:eastAsia="Times New Roman" w:cs="Sylfaen"/>
          <w:i/>
          <w:iCs/>
          <w:sz w:val="22"/>
          <w:szCs w:val="22"/>
          <w:lang w:val="en-GB"/>
        </w:rPr>
        <w:t xml:space="preserve">Violation of </w:t>
      </w:r>
      <w:r w:rsidR="00317E04" w:rsidRPr="00AE2F32">
        <w:rPr>
          <w:rFonts w:eastAsia="Times New Roman" w:cs="Sylfaen"/>
          <w:i/>
          <w:iCs/>
          <w:sz w:val="22"/>
          <w:szCs w:val="22"/>
          <w:lang w:val="en-GB"/>
        </w:rPr>
        <w:t>Temirlan Machalikashvili</w:t>
      </w:r>
      <w:r>
        <w:rPr>
          <w:rFonts w:eastAsia="Times New Roman" w:cs="Sylfaen"/>
          <w:i/>
          <w:iCs/>
          <w:sz w:val="22"/>
          <w:szCs w:val="22"/>
          <w:lang w:val="en-GB"/>
        </w:rPr>
        <w:t>’s right to life</w:t>
      </w:r>
      <w:r w:rsidR="00317E04" w:rsidRPr="00AE2F32">
        <w:rPr>
          <w:rFonts w:eastAsia="Times New Roman" w:cs="Sylfaen"/>
          <w:i/>
          <w:iCs/>
          <w:sz w:val="22"/>
          <w:szCs w:val="22"/>
          <w:lang w:val="en-GB"/>
        </w:rPr>
        <w:t xml:space="preserve"> </w:t>
      </w:r>
    </w:p>
    <w:p w14:paraId="35A4B40B" w14:textId="111AB79F" w:rsidR="003C3BE9" w:rsidRPr="00AE2F32" w:rsidRDefault="003C3BE9" w:rsidP="00EB1CFE">
      <w:pPr>
        <w:jc w:val="both"/>
        <w:rPr>
          <w:rFonts w:eastAsia="Times New Roman" w:cs="Times New Roman"/>
          <w:sz w:val="22"/>
          <w:szCs w:val="22"/>
          <w:lang w:val="en-GB"/>
        </w:rPr>
      </w:pPr>
    </w:p>
    <w:p w14:paraId="19F6D514" w14:textId="4C5DDDEF" w:rsidR="00C56861" w:rsidRPr="00AE2F32" w:rsidRDefault="009D61FB" w:rsidP="00A85CA1">
      <w:pPr>
        <w:jc w:val="both"/>
        <w:rPr>
          <w:rFonts w:eastAsia="Times New Roman" w:cs="Times New Roman"/>
          <w:sz w:val="22"/>
          <w:szCs w:val="22"/>
        </w:rPr>
      </w:pPr>
      <w:r w:rsidRPr="00AE2F32">
        <w:rPr>
          <w:rFonts w:eastAsia="Times New Roman" w:cs="Times New Roman"/>
          <w:sz w:val="22"/>
          <w:szCs w:val="22"/>
        </w:rPr>
        <w:t xml:space="preserve">In the reporting period, the killing of 19 years Temirlan Machalikashvili during the special operation planned by State Security Service (SSS) is one of the hardest </w:t>
      </w:r>
      <w:r w:rsidR="000E431C" w:rsidRPr="00AE2F32">
        <w:rPr>
          <w:rFonts w:eastAsia="Times New Roman" w:cs="Times New Roman"/>
          <w:sz w:val="22"/>
          <w:szCs w:val="22"/>
        </w:rPr>
        <w:t>violations</w:t>
      </w:r>
      <w:r w:rsidRPr="00AE2F32">
        <w:rPr>
          <w:rFonts w:eastAsia="Times New Roman" w:cs="Times New Roman"/>
          <w:sz w:val="22"/>
          <w:szCs w:val="22"/>
        </w:rPr>
        <w:t xml:space="preserve"> of </w:t>
      </w:r>
      <w:r w:rsidR="00507BCD">
        <w:rPr>
          <w:rFonts w:eastAsia="Times New Roman" w:cs="Times New Roman"/>
          <w:sz w:val="22"/>
          <w:szCs w:val="22"/>
        </w:rPr>
        <w:t xml:space="preserve">the </w:t>
      </w:r>
      <w:r w:rsidRPr="00AE2F32">
        <w:rPr>
          <w:rFonts w:eastAsia="Times New Roman" w:cs="Times New Roman"/>
          <w:sz w:val="22"/>
          <w:szCs w:val="22"/>
        </w:rPr>
        <w:t>right to life by the state authorities.</w:t>
      </w:r>
      <w:r w:rsidR="0000645C" w:rsidRPr="00AE2F32">
        <w:rPr>
          <w:rStyle w:val="FootnoteReference"/>
          <w:rFonts w:eastAsia="Times New Roman" w:cs="Times New Roman"/>
          <w:sz w:val="22"/>
          <w:szCs w:val="22"/>
          <w:lang w:val="en-GB"/>
        </w:rPr>
        <w:footnoteReference w:id="54"/>
      </w:r>
      <w:r w:rsidRPr="00AE2F32">
        <w:rPr>
          <w:rFonts w:eastAsia="Times New Roman" w:cs="Times New Roman"/>
          <w:sz w:val="22"/>
          <w:szCs w:val="22"/>
        </w:rPr>
        <w:t xml:space="preserve"> </w:t>
      </w:r>
      <w:r w:rsidR="000E431C" w:rsidRPr="00AE2F32">
        <w:rPr>
          <w:rFonts w:eastAsia="Times New Roman" w:cs="Times New Roman"/>
          <w:sz w:val="22"/>
          <w:szCs w:val="22"/>
        </w:rPr>
        <w:t>At night, 26 December in 2017, during the special operation at Pankisi Gorge, Temirlan Machalikashvili was wounded in his bedroom and deceased in several days in the hospital.  Most of the witnesses examined during the investigation indicated, that entrance and shot in Machalikashvili</w:t>
      </w:r>
      <w:r w:rsidR="00B7474C">
        <w:rPr>
          <w:rFonts w:eastAsia="Times New Roman" w:cs="Times New Roman"/>
          <w:sz w:val="22"/>
          <w:szCs w:val="22"/>
        </w:rPr>
        <w:t xml:space="preserve"> </w:t>
      </w:r>
      <w:r w:rsidR="000E431C" w:rsidRPr="00AE2F32">
        <w:rPr>
          <w:rFonts w:eastAsia="Times New Roman" w:cs="Times New Roman"/>
          <w:sz w:val="22"/>
          <w:szCs w:val="22"/>
        </w:rPr>
        <w:t xml:space="preserve">bedroom </w:t>
      </w:r>
      <w:r w:rsidR="00507BCD">
        <w:rPr>
          <w:rFonts w:eastAsia="Times New Roman" w:cs="Times New Roman"/>
          <w:sz w:val="22"/>
          <w:szCs w:val="22"/>
        </w:rPr>
        <w:t>were</w:t>
      </w:r>
      <w:r w:rsidR="000E431C" w:rsidRPr="00AE2F32">
        <w:rPr>
          <w:rFonts w:eastAsia="Times New Roman" w:cs="Times New Roman"/>
          <w:sz w:val="22"/>
          <w:szCs w:val="22"/>
        </w:rPr>
        <w:t xml:space="preserve"> simultaneous and special forces did not warn him. </w:t>
      </w:r>
      <w:r w:rsidR="00A85CA1" w:rsidRPr="00AE2F32">
        <w:rPr>
          <w:rFonts w:eastAsia="Times New Roman" w:cs="Times New Roman"/>
          <w:sz w:val="22"/>
          <w:szCs w:val="22"/>
        </w:rPr>
        <w:t>Examination results</w:t>
      </w:r>
      <w:r w:rsidR="000E431C" w:rsidRPr="00AE2F32">
        <w:rPr>
          <w:rFonts w:eastAsia="Times New Roman" w:cs="Times New Roman"/>
          <w:sz w:val="22"/>
          <w:szCs w:val="22"/>
        </w:rPr>
        <w:t xml:space="preserve"> reveal that </w:t>
      </w:r>
      <w:r w:rsidR="00A85CA1" w:rsidRPr="00AE2F32">
        <w:rPr>
          <w:rFonts w:eastAsia="Times New Roman" w:cs="Times New Roman"/>
          <w:sz w:val="22"/>
          <w:szCs w:val="22"/>
        </w:rPr>
        <w:t xml:space="preserve">at </w:t>
      </w:r>
      <w:r w:rsidR="00507BCD">
        <w:rPr>
          <w:rFonts w:eastAsia="Times New Roman" w:cs="Times New Roman"/>
          <w:sz w:val="22"/>
          <w:szCs w:val="22"/>
        </w:rPr>
        <w:t xml:space="preserve">the </w:t>
      </w:r>
      <w:r w:rsidR="00A85CA1" w:rsidRPr="00AE2F32">
        <w:rPr>
          <w:rFonts w:eastAsia="Times New Roman" w:cs="Times New Roman"/>
          <w:sz w:val="22"/>
          <w:szCs w:val="22"/>
        </w:rPr>
        <w:t xml:space="preserve">time of shooting Machalikashvili was in </w:t>
      </w:r>
      <w:r w:rsidR="00507BCD">
        <w:rPr>
          <w:rFonts w:eastAsia="Times New Roman" w:cs="Times New Roman"/>
          <w:sz w:val="22"/>
          <w:szCs w:val="22"/>
        </w:rPr>
        <w:t xml:space="preserve">a </w:t>
      </w:r>
      <w:r w:rsidR="00A85CA1" w:rsidRPr="00AE2F32">
        <w:rPr>
          <w:rFonts w:eastAsia="Times New Roman" w:cs="Times New Roman"/>
          <w:sz w:val="22"/>
          <w:szCs w:val="22"/>
        </w:rPr>
        <w:t>horizontal position.</w:t>
      </w:r>
      <w:r w:rsidR="00CE25F1">
        <w:rPr>
          <w:rFonts w:eastAsia="Times New Roman" w:cs="Times New Roman"/>
          <w:sz w:val="22"/>
          <w:szCs w:val="22"/>
        </w:rPr>
        <w:t xml:space="preserve"> </w:t>
      </w:r>
      <w:r w:rsidR="0000645C">
        <w:rPr>
          <w:rFonts w:eastAsia="Times New Roman" w:cs="Times New Roman"/>
          <w:sz w:val="22"/>
          <w:szCs w:val="22"/>
        </w:rPr>
        <w:t xml:space="preserve">His phone </w:t>
      </w:r>
      <w:r w:rsidR="00A85CA1" w:rsidRPr="00AE2F32">
        <w:rPr>
          <w:rFonts w:eastAsia="Times New Roman" w:cs="Times New Roman"/>
          <w:sz w:val="22"/>
          <w:szCs w:val="22"/>
        </w:rPr>
        <w:t>activity history and damaged earphones</w:t>
      </w:r>
      <w:r w:rsidR="00A85CA1" w:rsidRPr="00AE2F32">
        <w:rPr>
          <w:rFonts w:eastAsia="Times New Roman" w:cs="Times New Roman"/>
          <w:sz w:val="22"/>
          <w:szCs w:val="22"/>
          <w:lang w:val="ka-GE"/>
        </w:rPr>
        <w:t xml:space="preserve"> </w:t>
      </w:r>
      <w:r w:rsidR="00B7474C">
        <w:rPr>
          <w:rFonts w:eastAsia="Times New Roman" w:cs="Times New Roman"/>
          <w:sz w:val="22"/>
          <w:szCs w:val="22"/>
        </w:rPr>
        <w:t>raise</w:t>
      </w:r>
      <w:r w:rsidR="00A85CA1" w:rsidRPr="00AE2F32">
        <w:rPr>
          <w:rFonts w:eastAsia="Times New Roman" w:cs="Times New Roman"/>
          <w:sz w:val="22"/>
          <w:szCs w:val="22"/>
        </w:rPr>
        <w:t xml:space="preserve"> doubts that </w:t>
      </w:r>
      <w:r w:rsidR="00CE25F1">
        <w:rPr>
          <w:rFonts w:eastAsia="Times New Roman" w:cs="Times New Roman"/>
          <w:sz w:val="22"/>
          <w:szCs w:val="22"/>
        </w:rPr>
        <w:t>he</w:t>
      </w:r>
      <w:r w:rsidR="00CE25F1" w:rsidRPr="00AE2F32">
        <w:rPr>
          <w:rFonts w:eastAsia="Times New Roman" w:cs="Times New Roman"/>
          <w:sz w:val="22"/>
          <w:szCs w:val="22"/>
        </w:rPr>
        <w:t xml:space="preserve"> </w:t>
      </w:r>
      <w:r w:rsidR="00A85CA1" w:rsidRPr="00AE2F32">
        <w:rPr>
          <w:rFonts w:eastAsia="Times New Roman" w:cs="Times New Roman"/>
          <w:sz w:val="22"/>
          <w:szCs w:val="22"/>
        </w:rPr>
        <w:t xml:space="preserve">had most likely not even understood about </w:t>
      </w:r>
      <w:r w:rsidR="00507BCD">
        <w:rPr>
          <w:rFonts w:eastAsia="Times New Roman" w:cs="Times New Roman"/>
          <w:sz w:val="22"/>
          <w:szCs w:val="22"/>
        </w:rPr>
        <w:t xml:space="preserve">the </w:t>
      </w:r>
      <w:r w:rsidR="00A85CA1" w:rsidRPr="00AE2F32">
        <w:rPr>
          <w:rFonts w:eastAsia="Times New Roman" w:cs="Times New Roman"/>
          <w:sz w:val="22"/>
          <w:szCs w:val="22"/>
        </w:rPr>
        <w:t>operation.</w:t>
      </w:r>
    </w:p>
    <w:p w14:paraId="098EBBD9" w14:textId="7D0D496B" w:rsidR="008F44ED" w:rsidRPr="00AE2F32" w:rsidRDefault="008F44ED" w:rsidP="00EB1CFE">
      <w:pPr>
        <w:jc w:val="both"/>
        <w:rPr>
          <w:rFonts w:eastAsia="Times New Roman" w:cs="Times New Roman"/>
          <w:sz w:val="22"/>
          <w:szCs w:val="22"/>
          <w:lang w:val="en-GB"/>
        </w:rPr>
      </w:pPr>
    </w:p>
    <w:p w14:paraId="54955041" w14:textId="4817FFE0" w:rsidR="00562D76" w:rsidRPr="00AE2F32" w:rsidRDefault="00424D31" w:rsidP="00EB1CFE">
      <w:pPr>
        <w:jc w:val="both"/>
        <w:rPr>
          <w:rFonts w:eastAsia="Times New Roman" w:cs="Times New Roman"/>
          <w:sz w:val="22"/>
          <w:szCs w:val="22"/>
          <w:lang w:val="ka-GE"/>
        </w:rPr>
      </w:pPr>
      <w:r w:rsidRPr="00AE2F32">
        <w:rPr>
          <w:rFonts w:eastAsia="Times New Roman" w:cs="Times New Roman"/>
          <w:sz w:val="22"/>
          <w:szCs w:val="22"/>
          <w:lang w:val="en-GB"/>
        </w:rPr>
        <w:t>SSS defined that Machalikashvili was connected with the people killed during the antiterrorist operation in Tbilisi, held one month ago.</w:t>
      </w:r>
      <w:r w:rsidR="003D3E17">
        <w:rPr>
          <w:rFonts w:eastAsia="Times New Roman" w:cs="Times New Roman"/>
          <w:sz w:val="22"/>
          <w:szCs w:val="22"/>
          <w:lang w:val="en-GB"/>
        </w:rPr>
        <w:t xml:space="preserve"> But this allegation was not supported by reasonable evidence</w:t>
      </w:r>
      <w:r w:rsidR="0000645C">
        <w:rPr>
          <w:rFonts w:eastAsia="Times New Roman" w:cs="Times New Roman"/>
          <w:sz w:val="22"/>
          <w:szCs w:val="22"/>
          <w:lang w:val="en-GB"/>
        </w:rPr>
        <w:t>.</w:t>
      </w:r>
      <w:r w:rsidR="003D3E17">
        <w:rPr>
          <w:rFonts w:eastAsia="Times New Roman" w:cs="Times New Roman"/>
          <w:sz w:val="22"/>
          <w:szCs w:val="22"/>
          <w:lang w:val="en-GB"/>
        </w:rPr>
        <w:t xml:space="preserve"> </w:t>
      </w:r>
      <w:r w:rsidR="003D3E17" w:rsidRPr="00AE2F32">
        <w:rPr>
          <w:rFonts w:eastAsia="Times New Roman" w:cs="Times New Roman"/>
          <w:sz w:val="22"/>
          <w:szCs w:val="22"/>
        </w:rPr>
        <w:t>Regardless, SSS without any reservation and legal examination trie</w:t>
      </w:r>
      <w:r w:rsidR="003D3E17">
        <w:rPr>
          <w:rFonts w:eastAsia="Times New Roman" w:cs="Times New Roman"/>
          <w:sz w:val="22"/>
          <w:szCs w:val="22"/>
        </w:rPr>
        <w:t>d</w:t>
      </w:r>
      <w:r w:rsidR="003D3E17" w:rsidRPr="00AE2F32">
        <w:rPr>
          <w:rFonts w:eastAsia="Times New Roman" w:cs="Times New Roman"/>
          <w:sz w:val="22"/>
          <w:szCs w:val="22"/>
        </w:rPr>
        <w:t xml:space="preserve"> to demonstrate Machalikashvili’s guilt, which violate</w:t>
      </w:r>
      <w:r w:rsidR="003D3E17">
        <w:rPr>
          <w:rFonts w:eastAsia="Times New Roman" w:cs="Times New Roman"/>
          <w:sz w:val="22"/>
          <w:szCs w:val="22"/>
        </w:rPr>
        <w:t>d</w:t>
      </w:r>
      <w:r w:rsidR="003D3E17" w:rsidRPr="00AE2F32">
        <w:rPr>
          <w:rFonts w:eastAsia="Times New Roman" w:cs="Times New Roman"/>
          <w:sz w:val="22"/>
          <w:szCs w:val="22"/>
        </w:rPr>
        <w:t xml:space="preserve"> the presumption of innocence and his dignity.</w:t>
      </w:r>
      <w:r w:rsidR="003D3E17">
        <w:rPr>
          <w:rFonts w:eastAsia="Times New Roman" w:cs="Times New Roman"/>
          <w:sz w:val="22"/>
          <w:szCs w:val="22"/>
          <w:lang w:val="en-GB"/>
        </w:rPr>
        <w:t xml:space="preserve"> </w:t>
      </w:r>
      <w:r w:rsidRPr="00AE2F32">
        <w:rPr>
          <w:rFonts w:eastAsia="Times New Roman" w:cs="Times New Roman"/>
          <w:sz w:val="22"/>
          <w:szCs w:val="22"/>
          <w:lang w:val="en-GB"/>
        </w:rPr>
        <w:t xml:space="preserve"> </w:t>
      </w:r>
    </w:p>
    <w:p w14:paraId="47D49C1B" w14:textId="1324DB03" w:rsidR="00DB4CE3" w:rsidRPr="00AE2F32" w:rsidRDefault="00417A56" w:rsidP="00EB1CFE">
      <w:pPr>
        <w:jc w:val="both"/>
        <w:rPr>
          <w:rFonts w:eastAsia="Times New Roman" w:cs="Times New Roman"/>
          <w:sz w:val="22"/>
          <w:szCs w:val="22"/>
        </w:rPr>
      </w:pPr>
      <w:r>
        <w:rPr>
          <w:rFonts w:eastAsia="Times New Roman" w:cs="Times New Roman"/>
          <w:sz w:val="22"/>
          <w:szCs w:val="22"/>
        </w:rPr>
        <w:t xml:space="preserve">With </w:t>
      </w:r>
      <w:r w:rsidR="00507BCD">
        <w:rPr>
          <w:rFonts w:eastAsia="Times New Roman" w:cs="Times New Roman"/>
          <w:sz w:val="22"/>
          <w:szCs w:val="22"/>
        </w:rPr>
        <w:t xml:space="preserve">a </w:t>
      </w:r>
      <w:r>
        <w:rPr>
          <w:rFonts w:eastAsia="Times New Roman" w:cs="Times New Roman"/>
          <w:sz w:val="22"/>
          <w:szCs w:val="22"/>
        </w:rPr>
        <w:t xml:space="preserve">violation of </w:t>
      </w:r>
      <w:r w:rsidR="00507BCD">
        <w:rPr>
          <w:rFonts w:eastAsia="Times New Roman" w:cs="Times New Roman"/>
          <w:sz w:val="22"/>
          <w:szCs w:val="22"/>
        </w:rPr>
        <w:t xml:space="preserve">the </w:t>
      </w:r>
      <w:r>
        <w:rPr>
          <w:rFonts w:eastAsia="Times New Roman" w:cs="Times New Roman"/>
          <w:sz w:val="22"/>
          <w:szCs w:val="22"/>
        </w:rPr>
        <w:t xml:space="preserve">fundamental principle of institutional independence, </w:t>
      </w:r>
      <w:r w:rsidR="00DB4CE3" w:rsidRPr="00AE2F32">
        <w:rPr>
          <w:rFonts w:eastAsia="Times New Roman" w:cs="Times New Roman"/>
          <w:sz w:val="22"/>
          <w:szCs w:val="22"/>
        </w:rPr>
        <w:t xml:space="preserve">SSS </w:t>
      </w:r>
      <w:r>
        <w:rPr>
          <w:rFonts w:eastAsia="Times New Roman" w:cs="Times New Roman"/>
          <w:sz w:val="22"/>
          <w:szCs w:val="22"/>
        </w:rPr>
        <w:t xml:space="preserve">arbitrarily </w:t>
      </w:r>
      <w:r w:rsidR="00DB4CE3" w:rsidRPr="00AE2F32">
        <w:rPr>
          <w:rFonts w:eastAsia="Times New Roman" w:cs="Times New Roman"/>
          <w:sz w:val="22"/>
          <w:szCs w:val="22"/>
        </w:rPr>
        <w:t>carried out the primary and most important investigative actions related to the search and seizure of key evidence (including a</w:t>
      </w:r>
      <w:r w:rsidR="005C1EA8" w:rsidRPr="00AE2F32">
        <w:rPr>
          <w:rFonts w:eastAsia="Times New Roman" w:cs="Times New Roman"/>
          <w:sz w:val="22"/>
          <w:szCs w:val="22"/>
        </w:rPr>
        <w:t>n officer’s</w:t>
      </w:r>
      <w:r w:rsidR="00DB4CE3" w:rsidRPr="00AE2F32">
        <w:rPr>
          <w:rFonts w:eastAsia="Times New Roman" w:cs="Times New Roman"/>
          <w:sz w:val="22"/>
          <w:szCs w:val="22"/>
        </w:rPr>
        <w:t xml:space="preserve"> weapon, as if found </w:t>
      </w:r>
      <w:r w:rsidR="00507BCD">
        <w:rPr>
          <w:rFonts w:eastAsia="Times New Roman" w:cs="Times New Roman"/>
          <w:sz w:val="22"/>
          <w:szCs w:val="22"/>
        </w:rPr>
        <w:t xml:space="preserve">a </w:t>
      </w:r>
      <w:r w:rsidR="005C1EA8" w:rsidRPr="00AE2F32">
        <w:rPr>
          <w:rFonts w:eastAsia="Times New Roman" w:cs="Times New Roman"/>
          <w:sz w:val="22"/>
          <w:szCs w:val="22"/>
        </w:rPr>
        <w:t>grenade</w:t>
      </w:r>
      <w:r w:rsidR="00D03CF1">
        <w:rPr>
          <w:rFonts w:eastAsia="Times New Roman" w:cs="Times New Roman"/>
          <w:sz w:val="22"/>
          <w:szCs w:val="22"/>
        </w:rPr>
        <w:t>, etc.</w:t>
      </w:r>
      <w:r w:rsidR="00DB4CE3" w:rsidRPr="00AE2F32">
        <w:rPr>
          <w:rFonts w:eastAsia="Times New Roman" w:cs="Times New Roman"/>
          <w:sz w:val="22"/>
          <w:szCs w:val="22"/>
        </w:rPr>
        <w:t>).</w:t>
      </w:r>
      <w:r w:rsidR="00D03CF1">
        <w:rPr>
          <w:rFonts w:eastAsia="Times New Roman" w:cs="Times New Roman"/>
          <w:sz w:val="22"/>
          <w:szCs w:val="22"/>
        </w:rPr>
        <w:t xml:space="preserve"> The Prosecution received case materials only 2 month</w:t>
      </w:r>
      <w:r w:rsidR="0000645C">
        <w:rPr>
          <w:rFonts w:eastAsia="Times New Roman" w:cs="Times New Roman"/>
          <w:sz w:val="22"/>
          <w:szCs w:val="22"/>
        </w:rPr>
        <w:t>s</w:t>
      </w:r>
      <w:r w:rsidR="00D03CF1">
        <w:rPr>
          <w:rFonts w:eastAsia="Times New Roman" w:cs="Times New Roman"/>
          <w:sz w:val="22"/>
          <w:szCs w:val="22"/>
        </w:rPr>
        <w:t xml:space="preserve"> later. By that time key </w:t>
      </w:r>
      <w:r w:rsidR="00B7474C">
        <w:rPr>
          <w:rFonts w:eastAsia="Times New Roman" w:cs="Times New Roman"/>
          <w:sz w:val="22"/>
          <w:szCs w:val="22"/>
        </w:rPr>
        <w:t>evidence</w:t>
      </w:r>
      <w:r w:rsidR="00D03CF1">
        <w:rPr>
          <w:rFonts w:eastAsia="Times New Roman" w:cs="Times New Roman"/>
          <w:sz w:val="22"/>
          <w:szCs w:val="22"/>
        </w:rPr>
        <w:t xml:space="preserve"> </w:t>
      </w:r>
      <w:r w:rsidR="00507BCD">
        <w:rPr>
          <w:rFonts w:eastAsia="Times New Roman" w:cs="Times New Roman"/>
          <w:sz w:val="22"/>
          <w:szCs w:val="22"/>
        </w:rPr>
        <w:t>was</w:t>
      </w:r>
      <w:r w:rsidR="00D03CF1">
        <w:rPr>
          <w:rFonts w:eastAsia="Times New Roman" w:cs="Times New Roman"/>
          <w:sz w:val="22"/>
          <w:szCs w:val="22"/>
        </w:rPr>
        <w:t xml:space="preserve"> already destroyed/changed (including the grenade, the weapon). </w:t>
      </w:r>
      <w:r w:rsidR="005C1EA8" w:rsidRPr="00AE2F32">
        <w:rPr>
          <w:rFonts w:eastAsia="Times New Roman" w:cs="Times New Roman"/>
          <w:sz w:val="22"/>
          <w:szCs w:val="22"/>
        </w:rPr>
        <w:t xml:space="preserve"> </w:t>
      </w:r>
      <w:r w:rsidR="0085084C" w:rsidRPr="00AE2F32">
        <w:rPr>
          <w:rFonts w:eastAsia="Times New Roman" w:cs="Times New Roman"/>
          <w:sz w:val="22"/>
          <w:szCs w:val="22"/>
        </w:rPr>
        <w:t xml:space="preserve"> </w:t>
      </w:r>
    </w:p>
    <w:p w14:paraId="357A2EA4" w14:textId="77777777" w:rsidR="00477BC8" w:rsidRPr="00AE2F32" w:rsidRDefault="00477BC8" w:rsidP="00477BC8">
      <w:pPr>
        <w:jc w:val="both"/>
        <w:rPr>
          <w:rFonts w:eastAsia="Times New Roman" w:cs="Times New Roman"/>
          <w:sz w:val="22"/>
          <w:szCs w:val="22"/>
          <w:lang w:val="en-GB"/>
        </w:rPr>
      </w:pPr>
    </w:p>
    <w:p w14:paraId="22193FE2" w14:textId="05600B06" w:rsidR="00FF6AA4" w:rsidRPr="00256F01" w:rsidRDefault="00507BCD" w:rsidP="00477BC8">
      <w:pPr>
        <w:jc w:val="both"/>
        <w:rPr>
          <w:rFonts w:eastAsia="Times New Roman" w:cs="Times New Roman"/>
          <w:sz w:val="22"/>
          <w:szCs w:val="22"/>
        </w:rPr>
      </w:pPr>
      <w:r>
        <w:rPr>
          <w:rFonts w:eastAsia="Times New Roman" w:cs="Times New Roman"/>
          <w:sz w:val="22"/>
          <w:szCs w:val="22"/>
          <w:lang w:val="en-GB"/>
        </w:rPr>
        <w:t>The investigation</w:t>
      </w:r>
      <w:r w:rsidR="00DB6BEA" w:rsidRPr="00AE2F32">
        <w:rPr>
          <w:rFonts w:eastAsia="Times New Roman" w:cs="Times New Roman"/>
          <w:sz w:val="22"/>
          <w:szCs w:val="22"/>
          <w:lang w:val="en-GB"/>
        </w:rPr>
        <w:t xml:space="preserve"> also revealed</w:t>
      </w:r>
      <w:r w:rsidR="00477BC8" w:rsidRPr="00AE2F32">
        <w:rPr>
          <w:rFonts w:eastAsia="Times New Roman" w:cs="Times New Roman"/>
          <w:sz w:val="22"/>
          <w:szCs w:val="22"/>
          <w:lang w:val="en-GB"/>
        </w:rPr>
        <w:t xml:space="preserve"> that </w:t>
      </w:r>
      <w:r w:rsidR="00EF535B" w:rsidRPr="00AE2F32">
        <w:rPr>
          <w:rFonts w:eastAsia="Times New Roman" w:cs="Times New Roman"/>
          <w:sz w:val="22"/>
          <w:szCs w:val="22"/>
          <w:lang w:val="en-GB"/>
        </w:rPr>
        <w:t>SSS</w:t>
      </w:r>
      <w:r w:rsidR="00477BC8" w:rsidRPr="00AE2F32">
        <w:rPr>
          <w:rFonts w:eastAsia="Times New Roman" w:cs="Times New Roman"/>
          <w:sz w:val="22"/>
          <w:szCs w:val="22"/>
          <w:lang w:val="en-GB"/>
        </w:rPr>
        <w:t xml:space="preserve"> did not properly assess the circumstances</w:t>
      </w:r>
      <w:r w:rsidR="00417A56">
        <w:rPr>
          <w:rFonts w:eastAsia="Times New Roman" w:cs="Times New Roman"/>
          <w:sz w:val="22"/>
          <w:szCs w:val="22"/>
          <w:lang w:val="en-GB"/>
        </w:rPr>
        <w:t xml:space="preserve"> while planned the operation</w:t>
      </w:r>
      <w:r w:rsidR="00DB6BEA" w:rsidRPr="00AE2F32">
        <w:rPr>
          <w:rFonts w:eastAsia="Times New Roman" w:cs="Times New Roman"/>
          <w:sz w:val="22"/>
          <w:szCs w:val="22"/>
          <w:lang w:val="en-GB"/>
        </w:rPr>
        <w:t xml:space="preserve"> </w:t>
      </w:r>
      <w:r w:rsidR="00477BC8" w:rsidRPr="00AE2F32">
        <w:rPr>
          <w:rFonts w:eastAsia="Times New Roman" w:cs="Times New Roman"/>
          <w:sz w:val="22"/>
          <w:szCs w:val="22"/>
          <w:lang w:val="en-GB"/>
        </w:rPr>
        <w:t xml:space="preserve">and </w:t>
      </w:r>
      <w:r w:rsidR="00417A56">
        <w:rPr>
          <w:rFonts w:eastAsia="Times New Roman" w:cs="Times New Roman"/>
          <w:sz w:val="22"/>
          <w:szCs w:val="22"/>
          <w:lang w:val="en-GB"/>
        </w:rPr>
        <w:t xml:space="preserve">did not </w:t>
      </w:r>
      <w:r w:rsidR="00477BC8" w:rsidRPr="00AE2F32">
        <w:rPr>
          <w:rFonts w:eastAsia="Times New Roman" w:cs="Times New Roman"/>
          <w:sz w:val="22"/>
          <w:szCs w:val="22"/>
          <w:lang w:val="en-GB"/>
        </w:rPr>
        <w:t>minimize the use of force</w:t>
      </w:r>
      <w:r w:rsidR="00DB6BEA" w:rsidRPr="00AE2F32">
        <w:rPr>
          <w:rFonts w:eastAsia="Times New Roman" w:cs="Times New Roman"/>
          <w:sz w:val="22"/>
          <w:szCs w:val="22"/>
          <w:lang w:val="en-GB"/>
        </w:rPr>
        <w:t>.</w:t>
      </w:r>
      <w:r w:rsidR="00256F01">
        <w:rPr>
          <w:rFonts w:eastAsia="Times New Roman" w:cs="Times New Roman"/>
          <w:sz w:val="22"/>
          <w:szCs w:val="22"/>
          <w:lang w:val="en-GB"/>
        </w:rPr>
        <w:t xml:space="preserve"> </w:t>
      </w:r>
      <w:r w:rsidR="00AA0496" w:rsidRPr="00AE2F32">
        <w:rPr>
          <w:rFonts w:eastAsia="Times New Roman" w:cs="Times New Roman"/>
          <w:sz w:val="22"/>
          <w:szCs w:val="22"/>
          <w:lang w:val="en-GB"/>
        </w:rPr>
        <w:t xml:space="preserve">Examined officials did not indicate specific circumstances </w:t>
      </w:r>
      <w:r w:rsidR="00B7474C">
        <w:rPr>
          <w:rFonts w:eastAsia="Times New Roman" w:cs="Times New Roman"/>
          <w:sz w:val="22"/>
          <w:szCs w:val="22"/>
          <w:lang w:val="en-GB"/>
        </w:rPr>
        <w:t>that</w:t>
      </w:r>
      <w:r w:rsidR="00AA0496" w:rsidRPr="00AE2F32">
        <w:rPr>
          <w:rFonts w:eastAsia="Times New Roman" w:cs="Times New Roman"/>
          <w:sz w:val="22"/>
          <w:szCs w:val="22"/>
          <w:lang w:val="en-GB"/>
        </w:rPr>
        <w:t xml:space="preserve"> created reasonable ground to expect resistance from the detainees. None of the detainees had </w:t>
      </w:r>
      <w:r w:rsidR="00B7474C">
        <w:rPr>
          <w:rFonts w:eastAsia="Times New Roman" w:cs="Times New Roman"/>
          <w:sz w:val="22"/>
          <w:szCs w:val="22"/>
          <w:lang w:val="en-GB"/>
        </w:rPr>
        <w:t>weapons</w:t>
      </w:r>
      <w:r w:rsidR="00AA0496" w:rsidRPr="00AE2F32">
        <w:rPr>
          <w:rFonts w:eastAsia="Times New Roman" w:cs="Times New Roman"/>
          <w:sz w:val="22"/>
          <w:szCs w:val="22"/>
          <w:lang w:val="en-GB"/>
        </w:rPr>
        <w:t xml:space="preserve">. </w:t>
      </w:r>
      <w:r w:rsidR="00417A56" w:rsidRPr="00AE2F32">
        <w:rPr>
          <w:rFonts w:eastAsia="Times New Roman" w:cs="Times New Roman"/>
          <w:sz w:val="22"/>
          <w:szCs w:val="22"/>
          <w:lang w:val="en-GB"/>
        </w:rPr>
        <w:t xml:space="preserve">SSS argued, that during detention he tried to activate a grenade, </w:t>
      </w:r>
      <w:r w:rsidR="00761FD2">
        <w:rPr>
          <w:rFonts w:eastAsia="Times New Roman" w:cs="Times New Roman"/>
          <w:sz w:val="22"/>
          <w:szCs w:val="22"/>
          <w:lang w:val="en-GB"/>
        </w:rPr>
        <w:t>therefore</w:t>
      </w:r>
      <w:r w:rsidR="00417A56" w:rsidRPr="00AE2F32">
        <w:rPr>
          <w:rFonts w:eastAsia="Times New Roman" w:cs="Times New Roman"/>
          <w:sz w:val="22"/>
          <w:szCs w:val="22"/>
          <w:lang w:val="en-GB"/>
        </w:rPr>
        <w:t xml:space="preserve"> special officer shot in his direction</w:t>
      </w:r>
      <w:r w:rsidR="00417A56">
        <w:rPr>
          <w:rFonts w:eastAsia="Times New Roman" w:cs="Times New Roman"/>
          <w:sz w:val="22"/>
          <w:szCs w:val="22"/>
          <w:lang w:val="ka-GE"/>
        </w:rPr>
        <w:t>.</w:t>
      </w:r>
      <w:r w:rsidR="00417A56">
        <w:rPr>
          <w:rFonts w:eastAsia="Times New Roman" w:cs="Times New Roman"/>
          <w:sz w:val="22"/>
          <w:szCs w:val="22"/>
        </w:rPr>
        <w:t xml:space="preserve"> But as mentioned above, the investigation raises critical questions regarding the grenade.</w:t>
      </w:r>
    </w:p>
    <w:p w14:paraId="48EB6205" w14:textId="308E59AF" w:rsidR="00E111BA" w:rsidRPr="00AE2F32" w:rsidRDefault="00E111BA" w:rsidP="00EB1CFE">
      <w:pPr>
        <w:jc w:val="both"/>
        <w:rPr>
          <w:rFonts w:eastAsia="Times New Roman" w:cs="Times New Roman"/>
          <w:sz w:val="22"/>
          <w:szCs w:val="22"/>
          <w:lang w:val="en-GB"/>
        </w:rPr>
      </w:pPr>
    </w:p>
    <w:p w14:paraId="4418E082" w14:textId="0F05A25C" w:rsidR="009A7AE2" w:rsidRPr="00AE2F32" w:rsidRDefault="00761FD2" w:rsidP="00EB1CFE">
      <w:pPr>
        <w:jc w:val="both"/>
        <w:rPr>
          <w:rFonts w:eastAsia="Times New Roman" w:cs="Times New Roman"/>
          <w:sz w:val="22"/>
          <w:szCs w:val="22"/>
        </w:rPr>
      </w:pPr>
      <w:r>
        <w:rPr>
          <w:rFonts w:eastAsia="Times New Roman" w:cs="Times New Roman"/>
          <w:sz w:val="22"/>
          <w:szCs w:val="22"/>
          <w:lang w:val="en-GB"/>
        </w:rPr>
        <w:lastRenderedPageBreak/>
        <w:t>Despite</w:t>
      </w:r>
      <w:r w:rsidRPr="00AE2F32">
        <w:rPr>
          <w:rFonts w:eastAsia="Times New Roman" w:cs="Times New Roman"/>
          <w:sz w:val="22"/>
          <w:szCs w:val="22"/>
          <w:lang w:val="en-GB"/>
        </w:rPr>
        <w:t xml:space="preserve"> </w:t>
      </w:r>
      <w:r w:rsidR="00D8644B" w:rsidRPr="00AE2F32">
        <w:rPr>
          <w:rFonts w:eastAsia="Times New Roman" w:cs="Times New Roman"/>
          <w:sz w:val="22"/>
          <w:szCs w:val="22"/>
          <w:lang w:val="en-GB"/>
        </w:rPr>
        <w:t>the important questions related to the investigation</w:t>
      </w:r>
      <w:r>
        <w:rPr>
          <w:rFonts w:eastAsia="Times New Roman" w:cs="Times New Roman"/>
          <w:sz w:val="22"/>
          <w:szCs w:val="22"/>
          <w:lang w:val="en-GB"/>
        </w:rPr>
        <w:t xml:space="preserve"> still exists,</w:t>
      </w:r>
      <w:r w:rsidR="00D8644B" w:rsidRPr="00AE2F32">
        <w:rPr>
          <w:rFonts w:eastAsia="Times New Roman" w:cs="Times New Roman"/>
          <w:sz w:val="22"/>
          <w:szCs w:val="22"/>
          <w:lang w:val="en-GB"/>
        </w:rPr>
        <w:t xml:space="preserve"> without reasonable motivation, the Prosecutor’s office unexpectedly ceased investigation on 27</w:t>
      </w:r>
      <w:r w:rsidR="00D8644B" w:rsidRPr="00AE2F32">
        <w:rPr>
          <w:rFonts w:eastAsia="Times New Roman" w:cs="Times New Roman"/>
          <w:sz w:val="22"/>
          <w:szCs w:val="22"/>
          <w:vertAlign w:val="superscript"/>
          <w:lang w:val="en-GB"/>
        </w:rPr>
        <w:t>th</w:t>
      </w:r>
      <w:r w:rsidR="00D8644B" w:rsidRPr="00AE2F32">
        <w:rPr>
          <w:rFonts w:eastAsia="Times New Roman" w:cs="Times New Roman"/>
          <w:sz w:val="22"/>
          <w:szCs w:val="22"/>
          <w:lang w:val="en-GB"/>
        </w:rPr>
        <w:t xml:space="preserve"> January 2020.</w:t>
      </w:r>
      <w:r w:rsidR="0032771A" w:rsidRPr="00AE2F32">
        <w:rPr>
          <w:rFonts w:eastAsia="Times New Roman" w:cs="Times New Roman"/>
          <w:sz w:val="22"/>
          <w:szCs w:val="22"/>
          <w:lang w:val="en-GB"/>
        </w:rPr>
        <w:t xml:space="preserve">  </w:t>
      </w:r>
      <w:r w:rsidR="009A7AE2" w:rsidRPr="00AE2F32">
        <w:rPr>
          <w:rFonts w:eastAsia="Times New Roman" w:cs="Times New Roman"/>
          <w:sz w:val="22"/>
          <w:szCs w:val="22"/>
          <w:lang w:val="en-GB"/>
        </w:rPr>
        <w:t xml:space="preserve">Machalikashvili killing case is under consideration by </w:t>
      </w:r>
      <w:r w:rsidR="009165C2">
        <w:rPr>
          <w:rFonts w:eastAsia="Times New Roman" w:cs="Times New Roman"/>
          <w:sz w:val="22"/>
          <w:szCs w:val="22"/>
          <w:lang w:val="en-GB"/>
        </w:rPr>
        <w:t>the ECHR</w:t>
      </w:r>
      <w:r>
        <w:rPr>
          <w:rFonts w:eastAsia="Times New Roman" w:cs="Times New Roman"/>
          <w:sz w:val="22"/>
          <w:szCs w:val="22"/>
          <w:lang w:val="en-GB"/>
        </w:rPr>
        <w:t>.</w:t>
      </w:r>
      <w:r w:rsidR="0032771A" w:rsidRPr="00AE2F32">
        <w:rPr>
          <w:rStyle w:val="FootnoteReference"/>
          <w:rFonts w:eastAsia="Times New Roman" w:cs="Times New Roman"/>
          <w:sz w:val="22"/>
          <w:szCs w:val="22"/>
          <w:lang w:val="en-GB"/>
        </w:rPr>
        <w:footnoteReference w:id="55"/>
      </w:r>
    </w:p>
    <w:p w14:paraId="7234BF39" w14:textId="2EA79B8B" w:rsidR="003605F2" w:rsidRPr="00AE2F32" w:rsidRDefault="003605F2" w:rsidP="00EB1CFE">
      <w:pPr>
        <w:jc w:val="both"/>
        <w:rPr>
          <w:rFonts w:eastAsia="Times New Roman" w:cs="Times New Roman"/>
          <w:sz w:val="22"/>
          <w:szCs w:val="22"/>
          <w:lang w:val="en-GB"/>
        </w:rPr>
      </w:pPr>
    </w:p>
    <w:p w14:paraId="797A9F4C" w14:textId="2879761B" w:rsidR="00E33ABD" w:rsidRPr="00AE2F32" w:rsidRDefault="00761FD2" w:rsidP="00EB1CFE">
      <w:pPr>
        <w:jc w:val="both"/>
        <w:rPr>
          <w:rFonts w:eastAsia="Times New Roman" w:cs="Times New Roman"/>
          <w:sz w:val="22"/>
          <w:szCs w:val="22"/>
          <w:lang w:val="en-GB"/>
        </w:rPr>
      </w:pPr>
      <w:r>
        <w:rPr>
          <w:rFonts w:eastAsia="Times New Roman" w:cs="Times New Roman"/>
          <w:sz w:val="22"/>
          <w:szCs w:val="22"/>
          <w:lang w:val="en-GB"/>
        </w:rPr>
        <w:t xml:space="preserve">This </w:t>
      </w:r>
      <w:r w:rsidR="00057557" w:rsidRPr="00AE2F32">
        <w:rPr>
          <w:rFonts w:eastAsia="Times New Roman" w:cs="Times New Roman"/>
          <w:sz w:val="22"/>
          <w:szCs w:val="22"/>
          <w:lang w:val="en-GB"/>
        </w:rPr>
        <w:t xml:space="preserve">case demonstrates </w:t>
      </w:r>
      <w:r w:rsidR="00507BCD">
        <w:rPr>
          <w:rFonts w:eastAsia="Times New Roman" w:cs="Times New Roman"/>
          <w:sz w:val="22"/>
          <w:szCs w:val="22"/>
          <w:lang w:val="en-GB"/>
        </w:rPr>
        <w:t xml:space="preserve">the </w:t>
      </w:r>
      <w:r w:rsidR="00057557" w:rsidRPr="00AE2F32">
        <w:rPr>
          <w:rFonts w:eastAsia="Times New Roman" w:cs="Times New Roman"/>
          <w:sz w:val="22"/>
          <w:szCs w:val="22"/>
          <w:lang w:val="en-GB"/>
        </w:rPr>
        <w:t>state’s repressive policy in Pankisi Gorge.</w:t>
      </w:r>
      <w:r w:rsidR="003605F2" w:rsidRPr="00AE2F32">
        <w:rPr>
          <w:rStyle w:val="FootnoteReference"/>
          <w:rFonts w:eastAsia="Times New Roman" w:cs="Times New Roman"/>
          <w:sz w:val="22"/>
          <w:szCs w:val="22"/>
          <w:lang w:val="en-GB"/>
        </w:rPr>
        <w:footnoteReference w:id="56"/>
      </w:r>
      <w:r w:rsidR="00D32881">
        <w:rPr>
          <w:rFonts w:eastAsia="Times New Roman" w:cs="Times New Roman"/>
          <w:sz w:val="22"/>
          <w:szCs w:val="22"/>
          <w:lang w:val="en-GB"/>
        </w:rPr>
        <w:t xml:space="preserve"> </w:t>
      </w:r>
      <w:r w:rsidR="00521CB3" w:rsidRPr="00AE2F32">
        <w:rPr>
          <w:rFonts w:eastAsia="Times New Roman" w:cs="Times New Roman"/>
          <w:sz w:val="22"/>
          <w:szCs w:val="22"/>
          <w:lang w:val="en-GB"/>
        </w:rPr>
        <w:t xml:space="preserve">It is noteworthy that Machalikashvili’s case critically brought to the agenda excessive power and </w:t>
      </w:r>
      <w:r w:rsidR="00C20740" w:rsidRPr="00AE2F32">
        <w:rPr>
          <w:rFonts w:eastAsia="Times New Roman" w:cs="Times New Roman"/>
          <w:sz w:val="22"/>
          <w:szCs w:val="22"/>
          <w:lang w:val="en-GB"/>
        </w:rPr>
        <w:t>contested</w:t>
      </w:r>
      <w:r w:rsidR="00521CB3" w:rsidRPr="00AE2F32">
        <w:rPr>
          <w:rFonts w:eastAsia="Times New Roman" w:cs="Times New Roman"/>
          <w:sz w:val="22"/>
          <w:szCs w:val="22"/>
          <w:lang w:val="en-GB"/>
        </w:rPr>
        <w:t xml:space="preserve"> competences of SSS, and weak parliamentary control</w:t>
      </w:r>
      <w:r w:rsidR="0022025E" w:rsidRPr="00AE2F32">
        <w:rPr>
          <w:rFonts w:eastAsia="Times New Roman" w:cs="Times New Roman"/>
          <w:sz w:val="22"/>
          <w:szCs w:val="22"/>
          <w:lang w:val="en-GB"/>
        </w:rPr>
        <w:t>.</w:t>
      </w:r>
      <w:r w:rsidR="0022025E" w:rsidRPr="00AE2F32">
        <w:rPr>
          <w:rStyle w:val="FootnoteReference"/>
          <w:rFonts w:eastAsia="Times New Roman" w:cs="Times New Roman"/>
          <w:sz w:val="22"/>
          <w:szCs w:val="22"/>
          <w:lang w:val="en-GB"/>
        </w:rPr>
        <w:footnoteReference w:id="57"/>
      </w:r>
      <w:r w:rsidR="005641EA" w:rsidRPr="00AE2F32">
        <w:rPr>
          <w:rFonts w:eastAsia="Times New Roman" w:cs="Times New Roman"/>
          <w:sz w:val="22"/>
          <w:szCs w:val="22"/>
          <w:lang w:val="en-GB"/>
        </w:rPr>
        <w:t xml:space="preserve"> </w:t>
      </w:r>
      <w:r w:rsidR="009411C4" w:rsidRPr="00AE2F32">
        <w:rPr>
          <w:rFonts w:eastAsia="Times New Roman" w:cs="Times New Roman"/>
          <w:sz w:val="22"/>
          <w:szCs w:val="22"/>
          <w:lang w:val="en-GB"/>
        </w:rPr>
        <w:t xml:space="preserve">Although Machalikashvili family asked for </w:t>
      </w:r>
      <w:r w:rsidR="00507BCD">
        <w:rPr>
          <w:rFonts w:eastAsia="Times New Roman" w:cs="Times New Roman"/>
          <w:sz w:val="22"/>
          <w:szCs w:val="22"/>
          <w:lang w:val="en-GB"/>
        </w:rPr>
        <w:t xml:space="preserve">a </w:t>
      </w:r>
      <w:r w:rsidR="009411C4" w:rsidRPr="00AE2F32">
        <w:rPr>
          <w:rFonts w:eastAsia="Times New Roman" w:cs="Times New Roman"/>
          <w:sz w:val="22"/>
          <w:szCs w:val="22"/>
          <w:lang w:val="en-GB"/>
        </w:rPr>
        <w:t xml:space="preserve">parliamentary investigation commission, </w:t>
      </w:r>
      <w:r w:rsidR="00507BCD">
        <w:rPr>
          <w:rFonts w:eastAsia="Times New Roman" w:cs="Times New Roman"/>
          <w:sz w:val="22"/>
          <w:szCs w:val="22"/>
          <w:lang w:val="en-GB"/>
        </w:rPr>
        <w:t xml:space="preserve">the </w:t>
      </w:r>
      <w:r w:rsidR="009411C4" w:rsidRPr="00AE2F32">
        <w:rPr>
          <w:rFonts w:eastAsia="Times New Roman" w:cs="Times New Roman"/>
          <w:sz w:val="22"/>
          <w:szCs w:val="22"/>
          <w:lang w:val="en-GB"/>
        </w:rPr>
        <w:t xml:space="preserve">governing political group </w:t>
      </w:r>
      <w:r w:rsidR="00B608D4" w:rsidRPr="00AE2F32">
        <w:rPr>
          <w:rFonts w:eastAsia="Times New Roman" w:cs="Times New Roman"/>
          <w:sz w:val="22"/>
          <w:szCs w:val="22"/>
          <w:lang w:val="en-GB"/>
        </w:rPr>
        <w:t xml:space="preserve">did not </w:t>
      </w:r>
      <w:r w:rsidR="00507BCD">
        <w:rPr>
          <w:rFonts w:eastAsia="Times New Roman" w:cs="Times New Roman"/>
          <w:sz w:val="22"/>
          <w:szCs w:val="22"/>
          <w:lang w:val="en-GB"/>
        </w:rPr>
        <w:t>consider</w:t>
      </w:r>
      <w:r w:rsidR="00B608D4" w:rsidRPr="00AE2F32">
        <w:rPr>
          <w:rFonts w:eastAsia="Times New Roman" w:cs="Times New Roman"/>
          <w:sz w:val="22"/>
          <w:szCs w:val="22"/>
          <w:lang w:val="en-GB"/>
        </w:rPr>
        <w:t xml:space="preserve"> such </w:t>
      </w:r>
      <w:r w:rsidR="00B655B8">
        <w:rPr>
          <w:rFonts w:eastAsia="Times New Roman" w:cs="Times New Roman"/>
          <w:sz w:val="22"/>
          <w:szCs w:val="22"/>
          <w:lang w:val="en-GB"/>
        </w:rPr>
        <w:t xml:space="preserve">a </w:t>
      </w:r>
      <w:r w:rsidR="00B608D4" w:rsidRPr="00AE2F32">
        <w:rPr>
          <w:rFonts w:eastAsia="Times New Roman" w:cs="Times New Roman"/>
          <w:sz w:val="22"/>
          <w:szCs w:val="22"/>
          <w:lang w:val="en-GB"/>
        </w:rPr>
        <w:t xml:space="preserve">necessity. </w:t>
      </w:r>
    </w:p>
    <w:p w14:paraId="34AECBB2" w14:textId="77777777" w:rsidR="00A26068" w:rsidRPr="00AE2F32" w:rsidRDefault="00A26068" w:rsidP="00EB1CFE">
      <w:pPr>
        <w:jc w:val="both"/>
        <w:rPr>
          <w:rFonts w:eastAsia="Times New Roman" w:cs="Times New Roman"/>
          <w:sz w:val="22"/>
          <w:szCs w:val="22"/>
          <w:lang w:val="en-GB"/>
        </w:rPr>
      </w:pPr>
    </w:p>
    <w:p w14:paraId="1A21D9CC" w14:textId="01CA2619" w:rsidR="00E33ABD" w:rsidRPr="00AE2F32" w:rsidRDefault="00B608D4" w:rsidP="00724C7B">
      <w:pPr>
        <w:shd w:val="clear" w:color="auto" w:fill="C9C9C9" w:themeFill="accent3" w:themeFillTint="99"/>
        <w:jc w:val="both"/>
        <w:rPr>
          <w:rFonts w:eastAsia="Times New Roman" w:cs="Times New Roman"/>
          <w:b/>
          <w:bCs/>
          <w:sz w:val="22"/>
          <w:szCs w:val="22"/>
          <w:lang w:val="en-GB"/>
        </w:rPr>
      </w:pPr>
      <w:r w:rsidRPr="00AE2F32">
        <w:rPr>
          <w:rFonts w:eastAsia="Times New Roman" w:cs="Times New Roman"/>
          <w:b/>
          <w:bCs/>
          <w:sz w:val="22"/>
          <w:szCs w:val="22"/>
          <w:lang w:val="en-GB"/>
        </w:rPr>
        <w:t xml:space="preserve">Recommendations: </w:t>
      </w:r>
    </w:p>
    <w:p w14:paraId="7E978406" w14:textId="77777777" w:rsidR="00831EF2" w:rsidRPr="00AE2F32" w:rsidRDefault="00831EF2" w:rsidP="00724C7B">
      <w:pPr>
        <w:shd w:val="clear" w:color="auto" w:fill="C9C9C9" w:themeFill="accent3" w:themeFillTint="99"/>
        <w:jc w:val="both"/>
        <w:rPr>
          <w:rFonts w:eastAsia="Times New Roman" w:cs="Times New Roman"/>
          <w:color w:val="0070C0"/>
          <w:sz w:val="22"/>
          <w:szCs w:val="22"/>
          <w:u w:val="single"/>
          <w:lang w:val="en-GB"/>
        </w:rPr>
      </w:pPr>
    </w:p>
    <w:p w14:paraId="5DCB2248" w14:textId="588E75FF" w:rsidR="00B608D4" w:rsidRPr="00AE2F32" w:rsidRDefault="00B608D4" w:rsidP="0023502D">
      <w:pPr>
        <w:numPr>
          <w:ilvl w:val="0"/>
          <w:numId w:val="19"/>
        </w:numPr>
        <w:shd w:val="clear" w:color="auto" w:fill="C9C9C9" w:themeFill="accent3" w:themeFillTint="99"/>
        <w:jc w:val="both"/>
        <w:rPr>
          <w:rFonts w:eastAsia="Times New Roman" w:cs="Times New Roman"/>
          <w:sz w:val="22"/>
          <w:szCs w:val="22"/>
          <w:lang w:val="en-GB"/>
        </w:rPr>
      </w:pPr>
      <w:r w:rsidRPr="00AE2F32">
        <w:rPr>
          <w:rFonts w:eastAsia="Times New Roman" w:cs="Times New Roman"/>
          <w:sz w:val="22"/>
          <w:szCs w:val="22"/>
          <w:lang w:val="en-GB"/>
        </w:rPr>
        <w:t xml:space="preserve">Investigate Machalikashvili killing case and </w:t>
      </w:r>
      <w:r w:rsidR="00993BD4" w:rsidRPr="00AE2F32">
        <w:rPr>
          <w:rFonts w:eastAsia="Times New Roman" w:cs="Times New Roman"/>
          <w:sz w:val="22"/>
          <w:szCs w:val="22"/>
          <w:lang w:val="en-GB"/>
        </w:rPr>
        <w:t>raise the issue of legal responsibility of those who planned and conducted the operation;</w:t>
      </w:r>
    </w:p>
    <w:p w14:paraId="665D0E4B" w14:textId="6C519E83" w:rsidR="00993BD4" w:rsidRPr="00AE2F32" w:rsidRDefault="00993BD4" w:rsidP="0023502D">
      <w:pPr>
        <w:numPr>
          <w:ilvl w:val="0"/>
          <w:numId w:val="19"/>
        </w:numPr>
        <w:shd w:val="clear" w:color="auto" w:fill="C9C9C9" w:themeFill="accent3" w:themeFillTint="99"/>
        <w:jc w:val="both"/>
        <w:rPr>
          <w:rFonts w:eastAsia="Times New Roman" w:cs="Times New Roman"/>
          <w:sz w:val="22"/>
          <w:szCs w:val="22"/>
          <w:lang w:val="en-GB"/>
        </w:rPr>
      </w:pPr>
      <w:r w:rsidRPr="00AE2F32">
        <w:rPr>
          <w:rFonts w:eastAsia="Times New Roman" w:cs="Times New Roman"/>
          <w:sz w:val="22"/>
          <w:szCs w:val="22"/>
          <w:lang w:val="en-GB"/>
        </w:rPr>
        <w:t xml:space="preserve">Reform </w:t>
      </w:r>
      <w:r w:rsidR="00C20740">
        <w:rPr>
          <w:rFonts w:eastAsia="Times New Roman" w:cs="Times New Roman"/>
          <w:sz w:val="22"/>
          <w:szCs w:val="22"/>
          <w:lang w:val="en-GB"/>
        </w:rPr>
        <w:t>SSS</w:t>
      </w:r>
      <w:r w:rsidRPr="00AE2F32">
        <w:rPr>
          <w:rFonts w:eastAsia="Times New Roman" w:cs="Times New Roman"/>
          <w:sz w:val="22"/>
          <w:szCs w:val="22"/>
          <w:lang w:val="en-GB"/>
        </w:rPr>
        <w:t xml:space="preserve"> to decentralize its excess power and increase parliamentary and civilian control over it.</w:t>
      </w:r>
    </w:p>
    <w:p w14:paraId="13CD9D4B" w14:textId="521811A0" w:rsidR="00831EF2" w:rsidRPr="00AE2F32" w:rsidRDefault="00831EF2" w:rsidP="00EB1CFE">
      <w:pPr>
        <w:jc w:val="both"/>
        <w:rPr>
          <w:rFonts w:eastAsia="Times New Roman" w:cs="Times New Roman"/>
          <w:sz w:val="22"/>
          <w:szCs w:val="22"/>
          <w:lang w:val="en-GB"/>
        </w:rPr>
      </w:pPr>
    </w:p>
    <w:p w14:paraId="0068F6A1" w14:textId="55CA2740" w:rsidR="00831EF2" w:rsidRPr="00AE2F32" w:rsidRDefault="00831EF2" w:rsidP="00EB1CFE">
      <w:pPr>
        <w:jc w:val="both"/>
        <w:rPr>
          <w:rFonts w:eastAsia="Times New Roman" w:cs="Times New Roman"/>
          <w:sz w:val="22"/>
          <w:szCs w:val="22"/>
          <w:lang w:val="en-GB"/>
        </w:rPr>
      </w:pPr>
    </w:p>
    <w:p w14:paraId="475094E6" w14:textId="4388B4D6" w:rsidR="00831EF2" w:rsidRPr="00AE2F32" w:rsidRDefault="00477BC8" w:rsidP="00724C7B">
      <w:pPr>
        <w:shd w:val="clear" w:color="auto" w:fill="C9C9C9" w:themeFill="accent3" w:themeFillTint="99"/>
        <w:jc w:val="both"/>
        <w:rPr>
          <w:rFonts w:eastAsia="Times New Roman" w:cs="Times New Roman"/>
          <w:b/>
          <w:bCs/>
          <w:sz w:val="22"/>
          <w:szCs w:val="22"/>
          <w:lang w:val="en-GB"/>
        </w:rPr>
      </w:pPr>
      <w:r w:rsidRPr="00AE2F32">
        <w:rPr>
          <w:rFonts w:eastAsia="Times New Roman" w:cs="Times New Roman"/>
          <w:b/>
          <w:bCs/>
          <w:sz w:val="22"/>
          <w:szCs w:val="22"/>
          <w:lang w:val="en-GB"/>
        </w:rPr>
        <w:t>Questions:</w:t>
      </w:r>
    </w:p>
    <w:p w14:paraId="54697CFE" w14:textId="6DECED0B" w:rsidR="00831EF2" w:rsidRPr="00AE2F32" w:rsidRDefault="00831EF2" w:rsidP="00724C7B">
      <w:pPr>
        <w:shd w:val="clear" w:color="auto" w:fill="C9C9C9" w:themeFill="accent3" w:themeFillTint="99"/>
        <w:jc w:val="both"/>
        <w:rPr>
          <w:rFonts w:eastAsia="Times New Roman" w:cs="Times New Roman"/>
          <w:sz w:val="22"/>
          <w:szCs w:val="22"/>
          <w:lang w:val="en-GB"/>
        </w:rPr>
      </w:pPr>
    </w:p>
    <w:p w14:paraId="666D0355" w14:textId="1EAC8E03" w:rsidR="00477BC8" w:rsidRPr="00AE2F32" w:rsidRDefault="00477BC8" w:rsidP="0023502D">
      <w:pPr>
        <w:pStyle w:val="ListParagraph"/>
        <w:numPr>
          <w:ilvl w:val="0"/>
          <w:numId w:val="1"/>
        </w:numPr>
        <w:shd w:val="clear" w:color="auto" w:fill="C9C9C9" w:themeFill="accent3" w:themeFillTint="99"/>
        <w:jc w:val="both"/>
        <w:rPr>
          <w:rFonts w:eastAsia="Times New Roman" w:cs="Times New Roman"/>
          <w:sz w:val="22"/>
          <w:szCs w:val="22"/>
          <w:lang w:val="en-GB"/>
        </w:rPr>
      </w:pPr>
      <w:r w:rsidRPr="00AE2F32">
        <w:rPr>
          <w:rFonts w:eastAsia="Times New Roman" w:cs="Times New Roman"/>
          <w:sz w:val="22"/>
          <w:szCs w:val="22"/>
          <w:lang w:val="en-GB"/>
        </w:rPr>
        <w:t>For what reasons investigation of Machalikashvili’s killing was terminated and which evidence supports such decision?</w:t>
      </w:r>
    </w:p>
    <w:p w14:paraId="1971D8BE" w14:textId="243A287F" w:rsidR="00A26068" w:rsidRPr="00AE2F32" w:rsidRDefault="00A26068" w:rsidP="00A26068">
      <w:pPr>
        <w:jc w:val="both"/>
        <w:rPr>
          <w:sz w:val="22"/>
          <w:szCs w:val="22"/>
          <w:lang w:val="en-GB"/>
        </w:rPr>
      </w:pPr>
    </w:p>
    <w:p w14:paraId="3283AC86" w14:textId="77777777" w:rsidR="00A26068" w:rsidRPr="00AE2F32" w:rsidRDefault="00A26068" w:rsidP="00A26068">
      <w:pPr>
        <w:jc w:val="both"/>
        <w:rPr>
          <w:i/>
          <w:iCs/>
          <w:sz w:val="22"/>
          <w:szCs w:val="22"/>
          <w:u w:val="single"/>
          <w:lang w:val="en-GB"/>
        </w:rPr>
      </w:pPr>
    </w:p>
    <w:p w14:paraId="7F31230B" w14:textId="123AF07E" w:rsidR="004A4D4E" w:rsidRPr="00AE2F32" w:rsidRDefault="003533F0" w:rsidP="00A26068">
      <w:pPr>
        <w:jc w:val="both"/>
        <w:rPr>
          <w:i/>
          <w:iCs/>
          <w:sz w:val="22"/>
          <w:szCs w:val="22"/>
          <w:u w:val="single"/>
          <w:lang w:val="en-GB"/>
        </w:rPr>
      </w:pPr>
      <w:r>
        <w:rPr>
          <w:i/>
          <w:iCs/>
          <w:sz w:val="22"/>
          <w:szCs w:val="22"/>
          <w:u w:val="single"/>
          <w:lang w:val="en-GB"/>
        </w:rPr>
        <w:t>Occupational</w:t>
      </w:r>
      <w:r w:rsidRPr="00AE2F32">
        <w:rPr>
          <w:i/>
          <w:iCs/>
          <w:sz w:val="22"/>
          <w:szCs w:val="22"/>
          <w:u w:val="single"/>
          <w:lang w:val="en-GB"/>
        </w:rPr>
        <w:t xml:space="preserve"> </w:t>
      </w:r>
      <w:r w:rsidR="004A4D4E" w:rsidRPr="00AE2F32">
        <w:rPr>
          <w:i/>
          <w:iCs/>
          <w:sz w:val="22"/>
          <w:szCs w:val="22"/>
          <w:u w:val="single"/>
          <w:lang w:val="en-GB"/>
        </w:rPr>
        <w:t xml:space="preserve">Safety and the cases of death of </w:t>
      </w:r>
      <w:r w:rsidR="004A4D4E" w:rsidRPr="00AE2F32">
        <w:rPr>
          <w:i/>
          <w:iCs/>
          <w:sz w:val="22"/>
          <w:szCs w:val="22"/>
          <w:u w:val="single"/>
        </w:rPr>
        <w:t>workers</w:t>
      </w:r>
      <w:r w:rsidR="00D87A99" w:rsidRPr="00AE2F32">
        <w:rPr>
          <w:i/>
          <w:iCs/>
          <w:sz w:val="22"/>
          <w:szCs w:val="22"/>
          <w:u w:val="single"/>
          <w:lang w:val="en-GB"/>
        </w:rPr>
        <w:t xml:space="preserve"> </w:t>
      </w:r>
    </w:p>
    <w:p w14:paraId="480C8AEB" w14:textId="77777777" w:rsidR="00A26068" w:rsidRPr="00AE2F32" w:rsidRDefault="00A26068" w:rsidP="00A26068">
      <w:pPr>
        <w:jc w:val="both"/>
        <w:rPr>
          <w:sz w:val="22"/>
          <w:szCs w:val="22"/>
          <w:lang w:val="en-GB"/>
        </w:rPr>
      </w:pPr>
    </w:p>
    <w:p w14:paraId="0BE62C35" w14:textId="383CA86C" w:rsidR="00A26068" w:rsidRPr="00AE2F32" w:rsidRDefault="00761FD2" w:rsidP="00A26068">
      <w:pPr>
        <w:jc w:val="both"/>
        <w:rPr>
          <w:sz w:val="22"/>
          <w:szCs w:val="22"/>
          <w:lang w:val="en-GB"/>
        </w:rPr>
      </w:pPr>
      <w:r>
        <w:rPr>
          <w:sz w:val="22"/>
          <w:szCs w:val="22"/>
          <w:lang w:val="en-GB"/>
        </w:rPr>
        <w:t>Due to the</w:t>
      </w:r>
      <w:r w:rsidR="004A4D4E" w:rsidRPr="00AE2F32">
        <w:rPr>
          <w:sz w:val="22"/>
          <w:szCs w:val="22"/>
          <w:lang w:val="en-GB"/>
        </w:rPr>
        <w:t xml:space="preserve"> </w:t>
      </w:r>
      <w:r>
        <w:rPr>
          <w:sz w:val="22"/>
          <w:szCs w:val="22"/>
          <w:lang w:val="en-GB"/>
        </w:rPr>
        <w:t>deregulated</w:t>
      </w:r>
      <w:r w:rsidRPr="00AE2F32">
        <w:rPr>
          <w:sz w:val="22"/>
          <w:szCs w:val="22"/>
          <w:lang w:val="en-GB"/>
        </w:rPr>
        <w:t xml:space="preserve"> </w:t>
      </w:r>
      <w:r w:rsidR="004A4D4E" w:rsidRPr="00AE2F32">
        <w:rPr>
          <w:sz w:val="22"/>
          <w:szCs w:val="22"/>
          <w:lang w:val="en-GB"/>
        </w:rPr>
        <w:t xml:space="preserve">labour legislation since 2006, </w:t>
      </w:r>
      <w:r w:rsidR="006D1489" w:rsidRPr="00AE2F32">
        <w:rPr>
          <w:sz w:val="22"/>
          <w:szCs w:val="22"/>
          <w:lang w:val="en-GB"/>
        </w:rPr>
        <w:t>safety norms negligence</w:t>
      </w:r>
      <w:r w:rsidR="00B64D65">
        <w:rPr>
          <w:sz w:val="22"/>
          <w:szCs w:val="22"/>
          <w:lang w:val="en-GB"/>
        </w:rPr>
        <w:t xml:space="preserve"> and the cases of health damage and loss of worker’s lives </w:t>
      </w:r>
      <w:r w:rsidR="006D1489" w:rsidRPr="00AE2F32">
        <w:rPr>
          <w:sz w:val="22"/>
          <w:szCs w:val="22"/>
          <w:lang w:val="en-GB"/>
        </w:rPr>
        <w:t>have dramatically increased</w:t>
      </w:r>
      <w:r>
        <w:rPr>
          <w:sz w:val="22"/>
          <w:szCs w:val="22"/>
          <w:lang w:val="en-GB"/>
        </w:rPr>
        <w:t xml:space="preserve">. </w:t>
      </w:r>
      <w:r w:rsidR="006D1489" w:rsidRPr="00AE2F32">
        <w:rPr>
          <w:sz w:val="22"/>
          <w:szCs w:val="22"/>
          <w:lang w:val="en-GB"/>
        </w:rPr>
        <w:t xml:space="preserve">In 2011-2016, </w:t>
      </w:r>
      <w:r w:rsidR="00507BCD">
        <w:rPr>
          <w:sz w:val="22"/>
          <w:szCs w:val="22"/>
          <w:lang w:val="en-GB"/>
        </w:rPr>
        <w:t xml:space="preserve">the number of </w:t>
      </w:r>
      <w:proofErr w:type="gramStart"/>
      <w:r w:rsidR="00507BCD">
        <w:rPr>
          <w:sz w:val="22"/>
          <w:szCs w:val="22"/>
          <w:lang w:val="en-GB"/>
        </w:rPr>
        <w:t>death</w:t>
      </w:r>
      <w:proofErr w:type="gramEnd"/>
      <w:r w:rsidR="006D1489" w:rsidRPr="00AE2F32">
        <w:rPr>
          <w:sz w:val="22"/>
          <w:szCs w:val="22"/>
          <w:lang w:val="en-GB"/>
        </w:rPr>
        <w:t xml:space="preserve"> on working place was 270. Since 2014, within the Association Agreement between Georgian and EU, Georgia took obligation to approximate national labour legislation to international standards, which itself meant to implement ILO conventions and recommendations in national legislation and to create </w:t>
      </w:r>
      <w:r w:rsidR="006D1489" w:rsidRPr="00AE2F32">
        <w:rPr>
          <w:sz w:val="22"/>
          <w:szCs w:val="22"/>
        </w:rPr>
        <w:t>effective enforcement mechanisms</w:t>
      </w:r>
      <w:r w:rsidR="00A26068" w:rsidRPr="00AE2F32">
        <w:rPr>
          <w:sz w:val="22"/>
          <w:szCs w:val="22"/>
          <w:lang w:val="en-GB"/>
        </w:rPr>
        <w:t>.</w:t>
      </w:r>
      <w:r w:rsidR="00A26068" w:rsidRPr="00AE2F32">
        <w:rPr>
          <w:rStyle w:val="FootnoteReference"/>
          <w:sz w:val="22"/>
          <w:szCs w:val="22"/>
          <w:lang w:val="en-GB"/>
        </w:rPr>
        <w:footnoteReference w:id="58"/>
      </w:r>
      <w:r w:rsidR="00A26068" w:rsidRPr="00AE2F32">
        <w:rPr>
          <w:sz w:val="22"/>
          <w:szCs w:val="22"/>
          <w:lang w:val="en-GB"/>
        </w:rPr>
        <w:t xml:space="preserve"> </w:t>
      </w:r>
      <w:r w:rsidR="00C91BFC" w:rsidRPr="00AE2F32">
        <w:rPr>
          <w:sz w:val="22"/>
          <w:szCs w:val="22"/>
          <w:lang w:val="en-GB"/>
        </w:rPr>
        <w:t>Since 2015</w:t>
      </w:r>
      <w:r w:rsidR="003533F0">
        <w:rPr>
          <w:sz w:val="22"/>
          <w:szCs w:val="22"/>
          <w:lang w:val="en-GB"/>
        </w:rPr>
        <w:t>,</w:t>
      </w:r>
      <w:r w:rsidR="00C91BFC" w:rsidRPr="00AE2F32">
        <w:rPr>
          <w:sz w:val="22"/>
          <w:szCs w:val="22"/>
          <w:lang w:val="en-GB"/>
        </w:rPr>
        <w:t xml:space="preserve"> Labour Inspection Department was created under </w:t>
      </w:r>
      <w:r w:rsidR="00507BCD">
        <w:rPr>
          <w:sz w:val="22"/>
          <w:szCs w:val="22"/>
          <w:lang w:val="en-GB"/>
        </w:rPr>
        <w:t xml:space="preserve">the </w:t>
      </w:r>
      <w:r w:rsidR="00C91BFC" w:rsidRPr="00AE2F32">
        <w:rPr>
          <w:sz w:val="22"/>
          <w:szCs w:val="22"/>
          <w:lang w:val="en-GB"/>
        </w:rPr>
        <w:t xml:space="preserve">Ministry of </w:t>
      </w:r>
      <w:r w:rsidR="00C91BFC" w:rsidRPr="00AE2F32">
        <w:rPr>
          <w:sz w:val="22"/>
          <w:szCs w:val="22"/>
        </w:rPr>
        <w:t>Internally displaced persons, Labor, Health</w:t>
      </w:r>
      <w:r w:rsidR="00B7474C">
        <w:rPr>
          <w:sz w:val="22"/>
          <w:szCs w:val="22"/>
        </w:rPr>
        <w:t>,</w:t>
      </w:r>
      <w:r w:rsidR="00C91BFC" w:rsidRPr="00AE2F32">
        <w:rPr>
          <w:sz w:val="22"/>
          <w:szCs w:val="22"/>
        </w:rPr>
        <w:t xml:space="preserve"> and Social </w:t>
      </w:r>
      <w:r w:rsidR="003533F0">
        <w:rPr>
          <w:sz w:val="22"/>
          <w:szCs w:val="22"/>
        </w:rPr>
        <w:t>Affairs</w:t>
      </w:r>
      <w:r w:rsidR="00C91BFC" w:rsidRPr="00AE2F32">
        <w:rPr>
          <w:sz w:val="22"/>
          <w:szCs w:val="22"/>
        </w:rPr>
        <w:t>. However, International and local organizations several times referred to the drawbacks in existing inspection mechanism</w:t>
      </w:r>
      <w:r w:rsidR="00A26068" w:rsidRPr="00AE2F32">
        <w:rPr>
          <w:sz w:val="22"/>
          <w:szCs w:val="22"/>
          <w:lang w:val="en-GB"/>
        </w:rPr>
        <w:t>.</w:t>
      </w:r>
      <w:r w:rsidR="00A26068" w:rsidRPr="00AE2F32">
        <w:rPr>
          <w:rStyle w:val="FootnoteReference"/>
          <w:sz w:val="22"/>
          <w:szCs w:val="22"/>
          <w:lang w:val="en-GB"/>
        </w:rPr>
        <w:footnoteReference w:id="59"/>
      </w:r>
      <w:r w:rsidR="00A26068" w:rsidRPr="00AE2F32">
        <w:rPr>
          <w:sz w:val="22"/>
          <w:szCs w:val="22"/>
          <w:lang w:val="en-GB"/>
        </w:rPr>
        <w:t xml:space="preserve"> </w:t>
      </w:r>
      <w:r w:rsidR="00C91BFC" w:rsidRPr="00AE2F32">
        <w:rPr>
          <w:sz w:val="22"/>
          <w:szCs w:val="22"/>
          <w:lang w:val="en-GB"/>
        </w:rPr>
        <w:t xml:space="preserve">The Law on </w:t>
      </w:r>
      <w:r w:rsidR="003533F0">
        <w:rPr>
          <w:sz w:val="22"/>
          <w:szCs w:val="22"/>
          <w:lang w:val="en-GB"/>
        </w:rPr>
        <w:t>Occupational</w:t>
      </w:r>
      <w:r w:rsidR="003533F0" w:rsidRPr="00AE2F32">
        <w:rPr>
          <w:sz w:val="22"/>
          <w:szCs w:val="22"/>
          <w:lang w:val="en-GB"/>
        </w:rPr>
        <w:t xml:space="preserve"> </w:t>
      </w:r>
      <w:r w:rsidR="00C91BFC" w:rsidRPr="00AE2F32">
        <w:rPr>
          <w:sz w:val="22"/>
          <w:szCs w:val="22"/>
          <w:lang w:val="en-GB"/>
        </w:rPr>
        <w:t xml:space="preserve">Safety was adopted in 2018, which prescribed mandatory mandate of inspection on the high-risk working places. </w:t>
      </w:r>
      <w:r w:rsidR="004B17B7" w:rsidRPr="00AE2F32">
        <w:rPr>
          <w:sz w:val="22"/>
          <w:szCs w:val="22"/>
          <w:lang w:val="en-GB"/>
        </w:rPr>
        <w:t>Since 2019, the law gained the status o</w:t>
      </w:r>
      <w:r>
        <w:rPr>
          <w:sz w:val="22"/>
          <w:szCs w:val="22"/>
          <w:lang w:val="en-GB"/>
        </w:rPr>
        <w:t>f</w:t>
      </w:r>
      <w:r w:rsidR="004B17B7" w:rsidRPr="00AE2F32">
        <w:rPr>
          <w:sz w:val="22"/>
          <w:szCs w:val="22"/>
          <w:lang w:val="en-GB"/>
        </w:rPr>
        <w:t xml:space="preserve"> organic law, which enabled Labour Inspection Department, without prior notice, at any period of day or night, inspect </w:t>
      </w:r>
      <w:r w:rsidR="003533F0">
        <w:rPr>
          <w:sz w:val="22"/>
          <w:szCs w:val="22"/>
          <w:lang w:val="en-GB"/>
        </w:rPr>
        <w:t>occupational</w:t>
      </w:r>
      <w:r w:rsidR="003533F0" w:rsidRPr="00AE2F32">
        <w:rPr>
          <w:sz w:val="22"/>
          <w:szCs w:val="22"/>
          <w:lang w:val="en-GB"/>
        </w:rPr>
        <w:t xml:space="preserve"> </w:t>
      </w:r>
      <w:r w:rsidR="004B17B7" w:rsidRPr="00AE2F32">
        <w:rPr>
          <w:sz w:val="22"/>
          <w:szCs w:val="22"/>
          <w:lang w:val="en-GB"/>
        </w:rPr>
        <w:t>safety of any economic subject. The law also prescribed penalties and warning sanctions</w:t>
      </w:r>
      <w:r w:rsidR="00A26068" w:rsidRPr="00AE2F32">
        <w:rPr>
          <w:sz w:val="22"/>
          <w:szCs w:val="22"/>
          <w:lang w:val="en-GB"/>
        </w:rPr>
        <w:t>.</w:t>
      </w:r>
      <w:r w:rsidR="00A26068" w:rsidRPr="00AE2F32">
        <w:rPr>
          <w:rStyle w:val="FootnoteReference"/>
          <w:sz w:val="22"/>
          <w:szCs w:val="22"/>
          <w:lang w:val="en-GB"/>
        </w:rPr>
        <w:footnoteReference w:id="60"/>
      </w:r>
      <w:r w:rsidR="00A26068" w:rsidRPr="00AE2F32">
        <w:rPr>
          <w:sz w:val="22"/>
          <w:szCs w:val="22"/>
          <w:lang w:val="en-GB"/>
        </w:rPr>
        <w:t xml:space="preserve"> </w:t>
      </w:r>
      <w:r w:rsidR="004B17B7" w:rsidRPr="00AE2F32">
        <w:rPr>
          <w:sz w:val="22"/>
          <w:szCs w:val="22"/>
          <w:lang w:val="en-GB"/>
        </w:rPr>
        <w:t xml:space="preserve">Due to the enlargement of authority of inspection department in terms of </w:t>
      </w:r>
      <w:r w:rsidR="003533F0">
        <w:rPr>
          <w:sz w:val="22"/>
          <w:szCs w:val="22"/>
          <w:lang w:val="en-GB"/>
        </w:rPr>
        <w:t>occupational</w:t>
      </w:r>
      <w:r w:rsidR="003533F0" w:rsidRPr="00AE2F32">
        <w:rPr>
          <w:sz w:val="22"/>
          <w:szCs w:val="22"/>
          <w:lang w:val="en-GB"/>
        </w:rPr>
        <w:t xml:space="preserve"> </w:t>
      </w:r>
      <w:r w:rsidR="004B17B7" w:rsidRPr="00AE2F32">
        <w:rPr>
          <w:sz w:val="22"/>
          <w:szCs w:val="22"/>
          <w:lang w:val="en-GB"/>
        </w:rPr>
        <w:t xml:space="preserve">safety monitoring, the </w:t>
      </w:r>
      <w:r w:rsidR="00F95449">
        <w:rPr>
          <w:sz w:val="22"/>
          <w:szCs w:val="22"/>
          <w:lang w:val="en-GB"/>
        </w:rPr>
        <w:t xml:space="preserve">number of </w:t>
      </w:r>
      <w:r w:rsidR="004B17B7" w:rsidRPr="00AE2F32">
        <w:rPr>
          <w:sz w:val="22"/>
          <w:szCs w:val="22"/>
          <w:lang w:val="en-GB"/>
        </w:rPr>
        <w:t>death cases in 2019 is decreased.</w:t>
      </w:r>
      <w:r w:rsidR="00A26068" w:rsidRPr="00AE2F32">
        <w:rPr>
          <w:rStyle w:val="FootnoteReference"/>
          <w:sz w:val="22"/>
          <w:szCs w:val="22"/>
          <w:lang w:val="en-GB"/>
        </w:rPr>
        <w:footnoteReference w:id="61"/>
      </w:r>
    </w:p>
    <w:p w14:paraId="640D0C27" w14:textId="507D4EBC" w:rsidR="00EF5BCA" w:rsidRPr="00AE2F32" w:rsidRDefault="00B64D65" w:rsidP="00A26068">
      <w:pPr>
        <w:jc w:val="both"/>
        <w:rPr>
          <w:sz w:val="22"/>
          <w:szCs w:val="22"/>
          <w:lang w:val="en-GB"/>
        </w:rPr>
      </w:pPr>
      <w:r>
        <w:rPr>
          <w:sz w:val="22"/>
          <w:szCs w:val="22"/>
          <w:lang w:val="en-GB"/>
        </w:rPr>
        <w:lastRenderedPageBreak/>
        <w:t>Although,</w:t>
      </w:r>
      <w:r w:rsidR="004B17B7" w:rsidRPr="00AE2F32">
        <w:rPr>
          <w:sz w:val="22"/>
          <w:szCs w:val="22"/>
          <w:lang w:val="en-GB"/>
        </w:rPr>
        <w:t xml:space="preserve"> safe jobs and unenforced labour rights remain challenging, creating persistent practices of </w:t>
      </w:r>
      <w:r w:rsidR="00EF5BCA" w:rsidRPr="00AE2F32">
        <w:rPr>
          <w:sz w:val="22"/>
          <w:szCs w:val="22"/>
          <w:lang w:val="en-GB"/>
        </w:rPr>
        <w:t>harming employees’ health and life</w:t>
      </w:r>
      <w:r w:rsidR="004B17B7" w:rsidRPr="00AE2F32">
        <w:rPr>
          <w:sz w:val="22"/>
          <w:szCs w:val="22"/>
          <w:lang w:val="en-GB"/>
        </w:rPr>
        <w:t xml:space="preserve">. </w:t>
      </w:r>
      <w:r w:rsidR="00EF5BCA" w:rsidRPr="00AE2F32">
        <w:rPr>
          <w:sz w:val="22"/>
          <w:szCs w:val="22"/>
          <w:lang w:val="en-GB"/>
        </w:rPr>
        <w:t xml:space="preserve">Legislative amendments were initiated by MPs in 2020 April. </w:t>
      </w:r>
      <w:r w:rsidR="00A26068" w:rsidRPr="00AE2F32">
        <w:rPr>
          <w:rStyle w:val="FootnoteReference"/>
          <w:sz w:val="22"/>
          <w:szCs w:val="22"/>
          <w:lang w:val="en-GB"/>
        </w:rPr>
        <w:footnoteReference w:id="62"/>
      </w:r>
      <w:r w:rsidR="00A26068" w:rsidRPr="00AE2F32">
        <w:rPr>
          <w:sz w:val="22"/>
          <w:szCs w:val="22"/>
          <w:lang w:val="en-GB"/>
        </w:rPr>
        <w:t xml:space="preserve"> </w:t>
      </w:r>
      <w:r w:rsidR="00EF5BCA" w:rsidRPr="00AE2F32">
        <w:rPr>
          <w:sz w:val="22"/>
          <w:szCs w:val="22"/>
          <w:lang w:val="en-GB"/>
        </w:rPr>
        <w:t xml:space="preserve">It is important, that the package prescribes increased mandate of labour inspection and </w:t>
      </w:r>
      <w:r w:rsidR="00F95449">
        <w:rPr>
          <w:sz w:val="22"/>
          <w:szCs w:val="22"/>
          <w:lang w:val="en-GB"/>
        </w:rPr>
        <w:t>full</w:t>
      </w:r>
      <w:r w:rsidR="00F95449" w:rsidRPr="00AE2F32">
        <w:rPr>
          <w:sz w:val="22"/>
          <w:szCs w:val="22"/>
          <w:lang w:val="en-GB"/>
        </w:rPr>
        <w:t xml:space="preserve"> </w:t>
      </w:r>
      <w:r w:rsidR="00EF5BCA" w:rsidRPr="00AE2F32">
        <w:rPr>
          <w:sz w:val="22"/>
          <w:szCs w:val="22"/>
          <w:lang w:val="en-GB"/>
        </w:rPr>
        <w:t>monitoring</w:t>
      </w:r>
      <w:r w:rsidR="00F95449">
        <w:rPr>
          <w:sz w:val="22"/>
          <w:szCs w:val="22"/>
          <w:lang w:val="en-GB"/>
        </w:rPr>
        <w:t xml:space="preserve"> power</w:t>
      </w:r>
      <w:r w:rsidR="00EF5BCA" w:rsidRPr="00AE2F32">
        <w:rPr>
          <w:sz w:val="22"/>
          <w:szCs w:val="22"/>
          <w:lang w:val="en-GB"/>
        </w:rPr>
        <w:t xml:space="preserve">, which will support reduction of high-risk labour practices. </w:t>
      </w:r>
    </w:p>
    <w:p w14:paraId="0D51A156" w14:textId="77777777" w:rsidR="00A26068" w:rsidRPr="00AE2F32" w:rsidRDefault="00A26068" w:rsidP="00F9696F">
      <w:pPr>
        <w:jc w:val="both"/>
        <w:rPr>
          <w:i/>
          <w:sz w:val="22"/>
          <w:szCs w:val="22"/>
          <w:lang w:val="en-GB"/>
        </w:rPr>
      </w:pPr>
    </w:p>
    <w:p w14:paraId="0FA72A80" w14:textId="7B28D279" w:rsidR="00A26068" w:rsidRPr="00AE2F32" w:rsidRDefault="00EF5BCA" w:rsidP="00A26068">
      <w:pPr>
        <w:shd w:val="clear" w:color="auto" w:fill="D0CECE" w:themeFill="background2" w:themeFillShade="E6"/>
        <w:jc w:val="both"/>
        <w:rPr>
          <w:b/>
          <w:bCs/>
          <w:iCs/>
          <w:sz w:val="22"/>
          <w:szCs w:val="22"/>
          <w:u w:val="single"/>
          <w:lang w:val="en-GB"/>
        </w:rPr>
      </w:pPr>
      <w:r w:rsidRPr="00AE2F32">
        <w:rPr>
          <w:b/>
          <w:bCs/>
          <w:iCs/>
          <w:sz w:val="22"/>
          <w:szCs w:val="22"/>
          <w:u w:val="single"/>
          <w:lang w:val="en-GB"/>
        </w:rPr>
        <w:t xml:space="preserve">Recommendation: </w:t>
      </w:r>
    </w:p>
    <w:p w14:paraId="733089E3" w14:textId="77777777" w:rsidR="00A26068" w:rsidRPr="00AE2F32" w:rsidRDefault="00A26068" w:rsidP="00A26068">
      <w:pPr>
        <w:shd w:val="clear" w:color="auto" w:fill="D0CECE" w:themeFill="background2" w:themeFillShade="E6"/>
        <w:jc w:val="both"/>
        <w:rPr>
          <w:iCs/>
          <w:sz w:val="22"/>
          <w:szCs w:val="22"/>
          <w:lang w:val="en-GB"/>
        </w:rPr>
      </w:pPr>
    </w:p>
    <w:p w14:paraId="26726321" w14:textId="4151857D" w:rsidR="00A26068" w:rsidRPr="00256F01" w:rsidRDefault="00062512" w:rsidP="0023502D">
      <w:pPr>
        <w:pStyle w:val="ListParagraph"/>
        <w:numPr>
          <w:ilvl w:val="0"/>
          <w:numId w:val="33"/>
        </w:numPr>
        <w:shd w:val="clear" w:color="auto" w:fill="D0CECE" w:themeFill="background2" w:themeFillShade="E6"/>
        <w:spacing w:after="160" w:line="259" w:lineRule="auto"/>
        <w:jc w:val="both"/>
        <w:rPr>
          <w:i/>
          <w:sz w:val="22"/>
          <w:szCs w:val="22"/>
          <w:lang w:val="en-GB"/>
        </w:rPr>
      </w:pPr>
      <w:r w:rsidRPr="00AE2F32">
        <w:rPr>
          <w:iCs/>
          <w:sz w:val="22"/>
          <w:szCs w:val="22"/>
          <w:lang w:val="en-GB"/>
        </w:rPr>
        <w:t xml:space="preserve">Increase inspection mandate to strengthen institutional capacity of labour inspection, create territorial units, and equip them with respective financial and technical, as well as with human resources. </w:t>
      </w:r>
    </w:p>
    <w:p w14:paraId="6F7AF109" w14:textId="77777777" w:rsidR="00256F01" w:rsidRPr="00256F01" w:rsidRDefault="00256F01" w:rsidP="00256F01">
      <w:pPr>
        <w:jc w:val="both"/>
        <w:rPr>
          <w:i/>
          <w:sz w:val="22"/>
          <w:szCs w:val="22"/>
          <w:lang w:val="en-GB"/>
        </w:rPr>
      </w:pPr>
    </w:p>
    <w:p w14:paraId="4BC45530" w14:textId="67344F09" w:rsidR="00A26068" w:rsidRPr="00AE2F32" w:rsidRDefault="00062512" w:rsidP="00A26068">
      <w:pPr>
        <w:shd w:val="clear" w:color="auto" w:fill="D0CECE" w:themeFill="background2" w:themeFillShade="E6"/>
        <w:jc w:val="both"/>
        <w:rPr>
          <w:b/>
          <w:bCs/>
          <w:iCs/>
          <w:sz w:val="22"/>
          <w:szCs w:val="22"/>
          <w:u w:val="single"/>
          <w:lang w:val="en-GB"/>
        </w:rPr>
      </w:pPr>
      <w:r w:rsidRPr="00AE2F32">
        <w:rPr>
          <w:b/>
          <w:bCs/>
          <w:iCs/>
          <w:sz w:val="22"/>
          <w:szCs w:val="22"/>
          <w:u w:val="single"/>
          <w:lang w:val="en-GB"/>
        </w:rPr>
        <w:t xml:space="preserve">Questions: </w:t>
      </w:r>
    </w:p>
    <w:p w14:paraId="2817B116" w14:textId="77777777" w:rsidR="00A26068" w:rsidRPr="00AE2F32" w:rsidRDefault="00A26068" w:rsidP="00A26068">
      <w:pPr>
        <w:shd w:val="clear" w:color="auto" w:fill="D0CECE" w:themeFill="background2" w:themeFillShade="E6"/>
        <w:jc w:val="both"/>
        <w:rPr>
          <w:i/>
          <w:sz w:val="22"/>
          <w:szCs w:val="22"/>
          <w:u w:val="single"/>
          <w:lang w:val="en-GB"/>
        </w:rPr>
      </w:pPr>
    </w:p>
    <w:p w14:paraId="758E8EE7" w14:textId="712B54E3" w:rsidR="00062512" w:rsidRPr="00AE2F32" w:rsidRDefault="00062512" w:rsidP="0023502D">
      <w:pPr>
        <w:pStyle w:val="ListParagraph"/>
        <w:numPr>
          <w:ilvl w:val="0"/>
          <w:numId w:val="33"/>
        </w:numPr>
        <w:shd w:val="clear" w:color="auto" w:fill="D0CECE" w:themeFill="background2" w:themeFillShade="E6"/>
        <w:spacing w:after="160" w:line="259" w:lineRule="auto"/>
        <w:jc w:val="both"/>
        <w:rPr>
          <w:iCs/>
          <w:sz w:val="22"/>
          <w:szCs w:val="22"/>
          <w:lang w:val="en-GB"/>
        </w:rPr>
      </w:pPr>
      <w:r w:rsidRPr="00AE2F32">
        <w:rPr>
          <w:iCs/>
          <w:sz w:val="22"/>
          <w:szCs w:val="22"/>
          <w:lang w:val="en-GB"/>
        </w:rPr>
        <w:t xml:space="preserve">What measures are taken by state to eradicate </w:t>
      </w:r>
      <w:r w:rsidR="00507BCD">
        <w:rPr>
          <w:iCs/>
          <w:sz w:val="22"/>
          <w:szCs w:val="22"/>
          <w:lang w:val="en-GB"/>
        </w:rPr>
        <w:t xml:space="preserve">the </w:t>
      </w:r>
      <w:r w:rsidRPr="00AE2F32">
        <w:rPr>
          <w:iCs/>
          <w:sz w:val="22"/>
          <w:szCs w:val="22"/>
          <w:lang w:val="en-GB"/>
        </w:rPr>
        <w:t xml:space="preserve">loss of </w:t>
      </w:r>
      <w:r w:rsidR="00507BCD">
        <w:rPr>
          <w:iCs/>
          <w:sz w:val="22"/>
          <w:szCs w:val="22"/>
          <w:lang w:val="en-GB"/>
        </w:rPr>
        <w:t>employees'</w:t>
      </w:r>
      <w:r w:rsidRPr="00AE2F32">
        <w:rPr>
          <w:iCs/>
          <w:sz w:val="22"/>
          <w:szCs w:val="22"/>
          <w:lang w:val="en-GB"/>
        </w:rPr>
        <w:t xml:space="preserve"> lives and damage to their health at </w:t>
      </w:r>
      <w:r w:rsidR="00507BCD">
        <w:rPr>
          <w:iCs/>
          <w:sz w:val="22"/>
          <w:szCs w:val="22"/>
          <w:lang w:val="en-GB"/>
        </w:rPr>
        <w:t xml:space="preserve">the </w:t>
      </w:r>
      <w:r w:rsidRPr="00AE2F32">
        <w:rPr>
          <w:iCs/>
          <w:sz w:val="22"/>
          <w:szCs w:val="22"/>
          <w:lang w:val="en-GB"/>
        </w:rPr>
        <w:t xml:space="preserve">workplace? </w:t>
      </w:r>
    </w:p>
    <w:p w14:paraId="43B476BC" w14:textId="77777777" w:rsidR="007A1EE0" w:rsidRPr="00AE2F32" w:rsidRDefault="007A1EE0" w:rsidP="00EB1CFE">
      <w:pPr>
        <w:rPr>
          <w:rFonts w:eastAsia="Times New Roman" w:cs="Times New Roman"/>
          <w:b/>
          <w:bCs/>
          <w:sz w:val="22"/>
          <w:szCs w:val="22"/>
          <w:lang w:val="en-GB"/>
        </w:rPr>
      </w:pPr>
    </w:p>
    <w:p w14:paraId="2687D2D3" w14:textId="0A64AF47" w:rsidR="006C1F77" w:rsidRPr="00AE2F32" w:rsidRDefault="00916F30" w:rsidP="0023502D">
      <w:pPr>
        <w:pStyle w:val="Heading2"/>
        <w:numPr>
          <w:ilvl w:val="0"/>
          <w:numId w:val="15"/>
        </w:numPr>
        <w:spacing w:before="0"/>
        <w:rPr>
          <w:rFonts w:asciiTheme="minorHAnsi" w:hAnsiTheme="minorHAnsi" w:cs="Sylfaen"/>
          <w:sz w:val="22"/>
          <w:szCs w:val="22"/>
          <w:lang w:val="en-GB"/>
        </w:rPr>
      </w:pPr>
      <w:bookmarkStart w:id="31" w:name="_Toc48565941"/>
      <w:r w:rsidRPr="00AE2F32">
        <w:rPr>
          <w:rFonts w:asciiTheme="minorHAnsi" w:hAnsiTheme="minorHAnsi" w:cs="Sylfaen"/>
          <w:sz w:val="22"/>
          <w:szCs w:val="22"/>
          <w:lang w:val="en-GB"/>
        </w:rPr>
        <w:t>Article</w:t>
      </w:r>
      <w:r w:rsidR="00962CBE" w:rsidRPr="00AE2F32">
        <w:rPr>
          <w:rFonts w:asciiTheme="minorHAnsi" w:hAnsiTheme="minorHAnsi" w:cs="Sylfaen"/>
          <w:sz w:val="22"/>
          <w:szCs w:val="22"/>
          <w:lang w:val="en-GB"/>
        </w:rPr>
        <w:t xml:space="preserve"> 7</w:t>
      </w:r>
      <w:r w:rsidR="007D476A" w:rsidRPr="00AE2F32">
        <w:rPr>
          <w:rFonts w:asciiTheme="minorHAnsi" w:hAnsiTheme="minorHAnsi" w:cs="Sylfaen"/>
          <w:sz w:val="22"/>
          <w:szCs w:val="22"/>
          <w:lang w:val="en-GB"/>
        </w:rPr>
        <w:t xml:space="preserve">: </w:t>
      </w:r>
      <w:r w:rsidRPr="00AE2F32">
        <w:rPr>
          <w:rFonts w:asciiTheme="minorHAnsi" w:hAnsiTheme="minorHAnsi" w:cs="Sylfaen"/>
          <w:sz w:val="22"/>
          <w:szCs w:val="22"/>
          <w:lang w:val="en-GB"/>
        </w:rPr>
        <w:t>Prohibition of Torture</w:t>
      </w:r>
      <w:bookmarkEnd w:id="31"/>
      <w:r w:rsidRPr="00AE2F32">
        <w:rPr>
          <w:rFonts w:asciiTheme="minorHAnsi" w:hAnsiTheme="minorHAnsi" w:cs="Sylfaen"/>
          <w:sz w:val="22"/>
          <w:szCs w:val="22"/>
          <w:lang w:val="en-GB"/>
        </w:rPr>
        <w:t xml:space="preserve"> </w:t>
      </w:r>
      <w:r w:rsidR="00962CBE" w:rsidRPr="00AE2F32">
        <w:rPr>
          <w:rFonts w:asciiTheme="minorHAnsi" w:hAnsiTheme="minorHAnsi" w:cs="Sylfaen"/>
          <w:sz w:val="22"/>
          <w:szCs w:val="22"/>
          <w:lang w:val="en-GB"/>
        </w:rPr>
        <w:t xml:space="preserve"> </w:t>
      </w:r>
      <w:r w:rsidR="00087FE3" w:rsidRPr="00AE2F32">
        <w:rPr>
          <w:rFonts w:asciiTheme="minorHAnsi" w:hAnsiTheme="minorHAnsi" w:cs="Sylfaen"/>
          <w:sz w:val="22"/>
          <w:szCs w:val="22"/>
          <w:lang w:val="en-GB"/>
        </w:rPr>
        <w:t xml:space="preserve"> </w:t>
      </w:r>
    </w:p>
    <w:p w14:paraId="47D26630" w14:textId="77777777" w:rsidR="00724C7B" w:rsidRPr="00AE2F32" w:rsidRDefault="00724C7B" w:rsidP="00724C7B">
      <w:pPr>
        <w:jc w:val="both"/>
        <w:rPr>
          <w:i/>
          <w:sz w:val="22"/>
          <w:szCs w:val="22"/>
          <w:lang w:val="en-GB"/>
        </w:rPr>
      </w:pPr>
    </w:p>
    <w:p w14:paraId="04F0CB2C" w14:textId="2123B033" w:rsidR="00062512" w:rsidRPr="00AE2F32" w:rsidRDefault="00087FE3" w:rsidP="00D87A99">
      <w:pPr>
        <w:jc w:val="both"/>
        <w:rPr>
          <w:i/>
          <w:sz w:val="22"/>
          <w:szCs w:val="22"/>
          <w:lang w:val="en-GB"/>
        </w:rPr>
      </w:pPr>
      <w:r w:rsidRPr="00AE2F32">
        <w:rPr>
          <w:i/>
          <w:sz w:val="22"/>
          <w:szCs w:val="22"/>
          <w:lang w:val="en-GB"/>
        </w:rPr>
        <w:t>(</w:t>
      </w:r>
      <w:r w:rsidR="00062512" w:rsidRPr="00AE2F32">
        <w:rPr>
          <w:i/>
          <w:sz w:val="22"/>
          <w:szCs w:val="22"/>
          <w:lang w:val="en-GB"/>
        </w:rPr>
        <w:t xml:space="preserve">Additionally, refer to the assessment of </w:t>
      </w:r>
      <w:r w:rsidR="00507BCD">
        <w:rPr>
          <w:i/>
          <w:sz w:val="22"/>
          <w:szCs w:val="22"/>
          <w:lang w:val="en-GB"/>
        </w:rPr>
        <w:t xml:space="preserve">the </w:t>
      </w:r>
      <w:r w:rsidR="00062512" w:rsidRPr="00AE2F32">
        <w:rPr>
          <w:i/>
          <w:sz w:val="22"/>
          <w:szCs w:val="22"/>
          <w:lang w:val="en-GB"/>
        </w:rPr>
        <w:t xml:space="preserve">Committee’s recommendations para. 11-12) </w:t>
      </w:r>
    </w:p>
    <w:p w14:paraId="616D7698" w14:textId="027A4F8B" w:rsidR="00087FE3" w:rsidRPr="00AE2F32" w:rsidRDefault="00087FE3" w:rsidP="00EB1CFE">
      <w:pPr>
        <w:jc w:val="both"/>
        <w:rPr>
          <w:rFonts w:eastAsia="Times New Roman" w:cs="Times New Roman"/>
          <w:sz w:val="22"/>
          <w:szCs w:val="22"/>
          <w:lang w:val="en-GB"/>
        </w:rPr>
      </w:pPr>
    </w:p>
    <w:p w14:paraId="439DE78C" w14:textId="4DE1B0B9" w:rsidR="00F9696F" w:rsidRDefault="00062512" w:rsidP="00F9696F">
      <w:pPr>
        <w:jc w:val="both"/>
        <w:rPr>
          <w:rFonts w:eastAsia="Times New Roman"/>
          <w:i/>
          <w:iCs/>
          <w:sz w:val="22"/>
          <w:szCs w:val="22"/>
          <w:u w:val="single"/>
          <w:lang w:val="en-GB"/>
        </w:rPr>
      </w:pPr>
      <w:r w:rsidRPr="00AE2F32">
        <w:rPr>
          <w:rFonts w:eastAsia="Times New Roman"/>
          <w:i/>
          <w:iCs/>
          <w:sz w:val="22"/>
          <w:szCs w:val="22"/>
          <w:u w:val="single"/>
          <w:lang w:val="en-GB"/>
        </w:rPr>
        <w:t>Independent Investigative Mechanism</w:t>
      </w:r>
    </w:p>
    <w:p w14:paraId="66458AC3" w14:textId="77777777" w:rsidR="00B64D65" w:rsidRPr="00AE2F32" w:rsidRDefault="00B64D65" w:rsidP="00F9696F">
      <w:pPr>
        <w:jc w:val="both"/>
        <w:rPr>
          <w:rFonts w:eastAsia="Times New Roman"/>
          <w:i/>
          <w:iCs/>
          <w:sz w:val="22"/>
          <w:szCs w:val="22"/>
          <w:u w:val="single"/>
          <w:lang w:val="en-GB"/>
        </w:rPr>
      </w:pPr>
    </w:p>
    <w:p w14:paraId="6FCA0543" w14:textId="266489CB" w:rsidR="00F169A5" w:rsidRDefault="00BA25C2" w:rsidP="00F9696F">
      <w:pPr>
        <w:jc w:val="both"/>
        <w:rPr>
          <w:rFonts w:cs="Sylfaen"/>
          <w:sz w:val="22"/>
          <w:szCs w:val="22"/>
          <w:lang w:val="en-GB"/>
        </w:rPr>
      </w:pPr>
      <w:r w:rsidRPr="00AE2F32">
        <w:rPr>
          <w:rFonts w:cs="Sylfaen"/>
          <w:sz w:val="22"/>
          <w:szCs w:val="22"/>
          <w:lang w:val="en-GB"/>
        </w:rPr>
        <w:t>Effective investigation of crimes committed by the law-enforce</w:t>
      </w:r>
      <w:r w:rsidR="00923082">
        <w:rPr>
          <w:rFonts w:cs="Sylfaen"/>
          <w:sz w:val="22"/>
          <w:szCs w:val="22"/>
          <w:lang w:val="en-GB"/>
        </w:rPr>
        <w:t>ment officials (</w:t>
      </w:r>
      <w:r w:rsidR="00923082" w:rsidRPr="00F5401A">
        <w:rPr>
          <w:rFonts w:cs="Sylfaen"/>
          <w:sz w:val="22"/>
          <w:szCs w:val="22"/>
          <w:lang w:val="en-GB"/>
        </w:rPr>
        <w:t>hereinafter</w:t>
      </w:r>
      <w:r w:rsidR="00923082">
        <w:rPr>
          <w:rFonts w:cs="Sylfaen"/>
          <w:sz w:val="22"/>
          <w:szCs w:val="22"/>
          <w:lang w:val="en-GB"/>
        </w:rPr>
        <w:t>-officials)</w:t>
      </w:r>
      <w:r w:rsidRPr="00AE2F32">
        <w:rPr>
          <w:rFonts w:cs="Sylfaen"/>
          <w:sz w:val="22"/>
          <w:szCs w:val="22"/>
          <w:lang w:val="en-GB"/>
        </w:rPr>
        <w:t xml:space="preserve"> was challenging for years,</w:t>
      </w:r>
      <w:r w:rsidRPr="00AE2F32">
        <w:rPr>
          <w:sz w:val="22"/>
          <w:szCs w:val="22"/>
          <w:vertAlign w:val="superscript"/>
          <w:lang w:val="en-GB"/>
        </w:rPr>
        <w:footnoteReference w:id="63"/>
      </w:r>
      <w:r w:rsidRPr="00AE2F32">
        <w:rPr>
          <w:rFonts w:cs="Sylfaen"/>
          <w:sz w:val="22"/>
          <w:szCs w:val="22"/>
          <w:lang w:val="en-GB"/>
        </w:rPr>
        <w:t xml:space="preserve"> which raised an issue to create </w:t>
      </w:r>
      <w:r w:rsidR="00507BCD">
        <w:rPr>
          <w:rFonts w:cs="Sylfaen"/>
          <w:sz w:val="22"/>
          <w:szCs w:val="22"/>
          <w:lang w:val="en-GB"/>
        </w:rPr>
        <w:t xml:space="preserve">an </w:t>
      </w:r>
      <w:r w:rsidRPr="00AE2F32">
        <w:rPr>
          <w:rFonts w:cs="Sylfaen"/>
          <w:sz w:val="22"/>
          <w:szCs w:val="22"/>
          <w:lang w:val="en-GB"/>
        </w:rPr>
        <w:t>independent investigative institution.</w:t>
      </w:r>
      <w:r w:rsidR="00F169A5" w:rsidRPr="00AE2F32">
        <w:rPr>
          <w:sz w:val="22"/>
          <w:szCs w:val="22"/>
          <w:vertAlign w:val="superscript"/>
          <w:lang w:val="en-GB"/>
        </w:rPr>
        <w:footnoteReference w:id="64"/>
      </w:r>
    </w:p>
    <w:p w14:paraId="24904632" w14:textId="77777777" w:rsidR="00B64D65" w:rsidRPr="00AE2F32" w:rsidRDefault="00B64D65" w:rsidP="00F9696F">
      <w:pPr>
        <w:jc w:val="both"/>
        <w:rPr>
          <w:rFonts w:eastAsia="Times New Roman"/>
          <w:i/>
          <w:iCs/>
          <w:sz w:val="22"/>
          <w:szCs w:val="22"/>
          <w:u w:val="single"/>
          <w:lang w:val="en-GB"/>
        </w:rPr>
      </w:pPr>
    </w:p>
    <w:p w14:paraId="5B6BF641" w14:textId="484FAE0F" w:rsidR="00675596" w:rsidRDefault="00DE2C73" w:rsidP="00F169A5">
      <w:pPr>
        <w:tabs>
          <w:tab w:val="left" w:pos="360"/>
        </w:tabs>
        <w:spacing w:after="120"/>
        <w:jc w:val="both"/>
        <w:rPr>
          <w:sz w:val="22"/>
          <w:szCs w:val="22"/>
        </w:rPr>
      </w:pPr>
      <w:r w:rsidRPr="00AE2F32">
        <w:rPr>
          <w:rFonts w:cs="Sylfaen"/>
          <w:sz w:val="22"/>
          <w:szCs w:val="22"/>
          <w:lang w:val="en-GB"/>
        </w:rPr>
        <w:t>As a</w:t>
      </w:r>
      <w:r w:rsidR="00675596">
        <w:rPr>
          <w:rFonts w:cs="Sylfaen"/>
          <w:sz w:val="22"/>
          <w:szCs w:val="22"/>
          <w:lang w:val="en-GB"/>
        </w:rPr>
        <w:t>n</w:t>
      </w:r>
      <w:r w:rsidRPr="00AE2F32">
        <w:rPr>
          <w:rFonts w:cs="Sylfaen"/>
          <w:sz w:val="22"/>
          <w:szCs w:val="22"/>
          <w:lang w:val="en-GB"/>
        </w:rPr>
        <w:t xml:space="preserve"> independent investigation</w:t>
      </w:r>
      <w:r w:rsidR="00675596">
        <w:rPr>
          <w:rFonts w:cs="Sylfaen"/>
          <w:sz w:val="22"/>
          <w:szCs w:val="22"/>
          <w:lang w:val="en-GB"/>
        </w:rPr>
        <w:t xml:space="preserve"> body</w:t>
      </w:r>
      <w:r w:rsidRPr="00AE2F32">
        <w:rPr>
          <w:rFonts w:cs="Sylfaen"/>
          <w:sz w:val="22"/>
          <w:szCs w:val="22"/>
          <w:lang w:val="en-GB"/>
        </w:rPr>
        <w:t xml:space="preserve">, State Inspector Service </w:t>
      </w:r>
      <w:r w:rsidRPr="00AE2F32">
        <w:rPr>
          <w:rFonts w:cs="Sylfaen"/>
          <w:i/>
          <w:iCs/>
          <w:sz w:val="22"/>
          <w:szCs w:val="22"/>
          <w:lang w:val="en-GB"/>
        </w:rPr>
        <w:t xml:space="preserve">(hereinafter “Service”) </w:t>
      </w:r>
      <w:r w:rsidRPr="00AE2F32">
        <w:rPr>
          <w:rFonts w:cs="Sylfaen"/>
          <w:sz w:val="22"/>
          <w:szCs w:val="22"/>
          <w:lang w:val="en-GB"/>
        </w:rPr>
        <w:t xml:space="preserve">was created. However, </w:t>
      </w:r>
      <w:r w:rsidR="00507BCD">
        <w:rPr>
          <w:rFonts w:cs="Sylfaen"/>
          <w:sz w:val="22"/>
          <w:szCs w:val="22"/>
          <w:lang w:val="en-GB"/>
        </w:rPr>
        <w:t xml:space="preserve">the </w:t>
      </w:r>
      <w:r w:rsidRPr="00AE2F32">
        <w:rPr>
          <w:rFonts w:cs="Sylfaen"/>
          <w:sz w:val="22"/>
          <w:szCs w:val="22"/>
          <w:lang w:val="en-GB"/>
        </w:rPr>
        <w:t xml:space="preserve">enactment of legislation was postponed </w:t>
      </w:r>
      <w:r w:rsidR="00675596">
        <w:rPr>
          <w:rFonts w:cs="Sylfaen"/>
          <w:sz w:val="22"/>
          <w:szCs w:val="22"/>
          <w:lang w:val="en-GB"/>
        </w:rPr>
        <w:t xml:space="preserve">several </w:t>
      </w:r>
      <w:r w:rsidRPr="00AE2F32">
        <w:rPr>
          <w:rFonts w:cs="Sylfaen"/>
          <w:sz w:val="22"/>
          <w:szCs w:val="22"/>
          <w:lang w:val="en-GB"/>
        </w:rPr>
        <w:t>times and Service could not enact until 1 November 2019.</w:t>
      </w:r>
      <w:r w:rsidR="00F169A5" w:rsidRPr="00AE2F32">
        <w:rPr>
          <w:sz w:val="22"/>
          <w:szCs w:val="22"/>
          <w:vertAlign w:val="superscript"/>
          <w:lang w:val="en-GB"/>
        </w:rPr>
        <w:footnoteReference w:id="65"/>
      </w:r>
      <w:r w:rsidRPr="00AE2F32">
        <w:rPr>
          <w:rFonts w:cs="Sylfaen"/>
          <w:sz w:val="22"/>
          <w:szCs w:val="22"/>
          <w:lang w:val="en-GB"/>
        </w:rPr>
        <w:t xml:space="preserve"> For this reason, number of important cases were left without reaction</w:t>
      </w:r>
      <w:r w:rsidR="00F169A5" w:rsidRPr="00AE2F32">
        <w:rPr>
          <w:sz w:val="22"/>
          <w:szCs w:val="22"/>
          <w:lang w:val="en-GB"/>
        </w:rPr>
        <w:t>.</w:t>
      </w:r>
      <w:r w:rsidR="00F169A5" w:rsidRPr="00AE2F32">
        <w:rPr>
          <w:sz w:val="22"/>
          <w:szCs w:val="22"/>
          <w:vertAlign w:val="superscript"/>
          <w:lang w:val="en-GB"/>
        </w:rPr>
        <w:footnoteReference w:id="66"/>
      </w:r>
      <w:r w:rsidR="00F169A5" w:rsidRPr="00AE2F32">
        <w:rPr>
          <w:sz w:val="22"/>
          <w:szCs w:val="22"/>
          <w:lang w:val="en-GB"/>
        </w:rPr>
        <w:t xml:space="preserve"> </w:t>
      </w:r>
      <w:r w:rsidR="00507BCD">
        <w:rPr>
          <w:sz w:val="22"/>
          <w:szCs w:val="22"/>
          <w:lang w:val="en-GB"/>
        </w:rPr>
        <w:t>The state</w:t>
      </w:r>
      <w:r w:rsidRPr="00AE2F32">
        <w:rPr>
          <w:sz w:val="22"/>
          <w:szCs w:val="22"/>
          <w:lang w:val="en-GB"/>
        </w:rPr>
        <w:t xml:space="preserve"> could not mobilize sufficient financial resources</w:t>
      </w:r>
      <w:r w:rsidR="00F169A5" w:rsidRPr="00AE2F32">
        <w:rPr>
          <w:sz w:val="22"/>
          <w:szCs w:val="22"/>
          <w:lang w:val="en-GB"/>
        </w:rPr>
        <w:t>.</w:t>
      </w:r>
      <w:r w:rsidR="00F169A5" w:rsidRPr="00AE2F32">
        <w:rPr>
          <w:sz w:val="22"/>
          <w:szCs w:val="22"/>
          <w:vertAlign w:val="superscript"/>
          <w:lang w:val="en-GB"/>
        </w:rPr>
        <w:footnoteReference w:id="67"/>
      </w:r>
      <w:r w:rsidR="00BC7342" w:rsidRPr="00AE2F32">
        <w:rPr>
          <w:sz w:val="22"/>
          <w:szCs w:val="22"/>
        </w:rPr>
        <w:t xml:space="preserve"> </w:t>
      </w:r>
    </w:p>
    <w:p w14:paraId="487B7178" w14:textId="3A062DF7" w:rsidR="004D1FF9" w:rsidRPr="00AE2F32" w:rsidRDefault="00BC7342" w:rsidP="00F169A5">
      <w:pPr>
        <w:tabs>
          <w:tab w:val="left" w:pos="360"/>
        </w:tabs>
        <w:spacing w:after="120"/>
        <w:jc w:val="both"/>
        <w:rPr>
          <w:sz w:val="22"/>
          <w:szCs w:val="22"/>
          <w:lang w:val="en-GB"/>
        </w:rPr>
      </w:pPr>
      <w:r w:rsidRPr="00AE2F32">
        <w:rPr>
          <w:sz w:val="22"/>
          <w:szCs w:val="22"/>
        </w:rPr>
        <w:t>The legislation do</w:t>
      </w:r>
      <w:r w:rsidR="00981B8E" w:rsidRPr="00AE2F32">
        <w:rPr>
          <w:sz w:val="22"/>
          <w:szCs w:val="22"/>
        </w:rPr>
        <w:t>es</w:t>
      </w:r>
      <w:r w:rsidRPr="00AE2F32">
        <w:rPr>
          <w:sz w:val="22"/>
          <w:szCs w:val="22"/>
        </w:rPr>
        <w:t xml:space="preserve"> not sufficiently guarantee agency’s institutional independence. </w:t>
      </w:r>
      <w:r w:rsidR="00981B8E" w:rsidRPr="00AE2F32">
        <w:rPr>
          <w:sz w:val="22"/>
          <w:szCs w:val="22"/>
        </w:rPr>
        <w:t>State Inspector</w:t>
      </w:r>
      <w:r w:rsidR="0024027F">
        <w:rPr>
          <w:sz w:val="22"/>
          <w:szCs w:val="22"/>
        </w:rPr>
        <w:t>’s</w:t>
      </w:r>
      <w:r w:rsidR="00981B8E" w:rsidRPr="00AE2F32">
        <w:rPr>
          <w:sz w:val="22"/>
          <w:szCs w:val="22"/>
        </w:rPr>
        <w:t xml:space="preserve"> position contains </w:t>
      </w:r>
      <w:r w:rsidR="00507BCD">
        <w:rPr>
          <w:sz w:val="22"/>
          <w:szCs w:val="22"/>
        </w:rPr>
        <w:t>politicization</w:t>
      </w:r>
      <w:r w:rsidR="00981B8E" w:rsidRPr="00AE2F32">
        <w:rPr>
          <w:sz w:val="22"/>
          <w:szCs w:val="22"/>
        </w:rPr>
        <w:t xml:space="preserve"> risks. </w:t>
      </w:r>
      <w:r w:rsidR="00675596" w:rsidRPr="00675596">
        <w:rPr>
          <w:sz w:val="22"/>
          <w:szCs w:val="22"/>
        </w:rPr>
        <w:t>The Inspector shall be appointed by Parliament (an absolute majority),</w:t>
      </w:r>
      <w:r w:rsidR="00675596" w:rsidRPr="00675596">
        <w:rPr>
          <w:sz w:val="22"/>
          <w:szCs w:val="22"/>
          <w:vertAlign w:val="superscript"/>
        </w:rPr>
        <w:footnoteReference w:id="68"/>
      </w:r>
      <w:r w:rsidR="00675596" w:rsidRPr="00675596">
        <w:rPr>
          <w:sz w:val="22"/>
          <w:szCs w:val="22"/>
        </w:rPr>
        <w:t xml:space="preserve"> though the Prime Minister plays a crucial role in this process, as he/she presents a candidate to the legislative body. This </w:t>
      </w:r>
      <w:r w:rsidR="00507BCD">
        <w:rPr>
          <w:sz w:val="22"/>
          <w:szCs w:val="22"/>
        </w:rPr>
        <w:t>allows the ruling party</w:t>
      </w:r>
      <w:r w:rsidR="00675596" w:rsidRPr="00675596">
        <w:rPr>
          <w:sz w:val="22"/>
          <w:szCs w:val="22"/>
        </w:rPr>
        <w:t xml:space="preserve"> to select a loyal candidate for the Inspector’s position.</w:t>
      </w:r>
      <w:r w:rsidR="00F169A5" w:rsidRPr="00AE2F32">
        <w:rPr>
          <w:sz w:val="22"/>
          <w:szCs w:val="22"/>
          <w:vertAlign w:val="superscript"/>
          <w:lang w:val="en-GB"/>
        </w:rPr>
        <w:footnoteReference w:id="69"/>
      </w:r>
      <w:r w:rsidR="004D1FF9" w:rsidRPr="00AE2F32">
        <w:rPr>
          <w:sz w:val="22"/>
          <w:szCs w:val="22"/>
          <w:lang w:val="en-GB"/>
        </w:rPr>
        <w:t xml:space="preserve"> </w:t>
      </w:r>
    </w:p>
    <w:p w14:paraId="51FE5EE7" w14:textId="35DD62DB" w:rsidR="00866097" w:rsidRPr="00AE2F32" w:rsidRDefault="001653FD" w:rsidP="00F169A5">
      <w:pPr>
        <w:tabs>
          <w:tab w:val="left" w:pos="360"/>
        </w:tabs>
        <w:spacing w:after="120"/>
        <w:jc w:val="both"/>
        <w:rPr>
          <w:rFonts w:cs="Calibri"/>
          <w:sz w:val="22"/>
          <w:szCs w:val="22"/>
          <w:lang w:val="en-GB"/>
        </w:rPr>
      </w:pPr>
      <w:r w:rsidRPr="001653FD">
        <w:rPr>
          <w:sz w:val="22"/>
          <w:szCs w:val="22"/>
        </w:rPr>
        <w:lastRenderedPageBreak/>
        <w:t>The investigative power of the Inspector is</w:t>
      </w:r>
      <w:r w:rsidR="00B7474C">
        <w:rPr>
          <w:sz w:val="22"/>
          <w:szCs w:val="22"/>
        </w:rPr>
        <w:t xml:space="preserve"> </w:t>
      </w:r>
      <w:r w:rsidRPr="001653FD">
        <w:rPr>
          <w:sz w:val="22"/>
          <w:szCs w:val="22"/>
        </w:rPr>
        <w:t xml:space="preserve">limited by specific types of </w:t>
      </w:r>
      <w:r w:rsidR="00B7474C">
        <w:rPr>
          <w:sz w:val="22"/>
          <w:szCs w:val="22"/>
        </w:rPr>
        <w:t>crimes</w:t>
      </w:r>
      <w:r w:rsidRPr="001653FD">
        <w:rPr>
          <w:sz w:val="22"/>
          <w:szCs w:val="22"/>
        </w:rPr>
        <w:t xml:space="preserve"> that do not ensure effective investigations of all crimes committed by officials</w:t>
      </w:r>
      <w:r w:rsidR="00F169A5" w:rsidRPr="00AE2F32">
        <w:rPr>
          <w:rFonts w:cs="Calibri"/>
          <w:sz w:val="22"/>
          <w:szCs w:val="22"/>
          <w:lang w:val="en-GB"/>
        </w:rPr>
        <w:t>.</w:t>
      </w:r>
      <w:r w:rsidR="00F169A5" w:rsidRPr="00AE2F32">
        <w:rPr>
          <w:rStyle w:val="FootnoteReference"/>
          <w:rFonts w:cs="Calibri"/>
          <w:sz w:val="22"/>
          <w:szCs w:val="22"/>
          <w:lang w:val="en-GB"/>
        </w:rPr>
        <w:footnoteReference w:id="70"/>
      </w:r>
      <w:r w:rsidR="00F169A5" w:rsidRPr="00AE2F32">
        <w:rPr>
          <w:rFonts w:cs="Calibri"/>
          <w:sz w:val="22"/>
          <w:szCs w:val="22"/>
          <w:lang w:val="en-GB"/>
        </w:rPr>
        <w:t xml:space="preserve"> </w:t>
      </w:r>
      <w:r w:rsidR="004D1FF9" w:rsidRPr="00AE2F32">
        <w:rPr>
          <w:rFonts w:cs="Calibri"/>
          <w:sz w:val="22"/>
          <w:szCs w:val="22"/>
          <w:lang w:val="en-GB"/>
        </w:rPr>
        <w:t xml:space="preserve">Furthermore, </w:t>
      </w:r>
      <w:r w:rsidR="00B7474C">
        <w:rPr>
          <w:rFonts w:cs="Calibri"/>
          <w:sz w:val="22"/>
          <w:szCs w:val="22"/>
          <w:lang w:val="en-GB"/>
        </w:rPr>
        <w:t xml:space="preserve">the </w:t>
      </w:r>
      <w:r w:rsidR="004D1FF9" w:rsidRPr="00AE2F32">
        <w:rPr>
          <w:rFonts w:cs="Calibri"/>
          <w:sz w:val="22"/>
          <w:szCs w:val="22"/>
          <w:lang w:val="en-GB"/>
        </w:rPr>
        <w:t>inspector does not have investigative authority towards Minister of Interior Affairs</w:t>
      </w:r>
      <w:r w:rsidR="00EC7E1D">
        <w:rPr>
          <w:rFonts w:cs="Calibri"/>
          <w:sz w:val="22"/>
          <w:szCs w:val="22"/>
          <w:lang w:val="en-GB"/>
        </w:rPr>
        <w:t xml:space="preserve"> (MIA)</w:t>
      </w:r>
      <w:r w:rsidR="004D1FF9" w:rsidRPr="00AE2F32">
        <w:rPr>
          <w:rFonts w:cs="Calibri"/>
          <w:sz w:val="22"/>
          <w:szCs w:val="22"/>
          <w:lang w:val="en-GB"/>
        </w:rPr>
        <w:t>, General Prosecutor</w:t>
      </w:r>
      <w:r w:rsidR="00B7474C">
        <w:rPr>
          <w:rFonts w:cs="Calibri"/>
          <w:sz w:val="22"/>
          <w:szCs w:val="22"/>
          <w:lang w:val="en-GB"/>
        </w:rPr>
        <w:t>,</w:t>
      </w:r>
      <w:r w:rsidR="004D1FF9" w:rsidRPr="00AE2F32">
        <w:rPr>
          <w:rFonts w:cs="Calibri"/>
          <w:sz w:val="22"/>
          <w:szCs w:val="22"/>
          <w:lang w:val="en-GB"/>
        </w:rPr>
        <w:t xml:space="preserve"> or </w:t>
      </w:r>
      <w:r w:rsidR="0024027F">
        <w:rPr>
          <w:rFonts w:cs="Calibri"/>
          <w:sz w:val="22"/>
          <w:szCs w:val="22"/>
          <w:lang w:val="en-GB"/>
        </w:rPr>
        <w:t>SSS</w:t>
      </w:r>
      <w:r w:rsidR="004D1FF9" w:rsidRPr="00AE2F32">
        <w:rPr>
          <w:rFonts w:cs="Calibri"/>
          <w:sz w:val="22"/>
          <w:szCs w:val="22"/>
          <w:lang w:val="en-GB"/>
        </w:rPr>
        <w:t xml:space="preserve"> Head. (</w:t>
      </w:r>
      <w:r>
        <w:rPr>
          <w:rFonts w:cs="Calibri"/>
          <w:sz w:val="22"/>
          <w:szCs w:val="22"/>
          <w:lang w:val="en-GB"/>
        </w:rPr>
        <w:t xml:space="preserve">See </w:t>
      </w:r>
      <w:r w:rsidR="004D1FF9" w:rsidRPr="00AE2F32">
        <w:rPr>
          <w:rFonts w:cs="Calibri"/>
          <w:sz w:val="22"/>
          <w:szCs w:val="22"/>
          <w:lang w:val="en-GB"/>
        </w:rPr>
        <w:t>Appendix N2</w:t>
      </w:r>
      <w:r w:rsidR="00636398">
        <w:rPr>
          <w:rFonts w:cs="Calibri"/>
          <w:sz w:val="22"/>
          <w:szCs w:val="22"/>
          <w:lang w:val="en-GB"/>
        </w:rPr>
        <w:t xml:space="preserve">, </w:t>
      </w:r>
      <w:proofErr w:type="spellStart"/>
      <w:r w:rsidR="00636398">
        <w:rPr>
          <w:rFonts w:cs="Calibri"/>
          <w:sz w:val="22"/>
          <w:szCs w:val="22"/>
          <w:lang w:val="en-GB"/>
        </w:rPr>
        <w:t>pg</w:t>
      </w:r>
      <w:proofErr w:type="spellEnd"/>
      <w:r w:rsidR="00636398">
        <w:rPr>
          <w:rFonts w:cs="Calibri"/>
          <w:sz w:val="22"/>
          <w:szCs w:val="22"/>
          <w:lang w:val="en-GB"/>
        </w:rPr>
        <w:t>: 59-103</w:t>
      </w:r>
      <w:r w:rsidR="004D1FF9" w:rsidRPr="00AE2F32">
        <w:rPr>
          <w:rFonts w:cs="Calibri"/>
          <w:sz w:val="22"/>
          <w:szCs w:val="22"/>
          <w:lang w:val="en-GB"/>
        </w:rPr>
        <w:t>).</w:t>
      </w:r>
      <w:r w:rsidR="00F169A5" w:rsidRPr="00AE2F32">
        <w:rPr>
          <w:rFonts w:cs="Calibri"/>
          <w:sz w:val="22"/>
          <w:szCs w:val="22"/>
          <w:vertAlign w:val="superscript"/>
          <w:lang w:val="en-GB"/>
        </w:rPr>
        <w:footnoteReference w:id="71"/>
      </w:r>
      <w:r w:rsidR="00F169A5" w:rsidRPr="00AE2F32">
        <w:rPr>
          <w:rFonts w:cs="Calibri"/>
          <w:sz w:val="22"/>
          <w:szCs w:val="22"/>
          <w:lang w:val="en-GB"/>
        </w:rPr>
        <w:t xml:space="preserve"> </w:t>
      </w:r>
    </w:p>
    <w:p w14:paraId="79509728" w14:textId="49CCDF6C" w:rsidR="00F169A5" w:rsidRPr="00256F01" w:rsidRDefault="00866097" w:rsidP="00F169A5">
      <w:pPr>
        <w:tabs>
          <w:tab w:val="left" w:pos="360"/>
        </w:tabs>
        <w:spacing w:after="120"/>
        <w:jc w:val="both"/>
        <w:rPr>
          <w:rFonts w:cs="Calibri"/>
          <w:sz w:val="22"/>
          <w:szCs w:val="22"/>
          <w:lang w:val="en-GB"/>
        </w:rPr>
      </w:pPr>
      <w:r w:rsidRPr="00AE2F32">
        <w:rPr>
          <w:rFonts w:cs="Calibri"/>
          <w:sz w:val="22"/>
          <w:szCs w:val="22"/>
        </w:rPr>
        <w:t xml:space="preserve">The Service does not have </w:t>
      </w:r>
      <w:r w:rsidR="00B7474C">
        <w:rPr>
          <w:rFonts w:cs="Calibri"/>
          <w:sz w:val="22"/>
          <w:szCs w:val="22"/>
        </w:rPr>
        <w:t>any</w:t>
      </w:r>
      <w:r w:rsidRPr="00AE2F32">
        <w:rPr>
          <w:rFonts w:cs="Calibri"/>
          <w:sz w:val="22"/>
          <w:szCs w:val="22"/>
        </w:rPr>
        <w:t xml:space="preserve"> authority to conduct </w:t>
      </w:r>
      <w:r w:rsidR="00B655B8">
        <w:rPr>
          <w:rFonts w:cs="Calibri"/>
          <w:sz w:val="22"/>
          <w:szCs w:val="22"/>
        </w:rPr>
        <w:t xml:space="preserve">a </w:t>
      </w:r>
      <w:r w:rsidRPr="00AE2F32">
        <w:rPr>
          <w:rFonts w:cs="Calibri"/>
          <w:sz w:val="22"/>
          <w:szCs w:val="22"/>
        </w:rPr>
        <w:t>completely independent investigation</w:t>
      </w:r>
      <w:r w:rsidR="0024027F">
        <w:rPr>
          <w:rFonts w:cs="Calibri"/>
          <w:sz w:val="22"/>
          <w:szCs w:val="22"/>
        </w:rPr>
        <w:t>, which</w:t>
      </w:r>
      <w:r w:rsidRPr="00AE2F32">
        <w:rPr>
          <w:rFonts w:cs="Calibri"/>
          <w:sz w:val="22"/>
          <w:szCs w:val="22"/>
        </w:rPr>
        <w:t xml:space="preserve"> </w:t>
      </w:r>
      <w:r w:rsidR="00D64FB1" w:rsidRPr="00AE2F32">
        <w:rPr>
          <w:rFonts w:cs="Calibri"/>
          <w:sz w:val="22"/>
          <w:szCs w:val="22"/>
        </w:rPr>
        <w:t xml:space="preserve">is </w:t>
      </w:r>
      <w:r w:rsidR="00507BCD">
        <w:rPr>
          <w:rFonts w:cs="Calibri"/>
          <w:sz w:val="22"/>
          <w:szCs w:val="22"/>
        </w:rPr>
        <w:t>dependent</w:t>
      </w:r>
      <w:r w:rsidR="00D64FB1" w:rsidRPr="00AE2F32">
        <w:rPr>
          <w:rFonts w:cs="Calibri"/>
          <w:sz w:val="22"/>
          <w:szCs w:val="22"/>
        </w:rPr>
        <w:t xml:space="preserve"> on </w:t>
      </w:r>
      <w:r w:rsidR="00B655B8">
        <w:rPr>
          <w:rFonts w:cs="Calibri"/>
          <w:sz w:val="22"/>
          <w:szCs w:val="22"/>
        </w:rPr>
        <w:t xml:space="preserve">the </w:t>
      </w:r>
      <w:r w:rsidR="00D64FB1" w:rsidRPr="00AE2F32">
        <w:rPr>
          <w:rFonts w:cs="Calibri"/>
          <w:sz w:val="22"/>
          <w:szCs w:val="22"/>
        </w:rPr>
        <w:t xml:space="preserve">Prosecutor’s Office. </w:t>
      </w:r>
      <w:r w:rsidR="00B655B8">
        <w:rPr>
          <w:rFonts w:cs="Calibri"/>
          <w:sz w:val="22"/>
          <w:szCs w:val="22"/>
        </w:rPr>
        <w:t>The legislation</w:t>
      </w:r>
      <w:r w:rsidR="00D64FB1" w:rsidRPr="00AE2F32">
        <w:rPr>
          <w:rFonts w:cs="Calibri"/>
          <w:sz w:val="22"/>
          <w:szCs w:val="22"/>
        </w:rPr>
        <w:t xml:space="preserve"> does not differentiate competences between </w:t>
      </w:r>
      <w:r w:rsidR="00B655B8">
        <w:rPr>
          <w:rFonts w:cs="Calibri"/>
          <w:sz w:val="22"/>
          <w:szCs w:val="22"/>
        </w:rPr>
        <w:t xml:space="preserve">the </w:t>
      </w:r>
      <w:r w:rsidR="00D64FB1" w:rsidRPr="00AE2F32">
        <w:rPr>
          <w:rFonts w:cs="Calibri"/>
          <w:sz w:val="22"/>
          <w:szCs w:val="22"/>
        </w:rPr>
        <w:t>prosecutor and investigator</w:t>
      </w:r>
      <w:r w:rsidR="0024027F">
        <w:rPr>
          <w:rFonts w:cs="Calibri"/>
          <w:sz w:val="22"/>
          <w:szCs w:val="22"/>
        </w:rPr>
        <w:t>.</w:t>
      </w:r>
      <w:r w:rsidR="00F169A5" w:rsidRPr="00AE2F32">
        <w:rPr>
          <w:rFonts w:cs="Calibri"/>
          <w:sz w:val="22"/>
          <w:szCs w:val="22"/>
          <w:vertAlign w:val="superscript"/>
          <w:lang w:val="en-GB"/>
        </w:rPr>
        <w:footnoteReference w:id="72"/>
      </w:r>
      <w:r w:rsidR="00D64FB1" w:rsidRPr="00AE2F32">
        <w:rPr>
          <w:rFonts w:cs="Calibri"/>
          <w:sz w:val="22"/>
          <w:szCs w:val="22"/>
          <w:lang w:val="en-GB"/>
        </w:rPr>
        <w:t xml:space="preserve"> </w:t>
      </w:r>
      <w:r w:rsidR="00F169A5" w:rsidRPr="00AE2F32">
        <w:rPr>
          <w:rFonts w:cs="Calibri"/>
          <w:sz w:val="22"/>
          <w:szCs w:val="22"/>
          <w:lang w:val="en-GB"/>
        </w:rPr>
        <w:t>(</w:t>
      </w:r>
      <w:r w:rsidR="001653FD">
        <w:rPr>
          <w:rFonts w:cs="Calibri"/>
          <w:sz w:val="22"/>
          <w:szCs w:val="22"/>
          <w:lang w:val="en-GB"/>
        </w:rPr>
        <w:t xml:space="preserve">See </w:t>
      </w:r>
      <w:r w:rsidR="00D64FB1" w:rsidRPr="00AE2F32">
        <w:rPr>
          <w:rFonts w:cs="Calibri"/>
          <w:sz w:val="22"/>
          <w:szCs w:val="22"/>
          <w:lang w:val="en-GB"/>
        </w:rPr>
        <w:t>Appendix</w:t>
      </w:r>
      <w:r w:rsidR="00F169A5" w:rsidRPr="00AE2F32">
        <w:rPr>
          <w:rFonts w:cs="Calibri"/>
          <w:sz w:val="22"/>
          <w:szCs w:val="22"/>
          <w:lang w:val="en-GB"/>
        </w:rPr>
        <w:t xml:space="preserve"> N3</w:t>
      </w:r>
      <w:r w:rsidR="00636398">
        <w:rPr>
          <w:rFonts w:cs="Calibri"/>
          <w:sz w:val="22"/>
          <w:szCs w:val="22"/>
          <w:lang w:val="en-GB"/>
        </w:rPr>
        <w:t xml:space="preserve">, </w:t>
      </w:r>
      <w:proofErr w:type="spellStart"/>
      <w:r w:rsidR="00636398">
        <w:rPr>
          <w:rFonts w:cs="Calibri"/>
          <w:sz w:val="22"/>
          <w:szCs w:val="22"/>
          <w:lang w:val="en-GB"/>
        </w:rPr>
        <w:t>pg</w:t>
      </w:r>
      <w:proofErr w:type="spellEnd"/>
      <w:r w:rsidR="00636398">
        <w:rPr>
          <w:rFonts w:cs="Calibri"/>
          <w:sz w:val="22"/>
          <w:szCs w:val="22"/>
          <w:lang w:val="en-GB"/>
        </w:rPr>
        <w:t>: 104-156</w:t>
      </w:r>
      <w:r w:rsidR="00F169A5" w:rsidRPr="00AE2F32">
        <w:rPr>
          <w:rFonts w:cs="Calibri"/>
          <w:sz w:val="22"/>
          <w:szCs w:val="22"/>
          <w:lang w:val="en-GB"/>
        </w:rPr>
        <w:t>)</w:t>
      </w:r>
    </w:p>
    <w:p w14:paraId="23C3DF81" w14:textId="71DD171E" w:rsidR="00F169A5" w:rsidRPr="00AE2F32" w:rsidRDefault="00D64FB1" w:rsidP="00F169A5">
      <w:pPr>
        <w:tabs>
          <w:tab w:val="left" w:pos="360"/>
        </w:tabs>
        <w:spacing w:after="120"/>
        <w:jc w:val="both"/>
        <w:rPr>
          <w:rFonts w:cs="Calibri"/>
          <w:sz w:val="22"/>
          <w:szCs w:val="22"/>
          <w:lang w:val="en-GB"/>
        </w:rPr>
      </w:pPr>
      <w:r w:rsidRPr="00AE2F32">
        <w:rPr>
          <w:rFonts w:cs="Calibri"/>
          <w:sz w:val="22"/>
          <w:szCs w:val="22"/>
          <w:lang w:val="en-GB"/>
        </w:rPr>
        <w:t xml:space="preserve">State commenced working on the reform of </w:t>
      </w:r>
      <w:r w:rsidR="00B655B8">
        <w:rPr>
          <w:rFonts w:cs="Calibri"/>
          <w:sz w:val="22"/>
          <w:szCs w:val="22"/>
          <w:lang w:val="en-GB"/>
        </w:rPr>
        <w:t xml:space="preserve">the </w:t>
      </w:r>
      <w:r w:rsidRPr="00AE2F32">
        <w:rPr>
          <w:rFonts w:cs="Calibri"/>
          <w:sz w:val="22"/>
          <w:szCs w:val="22"/>
          <w:lang w:val="en-GB"/>
        </w:rPr>
        <w:t>investigative system, however</w:t>
      </w:r>
      <w:r w:rsidR="00B655B8">
        <w:rPr>
          <w:rFonts w:cs="Calibri"/>
          <w:sz w:val="22"/>
          <w:szCs w:val="22"/>
          <w:lang w:val="en-GB"/>
        </w:rPr>
        <w:t>,</w:t>
      </w:r>
      <w:r w:rsidRPr="00AE2F32">
        <w:rPr>
          <w:rFonts w:cs="Calibri"/>
          <w:sz w:val="22"/>
          <w:szCs w:val="22"/>
          <w:lang w:val="en-GB"/>
        </w:rPr>
        <w:t xml:space="preserve"> this process is </w:t>
      </w:r>
      <w:r w:rsidR="001653FD" w:rsidRPr="00164B7D">
        <w:rPr>
          <w:rFonts w:cs="Calibri"/>
          <w:sz w:val="22"/>
          <w:szCs w:val="22"/>
          <w:lang w:val="en-GB"/>
        </w:rPr>
        <w:t xml:space="preserve">postponed </w:t>
      </w:r>
      <w:r w:rsidRPr="00AE2F32">
        <w:rPr>
          <w:rFonts w:cs="Calibri"/>
          <w:sz w:val="22"/>
          <w:szCs w:val="22"/>
          <w:lang w:val="en-GB"/>
        </w:rPr>
        <w:t xml:space="preserve">and </w:t>
      </w:r>
      <w:r w:rsidR="00B655B8">
        <w:rPr>
          <w:rFonts w:cs="Calibri"/>
          <w:sz w:val="22"/>
          <w:szCs w:val="22"/>
          <w:lang w:val="en-GB"/>
        </w:rPr>
        <w:t xml:space="preserve">the </w:t>
      </w:r>
      <w:r w:rsidRPr="00AE2F32">
        <w:rPr>
          <w:rFonts w:cs="Calibri"/>
          <w:sz w:val="22"/>
          <w:szCs w:val="22"/>
          <w:lang w:val="en-GB"/>
        </w:rPr>
        <w:t>govern</w:t>
      </w:r>
      <w:r w:rsidR="001653FD">
        <w:rPr>
          <w:rFonts w:cs="Calibri"/>
          <w:sz w:val="22"/>
          <w:szCs w:val="22"/>
          <w:lang w:val="en-GB"/>
        </w:rPr>
        <w:t xml:space="preserve">ment’s </w:t>
      </w:r>
      <w:r w:rsidR="00516AEE" w:rsidRPr="00AE2F32">
        <w:rPr>
          <w:rFonts w:cs="Calibri"/>
          <w:sz w:val="22"/>
          <w:szCs w:val="22"/>
          <w:lang w:val="en-GB"/>
        </w:rPr>
        <w:t xml:space="preserve">position is </w:t>
      </w:r>
      <w:r w:rsidR="001653FD">
        <w:rPr>
          <w:rFonts w:cs="Calibri"/>
          <w:sz w:val="22"/>
          <w:szCs w:val="22"/>
          <w:lang w:val="en-GB"/>
        </w:rPr>
        <w:t>unknown</w:t>
      </w:r>
      <w:r w:rsidR="00516AEE" w:rsidRPr="00AE2F32">
        <w:rPr>
          <w:rFonts w:cs="Calibri"/>
          <w:sz w:val="22"/>
          <w:szCs w:val="22"/>
          <w:lang w:val="en-GB"/>
        </w:rPr>
        <w:t>.</w:t>
      </w:r>
      <w:r w:rsidR="00F169A5" w:rsidRPr="00AE2F32">
        <w:rPr>
          <w:rFonts w:cs="Calibri"/>
          <w:sz w:val="22"/>
          <w:szCs w:val="22"/>
          <w:vertAlign w:val="superscript"/>
          <w:lang w:val="en-GB"/>
        </w:rPr>
        <w:footnoteReference w:id="73"/>
      </w:r>
    </w:p>
    <w:p w14:paraId="22E414B2" w14:textId="77777777" w:rsidR="00F169A5" w:rsidRPr="00AE2F32" w:rsidRDefault="00F169A5" w:rsidP="00EB1CFE">
      <w:pPr>
        <w:jc w:val="both"/>
        <w:rPr>
          <w:rFonts w:eastAsia="Times New Roman" w:cs="Times New Roman"/>
          <w:i/>
          <w:iCs/>
          <w:sz w:val="22"/>
          <w:szCs w:val="22"/>
          <w:u w:val="single"/>
          <w:lang w:val="en-GB"/>
        </w:rPr>
      </w:pPr>
    </w:p>
    <w:p w14:paraId="25DE90C2" w14:textId="4C8F5729" w:rsidR="0053018F" w:rsidRPr="00AE2F32" w:rsidRDefault="00C32645" w:rsidP="00EB1CFE">
      <w:pPr>
        <w:jc w:val="both"/>
        <w:rPr>
          <w:rFonts w:cs="Calibri"/>
          <w:i/>
          <w:iCs/>
          <w:sz w:val="22"/>
          <w:szCs w:val="22"/>
          <w:u w:val="single"/>
          <w:lang w:val="en-GB"/>
        </w:rPr>
      </w:pPr>
      <w:r w:rsidRPr="00AE2F32">
        <w:rPr>
          <w:rFonts w:cs="Calibri"/>
          <w:i/>
          <w:iCs/>
          <w:sz w:val="22"/>
          <w:szCs w:val="22"/>
          <w:u w:val="single"/>
          <w:lang w:val="en-GB"/>
        </w:rPr>
        <w:t xml:space="preserve">Crimes committed by law-enforcers </w:t>
      </w:r>
    </w:p>
    <w:p w14:paraId="72CE0682" w14:textId="77777777" w:rsidR="0053018F" w:rsidRPr="00AE2F32" w:rsidRDefault="0053018F" w:rsidP="00EB1CFE">
      <w:pPr>
        <w:jc w:val="both"/>
        <w:rPr>
          <w:rFonts w:cs="Calibri"/>
          <w:sz w:val="22"/>
          <w:szCs w:val="22"/>
          <w:lang w:val="en-GB"/>
        </w:rPr>
      </w:pPr>
    </w:p>
    <w:p w14:paraId="6E55BFE8" w14:textId="37F1C4B9" w:rsidR="00087FE3" w:rsidRPr="00AE2F32" w:rsidRDefault="004B0800" w:rsidP="00EB1CFE">
      <w:pPr>
        <w:jc w:val="both"/>
        <w:rPr>
          <w:sz w:val="22"/>
          <w:szCs w:val="22"/>
          <w:lang w:val="en-GB"/>
        </w:rPr>
      </w:pPr>
      <w:r w:rsidRPr="00AE2F32">
        <w:rPr>
          <w:rFonts w:cs="Calibri"/>
          <w:sz w:val="22"/>
          <w:szCs w:val="22"/>
          <w:lang w:val="en-GB"/>
        </w:rPr>
        <w:t xml:space="preserve">Objective and due investigation of crimes committed by </w:t>
      </w:r>
      <w:r w:rsidR="002647E8">
        <w:rPr>
          <w:rFonts w:cs="Calibri"/>
          <w:sz w:val="22"/>
          <w:szCs w:val="22"/>
          <w:lang w:val="en-GB"/>
        </w:rPr>
        <w:t>law-enforcement officials</w:t>
      </w:r>
      <w:r w:rsidRPr="00AE2F32">
        <w:rPr>
          <w:rFonts w:cs="Calibri"/>
          <w:sz w:val="22"/>
          <w:szCs w:val="22"/>
          <w:lang w:val="en-GB"/>
        </w:rPr>
        <w:t xml:space="preserve"> </w:t>
      </w:r>
      <w:r w:rsidR="00B7474C">
        <w:rPr>
          <w:rFonts w:cs="Calibri"/>
          <w:sz w:val="22"/>
          <w:szCs w:val="22"/>
          <w:lang w:val="en-GB"/>
        </w:rPr>
        <w:t>are</w:t>
      </w:r>
      <w:r w:rsidRPr="00AE2F32">
        <w:rPr>
          <w:rFonts w:cs="Calibri"/>
          <w:sz w:val="22"/>
          <w:szCs w:val="22"/>
          <w:lang w:val="en-GB"/>
        </w:rPr>
        <w:t xml:space="preserve"> also problematic.</w:t>
      </w:r>
      <w:r w:rsidR="00BA0200" w:rsidRPr="00AE2F32">
        <w:rPr>
          <w:rFonts w:cs="Calibri"/>
          <w:sz w:val="22"/>
          <w:szCs w:val="22"/>
          <w:lang w:val="en-GB"/>
        </w:rPr>
        <w:t xml:space="preserve"> As a rule, investigation commences on</w:t>
      </w:r>
      <w:r w:rsidRPr="00AE2F32">
        <w:rPr>
          <w:rFonts w:cs="Calibri"/>
          <w:sz w:val="22"/>
          <w:szCs w:val="22"/>
          <w:lang w:val="en-GB"/>
        </w:rPr>
        <w:t xml:space="preserve"> </w:t>
      </w:r>
      <w:r w:rsidR="00BA0200" w:rsidRPr="00AE2F32">
        <w:rPr>
          <w:rFonts w:cs="Calibri"/>
          <w:sz w:val="22"/>
          <w:szCs w:val="22"/>
          <w:lang w:val="en-GB"/>
        </w:rPr>
        <w:t>a</w:t>
      </w:r>
      <w:r w:rsidRPr="00AE2F32">
        <w:rPr>
          <w:rFonts w:cs="Calibri"/>
          <w:sz w:val="22"/>
          <w:szCs w:val="22"/>
          <w:lang w:val="en-GB"/>
        </w:rPr>
        <w:t xml:space="preserve">lleged beating or other violence </w:t>
      </w:r>
      <w:r w:rsidR="00BA0200" w:rsidRPr="00AE2F32">
        <w:rPr>
          <w:rFonts w:cs="Calibri"/>
          <w:sz w:val="22"/>
          <w:szCs w:val="22"/>
          <w:lang w:val="en-GB"/>
        </w:rPr>
        <w:t xml:space="preserve">by </w:t>
      </w:r>
      <w:r w:rsidR="002647E8">
        <w:rPr>
          <w:rFonts w:cs="Calibri"/>
          <w:sz w:val="22"/>
          <w:szCs w:val="22"/>
          <w:lang w:val="en-GB"/>
        </w:rPr>
        <w:t>them</w:t>
      </w:r>
      <w:r w:rsidR="00BA0200" w:rsidRPr="00AE2F32">
        <w:rPr>
          <w:rFonts w:cs="Calibri"/>
          <w:sz w:val="22"/>
          <w:szCs w:val="22"/>
          <w:lang w:val="en-GB"/>
        </w:rPr>
        <w:t>, however</w:t>
      </w:r>
      <w:r w:rsidR="00B7474C">
        <w:rPr>
          <w:rFonts w:cs="Calibri"/>
          <w:sz w:val="22"/>
          <w:szCs w:val="22"/>
          <w:lang w:val="en-GB"/>
        </w:rPr>
        <w:t>,</w:t>
      </w:r>
      <w:r w:rsidR="00BA0200" w:rsidRPr="00AE2F32">
        <w:rPr>
          <w:rFonts w:cs="Calibri"/>
          <w:sz w:val="22"/>
          <w:szCs w:val="22"/>
          <w:lang w:val="en-GB"/>
        </w:rPr>
        <w:t xml:space="preserve"> it does not finish with specific </w:t>
      </w:r>
      <w:r w:rsidR="002647E8">
        <w:rPr>
          <w:rFonts w:cs="Calibri"/>
          <w:sz w:val="22"/>
          <w:szCs w:val="22"/>
          <w:lang w:val="en-GB"/>
        </w:rPr>
        <w:t xml:space="preserve">legal </w:t>
      </w:r>
      <w:r w:rsidR="00B7474C">
        <w:rPr>
          <w:rFonts w:cs="Calibri"/>
          <w:sz w:val="22"/>
          <w:szCs w:val="22"/>
          <w:lang w:val="en-GB"/>
        </w:rPr>
        <w:t>results</w:t>
      </w:r>
      <w:r w:rsidR="00BA0200" w:rsidRPr="00AE2F32">
        <w:rPr>
          <w:rFonts w:cs="Calibri"/>
          <w:sz w:val="22"/>
          <w:szCs w:val="22"/>
          <w:lang w:val="en-GB"/>
        </w:rPr>
        <w:t>.</w:t>
      </w:r>
      <w:r w:rsidR="00087FE3" w:rsidRPr="00AE2F32">
        <w:rPr>
          <w:rStyle w:val="FootnoteReference"/>
          <w:rFonts w:cs="Sylfaen"/>
          <w:color w:val="1C1E21"/>
          <w:sz w:val="22"/>
          <w:szCs w:val="22"/>
          <w:shd w:val="clear" w:color="auto" w:fill="FFFFFF"/>
          <w:lang w:val="en-GB"/>
        </w:rPr>
        <w:footnoteReference w:id="74"/>
      </w:r>
      <w:r w:rsidR="00087FE3" w:rsidRPr="00AE2F32">
        <w:rPr>
          <w:rFonts w:cs="Sylfaen"/>
          <w:color w:val="1C1E21"/>
          <w:sz w:val="22"/>
          <w:szCs w:val="22"/>
          <w:shd w:val="clear" w:color="auto" w:fill="FFFFFF"/>
          <w:lang w:val="en-GB"/>
        </w:rPr>
        <w:t xml:space="preserve"> </w:t>
      </w:r>
      <w:r w:rsidR="00725B13" w:rsidRPr="00AE2F32">
        <w:rPr>
          <w:rFonts w:cs="Sylfaen"/>
          <w:color w:val="1C1E21"/>
          <w:sz w:val="22"/>
          <w:szCs w:val="22"/>
          <w:shd w:val="clear" w:color="auto" w:fill="FFFFFF"/>
          <w:lang w:val="en-GB"/>
        </w:rPr>
        <w:t xml:space="preserve">128 application was registered in 2019 concerning ill-treatment by </w:t>
      </w:r>
      <w:r w:rsidR="002647E8">
        <w:rPr>
          <w:rFonts w:cs="Sylfaen"/>
          <w:color w:val="1C1E21"/>
          <w:sz w:val="22"/>
          <w:szCs w:val="22"/>
          <w:shd w:val="clear" w:color="auto" w:fill="FFFFFF"/>
          <w:lang w:val="en-GB"/>
        </w:rPr>
        <w:t>officials</w:t>
      </w:r>
      <w:r w:rsidR="00725B13" w:rsidRPr="00AE2F32">
        <w:rPr>
          <w:rFonts w:cs="Sylfaen"/>
          <w:color w:val="1C1E21"/>
          <w:sz w:val="22"/>
          <w:szCs w:val="22"/>
          <w:shd w:val="clear" w:color="auto" w:fill="FFFFFF"/>
          <w:lang w:val="en-GB"/>
        </w:rPr>
        <w:t>. Alleged violators were employee</w:t>
      </w:r>
      <w:r w:rsidR="00B655B8">
        <w:rPr>
          <w:rFonts w:cs="Sylfaen"/>
          <w:color w:val="1C1E21"/>
          <w:sz w:val="22"/>
          <w:szCs w:val="22"/>
          <w:shd w:val="clear" w:color="auto" w:fill="FFFFFF"/>
          <w:lang w:val="en-GB"/>
        </w:rPr>
        <w:t xml:space="preserve">s </w:t>
      </w:r>
      <w:r w:rsidR="00725B13" w:rsidRPr="00AE2F32">
        <w:rPr>
          <w:rFonts w:cs="Sylfaen"/>
          <w:color w:val="1C1E21"/>
          <w:sz w:val="22"/>
          <w:szCs w:val="22"/>
          <w:shd w:val="clear" w:color="auto" w:fill="FFFFFF"/>
          <w:lang w:val="en-GB"/>
        </w:rPr>
        <w:t xml:space="preserve">of penitentiary system, in 54 </w:t>
      </w:r>
      <w:r w:rsidR="00B7474C">
        <w:rPr>
          <w:rFonts w:cs="Sylfaen"/>
          <w:color w:val="1C1E21"/>
          <w:sz w:val="22"/>
          <w:szCs w:val="22"/>
          <w:shd w:val="clear" w:color="auto" w:fill="FFFFFF"/>
          <w:lang w:val="en-GB"/>
        </w:rPr>
        <w:t>applications</w:t>
      </w:r>
      <w:r w:rsidR="00725B13" w:rsidRPr="00AE2F32">
        <w:rPr>
          <w:rFonts w:cs="Sylfaen"/>
          <w:color w:val="1C1E21"/>
          <w:sz w:val="22"/>
          <w:szCs w:val="22"/>
          <w:shd w:val="clear" w:color="auto" w:fill="FFFFFF"/>
          <w:lang w:val="en-GB"/>
        </w:rPr>
        <w:t xml:space="preserve"> and police employees in 50 cases</w:t>
      </w:r>
      <w:r w:rsidR="00087FE3" w:rsidRPr="00AE2F32">
        <w:rPr>
          <w:rFonts w:cs="Sylfaen"/>
          <w:sz w:val="22"/>
          <w:szCs w:val="22"/>
          <w:lang w:val="en-GB"/>
        </w:rPr>
        <w:t>.</w:t>
      </w:r>
      <w:r w:rsidR="00087FE3" w:rsidRPr="00AE2F32">
        <w:rPr>
          <w:rStyle w:val="FootnoteReference"/>
          <w:rFonts w:cs="Sylfaen"/>
          <w:sz w:val="22"/>
          <w:szCs w:val="22"/>
          <w:lang w:val="en-GB"/>
        </w:rPr>
        <w:footnoteReference w:id="75"/>
      </w:r>
      <w:r w:rsidR="008E2B0C" w:rsidRPr="00AE2F32">
        <w:rPr>
          <w:rFonts w:cs="Sylfaen"/>
          <w:sz w:val="22"/>
          <w:szCs w:val="22"/>
          <w:lang w:val="ka-GE"/>
        </w:rPr>
        <w:t xml:space="preserve"> </w:t>
      </w:r>
      <w:r w:rsidR="00B7474C">
        <w:rPr>
          <w:rFonts w:cs="Sylfaen"/>
          <w:sz w:val="22"/>
          <w:szCs w:val="22"/>
        </w:rPr>
        <w:t>The correct</w:t>
      </w:r>
      <w:r w:rsidR="008E2B0C" w:rsidRPr="00AE2F32">
        <w:rPr>
          <w:rFonts w:cs="Sylfaen"/>
          <w:sz w:val="22"/>
          <w:szCs w:val="22"/>
        </w:rPr>
        <w:t xml:space="preserve"> qualification of action </w:t>
      </w:r>
      <w:r w:rsidR="00CD1E3A" w:rsidRPr="00AE2F32">
        <w:rPr>
          <w:rFonts w:cs="Sylfaen"/>
          <w:sz w:val="22"/>
          <w:szCs w:val="22"/>
        </w:rPr>
        <w:t xml:space="preserve">is an important drawback of investigation. Usually, alleged physical violence </w:t>
      </w:r>
      <w:r w:rsidR="001C750F" w:rsidRPr="00AE2F32">
        <w:rPr>
          <w:rFonts w:cs="Sylfaen"/>
          <w:sz w:val="22"/>
          <w:szCs w:val="22"/>
        </w:rPr>
        <w:t xml:space="preserve">is investigated under Article 333 of </w:t>
      </w:r>
      <w:r w:rsidR="00B7474C">
        <w:rPr>
          <w:rFonts w:cs="Sylfaen"/>
          <w:sz w:val="22"/>
          <w:szCs w:val="22"/>
        </w:rPr>
        <w:t xml:space="preserve">the </w:t>
      </w:r>
      <w:r w:rsidR="001C750F" w:rsidRPr="00AE2F32">
        <w:rPr>
          <w:rFonts w:cs="Sylfaen"/>
          <w:sz w:val="22"/>
          <w:szCs w:val="22"/>
        </w:rPr>
        <w:t>Criminal Code, which prescribes</w:t>
      </w:r>
      <w:r w:rsidR="00B7474C">
        <w:rPr>
          <w:rFonts w:cs="Sylfaen"/>
          <w:sz w:val="22"/>
          <w:szCs w:val="22"/>
        </w:rPr>
        <w:t xml:space="preserve"> a </w:t>
      </w:r>
      <w:r w:rsidR="001C750F" w:rsidRPr="00AE2F32">
        <w:rPr>
          <w:rFonts w:cs="Sylfaen"/>
          <w:sz w:val="22"/>
          <w:szCs w:val="22"/>
        </w:rPr>
        <w:t xml:space="preserve"> sentence for official authority abuse. This article is of general character and in most cases insufficient to define elements of alleged crime</w:t>
      </w:r>
      <w:r w:rsidR="00087FE3" w:rsidRPr="00AE2F32">
        <w:rPr>
          <w:sz w:val="22"/>
          <w:szCs w:val="22"/>
          <w:lang w:val="en-GB"/>
        </w:rPr>
        <w:t>.</w:t>
      </w:r>
      <w:r w:rsidR="00087FE3" w:rsidRPr="00AE2F32">
        <w:rPr>
          <w:rStyle w:val="FootnoteReference"/>
          <w:sz w:val="22"/>
          <w:szCs w:val="22"/>
          <w:lang w:val="en-GB"/>
        </w:rPr>
        <w:footnoteReference w:id="76"/>
      </w:r>
      <w:r w:rsidR="00087FE3" w:rsidRPr="00AE2F32">
        <w:rPr>
          <w:sz w:val="22"/>
          <w:szCs w:val="22"/>
          <w:lang w:val="en-GB"/>
        </w:rPr>
        <w:t xml:space="preserve"> </w:t>
      </w:r>
    </w:p>
    <w:p w14:paraId="587BCC78" w14:textId="77777777" w:rsidR="00F865E6" w:rsidRPr="00AE2F32" w:rsidRDefault="00F865E6" w:rsidP="00EB1CFE">
      <w:pPr>
        <w:jc w:val="both"/>
        <w:rPr>
          <w:sz w:val="22"/>
          <w:szCs w:val="22"/>
          <w:lang w:val="en-GB"/>
        </w:rPr>
      </w:pPr>
    </w:p>
    <w:p w14:paraId="7ECE6112" w14:textId="60893DA7" w:rsidR="00087FE3" w:rsidRPr="00AE2F32" w:rsidRDefault="002647E8" w:rsidP="00EB1CFE">
      <w:pPr>
        <w:jc w:val="both"/>
        <w:rPr>
          <w:sz w:val="22"/>
          <w:szCs w:val="22"/>
        </w:rPr>
      </w:pPr>
      <w:r>
        <w:rPr>
          <w:rFonts w:cs="Sylfaen"/>
          <w:color w:val="1C1E21"/>
          <w:sz w:val="22"/>
          <w:szCs w:val="22"/>
          <w:shd w:val="clear" w:color="auto" w:fill="FFFFFF"/>
        </w:rPr>
        <w:t xml:space="preserve">Effective identification of </w:t>
      </w:r>
      <w:r w:rsidR="00B7474C">
        <w:rPr>
          <w:rFonts w:cs="Sylfaen"/>
          <w:color w:val="1C1E21"/>
          <w:sz w:val="22"/>
          <w:szCs w:val="22"/>
          <w:shd w:val="clear" w:color="auto" w:fill="FFFFFF"/>
        </w:rPr>
        <w:t xml:space="preserve">the </w:t>
      </w:r>
      <w:r>
        <w:rPr>
          <w:rFonts w:cs="Sylfaen"/>
          <w:color w:val="1C1E21"/>
          <w:sz w:val="22"/>
          <w:szCs w:val="22"/>
          <w:shd w:val="clear" w:color="auto" w:fill="FFFFFF"/>
        </w:rPr>
        <w:t xml:space="preserve">victim in </w:t>
      </w:r>
      <w:r w:rsidR="00B7474C">
        <w:rPr>
          <w:rFonts w:cs="Sylfaen"/>
          <w:color w:val="1C1E21"/>
          <w:sz w:val="22"/>
          <w:szCs w:val="22"/>
          <w:shd w:val="clear" w:color="auto" w:fill="FFFFFF"/>
        </w:rPr>
        <w:t xml:space="preserve">the </w:t>
      </w:r>
      <w:r>
        <w:rPr>
          <w:rFonts w:cs="Sylfaen"/>
          <w:color w:val="1C1E21"/>
          <w:sz w:val="22"/>
          <w:szCs w:val="22"/>
          <w:shd w:val="clear" w:color="auto" w:fill="FFFFFF"/>
        </w:rPr>
        <w:t>i</w:t>
      </w:r>
      <w:r w:rsidR="00F865E6" w:rsidRPr="00AE2F32">
        <w:rPr>
          <w:rFonts w:cs="Sylfaen"/>
          <w:color w:val="1C1E21"/>
          <w:sz w:val="22"/>
          <w:szCs w:val="22"/>
          <w:shd w:val="clear" w:color="auto" w:fill="FFFFFF"/>
        </w:rPr>
        <w:t>nvestigation of torture and ill-treatment cases is also problematic.</w:t>
      </w:r>
      <w:r w:rsidR="0022556D" w:rsidRPr="00AE2F32">
        <w:rPr>
          <w:rFonts w:cs="Sylfaen"/>
          <w:color w:val="1C1E21"/>
          <w:sz w:val="22"/>
          <w:szCs w:val="22"/>
          <w:shd w:val="clear" w:color="auto" w:fill="FFFFFF"/>
        </w:rPr>
        <w:t xml:space="preserve"> </w:t>
      </w:r>
      <w:r w:rsidR="006F1F62" w:rsidRPr="00AE2F32">
        <w:rPr>
          <w:rFonts w:cs="Sylfaen"/>
          <w:color w:val="1C1E21"/>
          <w:sz w:val="22"/>
          <w:szCs w:val="22"/>
          <w:shd w:val="clear" w:color="auto" w:fill="FFFFFF"/>
        </w:rPr>
        <w:t xml:space="preserve">Out of 10 </w:t>
      </w:r>
      <w:r w:rsidRPr="00AE2F32">
        <w:rPr>
          <w:rFonts w:cs="Sylfaen"/>
          <w:color w:val="1C1E21"/>
          <w:sz w:val="22"/>
          <w:szCs w:val="22"/>
          <w:shd w:val="clear" w:color="auto" w:fill="FFFFFF"/>
        </w:rPr>
        <w:t>ill-treatment</w:t>
      </w:r>
      <w:r w:rsidR="00B7474C">
        <w:rPr>
          <w:rFonts w:cs="Sylfaen"/>
          <w:color w:val="1C1E21"/>
          <w:sz w:val="22"/>
          <w:szCs w:val="22"/>
          <w:shd w:val="clear" w:color="auto" w:fill="FFFFFF"/>
        </w:rPr>
        <w:t xml:space="preserve"> </w:t>
      </w:r>
      <w:r w:rsidR="006F1F62" w:rsidRPr="00AE2F32">
        <w:rPr>
          <w:rFonts w:cs="Sylfaen"/>
          <w:color w:val="1C1E21"/>
          <w:sz w:val="22"/>
          <w:szCs w:val="22"/>
          <w:shd w:val="clear" w:color="auto" w:fill="FFFFFF"/>
        </w:rPr>
        <w:t>cases, proceeded by GYLA, the victim status was granted only in one</w:t>
      </w:r>
      <w:r w:rsidR="00087FE3" w:rsidRPr="00AE2F32">
        <w:rPr>
          <w:sz w:val="22"/>
          <w:szCs w:val="22"/>
          <w:lang w:val="en-GB"/>
        </w:rPr>
        <w:t>.</w:t>
      </w:r>
      <w:r w:rsidR="00087FE3" w:rsidRPr="00AE2F32">
        <w:rPr>
          <w:rStyle w:val="FootnoteReference"/>
          <w:sz w:val="22"/>
          <w:szCs w:val="22"/>
          <w:lang w:val="en-GB"/>
        </w:rPr>
        <w:footnoteReference w:id="77"/>
      </w:r>
      <w:r w:rsidR="006F1F62" w:rsidRPr="00AE2F32">
        <w:rPr>
          <w:sz w:val="22"/>
          <w:szCs w:val="22"/>
          <w:lang w:val="en-GB"/>
        </w:rPr>
        <w:t xml:space="preserve"> Victim recognition problem was revealed in 2019, </w:t>
      </w:r>
      <w:r w:rsidR="0050331A" w:rsidRPr="00AE2F32">
        <w:rPr>
          <w:sz w:val="22"/>
          <w:szCs w:val="22"/>
          <w:lang w:val="en-GB"/>
        </w:rPr>
        <w:t xml:space="preserve">during the </w:t>
      </w:r>
      <w:r w:rsidR="0050331A" w:rsidRPr="00AE2F32">
        <w:rPr>
          <w:sz w:val="22"/>
          <w:szCs w:val="22"/>
        </w:rPr>
        <w:t xml:space="preserve">dispersal of </w:t>
      </w:r>
      <w:r w:rsidR="0050331A" w:rsidRPr="00AE2F32">
        <w:rPr>
          <w:sz w:val="22"/>
          <w:szCs w:val="22"/>
          <w:lang w:val="en-GB"/>
        </w:rPr>
        <w:t xml:space="preserve">20-21 June </w:t>
      </w:r>
      <w:r w:rsidR="0050331A" w:rsidRPr="00AE2F32">
        <w:rPr>
          <w:sz w:val="22"/>
          <w:szCs w:val="22"/>
        </w:rPr>
        <w:t>rally</w:t>
      </w:r>
      <w:r w:rsidR="00D301E1" w:rsidRPr="00AE2F32">
        <w:rPr>
          <w:sz w:val="22"/>
          <w:szCs w:val="22"/>
        </w:rPr>
        <w:t xml:space="preserve">. The majority of </w:t>
      </w:r>
      <w:r w:rsidR="009575D0" w:rsidRPr="00AE2F32">
        <w:rPr>
          <w:sz w:val="22"/>
          <w:szCs w:val="22"/>
        </w:rPr>
        <w:t>injured</w:t>
      </w:r>
      <w:r w:rsidR="00D301E1" w:rsidRPr="00AE2F32">
        <w:rPr>
          <w:sz w:val="22"/>
          <w:szCs w:val="22"/>
        </w:rPr>
        <w:t xml:space="preserve"> persons do not hold victim status until </w:t>
      </w:r>
      <w:r w:rsidR="009575D0" w:rsidRPr="00AE2F32">
        <w:rPr>
          <w:sz w:val="22"/>
          <w:szCs w:val="22"/>
        </w:rPr>
        <w:t xml:space="preserve">now, </w:t>
      </w:r>
      <w:r>
        <w:rPr>
          <w:sz w:val="22"/>
          <w:szCs w:val="22"/>
        </w:rPr>
        <w:t xml:space="preserve">only 3 out of </w:t>
      </w:r>
      <w:r w:rsidR="009575D0" w:rsidRPr="00AE2F32">
        <w:rPr>
          <w:sz w:val="22"/>
          <w:szCs w:val="22"/>
        </w:rPr>
        <w:t xml:space="preserve">27 (11 journalists) under </w:t>
      </w:r>
      <w:r w:rsidR="00B7474C">
        <w:rPr>
          <w:sz w:val="22"/>
          <w:szCs w:val="22"/>
        </w:rPr>
        <w:t xml:space="preserve">the </w:t>
      </w:r>
      <w:r w:rsidR="009575D0" w:rsidRPr="00AE2F32">
        <w:rPr>
          <w:sz w:val="22"/>
          <w:szCs w:val="22"/>
        </w:rPr>
        <w:t>protection of GYLA, hold victim status</w:t>
      </w:r>
      <w:r w:rsidR="00087FE3" w:rsidRPr="00AE2F32">
        <w:rPr>
          <w:sz w:val="22"/>
          <w:szCs w:val="22"/>
          <w:lang w:val="en-GB"/>
        </w:rPr>
        <w:t>.</w:t>
      </w:r>
      <w:r w:rsidR="00087FE3" w:rsidRPr="00AE2F32">
        <w:rPr>
          <w:rStyle w:val="FootnoteReference"/>
          <w:sz w:val="22"/>
          <w:szCs w:val="22"/>
          <w:lang w:val="en-GB"/>
        </w:rPr>
        <w:footnoteReference w:id="78"/>
      </w:r>
    </w:p>
    <w:p w14:paraId="33E00D37" w14:textId="517158DE" w:rsidR="00E53688" w:rsidRPr="00AE2F32" w:rsidRDefault="00E53688" w:rsidP="00EB1CFE">
      <w:pPr>
        <w:contextualSpacing/>
        <w:jc w:val="both"/>
        <w:rPr>
          <w:sz w:val="22"/>
          <w:szCs w:val="22"/>
          <w:lang w:val="en-GB"/>
        </w:rPr>
      </w:pPr>
    </w:p>
    <w:p w14:paraId="0E695AF2" w14:textId="0C0F2BFA" w:rsidR="00087FE3" w:rsidRPr="00AE2F32" w:rsidRDefault="00E53688" w:rsidP="00EB1CFE">
      <w:pPr>
        <w:contextualSpacing/>
        <w:jc w:val="both"/>
        <w:rPr>
          <w:sz w:val="22"/>
          <w:szCs w:val="22"/>
          <w:lang w:val="en-GB"/>
        </w:rPr>
      </w:pPr>
      <w:r w:rsidRPr="00AE2F32">
        <w:rPr>
          <w:sz w:val="22"/>
          <w:szCs w:val="22"/>
          <w:lang w:val="en-GB"/>
        </w:rPr>
        <w:t xml:space="preserve">Most frequently </w:t>
      </w:r>
      <w:r w:rsidR="0093740D" w:rsidRPr="00AE2F32">
        <w:rPr>
          <w:sz w:val="22"/>
          <w:szCs w:val="22"/>
          <w:lang w:val="en-GB"/>
        </w:rPr>
        <w:t xml:space="preserve">violence from </w:t>
      </w:r>
      <w:r w:rsidR="00EB00B8">
        <w:rPr>
          <w:sz w:val="22"/>
          <w:szCs w:val="22"/>
          <w:lang w:val="en-GB"/>
        </w:rPr>
        <w:t xml:space="preserve">officials </w:t>
      </w:r>
      <w:r w:rsidR="0093740D" w:rsidRPr="00AE2F32">
        <w:rPr>
          <w:sz w:val="22"/>
          <w:szCs w:val="22"/>
          <w:lang w:val="en-GB"/>
        </w:rPr>
        <w:t>occurs during detention, transportation</w:t>
      </w:r>
      <w:r w:rsidR="00B7474C">
        <w:rPr>
          <w:sz w:val="22"/>
          <w:szCs w:val="22"/>
          <w:lang w:val="en-GB"/>
        </w:rPr>
        <w:t>,</w:t>
      </w:r>
      <w:r w:rsidR="0093740D" w:rsidRPr="00AE2F32">
        <w:rPr>
          <w:sz w:val="22"/>
          <w:szCs w:val="22"/>
          <w:lang w:val="en-GB"/>
        </w:rPr>
        <w:t xml:space="preserve"> and interrogation at police</w:t>
      </w:r>
      <w:r w:rsidR="00B7474C">
        <w:rPr>
          <w:sz w:val="22"/>
          <w:szCs w:val="22"/>
          <w:lang w:val="en-GB"/>
        </w:rPr>
        <w:t xml:space="preserve"> units</w:t>
      </w:r>
      <w:r w:rsidR="0093740D" w:rsidRPr="00AE2F32">
        <w:rPr>
          <w:sz w:val="22"/>
          <w:szCs w:val="22"/>
          <w:lang w:val="en-GB"/>
        </w:rPr>
        <w:t>.</w:t>
      </w:r>
      <w:r w:rsidR="00087FE3" w:rsidRPr="00AE2F32">
        <w:rPr>
          <w:rStyle w:val="FootnoteReference"/>
          <w:sz w:val="22"/>
          <w:szCs w:val="22"/>
          <w:lang w:val="en-GB"/>
        </w:rPr>
        <w:footnoteReference w:id="79"/>
      </w:r>
      <w:r w:rsidR="00087FE3" w:rsidRPr="00AE2F32">
        <w:rPr>
          <w:sz w:val="22"/>
          <w:szCs w:val="22"/>
          <w:lang w:val="en-GB"/>
        </w:rPr>
        <w:t xml:space="preserve"> </w:t>
      </w:r>
      <w:r w:rsidR="0093740D" w:rsidRPr="00AE2F32">
        <w:rPr>
          <w:sz w:val="22"/>
          <w:szCs w:val="22"/>
          <w:lang w:val="en-GB"/>
        </w:rPr>
        <w:t>At that time, lack of video cameras</w:t>
      </w:r>
      <w:r w:rsidR="00366AFF" w:rsidRPr="00AE2F32">
        <w:rPr>
          <w:sz w:val="22"/>
          <w:szCs w:val="22"/>
          <w:lang w:val="en-GB"/>
        </w:rPr>
        <w:t xml:space="preserve"> at police units, in interrogation rooms</w:t>
      </w:r>
      <w:r w:rsidR="00B7474C">
        <w:rPr>
          <w:sz w:val="22"/>
          <w:szCs w:val="22"/>
          <w:lang w:val="en-GB"/>
        </w:rPr>
        <w:t>,</w:t>
      </w:r>
      <w:r w:rsidR="00366AFF" w:rsidRPr="00AE2F32">
        <w:rPr>
          <w:sz w:val="22"/>
          <w:szCs w:val="22"/>
          <w:lang w:val="en-GB"/>
        </w:rPr>
        <w:t xml:space="preserve"> and in those places where alleged ill-treatment frequently occurs,</w:t>
      </w:r>
      <w:r w:rsidR="00F35463" w:rsidRPr="00AE2F32">
        <w:rPr>
          <w:sz w:val="22"/>
          <w:szCs w:val="22"/>
          <w:lang w:val="en-GB"/>
        </w:rPr>
        <w:t xml:space="preserve"> </w:t>
      </w:r>
      <w:r w:rsidR="00366AFF" w:rsidRPr="00AE2F32">
        <w:rPr>
          <w:sz w:val="22"/>
          <w:szCs w:val="22"/>
          <w:lang w:val="en-GB"/>
        </w:rPr>
        <w:t>is challenging.</w:t>
      </w:r>
      <w:r w:rsidR="00087FE3" w:rsidRPr="00AE2F32">
        <w:rPr>
          <w:sz w:val="22"/>
          <w:szCs w:val="22"/>
          <w:vertAlign w:val="superscript"/>
          <w:lang w:val="en-GB"/>
        </w:rPr>
        <w:footnoteReference w:id="80"/>
      </w:r>
    </w:p>
    <w:p w14:paraId="7AD2BD64" w14:textId="0B3018B8" w:rsidR="00087FE3" w:rsidRPr="00AE2F32" w:rsidRDefault="00087FE3" w:rsidP="00EB1CFE">
      <w:pPr>
        <w:jc w:val="both"/>
        <w:rPr>
          <w:sz w:val="22"/>
          <w:szCs w:val="22"/>
          <w:lang w:val="en-GB"/>
        </w:rPr>
      </w:pPr>
    </w:p>
    <w:p w14:paraId="286DC0DF" w14:textId="29D85D7F" w:rsidR="0053018F" w:rsidRPr="00AE2F32" w:rsidRDefault="00366AFF" w:rsidP="0053018F">
      <w:pPr>
        <w:rPr>
          <w:rFonts w:eastAsia="Times New Roman" w:cs="Times New Roman"/>
          <w:i/>
          <w:iCs/>
          <w:sz w:val="22"/>
          <w:szCs w:val="22"/>
          <w:u w:val="single"/>
          <w:lang w:val="en-GB"/>
        </w:rPr>
      </w:pPr>
      <w:r w:rsidRPr="00AE2F32">
        <w:rPr>
          <w:rFonts w:eastAsia="Times New Roman" w:cs="Times New Roman"/>
          <w:i/>
          <w:iCs/>
          <w:sz w:val="22"/>
          <w:szCs w:val="22"/>
          <w:u w:val="single"/>
          <w:lang w:val="en-GB"/>
        </w:rPr>
        <w:t>Afgan Mukhtarli Case</w:t>
      </w:r>
    </w:p>
    <w:p w14:paraId="158D01B5" w14:textId="6C878BCE" w:rsidR="0053018F" w:rsidRPr="00AE2F32" w:rsidRDefault="0053018F" w:rsidP="0053018F">
      <w:pPr>
        <w:rPr>
          <w:rFonts w:eastAsia="Times New Roman" w:cs="Times New Roman"/>
          <w:i/>
          <w:iCs/>
          <w:sz w:val="22"/>
          <w:szCs w:val="22"/>
          <w:u w:val="single"/>
          <w:lang w:val="en-GB"/>
        </w:rPr>
      </w:pPr>
    </w:p>
    <w:p w14:paraId="5D87364C" w14:textId="5114B5E3" w:rsidR="0053018F" w:rsidRPr="00AE2F32" w:rsidRDefault="00366AFF" w:rsidP="0053018F">
      <w:pPr>
        <w:jc w:val="both"/>
        <w:rPr>
          <w:rFonts w:eastAsia="Times New Roman" w:cs="Times New Roman"/>
          <w:sz w:val="22"/>
          <w:szCs w:val="22"/>
          <w:lang w:val="en-GB"/>
        </w:rPr>
      </w:pPr>
      <w:r w:rsidRPr="00AE2F32">
        <w:rPr>
          <w:rFonts w:eastAsia="Times New Roman" w:cs="Times New Roman"/>
          <w:sz w:val="22"/>
          <w:szCs w:val="22"/>
          <w:lang w:val="en-GB"/>
        </w:rPr>
        <w:lastRenderedPageBreak/>
        <w:t xml:space="preserve">Inhuman and degrading treatment prohibition, also </w:t>
      </w:r>
      <w:r w:rsidR="00B7474C">
        <w:rPr>
          <w:rFonts w:eastAsia="Times New Roman" w:cs="Times New Roman"/>
          <w:sz w:val="22"/>
          <w:szCs w:val="22"/>
          <w:lang w:val="en-GB"/>
        </w:rPr>
        <w:t xml:space="preserve">the </w:t>
      </w:r>
      <w:r w:rsidRPr="00AE2F32">
        <w:rPr>
          <w:rFonts w:eastAsia="Times New Roman" w:cs="Times New Roman"/>
          <w:sz w:val="22"/>
          <w:szCs w:val="22"/>
          <w:lang w:val="en-GB"/>
        </w:rPr>
        <w:t xml:space="preserve">prohibition of illegal detention was violated </w:t>
      </w:r>
      <w:r w:rsidR="00A6157D" w:rsidRPr="00AE2F32">
        <w:rPr>
          <w:rFonts w:eastAsia="Times New Roman" w:cs="Times New Roman"/>
          <w:sz w:val="22"/>
          <w:szCs w:val="22"/>
          <w:lang w:val="en-GB"/>
        </w:rPr>
        <w:t xml:space="preserve">on </w:t>
      </w:r>
      <w:r w:rsidR="00B7474C">
        <w:rPr>
          <w:rFonts w:eastAsia="Times New Roman" w:cs="Times New Roman"/>
          <w:sz w:val="22"/>
          <w:szCs w:val="22"/>
          <w:lang w:val="en-GB"/>
        </w:rPr>
        <w:t xml:space="preserve">the </w:t>
      </w:r>
      <w:r w:rsidR="00A6157D" w:rsidRPr="00AE2F32">
        <w:rPr>
          <w:rFonts w:eastAsia="Times New Roman" w:cs="Times New Roman"/>
          <w:sz w:val="22"/>
          <w:szCs w:val="22"/>
          <w:lang w:val="en-GB"/>
        </w:rPr>
        <w:t>29</w:t>
      </w:r>
      <w:r w:rsidR="00A6157D" w:rsidRPr="00AE2F32">
        <w:rPr>
          <w:rFonts w:eastAsia="Times New Roman" w:cs="Times New Roman"/>
          <w:sz w:val="22"/>
          <w:szCs w:val="22"/>
          <w:vertAlign w:val="superscript"/>
          <w:lang w:val="en-GB"/>
        </w:rPr>
        <w:t>th</w:t>
      </w:r>
      <w:r w:rsidR="00A6157D" w:rsidRPr="00AE2F32">
        <w:rPr>
          <w:rFonts w:eastAsia="Times New Roman" w:cs="Times New Roman"/>
          <w:sz w:val="22"/>
          <w:szCs w:val="22"/>
          <w:lang w:val="en-GB"/>
        </w:rPr>
        <w:t xml:space="preserve"> of May, 2017 during the detention of Azerbaijani journalist and activist Afgan Mukhtarli and his abduction from Tbilisi to Azerbaijani. One year earlier, Mukhtarli arrived in Tbilisi with his family as critical activists</w:t>
      </w:r>
      <w:r w:rsidR="00B655B8">
        <w:rPr>
          <w:rFonts w:eastAsia="Times New Roman" w:cs="Times New Roman"/>
          <w:sz w:val="22"/>
          <w:szCs w:val="22"/>
          <w:lang w:val="en-GB"/>
        </w:rPr>
        <w:t>,</w:t>
      </w:r>
      <w:r w:rsidR="00A6157D" w:rsidRPr="00AE2F32">
        <w:rPr>
          <w:rFonts w:eastAsia="Times New Roman" w:cs="Times New Roman"/>
          <w:sz w:val="22"/>
          <w:szCs w:val="22"/>
          <w:lang w:val="en-GB"/>
        </w:rPr>
        <w:t xml:space="preserve"> and journalists were persecuted in Azerbaijani and continued his </w:t>
      </w:r>
      <w:r w:rsidR="00EB00B8">
        <w:rPr>
          <w:rFonts w:eastAsia="Times New Roman" w:cs="Times New Roman"/>
          <w:sz w:val="22"/>
          <w:szCs w:val="22"/>
          <w:lang w:val="en-GB"/>
        </w:rPr>
        <w:t>work</w:t>
      </w:r>
      <w:r w:rsidR="00A6157D" w:rsidRPr="00AE2F32">
        <w:rPr>
          <w:rFonts w:eastAsia="Times New Roman" w:cs="Times New Roman"/>
          <w:sz w:val="22"/>
          <w:szCs w:val="22"/>
          <w:lang w:val="en-GB"/>
        </w:rPr>
        <w:t xml:space="preserve"> from Georgia. For him, as well as for other political and civil activists and journalists, Georgia was a political shelter. However, it should be noted that </w:t>
      </w:r>
      <w:r w:rsidR="00B7474C">
        <w:rPr>
          <w:rFonts w:eastAsia="Times New Roman" w:cs="Times New Roman"/>
          <w:sz w:val="22"/>
          <w:szCs w:val="22"/>
          <w:lang w:val="en-GB"/>
        </w:rPr>
        <w:t xml:space="preserve">a </w:t>
      </w:r>
      <w:r w:rsidR="00A6157D" w:rsidRPr="00AE2F32">
        <w:rPr>
          <w:rFonts w:eastAsia="Times New Roman" w:cs="Times New Roman"/>
          <w:sz w:val="22"/>
          <w:szCs w:val="22"/>
          <w:lang w:val="en-GB"/>
        </w:rPr>
        <w:t xml:space="preserve">large part of </w:t>
      </w:r>
      <w:r w:rsidR="00EB00B8">
        <w:rPr>
          <w:rFonts w:eastAsia="Times New Roman" w:cs="Times New Roman"/>
          <w:sz w:val="22"/>
          <w:szCs w:val="22"/>
          <w:lang w:val="en-GB"/>
        </w:rPr>
        <w:t xml:space="preserve">Azerbaijanian </w:t>
      </w:r>
      <w:r w:rsidR="00A6157D" w:rsidRPr="00AE2F32">
        <w:rPr>
          <w:rFonts w:eastAsia="Times New Roman" w:cs="Times New Roman"/>
          <w:sz w:val="22"/>
          <w:szCs w:val="22"/>
          <w:lang w:val="en-GB"/>
        </w:rPr>
        <w:t>dissidents</w:t>
      </w:r>
      <w:r w:rsidR="00EB00B8">
        <w:rPr>
          <w:rFonts w:eastAsia="Times New Roman" w:cs="Times New Roman"/>
          <w:sz w:val="22"/>
          <w:szCs w:val="22"/>
          <w:lang w:val="en-GB"/>
        </w:rPr>
        <w:t xml:space="preserve"> </w:t>
      </w:r>
      <w:r w:rsidR="00B7474C">
        <w:rPr>
          <w:rFonts w:eastAsia="Times New Roman" w:cs="Times New Roman"/>
          <w:sz w:val="22"/>
          <w:szCs w:val="22"/>
          <w:lang w:val="en-GB"/>
        </w:rPr>
        <w:t>was</w:t>
      </w:r>
      <w:r w:rsidR="00EB00B8" w:rsidRPr="00AE2F32">
        <w:rPr>
          <w:rFonts w:eastAsia="Times New Roman" w:cs="Times New Roman"/>
          <w:sz w:val="22"/>
          <w:szCs w:val="22"/>
          <w:lang w:val="en-GB"/>
        </w:rPr>
        <w:t xml:space="preserve"> forced to move </w:t>
      </w:r>
      <w:r w:rsidR="00EB00B8">
        <w:rPr>
          <w:rFonts w:eastAsia="Times New Roman" w:cs="Times New Roman"/>
          <w:sz w:val="22"/>
          <w:szCs w:val="22"/>
          <w:lang w:val="en-GB"/>
        </w:rPr>
        <w:t>to</w:t>
      </w:r>
      <w:r w:rsidR="00EB00B8" w:rsidRPr="00AE2F32">
        <w:rPr>
          <w:rFonts w:eastAsia="Times New Roman" w:cs="Times New Roman"/>
          <w:sz w:val="22"/>
          <w:szCs w:val="22"/>
          <w:lang w:val="en-GB"/>
        </w:rPr>
        <w:t xml:space="preserve"> Europe</w:t>
      </w:r>
      <w:r w:rsidR="00EB00B8">
        <w:rPr>
          <w:rFonts w:eastAsia="Times New Roman" w:cs="Times New Roman"/>
          <w:sz w:val="22"/>
          <w:szCs w:val="22"/>
          <w:lang w:val="en-GB"/>
        </w:rPr>
        <w:t>,</w:t>
      </w:r>
      <w:r w:rsidR="00A6157D" w:rsidRPr="00AE2F32">
        <w:rPr>
          <w:rFonts w:eastAsia="Times New Roman" w:cs="Times New Roman"/>
          <w:sz w:val="22"/>
          <w:szCs w:val="22"/>
          <w:lang w:val="en-GB"/>
        </w:rPr>
        <w:t xml:space="preserve"> after Mukhtarli’s abduction and</w:t>
      </w:r>
      <w:r w:rsidR="00B4321F" w:rsidRPr="00AE2F32">
        <w:rPr>
          <w:rFonts w:eastAsia="Times New Roman" w:cs="Times New Roman"/>
          <w:sz w:val="22"/>
          <w:szCs w:val="22"/>
          <w:lang w:val="en-GB"/>
        </w:rPr>
        <w:t xml:space="preserve"> security risks, also for the</w:t>
      </w:r>
      <w:r w:rsidR="00A6157D" w:rsidRPr="00AE2F32">
        <w:rPr>
          <w:rFonts w:eastAsia="Times New Roman" w:cs="Times New Roman"/>
          <w:sz w:val="22"/>
          <w:szCs w:val="22"/>
          <w:lang w:val="en-GB"/>
        </w:rPr>
        <w:t xml:space="preserve"> obstacles </w:t>
      </w:r>
      <w:r w:rsidR="00B4321F" w:rsidRPr="00AE2F32">
        <w:rPr>
          <w:rFonts w:eastAsia="Times New Roman" w:cs="Times New Roman"/>
          <w:sz w:val="22"/>
          <w:szCs w:val="22"/>
          <w:lang w:val="en-GB"/>
        </w:rPr>
        <w:t>in receiving residence permits and refugee status</w:t>
      </w:r>
      <w:r w:rsidR="0053018F" w:rsidRPr="00AE2F32">
        <w:rPr>
          <w:rFonts w:eastAsia="Times New Roman" w:cs="Times New Roman"/>
          <w:sz w:val="22"/>
          <w:szCs w:val="22"/>
          <w:lang w:val="en-GB"/>
        </w:rPr>
        <w:t>.</w:t>
      </w:r>
      <w:r w:rsidR="0053018F" w:rsidRPr="00AE2F32">
        <w:rPr>
          <w:rStyle w:val="FootnoteReference"/>
          <w:rFonts w:eastAsia="Times New Roman" w:cs="Times New Roman"/>
          <w:sz w:val="22"/>
          <w:szCs w:val="22"/>
          <w:lang w:val="en-GB"/>
        </w:rPr>
        <w:footnoteReference w:id="81"/>
      </w:r>
    </w:p>
    <w:p w14:paraId="0378F2BF" w14:textId="77777777" w:rsidR="0053018F" w:rsidRPr="00AE2F32" w:rsidRDefault="0053018F" w:rsidP="0053018F">
      <w:pPr>
        <w:jc w:val="both"/>
        <w:rPr>
          <w:rFonts w:eastAsia="Times New Roman" w:cs="Times New Roman"/>
          <w:sz w:val="22"/>
          <w:szCs w:val="22"/>
          <w:lang w:val="en-GB"/>
        </w:rPr>
      </w:pPr>
    </w:p>
    <w:p w14:paraId="74F42F59" w14:textId="3ACC09AC" w:rsidR="00366767" w:rsidRPr="00AE2F32" w:rsidRDefault="00317ADC" w:rsidP="0053018F">
      <w:pPr>
        <w:jc w:val="both"/>
        <w:rPr>
          <w:rFonts w:eastAsia="Times New Roman" w:cs="Times New Roman"/>
          <w:sz w:val="22"/>
          <w:szCs w:val="22"/>
          <w:lang w:val="en-GB"/>
        </w:rPr>
      </w:pPr>
      <w:r w:rsidRPr="00AE2F32">
        <w:rPr>
          <w:rFonts w:eastAsia="Times New Roman" w:cs="Times New Roman"/>
          <w:sz w:val="22"/>
          <w:szCs w:val="22"/>
          <w:lang w:val="en-GB"/>
        </w:rPr>
        <w:t xml:space="preserve">Mukhtarli disappeared on May 29 from Tbilisi central district and in less than 24 hours </w:t>
      </w:r>
      <w:r w:rsidR="00CF4680" w:rsidRPr="00AE2F32">
        <w:rPr>
          <w:rFonts w:eastAsia="Times New Roman" w:cs="Times New Roman"/>
          <w:sz w:val="22"/>
          <w:szCs w:val="22"/>
          <w:lang w:val="en-GB"/>
        </w:rPr>
        <w:t>he appeared in Azerbaijani border police unit with allegations of illegal border-crossing, smuggling</w:t>
      </w:r>
      <w:r w:rsidR="00B655B8">
        <w:rPr>
          <w:rFonts w:eastAsia="Times New Roman" w:cs="Times New Roman"/>
          <w:sz w:val="22"/>
          <w:szCs w:val="22"/>
          <w:lang w:val="en-GB"/>
        </w:rPr>
        <w:t>,</w:t>
      </w:r>
      <w:r w:rsidR="00CF4680" w:rsidRPr="00AE2F32">
        <w:rPr>
          <w:rFonts w:eastAsia="Times New Roman" w:cs="Times New Roman"/>
          <w:sz w:val="22"/>
          <w:szCs w:val="22"/>
          <w:lang w:val="en-GB"/>
        </w:rPr>
        <w:t xml:space="preserve"> and disobedience of state authorities. According to Mukhtarli, he was stopped by a Georgian police officer and several Georgian-speaking people near his house, put a bag on his head, forced into a car, beaten and abducted</w:t>
      </w:r>
      <w:r w:rsidR="0053018F" w:rsidRPr="00AE2F32">
        <w:rPr>
          <w:rFonts w:eastAsia="Times New Roman" w:cs="Times New Roman"/>
          <w:sz w:val="22"/>
          <w:szCs w:val="22"/>
          <w:lang w:val="en-GB"/>
        </w:rPr>
        <w:t>.</w:t>
      </w:r>
      <w:r w:rsidR="0053018F" w:rsidRPr="00AE2F32">
        <w:rPr>
          <w:rStyle w:val="FootnoteReference"/>
          <w:rFonts w:eastAsia="Times New Roman" w:cs="Times New Roman"/>
          <w:sz w:val="22"/>
          <w:szCs w:val="22"/>
          <w:lang w:val="en-GB"/>
        </w:rPr>
        <w:footnoteReference w:id="82"/>
      </w:r>
      <w:r w:rsidR="0053018F" w:rsidRPr="00AE2F32">
        <w:rPr>
          <w:rFonts w:eastAsia="Times New Roman" w:cs="Times New Roman"/>
          <w:sz w:val="22"/>
          <w:szCs w:val="22"/>
          <w:lang w:val="en-GB"/>
        </w:rPr>
        <w:t xml:space="preserve"> </w:t>
      </w:r>
      <w:r w:rsidR="00366767" w:rsidRPr="00AE2F32">
        <w:rPr>
          <w:rFonts w:eastAsia="Times New Roman" w:cs="Times New Roman"/>
          <w:sz w:val="22"/>
          <w:szCs w:val="22"/>
          <w:lang w:val="en-GB"/>
        </w:rPr>
        <w:t>On January 12, 2018</w:t>
      </w:r>
      <w:r w:rsidR="00B655B8">
        <w:rPr>
          <w:rFonts w:eastAsia="Times New Roman" w:cs="Times New Roman"/>
          <w:sz w:val="22"/>
          <w:szCs w:val="22"/>
          <w:lang w:val="en-GB"/>
        </w:rPr>
        <w:t>,</w:t>
      </w:r>
      <w:r w:rsidR="00366767" w:rsidRPr="00AE2F32">
        <w:rPr>
          <w:rFonts w:eastAsia="Times New Roman" w:cs="Times New Roman"/>
          <w:sz w:val="22"/>
          <w:szCs w:val="22"/>
          <w:lang w:val="en-GB"/>
        </w:rPr>
        <w:t xml:space="preserve"> </w:t>
      </w:r>
      <w:r w:rsidR="00B655B8">
        <w:rPr>
          <w:rFonts w:eastAsia="Times New Roman" w:cs="Times New Roman"/>
          <w:sz w:val="22"/>
          <w:szCs w:val="22"/>
          <w:lang w:val="en-GB"/>
        </w:rPr>
        <w:t xml:space="preserve">an </w:t>
      </w:r>
      <w:r w:rsidR="00366767" w:rsidRPr="00AE2F32">
        <w:rPr>
          <w:rFonts w:eastAsia="Times New Roman" w:cs="Times New Roman"/>
          <w:sz w:val="22"/>
          <w:szCs w:val="22"/>
          <w:lang w:val="en-GB"/>
        </w:rPr>
        <w:t xml:space="preserve">Azerbaijani court sentenced him </w:t>
      </w:r>
      <w:r w:rsidR="00EB00B8">
        <w:rPr>
          <w:rFonts w:eastAsia="Times New Roman" w:cs="Times New Roman"/>
          <w:sz w:val="22"/>
          <w:szCs w:val="22"/>
          <w:lang w:val="en-GB"/>
        </w:rPr>
        <w:t>with</w:t>
      </w:r>
      <w:r w:rsidR="00366767" w:rsidRPr="00AE2F32">
        <w:rPr>
          <w:rFonts w:eastAsia="Times New Roman" w:cs="Times New Roman"/>
          <w:sz w:val="22"/>
          <w:szCs w:val="22"/>
          <w:lang w:val="en-GB"/>
        </w:rPr>
        <w:t xml:space="preserve"> 6 years in prison</w:t>
      </w:r>
      <w:r w:rsidR="0053018F" w:rsidRPr="00AE2F32">
        <w:rPr>
          <w:rFonts w:eastAsia="Times New Roman" w:cs="Times New Roman"/>
          <w:sz w:val="22"/>
          <w:szCs w:val="22"/>
          <w:lang w:val="en-GB"/>
        </w:rPr>
        <w:t>.</w:t>
      </w:r>
      <w:r w:rsidR="0053018F" w:rsidRPr="00AE2F32">
        <w:rPr>
          <w:rStyle w:val="FootnoteReference"/>
          <w:rFonts w:eastAsia="Times New Roman" w:cs="Times New Roman"/>
          <w:sz w:val="22"/>
          <w:szCs w:val="22"/>
          <w:lang w:val="en-GB"/>
        </w:rPr>
        <w:footnoteReference w:id="83"/>
      </w:r>
    </w:p>
    <w:p w14:paraId="07A3415D" w14:textId="77777777" w:rsidR="00366767" w:rsidRPr="00AE2F32" w:rsidRDefault="00366767" w:rsidP="0053018F">
      <w:pPr>
        <w:jc w:val="both"/>
        <w:rPr>
          <w:rFonts w:eastAsia="Times New Roman" w:cs="Times New Roman"/>
          <w:sz w:val="22"/>
          <w:szCs w:val="22"/>
          <w:lang w:val="en-GB"/>
        </w:rPr>
      </w:pPr>
    </w:p>
    <w:p w14:paraId="00F3AAC1" w14:textId="13B0F3C1" w:rsidR="0053018F" w:rsidRPr="00AE2F32" w:rsidRDefault="00C6146E" w:rsidP="0053018F">
      <w:pPr>
        <w:jc w:val="both"/>
        <w:rPr>
          <w:rFonts w:eastAsia="Times New Roman" w:cs="Times New Roman"/>
          <w:sz w:val="22"/>
          <w:szCs w:val="22"/>
          <w:lang w:val="en-GB"/>
        </w:rPr>
      </w:pPr>
      <w:r w:rsidRPr="00AE2F32">
        <w:rPr>
          <w:rFonts w:eastAsia="Times New Roman" w:cs="Times New Roman"/>
          <w:sz w:val="22"/>
          <w:szCs w:val="22"/>
          <w:lang w:val="en-GB"/>
        </w:rPr>
        <w:t>For three years General Prosecutor’s office was investigating the case under article 143 of Criminal Code</w:t>
      </w:r>
      <w:r w:rsidR="00EB00B8">
        <w:rPr>
          <w:rFonts w:eastAsia="Times New Roman" w:cs="Times New Roman"/>
          <w:sz w:val="22"/>
          <w:szCs w:val="22"/>
          <w:lang w:val="en-GB"/>
        </w:rPr>
        <w:t>,</w:t>
      </w:r>
      <w:r w:rsidRPr="00AE2F32">
        <w:rPr>
          <w:rFonts w:eastAsia="Times New Roman" w:cs="Times New Roman"/>
          <w:sz w:val="22"/>
          <w:szCs w:val="22"/>
          <w:lang w:val="en-GB"/>
        </w:rPr>
        <w:t xml:space="preserve"> (illegal deprivation of liberty)</w:t>
      </w:r>
      <w:r w:rsidR="007F2A10">
        <w:rPr>
          <w:rFonts w:eastAsia="Times New Roman" w:cs="Times New Roman"/>
          <w:sz w:val="22"/>
          <w:szCs w:val="22"/>
          <w:lang w:val="en-GB"/>
        </w:rPr>
        <w:t xml:space="preserve"> but no one’s criminal responsibility was raised</w:t>
      </w:r>
      <w:r w:rsidRPr="00AE2F32">
        <w:rPr>
          <w:rFonts w:eastAsia="Times New Roman" w:cs="Times New Roman"/>
          <w:sz w:val="22"/>
          <w:szCs w:val="22"/>
          <w:lang w:val="en-GB"/>
        </w:rPr>
        <w:t xml:space="preserve">. </w:t>
      </w:r>
    </w:p>
    <w:p w14:paraId="21C9AA04" w14:textId="6C12AD55" w:rsidR="009C03B6" w:rsidRPr="00AE2F32" w:rsidRDefault="009C03B6" w:rsidP="0053018F">
      <w:pPr>
        <w:jc w:val="both"/>
        <w:rPr>
          <w:rFonts w:eastAsia="Times New Roman" w:cs="Times New Roman"/>
          <w:sz w:val="22"/>
          <w:szCs w:val="22"/>
          <w:lang w:val="en-GB"/>
        </w:rPr>
      </w:pPr>
    </w:p>
    <w:p w14:paraId="1EEA7021" w14:textId="77777777" w:rsidR="0053018F" w:rsidRPr="00AE2F32" w:rsidRDefault="0053018F" w:rsidP="0053018F">
      <w:pPr>
        <w:jc w:val="both"/>
        <w:rPr>
          <w:rFonts w:eastAsia="Times New Roman" w:cs="Times New Roman"/>
          <w:sz w:val="22"/>
          <w:szCs w:val="22"/>
          <w:lang w:val="en-GB"/>
        </w:rPr>
      </w:pPr>
    </w:p>
    <w:p w14:paraId="6B824DE8" w14:textId="3DB21304" w:rsidR="0053018F" w:rsidRPr="00AE2F32" w:rsidRDefault="00AA3319" w:rsidP="0053018F">
      <w:pPr>
        <w:jc w:val="both"/>
        <w:rPr>
          <w:rFonts w:eastAsia="Times New Roman" w:cs="Times New Roman"/>
          <w:sz w:val="22"/>
          <w:szCs w:val="22"/>
        </w:rPr>
      </w:pPr>
      <w:r w:rsidRPr="00AE2F32">
        <w:rPr>
          <w:rFonts w:eastAsia="Times New Roman" w:cs="Times New Roman"/>
          <w:sz w:val="22"/>
          <w:szCs w:val="22"/>
          <w:lang w:val="en-GB"/>
        </w:rPr>
        <w:t>Mukhtarli was released on March 17, 2020</w:t>
      </w:r>
      <w:r w:rsidR="00B7474C">
        <w:rPr>
          <w:rFonts w:eastAsia="Times New Roman" w:cs="Times New Roman"/>
          <w:sz w:val="22"/>
          <w:szCs w:val="22"/>
          <w:lang w:val="en-GB"/>
        </w:rPr>
        <w:t>,</w:t>
      </w:r>
      <w:r w:rsidRPr="00AE2F32">
        <w:rPr>
          <w:rFonts w:eastAsia="Times New Roman" w:cs="Times New Roman"/>
          <w:sz w:val="22"/>
          <w:szCs w:val="22"/>
          <w:lang w:val="en-GB"/>
        </w:rPr>
        <w:t xml:space="preserve"> </w:t>
      </w:r>
      <w:r w:rsidR="007F2A10">
        <w:rPr>
          <w:rFonts w:eastAsia="Times New Roman" w:cs="Times New Roman"/>
          <w:sz w:val="22"/>
          <w:szCs w:val="22"/>
          <w:lang w:val="en-GB"/>
        </w:rPr>
        <w:t>and he</w:t>
      </w:r>
      <w:r w:rsidR="00010818" w:rsidRPr="00AE2F32">
        <w:rPr>
          <w:rFonts w:eastAsia="Times New Roman" w:cs="Times New Roman"/>
          <w:sz w:val="22"/>
          <w:szCs w:val="22"/>
          <w:lang w:val="en-GB"/>
        </w:rPr>
        <w:t xml:space="preserve"> declared</w:t>
      </w:r>
      <w:r w:rsidR="00EB00B8">
        <w:rPr>
          <w:rFonts w:eastAsia="Times New Roman" w:cs="Times New Roman"/>
          <w:sz w:val="22"/>
          <w:szCs w:val="22"/>
          <w:lang w:val="en-GB"/>
        </w:rPr>
        <w:t xml:space="preserve"> that</w:t>
      </w:r>
      <w:r w:rsidR="006D0DF3" w:rsidRPr="00AE2F32">
        <w:rPr>
          <w:rFonts w:eastAsia="Times New Roman" w:cs="Times New Roman"/>
          <w:sz w:val="22"/>
          <w:szCs w:val="22"/>
          <w:lang w:val="en-GB"/>
        </w:rPr>
        <w:t xml:space="preserve"> his abduction was a result of </w:t>
      </w:r>
      <w:r w:rsidR="00B7474C">
        <w:rPr>
          <w:rFonts w:eastAsia="Times New Roman" w:cs="Times New Roman"/>
          <w:sz w:val="22"/>
          <w:szCs w:val="22"/>
          <w:lang w:val="en-GB"/>
        </w:rPr>
        <w:t xml:space="preserve">a </w:t>
      </w:r>
      <w:r w:rsidR="006D0DF3" w:rsidRPr="00AE2F32">
        <w:rPr>
          <w:rFonts w:eastAsia="Times New Roman" w:cs="Times New Roman"/>
          <w:sz w:val="22"/>
          <w:szCs w:val="22"/>
          <w:lang w:val="en-GB"/>
        </w:rPr>
        <w:t>corrupt agreement between Georgia and Azerbaijani</w:t>
      </w:r>
      <w:r w:rsidR="007F2A10">
        <w:rPr>
          <w:rFonts w:eastAsia="Times New Roman" w:cs="Times New Roman"/>
          <w:sz w:val="22"/>
          <w:szCs w:val="22"/>
          <w:lang w:val="en-GB"/>
        </w:rPr>
        <w:t xml:space="preserve"> for which</w:t>
      </w:r>
      <w:r w:rsidR="006D0DF3" w:rsidRPr="00AE2F32">
        <w:rPr>
          <w:rFonts w:eastAsia="Times New Roman" w:cs="Times New Roman"/>
          <w:sz w:val="22"/>
          <w:szCs w:val="22"/>
          <w:lang w:val="en-GB"/>
        </w:rPr>
        <w:t xml:space="preserve"> Azerbaijani government paid 3 Million Dollars. </w:t>
      </w:r>
      <w:r w:rsidR="0053018F" w:rsidRPr="00AE2F32">
        <w:rPr>
          <w:rStyle w:val="FootnoteReference"/>
          <w:rFonts w:eastAsia="Times New Roman" w:cs="Times New Roman"/>
          <w:sz w:val="22"/>
          <w:szCs w:val="22"/>
          <w:lang w:val="en-GB"/>
        </w:rPr>
        <w:footnoteReference w:id="84"/>
      </w:r>
      <w:r w:rsidR="0053018F" w:rsidRPr="00AE2F32">
        <w:rPr>
          <w:rFonts w:eastAsia="Times New Roman" w:cs="Times New Roman"/>
          <w:sz w:val="22"/>
          <w:szCs w:val="22"/>
          <w:lang w:val="en-GB"/>
        </w:rPr>
        <w:t xml:space="preserve"> </w:t>
      </w:r>
    </w:p>
    <w:p w14:paraId="4F311133" w14:textId="77777777" w:rsidR="0053018F" w:rsidRPr="00AE2F32" w:rsidRDefault="0053018F" w:rsidP="00EB1CFE">
      <w:pPr>
        <w:jc w:val="both"/>
        <w:rPr>
          <w:sz w:val="22"/>
          <w:szCs w:val="22"/>
          <w:lang w:val="en-GB"/>
        </w:rPr>
      </w:pPr>
    </w:p>
    <w:p w14:paraId="01B8B079" w14:textId="29BA3D20" w:rsidR="00087FE3" w:rsidRPr="00AE2F32" w:rsidRDefault="00B0797D" w:rsidP="0053018F">
      <w:pPr>
        <w:shd w:val="clear" w:color="auto" w:fill="D0CECE" w:themeFill="background2" w:themeFillShade="E6"/>
        <w:jc w:val="both"/>
        <w:rPr>
          <w:b/>
          <w:iCs/>
          <w:sz w:val="22"/>
          <w:szCs w:val="22"/>
        </w:rPr>
      </w:pPr>
      <w:r w:rsidRPr="00AE2F32">
        <w:rPr>
          <w:b/>
          <w:iCs/>
          <w:sz w:val="22"/>
          <w:szCs w:val="22"/>
        </w:rPr>
        <w:t xml:space="preserve">Recommendations: </w:t>
      </w:r>
    </w:p>
    <w:p w14:paraId="2556D146" w14:textId="1E7351A0" w:rsidR="00087FE3" w:rsidRPr="00AE2F32" w:rsidRDefault="000647B9" w:rsidP="0023502D">
      <w:pPr>
        <w:pStyle w:val="ListParagraph"/>
        <w:numPr>
          <w:ilvl w:val="0"/>
          <w:numId w:val="11"/>
        </w:numPr>
        <w:shd w:val="clear" w:color="auto" w:fill="D0CECE" w:themeFill="background2" w:themeFillShade="E6"/>
        <w:jc w:val="both"/>
        <w:rPr>
          <w:sz w:val="22"/>
          <w:szCs w:val="22"/>
          <w:lang w:val="en-GB"/>
        </w:rPr>
      </w:pPr>
      <w:r>
        <w:rPr>
          <w:sz w:val="22"/>
          <w:szCs w:val="22"/>
          <w:lang w:val="en-GB"/>
        </w:rPr>
        <w:t xml:space="preserve">Improve </w:t>
      </w:r>
      <w:r w:rsidR="00B0797D" w:rsidRPr="00AE2F32">
        <w:rPr>
          <w:sz w:val="22"/>
          <w:szCs w:val="22"/>
          <w:lang w:val="en-GB"/>
        </w:rPr>
        <w:t>Independence of State Inspector Service</w:t>
      </w:r>
      <w:r w:rsidR="003071A0">
        <w:rPr>
          <w:sz w:val="22"/>
          <w:szCs w:val="22"/>
          <w:lang w:val="en-GB"/>
        </w:rPr>
        <w:t xml:space="preserve"> </w:t>
      </w:r>
      <w:r>
        <w:rPr>
          <w:sz w:val="22"/>
          <w:szCs w:val="22"/>
          <w:lang w:val="en-GB"/>
        </w:rPr>
        <w:t xml:space="preserve">and </w:t>
      </w:r>
      <w:r w:rsidR="00305BDB" w:rsidRPr="00AE2F32">
        <w:rPr>
          <w:sz w:val="22"/>
          <w:szCs w:val="22"/>
          <w:lang w:val="en-GB"/>
        </w:rPr>
        <w:t>appointment rule</w:t>
      </w:r>
      <w:r>
        <w:rPr>
          <w:sz w:val="22"/>
          <w:szCs w:val="22"/>
          <w:lang w:val="en-GB"/>
        </w:rPr>
        <w:t xml:space="preserve">, also extend its </w:t>
      </w:r>
      <w:r w:rsidR="00305BDB" w:rsidRPr="00AE2F32">
        <w:rPr>
          <w:sz w:val="22"/>
          <w:szCs w:val="22"/>
          <w:lang w:val="en-GB"/>
        </w:rPr>
        <w:t xml:space="preserve">mandate as well as financial and human resources. </w:t>
      </w:r>
    </w:p>
    <w:p w14:paraId="6B11E204" w14:textId="621F749C" w:rsidR="00305BDB" w:rsidRPr="00AE2F32" w:rsidRDefault="0020263C" w:rsidP="0023502D">
      <w:pPr>
        <w:pStyle w:val="ListParagraph"/>
        <w:numPr>
          <w:ilvl w:val="0"/>
          <w:numId w:val="11"/>
        </w:numPr>
        <w:shd w:val="clear" w:color="auto" w:fill="D0CECE" w:themeFill="background2" w:themeFillShade="E6"/>
        <w:jc w:val="both"/>
        <w:rPr>
          <w:sz w:val="22"/>
          <w:szCs w:val="22"/>
          <w:lang w:val="en-GB"/>
        </w:rPr>
      </w:pPr>
      <w:r w:rsidRPr="00AE2F32">
        <w:rPr>
          <w:sz w:val="22"/>
          <w:szCs w:val="22"/>
        </w:rPr>
        <w:t xml:space="preserve">Restore working on investigation system reform. Reform should provide improved </w:t>
      </w:r>
      <w:r w:rsidR="00166974" w:rsidRPr="00AE2F32">
        <w:rPr>
          <w:sz w:val="22"/>
          <w:szCs w:val="22"/>
        </w:rPr>
        <w:t xml:space="preserve">independence and quality of competences. </w:t>
      </w:r>
    </w:p>
    <w:p w14:paraId="27249A4C" w14:textId="0B3B0EBE" w:rsidR="00166974" w:rsidRPr="00AE2F32" w:rsidRDefault="00166974" w:rsidP="0023502D">
      <w:pPr>
        <w:pStyle w:val="ListParagraph"/>
        <w:numPr>
          <w:ilvl w:val="0"/>
          <w:numId w:val="11"/>
        </w:numPr>
        <w:shd w:val="clear" w:color="auto" w:fill="D0CECE" w:themeFill="background2" w:themeFillShade="E6"/>
        <w:jc w:val="both"/>
        <w:rPr>
          <w:sz w:val="22"/>
          <w:szCs w:val="22"/>
          <w:lang w:val="en-GB"/>
        </w:rPr>
      </w:pPr>
      <w:r w:rsidRPr="00AE2F32">
        <w:rPr>
          <w:sz w:val="22"/>
          <w:szCs w:val="22"/>
          <w:lang w:val="en-GB"/>
        </w:rPr>
        <w:t xml:space="preserve">Provide prompt and effective justice in cases of torture and ill-treatment; </w:t>
      </w:r>
    </w:p>
    <w:p w14:paraId="6E07EE58" w14:textId="56C5255B" w:rsidR="00166974" w:rsidRPr="00AE2F32" w:rsidRDefault="000647B9" w:rsidP="0023502D">
      <w:pPr>
        <w:pStyle w:val="ListParagraph"/>
        <w:numPr>
          <w:ilvl w:val="0"/>
          <w:numId w:val="11"/>
        </w:numPr>
        <w:shd w:val="clear" w:color="auto" w:fill="D0CECE" w:themeFill="background2" w:themeFillShade="E6"/>
        <w:jc w:val="both"/>
        <w:rPr>
          <w:sz w:val="22"/>
          <w:szCs w:val="22"/>
          <w:lang w:val="en-GB"/>
        </w:rPr>
      </w:pPr>
      <w:r>
        <w:rPr>
          <w:sz w:val="22"/>
          <w:szCs w:val="22"/>
          <w:lang w:val="en-GB"/>
        </w:rPr>
        <w:t>Mandatorily r</w:t>
      </w:r>
      <w:r w:rsidR="00166974" w:rsidRPr="00AE2F32">
        <w:rPr>
          <w:sz w:val="22"/>
          <w:szCs w:val="22"/>
          <w:lang w:val="en-GB"/>
        </w:rPr>
        <w:t xml:space="preserve">ecord communications with citizens by </w:t>
      </w:r>
      <w:r w:rsidR="00D37936" w:rsidRPr="00AE2F32">
        <w:rPr>
          <w:sz w:val="22"/>
          <w:szCs w:val="22"/>
          <w:lang w:val="en-GB"/>
        </w:rPr>
        <w:t>shoulder</w:t>
      </w:r>
      <w:r w:rsidR="00166974" w:rsidRPr="00AE2F32">
        <w:rPr>
          <w:sz w:val="22"/>
          <w:szCs w:val="22"/>
          <w:lang w:val="en-GB"/>
        </w:rPr>
        <w:t xml:space="preserve"> video cameras. It should also be mandatory to</w:t>
      </w:r>
      <w:r w:rsidR="00A56F1E" w:rsidRPr="00AE2F32">
        <w:rPr>
          <w:sz w:val="22"/>
          <w:szCs w:val="22"/>
          <w:lang w:val="en-GB"/>
        </w:rPr>
        <w:t xml:space="preserve"> make</w:t>
      </w:r>
      <w:r w:rsidR="00166974" w:rsidRPr="00AE2F32">
        <w:rPr>
          <w:sz w:val="22"/>
          <w:szCs w:val="22"/>
          <w:lang w:val="en-GB"/>
        </w:rPr>
        <w:t xml:space="preserve"> audio-video</w:t>
      </w:r>
      <w:r w:rsidR="00A56F1E" w:rsidRPr="00AE2F32">
        <w:rPr>
          <w:sz w:val="22"/>
          <w:szCs w:val="22"/>
          <w:lang w:val="en-GB"/>
        </w:rPr>
        <w:t xml:space="preserve"> </w:t>
      </w:r>
      <w:r w:rsidR="00166974" w:rsidRPr="00AE2F32">
        <w:rPr>
          <w:sz w:val="22"/>
          <w:szCs w:val="22"/>
          <w:lang w:val="en-GB"/>
        </w:rPr>
        <w:t>recordings of interrogations at the investigative agency;</w:t>
      </w:r>
    </w:p>
    <w:p w14:paraId="1667554B" w14:textId="77777777" w:rsidR="003071A0" w:rsidRDefault="00A56F1E" w:rsidP="003071A0">
      <w:pPr>
        <w:pStyle w:val="ListParagraph"/>
        <w:numPr>
          <w:ilvl w:val="0"/>
          <w:numId w:val="11"/>
        </w:numPr>
        <w:shd w:val="clear" w:color="auto" w:fill="D0CECE" w:themeFill="background2" w:themeFillShade="E6"/>
        <w:jc w:val="both"/>
        <w:rPr>
          <w:sz w:val="22"/>
          <w:szCs w:val="22"/>
          <w:lang w:val="en-GB"/>
        </w:rPr>
      </w:pPr>
      <w:r w:rsidRPr="00AE2F32">
        <w:rPr>
          <w:sz w:val="22"/>
          <w:szCs w:val="22"/>
          <w:lang w:val="en-GB"/>
        </w:rPr>
        <w:t xml:space="preserve">Torture/ill-treatment cases should be qualified under respective articles. </w:t>
      </w:r>
    </w:p>
    <w:p w14:paraId="2FCBEE9F" w14:textId="5BCD2916" w:rsidR="00F03CD0" w:rsidRPr="00AE2F32" w:rsidRDefault="00A56F1E" w:rsidP="0023502D">
      <w:pPr>
        <w:pStyle w:val="ListParagraph"/>
        <w:numPr>
          <w:ilvl w:val="0"/>
          <w:numId w:val="11"/>
        </w:numPr>
        <w:shd w:val="clear" w:color="auto" w:fill="D0CECE" w:themeFill="background2" w:themeFillShade="E6"/>
        <w:jc w:val="both"/>
        <w:rPr>
          <w:rFonts w:eastAsia="Times New Roman" w:cs="Times New Roman"/>
          <w:sz w:val="22"/>
          <w:szCs w:val="22"/>
          <w:lang w:val="en-GB"/>
        </w:rPr>
      </w:pPr>
      <w:r w:rsidRPr="003071A0">
        <w:rPr>
          <w:sz w:val="22"/>
          <w:szCs w:val="22"/>
          <w:lang w:val="en-GB"/>
        </w:rPr>
        <w:t xml:space="preserve">Grant victim status to persons in reasonable timeframes and </w:t>
      </w:r>
      <w:r w:rsidR="003071A0">
        <w:rPr>
          <w:sz w:val="22"/>
          <w:szCs w:val="22"/>
          <w:lang w:val="en-GB"/>
        </w:rPr>
        <w:t xml:space="preserve">provide </w:t>
      </w:r>
      <w:r w:rsidRPr="003071A0">
        <w:rPr>
          <w:sz w:val="22"/>
          <w:szCs w:val="22"/>
          <w:lang w:val="en-GB"/>
        </w:rPr>
        <w:t>their effective involvement in the investigation process;</w:t>
      </w:r>
      <w:r w:rsidR="003071A0" w:rsidRPr="003071A0" w:rsidDel="00A56F1E">
        <w:rPr>
          <w:sz w:val="22"/>
          <w:szCs w:val="22"/>
          <w:lang w:val="en-GB"/>
        </w:rPr>
        <w:t xml:space="preserve"> </w:t>
      </w:r>
      <w:r w:rsidRPr="00AE2F32">
        <w:rPr>
          <w:rFonts w:eastAsia="Times New Roman" w:cs="Times New Roman"/>
          <w:sz w:val="22"/>
          <w:szCs w:val="22"/>
          <w:lang w:val="en-GB"/>
        </w:rPr>
        <w:t xml:space="preserve">Timely investigate Afgan Mukhtarli abduction case and raise legal and political responsibility of respective persons. </w:t>
      </w:r>
    </w:p>
    <w:p w14:paraId="0BD4AB6F" w14:textId="77777777" w:rsidR="00A64207" w:rsidRPr="00AE2F32" w:rsidRDefault="00A64207" w:rsidP="00EB1CFE">
      <w:pPr>
        <w:pStyle w:val="ListParagraph"/>
        <w:ind w:left="360"/>
        <w:jc w:val="both"/>
        <w:rPr>
          <w:sz w:val="22"/>
          <w:szCs w:val="22"/>
          <w:lang w:val="en-GB"/>
        </w:rPr>
      </w:pPr>
    </w:p>
    <w:p w14:paraId="55CA96A3" w14:textId="35F81A16" w:rsidR="00087FE3" w:rsidRPr="00AE2F32" w:rsidRDefault="00166974" w:rsidP="00A64207">
      <w:pPr>
        <w:shd w:val="clear" w:color="auto" w:fill="D0CECE" w:themeFill="background2" w:themeFillShade="E6"/>
        <w:jc w:val="both"/>
        <w:rPr>
          <w:b/>
          <w:bCs/>
          <w:sz w:val="22"/>
          <w:szCs w:val="22"/>
          <w:lang w:val="en-GB"/>
        </w:rPr>
      </w:pPr>
      <w:r w:rsidRPr="00AE2F32">
        <w:rPr>
          <w:rFonts w:cs="Sylfaen"/>
          <w:b/>
          <w:bCs/>
          <w:sz w:val="22"/>
          <w:szCs w:val="22"/>
          <w:lang w:val="en-GB"/>
        </w:rPr>
        <w:t xml:space="preserve">Questions: </w:t>
      </w:r>
      <w:r w:rsidR="00F03CD0" w:rsidRPr="00AE2F32">
        <w:rPr>
          <w:b/>
          <w:bCs/>
          <w:sz w:val="22"/>
          <w:szCs w:val="22"/>
          <w:lang w:val="en-GB"/>
        </w:rPr>
        <w:t xml:space="preserve"> </w:t>
      </w:r>
    </w:p>
    <w:p w14:paraId="23705489" w14:textId="6A2493EA" w:rsidR="004C60DE" w:rsidRPr="00AE2F32" w:rsidRDefault="00793FC4" w:rsidP="0023502D">
      <w:pPr>
        <w:pStyle w:val="ListParagraph"/>
        <w:numPr>
          <w:ilvl w:val="0"/>
          <w:numId w:val="2"/>
        </w:numPr>
        <w:shd w:val="clear" w:color="auto" w:fill="C9C9C9"/>
        <w:rPr>
          <w:rFonts w:eastAsia="Times New Roman"/>
          <w:sz w:val="22"/>
          <w:szCs w:val="22"/>
          <w:lang w:val="en-GB"/>
        </w:rPr>
      </w:pPr>
      <w:r w:rsidRPr="00AE2F32">
        <w:rPr>
          <w:rFonts w:eastAsia="Times New Roman"/>
          <w:sz w:val="22"/>
          <w:szCs w:val="22"/>
          <w:lang w:val="en-GB"/>
        </w:rPr>
        <w:t xml:space="preserve">On what stage is investigative system reform and when does </w:t>
      </w:r>
      <w:r w:rsidR="00B7474C">
        <w:rPr>
          <w:rFonts w:eastAsia="Times New Roman"/>
          <w:sz w:val="22"/>
          <w:szCs w:val="22"/>
          <w:lang w:val="en-GB"/>
        </w:rPr>
        <w:t xml:space="preserve">the </w:t>
      </w:r>
      <w:r w:rsidRPr="00AE2F32">
        <w:rPr>
          <w:rFonts w:eastAsia="Times New Roman"/>
          <w:sz w:val="22"/>
          <w:szCs w:val="22"/>
          <w:lang w:val="en-GB"/>
        </w:rPr>
        <w:t xml:space="preserve">government plan to initiate it in the parliament? </w:t>
      </w:r>
    </w:p>
    <w:p w14:paraId="655FE5FB" w14:textId="5B6E9E0C" w:rsidR="00793FC4" w:rsidRPr="00AE2F32" w:rsidRDefault="009E0068" w:rsidP="0023502D">
      <w:pPr>
        <w:pStyle w:val="ListParagraph"/>
        <w:numPr>
          <w:ilvl w:val="0"/>
          <w:numId w:val="2"/>
        </w:numPr>
        <w:shd w:val="clear" w:color="auto" w:fill="C9C9C9"/>
        <w:rPr>
          <w:rFonts w:eastAsia="Times New Roman"/>
          <w:sz w:val="22"/>
          <w:szCs w:val="22"/>
          <w:lang w:val="en-GB"/>
        </w:rPr>
      </w:pPr>
      <w:r w:rsidRPr="00AE2F32">
        <w:rPr>
          <w:rFonts w:eastAsia="Times New Roman"/>
          <w:sz w:val="22"/>
          <w:szCs w:val="22"/>
          <w:lang w:val="en-GB"/>
        </w:rPr>
        <w:t xml:space="preserve">Does </w:t>
      </w:r>
      <w:r w:rsidR="00B7474C">
        <w:rPr>
          <w:rFonts w:eastAsia="Times New Roman"/>
          <w:sz w:val="22"/>
          <w:szCs w:val="22"/>
          <w:lang w:val="en-GB"/>
        </w:rPr>
        <w:t xml:space="preserve">the </w:t>
      </w:r>
      <w:r w:rsidRPr="00AE2F32">
        <w:rPr>
          <w:rFonts w:eastAsia="Times New Roman"/>
          <w:sz w:val="22"/>
          <w:szCs w:val="22"/>
          <w:lang w:val="en-GB"/>
        </w:rPr>
        <w:t xml:space="preserve">state consider </w:t>
      </w:r>
      <w:r w:rsidR="00B7474C">
        <w:rPr>
          <w:rFonts w:eastAsia="Times New Roman"/>
          <w:sz w:val="22"/>
          <w:szCs w:val="22"/>
          <w:lang w:val="en-GB"/>
        </w:rPr>
        <w:t xml:space="preserve">an </w:t>
      </w:r>
      <w:r w:rsidRPr="00AE2F32">
        <w:rPr>
          <w:rFonts w:eastAsia="Times New Roman"/>
          <w:sz w:val="22"/>
          <w:szCs w:val="22"/>
          <w:lang w:val="en-GB"/>
        </w:rPr>
        <w:t xml:space="preserve">increase </w:t>
      </w:r>
      <w:r w:rsidR="00B7474C">
        <w:rPr>
          <w:rFonts w:eastAsia="Times New Roman"/>
          <w:sz w:val="22"/>
          <w:szCs w:val="22"/>
          <w:lang w:val="en-GB"/>
        </w:rPr>
        <w:t xml:space="preserve">in the </w:t>
      </w:r>
      <w:r w:rsidRPr="00AE2F32">
        <w:rPr>
          <w:rFonts w:eastAsia="Times New Roman"/>
          <w:sz w:val="22"/>
          <w:szCs w:val="22"/>
          <w:lang w:val="en-GB"/>
        </w:rPr>
        <w:t xml:space="preserve">State Inspector Service mandate and what measures are taken for it? </w:t>
      </w:r>
    </w:p>
    <w:p w14:paraId="75DDF21D" w14:textId="56CDE0B6" w:rsidR="009E0068" w:rsidRPr="00AE2F32" w:rsidRDefault="009E0068" w:rsidP="0023502D">
      <w:pPr>
        <w:pStyle w:val="ListParagraph"/>
        <w:numPr>
          <w:ilvl w:val="0"/>
          <w:numId w:val="2"/>
        </w:numPr>
        <w:shd w:val="clear" w:color="auto" w:fill="C9C9C9"/>
        <w:rPr>
          <w:rFonts w:eastAsia="Times New Roman"/>
          <w:sz w:val="22"/>
          <w:szCs w:val="22"/>
          <w:lang w:val="en-GB"/>
        </w:rPr>
      </w:pPr>
      <w:r w:rsidRPr="00AE2F32">
        <w:rPr>
          <w:rFonts w:eastAsia="Times New Roman"/>
          <w:sz w:val="22"/>
          <w:szCs w:val="22"/>
          <w:lang w:val="en-GB"/>
        </w:rPr>
        <w:lastRenderedPageBreak/>
        <w:t>On what stage is the investigation of Afgan Mukhtarli abduction</w:t>
      </w:r>
      <w:r w:rsidR="003071A0">
        <w:rPr>
          <w:rFonts w:eastAsia="Times New Roman"/>
          <w:sz w:val="22"/>
          <w:szCs w:val="22"/>
          <w:lang w:val="en-GB"/>
        </w:rPr>
        <w:t>, particularly after his allegations on the corrupt agreement between Georgia and Azerbaijani</w:t>
      </w:r>
      <w:r w:rsidRPr="00AE2F32">
        <w:rPr>
          <w:rFonts w:eastAsia="Times New Roman"/>
          <w:sz w:val="22"/>
          <w:szCs w:val="22"/>
          <w:lang w:val="en-GB"/>
        </w:rPr>
        <w:t xml:space="preserve">? </w:t>
      </w:r>
    </w:p>
    <w:p w14:paraId="5E3E9F40" w14:textId="77777777" w:rsidR="004C60DE" w:rsidRPr="00AE2F32" w:rsidRDefault="004C60DE" w:rsidP="00EB1CFE">
      <w:pPr>
        <w:pStyle w:val="ListParagraph"/>
        <w:ind w:left="360"/>
        <w:jc w:val="both"/>
        <w:rPr>
          <w:sz w:val="22"/>
          <w:szCs w:val="22"/>
          <w:lang w:val="en-GB"/>
        </w:rPr>
      </w:pPr>
    </w:p>
    <w:p w14:paraId="770892DE" w14:textId="77777777" w:rsidR="001E7218" w:rsidRPr="00AE2F32" w:rsidRDefault="001E7218" w:rsidP="001E7218">
      <w:pPr>
        <w:rPr>
          <w:rFonts w:eastAsia="Times New Roman" w:cs="Times New Roman"/>
          <w:sz w:val="22"/>
          <w:szCs w:val="22"/>
          <w:lang w:val="en-GB"/>
        </w:rPr>
      </w:pPr>
    </w:p>
    <w:p w14:paraId="37B408AE" w14:textId="7220F120" w:rsidR="00962CBE" w:rsidRPr="00AE2F32" w:rsidRDefault="00CE78A4" w:rsidP="0023502D">
      <w:pPr>
        <w:pStyle w:val="Heading2"/>
        <w:numPr>
          <w:ilvl w:val="0"/>
          <w:numId w:val="15"/>
        </w:numPr>
        <w:spacing w:before="0"/>
        <w:rPr>
          <w:rFonts w:asciiTheme="minorHAnsi" w:hAnsiTheme="minorHAnsi" w:cs="Sylfaen"/>
          <w:sz w:val="22"/>
          <w:szCs w:val="22"/>
          <w:lang w:val="en-GB"/>
        </w:rPr>
      </w:pPr>
      <w:bookmarkStart w:id="32" w:name="_Toc48565942"/>
      <w:r w:rsidRPr="00AE2F32">
        <w:rPr>
          <w:rFonts w:asciiTheme="minorHAnsi" w:hAnsiTheme="minorHAnsi" w:cs="Sylfaen"/>
          <w:sz w:val="22"/>
          <w:szCs w:val="22"/>
          <w:lang w:val="en-GB"/>
        </w:rPr>
        <w:t>Article</w:t>
      </w:r>
      <w:r w:rsidR="00962CBE" w:rsidRPr="00AE2F32">
        <w:rPr>
          <w:rFonts w:asciiTheme="minorHAnsi" w:hAnsiTheme="minorHAnsi" w:cs="Sylfaen"/>
          <w:sz w:val="22"/>
          <w:szCs w:val="22"/>
          <w:lang w:val="en-GB"/>
        </w:rPr>
        <w:t xml:space="preserve"> 8</w:t>
      </w:r>
      <w:r w:rsidR="007D476A" w:rsidRPr="00AE2F32">
        <w:rPr>
          <w:rFonts w:asciiTheme="minorHAnsi" w:hAnsiTheme="minorHAnsi" w:cs="Sylfaen"/>
          <w:sz w:val="22"/>
          <w:szCs w:val="22"/>
          <w:lang w:val="en-GB"/>
        </w:rPr>
        <w:t xml:space="preserve">: </w:t>
      </w:r>
      <w:r w:rsidRPr="00AE2F32">
        <w:rPr>
          <w:rFonts w:asciiTheme="minorHAnsi" w:hAnsiTheme="minorHAnsi" w:cs="Sylfaen"/>
          <w:sz w:val="22"/>
          <w:szCs w:val="22"/>
          <w:lang w:val="en-GB"/>
        </w:rPr>
        <w:t>Prohibition of Slavery</w:t>
      </w:r>
      <w:bookmarkEnd w:id="32"/>
      <w:r w:rsidR="007D476A" w:rsidRPr="00AE2F32">
        <w:rPr>
          <w:rFonts w:asciiTheme="minorHAnsi" w:hAnsiTheme="minorHAnsi" w:cs="Sylfaen"/>
          <w:sz w:val="22"/>
          <w:szCs w:val="22"/>
          <w:lang w:val="en-GB"/>
        </w:rPr>
        <w:t xml:space="preserve"> </w:t>
      </w:r>
      <w:r w:rsidR="00962CBE" w:rsidRPr="00AE2F32">
        <w:rPr>
          <w:rFonts w:asciiTheme="minorHAnsi" w:hAnsiTheme="minorHAnsi" w:cs="Sylfaen"/>
          <w:sz w:val="22"/>
          <w:szCs w:val="22"/>
          <w:lang w:val="en-GB"/>
        </w:rPr>
        <w:t xml:space="preserve"> </w:t>
      </w:r>
    </w:p>
    <w:p w14:paraId="7D43F1C0" w14:textId="7313A587" w:rsidR="00962CBE" w:rsidRPr="00AE2F32" w:rsidRDefault="00962CBE" w:rsidP="00EB1CFE">
      <w:pPr>
        <w:rPr>
          <w:rFonts w:eastAsia="Times New Roman" w:cs="Times New Roman"/>
          <w:b/>
          <w:bCs/>
          <w:sz w:val="22"/>
          <w:szCs w:val="22"/>
          <w:lang w:val="en-GB"/>
        </w:rPr>
      </w:pPr>
    </w:p>
    <w:p w14:paraId="5E0D7564" w14:textId="5F4626A8" w:rsidR="00A26068" w:rsidRPr="00AE2F32" w:rsidRDefault="00CE78A4" w:rsidP="00B050D1">
      <w:pPr>
        <w:jc w:val="both"/>
        <w:rPr>
          <w:sz w:val="22"/>
          <w:szCs w:val="22"/>
          <w:lang w:val="en-GB"/>
        </w:rPr>
      </w:pPr>
      <w:r w:rsidRPr="00AE2F32">
        <w:rPr>
          <w:sz w:val="22"/>
          <w:szCs w:val="22"/>
          <w:lang w:val="en-GB"/>
        </w:rPr>
        <w:t xml:space="preserve">The supervisory body of </w:t>
      </w:r>
      <w:r w:rsidR="004B4077">
        <w:rPr>
          <w:sz w:val="22"/>
          <w:szCs w:val="22"/>
          <w:lang w:val="en-GB"/>
        </w:rPr>
        <w:t>labour</w:t>
      </w:r>
      <w:r w:rsidRPr="00AE2F32">
        <w:rPr>
          <w:sz w:val="22"/>
          <w:szCs w:val="22"/>
          <w:lang w:val="en-GB"/>
        </w:rPr>
        <w:t xml:space="preserve"> exploitation</w:t>
      </w:r>
      <w:r w:rsidR="00F95449">
        <w:rPr>
          <w:sz w:val="22"/>
          <w:szCs w:val="22"/>
          <w:lang w:val="en-GB"/>
        </w:rPr>
        <w:t xml:space="preserve"> cases</w:t>
      </w:r>
      <w:r w:rsidRPr="00AE2F32">
        <w:rPr>
          <w:sz w:val="22"/>
          <w:szCs w:val="22"/>
          <w:lang w:val="en-GB"/>
        </w:rPr>
        <w:t xml:space="preserve"> is a </w:t>
      </w:r>
      <w:r w:rsidR="00021568" w:rsidRPr="00AE2F32">
        <w:rPr>
          <w:sz w:val="22"/>
          <w:szCs w:val="22"/>
        </w:rPr>
        <w:t>Labor Conditions Inspecting Department</w:t>
      </w:r>
      <w:r w:rsidR="00021568" w:rsidRPr="00AE2F32">
        <w:rPr>
          <w:sz w:val="22"/>
          <w:szCs w:val="22"/>
          <w:lang w:val="en-GB"/>
        </w:rPr>
        <w:t>.</w:t>
      </w:r>
      <w:r w:rsidR="00A26068" w:rsidRPr="00AE2F32">
        <w:rPr>
          <w:rStyle w:val="FootnoteReference"/>
          <w:sz w:val="22"/>
          <w:szCs w:val="22"/>
          <w:lang w:val="en-GB"/>
        </w:rPr>
        <w:footnoteReference w:id="85"/>
      </w:r>
      <w:r w:rsidR="00A26068" w:rsidRPr="00AE2F32">
        <w:rPr>
          <w:sz w:val="22"/>
          <w:szCs w:val="22"/>
          <w:lang w:val="en-GB"/>
        </w:rPr>
        <w:t xml:space="preserve"> </w:t>
      </w:r>
      <w:r w:rsidR="00F95449">
        <w:rPr>
          <w:sz w:val="22"/>
          <w:szCs w:val="22"/>
          <w:lang w:val="en-GB"/>
        </w:rPr>
        <w:t>T</w:t>
      </w:r>
      <w:r w:rsidR="003F4441" w:rsidRPr="00AE2F32">
        <w:rPr>
          <w:sz w:val="22"/>
          <w:szCs w:val="22"/>
          <w:lang w:val="en-GB"/>
        </w:rPr>
        <w:t xml:space="preserve">he Department annually inspects the workplaces within the framework of planned and/or unscheduled inspections, based on reasonable suspicion, and complaints. According to the data of 2015-2019, overall 127 companies were inspected, out of which 111 were planned and 16 unplanned. In this period, forced </w:t>
      </w:r>
      <w:r w:rsidR="004B4077">
        <w:rPr>
          <w:sz w:val="22"/>
          <w:szCs w:val="22"/>
          <w:lang w:val="en-GB"/>
        </w:rPr>
        <w:t>labour</w:t>
      </w:r>
      <w:r w:rsidR="00B7474C">
        <w:rPr>
          <w:sz w:val="22"/>
          <w:szCs w:val="22"/>
          <w:lang w:val="en-GB"/>
        </w:rPr>
        <w:t xml:space="preserve"> and</w:t>
      </w:r>
      <w:r w:rsidR="003F4441" w:rsidRPr="00AE2F32">
        <w:rPr>
          <w:sz w:val="22"/>
          <w:szCs w:val="22"/>
          <w:lang w:val="en-GB"/>
        </w:rPr>
        <w:t xml:space="preserve"> </w:t>
      </w:r>
      <w:r w:rsidR="00B7474C">
        <w:rPr>
          <w:sz w:val="22"/>
          <w:szCs w:val="22"/>
          <w:lang w:val="en-GB"/>
        </w:rPr>
        <w:t>labo</w:t>
      </w:r>
      <w:r w:rsidR="004B4077">
        <w:rPr>
          <w:sz w:val="22"/>
          <w:szCs w:val="22"/>
          <w:lang w:val="en-GB"/>
        </w:rPr>
        <w:t>u</w:t>
      </w:r>
      <w:r w:rsidR="00B7474C">
        <w:rPr>
          <w:sz w:val="22"/>
          <w:szCs w:val="22"/>
          <w:lang w:val="en-GB"/>
        </w:rPr>
        <w:t xml:space="preserve">r </w:t>
      </w:r>
      <w:r w:rsidR="004B4077">
        <w:rPr>
          <w:sz w:val="22"/>
          <w:szCs w:val="22"/>
          <w:lang w:val="en-GB"/>
        </w:rPr>
        <w:t>exploitation</w:t>
      </w:r>
      <w:r w:rsidR="003F4441" w:rsidRPr="00AE2F32">
        <w:rPr>
          <w:sz w:val="22"/>
          <w:szCs w:val="22"/>
          <w:lang w:val="en-GB"/>
        </w:rPr>
        <w:t xml:space="preserve"> was revealed only in one company, on which investigative </w:t>
      </w:r>
      <w:r w:rsidR="00B050D1" w:rsidRPr="00AE2F32">
        <w:rPr>
          <w:sz w:val="22"/>
          <w:szCs w:val="22"/>
          <w:lang w:val="en-GB"/>
        </w:rPr>
        <w:t>authorities</w:t>
      </w:r>
      <w:r w:rsidR="003F4441" w:rsidRPr="00AE2F32">
        <w:rPr>
          <w:sz w:val="22"/>
          <w:szCs w:val="22"/>
          <w:lang w:val="en-GB"/>
        </w:rPr>
        <w:t xml:space="preserve"> were informed.</w:t>
      </w:r>
      <w:r w:rsidR="00A26068" w:rsidRPr="00AE2F32">
        <w:rPr>
          <w:rStyle w:val="FootnoteReference"/>
          <w:sz w:val="22"/>
          <w:szCs w:val="22"/>
          <w:lang w:val="en-GB"/>
        </w:rPr>
        <w:footnoteReference w:id="86"/>
      </w:r>
      <w:r w:rsidR="00A26068" w:rsidRPr="00AE2F32">
        <w:rPr>
          <w:sz w:val="22"/>
          <w:szCs w:val="22"/>
          <w:lang w:val="en-GB"/>
        </w:rPr>
        <w:t xml:space="preserve"> </w:t>
      </w:r>
      <w:r w:rsidR="00B050D1" w:rsidRPr="00AE2F32">
        <w:rPr>
          <w:sz w:val="22"/>
          <w:szCs w:val="22"/>
          <w:lang w:val="en-GB"/>
        </w:rPr>
        <w:t xml:space="preserve">According to </w:t>
      </w:r>
      <w:r w:rsidR="00B050D1" w:rsidRPr="00AE2F32">
        <w:rPr>
          <w:sz w:val="22"/>
          <w:szCs w:val="22"/>
        </w:rPr>
        <w:t>the</w:t>
      </w:r>
      <w:r w:rsidR="00B050D1" w:rsidRPr="00AE2F32">
        <w:rPr>
          <w:sz w:val="22"/>
          <w:szCs w:val="22"/>
          <w:lang w:val="en-GB"/>
        </w:rPr>
        <w:t xml:space="preserve"> </w:t>
      </w:r>
      <w:r w:rsidR="00F95449">
        <w:rPr>
          <w:sz w:val="22"/>
          <w:szCs w:val="22"/>
          <w:lang w:val="en-GB"/>
        </w:rPr>
        <w:t xml:space="preserve">2020 report of </w:t>
      </w:r>
      <w:r w:rsidR="004B4077">
        <w:rPr>
          <w:sz w:val="22"/>
          <w:szCs w:val="22"/>
          <w:lang w:val="en-GB"/>
        </w:rPr>
        <w:t xml:space="preserve">the </w:t>
      </w:r>
      <w:r w:rsidR="00F95449">
        <w:rPr>
          <w:sz w:val="22"/>
          <w:szCs w:val="22"/>
          <w:lang w:val="en-GB"/>
        </w:rPr>
        <w:t>US</w:t>
      </w:r>
      <w:r w:rsidR="00B050D1" w:rsidRPr="00AE2F32">
        <w:rPr>
          <w:sz w:val="22"/>
          <w:szCs w:val="22"/>
          <w:lang w:val="en-GB"/>
        </w:rPr>
        <w:t xml:space="preserve"> Department, despite the criminalization of forced labour, government agencies are unable to combat this problem effectively.</w:t>
      </w:r>
      <w:r w:rsidR="00A26068" w:rsidRPr="00AE2F32">
        <w:rPr>
          <w:sz w:val="22"/>
          <w:szCs w:val="22"/>
          <w:lang w:val="en-GB"/>
        </w:rPr>
        <w:t xml:space="preserve"> </w:t>
      </w:r>
      <w:r w:rsidR="00B050D1" w:rsidRPr="00AE2F32">
        <w:rPr>
          <w:sz w:val="22"/>
          <w:szCs w:val="22"/>
          <w:lang w:val="en-GB"/>
        </w:rPr>
        <w:t>In particular, investigations are particularly low, containing risks of forced labour incentives. According to the Department, adequate work was mainly hindered by the lack of labour inspectors</w:t>
      </w:r>
      <w:r w:rsidR="00A26068" w:rsidRPr="00AE2F32">
        <w:rPr>
          <w:color w:val="000000" w:themeColor="text1"/>
          <w:sz w:val="22"/>
          <w:szCs w:val="22"/>
          <w:lang w:val="en-GB"/>
        </w:rPr>
        <w:t>.</w:t>
      </w:r>
      <w:r w:rsidR="00A26068" w:rsidRPr="00AE2F32">
        <w:rPr>
          <w:rStyle w:val="FootnoteReference"/>
          <w:color w:val="000000" w:themeColor="text1"/>
          <w:sz w:val="22"/>
          <w:szCs w:val="22"/>
          <w:lang w:val="en-GB"/>
        </w:rPr>
        <w:footnoteReference w:id="87"/>
      </w:r>
      <w:r w:rsidR="00A26068" w:rsidRPr="00AE2F32">
        <w:rPr>
          <w:color w:val="000000" w:themeColor="text1"/>
          <w:sz w:val="22"/>
          <w:szCs w:val="22"/>
          <w:lang w:val="en-GB"/>
        </w:rPr>
        <w:t xml:space="preserve"> </w:t>
      </w:r>
    </w:p>
    <w:p w14:paraId="0EF46D42" w14:textId="012209C3" w:rsidR="00A26068" w:rsidRPr="00AE2F32" w:rsidRDefault="00A26068" w:rsidP="00A26068">
      <w:pPr>
        <w:jc w:val="both"/>
        <w:rPr>
          <w:sz w:val="22"/>
          <w:szCs w:val="22"/>
          <w:lang w:val="en-GB"/>
        </w:rPr>
      </w:pPr>
    </w:p>
    <w:p w14:paraId="455D53F2" w14:textId="6BB68A39" w:rsidR="00A26068" w:rsidRPr="00AE2F32" w:rsidRDefault="00A31FC9" w:rsidP="00A26068">
      <w:pPr>
        <w:jc w:val="both"/>
        <w:rPr>
          <w:sz w:val="22"/>
          <w:szCs w:val="22"/>
        </w:rPr>
      </w:pPr>
      <w:r w:rsidRPr="00AE2F32">
        <w:rPr>
          <w:sz w:val="22"/>
          <w:szCs w:val="22"/>
          <w:lang w:val="en-GB"/>
        </w:rPr>
        <w:t>It is noteworthy that</w:t>
      </w:r>
      <w:r w:rsidRPr="00AE2F32">
        <w:rPr>
          <w:sz w:val="22"/>
          <w:szCs w:val="22"/>
          <w:lang w:val="ka-GE"/>
        </w:rPr>
        <w:t>,</w:t>
      </w:r>
      <w:r w:rsidRPr="00AE2F32">
        <w:rPr>
          <w:sz w:val="22"/>
          <w:szCs w:val="22"/>
        </w:rPr>
        <w:t xml:space="preserve"> forced labor is </w:t>
      </w:r>
      <w:r w:rsidR="004B4077">
        <w:rPr>
          <w:sz w:val="22"/>
          <w:szCs w:val="22"/>
        </w:rPr>
        <w:t xml:space="preserve">a </w:t>
      </w:r>
      <w:r w:rsidRPr="00AE2F32">
        <w:rPr>
          <w:sz w:val="22"/>
          <w:szCs w:val="22"/>
        </w:rPr>
        <w:t>narrowly defined concept under Georgian legislation, and labor exploitation is not</w:t>
      </w:r>
      <w:r w:rsidR="00F1355C" w:rsidRPr="00AE2F32">
        <w:rPr>
          <w:sz w:val="22"/>
          <w:szCs w:val="22"/>
        </w:rPr>
        <w:t xml:space="preserve"> completely defined. Unregulated work, rest and break time, inadequate pay (legislation defines minimum salary 20 Gel -5.5. Euro)</w:t>
      </w:r>
      <w:r w:rsidR="004B4077">
        <w:rPr>
          <w:sz w:val="22"/>
          <w:szCs w:val="22"/>
        </w:rPr>
        <w:t>,</w:t>
      </w:r>
      <w:r w:rsidR="00F1355C" w:rsidRPr="00AE2F32">
        <w:rPr>
          <w:sz w:val="22"/>
          <w:szCs w:val="22"/>
        </w:rPr>
        <w:t xml:space="preserve"> and regular practices of overtime work</w:t>
      </w:r>
      <w:r w:rsidR="00A26068" w:rsidRPr="00AE2F32">
        <w:rPr>
          <w:sz w:val="22"/>
          <w:szCs w:val="22"/>
          <w:lang w:val="en-GB"/>
        </w:rPr>
        <w:t>,</w:t>
      </w:r>
      <w:r w:rsidR="00A26068" w:rsidRPr="00AE2F32">
        <w:rPr>
          <w:rStyle w:val="FootnoteReference"/>
          <w:sz w:val="22"/>
          <w:szCs w:val="22"/>
          <w:lang w:val="en-GB"/>
        </w:rPr>
        <w:footnoteReference w:id="88"/>
      </w:r>
      <w:r w:rsidR="00A26068" w:rsidRPr="00AE2F32">
        <w:rPr>
          <w:sz w:val="22"/>
          <w:szCs w:val="22"/>
          <w:lang w:val="en-GB"/>
        </w:rPr>
        <w:t xml:space="preserve"> </w:t>
      </w:r>
      <w:r w:rsidR="004B4077">
        <w:rPr>
          <w:sz w:val="22"/>
          <w:szCs w:val="22"/>
          <w:lang w:val="en-GB"/>
        </w:rPr>
        <w:t>represent</w:t>
      </w:r>
      <w:r w:rsidR="001E7AC6">
        <w:rPr>
          <w:sz w:val="22"/>
          <w:szCs w:val="22"/>
        </w:rPr>
        <w:t xml:space="preserve"> complex signs of</w:t>
      </w:r>
      <w:r w:rsidR="00F1355C" w:rsidRPr="00AE2F32">
        <w:rPr>
          <w:sz w:val="22"/>
          <w:szCs w:val="22"/>
          <w:lang w:val="en-GB"/>
        </w:rPr>
        <w:t xml:space="preserve"> forced labour/labour exploitation which needs to be </w:t>
      </w:r>
      <w:r w:rsidR="00970472" w:rsidRPr="00AE2F32">
        <w:rPr>
          <w:sz w:val="22"/>
          <w:szCs w:val="22"/>
        </w:rPr>
        <w:t xml:space="preserve">properly revealed by the labor inspection and relevant responsibility mechanism should exist. </w:t>
      </w:r>
      <w:r w:rsidR="00F1355C" w:rsidRPr="00AE2F32">
        <w:rPr>
          <w:sz w:val="22"/>
          <w:szCs w:val="22"/>
          <w:lang w:val="en-GB"/>
        </w:rPr>
        <w:t xml:space="preserve">  </w:t>
      </w:r>
    </w:p>
    <w:p w14:paraId="52E31B04" w14:textId="53A4560A" w:rsidR="00A26068" w:rsidRPr="00AE2F32" w:rsidRDefault="00A26068" w:rsidP="00A26068">
      <w:pPr>
        <w:jc w:val="both"/>
        <w:rPr>
          <w:sz w:val="22"/>
          <w:szCs w:val="22"/>
          <w:lang w:val="en-GB"/>
        </w:rPr>
      </w:pPr>
    </w:p>
    <w:p w14:paraId="1A4998A0" w14:textId="3893E8FF" w:rsidR="00970472" w:rsidRPr="00AE2F32" w:rsidRDefault="00970472" w:rsidP="00A26068">
      <w:pPr>
        <w:jc w:val="both"/>
        <w:rPr>
          <w:sz w:val="22"/>
          <w:szCs w:val="22"/>
        </w:rPr>
      </w:pPr>
      <w:r w:rsidRPr="00AE2F32">
        <w:rPr>
          <w:sz w:val="22"/>
          <w:szCs w:val="22"/>
          <w:lang w:val="en-GB"/>
        </w:rPr>
        <w:t>In light of abovementioned challenges, Parliament Members initiated legislative package</w:t>
      </w:r>
      <w:r w:rsidR="004B4077">
        <w:rPr>
          <w:sz w:val="22"/>
          <w:szCs w:val="22"/>
          <w:lang w:val="en-GB"/>
        </w:rPr>
        <w:t>.</w:t>
      </w:r>
      <w:r w:rsidR="00816116" w:rsidRPr="00AE2F32">
        <w:rPr>
          <w:sz w:val="22"/>
          <w:szCs w:val="22"/>
          <w:lang w:val="en-GB"/>
        </w:rPr>
        <w:t xml:space="preserve"> The package prescribes legal standards of labour rights, including</w:t>
      </w:r>
      <w:r w:rsidR="00B655B8">
        <w:rPr>
          <w:sz w:val="22"/>
          <w:szCs w:val="22"/>
          <w:lang w:val="en-GB"/>
        </w:rPr>
        <w:t xml:space="preserve"> </w:t>
      </w:r>
      <w:r w:rsidR="004B4077">
        <w:rPr>
          <w:sz w:val="22"/>
          <w:szCs w:val="22"/>
          <w:lang w:val="en-GB"/>
        </w:rPr>
        <w:t>realizatio</w:t>
      </w:r>
      <w:r w:rsidR="00816116" w:rsidRPr="00AE2F32">
        <w:rPr>
          <w:sz w:val="22"/>
          <w:szCs w:val="22"/>
          <w:lang w:val="en-GB"/>
        </w:rPr>
        <w:t>n of rest and break times, restriction of nigh work, standards of</w:t>
      </w:r>
      <w:r w:rsidR="00816116" w:rsidRPr="00AE2F32">
        <w:rPr>
          <w:sz w:val="22"/>
          <w:szCs w:val="22"/>
          <w:lang w:val="ka-GE"/>
        </w:rPr>
        <w:t xml:space="preserve"> </w:t>
      </w:r>
      <w:r w:rsidR="00816116" w:rsidRPr="00AE2F32">
        <w:rPr>
          <w:sz w:val="22"/>
          <w:szCs w:val="22"/>
        </w:rPr>
        <w:t>shift labor, overtime work remuneration</w:t>
      </w:r>
      <w:r w:rsidR="004B4077">
        <w:rPr>
          <w:sz w:val="22"/>
          <w:szCs w:val="22"/>
        </w:rPr>
        <w:t>,</w:t>
      </w:r>
      <w:r w:rsidR="00816116" w:rsidRPr="00AE2F32">
        <w:rPr>
          <w:sz w:val="22"/>
          <w:szCs w:val="22"/>
        </w:rPr>
        <w:t xml:space="preserve"> </w:t>
      </w:r>
      <w:r w:rsidR="00D22018" w:rsidRPr="00AE2F32">
        <w:rPr>
          <w:sz w:val="22"/>
          <w:szCs w:val="22"/>
        </w:rPr>
        <w:t xml:space="preserve">and labor inspection mandate, which allows monitoring and examination of every right under Labor Code, with respective sanctions authority. </w:t>
      </w:r>
    </w:p>
    <w:p w14:paraId="563A1BA7" w14:textId="23292DA5" w:rsidR="00A26068" w:rsidRPr="00AE2F32" w:rsidRDefault="00A26068" w:rsidP="00A26068">
      <w:pPr>
        <w:jc w:val="both"/>
        <w:rPr>
          <w:sz w:val="22"/>
          <w:szCs w:val="22"/>
          <w:lang w:val="en-GB"/>
        </w:rPr>
      </w:pPr>
    </w:p>
    <w:p w14:paraId="1FE5C9B1" w14:textId="3DE42741" w:rsidR="00A26068" w:rsidRPr="00AE2F32" w:rsidRDefault="00D22018" w:rsidP="00A26068">
      <w:pPr>
        <w:shd w:val="clear" w:color="auto" w:fill="D0CECE" w:themeFill="background2" w:themeFillShade="E6"/>
        <w:jc w:val="both"/>
        <w:rPr>
          <w:b/>
          <w:bCs/>
          <w:iCs/>
          <w:sz w:val="22"/>
          <w:szCs w:val="22"/>
          <w:lang w:val="en-GB"/>
        </w:rPr>
      </w:pPr>
      <w:r w:rsidRPr="00AE2F32">
        <w:rPr>
          <w:b/>
          <w:bCs/>
          <w:iCs/>
          <w:sz w:val="22"/>
          <w:szCs w:val="22"/>
          <w:lang w:val="en-GB"/>
        </w:rPr>
        <w:t>Recommendation:</w:t>
      </w:r>
    </w:p>
    <w:p w14:paraId="6F29281F" w14:textId="2AB9851E" w:rsidR="00D22018" w:rsidRPr="00AE2F32" w:rsidRDefault="00D658D6" w:rsidP="0023502D">
      <w:pPr>
        <w:pStyle w:val="ListParagraph"/>
        <w:numPr>
          <w:ilvl w:val="0"/>
          <w:numId w:val="33"/>
        </w:numPr>
        <w:shd w:val="clear" w:color="auto" w:fill="D0CECE" w:themeFill="background2" w:themeFillShade="E6"/>
        <w:spacing w:after="160" w:line="259" w:lineRule="auto"/>
        <w:jc w:val="both"/>
        <w:rPr>
          <w:iCs/>
          <w:sz w:val="22"/>
          <w:szCs w:val="22"/>
          <w:lang w:val="en-GB"/>
        </w:rPr>
      </w:pPr>
      <w:r>
        <w:rPr>
          <w:iCs/>
          <w:sz w:val="22"/>
          <w:szCs w:val="22"/>
          <w:lang w:val="en-GB"/>
        </w:rPr>
        <w:t>A</w:t>
      </w:r>
      <w:r w:rsidR="00D22018" w:rsidRPr="00AE2F32">
        <w:rPr>
          <w:iCs/>
          <w:sz w:val="22"/>
          <w:szCs w:val="22"/>
          <w:lang w:val="en-GB"/>
        </w:rPr>
        <w:t xml:space="preserve">dopt initiated labour legislation package. </w:t>
      </w:r>
    </w:p>
    <w:p w14:paraId="687FA13A" w14:textId="15BF0951" w:rsidR="00D22018" w:rsidRPr="00AE2F32" w:rsidRDefault="004B4077" w:rsidP="0023502D">
      <w:pPr>
        <w:pStyle w:val="ListParagraph"/>
        <w:numPr>
          <w:ilvl w:val="0"/>
          <w:numId w:val="33"/>
        </w:numPr>
        <w:shd w:val="clear" w:color="auto" w:fill="D0CECE" w:themeFill="background2" w:themeFillShade="E6"/>
        <w:spacing w:after="160" w:line="259" w:lineRule="auto"/>
        <w:jc w:val="both"/>
        <w:rPr>
          <w:iCs/>
          <w:sz w:val="22"/>
          <w:szCs w:val="22"/>
          <w:lang w:val="en-GB"/>
        </w:rPr>
      </w:pPr>
      <w:r>
        <w:rPr>
          <w:iCs/>
          <w:sz w:val="22"/>
          <w:szCs w:val="22"/>
          <w:lang w:val="en-GB"/>
        </w:rPr>
        <w:t>To</w:t>
      </w:r>
      <w:r w:rsidR="00D22018" w:rsidRPr="00AE2F32">
        <w:rPr>
          <w:iCs/>
          <w:sz w:val="22"/>
          <w:szCs w:val="22"/>
          <w:lang w:val="en-GB"/>
        </w:rPr>
        <w:t xml:space="preserve"> maximize the elimination of various forms of forced labour, </w:t>
      </w:r>
      <w:r w:rsidR="00D658D6">
        <w:rPr>
          <w:iCs/>
          <w:sz w:val="22"/>
          <w:szCs w:val="22"/>
          <w:lang w:val="en-GB"/>
        </w:rPr>
        <w:t xml:space="preserve">empower </w:t>
      </w:r>
      <w:r w:rsidR="00D22018" w:rsidRPr="00AE2F32">
        <w:rPr>
          <w:iCs/>
          <w:sz w:val="22"/>
          <w:szCs w:val="22"/>
          <w:lang w:val="en-GB"/>
        </w:rPr>
        <w:t>the Labour Inspection to continuously monitor the rights established by the Labour Code.</w:t>
      </w:r>
    </w:p>
    <w:p w14:paraId="101C27A2" w14:textId="77777777" w:rsidR="00A26068" w:rsidRPr="00AE2F32" w:rsidRDefault="00A26068" w:rsidP="00A26068">
      <w:pPr>
        <w:jc w:val="both"/>
        <w:rPr>
          <w:sz w:val="22"/>
          <w:szCs w:val="22"/>
          <w:lang w:val="en-GB"/>
        </w:rPr>
      </w:pPr>
    </w:p>
    <w:p w14:paraId="0FB9F357" w14:textId="74C2BBC7" w:rsidR="00A26068" w:rsidRPr="00AE2F32" w:rsidRDefault="00D22018" w:rsidP="00A26068">
      <w:pPr>
        <w:shd w:val="clear" w:color="auto" w:fill="D0CECE" w:themeFill="background2" w:themeFillShade="E6"/>
        <w:jc w:val="both"/>
        <w:rPr>
          <w:b/>
          <w:bCs/>
          <w:iCs/>
          <w:sz w:val="22"/>
          <w:szCs w:val="22"/>
          <w:lang w:val="en-GB"/>
        </w:rPr>
      </w:pPr>
      <w:r w:rsidRPr="00AE2F32">
        <w:rPr>
          <w:b/>
          <w:bCs/>
          <w:iCs/>
          <w:sz w:val="22"/>
          <w:szCs w:val="22"/>
          <w:lang w:val="en-GB"/>
        </w:rPr>
        <w:t xml:space="preserve">Questions: </w:t>
      </w:r>
    </w:p>
    <w:p w14:paraId="5E38C72A" w14:textId="7C2D1B2A" w:rsidR="00D22018" w:rsidRPr="00AE2F32" w:rsidRDefault="00F95449" w:rsidP="0023502D">
      <w:pPr>
        <w:pStyle w:val="ListParagraph"/>
        <w:numPr>
          <w:ilvl w:val="0"/>
          <w:numId w:val="11"/>
        </w:numPr>
        <w:shd w:val="clear" w:color="auto" w:fill="D0CECE" w:themeFill="background2" w:themeFillShade="E6"/>
        <w:spacing w:after="160" w:line="259" w:lineRule="auto"/>
        <w:jc w:val="both"/>
        <w:rPr>
          <w:iCs/>
          <w:sz w:val="22"/>
          <w:szCs w:val="22"/>
          <w:lang w:val="en-GB"/>
        </w:rPr>
      </w:pPr>
      <w:r>
        <w:rPr>
          <w:iCs/>
          <w:sz w:val="22"/>
          <w:szCs w:val="22"/>
          <w:lang w:val="en-GB"/>
        </w:rPr>
        <w:t>In the absence</w:t>
      </w:r>
      <w:r w:rsidR="00D22018" w:rsidRPr="00AE2F32">
        <w:rPr>
          <w:iCs/>
          <w:sz w:val="22"/>
          <w:szCs w:val="22"/>
          <w:lang w:val="en-GB"/>
        </w:rPr>
        <w:t xml:space="preserve"> of a legal definition of labour exploitation, how is this issue monitored?</w:t>
      </w:r>
    </w:p>
    <w:p w14:paraId="1E667EAD" w14:textId="58E9FCF8" w:rsidR="00D22018" w:rsidRPr="00AE2F32" w:rsidRDefault="00D22018" w:rsidP="0023502D">
      <w:pPr>
        <w:pStyle w:val="ListParagraph"/>
        <w:numPr>
          <w:ilvl w:val="0"/>
          <w:numId w:val="11"/>
        </w:numPr>
        <w:shd w:val="clear" w:color="auto" w:fill="D0CECE" w:themeFill="background2" w:themeFillShade="E6"/>
        <w:spacing w:after="160" w:line="259" w:lineRule="auto"/>
        <w:jc w:val="both"/>
        <w:rPr>
          <w:iCs/>
          <w:sz w:val="22"/>
          <w:szCs w:val="22"/>
          <w:lang w:val="en-GB"/>
        </w:rPr>
      </w:pPr>
      <w:r w:rsidRPr="00AE2F32">
        <w:rPr>
          <w:iCs/>
          <w:sz w:val="22"/>
          <w:szCs w:val="22"/>
          <w:lang w:val="en-GB"/>
        </w:rPr>
        <w:t>What measures does the state take to eliminate all forms of forced labour?</w:t>
      </w:r>
    </w:p>
    <w:p w14:paraId="3E357A1E" w14:textId="77777777" w:rsidR="00A26068" w:rsidRPr="00AE2F32" w:rsidRDefault="00A26068" w:rsidP="00EB1CFE">
      <w:pPr>
        <w:rPr>
          <w:rFonts w:eastAsia="Times New Roman" w:cs="Times New Roman"/>
          <w:b/>
          <w:bCs/>
          <w:sz w:val="22"/>
          <w:szCs w:val="22"/>
          <w:lang w:val="en-GB"/>
        </w:rPr>
      </w:pPr>
    </w:p>
    <w:p w14:paraId="40613D4C" w14:textId="1D3312A9" w:rsidR="00AF1A58" w:rsidRPr="00256F01" w:rsidRDefault="0002652B" w:rsidP="00256F01">
      <w:pPr>
        <w:pStyle w:val="Heading2"/>
        <w:numPr>
          <w:ilvl w:val="0"/>
          <w:numId w:val="15"/>
        </w:numPr>
        <w:spacing w:before="0"/>
        <w:rPr>
          <w:rFonts w:asciiTheme="minorHAnsi" w:eastAsia="Times New Roman" w:hAnsiTheme="minorHAnsi" w:cs="Times New Roman"/>
          <w:sz w:val="22"/>
          <w:szCs w:val="22"/>
          <w:lang w:val="en-GB"/>
        </w:rPr>
      </w:pPr>
      <w:bookmarkStart w:id="33" w:name="_Toc48565943"/>
      <w:r w:rsidRPr="00AE2F32">
        <w:rPr>
          <w:rFonts w:asciiTheme="minorHAnsi" w:hAnsiTheme="minorHAnsi" w:cs="Sylfaen"/>
          <w:sz w:val="22"/>
          <w:szCs w:val="22"/>
          <w:lang w:val="en-GB"/>
        </w:rPr>
        <w:t>Article</w:t>
      </w:r>
      <w:r w:rsidR="00AE2BB0" w:rsidRPr="00AE2F32">
        <w:rPr>
          <w:rFonts w:asciiTheme="minorHAnsi" w:hAnsiTheme="minorHAnsi" w:cs="Sylfaen"/>
          <w:sz w:val="22"/>
          <w:szCs w:val="22"/>
          <w:lang w:val="en-GB"/>
        </w:rPr>
        <w:t xml:space="preserve"> 9: </w:t>
      </w:r>
      <w:r w:rsidRPr="00AE2F32">
        <w:rPr>
          <w:rFonts w:asciiTheme="minorHAnsi" w:hAnsiTheme="minorHAnsi" w:cs="Sylfaen"/>
          <w:sz w:val="22"/>
          <w:szCs w:val="22"/>
          <w:lang w:val="en-GB"/>
        </w:rPr>
        <w:t>Right to liberty and Security</w:t>
      </w:r>
      <w:r w:rsidR="006F3DA3" w:rsidRPr="00AE2F32">
        <w:rPr>
          <w:rFonts w:asciiTheme="minorHAnsi" w:hAnsiTheme="minorHAnsi" w:cs="Sylfaen"/>
          <w:sz w:val="22"/>
          <w:szCs w:val="22"/>
          <w:lang w:val="en-GB"/>
        </w:rPr>
        <w:t xml:space="preserve"> /</w:t>
      </w:r>
      <w:r w:rsidRPr="00AE2F32">
        <w:rPr>
          <w:rFonts w:asciiTheme="minorHAnsi" w:hAnsiTheme="minorHAnsi" w:cs="Sylfaen"/>
          <w:sz w:val="22"/>
          <w:szCs w:val="22"/>
          <w:lang w:val="en-GB"/>
        </w:rPr>
        <w:t>Prohibition of Arbitrary Detention</w:t>
      </w:r>
      <w:bookmarkEnd w:id="33"/>
    </w:p>
    <w:p w14:paraId="09F6D31D" w14:textId="3E402256" w:rsidR="0002652B" w:rsidRPr="00AE2F32" w:rsidRDefault="0002652B" w:rsidP="006F3DA3">
      <w:pPr>
        <w:pStyle w:val="NormalWeb"/>
        <w:spacing w:before="240" w:beforeAutospacing="0" w:after="0" w:afterAutospacing="0"/>
        <w:jc w:val="both"/>
        <w:rPr>
          <w:rFonts w:asciiTheme="minorHAnsi" w:hAnsiTheme="minorHAnsi" w:cs="Calibri"/>
          <w:bCs/>
          <w:i/>
          <w:iCs/>
          <w:color w:val="000000" w:themeColor="text1"/>
          <w:sz w:val="22"/>
          <w:szCs w:val="22"/>
          <w:u w:val="single"/>
        </w:rPr>
      </w:pPr>
      <w:r w:rsidRPr="00AE2F32">
        <w:rPr>
          <w:rFonts w:asciiTheme="minorHAnsi" w:hAnsiTheme="minorHAnsi" w:cs="Calibri"/>
          <w:bCs/>
          <w:i/>
          <w:iCs/>
          <w:color w:val="000000" w:themeColor="text1"/>
          <w:sz w:val="22"/>
          <w:szCs w:val="22"/>
          <w:u w:val="single"/>
          <w:lang w:val="en-GB"/>
        </w:rPr>
        <w:t xml:space="preserve">Institutionalization practice of </w:t>
      </w:r>
      <w:r w:rsidR="00E55C71" w:rsidRPr="00AE2F32">
        <w:rPr>
          <w:rFonts w:asciiTheme="minorHAnsi" w:hAnsiTheme="minorHAnsi" w:cs="Calibri"/>
          <w:bCs/>
          <w:i/>
          <w:iCs/>
          <w:color w:val="000000" w:themeColor="text1"/>
          <w:sz w:val="22"/>
          <w:szCs w:val="22"/>
          <w:u w:val="single"/>
          <w:lang w:val="en-GB"/>
        </w:rPr>
        <w:t>P</w:t>
      </w:r>
      <w:r w:rsidR="00F95449">
        <w:rPr>
          <w:rFonts w:asciiTheme="minorHAnsi" w:hAnsiTheme="minorHAnsi" w:cs="Calibri"/>
          <w:bCs/>
          <w:i/>
          <w:iCs/>
          <w:color w:val="000000" w:themeColor="text1"/>
          <w:sz w:val="22"/>
          <w:szCs w:val="22"/>
          <w:u w:val="single"/>
          <w:lang w:val="en-GB"/>
        </w:rPr>
        <w:t xml:space="preserve">ersons with </w:t>
      </w:r>
      <w:r w:rsidR="00E55C71" w:rsidRPr="00AE2F32">
        <w:rPr>
          <w:rFonts w:asciiTheme="minorHAnsi" w:hAnsiTheme="minorHAnsi" w:cs="Calibri"/>
          <w:bCs/>
          <w:i/>
          <w:iCs/>
          <w:color w:val="000000" w:themeColor="text1"/>
          <w:sz w:val="22"/>
          <w:szCs w:val="22"/>
          <w:u w:val="single"/>
          <w:lang w:val="en-GB"/>
        </w:rPr>
        <w:t>D</w:t>
      </w:r>
      <w:r w:rsidR="00F95449">
        <w:rPr>
          <w:rFonts w:asciiTheme="minorHAnsi" w:hAnsiTheme="minorHAnsi" w:cs="Calibri"/>
          <w:bCs/>
          <w:i/>
          <w:iCs/>
          <w:color w:val="000000" w:themeColor="text1"/>
          <w:sz w:val="22"/>
          <w:szCs w:val="22"/>
          <w:u w:val="single"/>
          <w:lang w:val="en-GB"/>
        </w:rPr>
        <w:t>isabilities</w:t>
      </w:r>
    </w:p>
    <w:p w14:paraId="183265F7" w14:textId="19DE13BD" w:rsidR="006F3DA3" w:rsidRPr="00AE2F32" w:rsidRDefault="00E55C71" w:rsidP="006F3DA3">
      <w:pPr>
        <w:pStyle w:val="NormalWeb"/>
        <w:spacing w:before="240" w:beforeAutospacing="0" w:after="0" w:afterAutospacing="0"/>
        <w:jc w:val="both"/>
        <w:rPr>
          <w:rFonts w:asciiTheme="minorHAnsi" w:hAnsiTheme="minorHAnsi" w:cs="Calibri"/>
          <w:bCs/>
          <w:color w:val="000000" w:themeColor="text1"/>
          <w:sz w:val="22"/>
          <w:szCs w:val="22"/>
          <w:lang w:val="en-GB"/>
        </w:rPr>
      </w:pPr>
      <w:r w:rsidRPr="00AE2F32">
        <w:rPr>
          <w:rFonts w:asciiTheme="minorHAnsi" w:hAnsiTheme="minorHAnsi" w:cs="Calibri"/>
          <w:bCs/>
          <w:color w:val="000000" w:themeColor="text1"/>
          <w:sz w:val="22"/>
          <w:szCs w:val="22"/>
          <w:lang w:val="en-GB"/>
        </w:rPr>
        <w:lastRenderedPageBreak/>
        <w:t>One of the clear</w:t>
      </w:r>
      <w:r w:rsidR="00AD7BFA" w:rsidRPr="00AE2F32">
        <w:rPr>
          <w:rFonts w:asciiTheme="minorHAnsi" w:hAnsiTheme="minorHAnsi" w:cs="Calibri"/>
          <w:bCs/>
          <w:color w:val="000000" w:themeColor="text1"/>
          <w:sz w:val="22"/>
          <w:szCs w:val="22"/>
          <w:lang w:val="ka-GE"/>
        </w:rPr>
        <w:t xml:space="preserve"> </w:t>
      </w:r>
      <w:r w:rsidR="00CB1574" w:rsidRPr="00AE2F32">
        <w:rPr>
          <w:rFonts w:asciiTheme="minorHAnsi" w:hAnsiTheme="minorHAnsi" w:cs="Calibri"/>
          <w:bCs/>
          <w:color w:val="000000" w:themeColor="text1"/>
          <w:sz w:val="22"/>
          <w:szCs w:val="22"/>
        </w:rPr>
        <w:t>demonstrations</w:t>
      </w:r>
      <w:r w:rsidRPr="00AE2F32">
        <w:rPr>
          <w:rFonts w:asciiTheme="minorHAnsi" w:hAnsiTheme="minorHAnsi" w:cs="Calibri"/>
          <w:bCs/>
          <w:color w:val="000000" w:themeColor="text1"/>
          <w:sz w:val="22"/>
          <w:szCs w:val="22"/>
          <w:lang w:val="en-GB"/>
        </w:rPr>
        <w:t xml:space="preserve"> of violation of right to liberty and security </w:t>
      </w:r>
      <w:r w:rsidR="00AD7BFA" w:rsidRPr="00AE2F32">
        <w:rPr>
          <w:rFonts w:asciiTheme="minorHAnsi" w:hAnsiTheme="minorHAnsi" w:cs="Calibri"/>
          <w:bCs/>
          <w:color w:val="000000" w:themeColor="text1"/>
          <w:sz w:val="22"/>
          <w:szCs w:val="22"/>
          <w:lang w:val="en-GB"/>
        </w:rPr>
        <w:t>is</w:t>
      </w:r>
      <w:r w:rsidRPr="00AE2F32">
        <w:rPr>
          <w:rFonts w:asciiTheme="minorHAnsi" w:hAnsiTheme="minorHAnsi" w:cs="Calibri"/>
          <w:bCs/>
          <w:color w:val="000000" w:themeColor="text1"/>
          <w:sz w:val="22"/>
          <w:szCs w:val="22"/>
          <w:lang w:val="en-GB"/>
        </w:rPr>
        <w:t xml:space="preserve"> institutionalization practice</w:t>
      </w:r>
      <w:r w:rsidR="00AD7BFA" w:rsidRPr="00AE2F32">
        <w:rPr>
          <w:rFonts w:asciiTheme="minorHAnsi" w:hAnsiTheme="minorHAnsi" w:cs="Calibri"/>
          <w:bCs/>
          <w:color w:val="000000" w:themeColor="text1"/>
          <w:sz w:val="22"/>
          <w:szCs w:val="22"/>
          <w:lang w:val="en-GB"/>
        </w:rPr>
        <w:t xml:space="preserve">- forced or formally voluntary, </w:t>
      </w:r>
      <w:r w:rsidR="00F95449">
        <w:rPr>
          <w:rFonts w:asciiTheme="minorHAnsi" w:hAnsiTheme="minorHAnsi" w:cs="Calibri"/>
          <w:bCs/>
          <w:color w:val="000000" w:themeColor="text1"/>
          <w:sz w:val="22"/>
          <w:szCs w:val="22"/>
          <w:lang w:val="en-GB"/>
        </w:rPr>
        <w:t>(</w:t>
      </w:r>
      <w:r w:rsidR="00AD7BFA" w:rsidRPr="00AE2F32">
        <w:rPr>
          <w:rFonts w:asciiTheme="minorHAnsi" w:hAnsiTheme="minorHAnsi" w:cs="Calibri"/>
          <w:bCs/>
          <w:color w:val="000000" w:themeColor="text1"/>
          <w:sz w:val="22"/>
          <w:szCs w:val="22"/>
          <w:lang w:val="en-GB"/>
        </w:rPr>
        <w:t>but without alternative</w:t>
      </w:r>
      <w:r w:rsidR="00F95449">
        <w:rPr>
          <w:rFonts w:asciiTheme="minorHAnsi" w:hAnsiTheme="minorHAnsi" w:cs="Calibri"/>
          <w:bCs/>
          <w:color w:val="000000" w:themeColor="text1"/>
          <w:sz w:val="22"/>
          <w:szCs w:val="22"/>
          <w:lang w:val="en-GB"/>
        </w:rPr>
        <w:t>)</w:t>
      </w:r>
      <w:r w:rsidR="00AD7BFA" w:rsidRPr="00AE2F32">
        <w:rPr>
          <w:rFonts w:asciiTheme="minorHAnsi" w:hAnsiTheme="minorHAnsi" w:cs="Calibri"/>
          <w:bCs/>
          <w:color w:val="000000" w:themeColor="text1"/>
          <w:sz w:val="22"/>
          <w:szCs w:val="22"/>
          <w:lang w:val="en-GB"/>
        </w:rPr>
        <w:t xml:space="preserve"> placement of PWDS at psychiatric institutions and boarding </w:t>
      </w:r>
      <w:r w:rsidR="00F95449">
        <w:rPr>
          <w:rFonts w:asciiTheme="minorHAnsi" w:hAnsiTheme="minorHAnsi" w:cs="Calibri"/>
          <w:bCs/>
          <w:color w:val="000000" w:themeColor="text1"/>
          <w:sz w:val="22"/>
          <w:szCs w:val="22"/>
          <w:lang w:val="en-GB"/>
        </w:rPr>
        <w:t>houses</w:t>
      </w:r>
      <w:r w:rsidR="00AD7BFA" w:rsidRPr="00AE2F32">
        <w:rPr>
          <w:rFonts w:asciiTheme="minorHAnsi" w:hAnsiTheme="minorHAnsi" w:cs="Calibri"/>
          <w:bCs/>
          <w:color w:val="000000" w:themeColor="text1"/>
          <w:sz w:val="22"/>
          <w:szCs w:val="22"/>
          <w:lang w:val="ka-GE"/>
        </w:rPr>
        <w:t>. Absence/insufficiency of community-based</w:t>
      </w:r>
      <w:r w:rsidR="00F95449">
        <w:rPr>
          <w:rFonts w:asciiTheme="minorHAnsi" w:hAnsiTheme="minorHAnsi" w:cs="Calibri"/>
          <w:bCs/>
          <w:color w:val="000000" w:themeColor="text1"/>
          <w:sz w:val="22"/>
          <w:szCs w:val="22"/>
        </w:rPr>
        <w:t xml:space="preserve"> services</w:t>
      </w:r>
      <w:r w:rsidR="00AD7BFA" w:rsidRPr="00AE2F32">
        <w:rPr>
          <w:rFonts w:asciiTheme="minorHAnsi" w:hAnsiTheme="minorHAnsi" w:cs="Calibri"/>
          <w:bCs/>
          <w:color w:val="000000" w:themeColor="text1"/>
          <w:sz w:val="22"/>
          <w:szCs w:val="22"/>
          <w:lang w:val="ka-GE"/>
        </w:rPr>
        <w:t>, including housing</w:t>
      </w:r>
      <w:r w:rsidR="00F95449">
        <w:rPr>
          <w:rFonts w:asciiTheme="minorHAnsi" w:hAnsiTheme="minorHAnsi" w:cs="Calibri"/>
          <w:bCs/>
          <w:color w:val="000000" w:themeColor="text1"/>
          <w:sz w:val="22"/>
          <w:szCs w:val="22"/>
        </w:rPr>
        <w:t xml:space="preserve"> programs</w:t>
      </w:r>
      <w:r w:rsidR="00DE1DBE" w:rsidRPr="00AE2F32">
        <w:rPr>
          <w:rFonts w:asciiTheme="minorHAnsi" w:hAnsiTheme="minorHAnsi" w:cs="Calibri"/>
          <w:bCs/>
          <w:color w:val="000000" w:themeColor="text1"/>
          <w:sz w:val="22"/>
          <w:szCs w:val="22"/>
        </w:rPr>
        <w:t xml:space="preserve"> and</w:t>
      </w:r>
      <w:r w:rsidR="00AD7BFA" w:rsidRPr="00AE2F32">
        <w:rPr>
          <w:rFonts w:asciiTheme="minorHAnsi" w:hAnsiTheme="minorHAnsi" w:cs="Calibri"/>
          <w:bCs/>
          <w:color w:val="000000" w:themeColor="text1"/>
          <w:sz w:val="22"/>
          <w:szCs w:val="22"/>
          <w:lang w:val="ka-GE"/>
        </w:rPr>
        <w:t xml:space="preserve"> services </w:t>
      </w:r>
      <w:r w:rsidR="00F95449">
        <w:rPr>
          <w:rFonts w:asciiTheme="minorHAnsi" w:hAnsiTheme="minorHAnsi" w:cs="Calibri"/>
          <w:bCs/>
          <w:color w:val="000000" w:themeColor="text1"/>
          <w:sz w:val="22"/>
          <w:szCs w:val="22"/>
        </w:rPr>
        <w:t xml:space="preserve">is </w:t>
      </w:r>
      <w:r w:rsidR="00DE1DBE" w:rsidRPr="00AE2F32">
        <w:rPr>
          <w:rFonts w:asciiTheme="minorHAnsi" w:hAnsiTheme="minorHAnsi" w:cs="Calibri"/>
          <w:bCs/>
          <w:color w:val="000000" w:themeColor="text1"/>
          <w:sz w:val="22"/>
          <w:szCs w:val="22"/>
        </w:rPr>
        <w:t>reflect</w:t>
      </w:r>
      <w:r w:rsidR="00F95449">
        <w:rPr>
          <w:rFonts w:asciiTheme="minorHAnsi" w:hAnsiTheme="minorHAnsi" w:cs="Calibri"/>
          <w:bCs/>
          <w:color w:val="000000" w:themeColor="text1"/>
          <w:sz w:val="22"/>
          <w:szCs w:val="22"/>
        </w:rPr>
        <w:t>ed</w:t>
      </w:r>
      <w:r w:rsidR="00DE1DBE" w:rsidRPr="00AE2F32">
        <w:rPr>
          <w:rFonts w:asciiTheme="minorHAnsi" w:hAnsiTheme="minorHAnsi" w:cs="Calibri"/>
          <w:bCs/>
          <w:color w:val="000000" w:themeColor="text1"/>
          <w:sz w:val="22"/>
          <w:szCs w:val="22"/>
        </w:rPr>
        <w:t xml:space="preserve"> </w:t>
      </w:r>
      <w:r w:rsidR="00B655B8">
        <w:rPr>
          <w:rFonts w:asciiTheme="minorHAnsi" w:hAnsiTheme="minorHAnsi" w:cs="Calibri"/>
          <w:bCs/>
          <w:color w:val="000000" w:themeColor="text1"/>
          <w:sz w:val="22"/>
          <w:szCs w:val="22"/>
        </w:rPr>
        <w:t>in</w:t>
      </w:r>
      <w:r w:rsidR="00DE1DBE" w:rsidRPr="00AE2F32">
        <w:rPr>
          <w:rFonts w:asciiTheme="minorHAnsi" w:hAnsiTheme="minorHAnsi" w:cs="Calibri"/>
          <w:bCs/>
          <w:color w:val="000000" w:themeColor="text1"/>
          <w:sz w:val="22"/>
          <w:szCs w:val="22"/>
        </w:rPr>
        <w:t xml:space="preserve"> the rights conditions of </w:t>
      </w:r>
      <w:r w:rsidR="00F95449">
        <w:rPr>
          <w:rFonts w:asciiTheme="minorHAnsi" w:hAnsiTheme="minorHAnsi" w:cs="Calibri"/>
          <w:bCs/>
          <w:color w:val="000000" w:themeColor="text1"/>
          <w:sz w:val="22"/>
          <w:szCs w:val="22"/>
        </w:rPr>
        <w:t>persons</w:t>
      </w:r>
      <w:r w:rsidR="00F95449" w:rsidRPr="00AE2F32">
        <w:rPr>
          <w:rFonts w:asciiTheme="minorHAnsi" w:hAnsiTheme="minorHAnsi" w:cs="Calibri"/>
          <w:bCs/>
          <w:color w:val="000000" w:themeColor="text1"/>
          <w:sz w:val="22"/>
          <w:szCs w:val="22"/>
        </w:rPr>
        <w:t xml:space="preserve"> </w:t>
      </w:r>
      <w:r w:rsidR="00DE1DBE" w:rsidRPr="00AE2F32">
        <w:rPr>
          <w:rFonts w:asciiTheme="minorHAnsi" w:hAnsiTheme="minorHAnsi" w:cs="Calibri"/>
          <w:bCs/>
          <w:color w:val="000000" w:themeColor="text1"/>
          <w:sz w:val="22"/>
          <w:szCs w:val="22"/>
        </w:rPr>
        <w:t xml:space="preserve">with </w:t>
      </w:r>
      <w:r w:rsidR="00AD7BFA" w:rsidRPr="00AE2F32">
        <w:rPr>
          <w:rFonts w:asciiTheme="minorHAnsi" w:hAnsiTheme="minorHAnsi" w:cs="Calibri"/>
          <w:bCs/>
          <w:color w:val="000000" w:themeColor="text1"/>
          <w:sz w:val="22"/>
          <w:szCs w:val="22"/>
          <w:lang w:val="ka-GE"/>
        </w:rPr>
        <w:t xml:space="preserve">psychosocial and intellectual </w:t>
      </w:r>
      <w:r w:rsidR="00F95449">
        <w:rPr>
          <w:rFonts w:asciiTheme="minorHAnsi" w:hAnsiTheme="minorHAnsi" w:cs="Calibri"/>
          <w:bCs/>
          <w:color w:val="000000" w:themeColor="text1"/>
          <w:sz w:val="22"/>
          <w:szCs w:val="22"/>
        </w:rPr>
        <w:t>disabilities</w:t>
      </w:r>
      <w:r w:rsidR="00AD7BFA" w:rsidRPr="00AE2F32">
        <w:rPr>
          <w:rFonts w:asciiTheme="minorHAnsi" w:hAnsiTheme="minorHAnsi" w:cs="Calibri"/>
          <w:bCs/>
          <w:color w:val="000000" w:themeColor="text1"/>
          <w:sz w:val="22"/>
          <w:szCs w:val="22"/>
          <w:lang w:val="ka-GE"/>
        </w:rPr>
        <w:t>.</w:t>
      </w:r>
      <w:r w:rsidR="00DE1DBE" w:rsidRPr="00AE2F32">
        <w:rPr>
          <w:rFonts w:asciiTheme="minorHAnsi" w:hAnsiTheme="minorHAnsi"/>
          <w:sz w:val="22"/>
          <w:szCs w:val="22"/>
        </w:rPr>
        <w:t xml:space="preserve"> </w:t>
      </w:r>
      <w:r w:rsidR="00DE1DBE" w:rsidRPr="00AE2F32">
        <w:rPr>
          <w:rFonts w:asciiTheme="minorHAnsi" w:hAnsiTheme="minorHAnsi" w:cs="Calibri"/>
          <w:bCs/>
          <w:color w:val="000000" w:themeColor="text1"/>
          <w:sz w:val="22"/>
          <w:szCs w:val="22"/>
          <w:lang w:val="ka-GE"/>
        </w:rPr>
        <w:t>Given the state</w:t>
      </w:r>
      <w:r w:rsidR="00DE1DBE" w:rsidRPr="00AE2F32">
        <w:rPr>
          <w:rFonts w:asciiTheme="minorHAnsi" w:hAnsiTheme="minorHAnsi" w:cs="Calibri"/>
          <w:bCs/>
          <w:color w:val="000000" w:themeColor="text1"/>
          <w:sz w:val="22"/>
          <w:szCs w:val="22"/>
        </w:rPr>
        <w:t>’s inactivity</w:t>
      </w:r>
      <w:r w:rsidR="00DE1DBE" w:rsidRPr="00AE2F32">
        <w:rPr>
          <w:rFonts w:asciiTheme="minorHAnsi" w:hAnsiTheme="minorHAnsi" w:cs="Calibri"/>
          <w:bCs/>
          <w:color w:val="000000" w:themeColor="text1"/>
          <w:sz w:val="22"/>
          <w:szCs w:val="22"/>
          <w:lang w:val="ka-GE"/>
        </w:rPr>
        <w:t xml:space="preserve">, large institutions </w:t>
      </w:r>
      <w:r w:rsidR="009D1247">
        <w:rPr>
          <w:rFonts w:asciiTheme="minorHAnsi" w:hAnsiTheme="minorHAnsi" w:cs="Calibri"/>
          <w:bCs/>
          <w:color w:val="000000" w:themeColor="text1"/>
          <w:sz w:val="22"/>
          <w:szCs w:val="22"/>
        </w:rPr>
        <w:t>acquired</w:t>
      </w:r>
      <w:r w:rsidR="00796270">
        <w:rPr>
          <w:rFonts w:asciiTheme="minorHAnsi" w:hAnsiTheme="minorHAnsi" w:cs="Calibri"/>
          <w:bCs/>
          <w:color w:val="000000" w:themeColor="text1"/>
          <w:sz w:val="22"/>
          <w:szCs w:val="22"/>
        </w:rPr>
        <w:t xml:space="preserve"> </w:t>
      </w:r>
      <w:r w:rsidR="00DE1DBE" w:rsidRPr="00AE2F32">
        <w:rPr>
          <w:rFonts w:asciiTheme="minorHAnsi" w:hAnsiTheme="minorHAnsi" w:cs="Calibri"/>
          <w:bCs/>
          <w:color w:val="000000" w:themeColor="text1"/>
          <w:sz w:val="22"/>
          <w:szCs w:val="22"/>
          <w:lang w:val="ka-GE"/>
        </w:rPr>
        <w:t>a permanent housing function for its beneficiaries</w:t>
      </w:r>
      <w:r w:rsidR="006F3DA3" w:rsidRPr="00AE2F32">
        <w:rPr>
          <w:rFonts w:asciiTheme="minorHAnsi" w:hAnsiTheme="minorHAnsi" w:cs="Calibri"/>
          <w:bCs/>
          <w:color w:val="000000" w:themeColor="text1"/>
          <w:sz w:val="22"/>
          <w:szCs w:val="22"/>
          <w:lang w:val="en-GB"/>
        </w:rPr>
        <w:t>.</w:t>
      </w:r>
      <w:r w:rsidR="006F3DA3" w:rsidRPr="00AE2F32">
        <w:rPr>
          <w:rStyle w:val="FootnoteReference"/>
          <w:rFonts w:asciiTheme="minorHAnsi" w:hAnsiTheme="minorHAnsi" w:cs="Calibri"/>
          <w:bCs/>
          <w:color w:val="000000" w:themeColor="text1"/>
          <w:sz w:val="22"/>
          <w:szCs w:val="22"/>
          <w:lang w:val="en-GB"/>
        </w:rPr>
        <w:footnoteReference w:id="89"/>
      </w:r>
      <w:r w:rsidR="006F3DA3" w:rsidRPr="00AE2F32">
        <w:rPr>
          <w:rFonts w:asciiTheme="minorHAnsi" w:hAnsiTheme="minorHAnsi" w:cs="Calibri"/>
          <w:bCs/>
          <w:color w:val="000000" w:themeColor="text1"/>
          <w:sz w:val="22"/>
          <w:szCs w:val="22"/>
          <w:lang w:val="en-GB"/>
        </w:rPr>
        <w:t xml:space="preserve"> </w:t>
      </w:r>
      <w:r w:rsidR="00B655B8">
        <w:rPr>
          <w:rFonts w:asciiTheme="minorHAnsi" w:hAnsiTheme="minorHAnsi" w:cs="Calibri"/>
          <w:bCs/>
          <w:color w:val="000000" w:themeColor="text1"/>
          <w:sz w:val="22"/>
          <w:szCs w:val="22"/>
          <w:lang w:val="en-GB"/>
        </w:rPr>
        <w:t>The number</w:t>
      </w:r>
      <w:r w:rsidR="00DE1DBE" w:rsidRPr="00AE2F32">
        <w:rPr>
          <w:rFonts w:asciiTheme="minorHAnsi" w:hAnsiTheme="minorHAnsi" w:cs="Calibri"/>
          <w:bCs/>
          <w:color w:val="000000" w:themeColor="text1"/>
          <w:sz w:val="22"/>
          <w:szCs w:val="22"/>
          <w:lang w:val="en-GB"/>
        </w:rPr>
        <w:t xml:space="preserve"> of patients delayed at psychiatric institutions</w:t>
      </w:r>
      <w:r w:rsidR="008070AA" w:rsidRPr="00AE2F32">
        <w:rPr>
          <w:rFonts w:asciiTheme="minorHAnsi" w:hAnsiTheme="minorHAnsi" w:cs="Calibri"/>
          <w:bCs/>
          <w:color w:val="000000" w:themeColor="text1"/>
          <w:sz w:val="22"/>
          <w:szCs w:val="22"/>
          <w:lang w:val="en-GB"/>
        </w:rPr>
        <w:t xml:space="preserve"> for more than 6 months</w:t>
      </w:r>
      <w:r w:rsidR="00DE1DBE" w:rsidRPr="00AE2F32">
        <w:rPr>
          <w:rFonts w:asciiTheme="minorHAnsi" w:hAnsiTheme="minorHAnsi" w:cs="Calibri"/>
          <w:bCs/>
          <w:color w:val="000000" w:themeColor="text1"/>
          <w:sz w:val="22"/>
          <w:szCs w:val="22"/>
          <w:lang w:val="en-GB"/>
        </w:rPr>
        <w:t xml:space="preserve"> is large </w:t>
      </w:r>
      <w:r w:rsidR="006F3DA3" w:rsidRPr="00AE2F32">
        <w:rPr>
          <w:rFonts w:asciiTheme="minorHAnsi" w:hAnsiTheme="minorHAnsi" w:cs="Calibri"/>
          <w:bCs/>
          <w:color w:val="000000" w:themeColor="text1"/>
          <w:sz w:val="22"/>
          <w:szCs w:val="22"/>
          <w:lang w:val="en-GB"/>
        </w:rPr>
        <w:t>(</w:t>
      </w:r>
      <w:r w:rsidR="008070AA" w:rsidRPr="00AE2F32">
        <w:rPr>
          <w:rFonts w:asciiTheme="minorHAnsi" w:hAnsiTheme="minorHAnsi" w:cs="Calibri"/>
          <w:bCs/>
          <w:color w:val="000000" w:themeColor="text1"/>
          <w:sz w:val="22"/>
          <w:szCs w:val="22"/>
          <w:lang w:val="en-GB"/>
        </w:rPr>
        <w:t xml:space="preserve">in 2019 </w:t>
      </w:r>
      <w:r w:rsidR="006F3DA3" w:rsidRPr="00AE2F32">
        <w:rPr>
          <w:rFonts w:asciiTheme="minorHAnsi" w:hAnsiTheme="minorHAnsi" w:cs="Calibri"/>
          <w:bCs/>
          <w:color w:val="000000" w:themeColor="text1"/>
          <w:sz w:val="22"/>
          <w:szCs w:val="22"/>
          <w:lang w:val="en-GB"/>
        </w:rPr>
        <w:t xml:space="preserve">- 1067 </w:t>
      </w:r>
      <w:r w:rsidR="008070AA" w:rsidRPr="00AE2F32">
        <w:rPr>
          <w:rFonts w:asciiTheme="minorHAnsi" w:hAnsiTheme="minorHAnsi" w:cs="Calibri"/>
          <w:bCs/>
          <w:color w:val="000000" w:themeColor="text1"/>
          <w:sz w:val="22"/>
          <w:szCs w:val="22"/>
          <w:lang w:val="en-GB"/>
        </w:rPr>
        <w:t>persons)</w:t>
      </w:r>
      <w:r w:rsidR="00796270">
        <w:rPr>
          <w:rFonts w:asciiTheme="minorHAnsi" w:hAnsiTheme="minorHAnsi" w:cs="Calibri"/>
          <w:bCs/>
          <w:color w:val="000000" w:themeColor="text1"/>
          <w:sz w:val="22"/>
          <w:szCs w:val="22"/>
          <w:lang w:val="en-GB"/>
        </w:rPr>
        <w:t>, while</w:t>
      </w:r>
      <w:r w:rsidR="008070AA" w:rsidRPr="00AE2F32">
        <w:rPr>
          <w:rFonts w:asciiTheme="minorHAnsi" w:hAnsiTheme="minorHAnsi" w:cs="Calibri"/>
          <w:bCs/>
          <w:color w:val="000000" w:themeColor="text1"/>
          <w:sz w:val="22"/>
          <w:szCs w:val="22"/>
          <w:lang w:val="en-GB"/>
        </w:rPr>
        <w:t xml:space="preserve"> number of</w:t>
      </w:r>
      <w:r w:rsidR="009D1247">
        <w:rPr>
          <w:rFonts w:asciiTheme="minorHAnsi" w:hAnsiTheme="minorHAnsi" w:cs="Calibri"/>
          <w:bCs/>
          <w:color w:val="000000" w:themeColor="text1"/>
          <w:sz w:val="22"/>
          <w:szCs w:val="22"/>
          <w:lang w:val="en-GB"/>
        </w:rPr>
        <w:t xml:space="preserve"> </w:t>
      </w:r>
      <w:r w:rsidR="008070AA" w:rsidRPr="00AE2F32">
        <w:rPr>
          <w:rFonts w:asciiTheme="minorHAnsi" w:hAnsiTheme="minorHAnsi" w:cs="Calibri"/>
          <w:bCs/>
          <w:color w:val="000000" w:themeColor="text1"/>
          <w:sz w:val="22"/>
          <w:szCs w:val="22"/>
          <w:lang w:val="en-GB"/>
        </w:rPr>
        <w:t xml:space="preserve">patients </w:t>
      </w:r>
      <w:r w:rsidR="009D1247">
        <w:rPr>
          <w:rFonts w:asciiTheme="minorHAnsi" w:hAnsiTheme="minorHAnsi" w:cs="Calibri"/>
          <w:bCs/>
          <w:color w:val="000000" w:themeColor="text1"/>
          <w:sz w:val="22"/>
          <w:szCs w:val="22"/>
          <w:lang w:val="en-GB"/>
        </w:rPr>
        <w:t>discharged from</w:t>
      </w:r>
      <w:r w:rsidR="009D1247" w:rsidRPr="00AE2F32">
        <w:rPr>
          <w:rFonts w:asciiTheme="minorHAnsi" w:hAnsiTheme="minorHAnsi" w:cs="Calibri"/>
          <w:bCs/>
          <w:color w:val="000000" w:themeColor="text1"/>
          <w:sz w:val="22"/>
          <w:szCs w:val="22"/>
          <w:lang w:val="en-GB"/>
        </w:rPr>
        <w:t xml:space="preserve"> </w:t>
      </w:r>
      <w:r w:rsidR="008070AA" w:rsidRPr="00AE2F32">
        <w:rPr>
          <w:rFonts w:asciiTheme="minorHAnsi" w:hAnsiTheme="minorHAnsi" w:cs="Calibri"/>
          <w:bCs/>
          <w:color w:val="000000" w:themeColor="text1"/>
          <w:sz w:val="22"/>
          <w:szCs w:val="22"/>
          <w:lang w:val="en-GB"/>
        </w:rPr>
        <w:t xml:space="preserve">institutions is small </w:t>
      </w:r>
      <w:r w:rsidR="006F3DA3" w:rsidRPr="00AE2F32">
        <w:rPr>
          <w:rFonts w:asciiTheme="minorHAnsi" w:hAnsiTheme="minorHAnsi" w:cs="Calibri"/>
          <w:bCs/>
          <w:color w:val="000000" w:themeColor="text1"/>
          <w:sz w:val="22"/>
          <w:szCs w:val="22"/>
          <w:lang w:val="en-GB"/>
        </w:rPr>
        <w:t xml:space="preserve">(68 </w:t>
      </w:r>
      <w:r w:rsidR="008070AA" w:rsidRPr="00AE2F32">
        <w:rPr>
          <w:rFonts w:asciiTheme="minorHAnsi" w:hAnsiTheme="minorHAnsi" w:cs="Calibri"/>
          <w:bCs/>
          <w:color w:val="000000" w:themeColor="text1"/>
          <w:sz w:val="22"/>
          <w:szCs w:val="22"/>
          <w:lang w:val="en-GB"/>
        </w:rPr>
        <w:t>cases</w:t>
      </w:r>
      <w:r w:rsidR="006F3DA3" w:rsidRPr="00AE2F32">
        <w:rPr>
          <w:rFonts w:asciiTheme="minorHAnsi" w:hAnsiTheme="minorHAnsi" w:cs="Calibri"/>
          <w:bCs/>
          <w:color w:val="000000" w:themeColor="text1"/>
          <w:sz w:val="22"/>
          <w:szCs w:val="22"/>
          <w:lang w:val="en-GB"/>
        </w:rPr>
        <w:t>).</w:t>
      </w:r>
      <w:r w:rsidR="006F3DA3" w:rsidRPr="00AE2F32">
        <w:rPr>
          <w:rStyle w:val="FootnoteReference"/>
          <w:rFonts w:asciiTheme="minorHAnsi" w:hAnsiTheme="minorHAnsi" w:cs="Calibri"/>
          <w:bCs/>
          <w:color w:val="000000" w:themeColor="text1"/>
          <w:sz w:val="22"/>
          <w:szCs w:val="22"/>
          <w:lang w:val="en-GB"/>
        </w:rPr>
        <w:footnoteReference w:id="90"/>
      </w:r>
    </w:p>
    <w:p w14:paraId="21702B10" w14:textId="5815BA87" w:rsidR="009F3C1B" w:rsidRPr="005C1EFB" w:rsidRDefault="002665F3" w:rsidP="006F3DA3">
      <w:pPr>
        <w:pStyle w:val="NormalWeb"/>
        <w:spacing w:before="240" w:beforeAutospacing="0" w:after="0" w:afterAutospacing="0"/>
        <w:jc w:val="both"/>
        <w:rPr>
          <w:rFonts w:asciiTheme="minorHAnsi" w:hAnsiTheme="minorHAnsi" w:cs="Calibri"/>
          <w:bCs/>
          <w:color w:val="000000" w:themeColor="text1"/>
          <w:sz w:val="22"/>
          <w:szCs w:val="22"/>
        </w:rPr>
      </w:pPr>
      <w:r w:rsidRPr="00AE2F32">
        <w:rPr>
          <w:rFonts w:asciiTheme="minorHAnsi" w:hAnsiTheme="minorHAnsi" w:cs="Calibri"/>
          <w:bCs/>
          <w:color w:val="000000" w:themeColor="text1"/>
          <w:sz w:val="22"/>
          <w:szCs w:val="22"/>
        </w:rPr>
        <w:t xml:space="preserve">In addition to the harsh physical and infrastructural environment </w:t>
      </w:r>
      <w:r w:rsidR="009D1247">
        <w:rPr>
          <w:rFonts w:asciiTheme="minorHAnsi" w:hAnsiTheme="minorHAnsi" w:cs="Calibri"/>
          <w:bCs/>
          <w:color w:val="000000" w:themeColor="text1"/>
          <w:sz w:val="22"/>
          <w:szCs w:val="22"/>
        </w:rPr>
        <w:t>in</w:t>
      </w:r>
      <w:r w:rsidR="009D1247" w:rsidRPr="00AE2F32">
        <w:rPr>
          <w:rFonts w:asciiTheme="minorHAnsi" w:hAnsiTheme="minorHAnsi" w:cs="Calibri"/>
          <w:bCs/>
          <w:color w:val="000000" w:themeColor="text1"/>
          <w:sz w:val="22"/>
          <w:szCs w:val="22"/>
        </w:rPr>
        <w:t xml:space="preserve"> </w:t>
      </w:r>
      <w:r w:rsidRPr="00AE2F32">
        <w:rPr>
          <w:rFonts w:asciiTheme="minorHAnsi" w:hAnsiTheme="minorHAnsi" w:cs="Calibri"/>
          <w:bCs/>
          <w:color w:val="000000" w:themeColor="text1"/>
          <w:sz w:val="22"/>
          <w:szCs w:val="22"/>
        </w:rPr>
        <w:t>the institutions, the</w:t>
      </w:r>
      <w:r w:rsidR="009D1247">
        <w:rPr>
          <w:rFonts w:asciiTheme="minorHAnsi" w:hAnsiTheme="minorHAnsi" w:cs="Calibri"/>
          <w:bCs/>
          <w:color w:val="000000" w:themeColor="text1"/>
          <w:sz w:val="22"/>
          <w:szCs w:val="22"/>
        </w:rPr>
        <w:t>re are</w:t>
      </w:r>
      <w:r w:rsidRPr="00AE2F32">
        <w:rPr>
          <w:rFonts w:asciiTheme="minorHAnsi" w:hAnsiTheme="minorHAnsi" w:cs="Calibri"/>
          <w:bCs/>
          <w:color w:val="000000" w:themeColor="text1"/>
          <w:sz w:val="22"/>
          <w:szCs w:val="22"/>
        </w:rPr>
        <w:t xml:space="preserve"> challenge</w:t>
      </w:r>
      <w:r w:rsidR="009D1247">
        <w:rPr>
          <w:rFonts w:asciiTheme="minorHAnsi" w:hAnsiTheme="minorHAnsi" w:cs="Calibri"/>
          <w:bCs/>
          <w:color w:val="000000" w:themeColor="text1"/>
          <w:sz w:val="22"/>
          <w:szCs w:val="22"/>
        </w:rPr>
        <w:t>s</w:t>
      </w:r>
      <w:r w:rsidRPr="00AE2F32">
        <w:rPr>
          <w:rFonts w:asciiTheme="minorHAnsi" w:hAnsiTheme="minorHAnsi" w:cs="Calibri"/>
          <w:bCs/>
          <w:color w:val="000000" w:themeColor="text1"/>
          <w:sz w:val="22"/>
          <w:szCs w:val="22"/>
        </w:rPr>
        <w:t xml:space="preserve"> </w:t>
      </w:r>
      <w:r w:rsidR="009D1247">
        <w:rPr>
          <w:rFonts w:asciiTheme="minorHAnsi" w:hAnsiTheme="minorHAnsi" w:cs="Calibri"/>
          <w:bCs/>
          <w:color w:val="000000" w:themeColor="text1"/>
          <w:sz w:val="22"/>
          <w:szCs w:val="22"/>
        </w:rPr>
        <w:t>concerning</w:t>
      </w:r>
      <w:r w:rsidR="009D1247" w:rsidRPr="00AE2F32">
        <w:rPr>
          <w:rFonts w:asciiTheme="minorHAnsi" w:hAnsiTheme="minorHAnsi" w:cs="Calibri"/>
          <w:bCs/>
          <w:color w:val="000000" w:themeColor="text1"/>
          <w:sz w:val="22"/>
          <w:szCs w:val="22"/>
        </w:rPr>
        <w:t xml:space="preserve"> </w:t>
      </w:r>
      <w:r w:rsidRPr="00AE2F32">
        <w:rPr>
          <w:rFonts w:asciiTheme="minorHAnsi" w:hAnsiTheme="minorHAnsi" w:cs="Calibri"/>
          <w:bCs/>
          <w:color w:val="000000" w:themeColor="text1"/>
          <w:sz w:val="22"/>
          <w:szCs w:val="22"/>
        </w:rPr>
        <w:t>the practice of physical and chemical restraint, labor exploitation of patients, and the scarcity of mechanisms to prevent violence by staff and/or</w:t>
      </w:r>
      <w:r w:rsidR="009F3C1B" w:rsidRPr="00AE2F32">
        <w:rPr>
          <w:rFonts w:asciiTheme="minorHAnsi" w:hAnsiTheme="minorHAnsi" w:cs="Calibri"/>
          <w:bCs/>
          <w:color w:val="000000" w:themeColor="text1"/>
          <w:sz w:val="22"/>
          <w:szCs w:val="22"/>
        </w:rPr>
        <w:t xml:space="preserve"> between</w:t>
      </w:r>
      <w:r w:rsidRPr="00AE2F32">
        <w:rPr>
          <w:rFonts w:asciiTheme="minorHAnsi" w:hAnsiTheme="minorHAnsi" w:cs="Calibri"/>
          <w:bCs/>
          <w:color w:val="000000" w:themeColor="text1"/>
          <w:sz w:val="22"/>
          <w:szCs w:val="22"/>
        </w:rPr>
        <w:t xml:space="preserve"> patients</w:t>
      </w:r>
      <w:r w:rsidR="009D1247">
        <w:rPr>
          <w:rFonts w:asciiTheme="minorHAnsi" w:hAnsiTheme="minorHAnsi" w:cs="Calibri"/>
          <w:bCs/>
          <w:color w:val="000000" w:themeColor="text1"/>
          <w:sz w:val="22"/>
          <w:szCs w:val="22"/>
          <w:lang w:val="en-GB"/>
        </w:rPr>
        <w:t>.</w:t>
      </w:r>
      <w:r w:rsidR="006F3DA3" w:rsidRPr="00AE2F32">
        <w:rPr>
          <w:rStyle w:val="FootnoteReference"/>
          <w:rFonts w:asciiTheme="minorHAnsi" w:hAnsiTheme="minorHAnsi" w:cs="Calibri"/>
          <w:bCs/>
          <w:color w:val="000000" w:themeColor="text1"/>
          <w:sz w:val="22"/>
          <w:szCs w:val="22"/>
          <w:lang w:val="en-GB"/>
        </w:rPr>
        <w:footnoteReference w:id="91"/>
      </w:r>
      <w:r w:rsidR="006F3DA3" w:rsidRPr="00AE2F32">
        <w:rPr>
          <w:rFonts w:asciiTheme="minorHAnsi" w:hAnsiTheme="minorHAnsi" w:cs="Calibri"/>
          <w:bCs/>
          <w:color w:val="000000" w:themeColor="text1"/>
          <w:sz w:val="22"/>
          <w:szCs w:val="22"/>
          <w:lang w:val="en-GB"/>
        </w:rPr>
        <w:t xml:space="preserve">  </w:t>
      </w:r>
      <w:r w:rsidR="009F3C1B" w:rsidRPr="00AE2F32">
        <w:rPr>
          <w:rFonts w:asciiTheme="minorHAnsi" w:hAnsiTheme="minorHAnsi" w:cs="Calibri"/>
          <w:bCs/>
          <w:color w:val="000000" w:themeColor="text1"/>
          <w:sz w:val="22"/>
          <w:szCs w:val="22"/>
          <w:lang w:val="en-GB"/>
        </w:rPr>
        <w:t>It is problematic to effectively inform the beneficiaries in the process of consenting to psychiatric care and to identify the authenticity of their will</w:t>
      </w:r>
      <w:r w:rsidR="00796270">
        <w:rPr>
          <w:rFonts w:asciiTheme="minorHAnsi" w:hAnsiTheme="minorHAnsi" w:cs="Calibri"/>
          <w:bCs/>
          <w:color w:val="000000" w:themeColor="text1"/>
          <w:sz w:val="22"/>
          <w:szCs w:val="22"/>
          <w:lang w:val="en-GB"/>
        </w:rPr>
        <w:t>.</w:t>
      </w:r>
      <w:r w:rsidR="006F3DA3" w:rsidRPr="00AE2F32">
        <w:rPr>
          <w:rStyle w:val="FootnoteReference"/>
          <w:rFonts w:asciiTheme="minorHAnsi" w:hAnsiTheme="minorHAnsi" w:cs="Calibri"/>
          <w:bCs/>
          <w:color w:val="000000" w:themeColor="text1"/>
          <w:sz w:val="22"/>
          <w:szCs w:val="22"/>
          <w:lang w:val="en-GB"/>
        </w:rPr>
        <w:footnoteReference w:id="92"/>
      </w:r>
      <w:r w:rsidR="006F3DA3" w:rsidRPr="00AE2F32">
        <w:rPr>
          <w:rFonts w:asciiTheme="minorHAnsi" w:hAnsiTheme="minorHAnsi" w:cs="Calibri"/>
          <w:bCs/>
          <w:color w:val="000000" w:themeColor="text1"/>
          <w:sz w:val="22"/>
          <w:szCs w:val="22"/>
          <w:lang w:val="en-GB"/>
        </w:rPr>
        <w:t xml:space="preserve"> </w:t>
      </w:r>
      <w:r w:rsidR="00796270">
        <w:rPr>
          <w:rFonts w:asciiTheme="minorHAnsi" w:hAnsiTheme="minorHAnsi" w:cs="Calibri"/>
          <w:bCs/>
          <w:color w:val="000000" w:themeColor="text1"/>
          <w:sz w:val="22"/>
          <w:szCs w:val="22"/>
          <w:lang w:val="en-GB"/>
        </w:rPr>
        <w:t>M</w:t>
      </w:r>
      <w:r w:rsidR="009D1247">
        <w:rPr>
          <w:rFonts w:asciiTheme="minorHAnsi" w:hAnsiTheme="minorHAnsi" w:cs="Calibri"/>
          <w:bCs/>
          <w:color w:val="000000" w:themeColor="text1"/>
          <w:sz w:val="22"/>
          <w:szCs w:val="22"/>
          <w:lang w:val="en-GB"/>
        </w:rPr>
        <w:t>any</w:t>
      </w:r>
      <w:r w:rsidR="009D1247" w:rsidRPr="00AE2F32">
        <w:rPr>
          <w:rFonts w:asciiTheme="minorHAnsi" w:hAnsiTheme="minorHAnsi" w:cs="Calibri"/>
          <w:bCs/>
          <w:color w:val="000000" w:themeColor="text1"/>
          <w:sz w:val="22"/>
          <w:szCs w:val="22"/>
          <w:lang w:val="en-GB"/>
        </w:rPr>
        <w:t xml:space="preserve"> </w:t>
      </w:r>
      <w:r w:rsidR="009F3C1B" w:rsidRPr="00AE2F32">
        <w:rPr>
          <w:rFonts w:asciiTheme="minorHAnsi" w:hAnsiTheme="minorHAnsi" w:cs="Calibri"/>
          <w:bCs/>
          <w:color w:val="000000" w:themeColor="text1"/>
          <w:sz w:val="22"/>
          <w:szCs w:val="22"/>
          <w:lang w:val="en-GB"/>
        </w:rPr>
        <w:t xml:space="preserve">patients placed in the institution with formal consent cannot leave it </w:t>
      </w:r>
      <w:r w:rsidR="009D1247">
        <w:rPr>
          <w:rFonts w:asciiTheme="minorHAnsi" w:hAnsiTheme="minorHAnsi" w:cs="Calibri"/>
          <w:bCs/>
          <w:color w:val="000000" w:themeColor="text1"/>
          <w:sz w:val="22"/>
          <w:szCs w:val="22"/>
          <w:lang w:val="en-GB"/>
        </w:rPr>
        <w:t>willingly</w:t>
      </w:r>
      <w:r w:rsidR="009F3C1B" w:rsidRPr="00AE2F32">
        <w:rPr>
          <w:rFonts w:asciiTheme="minorHAnsi" w:hAnsiTheme="minorHAnsi" w:cs="Calibri"/>
          <w:bCs/>
          <w:color w:val="000000" w:themeColor="text1"/>
          <w:sz w:val="22"/>
          <w:szCs w:val="22"/>
          <w:lang w:val="en-GB"/>
        </w:rPr>
        <w:t xml:space="preserve">. </w:t>
      </w:r>
      <w:r w:rsidR="006F3DA3" w:rsidRPr="00AE2F32">
        <w:rPr>
          <w:rFonts w:asciiTheme="minorHAnsi" w:hAnsiTheme="minorHAnsi" w:cs="Calibri"/>
          <w:bCs/>
          <w:color w:val="000000" w:themeColor="text1"/>
          <w:sz w:val="22"/>
          <w:szCs w:val="22"/>
          <w:lang w:val="en-GB"/>
        </w:rPr>
        <w:t xml:space="preserve"> </w:t>
      </w:r>
    </w:p>
    <w:p w14:paraId="6E229765" w14:textId="7FA5F05E" w:rsidR="006F3DA3" w:rsidRPr="00AE2F32" w:rsidRDefault="009F3C1B" w:rsidP="006F3DA3">
      <w:pPr>
        <w:pStyle w:val="NormalWeb"/>
        <w:spacing w:before="240" w:beforeAutospacing="0" w:after="0" w:afterAutospacing="0"/>
        <w:jc w:val="both"/>
        <w:rPr>
          <w:rFonts w:asciiTheme="minorHAnsi" w:hAnsiTheme="minorHAnsi" w:cs="Calibri"/>
          <w:bCs/>
          <w:color w:val="000000" w:themeColor="text1"/>
          <w:sz w:val="22"/>
          <w:szCs w:val="22"/>
          <w:lang w:val="en-GB"/>
        </w:rPr>
      </w:pPr>
      <w:r w:rsidRPr="00AE2F32">
        <w:rPr>
          <w:rFonts w:asciiTheme="minorHAnsi" w:hAnsiTheme="minorHAnsi" w:cs="Calibri"/>
          <w:bCs/>
          <w:color w:val="000000" w:themeColor="text1"/>
          <w:sz w:val="22"/>
          <w:szCs w:val="22"/>
          <w:lang w:val="en-GB"/>
        </w:rPr>
        <w:t xml:space="preserve">Despite the cases of </w:t>
      </w:r>
      <w:r w:rsidR="009D1247">
        <w:rPr>
          <w:rFonts w:asciiTheme="minorHAnsi" w:hAnsiTheme="minorHAnsi" w:cs="Calibri"/>
          <w:bCs/>
          <w:color w:val="000000" w:themeColor="text1"/>
          <w:sz w:val="22"/>
          <w:szCs w:val="22"/>
          <w:lang w:val="en-GB"/>
        </w:rPr>
        <w:t xml:space="preserve">serious </w:t>
      </w:r>
      <w:r w:rsidRPr="00AE2F32">
        <w:rPr>
          <w:rFonts w:asciiTheme="minorHAnsi" w:hAnsiTheme="minorHAnsi" w:cs="Calibri"/>
          <w:bCs/>
          <w:color w:val="000000" w:themeColor="text1"/>
          <w:sz w:val="22"/>
          <w:szCs w:val="22"/>
          <w:lang w:val="en-GB"/>
        </w:rPr>
        <w:t xml:space="preserve">human rights abuses and systemic challenges, the government has not yet adopted a </w:t>
      </w:r>
      <w:r w:rsidR="00B655B8">
        <w:rPr>
          <w:rFonts w:asciiTheme="minorHAnsi" w:hAnsiTheme="minorHAnsi" w:cs="Calibri"/>
          <w:bCs/>
          <w:color w:val="000000" w:themeColor="text1"/>
          <w:sz w:val="22"/>
          <w:szCs w:val="22"/>
          <w:lang w:val="en-GB"/>
        </w:rPr>
        <w:t>deinstitutionalization</w:t>
      </w:r>
      <w:r w:rsidRPr="00AE2F32">
        <w:rPr>
          <w:rFonts w:asciiTheme="minorHAnsi" w:hAnsiTheme="minorHAnsi" w:cs="Calibri"/>
          <w:bCs/>
          <w:color w:val="000000" w:themeColor="text1"/>
          <w:sz w:val="22"/>
          <w:szCs w:val="22"/>
          <w:lang w:val="en-GB"/>
        </w:rPr>
        <w:t xml:space="preserve"> strategy and action plan outlining state measures in this area. The obligation </w:t>
      </w:r>
      <w:r w:rsidR="009D1247">
        <w:rPr>
          <w:rFonts w:asciiTheme="minorHAnsi" w:hAnsiTheme="minorHAnsi" w:cs="Calibri"/>
          <w:bCs/>
          <w:color w:val="000000" w:themeColor="text1"/>
          <w:sz w:val="22"/>
          <w:szCs w:val="22"/>
          <w:lang w:val="en-GB"/>
        </w:rPr>
        <w:t>of</w:t>
      </w:r>
      <w:r w:rsidR="009D1247" w:rsidRPr="00AE2F32">
        <w:rPr>
          <w:rFonts w:asciiTheme="minorHAnsi" w:hAnsiTheme="minorHAnsi" w:cs="Calibri"/>
          <w:bCs/>
          <w:color w:val="000000" w:themeColor="text1"/>
          <w:sz w:val="22"/>
          <w:szCs w:val="22"/>
          <w:lang w:val="en-GB"/>
        </w:rPr>
        <w:t xml:space="preserve"> </w:t>
      </w:r>
      <w:r w:rsidRPr="00AE2F32">
        <w:rPr>
          <w:rFonts w:asciiTheme="minorHAnsi" w:hAnsiTheme="minorHAnsi" w:cs="Calibri"/>
          <w:bCs/>
          <w:color w:val="000000" w:themeColor="text1"/>
          <w:sz w:val="22"/>
          <w:szCs w:val="22"/>
          <w:lang w:val="en-GB"/>
        </w:rPr>
        <w:t>deinstitutionaliz</w:t>
      </w:r>
      <w:r w:rsidR="009D1247">
        <w:rPr>
          <w:rFonts w:asciiTheme="minorHAnsi" w:hAnsiTheme="minorHAnsi" w:cs="Calibri"/>
          <w:bCs/>
          <w:color w:val="000000" w:themeColor="text1"/>
          <w:sz w:val="22"/>
          <w:szCs w:val="22"/>
          <w:lang w:val="en-GB"/>
        </w:rPr>
        <w:t>ation</w:t>
      </w:r>
      <w:r w:rsidRPr="00AE2F32">
        <w:rPr>
          <w:rFonts w:asciiTheme="minorHAnsi" w:hAnsiTheme="minorHAnsi" w:cs="Calibri"/>
          <w:bCs/>
          <w:color w:val="000000" w:themeColor="text1"/>
          <w:sz w:val="22"/>
          <w:szCs w:val="22"/>
          <w:lang w:val="en-GB"/>
        </w:rPr>
        <w:t xml:space="preserve"> was also not reflected in the Law of Georgia on the Rights of Persons with Disabilities adopted in July 2020.</w:t>
      </w:r>
      <w:r w:rsidR="006F3DA3" w:rsidRPr="00AE2F32">
        <w:rPr>
          <w:rStyle w:val="FootnoteReference"/>
          <w:rFonts w:asciiTheme="minorHAnsi" w:hAnsiTheme="minorHAnsi" w:cs="Calibri"/>
          <w:bCs/>
          <w:color w:val="000000" w:themeColor="text1"/>
          <w:sz w:val="22"/>
          <w:szCs w:val="22"/>
          <w:lang w:val="en-GB"/>
        </w:rPr>
        <w:footnoteReference w:id="93"/>
      </w:r>
    </w:p>
    <w:p w14:paraId="0440D0F3" w14:textId="77777777" w:rsidR="006F3DA3" w:rsidRPr="00AE2F32" w:rsidRDefault="006F3DA3" w:rsidP="006F3DA3">
      <w:pPr>
        <w:pStyle w:val="NormalWeb"/>
        <w:spacing w:before="0" w:beforeAutospacing="0" w:after="0" w:afterAutospacing="0"/>
        <w:ind w:left="720"/>
        <w:jc w:val="both"/>
        <w:rPr>
          <w:rFonts w:asciiTheme="minorHAnsi" w:hAnsiTheme="minorHAnsi" w:cs="Calibri"/>
          <w:bCs/>
          <w:color w:val="000000" w:themeColor="text1"/>
          <w:sz w:val="22"/>
          <w:szCs w:val="22"/>
          <w:lang w:val="en-GB"/>
        </w:rPr>
      </w:pPr>
    </w:p>
    <w:p w14:paraId="459C9CBF" w14:textId="4AAC0B9E" w:rsidR="006F3DA3" w:rsidRPr="00AE2F32" w:rsidRDefault="008070AA" w:rsidP="00032493">
      <w:pPr>
        <w:pStyle w:val="NormalWeb"/>
        <w:shd w:val="clear" w:color="auto" w:fill="D0CECE" w:themeFill="background2" w:themeFillShade="E6"/>
        <w:spacing w:before="0" w:beforeAutospacing="0" w:after="0" w:afterAutospacing="0"/>
        <w:jc w:val="both"/>
        <w:rPr>
          <w:rFonts w:asciiTheme="minorHAnsi" w:hAnsiTheme="minorHAnsi" w:cs="Calibri"/>
          <w:bCs/>
          <w:color w:val="000000" w:themeColor="text1"/>
          <w:sz w:val="22"/>
          <w:szCs w:val="22"/>
          <w:lang w:val="en-GB"/>
        </w:rPr>
      </w:pPr>
      <w:r w:rsidRPr="00AE2F32">
        <w:rPr>
          <w:rFonts w:asciiTheme="minorHAnsi" w:hAnsiTheme="minorHAnsi" w:cs="Calibri"/>
          <w:bCs/>
          <w:color w:val="000000" w:themeColor="text1"/>
          <w:sz w:val="22"/>
          <w:szCs w:val="22"/>
          <w:lang w:val="en-GB"/>
        </w:rPr>
        <w:t xml:space="preserve">Recommendations: </w:t>
      </w:r>
    </w:p>
    <w:p w14:paraId="430BA888" w14:textId="4A313094" w:rsidR="009F3C1B" w:rsidRPr="00AE2F32" w:rsidRDefault="009F3C1B" w:rsidP="0023502D">
      <w:pPr>
        <w:pStyle w:val="NormalWeb"/>
        <w:numPr>
          <w:ilvl w:val="0"/>
          <w:numId w:val="29"/>
        </w:numPr>
        <w:shd w:val="clear" w:color="auto" w:fill="D0CECE" w:themeFill="background2" w:themeFillShade="E6"/>
        <w:spacing w:before="0" w:beforeAutospacing="0" w:after="0" w:afterAutospacing="0"/>
        <w:jc w:val="both"/>
        <w:rPr>
          <w:rFonts w:asciiTheme="minorHAnsi" w:hAnsiTheme="minorHAnsi" w:cs="Calibri"/>
          <w:bCs/>
          <w:color w:val="000000" w:themeColor="text1"/>
          <w:sz w:val="22"/>
          <w:szCs w:val="22"/>
          <w:lang w:val="en-GB"/>
        </w:rPr>
      </w:pPr>
      <w:r w:rsidRPr="00AE2F32">
        <w:rPr>
          <w:rFonts w:asciiTheme="minorHAnsi" w:hAnsiTheme="minorHAnsi" w:cs="Calibri"/>
          <w:bCs/>
          <w:color w:val="000000" w:themeColor="text1"/>
          <w:sz w:val="22"/>
          <w:szCs w:val="22"/>
          <w:lang w:val="en-GB"/>
        </w:rPr>
        <w:t>Develop a deinstitutionalization strategy and action plan as soon as possible, effectively manage and complete this process;</w:t>
      </w:r>
    </w:p>
    <w:p w14:paraId="5C218192" w14:textId="253FA402" w:rsidR="007758D0" w:rsidRPr="00AE2F32" w:rsidRDefault="007758D0" w:rsidP="0023502D">
      <w:pPr>
        <w:pStyle w:val="NormalWeb"/>
        <w:numPr>
          <w:ilvl w:val="0"/>
          <w:numId w:val="29"/>
        </w:numPr>
        <w:shd w:val="clear" w:color="auto" w:fill="D0CECE" w:themeFill="background2" w:themeFillShade="E6"/>
        <w:spacing w:before="0" w:beforeAutospacing="0" w:after="0" w:afterAutospacing="0"/>
        <w:jc w:val="both"/>
        <w:rPr>
          <w:rFonts w:asciiTheme="minorHAnsi" w:hAnsiTheme="minorHAnsi" w:cs="Calibri"/>
          <w:bCs/>
          <w:color w:val="000000" w:themeColor="text1"/>
          <w:sz w:val="22"/>
          <w:szCs w:val="22"/>
          <w:lang w:val="en-GB"/>
        </w:rPr>
      </w:pPr>
      <w:r w:rsidRPr="00AE2F32">
        <w:rPr>
          <w:rFonts w:asciiTheme="minorHAnsi" w:hAnsiTheme="minorHAnsi" w:cs="Calibri"/>
          <w:bCs/>
          <w:color w:val="000000" w:themeColor="text1"/>
          <w:sz w:val="22"/>
          <w:szCs w:val="22"/>
          <w:lang w:val="en-GB"/>
        </w:rPr>
        <w:t>Ensure informed consent from all patients on psychiatric care;</w:t>
      </w:r>
    </w:p>
    <w:p w14:paraId="761846B2" w14:textId="1C033E43" w:rsidR="007758D0" w:rsidRPr="00AE2F32" w:rsidRDefault="007758D0" w:rsidP="0023502D">
      <w:pPr>
        <w:pStyle w:val="NormalWeb"/>
        <w:numPr>
          <w:ilvl w:val="0"/>
          <w:numId w:val="29"/>
        </w:numPr>
        <w:shd w:val="clear" w:color="auto" w:fill="D0CECE" w:themeFill="background2" w:themeFillShade="E6"/>
        <w:spacing w:before="0" w:beforeAutospacing="0" w:after="0" w:afterAutospacing="0"/>
        <w:jc w:val="both"/>
        <w:rPr>
          <w:rFonts w:asciiTheme="minorHAnsi" w:hAnsiTheme="minorHAnsi" w:cs="Calibri"/>
          <w:bCs/>
          <w:color w:val="000000" w:themeColor="text1"/>
          <w:sz w:val="22"/>
          <w:szCs w:val="22"/>
          <w:lang w:val="en-GB"/>
        </w:rPr>
      </w:pPr>
      <w:r w:rsidRPr="00AE2F32">
        <w:rPr>
          <w:rFonts w:asciiTheme="minorHAnsi" w:hAnsiTheme="minorHAnsi" w:cs="Calibri"/>
          <w:bCs/>
          <w:color w:val="000000" w:themeColor="text1"/>
          <w:sz w:val="22"/>
          <w:szCs w:val="22"/>
          <w:lang w:val="en-GB"/>
        </w:rPr>
        <w:t>Take necessary measure</w:t>
      </w:r>
      <w:r w:rsidR="009D1247">
        <w:rPr>
          <w:rFonts w:asciiTheme="minorHAnsi" w:hAnsiTheme="minorHAnsi" w:cs="Calibri"/>
          <w:bCs/>
          <w:color w:val="000000" w:themeColor="text1"/>
          <w:sz w:val="22"/>
          <w:szCs w:val="22"/>
          <w:lang w:val="en-GB"/>
        </w:rPr>
        <w:t>s</w:t>
      </w:r>
      <w:r w:rsidRPr="00AE2F32">
        <w:rPr>
          <w:rFonts w:asciiTheme="minorHAnsi" w:hAnsiTheme="minorHAnsi" w:cs="Calibri"/>
          <w:bCs/>
          <w:color w:val="000000" w:themeColor="text1"/>
          <w:sz w:val="22"/>
          <w:szCs w:val="22"/>
          <w:lang w:val="en-GB"/>
        </w:rPr>
        <w:t xml:space="preserve"> to eradicate physical and chemical restraints and to establish alternative means of de-escalation also</w:t>
      </w:r>
      <w:r w:rsidR="009D1247">
        <w:rPr>
          <w:rFonts w:asciiTheme="minorHAnsi" w:hAnsiTheme="minorHAnsi" w:cs="Calibri"/>
          <w:bCs/>
          <w:color w:val="000000" w:themeColor="text1"/>
          <w:sz w:val="22"/>
          <w:szCs w:val="22"/>
          <w:lang w:val="en-GB"/>
        </w:rPr>
        <w:t>,</w:t>
      </w:r>
      <w:r w:rsidRPr="00AE2F32">
        <w:rPr>
          <w:rFonts w:asciiTheme="minorHAnsi" w:hAnsiTheme="minorHAnsi" w:cs="Calibri"/>
          <w:bCs/>
          <w:color w:val="000000" w:themeColor="text1"/>
          <w:sz w:val="22"/>
          <w:szCs w:val="22"/>
          <w:lang w:val="en-GB"/>
        </w:rPr>
        <w:t xml:space="preserve"> to prevent violence, negligence</w:t>
      </w:r>
      <w:r w:rsidR="00B655B8">
        <w:rPr>
          <w:rFonts w:asciiTheme="minorHAnsi" w:hAnsiTheme="minorHAnsi" w:cs="Calibri"/>
          <w:bCs/>
          <w:color w:val="000000" w:themeColor="text1"/>
          <w:sz w:val="22"/>
          <w:szCs w:val="22"/>
          <w:lang w:val="en-GB"/>
        </w:rPr>
        <w:t>,</w:t>
      </w:r>
      <w:r w:rsidRPr="00AE2F32">
        <w:rPr>
          <w:rFonts w:asciiTheme="minorHAnsi" w:hAnsiTheme="minorHAnsi" w:cs="Calibri"/>
          <w:bCs/>
          <w:color w:val="000000" w:themeColor="text1"/>
          <w:sz w:val="22"/>
          <w:szCs w:val="22"/>
          <w:lang w:val="en-GB"/>
        </w:rPr>
        <w:t xml:space="preserve"> and exploitation against patients.  </w:t>
      </w:r>
    </w:p>
    <w:p w14:paraId="2FB6FABA" w14:textId="77777777" w:rsidR="006F3DA3" w:rsidRPr="00AE2F32" w:rsidRDefault="006F3DA3" w:rsidP="00EB1CFE">
      <w:pPr>
        <w:jc w:val="both"/>
        <w:rPr>
          <w:rFonts w:cs="Sylfaen"/>
          <w:sz w:val="22"/>
          <w:szCs w:val="22"/>
          <w:lang w:val="en-GB"/>
        </w:rPr>
      </w:pPr>
    </w:p>
    <w:p w14:paraId="10F3ED12" w14:textId="3120AE11" w:rsidR="00032493" w:rsidRPr="00AE2F32" w:rsidRDefault="008070AA" w:rsidP="00032493">
      <w:pPr>
        <w:pStyle w:val="NormalWeb"/>
        <w:shd w:val="clear" w:color="auto" w:fill="D0CECE" w:themeFill="background2" w:themeFillShade="E6"/>
        <w:spacing w:before="240" w:beforeAutospacing="0" w:after="0" w:afterAutospacing="0"/>
        <w:jc w:val="both"/>
        <w:rPr>
          <w:rFonts w:asciiTheme="minorHAnsi" w:hAnsiTheme="minorHAnsi" w:cs="Calibri"/>
          <w:bCs/>
          <w:color w:val="000000" w:themeColor="text1"/>
          <w:sz w:val="22"/>
          <w:szCs w:val="22"/>
          <w:lang w:val="en-GB"/>
        </w:rPr>
      </w:pPr>
      <w:r w:rsidRPr="00AE2F32">
        <w:rPr>
          <w:rFonts w:asciiTheme="minorHAnsi" w:hAnsiTheme="minorHAnsi" w:cs="Calibri"/>
          <w:bCs/>
          <w:color w:val="000000" w:themeColor="text1"/>
          <w:sz w:val="22"/>
          <w:szCs w:val="22"/>
          <w:lang w:val="en-GB"/>
        </w:rPr>
        <w:t>Questions:</w:t>
      </w:r>
    </w:p>
    <w:p w14:paraId="556C273B" w14:textId="1456D111" w:rsidR="007758D0" w:rsidRPr="00AE2F32" w:rsidRDefault="007758D0" w:rsidP="0023502D">
      <w:pPr>
        <w:pStyle w:val="NormalWeb"/>
        <w:numPr>
          <w:ilvl w:val="0"/>
          <w:numId w:val="26"/>
        </w:numPr>
        <w:shd w:val="clear" w:color="auto" w:fill="D0CECE" w:themeFill="background2" w:themeFillShade="E6"/>
        <w:spacing w:before="0" w:beforeAutospacing="0" w:after="0" w:afterAutospacing="0"/>
        <w:jc w:val="both"/>
        <w:rPr>
          <w:rFonts w:asciiTheme="minorHAnsi" w:hAnsiTheme="minorHAnsi" w:cs="Calibri"/>
          <w:bCs/>
          <w:color w:val="000000" w:themeColor="text1"/>
          <w:sz w:val="22"/>
          <w:szCs w:val="22"/>
          <w:lang w:val="en-GB"/>
        </w:rPr>
      </w:pPr>
      <w:r w:rsidRPr="00AE2F32">
        <w:rPr>
          <w:rFonts w:asciiTheme="minorHAnsi" w:hAnsiTheme="minorHAnsi" w:cs="Calibri"/>
          <w:bCs/>
          <w:color w:val="000000" w:themeColor="text1"/>
          <w:sz w:val="22"/>
          <w:szCs w:val="22"/>
          <w:lang w:val="en-GB"/>
        </w:rPr>
        <w:t xml:space="preserve">What measures are taken by the state to effectively manage the deinstitutionalization process? </w:t>
      </w:r>
    </w:p>
    <w:p w14:paraId="2925081F" w14:textId="0A8CBD60" w:rsidR="00B37E7F" w:rsidRDefault="00B37E7F" w:rsidP="00EB1CFE">
      <w:pPr>
        <w:jc w:val="both"/>
        <w:rPr>
          <w:rFonts w:cs="Sylfaen"/>
          <w:i/>
          <w:iCs/>
          <w:sz w:val="22"/>
          <w:szCs w:val="22"/>
          <w:u w:val="single"/>
          <w:lang w:val="en-GB"/>
        </w:rPr>
      </w:pPr>
    </w:p>
    <w:p w14:paraId="5449B336" w14:textId="77777777" w:rsidR="00796270" w:rsidRPr="00AE2F32" w:rsidRDefault="00796270" w:rsidP="00EB1CFE">
      <w:pPr>
        <w:jc w:val="both"/>
        <w:rPr>
          <w:rFonts w:cs="Sylfaen"/>
          <w:i/>
          <w:iCs/>
          <w:sz w:val="22"/>
          <w:szCs w:val="22"/>
          <w:u w:val="single"/>
          <w:lang w:val="en-GB"/>
        </w:rPr>
      </w:pPr>
    </w:p>
    <w:p w14:paraId="2F36FC53" w14:textId="60FEC836" w:rsidR="00032493" w:rsidRPr="00AE2F32" w:rsidRDefault="008070AA" w:rsidP="00EB1CFE">
      <w:pPr>
        <w:jc w:val="both"/>
        <w:rPr>
          <w:rFonts w:cs="Sylfaen"/>
          <w:sz w:val="22"/>
          <w:szCs w:val="22"/>
          <w:u w:val="single"/>
          <w:lang w:val="en-GB"/>
        </w:rPr>
      </w:pPr>
      <w:r w:rsidRPr="00AE2F32">
        <w:rPr>
          <w:rFonts w:cs="Sylfaen"/>
          <w:sz w:val="22"/>
          <w:szCs w:val="22"/>
          <w:u w:val="single"/>
          <w:lang w:val="en-GB"/>
        </w:rPr>
        <w:t>Arbitrary detention practice in the context of occupation</w:t>
      </w:r>
    </w:p>
    <w:p w14:paraId="0AC7E876" w14:textId="77777777" w:rsidR="00503733" w:rsidRPr="00AE2F32" w:rsidRDefault="00503733" w:rsidP="00EB1CFE">
      <w:pPr>
        <w:jc w:val="both"/>
        <w:rPr>
          <w:rFonts w:cs="Sylfaen"/>
          <w:sz w:val="22"/>
          <w:szCs w:val="22"/>
          <w:lang w:val="en-GB"/>
        </w:rPr>
      </w:pPr>
    </w:p>
    <w:p w14:paraId="18FB4F5B" w14:textId="1FFBA327" w:rsidR="009A5F4F" w:rsidRPr="00AE2F32" w:rsidRDefault="00503733" w:rsidP="009A5F4F">
      <w:pPr>
        <w:jc w:val="both"/>
        <w:rPr>
          <w:rFonts w:eastAsia="Times New Roman" w:cs="Times New Roman"/>
          <w:sz w:val="22"/>
          <w:szCs w:val="22"/>
        </w:rPr>
      </w:pPr>
      <w:r w:rsidRPr="00AE2F32">
        <w:rPr>
          <w:rFonts w:cs="Sylfaen"/>
          <w:sz w:val="22"/>
          <w:szCs w:val="22"/>
          <w:lang w:val="en-GB"/>
        </w:rPr>
        <w:t>The human rights situation in and around the Russian-occupied territories remains alarming. Illegal and arbitrary detentions of people in Tskhinvali Region/South Ossetia and Abkhazia nearby the occupation line has a massive character.</w:t>
      </w:r>
      <w:r w:rsidR="00AF1A58" w:rsidRPr="00AE2F32">
        <w:rPr>
          <w:rStyle w:val="FootnoteReference"/>
          <w:sz w:val="22"/>
          <w:szCs w:val="22"/>
          <w:lang w:val="en-GB"/>
        </w:rPr>
        <w:footnoteReference w:id="94"/>
      </w:r>
      <w:r w:rsidRPr="00AE2F32">
        <w:rPr>
          <w:rFonts w:cs="Sylfaen"/>
          <w:sz w:val="22"/>
          <w:szCs w:val="22"/>
          <w:lang w:val="en-GB"/>
        </w:rPr>
        <w:t xml:space="preserve"> Annually, hundreds of Georgian citizens are victims of such </w:t>
      </w:r>
      <w:r w:rsidR="00B655B8">
        <w:rPr>
          <w:rFonts w:cs="Sylfaen"/>
          <w:sz w:val="22"/>
          <w:szCs w:val="22"/>
          <w:lang w:val="en-GB"/>
        </w:rPr>
        <w:t>violations</w:t>
      </w:r>
      <w:r w:rsidRPr="00AE2F32">
        <w:rPr>
          <w:rFonts w:cs="Sylfaen"/>
          <w:sz w:val="22"/>
          <w:szCs w:val="22"/>
          <w:lang w:val="en-GB"/>
        </w:rPr>
        <w:t>, including women and children</w:t>
      </w:r>
      <w:r w:rsidR="00AF1A58" w:rsidRPr="00AE2F32">
        <w:rPr>
          <w:rFonts w:eastAsia="Times New Roman" w:cs="Times New Roman"/>
          <w:sz w:val="22"/>
          <w:szCs w:val="22"/>
          <w:lang w:val="en-GB"/>
        </w:rPr>
        <w:t>.</w:t>
      </w:r>
      <w:r w:rsidR="00AF1A58" w:rsidRPr="00AE2F32">
        <w:rPr>
          <w:rStyle w:val="FootnoteReference"/>
          <w:rFonts w:eastAsia="Times New Roman" w:cs="Times New Roman"/>
          <w:sz w:val="22"/>
          <w:szCs w:val="22"/>
          <w:lang w:val="en-GB"/>
        </w:rPr>
        <w:footnoteReference w:id="95"/>
      </w:r>
      <w:r w:rsidR="00AF1A58" w:rsidRPr="00AE2F32">
        <w:rPr>
          <w:rFonts w:eastAsia="Times New Roman" w:cs="Times New Roman"/>
          <w:sz w:val="22"/>
          <w:szCs w:val="22"/>
          <w:lang w:val="en-GB"/>
        </w:rPr>
        <w:t xml:space="preserve"> </w:t>
      </w:r>
      <w:r w:rsidR="009A5F4F" w:rsidRPr="00AE2F32">
        <w:rPr>
          <w:rFonts w:eastAsia="Times New Roman" w:cs="Times New Roman"/>
          <w:sz w:val="22"/>
          <w:szCs w:val="22"/>
          <w:lang w:val="en-GB"/>
        </w:rPr>
        <w:t xml:space="preserve">In most cases, abducted people are detained under </w:t>
      </w:r>
      <w:r w:rsidR="00B655B8">
        <w:rPr>
          <w:rFonts w:eastAsia="Times New Roman" w:cs="Times New Roman"/>
          <w:sz w:val="22"/>
          <w:szCs w:val="22"/>
          <w:lang w:val="en-GB"/>
        </w:rPr>
        <w:t xml:space="preserve">the </w:t>
      </w:r>
      <w:r w:rsidR="009A5F4F" w:rsidRPr="00AE2F32">
        <w:rPr>
          <w:rFonts w:eastAsia="Times New Roman" w:cs="Times New Roman"/>
          <w:sz w:val="22"/>
          <w:szCs w:val="22"/>
          <w:lang w:val="en-GB"/>
        </w:rPr>
        <w:t>administrative rule and release</w:t>
      </w:r>
      <w:r w:rsidR="00CA5A7B">
        <w:rPr>
          <w:rFonts w:eastAsia="Times New Roman" w:cs="Times New Roman"/>
          <w:sz w:val="22"/>
          <w:szCs w:val="22"/>
          <w:lang w:val="en-GB"/>
        </w:rPr>
        <w:t>d</w:t>
      </w:r>
      <w:r w:rsidR="009A5F4F" w:rsidRPr="00AE2F32">
        <w:rPr>
          <w:rFonts w:eastAsia="Times New Roman" w:cs="Times New Roman"/>
          <w:sz w:val="22"/>
          <w:szCs w:val="22"/>
          <w:lang w:val="en-GB"/>
        </w:rPr>
        <w:t xml:space="preserve"> </w:t>
      </w:r>
      <w:r w:rsidR="00256F01" w:rsidRPr="00AE2F32">
        <w:rPr>
          <w:rFonts w:eastAsia="Times New Roman" w:cs="Times New Roman"/>
          <w:sz w:val="22"/>
          <w:szCs w:val="22"/>
          <w:lang w:val="en-GB"/>
        </w:rPr>
        <w:t>after fine</w:t>
      </w:r>
      <w:r w:rsidR="009A5F4F" w:rsidRPr="00AE2F32">
        <w:rPr>
          <w:rFonts w:eastAsia="Times New Roman" w:cs="Times New Roman"/>
          <w:sz w:val="22"/>
          <w:szCs w:val="22"/>
          <w:lang w:val="en-GB"/>
        </w:rPr>
        <w:t>. However, in recent years, detentions under criminal rule became also frequent</w:t>
      </w:r>
      <w:r w:rsidR="00AF1A58" w:rsidRPr="00AE2F32">
        <w:rPr>
          <w:rFonts w:eastAsia="Times New Roman" w:cs="Times New Roman"/>
          <w:sz w:val="22"/>
          <w:szCs w:val="22"/>
          <w:lang w:val="en-GB"/>
        </w:rPr>
        <w:t>.</w:t>
      </w:r>
      <w:r w:rsidR="00AF1A58" w:rsidRPr="00AE2F32">
        <w:rPr>
          <w:rStyle w:val="FootnoteReference"/>
          <w:rFonts w:eastAsia="Times New Roman" w:cs="Times New Roman"/>
          <w:sz w:val="22"/>
          <w:szCs w:val="22"/>
          <w:lang w:val="en-GB"/>
        </w:rPr>
        <w:footnoteReference w:id="96"/>
      </w:r>
      <w:r w:rsidR="00AF1A58" w:rsidRPr="00AE2F32">
        <w:rPr>
          <w:rFonts w:eastAsia="Times New Roman" w:cs="Times New Roman"/>
          <w:sz w:val="22"/>
          <w:szCs w:val="22"/>
          <w:lang w:val="en-GB"/>
        </w:rPr>
        <w:t xml:space="preserve"> </w:t>
      </w:r>
      <w:r w:rsidR="009A5F4F" w:rsidRPr="00AE2F32">
        <w:rPr>
          <w:rFonts w:eastAsia="Times New Roman" w:cs="Times New Roman"/>
          <w:sz w:val="22"/>
          <w:szCs w:val="22"/>
          <w:lang w:val="en-GB"/>
        </w:rPr>
        <w:t xml:space="preserve">In such cases, detainees </w:t>
      </w:r>
      <w:r w:rsidR="000F27D7" w:rsidRPr="00AE2F32">
        <w:rPr>
          <w:rFonts w:eastAsia="Times New Roman" w:cs="Times New Roman"/>
          <w:sz w:val="22"/>
          <w:szCs w:val="22"/>
          <w:lang w:val="en-GB"/>
        </w:rPr>
        <w:t xml:space="preserve">are prosecuted and </w:t>
      </w:r>
      <w:r w:rsidR="000F27D7" w:rsidRPr="00AE2F32">
        <w:rPr>
          <w:rFonts w:eastAsia="Times New Roman" w:cs="Times New Roman"/>
          <w:sz w:val="22"/>
          <w:szCs w:val="22"/>
        </w:rPr>
        <w:t xml:space="preserve">convicted under </w:t>
      </w:r>
      <w:r w:rsidR="00B655B8">
        <w:rPr>
          <w:rFonts w:eastAsia="Times New Roman" w:cs="Times New Roman"/>
          <w:sz w:val="22"/>
          <w:szCs w:val="22"/>
        </w:rPr>
        <w:t xml:space="preserve">the </w:t>
      </w:r>
      <w:r w:rsidR="000F27D7" w:rsidRPr="00AE2F32">
        <w:rPr>
          <w:rFonts w:eastAsia="Times New Roman" w:cs="Times New Roman"/>
          <w:sz w:val="22"/>
          <w:szCs w:val="22"/>
        </w:rPr>
        <w:t xml:space="preserve">Criminal Code of </w:t>
      </w:r>
      <w:r w:rsidR="00B655B8">
        <w:rPr>
          <w:rFonts w:eastAsia="Times New Roman" w:cs="Times New Roman"/>
          <w:sz w:val="22"/>
          <w:szCs w:val="22"/>
        </w:rPr>
        <w:t xml:space="preserve">the </w:t>
      </w:r>
      <w:r w:rsidR="000F27D7" w:rsidRPr="00AE2F32">
        <w:rPr>
          <w:rFonts w:eastAsia="Times New Roman" w:cs="Times New Roman"/>
          <w:sz w:val="22"/>
          <w:szCs w:val="22"/>
        </w:rPr>
        <w:t xml:space="preserve">Russian Federation without fair trial and access to the procedural guarantees. </w:t>
      </w:r>
    </w:p>
    <w:p w14:paraId="24F602F0" w14:textId="77777777" w:rsidR="000F27D7" w:rsidRPr="00AE2F32" w:rsidRDefault="000F27D7" w:rsidP="009A5F4F">
      <w:pPr>
        <w:jc w:val="both"/>
        <w:rPr>
          <w:rFonts w:eastAsia="Times New Roman" w:cs="Times New Roman"/>
          <w:sz w:val="22"/>
          <w:szCs w:val="22"/>
        </w:rPr>
      </w:pPr>
    </w:p>
    <w:p w14:paraId="4F3C4168" w14:textId="353F8527" w:rsidR="00D22372" w:rsidRPr="00AE2F32" w:rsidRDefault="000F27D7" w:rsidP="00EB1CFE">
      <w:pPr>
        <w:jc w:val="both"/>
        <w:rPr>
          <w:rFonts w:eastAsia="Times New Roman" w:cs="Times New Roman"/>
          <w:sz w:val="22"/>
          <w:szCs w:val="22"/>
          <w:lang w:val="en-GB"/>
        </w:rPr>
      </w:pPr>
      <w:r w:rsidRPr="00AE2F32">
        <w:rPr>
          <w:rFonts w:eastAsia="Times New Roman" w:cs="Times New Roman"/>
          <w:sz w:val="22"/>
          <w:szCs w:val="22"/>
          <w:lang w:val="en-GB"/>
        </w:rPr>
        <w:t xml:space="preserve">The Russian Federation, as a state exercising effective control over the territories of </w:t>
      </w:r>
      <w:r w:rsidR="00B655B8">
        <w:rPr>
          <w:rFonts w:eastAsia="Times New Roman" w:cs="Times New Roman"/>
          <w:sz w:val="22"/>
          <w:szCs w:val="22"/>
          <w:lang w:val="en-GB"/>
        </w:rPr>
        <w:t xml:space="preserve">the </w:t>
      </w:r>
      <w:r w:rsidRPr="00AE2F32">
        <w:rPr>
          <w:rFonts w:eastAsia="Times New Roman" w:cs="Times New Roman"/>
          <w:sz w:val="22"/>
          <w:szCs w:val="22"/>
          <w:lang w:val="en-GB"/>
        </w:rPr>
        <w:t xml:space="preserve">Tskhinvali region/South Ossetia and Abkhazia, is responsible for the difficult rights situation in the occupied and adjacent territories. However, Georgia is also </w:t>
      </w:r>
      <w:r w:rsidR="00CA5A7B">
        <w:rPr>
          <w:rFonts w:eastAsia="Times New Roman" w:cs="Times New Roman"/>
          <w:sz w:val="22"/>
          <w:szCs w:val="22"/>
          <w:lang w:val="en-GB"/>
        </w:rPr>
        <w:t xml:space="preserve">positively </w:t>
      </w:r>
      <w:r w:rsidRPr="00AE2F32">
        <w:rPr>
          <w:rFonts w:eastAsia="Times New Roman" w:cs="Times New Roman"/>
          <w:sz w:val="22"/>
          <w:szCs w:val="22"/>
          <w:lang w:val="en-GB"/>
        </w:rPr>
        <w:t xml:space="preserve">obliged to provide protection. </w:t>
      </w:r>
      <w:r w:rsidR="00B655B8">
        <w:rPr>
          <w:rFonts w:eastAsia="Times New Roman" w:cs="Times New Roman"/>
          <w:sz w:val="22"/>
          <w:szCs w:val="22"/>
          <w:lang w:val="en-GB"/>
        </w:rPr>
        <w:t>The state</w:t>
      </w:r>
      <w:r w:rsidRPr="00AE2F32">
        <w:rPr>
          <w:rFonts w:eastAsia="Times New Roman" w:cs="Times New Roman"/>
          <w:sz w:val="22"/>
          <w:szCs w:val="22"/>
          <w:lang w:val="en-GB"/>
        </w:rPr>
        <w:t xml:space="preserve"> report assesses the restriction of freedom of movement in its report, but information on responsive measures is not indicated.</w:t>
      </w:r>
      <w:r w:rsidR="0061029F" w:rsidRPr="00AE2F32">
        <w:rPr>
          <w:rStyle w:val="FootnoteReference"/>
          <w:rFonts w:eastAsia="Times New Roman" w:cs="Times New Roman"/>
          <w:sz w:val="22"/>
          <w:szCs w:val="22"/>
          <w:lang w:val="en-GB"/>
        </w:rPr>
        <w:footnoteReference w:id="97"/>
      </w:r>
    </w:p>
    <w:p w14:paraId="47A7867E" w14:textId="77777777" w:rsidR="000F27D7" w:rsidRPr="00AE2F32" w:rsidRDefault="000F27D7" w:rsidP="00EB1CFE">
      <w:pPr>
        <w:jc w:val="both"/>
        <w:rPr>
          <w:rFonts w:eastAsia="Times New Roman" w:cs="Times New Roman"/>
          <w:sz w:val="22"/>
          <w:szCs w:val="22"/>
          <w:lang w:val="en-GB"/>
        </w:rPr>
      </w:pPr>
    </w:p>
    <w:p w14:paraId="6C682922" w14:textId="2124C406" w:rsidR="00D43C21" w:rsidRPr="00256F01" w:rsidRDefault="000F27D7" w:rsidP="00D43C21">
      <w:pPr>
        <w:jc w:val="both"/>
        <w:rPr>
          <w:rFonts w:eastAsia="Times New Roman" w:cs="Times New Roman"/>
          <w:sz w:val="22"/>
          <w:szCs w:val="22"/>
          <w:lang w:val="ka-GE"/>
        </w:rPr>
      </w:pPr>
      <w:r w:rsidRPr="00AE2F32">
        <w:rPr>
          <w:rFonts w:eastAsia="Times New Roman" w:cs="Times New Roman"/>
          <w:sz w:val="22"/>
          <w:szCs w:val="22"/>
          <w:lang w:val="en-GB"/>
        </w:rPr>
        <w:t xml:space="preserve">The wave of movement </w:t>
      </w:r>
      <w:r w:rsidRPr="00AE2F32">
        <w:rPr>
          <w:rFonts w:eastAsia="Times New Roman" w:cs="Times New Roman"/>
          <w:sz w:val="22"/>
          <w:szCs w:val="22"/>
        </w:rPr>
        <w:t xml:space="preserve">restriction </w:t>
      </w:r>
      <w:r w:rsidRPr="00AE2F32">
        <w:rPr>
          <w:rFonts w:eastAsia="Times New Roman" w:cs="Times New Roman"/>
          <w:sz w:val="22"/>
          <w:szCs w:val="22"/>
          <w:lang w:val="en-GB"/>
        </w:rPr>
        <w:t>for the Tskhinvali region and mostly</w:t>
      </w:r>
      <w:r w:rsidR="007A19AB" w:rsidRPr="00AE2F32">
        <w:rPr>
          <w:rFonts w:eastAsia="Times New Roman" w:cs="Times New Roman"/>
          <w:sz w:val="22"/>
          <w:szCs w:val="22"/>
          <w:lang w:val="en-GB"/>
        </w:rPr>
        <w:t xml:space="preserve"> for</w:t>
      </w:r>
      <w:r w:rsidRPr="00AE2F32">
        <w:rPr>
          <w:rFonts w:eastAsia="Times New Roman" w:cs="Times New Roman"/>
          <w:sz w:val="22"/>
          <w:szCs w:val="22"/>
          <w:lang w:val="en-GB"/>
        </w:rPr>
        <w:t xml:space="preserve"> ethnic Georgians living in Akhalgori began in September 2019, when Tskhinvali </w:t>
      </w:r>
      <w:r w:rsidR="00CA5A7B" w:rsidRPr="00AE2F32">
        <w:rPr>
          <w:rFonts w:eastAsia="Times New Roman" w:cs="Times New Roman"/>
          <w:sz w:val="22"/>
          <w:szCs w:val="22"/>
          <w:lang w:val="en-GB"/>
        </w:rPr>
        <w:t xml:space="preserve">de-facto </w:t>
      </w:r>
      <w:r w:rsidRPr="00AE2F32">
        <w:rPr>
          <w:rFonts w:eastAsia="Times New Roman" w:cs="Times New Roman"/>
          <w:sz w:val="22"/>
          <w:szCs w:val="22"/>
          <w:lang w:val="en-GB"/>
        </w:rPr>
        <w:t>government closed the only checkpoint through which locals could cross into Georgian-controlled territory</w:t>
      </w:r>
      <w:r w:rsidR="00D43C21" w:rsidRPr="00AE2F32">
        <w:rPr>
          <w:rFonts w:eastAsia="Times New Roman" w:cs="Times New Roman"/>
          <w:sz w:val="22"/>
          <w:szCs w:val="22"/>
          <w:lang w:val="en-GB"/>
        </w:rPr>
        <w:t>.</w:t>
      </w:r>
      <w:r w:rsidR="00D43C21" w:rsidRPr="00AE2F32">
        <w:rPr>
          <w:rStyle w:val="FootnoteReference"/>
          <w:rFonts w:eastAsia="Times New Roman" w:cs="Times New Roman"/>
          <w:sz w:val="22"/>
          <w:szCs w:val="22"/>
          <w:lang w:val="en-GB"/>
        </w:rPr>
        <w:footnoteReference w:id="98"/>
      </w:r>
      <w:r w:rsidR="00D43C21" w:rsidRPr="00AE2F32">
        <w:rPr>
          <w:rFonts w:eastAsia="Times New Roman" w:cs="Times New Roman"/>
          <w:sz w:val="22"/>
          <w:szCs w:val="22"/>
          <w:lang w:val="en-GB"/>
        </w:rPr>
        <w:t xml:space="preserve"> </w:t>
      </w:r>
      <w:r w:rsidR="007A19AB" w:rsidRPr="00AE2F32">
        <w:rPr>
          <w:rFonts w:eastAsia="Times New Roman" w:cs="Times New Roman"/>
          <w:sz w:val="22"/>
          <w:szCs w:val="22"/>
          <w:lang w:val="en-GB"/>
        </w:rPr>
        <w:t>The de-facto government</w:t>
      </w:r>
      <w:r w:rsidR="0087412F" w:rsidRPr="00AE2F32">
        <w:rPr>
          <w:rFonts w:eastAsia="Times New Roman" w:cs="Times New Roman"/>
          <w:sz w:val="22"/>
          <w:szCs w:val="22"/>
          <w:lang w:val="en-GB"/>
        </w:rPr>
        <w:t xml:space="preserve"> used checkpoint closure as political pressure over </w:t>
      </w:r>
      <w:r w:rsidR="00B655B8">
        <w:rPr>
          <w:rFonts w:eastAsia="Times New Roman" w:cs="Times New Roman"/>
          <w:sz w:val="22"/>
          <w:szCs w:val="22"/>
          <w:lang w:val="en-GB"/>
        </w:rPr>
        <w:t xml:space="preserve">the </w:t>
      </w:r>
      <w:r w:rsidR="0087412F" w:rsidRPr="00AE2F32">
        <w:rPr>
          <w:rFonts w:eastAsia="Times New Roman" w:cs="Times New Roman"/>
          <w:sz w:val="22"/>
          <w:szCs w:val="22"/>
          <w:lang w:val="en-GB"/>
        </w:rPr>
        <w:t>Georgian government</w:t>
      </w:r>
      <w:r w:rsidR="007A19AB" w:rsidRPr="00AE2F32">
        <w:rPr>
          <w:rFonts w:eastAsia="Times New Roman" w:cs="Times New Roman"/>
          <w:sz w:val="22"/>
          <w:szCs w:val="22"/>
          <w:lang w:val="en-GB"/>
        </w:rPr>
        <w:t xml:space="preserve">, </w:t>
      </w:r>
      <w:r w:rsidR="0087412F" w:rsidRPr="00AE2F32">
        <w:rPr>
          <w:rFonts w:eastAsia="Times New Roman" w:cs="Times New Roman"/>
          <w:sz w:val="22"/>
          <w:szCs w:val="22"/>
          <w:lang w:val="en-GB"/>
        </w:rPr>
        <w:t>to demand</w:t>
      </w:r>
      <w:r w:rsidR="007A19AB" w:rsidRPr="00AE2F32">
        <w:rPr>
          <w:rFonts w:eastAsia="Times New Roman" w:cs="Times New Roman"/>
          <w:sz w:val="22"/>
          <w:szCs w:val="22"/>
          <w:lang w:val="en-GB"/>
        </w:rPr>
        <w:t xml:space="preserve"> </w:t>
      </w:r>
      <w:r w:rsidR="00B655B8">
        <w:rPr>
          <w:rFonts w:eastAsia="Times New Roman" w:cs="Times New Roman"/>
          <w:sz w:val="22"/>
          <w:szCs w:val="22"/>
          <w:lang w:val="en-GB"/>
        </w:rPr>
        <w:t xml:space="preserve">the </w:t>
      </w:r>
      <w:r w:rsidR="007A19AB" w:rsidRPr="00AE2F32">
        <w:rPr>
          <w:rFonts w:eastAsia="Times New Roman" w:cs="Times New Roman"/>
          <w:sz w:val="22"/>
          <w:szCs w:val="22"/>
          <w:lang w:val="en-GB"/>
        </w:rPr>
        <w:t xml:space="preserve">abolition of the police checkpoint opened by the central government near the </w:t>
      </w:r>
      <w:r w:rsidR="00CD1BA9" w:rsidRPr="00AE2F32">
        <w:rPr>
          <w:rFonts w:eastAsia="Times New Roman" w:cs="Times New Roman"/>
          <w:sz w:val="22"/>
          <w:szCs w:val="22"/>
          <w:lang w:val="en-GB"/>
        </w:rPr>
        <w:t xml:space="preserve">so-called </w:t>
      </w:r>
      <w:r w:rsidR="007A19AB" w:rsidRPr="00AE2F32">
        <w:rPr>
          <w:rFonts w:eastAsia="Times New Roman" w:cs="Times New Roman"/>
          <w:sz w:val="22"/>
          <w:szCs w:val="22"/>
          <w:lang w:val="en-GB"/>
        </w:rPr>
        <w:t xml:space="preserve">border. </w:t>
      </w:r>
      <w:r w:rsidR="00CD1BA9" w:rsidRPr="00AE2F32">
        <w:rPr>
          <w:rFonts w:eastAsia="Times New Roman" w:cs="Times New Roman"/>
          <w:sz w:val="22"/>
          <w:szCs w:val="22"/>
          <w:lang w:val="en-GB"/>
        </w:rPr>
        <w:t>The situation became extremely difficult as locals</w:t>
      </w:r>
      <w:r w:rsidR="005C1EFB">
        <w:rPr>
          <w:rFonts w:eastAsia="Times New Roman" w:cs="Times New Roman"/>
          <w:sz w:val="22"/>
          <w:szCs w:val="22"/>
          <w:lang w:val="en-GB"/>
        </w:rPr>
        <w:t xml:space="preserve"> couldn’t</w:t>
      </w:r>
      <w:r w:rsidR="00CD1BA9" w:rsidRPr="00AE2F32">
        <w:rPr>
          <w:rFonts w:eastAsia="Times New Roman" w:cs="Times New Roman"/>
          <w:sz w:val="22"/>
          <w:szCs w:val="22"/>
          <w:lang w:val="en-GB"/>
        </w:rPr>
        <w:t xml:space="preserve"> move to Tbilisi to receive vital services. Several cases ended fatally when patients could not get quick and quality healthcare</w:t>
      </w:r>
      <w:r w:rsidR="00D43C21" w:rsidRPr="00AE2F32">
        <w:rPr>
          <w:rFonts w:eastAsia="Times New Roman" w:cs="Times New Roman"/>
          <w:sz w:val="22"/>
          <w:szCs w:val="22"/>
          <w:lang w:val="en-GB"/>
        </w:rPr>
        <w:t>.</w:t>
      </w:r>
      <w:r w:rsidR="00D43C21" w:rsidRPr="00AE2F32">
        <w:rPr>
          <w:rStyle w:val="FootnoteReference"/>
          <w:rFonts w:eastAsia="Times New Roman" w:cs="Times New Roman"/>
          <w:sz w:val="22"/>
          <w:szCs w:val="22"/>
          <w:lang w:val="en-GB"/>
        </w:rPr>
        <w:footnoteReference w:id="99"/>
      </w:r>
      <w:r w:rsidR="00D43C21" w:rsidRPr="00AE2F32">
        <w:rPr>
          <w:rFonts w:eastAsia="Times New Roman" w:cs="Times New Roman"/>
          <w:sz w:val="22"/>
          <w:szCs w:val="22"/>
          <w:lang w:val="en-GB"/>
        </w:rPr>
        <w:t xml:space="preserve"> </w:t>
      </w:r>
      <w:r w:rsidR="00CD1BA9" w:rsidRPr="00AE2F32">
        <w:rPr>
          <w:rFonts w:eastAsia="Times New Roman" w:cs="Times New Roman"/>
          <w:sz w:val="22"/>
          <w:szCs w:val="22"/>
          <w:lang w:val="en-GB"/>
        </w:rPr>
        <w:t xml:space="preserve">Arbitrary closure of checkpoints is a common practice in the Tskhinvali region, as well as in Abkhazia, although the latter has been the longest, with particularly severe social and </w:t>
      </w:r>
      <w:r w:rsidR="009D2D2A" w:rsidRPr="00AE2F32">
        <w:rPr>
          <w:rFonts w:eastAsia="Times New Roman" w:cs="Times New Roman"/>
          <w:sz w:val="22"/>
          <w:szCs w:val="22"/>
          <w:lang w:val="en-GB"/>
        </w:rPr>
        <w:t>rights</w:t>
      </w:r>
      <w:r w:rsidR="00CD1BA9" w:rsidRPr="00AE2F32">
        <w:rPr>
          <w:rFonts w:eastAsia="Times New Roman" w:cs="Times New Roman"/>
          <w:sz w:val="22"/>
          <w:szCs w:val="22"/>
          <w:lang w:val="en-GB"/>
        </w:rPr>
        <w:t xml:space="preserve"> consequences. </w:t>
      </w:r>
    </w:p>
    <w:p w14:paraId="5E974613" w14:textId="43B6EF68" w:rsidR="00D43C21" w:rsidRPr="00AE2F32" w:rsidRDefault="00D43C21" w:rsidP="00EB1CFE">
      <w:pPr>
        <w:jc w:val="both"/>
        <w:rPr>
          <w:rFonts w:eastAsia="Times New Roman" w:cs="Times New Roman"/>
          <w:sz w:val="22"/>
          <w:szCs w:val="22"/>
          <w:lang w:val="en-GB"/>
        </w:rPr>
      </w:pPr>
    </w:p>
    <w:p w14:paraId="5CFC7B4A" w14:textId="4664040E" w:rsidR="00F74EA9" w:rsidRPr="00AE2F32" w:rsidRDefault="009D2D2A" w:rsidP="00EB1CFE">
      <w:pPr>
        <w:jc w:val="both"/>
        <w:rPr>
          <w:rFonts w:eastAsia="Times New Roman" w:cs="Times New Roman"/>
          <w:sz w:val="22"/>
          <w:szCs w:val="22"/>
          <w:lang w:val="en-GB"/>
        </w:rPr>
      </w:pPr>
      <w:r w:rsidRPr="00AE2F32">
        <w:rPr>
          <w:rFonts w:eastAsia="Times New Roman" w:cs="Times New Roman"/>
          <w:sz w:val="22"/>
          <w:szCs w:val="22"/>
          <w:lang w:val="en-GB"/>
        </w:rPr>
        <w:t>The case of persecution, harassment</w:t>
      </w:r>
      <w:r w:rsidR="00B655B8">
        <w:rPr>
          <w:rFonts w:eastAsia="Times New Roman" w:cs="Times New Roman"/>
          <w:sz w:val="22"/>
          <w:szCs w:val="22"/>
          <w:lang w:val="en-GB"/>
        </w:rPr>
        <w:t>,</w:t>
      </w:r>
      <w:r w:rsidRPr="00AE2F32">
        <w:rPr>
          <w:rFonts w:eastAsia="Times New Roman" w:cs="Times New Roman"/>
          <w:sz w:val="22"/>
          <w:szCs w:val="22"/>
          <w:lang w:val="en-GB"/>
        </w:rPr>
        <w:t xml:space="preserve"> and movement restriction of a Georgian civil activist</w:t>
      </w:r>
      <w:r w:rsidR="000727C9" w:rsidRPr="00AE2F32">
        <w:rPr>
          <w:rFonts w:eastAsia="Times New Roman" w:cs="Times New Roman"/>
          <w:sz w:val="22"/>
          <w:szCs w:val="22"/>
          <w:lang w:val="en-GB"/>
        </w:rPr>
        <w:t xml:space="preserve"> -Tamar Mearakishvili</w:t>
      </w:r>
      <w:r w:rsidRPr="00AE2F32">
        <w:rPr>
          <w:rFonts w:eastAsia="Times New Roman" w:cs="Times New Roman"/>
          <w:sz w:val="22"/>
          <w:szCs w:val="22"/>
          <w:lang w:val="en-GB"/>
        </w:rPr>
        <w:t xml:space="preserve"> in the Tskhinvali region is one of the harsh examples of human rights violations</w:t>
      </w:r>
      <w:r w:rsidR="000727C9" w:rsidRPr="00AE2F32">
        <w:rPr>
          <w:rFonts w:eastAsia="Times New Roman" w:cs="Times New Roman"/>
          <w:sz w:val="22"/>
          <w:szCs w:val="22"/>
          <w:lang w:val="en-GB"/>
        </w:rPr>
        <w:t xml:space="preserve">. She is known for her criticism of the local unrecognized government, as well as against </w:t>
      </w:r>
      <w:r w:rsidR="00B655B8">
        <w:rPr>
          <w:rFonts w:eastAsia="Times New Roman" w:cs="Times New Roman"/>
          <w:sz w:val="22"/>
          <w:szCs w:val="22"/>
          <w:lang w:val="en-GB"/>
        </w:rPr>
        <w:t xml:space="preserve">the </w:t>
      </w:r>
      <w:r w:rsidR="000727C9" w:rsidRPr="00AE2F32">
        <w:rPr>
          <w:rFonts w:eastAsia="Times New Roman" w:cs="Times New Roman"/>
          <w:sz w:val="22"/>
          <w:szCs w:val="22"/>
          <w:lang w:val="en-GB"/>
        </w:rPr>
        <w:t xml:space="preserve">Georgian government. Exactly for this, local de-facto authorities openly commenced her persecution and isolation. </w:t>
      </w:r>
      <w:r w:rsidR="00153366">
        <w:rPr>
          <w:rFonts w:eastAsia="Times New Roman" w:cs="Times New Roman"/>
          <w:sz w:val="22"/>
          <w:szCs w:val="22"/>
        </w:rPr>
        <w:t>De-facto</w:t>
      </w:r>
      <w:r w:rsidR="00D23C47" w:rsidRPr="00AE2F32">
        <w:rPr>
          <w:rFonts w:eastAsia="Times New Roman" w:cs="Times New Roman"/>
          <w:sz w:val="22"/>
          <w:szCs w:val="22"/>
          <w:lang w:val="en-GB"/>
        </w:rPr>
        <w:t xml:space="preserve"> security services </w:t>
      </w:r>
      <w:r w:rsidR="000727C9" w:rsidRPr="00AE2F32">
        <w:rPr>
          <w:rFonts w:eastAsia="Times New Roman" w:cs="Times New Roman"/>
          <w:sz w:val="22"/>
          <w:szCs w:val="22"/>
          <w:lang w:val="en-GB"/>
        </w:rPr>
        <w:t xml:space="preserve">abducted </w:t>
      </w:r>
      <w:r w:rsidR="00D23C47">
        <w:rPr>
          <w:rFonts w:eastAsia="Times New Roman" w:cs="Times New Roman"/>
          <w:sz w:val="22"/>
          <w:szCs w:val="22"/>
          <w:lang w:val="en-GB"/>
        </w:rPr>
        <w:t>Tamar</w:t>
      </w:r>
      <w:r w:rsidR="00D23C47" w:rsidRPr="00AE2F32">
        <w:rPr>
          <w:rFonts w:eastAsia="Times New Roman" w:cs="Times New Roman"/>
          <w:sz w:val="22"/>
          <w:szCs w:val="22"/>
          <w:lang w:val="en-GB"/>
        </w:rPr>
        <w:t xml:space="preserve"> </w:t>
      </w:r>
      <w:r w:rsidR="000727C9" w:rsidRPr="00AE2F32">
        <w:rPr>
          <w:rFonts w:eastAsia="Times New Roman" w:cs="Times New Roman"/>
          <w:sz w:val="22"/>
          <w:szCs w:val="22"/>
          <w:lang w:val="en-GB"/>
        </w:rPr>
        <w:t xml:space="preserve">on 8 June 2017 and for 15 hours were threatening and frightening </w:t>
      </w:r>
      <w:r w:rsidR="00B655B8">
        <w:rPr>
          <w:rFonts w:eastAsia="Times New Roman" w:cs="Times New Roman"/>
          <w:sz w:val="22"/>
          <w:szCs w:val="22"/>
          <w:lang w:val="en-GB"/>
        </w:rPr>
        <w:t>to</w:t>
      </w:r>
      <w:r w:rsidR="000727C9" w:rsidRPr="00AE2F32">
        <w:rPr>
          <w:rFonts w:eastAsia="Times New Roman" w:cs="Times New Roman"/>
          <w:sz w:val="22"/>
          <w:szCs w:val="22"/>
          <w:lang w:val="en-GB"/>
        </w:rPr>
        <w:t xml:space="preserve"> gain her confession that she was cooperating with Georgian law-enforcement and security officials</w:t>
      </w:r>
      <w:r w:rsidR="002274A7" w:rsidRPr="00AE2F32">
        <w:rPr>
          <w:rFonts w:eastAsia="Times New Roman" w:cs="Times New Roman"/>
          <w:sz w:val="22"/>
          <w:szCs w:val="22"/>
          <w:lang w:val="en-GB"/>
        </w:rPr>
        <w:t>.</w:t>
      </w:r>
      <w:r w:rsidR="002274A7" w:rsidRPr="00AE2F32">
        <w:rPr>
          <w:rStyle w:val="FootnoteReference"/>
          <w:rFonts w:eastAsia="Times New Roman" w:cs="Times New Roman"/>
          <w:sz w:val="22"/>
          <w:szCs w:val="22"/>
          <w:lang w:val="en-GB"/>
        </w:rPr>
        <w:footnoteReference w:id="100"/>
      </w:r>
      <w:r w:rsidR="006875AA" w:rsidRPr="00AE2F32">
        <w:rPr>
          <w:rFonts w:eastAsia="Times New Roman" w:cs="Times New Roman"/>
          <w:sz w:val="22"/>
          <w:szCs w:val="22"/>
          <w:lang w:val="en-GB"/>
        </w:rPr>
        <w:t xml:space="preserve"> </w:t>
      </w:r>
      <w:r w:rsidR="000727C9" w:rsidRPr="00AE2F32">
        <w:rPr>
          <w:rFonts w:eastAsia="Times New Roman" w:cs="Times New Roman"/>
          <w:sz w:val="22"/>
          <w:szCs w:val="22"/>
          <w:lang w:val="en-GB"/>
        </w:rPr>
        <w:t xml:space="preserve">Since 2017, criminal prosecution against her </w:t>
      </w:r>
      <w:r w:rsidR="00EA3E1E">
        <w:rPr>
          <w:rFonts w:eastAsia="Times New Roman" w:cs="Times New Roman"/>
          <w:sz w:val="22"/>
          <w:szCs w:val="22"/>
          <w:lang w:val="en-GB"/>
        </w:rPr>
        <w:t>is ongoing until now</w:t>
      </w:r>
      <w:r w:rsidR="00EA3E1E" w:rsidRPr="00AE2F32">
        <w:rPr>
          <w:rFonts w:eastAsia="Times New Roman" w:cs="Times New Roman"/>
          <w:sz w:val="22"/>
          <w:szCs w:val="22"/>
          <w:lang w:val="en-GB"/>
        </w:rPr>
        <w:t xml:space="preserve"> </w:t>
      </w:r>
      <w:r w:rsidR="000727C9" w:rsidRPr="00AE2F32">
        <w:rPr>
          <w:rFonts w:eastAsia="Times New Roman" w:cs="Times New Roman"/>
          <w:sz w:val="22"/>
          <w:szCs w:val="22"/>
          <w:lang w:val="en-GB"/>
        </w:rPr>
        <w:t>on the charges of defamation, forgery of documents</w:t>
      </w:r>
      <w:r w:rsidR="00B655B8">
        <w:rPr>
          <w:rFonts w:eastAsia="Times New Roman" w:cs="Times New Roman"/>
          <w:sz w:val="22"/>
          <w:szCs w:val="22"/>
          <w:lang w:val="en-GB"/>
        </w:rPr>
        <w:t>,</w:t>
      </w:r>
      <w:r w:rsidR="000727C9" w:rsidRPr="00AE2F32">
        <w:rPr>
          <w:rFonts w:eastAsia="Times New Roman" w:cs="Times New Roman"/>
          <w:sz w:val="22"/>
          <w:szCs w:val="22"/>
          <w:lang w:val="en-GB"/>
        </w:rPr>
        <w:t xml:space="preserve"> and illegal receipt of official documents.</w:t>
      </w:r>
      <w:r w:rsidR="00064C8B" w:rsidRPr="00AE2F32">
        <w:rPr>
          <w:rFonts w:eastAsia="Times New Roman" w:cs="Times New Roman"/>
          <w:sz w:val="22"/>
          <w:szCs w:val="22"/>
          <w:lang w:val="en-GB"/>
        </w:rPr>
        <w:t xml:space="preserve"> </w:t>
      </w:r>
      <w:r w:rsidR="00EA3E1E">
        <w:rPr>
          <w:rFonts w:eastAsia="Times New Roman" w:cs="Times New Roman"/>
          <w:sz w:val="22"/>
          <w:szCs w:val="22"/>
          <w:lang w:val="en-GB"/>
        </w:rPr>
        <w:t xml:space="preserve">Her </w:t>
      </w:r>
      <w:r w:rsidR="00064C8B" w:rsidRPr="00AE2F32">
        <w:rPr>
          <w:rFonts w:eastAsia="Times New Roman" w:cs="Times New Roman"/>
          <w:sz w:val="22"/>
          <w:szCs w:val="22"/>
          <w:lang w:val="en-GB"/>
        </w:rPr>
        <w:t xml:space="preserve">documents </w:t>
      </w:r>
      <w:r w:rsidR="00EA3E1E">
        <w:rPr>
          <w:rFonts w:eastAsia="Times New Roman" w:cs="Times New Roman"/>
          <w:sz w:val="22"/>
          <w:szCs w:val="22"/>
          <w:lang w:val="en-GB"/>
        </w:rPr>
        <w:t xml:space="preserve">are </w:t>
      </w:r>
      <w:r w:rsidR="00064C8B" w:rsidRPr="00AE2F32">
        <w:rPr>
          <w:rFonts w:eastAsia="Times New Roman" w:cs="Times New Roman"/>
          <w:sz w:val="22"/>
          <w:szCs w:val="22"/>
          <w:lang w:val="en-GB"/>
        </w:rPr>
        <w:t>confiscated and freedom of movement</w:t>
      </w:r>
      <w:r w:rsidR="00EA3E1E">
        <w:rPr>
          <w:rFonts w:eastAsia="Times New Roman" w:cs="Times New Roman"/>
          <w:sz w:val="22"/>
          <w:szCs w:val="22"/>
          <w:lang w:val="en-GB"/>
        </w:rPr>
        <w:t xml:space="preserve"> is</w:t>
      </w:r>
      <w:r w:rsidR="00064C8B" w:rsidRPr="00AE2F32">
        <w:rPr>
          <w:rFonts w:eastAsia="Times New Roman" w:cs="Times New Roman"/>
          <w:sz w:val="22"/>
          <w:szCs w:val="22"/>
          <w:lang w:val="en-GB"/>
        </w:rPr>
        <w:t xml:space="preserve"> restricted</w:t>
      </w:r>
      <w:r w:rsidR="00E972C2" w:rsidRPr="00AE2F32">
        <w:rPr>
          <w:rFonts w:eastAsia="Times New Roman" w:cs="Times New Roman"/>
          <w:sz w:val="22"/>
          <w:szCs w:val="22"/>
          <w:lang w:val="en-GB"/>
        </w:rPr>
        <w:t>.</w:t>
      </w:r>
      <w:r w:rsidR="00E972C2" w:rsidRPr="00AE2F32">
        <w:rPr>
          <w:rStyle w:val="FootnoteReference"/>
          <w:rFonts w:eastAsia="Times New Roman" w:cs="Times New Roman"/>
          <w:sz w:val="22"/>
          <w:szCs w:val="22"/>
          <w:lang w:val="en-GB"/>
        </w:rPr>
        <w:footnoteReference w:id="101"/>
      </w:r>
      <w:r w:rsidR="00E972C2" w:rsidRPr="00AE2F32">
        <w:rPr>
          <w:rFonts w:eastAsia="Times New Roman" w:cs="Times New Roman"/>
          <w:sz w:val="22"/>
          <w:szCs w:val="22"/>
          <w:lang w:val="en-GB"/>
        </w:rPr>
        <w:t xml:space="preserve"> </w:t>
      </w:r>
    </w:p>
    <w:p w14:paraId="1C7D847A" w14:textId="645C6630" w:rsidR="001A0289" w:rsidRPr="00AE2F32" w:rsidRDefault="001A0289" w:rsidP="00EB1CFE">
      <w:pPr>
        <w:jc w:val="both"/>
        <w:rPr>
          <w:rFonts w:eastAsia="Times New Roman" w:cs="Times New Roman"/>
          <w:sz w:val="22"/>
          <w:szCs w:val="22"/>
          <w:lang w:val="en-GB"/>
        </w:rPr>
      </w:pPr>
    </w:p>
    <w:p w14:paraId="47C926C3" w14:textId="43E2EDBE" w:rsidR="00064C8B" w:rsidRPr="00AE2F32" w:rsidRDefault="00064C8B" w:rsidP="00EB1CFE">
      <w:pPr>
        <w:jc w:val="both"/>
        <w:rPr>
          <w:rFonts w:eastAsia="Times New Roman" w:cs="Times New Roman"/>
          <w:sz w:val="22"/>
          <w:szCs w:val="22"/>
          <w:lang w:val="en-GB"/>
        </w:rPr>
      </w:pPr>
      <w:r w:rsidRPr="00AE2F32">
        <w:rPr>
          <w:rFonts w:eastAsia="Times New Roman" w:cs="Times New Roman"/>
          <w:sz w:val="22"/>
          <w:szCs w:val="22"/>
          <w:lang w:val="en-GB"/>
        </w:rPr>
        <w:t xml:space="preserve">Against </w:t>
      </w:r>
      <w:r w:rsidR="00EA3E1E">
        <w:rPr>
          <w:rFonts w:eastAsia="Times New Roman" w:cs="Times New Roman"/>
          <w:sz w:val="22"/>
          <w:szCs w:val="22"/>
          <w:lang w:val="en-GB"/>
        </w:rPr>
        <w:t>this</w:t>
      </w:r>
      <w:r w:rsidR="00EA3E1E" w:rsidRPr="00AE2F32">
        <w:rPr>
          <w:rFonts w:eastAsia="Times New Roman" w:cs="Times New Roman"/>
          <w:sz w:val="22"/>
          <w:szCs w:val="22"/>
          <w:lang w:val="en-GB"/>
        </w:rPr>
        <w:t xml:space="preserve"> </w:t>
      </w:r>
      <w:r w:rsidR="00EA3E1E">
        <w:rPr>
          <w:rFonts w:eastAsia="Times New Roman" w:cs="Times New Roman"/>
          <w:sz w:val="22"/>
          <w:szCs w:val="22"/>
          <w:lang w:val="en-GB"/>
        </w:rPr>
        <w:t xml:space="preserve">difficult legal and social </w:t>
      </w:r>
      <w:r w:rsidRPr="00AE2F32">
        <w:rPr>
          <w:rFonts w:eastAsia="Times New Roman" w:cs="Times New Roman"/>
          <w:sz w:val="22"/>
          <w:szCs w:val="22"/>
          <w:lang w:val="en-GB"/>
        </w:rPr>
        <w:t xml:space="preserve">background restrictions imposed by the Georgian authorities are particularly problematic, preventing media representatives, political parties and non-governmental organizations from entering and moving to villages </w:t>
      </w:r>
      <w:r w:rsidR="00FE1099">
        <w:rPr>
          <w:rFonts w:eastAsia="Times New Roman" w:cs="Times New Roman"/>
          <w:sz w:val="22"/>
          <w:szCs w:val="22"/>
          <w:lang w:val="en-GB"/>
        </w:rPr>
        <w:t>close to occupation line, on Tbilisi-Administered Territory</w:t>
      </w:r>
      <w:r w:rsidRPr="00AE2F32">
        <w:rPr>
          <w:rFonts w:eastAsia="Times New Roman" w:cs="Times New Roman"/>
          <w:sz w:val="22"/>
          <w:szCs w:val="22"/>
          <w:lang w:val="en-GB"/>
        </w:rPr>
        <w:t xml:space="preserve">. </w:t>
      </w:r>
      <w:r w:rsidR="00222E8B">
        <w:rPr>
          <w:rFonts w:eastAsia="Times New Roman" w:cs="Times New Roman"/>
          <w:sz w:val="22"/>
          <w:szCs w:val="22"/>
          <w:lang w:val="en-GB"/>
        </w:rPr>
        <w:t>The imposition</w:t>
      </w:r>
      <w:r w:rsidR="00EA3E1E">
        <w:rPr>
          <w:rFonts w:eastAsia="Times New Roman" w:cs="Times New Roman"/>
          <w:sz w:val="22"/>
          <w:szCs w:val="22"/>
          <w:lang w:val="en-GB"/>
        </w:rPr>
        <w:t xml:space="preserve"> </w:t>
      </w:r>
      <w:r w:rsidR="00256F01">
        <w:rPr>
          <w:rFonts w:eastAsia="Times New Roman" w:cs="Times New Roman"/>
          <w:sz w:val="22"/>
          <w:szCs w:val="22"/>
          <w:lang w:val="en-GB"/>
        </w:rPr>
        <w:t xml:space="preserve">of </w:t>
      </w:r>
      <w:r w:rsidR="00256F01" w:rsidRPr="00AE2F32">
        <w:rPr>
          <w:rFonts w:eastAsia="Times New Roman" w:cs="Times New Roman"/>
          <w:sz w:val="22"/>
          <w:szCs w:val="22"/>
          <w:lang w:val="en-GB"/>
        </w:rPr>
        <w:t>blanket</w:t>
      </w:r>
      <w:r w:rsidRPr="00AE2F32">
        <w:rPr>
          <w:rFonts w:eastAsia="Times New Roman" w:cs="Times New Roman"/>
          <w:sz w:val="22"/>
          <w:szCs w:val="22"/>
          <w:lang w:val="en-GB"/>
        </w:rPr>
        <w:t xml:space="preserve"> and arbitrary restrictions </w:t>
      </w:r>
      <w:r w:rsidR="00222E8B">
        <w:rPr>
          <w:rFonts w:eastAsia="Times New Roman" w:cs="Times New Roman"/>
          <w:sz w:val="22"/>
          <w:szCs w:val="22"/>
          <w:lang w:val="en-GB"/>
        </w:rPr>
        <w:t>run</w:t>
      </w:r>
      <w:r w:rsidRPr="00AE2F32">
        <w:rPr>
          <w:rFonts w:eastAsia="Times New Roman" w:cs="Times New Roman"/>
          <w:sz w:val="22"/>
          <w:szCs w:val="22"/>
          <w:lang w:val="en-GB"/>
        </w:rPr>
        <w:t xml:space="preserve"> counter to the protection of freedom of movement and expression.</w:t>
      </w:r>
    </w:p>
    <w:p w14:paraId="6159B425" w14:textId="77777777" w:rsidR="00064C8B" w:rsidRPr="00AE2F32" w:rsidRDefault="00064C8B" w:rsidP="00EB1CFE">
      <w:pPr>
        <w:jc w:val="both"/>
        <w:rPr>
          <w:rFonts w:eastAsia="Times New Roman" w:cs="Times New Roman"/>
          <w:sz w:val="22"/>
          <w:szCs w:val="22"/>
          <w:lang w:val="en-GB"/>
        </w:rPr>
      </w:pPr>
    </w:p>
    <w:p w14:paraId="630AD7D3" w14:textId="20A83534" w:rsidR="001C2D65" w:rsidRPr="00AE2F32" w:rsidRDefault="00064C8B" w:rsidP="00381840">
      <w:pPr>
        <w:shd w:val="clear" w:color="auto" w:fill="C9C9C9" w:themeFill="accent3" w:themeFillTint="99"/>
        <w:jc w:val="both"/>
        <w:rPr>
          <w:rFonts w:eastAsia="Times New Roman" w:cs="Times New Roman"/>
          <w:b/>
          <w:bCs/>
          <w:sz w:val="22"/>
          <w:szCs w:val="22"/>
          <w:lang w:val="en-GB"/>
        </w:rPr>
      </w:pPr>
      <w:r w:rsidRPr="00AE2F32">
        <w:rPr>
          <w:rFonts w:eastAsia="Times New Roman" w:cs="Times New Roman"/>
          <w:b/>
          <w:bCs/>
          <w:sz w:val="22"/>
          <w:szCs w:val="22"/>
          <w:lang w:val="en-GB"/>
        </w:rPr>
        <w:t xml:space="preserve">Recommendations: </w:t>
      </w:r>
    </w:p>
    <w:p w14:paraId="607DB91E" w14:textId="0C69CD2F" w:rsidR="001C2D65" w:rsidRPr="00AE2F32" w:rsidRDefault="001C2D65" w:rsidP="00381840">
      <w:pPr>
        <w:shd w:val="clear" w:color="auto" w:fill="C9C9C9" w:themeFill="accent3" w:themeFillTint="99"/>
        <w:jc w:val="both"/>
        <w:rPr>
          <w:rFonts w:eastAsia="Times New Roman" w:cs="Times New Roman"/>
          <w:sz w:val="22"/>
          <w:szCs w:val="22"/>
          <w:u w:val="single"/>
          <w:lang w:val="en-GB"/>
        </w:rPr>
      </w:pPr>
    </w:p>
    <w:p w14:paraId="096A9743" w14:textId="19CC52F8" w:rsidR="00064C8B" w:rsidRPr="00AE2F32" w:rsidRDefault="00064C8B" w:rsidP="0023502D">
      <w:pPr>
        <w:pStyle w:val="ListParagraph"/>
        <w:numPr>
          <w:ilvl w:val="0"/>
          <w:numId w:val="30"/>
        </w:numPr>
        <w:shd w:val="clear" w:color="auto" w:fill="C9C9C9" w:themeFill="accent3" w:themeFillTint="99"/>
        <w:jc w:val="both"/>
        <w:rPr>
          <w:rFonts w:eastAsia="Times New Roman" w:cs="Times New Roman"/>
          <w:sz w:val="22"/>
          <w:szCs w:val="22"/>
          <w:lang w:val="en-GB"/>
        </w:rPr>
      </w:pPr>
      <w:r w:rsidRPr="00AE2F32">
        <w:rPr>
          <w:rFonts w:eastAsia="Times New Roman" w:cs="Times New Roman"/>
          <w:sz w:val="22"/>
          <w:szCs w:val="22"/>
          <w:lang w:val="en-GB"/>
        </w:rPr>
        <w:t>Use all diplomatic and legal means at its disposal to stop the violation of the rights of the citizens of Georgia;</w:t>
      </w:r>
    </w:p>
    <w:p w14:paraId="4E97B548" w14:textId="6AF04F4F" w:rsidR="00064C8B" w:rsidRPr="00AE2F32" w:rsidRDefault="00064C8B" w:rsidP="0023502D">
      <w:pPr>
        <w:pStyle w:val="ListParagraph"/>
        <w:numPr>
          <w:ilvl w:val="0"/>
          <w:numId w:val="30"/>
        </w:numPr>
        <w:shd w:val="clear" w:color="auto" w:fill="C9C9C9" w:themeFill="accent3" w:themeFillTint="99"/>
        <w:jc w:val="both"/>
        <w:rPr>
          <w:rFonts w:eastAsia="Times New Roman" w:cs="Times New Roman"/>
          <w:sz w:val="22"/>
          <w:szCs w:val="22"/>
          <w:lang w:val="en-GB"/>
        </w:rPr>
      </w:pPr>
      <w:r w:rsidRPr="00AE2F32">
        <w:rPr>
          <w:rFonts w:eastAsia="Times New Roman" w:cs="Times New Roman"/>
          <w:sz w:val="22"/>
          <w:szCs w:val="22"/>
          <w:lang w:val="en-GB"/>
        </w:rPr>
        <w:t>Strengthen conflict resolution through reconciliation and dialogue, and develop clear policies aimed at conflict transformation, protection of human rights and well-being.</w:t>
      </w:r>
    </w:p>
    <w:p w14:paraId="5139F53A" w14:textId="77777777" w:rsidR="002D6B09" w:rsidRPr="00AE2F32" w:rsidRDefault="002D6B09" w:rsidP="0023502D">
      <w:pPr>
        <w:pStyle w:val="ListParagraph"/>
        <w:numPr>
          <w:ilvl w:val="0"/>
          <w:numId w:val="30"/>
        </w:numPr>
        <w:shd w:val="clear" w:color="auto" w:fill="C9C9C9" w:themeFill="accent3" w:themeFillTint="99"/>
        <w:jc w:val="both"/>
        <w:rPr>
          <w:rFonts w:eastAsia="Times New Roman" w:cs="Times New Roman"/>
          <w:sz w:val="22"/>
          <w:szCs w:val="22"/>
          <w:lang w:val="en-GB"/>
        </w:rPr>
      </w:pPr>
      <w:r w:rsidRPr="00AE2F32">
        <w:rPr>
          <w:rFonts w:eastAsia="Times New Roman" w:cs="Times New Roman"/>
          <w:sz w:val="22"/>
          <w:szCs w:val="22"/>
          <w:lang w:val="en-GB"/>
        </w:rPr>
        <w:t>Proactively apply international legal human rights instruments in cases of rights violation;</w:t>
      </w:r>
    </w:p>
    <w:p w14:paraId="7621E81F" w14:textId="019C9D1F" w:rsidR="002D6B09" w:rsidRPr="00AE2F32" w:rsidRDefault="002D6B09" w:rsidP="0023502D">
      <w:pPr>
        <w:pStyle w:val="ListParagraph"/>
        <w:numPr>
          <w:ilvl w:val="0"/>
          <w:numId w:val="30"/>
        </w:numPr>
        <w:shd w:val="clear" w:color="auto" w:fill="C9C9C9" w:themeFill="accent3" w:themeFillTint="99"/>
        <w:jc w:val="both"/>
        <w:rPr>
          <w:rFonts w:eastAsia="Times New Roman" w:cs="Times New Roman"/>
          <w:sz w:val="22"/>
          <w:szCs w:val="22"/>
          <w:lang w:val="en-GB"/>
        </w:rPr>
      </w:pPr>
      <w:r w:rsidRPr="00AE2F32">
        <w:rPr>
          <w:rFonts w:eastAsia="Times New Roman" w:cs="Times New Roman"/>
          <w:sz w:val="22"/>
          <w:szCs w:val="22"/>
          <w:lang w:val="en-GB"/>
        </w:rPr>
        <w:lastRenderedPageBreak/>
        <w:t xml:space="preserve">Continue cooperation with international organizations and on diplomatic </w:t>
      </w:r>
      <w:r w:rsidR="00507BCD">
        <w:rPr>
          <w:rFonts w:eastAsia="Times New Roman" w:cs="Times New Roman"/>
          <w:sz w:val="22"/>
          <w:szCs w:val="22"/>
          <w:lang w:val="en-GB"/>
        </w:rPr>
        <w:t>levels</w:t>
      </w:r>
      <w:r w:rsidRPr="00AE2F32">
        <w:rPr>
          <w:rFonts w:eastAsia="Times New Roman" w:cs="Times New Roman"/>
          <w:sz w:val="22"/>
          <w:szCs w:val="22"/>
          <w:lang w:val="en-GB"/>
        </w:rPr>
        <w:t xml:space="preserve"> to ensure access </w:t>
      </w:r>
      <w:r w:rsidR="00222E8B">
        <w:rPr>
          <w:rFonts w:eastAsia="Times New Roman" w:cs="Times New Roman"/>
          <w:sz w:val="22"/>
          <w:szCs w:val="22"/>
          <w:lang w:val="en-GB"/>
        </w:rPr>
        <w:t>to</w:t>
      </w:r>
      <w:r w:rsidRPr="00AE2F32">
        <w:rPr>
          <w:rFonts w:eastAsia="Times New Roman" w:cs="Times New Roman"/>
          <w:sz w:val="22"/>
          <w:szCs w:val="22"/>
          <w:lang w:val="en-GB"/>
        </w:rPr>
        <w:t xml:space="preserve"> international human rights monitoring mechanisms and humanitarian organizations to the occupied territories. </w:t>
      </w:r>
    </w:p>
    <w:p w14:paraId="42D1AB61" w14:textId="77777777" w:rsidR="002D6B09" w:rsidRPr="00AE2F32" w:rsidRDefault="002D6B09" w:rsidP="0023502D">
      <w:pPr>
        <w:pStyle w:val="ListParagraph"/>
        <w:numPr>
          <w:ilvl w:val="0"/>
          <w:numId w:val="30"/>
        </w:numPr>
        <w:shd w:val="clear" w:color="auto" w:fill="C9C9C9" w:themeFill="accent3" w:themeFillTint="99"/>
        <w:jc w:val="both"/>
        <w:rPr>
          <w:rFonts w:eastAsia="Times New Roman" w:cs="Times New Roman"/>
          <w:sz w:val="22"/>
          <w:szCs w:val="22"/>
          <w:lang w:val="en-GB"/>
        </w:rPr>
      </w:pPr>
      <w:r w:rsidRPr="00AE2F32">
        <w:rPr>
          <w:rFonts w:eastAsia="Times New Roman" w:cs="Times New Roman"/>
          <w:sz w:val="22"/>
          <w:szCs w:val="22"/>
          <w:lang w:val="en-GB"/>
        </w:rPr>
        <w:t xml:space="preserve">Develop special humanitarian support programs, which in cases of checkpoint arbitrary closures will minimize the harm to the population; </w:t>
      </w:r>
    </w:p>
    <w:p w14:paraId="38F6ED72" w14:textId="54ADEE28" w:rsidR="001A0289" w:rsidRPr="00AE2F32" w:rsidRDefault="002D6B09" w:rsidP="0023502D">
      <w:pPr>
        <w:pStyle w:val="ListParagraph"/>
        <w:numPr>
          <w:ilvl w:val="0"/>
          <w:numId w:val="30"/>
        </w:numPr>
        <w:shd w:val="clear" w:color="auto" w:fill="C9C9C9" w:themeFill="accent3" w:themeFillTint="99"/>
        <w:jc w:val="both"/>
        <w:rPr>
          <w:rFonts w:eastAsia="Times New Roman" w:cs="Times New Roman"/>
          <w:sz w:val="22"/>
          <w:szCs w:val="22"/>
          <w:lang w:val="en-GB"/>
        </w:rPr>
      </w:pPr>
      <w:r w:rsidRPr="00AE2F32">
        <w:rPr>
          <w:rFonts w:eastAsia="Times New Roman" w:cs="Times New Roman"/>
          <w:sz w:val="22"/>
          <w:szCs w:val="22"/>
          <w:lang w:val="en-GB"/>
        </w:rPr>
        <w:t xml:space="preserve">Eradicate blanket restriction of movement nearby </w:t>
      </w:r>
      <w:r w:rsidR="008B0C6D">
        <w:rPr>
          <w:rFonts w:eastAsia="Times New Roman" w:cs="Times New Roman"/>
          <w:sz w:val="22"/>
          <w:szCs w:val="22"/>
          <w:lang w:val="en-GB"/>
        </w:rPr>
        <w:t>occupation line</w:t>
      </w:r>
      <w:r w:rsidR="008B0C6D" w:rsidRPr="00AE2F32">
        <w:rPr>
          <w:rFonts w:eastAsia="Times New Roman" w:cs="Times New Roman"/>
          <w:sz w:val="22"/>
          <w:szCs w:val="22"/>
          <w:lang w:val="en-GB"/>
        </w:rPr>
        <w:t xml:space="preserve"> </w:t>
      </w:r>
      <w:r w:rsidRPr="00AE2F32">
        <w:rPr>
          <w:rFonts w:eastAsia="Times New Roman" w:cs="Times New Roman"/>
          <w:sz w:val="22"/>
          <w:szCs w:val="22"/>
          <w:lang w:val="en-GB"/>
        </w:rPr>
        <w:t>for media, civil society</w:t>
      </w:r>
      <w:r w:rsidR="00507BCD">
        <w:rPr>
          <w:rFonts w:eastAsia="Times New Roman" w:cs="Times New Roman"/>
          <w:sz w:val="22"/>
          <w:szCs w:val="22"/>
          <w:lang w:val="en-GB"/>
        </w:rPr>
        <w:t>,</w:t>
      </w:r>
      <w:r w:rsidRPr="00AE2F32">
        <w:rPr>
          <w:rFonts w:eastAsia="Times New Roman" w:cs="Times New Roman"/>
          <w:sz w:val="22"/>
          <w:szCs w:val="22"/>
          <w:lang w:val="en-GB"/>
        </w:rPr>
        <w:t xml:space="preserve"> and political parties and develop attitudes based on objective criteria, which will not go beyond legitimate intervention in freedom of expression and movement. </w:t>
      </w:r>
    </w:p>
    <w:p w14:paraId="6319DB50" w14:textId="77777777" w:rsidR="00032493" w:rsidRPr="00AE2F32" w:rsidRDefault="00032493" w:rsidP="00032493">
      <w:pPr>
        <w:pStyle w:val="ListParagraph"/>
        <w:ind w:left="360"/>
        <w:jc w:val="both"/>
        <w:rPr>
          <w:rFonts w:eastAsia="Times New Roman" w:cs="Times New Roman"/>
          <w:sz w:val="22"/>
          <w:szCs w:val="22"/>
          <w:u w:val="single"/>
          <w:lang w:val="en-GB"/>
        </w:rPr>
      </w:pPr>
    </w:p>
    <w:p w14:paraId="13AFBEEA" w14:textId="483ABF01" w:rsidR="00E972C2" w:rsidRPr="00AE2F32" w:rsidRDefault="002D6B09" w:rsidP="00381840">
      <w:pPr>
        <w:shd w:val="clear" w:color="auto" w:fill="C9C9C9" w:themeFill="accent3" w:themeFillTint="99"/>
        <w:jc w:val="both"/>
        <w:rPr>
          <w:rFonts w:eastAsia="Times New Roman" w:cs="Times New Roman"/>
          <w:b/>
          <w:bCs/>
          <w:sz w:val="22"/>
          <w:szCs w:val="22"/>
          <w:lang w:val="en-GB"/>
        </w:rPr>
      </w:pPr>
      <w:r w:rsidRPr="00AE2F32">
        <w:rPr>
          <w:rFonts w:eastAsia="Times New Roman" w:cs="Times New Roman"/>
          <w:b/>
          <w:bCs/>
          <w:sz w:val="22"/>
          <w:szCs w:val="22"/>
          <w:lang w:val="en-GB"/>
        </w:rPr>
        <w:t xml:space="preserve">Questions: </w:t>
      </w:r>
    </w:p>
    <w:p w14:paraId="07A3815B" w14:textId="594E08D7" w:rsidR="00445A3D" w:rsidRPr="00AE2F32" w:rsidRDefault="002D6B09" w:rsidP="0023502D">
      <w:pPr>
        <w:pStyle w:val="ListParagraph"/>
        <w:numPr>
          <w:ilvl w:val="0"/>
          <w:numId w:val="3"/>
        </w:numPr>
        <w:shd w:val="clear" w:color="auto" w:fill="C9C9C9" w:themeFill="accent3" w:themeFillTint="99"/>
        <w:jc w:val="both"/>
        <w:rPr>
          <w:rFonts w:eastAsia="Times New Roman" w:cs="Times New Roman"/>
          <w:sz w:val="22"/>
          <w:szCs w:val="22"/>
          <w:lang w:val="en-GB"/>
        </w:rPr>
      </w:pPr>
      <w:r w:rsidRPr="00AE2F32">
        <w:rPr>
          <w:rFonts w:eastAsia="Times New Roman" w:cs="Times New Roman"/>
          <w:sz w:val="22"/>
          <w:szCs w:val="22"/>
          <w:lang w:val="en-GB"/>
        </w:rPr>
        <w:t xml:space="preserve">What measures are taken to resolve conflict with dialogue and reconciliation? </w:t>
      </w:r>
    </w:p>
    <w:p w14:paraId="09791149" w14:textId="704452AD" w:rsidR="00E972C2" w:rsidRPr="00AE2F32" w:rsidRDefault="002D6B09" w:rsidP="0023502D">
      <w:pPr>
        <w:pStyle w:val="ListParagraph"/>
        <w:numPr>
          <w:ilvl w:val="0"/>
          <w:numId w:val="3"/>
        </w:numPr>
        <w:shd w:val="clear" w:color="auto" w:fill="C9C9C9" w:themeFill="accent3" w:themeFillTint="99"/>
        <w:jc w:val="both"/>
        <w:rPr>
          <w:rFonts w:eastAsia="Times New Roman" w:cs="Times New Roman"/>
          <w:sz w:val="22"/>
          <w:szCs w:val="22"/>
          <w:lang w:val="en-GB"/>
        </w:rPr>
      </w:pPr>
      <w:r w:rsidRPr="00AE2F32">
        <w:rPr>
          <w:rFonts w:eastAsia="Times New Roman" w:cs="Times New Roman"/>
          <w:sz w:val="22"/>
          <w:szCs w:val="22"/>
          <w:lang w:val="en-GB"/>
        </w:rPr>
        <w:t xml:space="preserve">What measures are taken to </w:t>
      </w:r>
      <w:r w:rsidR="00507BCD">
        <w:rPr>
          <w:rFonts w:eastAsia="Times New Roman" w:cs="Times New Roman"/>
          <w:sz w:val="22"/>
          <w:szCs w:val="22"/>
          <w:lang w:val="en-GB"/>
        </w:rPr>
        <w:t>respond to</w:t>
      </w:r>
      <w:r w:rsidRPr="00AE2F32">
        <w:rPr>
          <w:rFonts w:eastAsia="Times New Roman" w:cs="Times New Roman"/>
          <w:sz w:val="22"/>
          <w:szCs w:val="22"/>
          <w:lang w:val="en-GB"/>
        </w:rPr>
        <w:t xml:space="preserve"> </w:t>
      </w:r>
      <w:r w:rsidR="00222E8B">
        <w:rPr>
          <w:rFonts w:eastAsia="Times New Roman" w:cs="Times New Roman"/>
          <w:sz w:val="22"/>
          <w:szCs w:val="22"/>
          <w:lang w:val="en-GB"/>
        </w:rPr>
        <w:t xml:space="preserve">the </w:t>
      </w:r>
      <w:r w:rsidRPr="00AE2F32">
        <w:rPr>
          <w:rFonts w:eastAsia="Times New Roman" w:cs="Times New Roman"/>
          <w:sz w:val="22"/>
          <w:szCs w:val="22"/>
          <w:lang w:val="en-GB"/>
        </w:rPr>
        <w:t xml:space="preserve">humanitarian crisis in Akhalgori? </w:t>
      </w:r>
    </w:p>
    <w:p w14:paraId="52C98500" w14:textId="6186D971" w:rsidR="002D6B09" w:rsidRPr="00AE2F32" w:rsidRDefault="002D6B09" w:rsidP="0023502D">
      <w:pPr>
        <w:pStyle w:val="ListParagraph"/>
        <w:numPr>
          <w:ilvl w:val="0"/>
          <w:numId w:val="3"/>
        </w:numPr>
        <w:shd w:val="clear" w:color="auto" w:fill="C9C9C9" w:themeFill="accent3" w:themeFillTint="99"/>
        <w:jc w:val="both"/>
        <w:rPr>
          <w:rFonts w:eastAsia="Times New Roman" w:cs="Times New Roman"/>
          <w:sz w:val="22"/>
          <w:szCs w:val="22"/>
          <w:lang w:val="en-GB"/>
        </w:rPr>
      </w:pPr>
      <w:r w:rsidRPr="00AE2F32">
        <w:rPr>
          <w:rFonts w:eastAsia="Times New Roman" w:cs="Times New Roman"/>
          <w:sz w:val="22"/>
          <w:szCs w:val="22"/>
          <w:lang w:val="en-GB"/>
        </w:rPr>
        <w:t xml:space="preserve">What measures are taken to eradicate persecution and rights violation of civil activist Tamar Mearakishvili? </w:t>
      </w:r>
    </w:p>
    <w:p w14:paraId="70B6C6B3" w14:textId="04C73771" w:rsidR="002D6B09" w:rsidRPr="00AE2F32" w:rsidRDefault="002D6B09" w:rsidP="0023502D">
      <w:pPr>
        <w:pStyle w:val="ListParagraph"/>
        <w:numPr>
          <w:ilvl w:val="0"/>
          <w:numId w:val="3"/>
        </w:numPr>
        <w:shd w:val="clear" w:color="auto" w:fill="C9C9C9" w:themeFill="accent3" w:themeFillTint="99"/>
        <w:jc w:val="both"/>
        <w:rPr>
          <w:rFonts w:eastAsia="Times New Roman" w:cs="Times New Roman"/>
          <w:sz w:val="22"/>
          <w:szCs w:val="22"/>
          <w:lang w:val="en-GB"/>
        </w:rPr>
      </w:pPr>
      <w:r w:rsidRPr="00AE2F32">
        <w:rPr>
          <w:rFonts w:eastAsia="Times New Roman" w:cs="Times New Roman"/>
          <w:sz w:val="22"/>
          <w:szCs w:val="22"/>
          <w:lang w:val="en-GB"/>
        </w:rPr>
        <w:t xml:space="preserve">What measures are </w:t>
      </w:r>
      <w:r w:rsidR="00256F01" w:rsidRPr="00AE2F32">
        <w:rPr>
          <w:rFonts w:eastAsia="Times New Roman" w:cs="Times New Roman"/>
          <w:sz w:val="22"/>
          <w:szCs w:val="22"/>
          <w:lang w:val="en-GB"/>
        </w:rPr>
        <w:t>taken to</w:t>
      </w:r>
      <w:r w:rsidRPr="00AE2F32">
        <w:rPr>
          <w:rFonts w:eastAsia="Times New Roman" w:cs="Times New Roman"/>
          <w:sz w:val="22"/>
          <w:szCs w:val="22"/>
          <w:lang w:val="en-GB"/>
        </w:rPr>
        <w:t xml:space="preserve"> prevent and react </w:t>
      </w:r>
      <w:r w:rsidR="00507BCD">
        <w:rPr>
          <w:rFonts w:eastAsia="Times New Roman" w:cs="Times New Roman"/>
          <w:sz w:val="22"/>
          <w:szCs w:val="22"/>
          <w:lang w:val="en-GB"/>
        </w:rPr>
        <w:t>to</w:t>
      </w:r>
      <w:r w:rsidRPr="00AE2F32">
        <w:rPr>
          <w:rFonts w:eastAsia="Times New Roman" w:cs="Times New Roman"/>
          <w:sz w:val="22"/>
          <w:szCs w:val="22"/>
          <w:lang w:val="en-GB"/>
        </w:rPr>
        <w:t xml:space="preserve"> the arbitrary “border </w:t>
      </w:r>
      <w:r w:rsidR="00B73A5F" w:rsidRPr="00AE2F32">
        <w:rPr>
          <w:rFonts w:eastAsia="Times New Roman" w:cs="Times New Roman"/>
          <w:sz w:val="22"/>
          <w:szCs w:val="22"/>
          <w:lang w:val="en-GB"/>
        </w:rPr>
        <w:t xml:space="preserve">closure”? </w:t>
      </w:r>
    </w:p>
    <w:p w14:paraId="1C9C35EF" w14:textId="77777777" w:rsidR="007918A6" w:rsidRPr="00AE2F32" w:rsidRDefault="007918A6" w:rsidP="00EB1CFE">
      <w:pPr>
        <w:ind w:left="720"/>
        <w:rPr>
          <w:rFonts w:eastAsia="Times New Roman" w:cs="Times New Roman"/>
          <w:sz w:val="22"/>
          <w:szCs w:val="22"/>
          <w:lang w:val="en-GB"/>
        </w:rPr>
      </w:pPr>
    </w:p>
    <w:p w14:paraId="5225E43F" w14:textId="4E86EBCE" w:rsidR="007818F9" w:rsidRPr="00AE2F32" w:rsidRDefault="000F27D7" w:rsidP="0023502D">
      <w:pPr>
        <w:pStyle w:val="Heading2"/>
        <w:numPr>
          <w:ilvl w:val="0"/>
          <w:numId w:val="15"/>
        </w:numPr>
        <w:spacing w:before="0"/>
        <w:rPr>
          <w:rFonts w:asciiTheme="minorHAnsi" w:hAnsiTheme="minorHAnsi" w:cs="Sylfaen"/>
          <w:sz w:val="22"/>
          <w:szCs w:val="22"/>
          <w:lang w:val="en-GB"/>
        </w:rPr>
      </w:pPr>
      <w:bookmarkStart w:id="34" w:name="_Toc48565944"/>
      <w:r w:rsidRPr="00AE2F32">
        <w:rPr>
          <w:rFonts w:asciiTheme="minorHAnsi" w:hAnsiTheme="minorHAnsi" w:cs="Sylfaen"/>
          <w:sz w:val="22"/>
          <w:szCs w:val="22"/>
          <w:lang w:val="en-GB"/>
        </w:rPr>
        <w:t>Article</w:t>
      </w:r>
      <w:r w:rsidR="007918A6" w:rsidRPr="00AE2F32">
        <w:rPr>
          <w:rFonts w:asciiTheme="minorHAnsi" w:hAnsiTheme="minorHAnsi" w:cs="Sylfaen"/>
          <w:sz w:val="22"/>
          <w:szCs w:val="22"/>
          <w:lang w:val="en-GB"/>
        </w:rPr>
        <w:t xml:space="preserve"> 12: </w:t>
      </w:r>
      <w:r w:rsidRPr="00AE2F32">
        <w:rPr>
          <w:rFonts w:asciiTheme="minorHAnsi" w:hAnsiTheme="minorHAnsi" w:cs="Sylfaen"/>
          <w:sz w:val="22"/>
          <w:szCs w:val="22"/>
          <w:lang w:val="en-GB"/>
        </w:rPr>
        <w:t>Freedom of Movement</w:t>
      </w:r>
      <w:bookmarkEnd w:id="34"/>
    </w:p>
    <w:p w14:paraId="0FFF96F0" w14:textId="77777777" w:rsidR="000F27D7" w:rsidRPr="00AE2F32" w:rsidRDefault="000F27D7" w:rsidP="00EB1CFE">
      <w:pPr>
        <w:rPr>
          <w:rFonts w:eastAsia="Times New Roman" w:cs="Times New Roman"/>
          <w:sz w:val="22"/>
          <w:szCs w:val="22"/>
          <w:lang w:val="en-GB"/>
        </w:rPr>
      </w:pPr>
    </w:p>
    <w:p w14:paraId="32D70109" w14:textId="69BD3A60" w:rsidR="00055BE4" w:rsidRPr="00AE2F32" w:rsidRDefault="000F27D7" w:rsidP="00EB1CFE">
      <w:pPr>
        <w:rPr>
          <w:rFonts w:eastAsia="Times New Roman" w:cs="Times New Roman"/>
          <w:sz w:val="22"/>
          <w:szCs w:val="22"/>
          <w:lang w:val="en-GB"/>
        </w:rPr>
      </w:pPr>
      <w:r w:rsidRPr="00AE2F32">
        <w:rPr>
          <w:rFonts w:eastAsia="Times New Roman" w:cs="Times New Roman"/>
          <w:sz w:val="22"/>
          <w:szCs w:val="22"/>
          <w:lang w:val="en-GB"/>
        </w:rPr>
        <w:t xml:space="preserve">See assessment </w:t>
      </w:r>
      <w:r w:rsidR="003E4E1F">
        <w:rPr>
          <w:rFonts w:eastAsia="Times New Roman" w:cs="Times New Roman"/>
          <w:sz w:val="22"/>
          <w:szCs w:val="22"/>
          <w:lang w:val="en-GB"/>
        </w:rPr>
        <w:t>under</w:t>
      </w:r>
      <w:r w:rsidR="003E4E1F" w:rsidRPr="00AE2F32">
        <w:rPr>
          <w:rFonts w:eastAsia="Times New Roman" w:cs="Times New Roman"/>
          <w:sz w:val="22"/>
          <w:szCs w:val="22"/>
          <w:lang w:val="en-GB"/>
        </w:rPr>
        <w:t xml:space="preserve"> </w:t>
      </w:r>
      <w:r w:rsidRPr="00AE2F32">
        <w:rPr>
          <w:rFonts w:eastAsia="Times New Roman" w:cs="Times New Roman"/>
          <w:sz w:val="22"/>
          <w:szCs w:val="22"/>
          <w:lang w:val="en-GB"/>
        </w:rPr>
        <w:t xml:space="preserve">Article 9. </w:t>
      </w:r>
    </w:p>
    <w:p w14:paraId="7F772C57" w14:textId="77777777" w:rsidR="00055BE4" w:rsidRPr="00AE2F32" w:rsidRDefault="00055BE4" w:rsidP="00EB1CFE">
      <w:pPr>
        <w:rPr>
          <w:rFonts w:eastAsia="Times New Roman" w:cs="Times New Roman"/>
          <w:sz w:val="22"/>
          <w:szCs w:val="22"/>
          <w:lang w:val="en-GB"/>
        </w:rPr>
      </w:pPr>
    </w:p>
    <w:p w14:paraId="7BF13040" w14:textId="13DA2DD5" w:rsidR="008D6001" w:rsidRDefault="00B73A5F" w:rsidP="00256F01">
      <w:pPr>
        <w:pStyle w:val="Heading2"/>
        <w:numPr>
          <w:ilvl w:val="0"/>
          <w:numId w:val="15"/>
        </w:numPr>
        <w:spacing w:before="0"/>
        <w:rPr>
          <w:rFonts w:asciiTheme="minorHAnsi" w:hAnsiTheme="minorHAnsi" w:cs="Sylfaen"/>
          <w:sz w:val="22"/>
          <w:szCs w:val="22"/>
          <w:lang w:val="en-GB"/>
        </w:rPr>
      </w:pPr>
      <w:bookmarkStart w:id="35" w:name="_Toc48565945"/>
      <w:r w:rsidRPr="00AE2F32">
        <w:rPr>
          <w:rFonts w:asciiTheme="minorHAnsi" w:hAnsiTheme="minorHAnsi" w:cs="Sylfaen"/>
          <w:sz w:val="22"/>
          <w:szCs w:val="22"/>
          <w:lang w:val="en-GB"/>
        </w:rPr>
        <w:t>Article</w:t>
      </w:r>
      <w:r w:rsidR="00AE2BB0" w:rsidRPr="00AE2F32">
        <w:rPr>
          <w:rFonts w:asciiTheme="minorHAnsi" w:hAnsiTheme="minorHAnsi" w:cs="Sylfaen"/>
          <w:sz w:val="22"/>
          <w:szCs w:val="22"/>
          <w:lang w:val="en-GB"/>
        </w:rPr>
        <w:t xml:space="preserve"> 13: </w:t>
      </w:r>
      <w:r w:rsidRPr="00AE2F32">
        <w:rPr>
          <w:rFonts w:asciiTheme="minorHAnsi" w:hAnsiTheme="minorHAnsi" w:cs="Sylfaen"/>
          <w:sz w:val="22"/>
          <w:szCs w:val="22"/>
          <w:lang w:val="en-GB"/>
        </w:rPr>
        <w:t>Right to remain in a State</w:t>
      </w:r>
      <w:bookmarkEnd w:id="35"/>
      <w:r w:rsidRPr="00AE2F32">
        <w:rPr>
          <w:rFonts w:asciiTheme="minorHAnsi" w:hAnsiTheme="minorHAnsi" w:cs="Sylfaen"/>
          <w:sz w:val="22"/>
          <w:szCs w:val="22"/>
          <w:lang w:val="en-GB"/>
        </w:rPr>
        <w:t xml:space="preserve"> </w:t>
      </w:r>
    </w:p>
    <w:p w14:paraId="341D0CE9" w14:textId="77777777" w:rsidR="00256F01" w:rsidRPr="00256F01" w:rsidRDefault="00256F01" w:rsidP="00256F01">
      <w:pPr>
        <w:rPr>
          <w:lang w:val="en-GB"/>
        </w:rPr>
      </w:pPr>
    </w:p>
    <w:p w14:paraId="0A62B13D" w14:textId="16ED17F6" w:rsidR="00A7660C" w:rsidRPr="00AE2F32" w:rsidRDefault="008D6001" w:rsidP="00EB1CFE">
      <w:pPr>
        <w:jc w:val="both"/>
        <w:rPr>
          <w:rFonts w:eastAsia="Times New Roman" w:cs="Times New Roman"/>
          <w:sz w:val="22"/>
          <w:szCs w:val="22"/>
          <w:lang w:val="en-GB"/>
        </w:rPr>
      </w:pPr>
      <w:r w:rsidRPr="00AE2F32">
        <w:rPr>
          <w:rFonts w:eastAsia="Times New Roman" w:cs="Times New Roman"/>
          <w:sz w:val="22"/>
          <w:szCs w:val="22"/>
          <w:lang w:val="en-GB"/>
        </w:rPr>
        <w:t>During the reporting period, extradition</w:t>
      </w:r>
      <w:r w:rsidR="003E4E1F">
        <w:rPr>
          <w:rFonts w:eastAsia="Times New Roman" w:cs="Times New Roman"/>
          <w:sz w:val="22"/>
          <w:szCs w:val="22"/>
          <w:lang w:val="en-GB"/>
        </w:rPr>
        <w:t xml:space="preserve"> cases</w:t>
      </w:r>
      <w:r w:rsidRPr="00AE2F32">
        <w:rPr>
          <w:rFonts w:eastAsia="Times New Roman" w:cs="Times New Roman"/>
          <w:sz w:val="22"/>
          <w:szCs w:val="22"/>
          <w:lang w:val="en-GB"/>
        </w:rPr>
        <w:t xml:space="preserve"> of North Caucasians from Georgia to the Russian Federation increased, which is inconsistent with the principle of </w:t>
      </w:r>
      <w:r w:rsidR="00507BCD">
        <w:rPr>
          <w:rFonts w:eastAsia="Times New Roman" w:cs="Times New Roman"/>
          <w:i/>
          <w:iCs/>
          <w:sz w:val="22"/>
          <w:szCs w:val="22"/>
          <w:lang w:val="en-GB"/>
        </w:rPr>
        <w:t>non-refoulment</w:t>
      </w:r>
      <w:r w:rsidRPr="00AE2F32">
        <w:rPr>
          <w:rFonts w:eastAsia="Times New Roman" w:cs="Times New Roman"/>
          <w:i/>
          <w:iCs/>
          <w:sz w:val="22"/>
          <w:szCs w:val="22"/>
          <w:lang w:val="en-GB"/>
        </w:rPr>
        <w:t xml:space="preserve"> </w:t>
      </w:r>
      <w:r w:rsidRPr="00AE2F32">
        <w:rPr>
          <w:rFonts w:eastAsia="Times New Roman" w:cs="Times New Roman"/>
          <w:sz w:val="22"/>
          <w:szCs w:val="22"/>
          <w:lang w:val="en-GB"/>
        </w:rPr>
        <w:t xml:space="preserve">provided for in the Covenant. As a rule, the mentioned persons are wanted by the Russian Federation on charges of joining a terrorist organization or committing other serious crimes, However, </w:t>
      </w:r>
      <w:r w:rsidR="007D4EBF">
        <w:rPr>
          <w:rFonts w:eastAsia="Times New Roman" w:cs="Times New Roman"/>
          <w:sz w:val="22"/>
          <w:szCs w:val="22"/>
          <w:lang w:val="en-GB"/>
        </w:rPr>
        <w:t>mostly</w:t>
      </w:r>
      <w:r w:rsidRPr="00AE2F32">
        <w:rPr>
          <w:rFonts w:eastAsia="Times New Roman" w:cs="Times New Roman"/>
          <w:sz w:val="22"/>
          <w:szCs w:val="22"/>
          <w:lang w:val="en-GB"/>
        </w:rPr>
        <w:t xml:space="preserve"> allegations are irrational and there is a reasonable suspicion that they are persons critical of the Russian authorities, including the authoritarian regimes of the local republics.</w:t>
      </w:r>
      <w:r w:rsidRPr="00AE2F32">
        <w:rPr>
          <w:sz w:val="22"/>
          <w:szCs w:val="22"/>
        </w:rPr>
        <w:t xml:space="preserve"> </w:t>
      </w:r>
      <w:r w:rsidRPr="00AE2F32">
        <w:rPr>
          <w:rFonts w:eastAsia="Times New Roman" w:cs="Times New Roman"/>
          <w:sz w:val="22"/>
          <w:szCs w:val="22"/>
          <w:lang w:val="en-GB"/>
        </w:rPr>
        <w:t xml:space="preserve">A similar case took place during the extradition of ethnic Chechen Ramzan </w:t>
      </w:r>
      <w:proofErr w:type="spellStart"/>
      <w:r w:rsidRPr="00AE2F32">
        <w:rPr>
          <w:rFonts w:eastAsia="Times New Roman" w:cs="Times New Roman"/>
          <w:sz w:val="22"/>
          <w:szCs w:val="22"/>
          <w:lang w:val="en-GB"/>
        </w:rPr>
        <w:t>Akhiadov</w:t>
      </w:r>
      <w:proofErr w:type="spellEnd"/>
      <w:r w:rsidRPr="00AE2F32">
        <w:rPr>
          <w:rFonts w:eastAsia="Times New Roman" w:cs="Times New Roman"/>
          <w:sz w:val="22"/>
          <w:szCs w:val="22"/>
          <w:lang w:val="en-GB"/>
        </w:rPr>
        <w:t xml:space="preserve"> to Russia / Chechnya.</w:t>
      </w:r>
      <w:r w:rsidR="001648B9" w:rsidRPr="00AE2F32">
        <w:rPr>
          <w:rStyle w:val="FootnoteReference"/>
          <w:rFonts w:eastAsia="Times New Roman" w:cs="Times New Roman"/>
          <w:sz w:val="22"/>
          <w:szCs w:val="22"/>
          <w:lang w:val="en-GB"/>
        </w:rPr>
        <w:footnoteReference w:id="102"/>
      </w:r>
      <w:r w:rsidR="001648B9" w:rsidRPr="00AE2F32">
        <w:rPr>
          <w:rFonts w:eastAsia="Times New Roman" w:cs="Times New Roman"/>
          <w:sz w:val="22"/>
          <w:szCs w:val="22"/>
          <w:lang w:val="en-GB"/>
        </w:rPr>
        <w:t xml:space="preserve"> </w:t>
      </w:r>
      <w:r w:rsidRPr="00AE2F32">
        <w:rPr>
          <w:rFonts w:eastAsia="Times New Roman" w:cs="Times New Roman"/>
          <w:sz w:val="22"/>
          <w:szCs w:val="22"/>
          <w:lang w:val="en-GB"/>
        </w:rPr>
        <w:t xml:space="preserve">It should also be noted that the </w:t>
      </w:r>
      <w:r w:rsidR="00507BCD">
        <w:rPr>
          <w:rFonts w:eastAsia="Times New Roman" w:cs="Times New Roman"/>
          <w:sz w:val="22"/>
          <w:szCs w:val="22"/>
          <w:lang w:val="en-GB"/>
        </w:rPr>
        <w:t>case-law</w:t>
      </w:r>
      <w:r w:rsidRPr="00AE2F32">
        <w:rPr>
          <w:rFonts w:eastAsia="Times New Roman" w:cs="Times New Roman"/>
          <w:sz w:val="22"/>
          <w:szCs w:val="22"/>
          <w:lang w:val="en-GB"/>
        </w:rPr>
        <w:t xml:space="preserve"> of </w:t>
      </w:r>
      <w:r w:rsidR="00C83EF4">
        <w:rPr>
          <w:rFonts w:eastAsia="Times New Roman" w:cs="Times New Roman"/>
          <w:sz w:val="22"/>
          <w:szCs w:val="22"/>
          <w:lang w:val="en-GB"/>
        </w:rPr>
        <w:t>ECHR</w:t>
      </w:r>
      <w:r w:rsidRPr="00AE2F32">
        <w:rPr>
          <w:rFonts w:eastAsia="Times New Roman" w:cs="Times New Roman"/>
          <w:sz w:val="22"/>
          <w:szCs w:val="22"/>
          <w:lang w:val="en-GB"/>
        </w:rPr>
        <w:t xml:space="preserve"> </w:t>
      </w:r>
      <w:r w:rsidR="00507BCD">
        <w:rPr>
          <w:rFonts w:eastAsia="Times New Roman" w:cs="Times New Roman"/>
          <w:sz w:val="22"/>
          <w:szCs w:val="22"/>
          <w:lang w:val="en-GB"/>
        </w:rPr>
        <w:t xml:space="preserve">does </w:t>
      </w:r>
      <w:r w:rsidRPr="00AE2F32">
        <w:rPr>
          <w:rFonts w:eastAsia="Times New Roman" w:cs="Times New Roman"/>
          <w:sz w:val="22"/>
          <w:szCs w:val="22"/>
          <w:lang w:val="en-GB"/>
        </w:rPr>
        <w:t xml:space="preserve">not allow extradition or deportation, even in case of persons accused of terrorism, to countries where </w:t>
      </w:r>
      <w:r w:rsidR="00C83EF4">
        <w:rPr>
          <w:rFonts w:eastAsia="Times New Roman" w:cs="Times New Roman"/>
          <w:sz w:val="22"/>
          <w:szCs w:val="22"/>
          <w:lang w:val="en-GB"/>
        </w:rPr>
        <w:t>they</w:t>
      </w:r>
      <w:r w:rsidRPr="00AE2F32">
        <w:rPr>
          <w:rFonts w:eastAsia="Times New Roman" w:cs="Times New Roman"/>
          <w:sz w:val="22"/>
          <w:szCs w:val="22"/>
          <w:lang w:val="en-GB"/>
        </w:rPr>
        <w:t xml:space="preserve"> may be subjected to torture or inhuman treatment.</w:t>
      </w:r>
      <w:r w:rsidR="00A7660C" w:rsidRPr="00AE2F32">
        <w:rPr>
          <w:rStyle w:val="FootnoteReference"/>
          <w:rFonts w:eastAsia="Times New Roman" w:cs="Times New Roman"/>
          <w:sz w:val="22"/>
          <w:szCs w:val="22"/>
          <w:lang w:val="en-GB"/>
        </w:rPr>
        <w:footnoteReference w:id="103"/>
      </w:r>
      <w:r w:rsidR="00A7660C" w:rsidRPr="00AE2F32">
        <w:rPr>
          <w:rFonts w:eastAsia="Times New Roman" w:cs="Times New Roman"/>
          <w:sz w:val="22"/>
          <w:szCs w:val="22"/>
          <w:lang w:val="en-GB"/>
        </w:rPr>
        <w:t xml:space="preserve"> </w:t>
      </w:r>
    </w:p>
    <w:p w14:paraId="22A053D1" w14:textId="77777777" w:rsidR="002B0E7A" w:rsidRPr="00AE2F32" w:rsidRDefault="002B0E7A" w:rsidP="00EB1CFE">
      <w:pPr>
        <w:jc w:val="both"/>
        <w:rPr>
          <w:rFonts w:eastAsia="Times New Roman" w:cs="Times New Roman"/>
          <w:sz w:val="22"/>
          <w:szCs w:val="22"/>
          <w:lang w:val="en-GB"/>
        </w:rPr>
      </w:pPr>
    </w:p>
    <w:p w14:paraId="6F59D3ED" w14:textId="40393D18" w:rsidR="003879D0" w:rsidRPr="00AE2F32" w:rsidRDefault="00507BCD" w:rsidP="00EB1CFE">
      <w:pPr>
        <w:jc w:val="both"/>
        <w:rPr>
          <w:rFonts w:eastAsia="Times New Roman" w:cs="Times New Roman"/>
          <w:sz w:val="22"/>
          <w:szCs w:val="22"/>
          <w:lang w:val="en-GB"/>
        </w:rPr>
      </w:pPr>
      <w:r>
        <w:rPr>
          <w:rFonts w:eastAsia="Times New Roman" w:cs="Times New Roman"/>
          <w:sz w:val="22"/>
          <w:szCs w:val="22"/>
          <w:lang w:val="en-GB"/>
        </w:rPr>
        <w:t>Strangely,</w:t>
      </w:r>
      <w:r w:rsidR="002B0E7A" w:rsidRPr="00AE2F32">
        <w:rPr>
          <w:rFonts w:eastAsia="Times New Roman" w:cs="Times New Roman"/>
          <w:sz w:val="22"/>
          <w:szCs w:val="22"/>
          <w:lang w:val="en-GB"/>
        </w:rPr>
        <w:t xml:space="preserve"> the recent extradition decisions indicate that human rights violations are less common in the Russian Federation.</w:t>
      </w:r>
      <w:r w:rsidR="002B0E7A" w:rsidRPr="00AE2F32">
        <w:rPr>
          <w:sz w:val="22"/>
          <w:szCs w:val="22"/>
        </w:rPr>
        <w:t xml:space="preserve"> </w:t>
      </w:r>
      <w:r w:rsidR="002B0E7A" w:rsidRPr="00AE2F32">
        <w:rPr>
          <w:rFonts w:eastAsia="Times New Roman" w:cs="Times New Roman"/>
          <w:sz w:val="22"/>
          <w:szCs w:val="22"/>
          <w:lang w:val="en-GB"/>
        </w:rPr>
        <w:t xml:space="preserve">However, </w:t>
      </w:r>
      <w:r>
        <w:rPr>
          <w:rFonts w:eastAsia="Times New Roman" w:cs="Times New Roman"/>
          <w:sz w:val="22"/>
          <w:szCs w:val="22"/>
          <w:lang w:val="en-GB"/>
        </w:rPr>
        <w:t>several</w:t>
      </w:r>
      <w:r w:rsidR="002B0E7A" w:rsidRPr="00AE2F32">
        <w:rPr>
          <w:rFonts w:eastAsia="Times New Roman" w:cs="Times New Roman"/>
          <w:sz w:val="22"/>
          <w:szCs w:val="22"/>
          <w:lang w:val="en-GB"/>
        </w:rPr>
        <w:t xml:space="preserve"> rulings on the practice of violating Article 3 of the European Convention in Russian prisons have been handed down by the </w:t>
      </w:r>
      <w:r w:rsidR="007D4EBF">
        <w:rPr>
          <w:rFonts w:eastAsia="Times New Roman" w:cs="Times New Roman"/>
          <w:sz w:val="22"/>
          <w:szCs w:val="22"/>
          <w:lang w:val="en-GB"/>
        </w:rPr>
        <w:t>ECHR</w:t>
      </w:r>
      <w:r w:rsidR="00E278D0" w:rsidRPr="00AE2F32">
        <w:rPr>
          <w:rFonts w:eastAsia="Times New Roman" w:cs="Times New Roman"/>
          <w:sz w:val="22"/>
          <w:szCs w:val="22"/>
          <w:lang w:val="en-GB"/>
        </w:rPr>
        <w:t>.</w:t>
      </w:r>
      <w:r w:rsidR="00E278D0" w:rsidRPr="00AE2F32">
        <w:rPr>
          <w:rStyle w:val="FootnoteReference"/>
          <w:rFonts w:eastAsia="Times New Roman" w:cs="Times New Roman"/>
          <w:sz w:val="22"/>
          <w:szCs w:val="22"/>
          <w:lang w:val="en-GB"/>
        </w:rPr>
        <w:footnoteReference w:id="104"/>
      </w:r>
      <w:r w:rsidR="00E278D0" w:rsidRPr="00AE2F32">
        <w:rPr>
          <w:rFonts w:eastAsia="Times New Roman" w:cs="Times New Roman"/>
          <w:sz w:val="22"/>
          <w:szCs w:val="22"/>
          <w:lang w:val="en-GB"/>
        </w:rPr>
        <w:t xml:space="preserve"> </w:t>
      </w:r>
      <w:r w:rsidR="002B0E7A" w:rsidRPr="00AE2F32">
        <w:rPr>
          <w:rFonts w:eastAsia="Times New Roman" w:cs="Times New Roman"/>
          <w:sz w:val="22"/>
          <w:szCs w:val="22"/>
          <w:lang w:val="en-GB"/>
        </w:rPr>
        <w:t xml:space="preserve">US State Department 2018 report also </w:t>
      </w:r>
      <w:r>
        <w:rPr>
          <w:rFonts w:eastAsia="Times New Roman" w:cs="Times New Roman"/>
          <w:sz w:val="22"/>
          <w:szCs w:val="22"/>
          <w:lang w:val="en-GB"/>
        </w:rPr>
        <w:t>indicates</w:t>
      </w:r>
      <w:r w:rsidR="002B0E7A" w:rsidRPr="00AE2F32">
        <w:rPr>
          <w:rFonts w:eastAsia="Times New Roman" w:cs="Times New Roman"/>
          <w:sz w:val="22"/>
          <w:szCs w:val="22"/>
          <w:lang w:val="en-GB"/>
        </w:rPr>
        <w:t xml:space="preserve"> to inhuman treatment in Russian prisons</w:t>
      </w:r>
      <w:r w:rsidR="00E278D0" w:rsidRPr="00AE2F32">
        <w:rPr>
          <w:rFonts w:eastAsia="Times New Roman" w:cs="Times New Roman"/>
          <w:sz w:val="22"/>
          <w:szCs w:val="22"/>
          <w:lang w:val="en-GB"/>
        </w:rPr>
        <w:t>.</w:t>
      </w:r>
      <w:r w:rsidR="00E278D0" w:rsidRPr="00AE2F32">
        <w:rPr>
          <w:rStyle w:val="FootnoteReference"/>
          <w:rFonts w:eastAsia="Times New Roman" w:cs="Times New Roman"/>
          <w:sz w:val="22"/>
          <w:szCs w:val="22"/>
          <w:lang w:val="en-GB"/>
        </w:rPr>
        <w:footnoteReference w:id="105"/>
      </w:r>
    </w:p>
    <w:p w14:paraId="2B1CF0DE" w14:textId="5FF5C5D3" w:rsidR="000159D3" w:rsidRPr="00AE2F32" w:rsidRDefault="000159D3" w:rsidP="00EB1CFE">
      <w:pPr>
        <w:rPr>
          <w:rFonts w:eastAsia="Times New Roman" w:cs="Times New Roman"/>
          <w:b/>
          <w:bCs/>
          <w:sz w:val="22"/>
          <w:szCs w:val="22"/>
          <w:lang w:val="en-GB"/>
        </w:rPr>
      </w:pPr>
    </w:p>
    <w:p w14:paraId="72B31AB9" w14:textId="41B0EF69" w:rsidR="004C58A9" w:rsidRPr="00AE2F32" w:rsidRDefault="00693E46" w:rsidP="00F45E6E">
      <w:pPr>
        <w:shd w:val="clear" w:color="auto" w:fill="C9C9C9" w:themeFill="accent3" w:themeFillTint="99"/>
        <w:jc w:val="both"/>
        <w:rPr>
          <w:rFonts w:eastAsia="Times New Roman" w:cs="Times New Roman"/>
          <w:b/>
          <w:bCs/>
          <w:sz w:val="22"/>
          <w:szCs w:val="22"/>
          <w:lang w:val="en-GB"/>
        </w:rPr>
      </w:pPr>
      <w:r w:rsidRPr="00AE2F32">
        <w:rPr>
          <w:rFonts w:eastAsia="Times New Roman" w:cs="Times New Roman"/>
          <w:b/>
          <w:bCs/>
          <w:sz w:val="22"/>
          <w:szCs w:val="22"/>
          <w:lang w:val="en-GB"/>
        </w:rPr>
        <w:t>Recommendations:</w:t>
      </w:r>
      <w:r w:rsidR="004C58A9" w:rsidRPr="00AE2F32">
        <w:rPr>
          <w:rFonts w:eastAsia="Times New Roman" w:cs="Times New Roman"/>
          <w:b/>
          <w:bCs/>
          <w:sz w:val="22"/>
          <w:szCs w:val="22"/>
          <w:lang w:val="en-GB"/>
        </w:rPr>
        <w:t xml:space="preserve"> </w:t>
      </w:r>
    </w:p>
    <w:p w14:paraId="4FD6AB52" w14:textId="67F863E6" w:rsidR="00693E46" w:rsidRPr="00AE2F32" w:rsidRDefault="00693E46" w:rsidP="0023502D">
      <w:pPr>
        <w:pStyle w:val="ListParagraph"/>
        <w:numPr>
          <w:ilvl w:val="0"/>
          <w:numId w:val="30"/>
        </w:numPr>
        <w:shd w:val="clear" w:color="auto" w:fill="C9C9C9" w:themeFill="accent3" w:themeFillTint="99"/>
        <w:jc w:val="both"/>
        <w:rPr>
          <w:rFonts w:eastAsia="Times New Roman" w:cs="Times New Roman"/>
          <w:sz w:val="22"/>
          <w:szCs w:val="22"/>
          <w:lang w:val="en-GB"/>
        </w:rPr>
      </w:pPr>
      <w:r w:rsidRPr="00AE2F32">
        <w:rPr>
          <w:rFonts w:eastAsia="Times New Roman" w:cs="Times New Roman"/>
          <w:sz w:val="22"/>
          <w:szCs w:val="22"/>
          <w:lang w:val="en-GB"/>
        </w:rPr>
        <w:t>The Ministry of Justice should be guided by the principles of international and national law when deciding on extradition</w:t>
      </w:r>
      <w:r w:rsidR="00B93947">
        <w:rPr>
          <w:rFonts w:eastAsia="Times New Roman" w:cs="Times New Roman"/>
          <w:sz w:val="22"/>
          <w:szCs w:val="22"/>
          <w:lang w:val="ka-GE"/>
        </w:rPr>
        <w:t xml:space="preserve">. </w:t>
      </w:r>
    </w:p>
    <w:p w14:paraId="57EBE20B" w14:textId="77777777" w:rsidR="00D10504" w:rsidRPr="00AE2F32" w:rsidRDefault="00D10504" w:rsidP="00D10504">
      <w:pPr>
        <w:jc w:val="both"/>
        <w:rPr>
          <w:rFonts w:eastAsia="Times New Roman" w:cs="Times New Roman"/>
          <w:sz w:val="22"/>
          <w:szCs w:val="22"/>
          <w:lang w:val="en-GB"/>
        </w:rPr>
      </w:pPr>
    </w:p>
    <w:p w14:paraId="40D3B5B1" w14:textId="6EE9AA51" w:rsidR="007918A6" w:rsidRPr="00AE2F32" w:rsidRDefault="00D10504" w:rsidP="0023502D">
      <w:pPr>
        <w:pStyle w:val="Heading2"/>
        <w:numPr>
          <w:ilvl w:val="0"/>
          <w:numId w:val="15"/>
        </w:numPr>
        <w:spacing w:before="0"/>
        <w:rPr>
          <w:rFonts w:asciiTheme="minorHAnsi" w:hAnsiTheme="minorHAnsi" w:cs="Sylfaen"/>
          <w:sz w:val="22"/>
          <w:szCs w:val="22"/>
          <w:lang w:val="en-GB"/>
        </w:rPr>
      </w:pPr>
      <w:bookmarkStart w:id="36" w:name="_Toc48565946"/>
      <w:r w:rsidRPr="00AE2F32">
        <w:rPr>
          <w:rFonts w:asciiTheme="minorHAnsi" w:hAnsiTheme="minorHAnsi" w:cs="Sylfaen"/>
          <w:sz w:val="22"/>
          <w:szCs w:val="22"/>
          <w:lang w:val="en-GB"/>
        </w:rPr>
        <w:lastRenderedPageBreak/>
        <w:t>Article</w:t>
      </w:r>
      <w:r w:rsidR="007918A6" w:rsidRPr="00AE2F32">
        <w:rPr>
          <w:rFonts w:asciiTheme="minorHAnsi" w:hAnsiTheme="minorHAnsi" w:cs="Sylfaen"/>
          <w:sz w:val="22"/>
          <w:szCs w:val="22"/>
          <w:lang w:val="en-GB"/>
        </w:rPr>
        <w:t xml:space="preserve"> 14: </w:t>
      </w:r>
      <w:r w:rsidRPr="00AE2F32">
        <w:rPr>
          <w:rFonts w:asciiTheme="minorHAnsi" w:hAnsiTheme="minorHAnsi" w:cs="Sylfaen"/>
          <w:sz w:val="22"/>
          <w:szCs w:val="22"/>
          <w:lang w:val="en-GB"/>
        </w:rPr>
        <w:t xml:space="preserve">Rights to </w:t>
      </w:r>
      <w:r w:rsidR="00507BCD">
        <w:rPr>
          <w:rFonts w:asciiTheme="minorHAnsi" w:hAnsiTheme="minorHAnsi" w:cs="Sylfaen"/>
          <w:sz w:val="22"/>
          <w:szCs w:val="22"/>
          <w:lang w:val="en-GB"/>
        </w:rPr>
        <w:t xml:space="preserve">a </w:t>
      </w:r>
      <w:r w:rsidRPr="00AE2F32">
        <w:rPr>
          <w:rFonts w:asciiTheme="minorHAnsi" w:hAnsiTheme="minorHAnsi" w:cs="Sylfaen"/>
          <w:sz w:val="22"/>
          <w:szCs w:val="22"/>
          <w:lang w:val="en-GB"/>
        </w:rPr>
        <w:t>fair trial</w:t>
      </w:r>
      <w:bookmarkEnd w:id="36"/>
      <w:r w:rsidRPr="00AE2F32">
        <w:rPr>
          <w:rFonts w:asciiTheme="minorHAnsi" w:hAnsiTheme="minorHAnsi" w:cs="Sylfaen"/>
          <w:sz w:val="22"/>
          <w:szCs w:val="22"/>
          <w:lang w:val="en-GB"/>
        </w:rPr>
        <w:t xml:space="preserve"> </w:t>
      </w:r>
    </w:p>
    <w:p w14:paraId="6B5447CF" w14:textId="05A5CE05" w:rsidR="00E210AB" w:rsidRPr="00AE2F32" w:rsidRDefault="00E210AB" w:rsidP="00EB1CFE">
      <w:pPr>
        <w:jc w:val="both"/>
        <w:rPr>
          <w:rFonts w:cs="Calibri"/>
          <w:color w:val="000000"/>
          <w:sz w:val="22"/>
          <w:szCs w:val="22"/>
          <w:lang w:val="en-GB"/>
        </w:rPr>
      </w:pPr>
    </w:p>
    <w:p w14:paraId="73641074" w14:textId="19F8BFB0" w:rsidR="005D2405" w:rsidRDefault="00693E46" w:rsidP="00B93947">
      <w:pPr>
        <w:jc w:val="both"/>
        <w:rPr>
          <w:rFonts w:cs="Calibri"/>
          <w:sz w:val="22"/>
          <w:szCs w:val="22"/>
          <w:lang w:val="en-GB"/>
        </w:rPr>
      </w:pPr>
      <w:r w:rsidRPr="00AE2F32">
        <w:rPr>
          <w:rFonts w:cs="Calibri"/>
          <w:color w:val="000000"/>
          <w:sz w:val="22"/>
          <w:szCs w:val="22"/>
          <w:lang w:val="en-GB"/>
        </w:rPr>
        <w:t>The right to a fair trial implies the ability of a person to have his or her case heard by an impartial and independent court, and such a formation is impossible without a proper system of appointment and accountability of judges.</w:t>
      </w:r>
      <w:r w:rsidR="00B93947">
        <w:rPr>
          <w:rFonts w:cs="Calibri"/>
          <w:color w:val="000000"/>
          <w:sz w:val="22"/>
          <w:szCs w:val="22"/>
          <w:lang w:val="ka-GE"/>
        </w:rPr>
        <w:t xml:space="preserve"> </w:t>
      </w:r>
      <w:r w:rsidRPr="00AE2F32">
        <w:rPr>
          <w:rFonts w:cs="Calibri"/>
          <w:color w:val="000000"/>
          <w:sz w:val="22"/>
          <w:szCs w:val="22"/>
          <w:lang w:val="en-GB"/>
        </w:rPr>
        <w:t>High Council of Justice</w:t>
      </w:r>
      <w:r w:rsidR="00B93947">
        <w:rPr>
          <w:rFonts w:cs="Calibri"/>
          <w:color w:val="000000"/>
          <w:sz w:val="22"/>
          <w:szCs w:val="22"/>
          <w:lang w:val="en-GB"/>
        </w:rPr>
        <w:t xml:space="preserve"> should</w:t>
      </w:r>
      <w:r w:rsidRPr="00AE2F32">
        <w:rPr>
          <w:rFonts w:cs="Calibri"/>
          <w:color w:val="000000"/>
          <w:sz w:val="22"/>
          <w:szCs w:val="22"/>
          <w:lang w:val="en-GB"/>
        </w:rPr>
        <w:t xml:space="preserve"> ensure the independence and efficiency of the common courts, as well as to perform other tasks</w:t>
      </w:r>
      <w:r w:rsidR="00837F27" w:rsidRPr="00AE2F32">
        <w:rPr>
          <w:rFonts w:cs="Calibri"/>
          <w:color w:val="000000"/>
          <w:sz w:val="22"/>
          <w:szCs w:val="22"/>
          <w:lang w:val="en-GB"/>
        </w:rPr>
        <w:t>.</w:t>
      </w:r>
      <w:r w:rsidR="00837F27" w:rsidRPr="00AE2F32">
        <w:rPr>
          <w:rFonts w:cs="Calibri"/>
          <w:color w:val="000000"/>
          <w:sz w:val="22"/>
          <w:szCs w:val="22"/>
          <w:vertAlign w:val="superscript"/>
          <w:lang w:val="en-GB"/>
        </w:rPr>
        <w:footnoteReference w:id="106"/>
      </w:r>
      <w:r w:rsidR="00837F27" w:rsidRPr="00AE2F32">
        <w:rPr>
          <w:rFonts w:cs="Calibri"/>
          <w:sz w:val="22"/>
          <w:szCs w:val="22"/>
          <w:lang w:val="en-GB"/>
        </w:rPr>
        <w:t xml:space="preserve"> </w:t>
      </w:r>
      <w:r w:rsidR="005D2405" w:rsidRPr="00AE2F32">
        <w:rPr>
          <w:rFonts w:cs="Calibri"/>
          <w:sz w:val="22"/>
          <w:szCs w:val="22"/>
          <w:lang w:val="en-GB"/>
        </w:rPr>
        <w:t xml:space="preserve">Problematic is the rule of council staffing, which does not provide sufficient guarantees for </w:t>
      </w:r>
      <w:r w:rsidR="00507BCD">
        <w:rPr>
          <w:rFonts w:cs="Calibri"/>
          <w:sz w:val="22"/>
          <w:szCs w:val="22"/>
          <w:lang w:val="en-GB"/>
        </w:rPr>
        <w:t xml:space="preserve">the </w:t>
      </w:r>
      <w:r w:rsidR="005D2405" w:rsidRPr="00AE2F32">
        <w:rPr>
          <w:rFonts w:cs="Calibri"/>
          <w:sz w:val="22"/>
          <w:szCs w:val="22"/>
          <w:lang w:val="en-GB"/>
        </w:rPr>
        <w:t xml:space="preserve">appointment of independent members, which leads to the situation when government and </w:t>
      </w:r>
      <w:r w:rsidR="00507BCD">
        <w:rPr>
          <w:rFonts w:cs="Calibri"/>
          <w:sz w:val="22"/>
          <w:szCs w:val="22"/>
          <w:lang w:val="en-GB"/>
        </w:rPr>
        <w:t xml:space="preserve">an </w:t>
      </w:r>
      <w:r w:rsidR="005D2405" w:rsidRPr="00AE2F32">
        <w:rPr>
          <w:rFonts w:cs="Calibri"/>
          <w:sz w:val="22"/>
          <w:szCs w:val="22"/>
          <w:lang w:val="en-GB"/>
        </w:rPr>
        <w:t>affiliated group of judges ("clan") control the court system.</w:t>
      </w:r>
    </w:p>
    <w:p w14:paraId="7641D5CC" w14:textId="77777777" w:rsidR="00B93947" w:rsidRPr="00B93947" w:rsidRDefault="00B93947" w:rsidP="00B93947">
      <w:pPr>
        <w:jc w:val="both"/>
        <w:rPr>
          <w:rFonts w:cs="Calibri"/>
          <w:color w:val="000000"/>
          <w:sz w:val="22"/>
          <w:szCs w:val="22"/>
          <w:lang w:val="en-GB"/>
        </w:rPr>
      </w:pPr>
    </w:p>
    <w:p w14:paraId="17E22FF6" w14:textId="5E0DC93D" w:rsidR="00087589" w:rsidRPr="00AE2F32" w:rsidRDefault="005D2405" w:rsidP="00837F27">
      <w:pPr>
        <w:tabs>
          <w:tab w:val="left" w:pos="360"/>
        </w:tabs>
        <w:spacing w:after="120"/>
        <w:jc w:val="both"/>
        <w:rPr>
          <w:rFonts w:cs="Calibri"/>
          <w:color w:val="000000"/>
          <w:sz w:val="22"/>
          <w:szCs w:val="22"/>
          <w:lang w:val="en-GB"/>
        </w:rPr>
      </w:pPr>
      <w:r w:rsidRPr="00AE2F32">
        <w:rPr>
          <w:rFonts w:cs="Calibri"/>
          <w:sz w:val="22"/>
          <w:szCs w:val="22"/>
          <w:lang w:val="en-GB"/>
        </w:rPr>
        <w:t xml:space="preserve">In 2019, legislative reform in the selection of Supreme Court judges failed to </w:t>
      </w:r>
      <w:r w:rsidR="00087589" w:rsidRPr="00AE2F32">
        <w:rPr>
          <w:rFonts w:cs="Calibri"/>
          <w:sz w:val="22"/>
          <w:szCs w:val="22"/>
          <w:lang w:val="en-GB"/>
        </w:rPr>
        <w:t>identify</w:t>
      </w:r>
      <w:r w:rsidRPr="00AE2F32">
        <w:rPr>
          <w:rFonts w:cs="Calibri"/>
          <w:sz w:val="22"/>
          <w:szCs w:val="22"/>
          <w:lang w:val="en-GB"/>
        </w:rPr>
        <w:t xml:space="preserve"> the best candidates, </w:t>
      </w:r>
      <w:r w:rsidR="00087589" w:rsidRPr="00AE2F32">
        <w:rPr>
          <w:rFonts w:cs="Calibri"/>
          <w:sz w:val="22"/>
          <w:szCs w:val="22"/>
          <w:lang w:val="en-GB"/>
        </w:rPr>
        <w:t xml:space="preserve">that </w:t>
      </w:r>
      <w:r w:rsidRPr="00AE2F32">
        <w:rPr>
          <w:rFonts w:cs="Calibri"/>
          <w:sz w:val="22"/>
          <w:szCs w:val="22"/>
          <w:lang w:val="en-GB"/>
        </w:rPr>
        <w:t>threaten</w:t>
      </w:r>
      <w:r w:rsidR="00087589" w:rsidRPr="00AE2F32">
        <w:rPr>
          <w:rFonts w:cs="Calibri"/>
          <w:sz w:val="22"/>
          <w:szCs w:val="22"/>
          <w:lang w:val="en-GB"/>
        </w:rPr>
        <w:t>ed</w:t>
      </w:r>
      <w:r w:rsidRPr="00AE2F32">
        <w:rPr>
          <w:rFonts w:cs="Calibri"/>
          <w:sz w:val="22"/>
          <w:szCs w:val="22"/>
          <w:lang w:val="en-GB"/>
        </w:rPr>
        <w:t xml:space="preserve"> the right to a fair trial. </w:t>
      </w:r>
      <w:r w:rsidR="00507BCD">
        <w:rPr>
          <w:rFonts w:cs="Calibri"/>
          <w:sz w:val="22"/>
          <w:szCs w:val="22"/>
          <w:lang w:val="en-GB"/>
        </w:rPr>
        <w:t>The civil</w:t>
      </w:r>
      <w:r w:rsidRPr="00AE2F32">
        <w:rPr>
          <w:rFonts w:cs="Calibri"/>
          <w:sz w:val="22"/>
          <w:szCs w:val="22"/>
          <w:lang w:val="en-GB"/>
        </w:rPr>
        <w:t xml:space="preserve"> secto</w:t>
      </w:r>
      <w:r w:rsidR="00087589" w:rsidRPr="00AE2F32">
        <w:rPr>
          <w:rFonts w:cs="Calibri"/>
          <w:sz w:val="22"/>
          <w:szCs w:val="22"/>
          <w:lang w:val="en-GB"/>
        </w:rPr>
        <w:t>r</w:t>
      </w:r>
      <w:r w:rsidR="00837F27" w:rsidRPr="00AE2F32">
        <w:rPr>
          <w:rFonts w:cs="Calibri"/>
          <w:color w:val="000000"/>
          <w:sz w:val="22"/>
          <w:szCs w:val="22"/>
          <w:lang w:val="en-GB"/>
        </w:rPr>
        <w:t>,</w:t>
      </w:r>
      <w:r w:rsidR="00837F27" w:rsidRPr="00AE2F32">
        <w:rPr>
          <w:rFonts w:cs="Calibri"/>
          <w:color w:val="000000"/>
          <w:sz w:val="22"/>
          <w:szCs w:val="22"/>
          <w:vertAlign w:val="superscript"/>
          <w:lang w:val="en-GB"/>
        </w:rPr>
        <w:footnoteReference w:id="107"/>
      </w:r>
      <w:r w:rsidR="00837F27" w:rsidRPr="00AE2F32">
        <w:rPr>
          <w:rFonts w:cs="Calibri"/>
          <w:color w:val="000000"/>
          <w:sz w:val="22"/>
          <w:szCs w:val="22"/>
          <w:lang w:val="en-GB"/>
        </w:rPr>
        <w:t xml:space="preserve"> </w:t>
      </w:r>
      <w:r w:rsidR="00087589" w:rsidRPr="00AE2F32">
        <w:rPr>
          <w:rFonts w:cs="Calibri"/>
          <w:color w:val="000000"/>
          <w:sz w:val="22"/>
          <w:szCs w:val="22"/>
          <w:lang w:val="en-GB"/>
        </w:rPr>
        <w:t>international organizations</w:t>
      </w:r>
      <w:r w:rsidR="00837F27" w:rsidRPr="00AE2F32">
        <w:rPr>
          <w:rFonts w:cs="Calibri"/>
          <w:color w:val="000000"/>
          <w:sz w:val="22"/>
          <w:szCs w:val="22"/>
          <w:vertAlign w:val="superscript"/>
          <w:lang w:val="en-GB"/>
        </w:rPr>
        <w:footnoteReference w:id="108"/>
      </w:r>
      <w:r w:rsidR="00837F27" w:rsidRPr="00AE2F32">
        <w:rPr>
          <w:rFonts w:cs="Calibri"/>
          <w:color w:val="000000"/>
          <w:sz w:val="22"/>
          <w:szCs w:val="22"/>
          <w:lang w:val="en-GB"/>
        </w:rPr>
        <w:t xml:space="preserve"> </w:t>
      </w:r>
      <w:r w:rsidR="00507BCD">
        <w:rPr>
          <w:rFonts w:cs="Calibri"/>
          <w:color w:val="000000"/>
          <w:sz w:val="22"/>
          <w:szCs w:val="22"/>
          <w:lang w:val="en-GB"/>
        </w:rPr>
        <w:t xml:space="preserve">, </w:t>
      </w:r>
      <w:r w:rsidR="00087589" w:rsidRPr="00AE2F32">
        <w:rPr>
          <w:rFonts w:cs="Calibri"/>
          <w:color w:val="000000"/>
          <w:sz w:val="22"/>
          <w:szCs w:val="22"/>
          <w:lang w:val="en-GB"/>
        </w:rPr>
        <w:t>and</w:t>
      </w:r>
      <w:r w:rsidR="00837F27" w:rsidRPr="00AE2F32">
        <w:rPr>
          <w:rFonts w:cs="Calibri"/>
          <w:color w:val="000000"/>
          <w:sz w:val="22"/>
          <w:szCs w:val="22"/>
          <w:lang w:val="en-GB"/>
        </w:rPr>
        <w:t xml:space="preserve"> </w:t>
      </w:r>
      <w:r w:rsidR="00087589" w:rsidRPr="00AE2F32">
        <w:rPr>
          <w:rFonts w:cs="Calibri"/>
          <w:color w:val="000000"/>
          <w:sz w:val="22"/>
          <w:szCs w:val="22"/>
          <w:lang w:val="en-GB"/>
        </w:rPr>
        <w:t>Public defender</w:t>
      </w:r>
      <w:r w:rsidR="00837F27" w:rsidRPr="00AE2F32">
        <w:rPr>
          <w:rFonts w:cs="Calibri"/>
          <w:color w:val="000000"/>
          <w:sz w:val="22"/>
          <w:szCs w:val="22"/>
          <w:vertAlign w:val="superscript"/>
          <w:lang w:val="en-GB"/>
        </w:rPr>
        <w:footnoteReference w:id="109"/>
      </w:r>
      <w:r w:rsidR="00837F27" w:rsidRPr="00AE2F32">
        <w:rPr>
          <w:rFonts w:cs="Calibri"/>
          <w:color w:val="000000"/>
          <w:sz w:val="22"/>
          <w:szCs w:val="22"/>
          <w:lang w:val="en-GB"/>
        </w:rPr>
        <w:t xml:space="preserve"> </w:t>
      </w:r>
      <w:r w:rsidR="00087589" w:rsidRPr="00AE2F32">
        <w:rPr>
          <w:rFonts w:cs="Calibri"/>
          <w:color w:val="000000"/>
          <w:sz w:val="22"/>
          <w:szCs w:val="22"/>
          <w:lang w:val="en-GB"/>
        </w:rPr>
        <w:t xml:space="preserve">negatively assess the process. The qualification and good faith of judges were suspicious.  </w:t>
      </w:r>
    </w:p>
    <w:p w14:paraId="5D9D52AE" w14:textId="1A5274A5" w:rsidR="00837F27" w:rsidRPr="00457DC5" w:rsidRDefault="00087589" w:rsidP="00837F27">
      <w:pPr>
        <w:tabs>
          <w:tab w:val="left" w:pos="360"/>
        </w:tabs>
        <w:spacing w:after="120"/>
        <w:jc w:val="both"/>
        <w:rPr>
          <w:rFonts w:ascii="Sylfaen" w:hAnsi="Sylfaen" w:cs="Calibri"/>
          <w:color w:val="000000"/>
          <w:sz w:val="22"/>
          <w:szCs w:val="22"/>
        </w:rPr>
      </w:pPr>
      <w:r w:rsidRPr="00AE2F32">
        <w:rPr>
          <w:rFonts w:cs="Calibri"/>
          <w:sz w:val="22"/>
          <w:szCs w:val="22"/>
          <w:lang w:val="en-GB"/>
        </w:rPr>
        <w:t>The process of appointment of judges in the first and second instance courts is also problematic.</w:t>
      </w:r>
      <w:r w:rsidRPr="00AE2F32">
        <w:rPr>
          <w:sz w:val="22"/>
          <w:szCs w:val="22"/>
        </w:rPr>
        <w:t xml:space="preserve"> </w:t>
      </w:r>
      <w:r w:rsidRPr="00AE2F32">
        <w:rPr>
          <w:rFonts w:cs="Calibri"/>
          <w:sz w:val="22"/>
          <w:szCs w:val="22"/>
          <w:lang w:val="en-GB"/>
        </w:rPr>
        <w:t xml:space="preserve">In particular, there is no appeal mechanism for candidates in the competition for the vacant position of </w:t>
      </w:r>
      <w:r w:rsidR="00C02247" w:rsidRPr="00AE2F32">
        <w:rPr>
          <w:rFonts w:cs="Calibri"/>
          <w:sz w:val="22"/>
          <w:szCs w:val="22"/>
          <w:lang w:val="en-GB"/>
        </w:rPr>
        <w:t>j</w:t>
      </w:r>
      <w:r w:rsidRPr="00AE2F32">
        <w:rPr>
          <w:rFonts w:cs="Calibri"/>
          <w:sz w:val="22"/>
          <w:szCs w:val="22"/>
          <w:lang w:val="en-GB"/>
        </w:rPr>
        <w:t xml:space="preserve">udge, who </w:t>
      </w:r>
      <w:r w:rsidR="00C02247" w:rsidRPr="00AE2F32">
        <w:rPr>
          <w:rFonts w:cs="Calibri"/>
          <w:sz w:val="22"/>
          <w:szCs w:val="22"/>
          <w:lang w:val="en-GB"/>
        </w:rPr>
        <w:t>are</w:t>
      </w:r>
      <w:r w:rsidRPr="00AE2F32">
        <w:rPr>
          <w:rFonts w:cs="Calibri"/>
          <w:sz w:val="22"/>
          <w:szCs w:val="22"/>
          <w:lang w:val="en-GB"/>
        </w:rPr>
        <w:t xml:space="preserve"> not admitted to the voting stage</w:t>
      </w:r>
      <w:r w:rsidR="00837F27" w:rsidRPr="00AE2F32">
        <w:rPr>
          <w:rFonts w:cs="Calibri"/>
          <w:color w:val="000000"/>
          <w:sz w:val="22"/>
          <w:szCs w:val="22"/>
          <w:lang w:val="en-GB"/>
        </w:rPr>
        <w:t>;</w:t>
      </w:r>
      <w:r w:rsidR="00837F27" w:rsidRPr="00AE2F32">
        <w:rPr>
          <w:rFonts w:cs="Calibri"/>
          <w:color w:val="000000"/>
          <w:sz w:val="22"/>
          <w:szCs w:val="22"/>
          <w:vertAlign w:val="superscript"/>
          <w:lang w:val="en-GB"/>
        </w:rPr>
        <w:footnoteReference w:id="110"/>
      </w:r>
      <w:r w:rsidR="00837F27" w:rsidRPr="00AE2F32">
        <w:rPr>
          <w:rFonts w:cs="Calibri"/>
          <w:color w:val="000000"/>
          <w:sz w:val="22"/>
          <w:szCs w:val="22"/>
          <w:lang w:val="en-GB"/>
        </w:rPr>
        <w:t xml:space="preserve"> </w:t>
      </w:r>
      <w:r w:rsidR="00C02247" w:rsidRPr="00AE2F32">
        <w:rPr>
          <w:rFonts w:cs="Calibri"/>
          <w:color w:val="000000"/>
          <w:sz w:val="22"/>
          <w:szCs w:val="22"/>
          <w:lang w:val="en-GB"/>
        </w:rPr>
        <w:t>Even for</w:t>
      </w:r>
      <w:r w:rsidR="00705703" w:rsidRPr="00AE2F32">
        <w:rPr>
          <w:rFonts w:cs="Calibri"/>
          <w:color w:val="000000"/>
          <w:sz w:val="22"/>
          <w:szCs w:val="22"/>
          <w:lang w:val="en-GB"/>
        </w:rPr>
        <w:t xml:space="preserve"> </w:t>
      </w:r>
      <w:r w:rsidR="00507BCD">
        <w:rPr>
          <w:rFonts w:cs="Calibri"/>
          <w:color w:val="000000"/>
          <w:sz w:val="22"/>
          <w:szCs w:val="22"/>
          <w:lang w:val="en-GB"/>
        </w:rPr>
        <w:t xml:space="preserve">the </w:t>
      </w:r>
      <w:r w:rsidR="00705703" w:rsidRPr="00AE2F32">
        <w:rPr>
          <w:rFonts w:cs="Calibri"/>
          <w:color w:val="000000"/>
          <w:sz w:val="22"/>
          <w:szCs w:val="22"/>
        </w:rPr>
        <w:t>perpetual</w:t>
      </w:r>
      <w:r w:rsidR="00705703" w:rsidRPr="00AE2F32">
        <w:rPr>
          <w:rFonts w:cs="Calibri"/>
          <w:color w:val="000000"/>
          <w:sz w:val="22"/>
          <w:szCs w:val="22"/>
          <w:lang w:val="en-GB"/>
        </w:rPr>
        <w:t xml:space="preserve"> appointment of</w:t>
      </w:r>
      <w:r w:rsidR="00C02247" w:rsidRPr="00AE2F32">
        <w:rPr>
          <w:rFonts w:cs="Calibri"/>
          <w:color w:val="000000"/>
          <w:sz w:val="22"/>
          <w:szCs w:val="22"/>
          <w:lang w:val="en-GB"/>
        </w:rPr>
        <w:t xml:space="preserve"> judges </w:t>
      </w:r>
      <w:r w:rsidR="00705703" w:rsidRPr="00AE2F32">
        <w:rPr>
          <w:rFonts w:cs="Calibri"/>
          <w:color w:val="000000"/>
          <w:sz w:val="22"/>
          <w:szCs w:val="22"/>
          <w:lang w:val="en-GB"/>
        </w:rPr>
        <w:t xml:space="preserve">with </w:t>
      </w:r>
      <w:r w:rsidR="00C02247" w:rsidRPr="00AE2F32">
        <w:rPr>
          <w:rFonts w:cs="Calibri"/>
          <w:color w:val="000000"/>
          <w:sz w:val="22"/>
          <w:szCs w:val="22"/>
          <w:lang w:val="en-GB"/>
        </w:rPr>
        <w:t xml:space="preserve">more than three years of experience, </w:t>
      </w:r>
      <w:r w:rsidR="00715D56" w:rsidRPr="00AE2F32">
        <w:rPr>
          <w:rFonts w:cs="Calibri"/>
          <w:color w:val="000000"/>
          <w:sz w:val="22"/>
          <w:szCs w:val="22"/>
          <w:lang w:val="en-GB"/>
        </w:rPr>
        <w:t xml:space="preserve">the information on </w:t>
      </w:r>
      <w:r w:rsidR="00C02247" w:rsidRPr="00AE2F32">
        <w:rPr>
          <w:rFonts w:cs="Calibri"/>
          <w:color w:val="000000"/>
          <w:sz w:val="22"/>
          <w:szCs w:val="22"/>
          <w:lang w:val="en-GB"/>
        </w:rPr>
        <w:t>the date of</w:t>
      </w:r>
      <w:r w:rsidR="00705703" w:rsidRPr="00AE2F32">
        <w:rPr>
          <w:rFonts w:cs="Calibri"/>
          <w:color w:val="000000"/>
          <w:sz w:val="22"/>
          <w:szCs w:val="22"/>
          <w:lang w:val="en-GB"/>
        </w:rPr>
        <w:t xml:space="preserve"> </w:t>
      </w:r>
      <w:r w:rsidR="00C02247" w:rsidRPr="00AE2F32">
        <w:rPr>
          <w:rFonts w:cs="Calibri"/>
          <w:color w:val="000000"/>
          <w:sz w:val="22"/>
          <w:szCs w:val="22"/>
          <w:lang w:val="en-GB"/>
        </w:rPr>
        <w:t>their applications</w:t>
      </w:r>
      <w:r w:rsidR="00705703" w:rsidRPr="00AE2F32">
        <w:rPr>
          <w:rFonts w:cs="Calibri"/>
          <w:color w:val="000000"/>
          <w:sz w:val="22"/>
          <w:szCs w:val="22"/>
          <w:lang w:val="en-GB"/>
        </w:rPr>
        <w:t>’ submission</w:t>
      </w:r>
      <w:r w:rsidR="00C02247" w:rsidRPr="00AE2F32">
        <w:rPr>
          <w:rFonts w:cs="Calibri"/>
          <w:color w:val="000000"/>
          <w:sz w:val="22"/>
          <w:szCs w:val="22"/>
          <w:lang w:val="en-GB"/>
        </w:rPr>
        <w:t xml:space="preserve"> and about the stages of consideration </w:t>
      </w:r>
      <w:r w:rsidR="00507BCD">
        <w:rPr>
          <w:rFonts w:cs="Calibri"/>
          <w:color w:val="000000"/>
          <w:sz w:val="22"/>
          <w:szCs w:val="22"/>
          <w:lang w:val="en-GB"/>
        </w:rPr>
        <w:t>was</w:t>
      </w:r>
      <w:r w:rsidR="00C02247" w:rsidRPr="00AE2F32">
        <w:rPr>
          <w:rFonts w:cs="Calibri"/>
          <w:color w:val="000000"/>
          <w:sz w:val="22"/>
          <w:szCs w:val="22"/>
          <w:lang w:val="en-GB"/>
        </w:rPr>
        <w:t xml:space="preserve"> not made public</w:t>
      </w:r>
      <w:r w:rsidR="00837F27" w:rsidRPr="00AE2F32">
        <w:rPr>
          <w:rFonts w:cs="Calibri"/>
          <w:color w:val="000000"/>
          <w:sz w:val="22"/>
          <w:szCs w:val="22"/>
          <w:lang w:val="en-GB"/>
        </w:rPr>
        <w:t>.</w:t>
      </w:r>
      <w:r w:rsidR="00837F27" w:rsidRPr="00AE2F32">
        <w:rPr>
          <w:rFonts w:cs="Calibri"/>
          <w:color w:val="000000"/>
          <w:sz w:val="22"/>
          <w:szCs w:val="22"/>
          <w:vertAlign w:val="superscript"/>
          <w:lang w:val="en-GB"/>
        </w:rPr>
        <w:footnoteReference w:id="111"/>
      </w:r>
      <w:r w:rsidR="00837F27" w:rsidRPr="00AE2F32">
        <w:rPr>
          <w:rFonts w:cs="Calibri"/>
          <w:color w:val="000000"/>
          <w:sz w:val="22"/>
          <w:szCs w:val="22"/>
          <w:lang w:val="en-GB"/>
        </w:rPr>
        <w:t xml:space="preserve"> </w:t>
      </w:r>
      <w:r w:rsidR="00715D56" w:rsidRPr="00AE2F32">
        <w:rPr>
          <w:rFonts w:cs="Calibri"/>
          <w:color w:val="000000"/>
          <w:sz w:val="22"/>
          <w:szCs w:val="22"/>
          <w:lang w:val="en-GB"/>
        </w:rPr>
        <w:t>The deadlines for the decision are not set</w:t>
      </w:r>
      <w:r w:rsidR="00837F27" w:rsidRPr="00AE2F32">
        <w:rPr>
          <w:rFonts w:cs="Calibri"/>
          <w:color w:val="000000"/>
          <w:sz w:val="22"/>
          <w:szCs w:val="22"/>
          <w:lang w:val="en-GB"/>
        </w:rPr>
        <w:t>.</w:t>
      </w:r>
      <w:r w:rsidR="00837F27" w:rsidRPr="00AE2F32">
        <w:rPr>
          <w:rFonts w:cs="Calibri"/>
          <w:color w:val="000000"/>
          <w:sz w:val="22"/>
          <w:szCs w:val="22"/>
          <w:vertAlign w:val="superscript"/>
          <w:lang w:val="en-GB"/>
        </w:rPr>
        <w:footnoteReference w:id="112"/>
      </w:r>
      <w:r w:rsidR="00837F27" w:rsidRPr="00AE2F32">
        <w:rPr>
          <w:rFonts w:cs="Calibri"/>
          <w:color w:val="000000"/>
          <w:sz w:val="22"/>
          <w:szCs w:val="22"/>
          <w:lang w:val="en-GB"/>
        </w:rPr>
        <w:t xml:space="preserve"> </w:t>
      </w:r>
      <w:r w:rsidR="00715D56" w:rsidRPr="00AE2F32">
        <w:rPr>
          <w:rFonts w:cs="Calibri"/>
          <w:color w:val="000000"/>
          <w:sz w:val="22"/>
          <w:szCs w:val="22"/>
          <w:lang w:val="en-GB"/>
        </w:rPr>
        <w:t>This might be used by the Council as pressure leverage over a judge.</w:t>
      </w:r>
      <w:r w:rsidR="00837F27" w:rsidRPr="00AE2F32">
        <w:rPr>
          <w:rFonts w:cs="Calibri"/>
          <w:color w:val="000000"/>
          <w:sz w:val="22"/>
          <w:szCs w:val="22"/>
          <w:vertAlign w:val="superscript"/>
          <w:lang w:val="en-GB"/>
        </w:rPr>
        <w:footnoteReference w:id="113"/>
      </w:r>
      <w:r w:rsidR="00457DC5">
        <w:rPr>
          <w:rFonts w:cs="Calibri"/>
          <w:color w:val="000000"/>
          <w:sz w:val="22"/>
          <w:szCs w:val="22"/>
          <w:lang w:val="ka-GE"/>
        </w:rPr>
        <w:t xml:space="preserve"> </w:t>
      </w:r>
      <w:r w:rsidR="00715D56" w:rsidRPr="00AE2F32">
        <w:rPr>
          <w:rFonts w:cs="Calibri"/>
          <w:color w:val="000000"/>
          <w:sz w:val="22"/>
          <w:szCs w:val="22"/>
          <w:lang w:val="en-GB"/>
        </w:rPr>
        <w:t>In the courts of first and second instance, interviewed</w:t>
      </w:r>
      <w:r w:rsidR="00507BCD">
        <w:rPr>
          <w:rFonts w:cs="Calibri"/>
          <w:color w:val="000000"/>
          <w:sz w:val="22"/>
          <w:szCs w:val="22"/>
          <w:lang w:val="en-GB"/>
        </w:rPr>
        <w:t xml:space="preserve"> </w:t>
      </w:r>
      <w:r w:rsidR="00715D56" w:rsidRPr="00AE2F32">
        <w:rPr>
          <w:rFonts w:cs="Calibri"/>
          <w:color w:val="000000"/>
          <w:sz w:val="22"/>
          <w:szCs w:val="22"/>
          <w:lang w:val="en-GB"/>
        </w:rPr>
        <w:t>are held in closed format for vacant positions, which creates problems in terms of transparency;</w:t>
      </w:r>
      <w:r w:rsidR="00837F27" w:rsidRPr="00AE2F32">
        <w:rPr>
          <w:sz w:val="22"/>
          <w:szCs w:val="22"/>
          <w:vertAlign w:val="superscript"/>
          <w:lang w:val="en-GB"/>
        </w:rPr>
        <w:footnoteReference w:id="114"/>
      </w:r>
      <w:r w:rsidR="00457DC5">
        <w:rPr>
          <w:rFonts w:cs="Calibri"/>
          <w:color w:val="000000"/>
          <w:sz w:val="22"/>
          <w:szCs w:val="22"/>
        </w:rPr>
        <w:t xml:space="preserve"> In these instances</w:t>
      </w:r>
      <w:r w:rsidR="00507BCD">
        <w:rPr>
          <w:rFonts w:cs="Calibri"/>
          <w:color w:val="000000"/>
          <w:sz w:val="22"/>
          <w:szCs w:val="22"/>
        </w:rPr>
        <w:t>,</w:t>
      </w:r>
      <w:r w:rsidR="00B11B68">
        <w:rPr>
          <w:rFonts w:cs="Calibri"/>
          <w:color w:val="000000"/>
          <w:sz w:val="22"/>
          <w:szCs w:val="22"/>
        </w:rPr>
        <w:t xml:space="preserve"> judges are appointed for 3 years probationary period, that undermines their independence.</w:t>
      </w:r>
      <w:r w:rsidR="00B11B68">
        <w:rPr>
          <w:rStyle w:val="FootnoteReference"/>
          <w:rFonts w:cs="Calibri"/>
          <w:color w:val="000000"/>
          <w:sz w:val="22"/>
          <w:szCs w:val="22"/>
        </w:rPr>
        <w:footnoteReference w:id="115"/>
      </w:r>
    </w:p>
    <w:p w14:paraId="00735BF7" w14:textId="3D248E40" w:rsidR="00E772DB" w:rsidRPr="00AE2F32" w:rsidRDefault="00136C1A" w:rsidP="00837F27">
      <w:pPr>
        <w:tabs>
          <w:tab w:val="left" w:pos="360"/>
        </w:tabs>
        <w:spacing w:after="120"/>
        <w:jc w:val="both"/>
        <w:rPr>
          <w:rFonts w:cs="Calibri"/>
          <w:sz w:val="22"/>
          <w:szCs w:val="22"/>
          <w:lang w:val="en-GB"/>
        </w:rPr>
      </w:pPr>
      <w:r w:rsidRPr="00AE2F32">
        <w:rPr>
          <w:rFonts w:cs="Calibri"/>
          <w:sz w:val="22"/>
          <w:szCs w:val="22"/>
          <w:lang w:val="en-GB"/>
        </w:rPr>
        <w:t>Additionally, shortcomings</w:t>
      </w:r>
      <w:r w:rsidR="00B93947">
        <w:rPr>
          <w:rFonts w:cs="Calibri"/>
          <w:sz w:val="22"/>
          <w:szCs w:val="22"/>
          <w:lang w:val="en-GB"/>
        </w:rPr>
        <w:t xml:space="preserve"> exist</w:t>
      </w:r>
      <w:r w:rsidRPr="00AE2F32">
        <w:rPr>
          <w:rFonts w:cs="Calibri"/>
          <w:sz w:val="22"/>
          <w:szCs w:val="22"/>
          <w:lang w:val="en-GB"/>
        </w:rPr>
        <w:t xml:space="preserve"> in the system of responsibility of judges. The independent inspector is responsible for an objective, impartial, thorough investigation</w:t>
      </w:r>
      <w:r w:rsidR="00507BCD">
        <w:rPr>
          <w:rFonts w:cs="Calibri"/>
          <w:sz w:val="22"/>
          <w:szCs w:val="22"/>
          <w:lang w:val="en-GB"/>
        </w:rPr>
        <w:t>,</w:t>
      </w:r>
      <w:r w:rsidRPr="00AE2F32">
        <w:rPr>
          <w:rFonts w:cs="Calibri"/>
          <w:sz w:val="22"/>
          <w:szCs w:val="22"/>
          <w:lang w:val="en-GB"/>
        </w:rPr>
        <w:t xml:space="preserve"> and preliminary examination of the alleged disciplinary misconduct of a judge</w:t>
      </w:r>
      <w:r w:rsidR="00837F27" w:rsidRPr="00AE2F32">
        <w:rPr>
          <w:rFonts w:cs="Calibri"/>
          <w:sz w:val="22"/>
          <w:szCs w:val="22"/>
          <w:lang w:val="en-GB"/>
        </w:rPr>
        <w:t>.</w:t>
      </w:r>
      <w:r w:rsidR="00837F27" w:rsidRPr="00AE2F32">
        <w:rPr>
          <w:rFonts w:cs="Calibri"/>
          <w:sz w:val="22"/>
          <w:szCs w:val="22"/>
          <w:vertAlign w:val="superscript"/>
          <w:lang w:val="en-GB"/>
        </w:rPr>
        <w:footnoteReference w:id="116"/>
      </w:r>
      <w:r w:rsidR="00837F27" w:rsidRPr="00AE2F32">
        <w:rPr>
          <w:rFonts w:cs="Calibri"/>
          <w:sz w:val="22"/>
          <w:szCs w:val="22"/>
          <w:lang w:val="en-GB"/>
        </w:rPr>
        <w:t xml:space="preserve"> </w:t>
      </w:r>
      <w:r w:rsidRPr="00AE2F32">
        <w:rPr>
          <w:rFonts w:cs="Calibri"/>
          <w:sz w:val="22"/>
          <w:szCs w:val="22"/>
          <w:lang w:val="en-GB"/>
        </w:rPr>
        <w:t>It submits a report to the Council, which makes the final decision on disciplinary liability.</w:t>
      </w:r>
      <w:r w:rsidR="00837F27" w:rsidRPr="00AE2F32">
        <w:rPr>
          <w:rFonts w:cs="Calibri"/>
          <w:sz w:val="22"/>
          <w:szCs w:val="22"/>
          <w:vertAlign w:val="superscript"/>
          <w:lang w:val="en-GB"/>
        </w:rPr>
        <w:footnoteReference w:id="117"/>
      </w:r>
      <w:r w:rsidR="00837F27" w:rsidRPr="00AE2F32">
        <w:rPr>
          <w:rFonts w:cs="Calibri"/>
          <w:sz w:val="22"/>
          <w:szCs w:val="22"/>
          <w:lang w:val="en-GB"/>
        </w:rPr>
        <w:t xml:space="preserve"> </w:t>
      </w:r>
      <w:r w:rsidRPr="00AE2F32">
        <w:rPr>
          <w:rFonts w:cs="Calibri"/>
          <w:sz w:val="22"/>
          <w:szCs w:val="22"/>
          <w:lang w:val="en-GB"/>
        </w:rPr>
        <w:t>Unfortunately, the normative acts have not yet created the proper guarantees of independence necessary for the activities of an inspector</w:t>
      </w:r>
      <w:r w:rsidR="00837F27" w:rsidRPr="00AE2F32">
        <w:rPr>
          <w:rFonts w:cs="Calibri"/>
          <w:sz w:val="22"/>
          <w:szCs w:val="22"/>
          <w:lang w:val="en-GB"/>
        </w:rPr>
        <w:t>.</w:t>
      </w:r>
      <w:r w:rsidR="00837F27" w:rsidRPr="00AE2F32">
        <w:rPr>
          <w:rFonts w:cs="Calibri"/>
          <w:sz w:val="22"/>
          <w:szCs w:val="22"/>
          <w:vertAlign w:val="superscript"/>
          <w:lang w:val="en-GB"/>
        </w:rPr>
        <w:footnoteReference w:id="118"/>
      </w:r>
      <w:r w:rsidR="00416D2B" w:rsidRPr="00AE2F32">
        <w:rPr>
          <w:rFonts w:cs="Calibri"/>
          <w:sz w:val="22"/>
          <w:szCs w:val="22"/>
          <w:lang w:val="en-GB"/>
        </w:rPr>
        <w:t xml:space="preserve"> It is also important to note that the rule for selecting an independent inspector does not address </w:t>
      </w:r>
      <w:r w:rsidR="00507BCD">
        <w:rPr>
          <w:rFonts w:cs="Calibri"/>
          <w:sz w:val="22"/>
          <w:szCs w:val="22"/>
          <w:lang w:val="en-GB"/>
        </w:rPr>
        <w:t>several</w:t>
      </w:r>
      <w:r w:rsidR="00416D2B" w:rsidRPr="00AE2F32">
        <w:rPr>
          <w:rFonts w:cs="Calibri"/>
          <w:sz w:val="22"/>
          <w:szCs w:val="22"/>
          <w:lang w:val="en-GB"/>
        </w:rPr>
        <w:t xml:space="preserve"> important issues.</w:t>
      </w:r>
      <w:r w:rsidR="00837F27" w:rsidRPr="00AE2F32">
        <w:rPr>
          <w:rFonts w:cs="Calibri"/>
          <w:sz w:val="22"/>
          <w:szCs w:val="22"/>
          <w:lang w:val="en-GB"/>
        </w:rPr>
        <w:t xml:space="preserve"> </w:t>
      </w:r>
      <w:r w:rsidR="00E51340" w:rsidRPr="00AE2F32">
        <w:rPr>
          <w:rFonts w:cs="Calibri"/>
          <w:sz w:val="22"/>
          <w:szCs w:val="22"/>
        </w:rPr>
        <w:t>Noteworthily, the</w:t>
      </w:r>
      <w:r w:rsidR="00E51340" w:rsidRPr="00AE2F32">
        <w:rPr>
          <w:rFonts w:cs="Calibri"/>
          <w:sz w:val="22"/>
          <w:szCs w:val="22"/>
          <w:lang w:val="en-GB"/>
        </w:rPr>
        <w:t xml:space="preserve"> rule for selecting an independent inspector does not address </w:t>
      </w:r>
      <w:r w:rsidR="00222E8B">
        <w:rPr>
          <w:rFonts w:cs="Calibri"/>
          <w:sz w:val="22"/>
          <w:szCs w:val="22"/>
          <w:lang w:val="en-GB"/>
        </w:rPr>
        <w:t>several</w:t>
      </w:r>
      <w:r w:rsidR="00E51340" w:rsidRPr="00AE2F32">
        <w:rPr>
          <w:rFonts w:cs="Calibri"/>
          <w:sz w:val="22"/>
          <w:szCs w:val="22"/>
          <w:lang w:val="en-GB"/>
        </w:rPr>
        <w:t xml:space="preserve"> important issues,</w:t>
      </w:r>
      <w:r w:rsidR="00837F27" w:rsidRPr="00AE2F32">
        <w:rPr>
          <w:rFonts w:cs="Calibri"/>
          <w:sz w:val="22"/>
          <w:szCs w:val="22"/>
          <w:vertAlign w:val="superscript"/>
          <w:lang w:val="en-GB"/>
        </w:rPr>
        <w:footnoteReference w:id="119"/>
      </w:r>
      <w:r w:rsidR="00837F27" w:rsidRPr="00AE2F32">
        <w:rPr>
          <w:rFonts w:cs="Calibri"/>
          <w:sz w:val="22"/>
          <w:szCs w:val="22"/>
          <w:lang w:val="en-GB"/>
        </w:rPr>
        <w:t xml:space="preserve"> </w:t>
      </w:r>
      <w:r w:rsidR="00E51340" w:rsidRPr="00AE2F32">
        <w:rPr>
          <w:rFonts w:cs="Calibri"/>
          <w:sz w:val="22"/>
          <w:szCs w:val="22"/>
          <w:lang w:val="en-GB"/>
        </w:rPr>
        <w:t xml:space="preserve"> not prescribed: the key principles of competition,</w:t>
      </w:r>
      <w:r w:rsidR="00837F27" w:rsidRPr="00AE2F32">
        <w:rPr>
          <w:rFonts w:cs="Calibri"/>
          <w:sz w:val="22"/>
          <w:szCs w:val="22"/>
          <w:lang w:val="en-GB"/>
        </w:rPr>
        <w:t xml:space="preserve"> </w:t>
      </w:r>
      <w:r w:rsidR="00E51340" w:rsidRPr="00AE2F32">
        <w:rPr>
          <w:rFonts w:cs="Calibri"/>
          <w:sz w:val="22"/>
          <w:szCs w:val="22"/>
          <w:lang w:val="en-GB"/>
        </w:rPr>
        <w:t>(objectivity, publicity,</w:t>
      </w:r>
      <w:r w:rsidR="00507BCD">
        <w:rPr>
          <w:rFonts w:cs="Calibri"/>
          <w:sz w:val="22"/>
          <w:szCs w:val="22"/>
          <w:lang w:val="en-GB"/>
        </w:rPr>
        <w:t xml:space="preserve"> the </w:t>
      </w:r>
      <w:r w:rsidR="00E51340" w:rsidRPr="00AE2F32">
        <w:rPr>
          <w:rFonts w:cs="Calibri"/>
          <w:sz w:val="22"/>
          <w:szCs w:val="22"/>
          <w:lang w:val="en-GB"/>
        </w:rPr>
        <w:t xml:space="preserve">prohibition of discrimination, prevention of interest </w:t>
      </w:r>
      <w:r w:rsidR="00E51340" w:rsidRPr="00AE2F32">
        <w:rPr>
          <w:rFonts w:cs="Calibri"/>
          <w:sz w:val="22"/>
          <w:szCs w:val="22"/>
          <w:lang w:val="en-GB"/>
        </w:rPr>
        <w:lastRenderedPageBreak/>
        <w:t>conflict)</w:t>
      </w:r>
      <w:r w:rsidR="00837F27" w:rsidRPr="00AE2F32">
        <w:rPr>
          <w:rFonts w:cs="Calibri"/>
          <w:sz w:val="22"/>
          <w:szCs w:val="22"/>
          <w:lang w:val="en-GB"/>
        </w:rPr>
        <w:t xml:space="preserve"> </w:t>
      </w:r>
      <w:r w:rsidR="00E51340" w:rsidRPr="00AE2F32">
        <w:rPr>
          <w:rFonts w:cs="Calibri"/>
          <w:sz w:val="22"/>
          <w:szCs w:val="22"/>
          <w:lang w:val="en-GB"/>
        </w:rPr>
        <w:t xml:space="preserve">and procedures </w:t>
      </w:r>
      <w:r w:rsidR="00837F27" w:rsidRPr="00AE2F32">
        <w:rPr>
          <w:rFonts w:cs="Calibri"/>
          <w:sz w:val="22"/>
          <w:szCs w:val="22"/>
          <w:lang w:val="en-GB"/>
        </w:rPr>
        <w:t>(</w:t>
      </w:r>
      <w:r w:rsidR="00E51340" w:rsidRPr="00AE2F32">
        <w:rPr>
          <w:rFonts w:cs="Calibri"/>
          <w:sz w:val="22"/>
          <w:szCs w:val="22"/>
          <w:lang w:val="en-GB"/>
        </w:rPr>
        <w:t xml:space="preserve">selection criteria, aim and rule of interviewing, the issues </w:t>
      </w:r>
      <w:r w:rsidR="00E772DB" w:rsidRPr="00AE2F32">
        <w:rPr>
          <w:rFonts w:cs="Calibri"/>
          <w:sz w:val="22"/>
          <w:szCs w:val="22"/>
          <w:lang w:val="en-GB"/>
        </w:rPr>
        <w:t>to define at the interview, evaluation rule and its reasoning)</w:t>
      </w:r>
      <w:r w:rsidR="00837F27" w:rsidRPr="00AE2F32">
        <w:rPr>
          <w:rFonts w:cs="Calibri"/>
          <w:sz w:val="22"/>
          <w:szCs w:val="22"/>
          <w:lang w:val="en-GB"/>
        </w:rPr>
        <w:t>.</w:t>
      </w:r>
      <w:r w:rsidR="00837F27" w:rsidRPr="00AE2F32">
        <w:rPr>
          <w:rFonts w:cs="Calibri"/>
          <w:sz w:val="22"/>
          <w:szCs w:val="22"/>
          <w:vertAlign w:val="superscript"/>
          <w:lang w:val="en-GB"/>
        </w:rPr>
        <w:footnoteReference w:id="120"/>
      </w:r>
      <w:r w:rsidR="00837F27" w:rsidRPr="00AE2F32">
        <w:rPr>
          <w:rFonts w:cs="Calibri"/>
          <w:sz w:val="22"/>
          <w:szCs w:val="22"/>
          <w:lang w:val="en-GB"/>
        </w:rPr>
        <w:t xml:space="preserve"> </w:t>
      </w:r>
      <w:r w:rsidR="00E772DB" w:rsidRPr="00AE2F32">
        <w:rPr>
          <w:rFonts w:cs="Calibri"/>
          <w:sz w:val="22"/>
          <w:szCs w:val="22"/>
          <w:lang w:val="en-GB"/>
        </w:rPr>
        <w:t xml:space="preserve">Furthermore, </w:t>
      </w:r>
      <w:r w:rsidR="006A4F12">
        <w:rPr>
          <w:rFonts w:cs="Calibri"/>
          <w:sz w:val="22"/>
          <w:szCs w:val="22"/>
          <w:lang w:val="en-GB"/>
        </w:rPr>
        <w:t xml:space="preserve">the </w:t>
      </w:r>
      <w:r w:rsidR="00E772DB" w:rsidRPr="00AE2F32">
        <w:rPr>
          <w:rFonts w:cs="Calibri"/>
          <w:sz w:val="22"/>
          <w:szCs w:val="22"/>
          <w:lang w:val="en-GB"/>
        </w:rPr>
        <w:t>absolute majority is enough for the selection of inspector,</w:t>
      </w:r>
      <w:r w:rsidR="00E772DB" w:rsidRPr="00AE2F32">
        <w:rPr>
          <w:rFonts w:cs="Calibri"/>
          <w:sz w:val="22"/>
          <w:szCs w:val="22"/>
          <w:vertAlign w:val="superscript"/>
          <w:lang w:val="en-GB"/>
        </w:rPr>
        <w:footnoteReference w:id="121"/>
      </w:r>
      <w:r w:rsidR="00E772DB" w:rsidRPr="00AE2F32">
        <w:rPr>
          <w:rFonts w:cs="Calibri"/>
          <w:sz w:val="22"/>
          <w:szCs w:val="22"/>
          <w:lang w:val="en-GB"/>
        </w:rPr>
        <w:t xml:space="preserve"> which </w:t>
      </w:r>
      <w:r w:rsidR="006A4F12">
        <w:rPr>
          <w:rFonts w:cs="Calibri"/>
          <w:sz w:val="22"/>
          <w:szCs w:val="22"/>
          <w:lang w:val="en-GB"/>
        </w:rPr>
        <w:t>allows</w:t>
      </w:r>
      <w:r w:rsidR="00E772DB" w:rsidRPr="00AE2F32">
        <w:rPr>
          <w:rFonts w:cs="Calibri"/>
          <w:sz w:val="22"/>
          <w:szCs w:val="22"/>
          <w:lang w:val="en-GB"/>
        </w:rPr>
        <w:t xml:space="preserve"> judges to select a person </w:t>
      </w:r>
      <w:r w:rsidR="0050166D">
        <w:rPr>
          <w:rFonts w:cs="Calibri"/>
          <w:sz w:val="22"/>
          <w:szCs w:val="22"/>
          <w:lang w:val="en-GB"/>
        </w:rPr>
        <w:t>per</w:t>
      </w:r>
      <w:r w:rsidR="00E772DB" w:rsidRPr="00AE2F32">
        <w:rPr>
          <w:rFonts w:cs="Calibri"/>
          <w:sz w:val="22"/>
          <w:szCs w:val="22"/>
          <w:lang w:val="en-GB"/>
        </w:rPr>
        <w:t xml:space="preserve"> their corporate interests. </w:t>
      </w:r>
    </w:p>
    <w:p w14:paraId="17D9EC92" w14:textId="77777777" w:rsidR="00837F27" w:rsidRPr="00AE2F32" w:rsidRDefault="00837F27" w:rsidP="00837F27">
      <w:pPr>
        <w:tabs>
          <w:tab w:val="left" w:pos="360"/>
        </w:tabs>
        <w:spacing w:after="120"/>
        <w:contextualSpacing/>
        <w:jc w:val="both"/>
        <w:rPr>
          <w:sz w:val="22"/>
          <w:szCs w:val="22"/>
          <w:lang w:val="en-GB"/>
        </w:rPr>
      </w:pPr>
    </w:p>
    <w:p w14:paraId="1E556E30" w14:textId="3D3205AE" w:rsidR="00837F27" w:rsidRPr="00AE2F32" w:rsidRDefault="00E772DB" w:rsidP="00837F27">
      <w:pPr>
        <w:shd w:val="clear" w:color="auto" w:fill="C9C9C9" w:themeFill="accent3" w:themeFillTint="99"/>
        <w:tabs>
          <w:tab w:val="left" w:pos="360"/>
        </w:tabs>
        <w:spacing w:after="120"/>
        <w:contextualSpacing/>
        <w:jc w:val="both"/>
        <w:rPr>
          <w:b/>
          <w:iCs/>
          <w:sz w:val="22"/>
          <w:szCs w:val="22"/>
          <w:lang w:val="en-GB"/>
        </w:rPr>
      </w:pPr>
      <w:r w:rsidRPr="00AE2F32">
        <w:rPr>
          <w:b/>
          <w:iCs/>
          <w:sz w:val="22"/>
          <w:szCs w:val="22"/>
          <w:lang w:val="en-GB"/>
        </w:rPr>
        <w:t xml:space="preserve">Recommendations: </w:t>
      </w:r>
    </w:p>
    <w:p w14:paraId="4877988F" w14:textId="50884877" w:rsidR="00AF75C4" w:rsidRDefault="00E772DB" w:rsidP="0023502D">
      <w:pPr>
        <w:numPr>
          <w:ilvl w:val="0"/>
          <w:numId w:val="20"/>
        </w:numPr>
        <w:shd w:val="clear" w:color="auto" w:fill="C9C9C9" w:themeFill="accent3" w:themeFillTint="99"/>
        <w:tabs>
          <w:tab w:val="left" w:pos="360"/>
        </w:tabs>
        <w:spacing w:after="120"/>
        <w:ind w:left="0" w:firstLine="0"/>
        <w:contextualSpacing/>
        <w:jc w:val="both"/>
        <w:rPr>
          <w:rFonts w:cs="Calibri"/>
          <w:sz w:val="22"/>
          <w:szCs w:val="22"/>
          <w:lang w:val="en-GB"/>
        </w:rPr>
      </w:pPr>
      <w:r w:rsidRPr="00AE2F32">
        <w:rPr>
          <w:rFonts w:cs="Calibri"/>
          <w:sz w:val="22"/>
          <w:szCs w:val="22"/>
          <w:lang w:val="en-GB"/>
        </w:rPr>
        <w:t xml:space="preserve">When electing judicial and non-judicial members of the council, </w:t>
      </w:r>
      <w:r w:rsidR="00AF75C4">
        <w:rPr>
          <w:rFonts w:cs="Calibri"/>
          <w:sz w:val="22"/>
          <w:szCs w:val="22"/>
          <w:lang w:val="en-GB"/>
        </w:rPr>
        <w:t xml:space="preserve">define </w:t>
      </w:r>
      <w:r w:rsidRPr="00AE2F32">
        <w:rPr>
          <w:rFonts w:cs="Calibri"/>
          <w:sz w:val="22"/>
          <w:szCs w:val="22"/>
          <w:lang w:val="en-GB"/>
        </w:rPr>
        <w:t xml:space="preserve">gender quotas </w:t>
      </w:r>
      <w:r w:rsidR="00AF75C4">
        <w:rPr>
          <w:rFonts w:cs="Calibri"/>
          <w:sz w:val="22"/>
          <w:szCs w:val="22"/>
          <w:lang w:val="en-GB"/>
        </w:rPr>
        <w:t>under the</w:t>
      </w:r>
      <w:r w:rsidRPr="00AE2F32">
        <w:rPr>
          <w:rFonts w:cs="Calibri"/>
          <w:sz w:val="22"/>
          <w:szCs w:val="22"/>
          <w:lang w:val="en-GB"/>
        </w:rPr>
        <w:t xml:space="preserve"> law (every second should be of different sex – apart from ex-officio member), in case of judicial members </w:t>
      </w:r>
      <w:r w:rsidR="00AF75C4">
        <w:rPr>
          <w:rFonts w:cs="Calibri"/>
          <w:sz w:val="22"/>
          <w:szCs w:val="22"/>
          <w:lang w:val="en-GB"/>
        </w:rPr>
        <w:t xml:space="preserve">define </w:t>
      </w:r>
      <w:r w:rsidRPr="00AE2F32">
        <w:rPr>
          <w:rFonts w:cs="Calibri"/>
          <w:sz w:val="22"/>
          <w:szCs w:val="22"/>
          <w:lang w:val="en-GB"/>
        </w:rPr>
        <w:t>regional quotas</w:t>
      </w:r>
      <w:r w:rsidR="000D4940" w:rsidRPr="00AE2F32">
        <w:rPr>
          <w:rFonts w:cs="Calibri"/>
          <w:sz w:val="22"/>
          <w:szCs w:val="22"/>
          <w:lang w:val="en-GB"/>
        </w:rPr>
        <w:t xml:space="preserve">, instance quotas should be more proportional. </w:t>
      </w:r>
    </w:p>
    <w:p w14:paraId="75B0BADF" w14:textId="7D4B2FD9" w:rsidR="00E772DB" w:rsidRPr="00AE2F32" w:rsidRDefault="000D4940" w:rsidP="0023502D">
      <w:pPr>
        <w:numPr>
          <w:ilvl w:val="0"/>
          <w:numId w:val="20"/>
        </w:numPr>
        <w:shd w:val="clear" w:color="auto" w:fill="C9C9C9" w:themeFill="accent3" w:themeFillTint="99"/>
        <w:tabs>
          <w:tab w:val="left" w:pos="360"/>
        </w:tabs>
        <w:spacing w:after="120"/>
        <w:ind w:left="0" w:firstLine="0"/>
        <w:contextualSpacing/>
        <w:jc w:val="both"/>
        <w:rPr>
          <w:rFonts w:cs="Calibri"/>
          <w:sz w:val="22"/>
          <w:szCs w:val="22"/>
          <w:lang w:val="en-GB"/>
        </w:rPr>
      </w:pPr>
      <w:r w:rsidRPr="00AE2F32">
        <w:rPr>
          <w:rFonts w:cs="Calibri"/>
          <w:sz w:val="22"/>
          <w:szCs w:val="22"/>
          <w:lang w:val="en-GB"/>
        </w:rPr>
        <w:t>Prohibit the simultaneous holding of the position of Court Chairperson and Council Member to avoid a concentration of power.</w:t>
      </w:r>
    </w:p>
    <w:p w14:paraId="4E70F669" w14:textId="6171EC25" w:rsidR="00837F27" w:rsidRPr="00AE2F32" w:rsidRDefault="00AF75C4" w:rsidP="0023502D">
      <w:pPr>
        <w:numPr>
          <w:ilvl w:val="0"/>
          <w:numId w:val="20"/>
        </w:numPr>
        <w:shd w:val="clear" w:color="auto" w:fill="C9C9C9" w:themeFill="accent3" w:themeFillTint="99"/>
        <w:tabs>
          <w:tab w:val="left" w:pos="360"/>
        </w:tabs>
        <w:spacing w:after="120"/>
        <w:ind w:left="0" w:firstLine="0"/>
        <w:contextualSpacing/>
        <w:jc w:val="both"/>
        <w:rPr>
          <w:rFonts w:cs="Calibri"/>
          <w:sz w:val="22"/>
          <w:szCs w:val="22"/>
          <w:lang w:val="en-GB"/>
        </w:rPr>
      </w:pPr>
      <w:r>
        <w:rPr>
          <w:rFonts w:cs="Calibri"/>
          <w:sz w:val="22"/>
          <w:szCs w:val="22"/>
          <w:lang w:val="en-GB"/>
        </w:rPr>
        <w:t>Maintain t</w:t>
      </w:r>
      <w:r w:rsidR="000D4940" w:rsidRPr="00AE2F32">
        <w:rPr>
          <w:rFonts w:cs="Calibri"/>
          <w:sz w:val="22"/>
          <w:szCs w:val="22"/>
          <w:lang w:val="en-GB"/>
        </w:rPr>
        <w:t>he requirement of a 2/3 majority at all stages of voting to elect a judicial member of the Conference of Judges.</w:t>
      </w:r>
      <w:r w:rsidR="00837F27" w:rsidRPr="00AE2F32">
        <w:rPr>
          <w:rFonts w:cs="Calibri"/>
          <w:sz w:val="22"/>
          <w:szCs w:val="22"/>
          <w:lang w:val="en-GB"/>
        </w:rPr>
        <w:t xml:space="preserve"> </w:t>
      </w:r>
    </w:p>
    <w:p w14:paraId="5EAA0537" w14:textId="4DDFF652" w:rsidR="00837F27" w:rsidRPr="00AE2F32" w:rsidRDefault="00AF75C4" w:rsidP="0023502D">
      <w:pPr>
        <w:numPr>
          <w:ilvl w:val="0"/>
          <w:numId w:val="20"/>
        </w:numPr>
        <w:shd w:val="clear" w:color="auto" w:fill="C9C9C9" w:themeFill="accent3" w:themeFillTint="99"/>
        <w:tabs>
          <w:tab w:val="left" w:pos="360"/>
        </w:tabs>
        <w:spacing w:after="120"/>
        <w:ind w:left="0" w:firstLine="0"/>
        <w:contextualSpacing/>
        <w:jc w:val="both"/>
        <w:rPr>
          <w:rFonts w:cs="Calibri"/>
          <w:color w:val="000000"/>
          <w:sz w:val="22"/>
          <w:szCs w:val="22"/>
          <w:lang w:val="en-GB"/>
        </w:rPr>
      </w:pPr>
      <w:r>
        <w:rPr>
          <w:rFonts w:cs="Calibri"/>
          <w:color w:val="000000"/>
          <w:sz w:val="22"/>
          <w:szCs w:val="22"/>
          <w:lang w:val="en-GB"/>
        </w:rPr>
        <w:t>Change t</w:t>
      </w:r>
      <w:r w:rsidR="000D4940" w:rsidRPr="00AE2F32">
        <w:rPr>
          <w:rFonts w:cs="Calibri"/>
          <w:color w:val="000000"/>
          <w:sz w:val="22"/>
          <w:szCs w:val="22"/>
          <w:lang w:val="en-GB"/>
        </w:rPr>
        <w:t xml:space="preserve">he Supreme Court </w:t>
      </w:r>
      <w:r w:rsidR="00A85A39" w:rsidRPr="00AE2F32">
        <w:rPr>
          <w:rFonts w:cs="Calibri"/>
          <w:color w:val="000000"/>
          <w:sz w:val="22"/>
          <w:szCs w:val="22"/>
          <w:lang w:val="en-GB"/>
        </w:rPr>
        <w:t>judge’s</w:t>
      </w:r>
      <w:r w:rsidR="000D4940" w:rsidRPr="00AE2F32">
        <w:rPr>
          <w:rFonts w:cs="Calibri"/>
          <w:color w:val="000000"/>
          <w:sz w:val="22"/>
          <w:szCs w:val="22"/>
          <w:lang w:val="en-GB"/>
        </w:rPr>
        <w:t xml:space="preserve"> appointment rule. At the selection stage of the High Council of Justice, </w:t>
      </w:r>
      <w:r>
        <w:rPr>
          <w:rFonts w:cs="Calibri"/>
          <w:color w:val="000000"/>
          <w:sz w:val="22"/>
          <w:szCs w:val="22"/>
          <w:lang w:val="en-GB"/>
        </w:rPr>
        <w:t xml:space="preserve">nominate </w:t>
      </w:r>
      <w:r w:rsidR="000D4940" w:rsidRPr="00AE2F32">
        <w:rPr>
          <w:rFonts w:cs="Calibri"/>
          <w:color w:val="000000"/>
          <w:sz w:val="22"/>
          <w:szCs w:val="22"/>
          <w:lang w:val="en-GB"/>
        </w:rPr>
        <w:t xml:space="preserve">the contestants who will get 2/3 of the votes of the </w:t>
      </w:r>
      <w:r w:rsidR="00A85A39" w:rsidRPr="00AE2F32">
        <w:rPr>
          <w:rFonts w:cs="Calibri"/>
          <w:color w:val="000000"/>
          <w:sz w:val="22"/>
          <w:szCs w:val="22"/>
          <w:lang w:val="en-GB"/>
        </w:rPr>
        <w:t>judicial</w:t>
      </w:r>
      <w:r w:rsidR="000D4940" w:rsidRPr="00AE2F32">
        <w:rPr>
          <w:rFonts w:cs="Calibri"/>
          <w:color w:val="000000"/>
          <w:sz w:val="22"/>
          <w:szCs w:val="22"/>
          <w:lang w:val="en-GB"/>
        </w:rPr>
        <w:t xml:space="preserve"> and non-</w:t>
      </w:r>
      <w:r w:rsidR="00A85A39" w:rsidRPr="00AE2F32">
        <w:rPr>
          <w:rFonts w:cs="Calibri"/>
          <w:color w:val="000000"/>
          <w:sz w:val="22"/>
          <w:szCs w:val="22"/>
          <w:lang w:val="en-GB"/>
        </w:rPr>
        <w:t>judicial</w:t>
      </w:r>
      <w:r w:rsidR="000D4940" w:rsidRPr="00AE2F32">
        <w:rPr>
          <w:rFonts w:cs="Calibri"/>
          <w:color w:val="000000"/>
          <w:sz w:val="22"/>
          <w:szCs w:val="22"/>
          <w:lang w:val="en-GB"/>
        </w:rPr>
        <w:t xml:space="preserve"> members of the council separately</w:t>
      </w:r>
      <w:r w:rsidR="00A85A39" w:rsidRPr="00AE2F32">
        <w:rPr>
          <w:rFonts w:cs="Calibri"/>
          <w:color w:val="000000"/>
          <w:sz w:val="22"/>
          <w:szCs w:val="22"/>
          <w:lang w:val="en-GB"/>
        </w:rPr>
        <w:t>.</w:t>
      </w:r>
      <w:r w:rsidR="00837F27" w:rsidRPr="00AE2F32">
        <w:rPr>
          <w:rFonts w:cs="Calibri"/>
          <w:color w:val="000000"/>
          <w:sz w:val="22"/>
          <w:szCs w:val="22"/>
          <w:vertAlign w:val="superscript"/>
          <w:lang w:val="en-GB"/>
        </w:rPr>
        <w:footnoteReference w:id="122"/>
      </w:r>
      <w:r w:rsidR="00837F27" w:rsidRPr="00AE2F32">
        <w:rPr>
          <w:rFonts w:cs="Calibri"/>
          <w:color w:val="000000"/>
          <w:sz w:val="22"/>
          <w:szCs w:val="22"/>
          <w:lang w:val="en-GB"/>
        </w:rPr>
        <w:t xml:space="preserve"> </w:t>
      </w:r>
      <w:r w:rsidR="00A85A39" w:rsidRPr="00AE2F32">
        <w:rPr>
          <w:rFonts w:cs="Calibri"/>
          <w:color w:val="000000"/>
          <w:sz w:val="22"/>
          <w:szCs w:val="22"/>
          <w:lang w:val="en-GB"/>
        </w:rPr>
        <w:t xml:space="preserve">At the parliamentary level, the </w:t>
      </w:r>
      <w:r>
        <w:rPr>
          <w:rFonts w:cs="Calibri"/>
          <w:color w:val="000000"/>
          <w:sz w:val="22"/>
          <w:szCs w:val="22"/>
          <w:lang w:val="en-GB"/>
        </w:rPr>
        <w:t xml:space="preserve">ensure </w:t>
      </w:r>
      <w:r w:rsidR="00A85A39" w:rsidRPr="00AE2F32">
        <w:rPr>
          <w:rFonts w:cs="Calibri"/>
          <w:color w:val="000000"/>
          <w:sz w:val="22"/>
          <w:szCs w:val="22"/>
          <w:lang w:val="en-GB"/>
        </w:rPr>
        <w:t xml:space="preserve">procedure for electing judges the consensus of the minority and the majority on the judge candidacy; </w:t>
      </w:r>
    </w:p>
    <w:p w14:paraId="0FED8728" w14:textId="6D1B137A" w:rsidR="00314C09" w:rsidRPr="004E2D12" w:rsidRDefault="00A85A39" w:rsidP="004E2D12">
      <w:pPr>
        <w:numPr>
          <w:ilvl w:val="0"/>
          <w:numId w:val="20"/>
        </w:numPr>
        <w:shd w:val="clear" w:color="auto" w:fill="C9C9C9" w:themeFill="accent3" w:themeFillTint="99"/>
        <w:tabs>
          <w:tab w:val="left" w:pos="360"/>
        </w:tabs>
        <w:spacing w:after="120"/>
        <w:ind w:left="0" w:firstLine="0"/>
        <w:contextualSpacing/>
        <w:jc w:val="both"/>
        <w:rPr>
          <w:rFonts w:cs="Calibri"/>
          <w:color w:val="000000"/>
          <w:sz w:val="22"/>
          <w:szCs w:val="22"/>
          <w:lang w:val="en-GB"/>
        </w:rPr>
      </w:pPr>
      <w:r w:rsidRPr="00AE2F32">
        <w:rPr>
          <w:rFonts w:cs="Calibri"/>
          <w:color w:val="000000"/>
          <w:sz w:val="22"/>
          <w:szCs w:val="22"/>
          <w:lang w:val="en-GB"/>
        </w:rPr>
        <w:t xml:space="preserve">According to the legislation, during the competition for the selection of first and second instance judges, </w:t>
      </w:r>
      <w:r w:rsidR="0050166D">
        <w:rPr>
          <w:rFonts w:cs="Calibri"/>
          <w:color w:val="000000"/>
          <w:sz w:val="22"/>
          <w:szCs w:val="22"/>
          <w:lang w:val="en-GB"/>
        </w:rPr>
        <w:t>allow</w:t>
      </w:r>
      <w:r w:rsidR="00AF75C4">
        <w:rPr>
          <w:rFonts w:cs="Calibri"/>
          <w:color w:val="000000"/>
          <w:sz w:val="22"/>
          <w:szCs w:val="22"/>
          <w:lang w:val="en-GB"/>
        </w:rPr>
        <w:t xml:space="preserve"> </w:t>
      </w:r>
      <w:r w:rsidRPr="00AE2F32">
        <w:rPr>
          <w:rFonts w:cs="Calibri"/>
          <w:color w:val="000000"/>
          <w:sz w:val="22"/>
          <w:szCs w:val="22"/>
          <w:lang w:val="en-GB"/>
        </w:rPr>
        <w:t xml:space="preserve">the participating candidates to appeal against the refusal to go from the interview to the voting stage; </w:t>
      </w:r>
      <w:r w:rsidR="004E2D12">
        <w:rPr>
          <w:rFonts w:cs="Calibri"/>
          <w:color w:val="000000"/>
          <w:sz w:val="22"/>
          <w:szCs w:val="22"/>
          <w:lang w:val="en-GB"/>
        </w:rPr>
        <w:t>Abolish probationary period and until that w</w:t>
      </w:r>
      <w:r w:rsidR="00314C09" w:rsidRPr="004E2D12">
        <w:rPr>
          <w:rFonts w:cs="Calibri"/>
          <w:color w:val="000000"/>
          <w:sz w:val="22"/>
          <w:szCs w:val="22"/>
          <w:lang w:val="en-GB"/>
        </w:rPr>
        <w:t>hen reappointing probationary judges for permanent period,</w:t>
      </w:r>
      <w:r w:rsidR="00AF75C4" w:rsidRPr="004E2D12">
        <w:rPr>
          <w:rFonts w:cs="Calibri"/>
          <w:color w:val="000000"/>
          <w:sz w:val="22"/>
          <w:szCs w:val="22"/>
          <w:lang w:val="en-GB"/>
        </w:rPr>
        <w:t xml:space="preserve"> set</w:t>
      </w:r>
      <w:r w:rsidR="00314C09" w:rsidRPr="004E2D12">
        <w:rPr>
          <w:rFonts w:cs="Calibri"/>
          <w:color w:val="000000"/>
          <w:sz w:val="22"/>
          <w:szCs w:val="22"/>
          <w:lang w:val="en-GB"/>
        </w:rPr>
        <w:t xml:space="preserve"> specific deadlines and </w:t>
      </w:r>
      <w:r w:rsidR="00AF75C4" w:rsidRPr="004E2D12">
        <w:rPr>
          <w:rFonts w:cs="Calibri"/>
          <w:color w:val="000000"/>
          <w:sz w:val="22"/>
          <w:szCs w:val="22"/>
          <w:lang w:val="en-GB"/>
        </w:rPr>
        <w:t xml:space="preserve">provide </w:t>
      </w:r>
      <w:r w:rsidR="00314C09" w:rsidRPr="004E2D12">
        <w:rPr>
          <w:rFonts w:cs="Calibri"/>
          <w:color w:val="000000"/>
          <w:sz w:val="22"/>
          <w:szCs w:val="22"/>
          <w:lang w:val="en-GB"/>
        </w:rPr>
        <w:t>transparent</w:t>
      </w:r>
      <w:r w:rsidR="00AF75C4" w:rsidRPr="004E2D12">
        <w:rPr>
          <w:rFonts w:cs="Calibri"/>
          <w:color w:val="000000"/>
          <w:sz w:val="22"/>
          <w:szCs w:val="22"/>
          <w:lang w:val="en-GB"/>
        </w:rPr>
        <w:t xml:space="preserve"> selection</w:t>
      </w:r>
      <w:r w:rsidR="00314C09" w:rsidRPr="004E2D12">
        <w:rPr>
          <w:rFonts w:cs="Calibri"/>
          <w:color w:val="000000"/>
          <w:sz w:val="22"/>
          <w:szCs w:val="22"/>
          <w:lang w:val="en-GB"/>
        </w:rPr>
        <w:t xml:space="preserve">. </w:t>
      </w:r>
      <w:r w:rsidR="004E2D12">
        <w:rPr>
          <w:rFonts w:cs="Calibri"/>
          <w:color w:val="000000"/>
          <w:sz w:val="22"/>
          <w:szCs w:val="22"/>
          <w:lang w:val="en-GB"/>
        </w:rPr>
        <w:t xml:space="preserve"> Appoint judges who will gain 2/3 of votes from </w:t>
      </w:r>
      <w:r w:rsidR="0050166D">
        <w:rPr>
          <w:rFonts w:cs="Calibri"/>
          <w:color w:val="000000"/>
          <w:sz w:val="22"/>
          <w:szCs w:val="22"/>
          <w:lang w:val="en-GB"/>
        </w:rPr>
        <w:t xml:space="preserve">the </w:t>
      </w:r>
      <w:r w:rsidR="004E2D12">
        <w:rPr>
          <w:rFonts w:cs="Calibri"/>
          <w:color w:val="000000"/>
          <w:sz w:val="22"/>
          <w:szCs w:val="22"/>
          <w:lang w:val="en-GB"/>
        </w:rPr>
        <w:t xml:space="preserve">judiciary and non-judiciary members. </w:t>
      </w:r>
    </w:p>
    <w:p w14:paraId="0CC7BBDF" w14:textId="42C721BC" w:rsidR="00314C09" w:rsidRPr="00AE2F32" w:rsidRDefault="000C1EC4" w:rsidP="0023502D">
      <w:pPr>
        <w:numPr>
          <w:ilvl w:val="0"/>
          <w:numId w:val="20"/>
        </w:numPr>
        <w:shd w:val="clear" w:color="auto" w:fill="C9C9C9" w:themeFill="accent3" w:themeFillTint="99"/>
        <w:tabs>
          <w:tab w:val="left" w:pos="360"/>
        </w:tabs>
        <w:spacing w:after="120"/>
        <w:ind w:left="0" w:firstLine="0"/>
        <w:contextualSpacing/>
        <w:jc w:val="both"/>
        <w:rPr>
          <w:rFonts w:cs="Calibri"/>
          <w:sz w:val="22"/>
          <w:szCs w:val="22"/>
          <w:lang w:val="en-GB"/>
        </w:rPr>
      </w:pPr>
      <w:r>
        <w:rPr>
          <w:rFonts w:cs="Calibri"/>
          <w:sz w:val="22"/>
          <w:szCs w:val="22"/>
          <w:lang w:val="en-GB"/>
        </w:rPr>
        <w:t xml:space="preserve">Define </w:t>
      </w:r>
      <w:r w:rsidR="00314C09" w:rsidRPr="00AE2F32">
        <w:rPr>
          <w:rFonts w:cs="Calibri"/>
          <w:sz w:val="22"/>
          <w:szCs w:val="22"/>
          <w:lang w:val="en-GB"/>
        </w:rPr>
        <w:t>Procedures for selecting an independent inspector, which will take into account principles such as objectivity, publicity, non-discrimination, avoidance of conflict of interest.</w:t>
      </w:r>
      <w:r w:rsidR="001F23E3" w:rsidRPr="00AE2F32">
        <w:rPr>
          <w:rFonts w:cs="Calibri"/>
          <w:sz w:val="22"/>
          <w:szCs w:val="22"/>
          <w:lang w:val="en-GB"/>
        </w:rPr>
        <w:t xml:space="preserve"> For its selection 2/3 of council member votes should be required. </w:t>
      </w:r>
    </w:p>
    <w:p w14:paraId="555FEE28" w14:textId="77777777" w:rsidR="00837F27" w:rsidRPr="00AE2F32" w:rsidRDefault="00837F27" w:rsidP="00256F01">
      <w:pPr>
        <w:tabs>
          <w:tab w:val="left" w:pos="360"/>
        </w:tabs>
        <w:spacing w:after="120"/>
        <w:contextualSpacing/>
        <w:jc w:val="both"/>
        <w:rPr>
          <w:rFonts w:cs="Calibri"/>
          <w:color w:val="000000"/>
          <w:sz w:val="22"/>
          <w:szCs w:val="22"/>
          <w:lang w:val="en-GB"/>
        </w:rPr>
      </w:pPr>
    </w:p>
    <w:p w14:paraId="5C40624D" w14:textId="68CF0279" w:rsidR="00837F27" w:rsidRPr="00AE2F32" w:rsidRDefault="001F23E3" w:rsidP="00837F27">
      <w:pPr>
        <w:shd w:val="clear" w:color="auto" w:fill="C9C9C9" w:themeFill="accent3" w:themeFillTint="99"/>
        <w:tabs>
          <w:tab w:val="left" w:pos="360"/>
        </w:tabs>
        <w:spacing w:after="120"/>
        <w:contextualSpacing/>
        <w:jc w:val="both"/>
        <w:rPr>
          <w:b/>
          <w:sz w:val="22"/>
          <w:szCs w:val="22"/>
          <w:lang w:val="en-GB"/>
        </w:rPr>
      </w:pPr>
      <w:r w:rsidRPr="00AE2F32">
        <w:rPr>
          <w:b/>
          <w:sz w:val="22"/>
          <w:szCs w:val="22"/>
          <w:lang w:val="en-GB"/>
        </w:rPr>
        <w:t xml:space="preserve">Questions: </w:t>
      </w:r>
    </w:p>
    <w:p w14:paraId="1777C49C" w14:textId="22BF4030" w:rsidR="001F23E3" w:rsidRPr="00AE2F32" w:rsidRDefault="001F23E3" w:rsidP="0023502D">
      <w:pPr>
        <w:numPr>
          <w:ilvl w:val="0"/>
          <w:numId w:val="38"/>
        </w:numPr>
        <w:shd w:val="clear" w:color="auto" w:fill="C9C9C9" w:themeFill="accent3" w:themeFillTint="99"/>
        <w:tabs>
          <w:tab w:val="left" w:pos="360"/>
        </w:tabs>
        <w:spacing w:after="120"/>
        <w:contextualSpacing/>
        <w:jc w:val="both"/>
        <w:rPr>
          <w:rFonts w:cs="Calibri"/>
          <w:sz w:val="22"/>
          <w:szCs w:val="22"/>
          <w:lang w:val="en-GB"/>
        </w:rPr>
      </w:pPr>
      <w:r w:rsidRPr="00AE2F32">
        <w:rPr>
          <w:rFonts w:cs="Sylfaen"/>
          <w:sz w:val="22"/>
          <w:szCs w:val="22"/>
          <w:lang w:val="en-GB"/>
        </w:rPr>
        <w:t>What effective measures were taken to rehabilitate the judiciary and free it from the interests of influential groups?</w:t>
      </w:r>
    </w:p>
    <w:p w14:paraId="27393F62" w14:textId="740EF9BD" w:rsidR="00837F27" w:rsidRPr="00AE2F32" w:rsidRDefault="001F23E3" w:rsidP="0023502D">
      <w:pPr>
        <w:numPr>
          <w:ilvl w:val="0"/>
          <w:numId w:val="38"/>
        </w:numPr>
        <w:shd w:val="clear" w:color="auto" w:fill="C9C9C9" w:themeFill="accent3" w:themeFillTint="99"/>
        <w:tabs>
          <w:tab w:val="left" w:pos="360"/>
        </w:tabs>
        <w:spacing w:after="120"/>
        <w:contextualSpacing/>
        <w:jc w:val="both"/>
        <w:rPr>
          <w:rFonts w:cs="Calibri"/>
          <w:sz w:val="22"/>
          <w:szCs w:val="22"/>
          <w:lang w:val="en-GB"/>
        </w:rPr>
      </w:pPr>
      <w:r w:rsidRPr="00AE2F32">
        <w:rPr>
          <w:rFonts w:cs="Sylfaen"/>
          <w:sz w:val="22"/>
          <w:szCs w:val="22"/>
          <w:lang w:val="en-GB"/>
        </w:rPr>
        <w:t xml:space="preserve">Are there any plans to change the </w:t>
      </w:r>
      <w:r w:rsidR="00C83EF4" w:rsidRPr="00AE2F32">
        <w:rPr>
          <w:rFonts w:cs="Sylfaen"/>
          <w:sz w:val="22"/>
          <w:szCs w:val="22"/>
          <w:lang w:val="en-GB"/>
        </w:rPr>
        <w:t>recruitment</w:t>
      </w:r>
      <w:r w:rsidRPr="00AE2F32">
        <w:rPr>
          <w:rFonts w:cs="Sylfaen"/>
          <w:sz w:val="22"/>
          <w:szCs w:val="22"/>
          <w:lang w:val="en-GB"/>
        </w:rPr>
        <w:t xml:space="preserve"> of the Council of Justice?</w:t>
      </w:r>
    </w:p>
    <w:p w14:paraId="73FA65D8" w14:textId="472D123C" w:rsidR="001F23E3" w:rsidRPr="00AE2F32" w:rsidRDefault="001F23E3" w:rsidP="0023502D">
      <w:pPr>
        <w:numPr>
          <w:ilvl w:val="0"/>
          <w:numId w:val="38"/>
        </w:numPr>
        <w:shd w:val="clear" w:color="auto" w:fill="C9C9C9" w:themeFill="accent3" w:themeFillTint="99"/>
        <w:tabs>
          <w:tab w:val="left" w:pos="360"/>
        </w:tabs>
        <w:spacing w:after="120"/>
        <w:contextualSpacing/>
        <w:jc w:val="both"/>
        <w:rPr>
          <w:rFonts w:cs="Calibri"/>
          <w:sz w:val="22"/>
          <w:szCs w:val="22"/>
          <w:lang w:val="en-GB"/>
        </w:rPr>
      </w:pPr>
      <w:r w:rsidRPr="00AE2F32">
        <w:rPr>
          <w:rFonts w:cs="Calibri"/>
          <w:sz w:val="22"/>
          <w:szCs w:val="22"/>
          <w:lang w:val="en-GB"/>
        </w:rPr>
        <w:t>Are there any plans to review the appointments of judges and procedures in a way that ensures a consensus-based model in the council and the participation of the opposition at the parliamentary level?</w:t>
      </w:r>
    </w:p>
    <w:p w14:paraId="298B7E51" w14:textId="574C3136" w:rsidR="00E74D1F" w:rsidRPr="00AE2F32" w:rsidRDefault="00E74D1F" w:rsidP="0023502D">
      <w:pPr>
        <w:numPr>
          <w:ilvl w:val="0"/>
          <w:numId w:val="38"/>
        </w:numPr>
        <w:shd w:val="clear" w:color="auto" w:fill="C9C9C9" w:themeFill="accent3" w:themeFillTint="99"/>
        <w:tabs>
          <w:tab w:val="left" w:pos="360"/>
        </w:tabs>
        <w:spacing w:after="120"/>
        <w:contextualSpacing/>
        <w:jc w:val="both"/>
        <w:rPr>
          <w:rFonts w:cs="Calibri"/>
          <w:sz w:val="22"/>
          <w:szCs w:val="22"/>
          <w:lang w:val="en-GB"/>
        </w:rPr>
      </w:pPr>
      <w:r w:rsidRPr="00AE2F32">
        <w:rPr>
          <w:rFonts w:cs="Calibri"/>
          <w:sz w:val="22"/>
          <w:szCs w:val="22"/>
          <w:lang w:val="en-GB"/>
        </w:rPr>
        <w:t>Are there any plans to increase the number of votes required for the board to elect an inspector?</w:t>
      </w:r>
      <w:bookmarkStart w:id="37" w:name="_Toc47711147"/>
      <w:bookmarkStart w:id="38" w:name="_Toc47711148"/>
      <w:bookmarkStart w:id="39" w:name="_Toc47711149"/>
      <w:bookmarkStart w:id="40" w:name="_Toc47711150"/>
      <w:bookmarkStart w:id="41" w:name="_Toc47711151"/>
      <w:bookmarkStart w:id="42" w:name="_Toc47711152"/>
      <w:bookmarkStart w:id="43" w:name="_Toc47711153"/>
      <w:bookmarkStart w:id="44" w:name="_Toc47711154"/>
      <w:bookmarkStart w:id="45" w:name="_Toc47711155"/>
      <w:bookmarkStart w:id="46" w:name="_Toc47711156"/>
      <w:bookmarkStart w:id="47" w:name="_Toc47711157"/>
      <w:bookmarkStart w:id="48" w:name="_Toc47711158"/>
      <w:bookmarkStart w:id="49" w:name="_Toc47711159"/>
      <w:bookmarkStart w:id="50" w:name="_Toc47711160"/>
      <w:bookmarkStart w:id="51" w:name="_Toc47711161"/>
      <w:bookmarkStart w:id="52" w:name="_Toc47711162"/>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6C49F9AD" w14:textId="40C1AB0C" w:rsidR="007918A6" w:rsidRPr="00AE2F32" w:rsidRDefault="00E74D1F" w:rsidP="0023502D">
      <w:pPr>
        <w:pStyle w:val="Heading2"/>
        <w:numPr>
          <w:ilvl w:val="0"/>
          <w:numId w:val="15"/>
        </w:numPr>
        <w:spacing w:before="0"/>
        <w:rPr>
          <w:rFonts w:asciiTheme="minorHAnsi" w:hAnsiTheme="minorHAnsi" w:cs="Sylfaen"/>
          <w:sz w:val="22"/>
          <w:szCs w:val="22"/>
          <w:lang w:val="en-GB"/>
        </w:rPr>
      </w:pPr>
      <w:bookmarkStart w:id="53" w:name="_Toc48565947"/>
      <w:r w:rsidRPr="00AE2F32">
        <w:rPr>
          <w:rFonts w:asciiTheme="minorHAnsi" w:hAnsiTheme="minorHAnsi" w:cs="Sylfaen"/>
          <w:sz w:val="22"/>
          <w:szCs w:val="22"/>
          <w:lang w:val="en-GB"/>
        </w:rPr>
        <w:t>Article</w:t>
      </w:r>
      <w:r w:rsidR="007918A6" w:rsidRPr="00AE2F32">
        <w:rPr>
          <w:rFonts w:asciiTheme="minorHAnsi" w:hAnsiTheme="minorHAnsi" w:cs="Sylfaen"/>
          <w:sz w:val="22"/>
          <w:szCs w:val="22"/>
          <w:lang w:val="en-GB"/>
        </w:rPr>
        <w:t xml:space="preserve"> 16: </w:t>
      </w:r>
      <w:r w:rsidRPr="00AE2F32">
        <w:rPr>
          <w:rFonts w:asciiTheme="minorHAnsi" w:hAnsiTheme="minorHAnsi" w:cs="Sylfaen"/>
          <w:sz w:val="22"/>
          <w:szCs w:val="22"/>
          <w:lang w:val="en-GB"/>
        </w:rPr>
        <w:t>Recognition as a Person before the Law</w:t>
      </w:r>
      <w:bookmarkEnd w:id="53"/>
    </w:p>
    <w:p w14:paraId="35B7619C" w14:textId="035F09EA" w:rsidR="006F3DA3" w:rsidRPr="00AE2F32" w:rsidRDefault="00275173" w:rsidP="006F3DA3">
      <w:pPr>
        <w:pStyle w:val="NormalWeb"/>
        <w:spacing w:before="240" w:beforeAutospacing="0" w:after="0" w:afterAutospacing="0"/>
        <w:jc w:val="both"/>
        <w:rPr>
          <w:rFonts w:asciiTheme="minorHAnsi" w:hAnsiTheme="minorHAnsi" w:cs="Calibri"/>
          <w:bCs/>
          <w:i/>
          <w:iCs/>
          <w:color w:val="000000" w:themeColor="text1"/>
          <w:sz w:val="22"/>
          <w:szCs w:val="22"/>
          <w:u w:val="single"/>
          <w:lang w:val="en-GB"/>
        </w:rPr>
      </w:pPr>
      <w:r w:rsidRPr="00AE2F32">
        <w:rPr>
          <w:rFonts w:asciiTheme="minorHAnsi" w:hAnsiTheme="minorHAnsi" w:cs="Calibri"/>
          <w:bCs/>
          <w:i/>
          <w:iCs/>
          <w:color w:val="000000" w:themeColor="text1"/>
          <w:sz w:val="22"/>
          <w:szCs w:val="22"/>
          <w:u w:val="single"/>
          <w:lang w:val="en-GB"/>
        </w:rPr>
        <w:t xml:space="preserve">Legal capacity of PWDS </w:t>
      </w:r>
    </w:p>
    <w:p w14:paraId="63EFF15B" w14:textId="22AF8F13" w:rsidR="00D81C59" w:rsidRPr="00AE2F32" w:rsidRDefault="00275173" w:rsidP="006F3DA3">
      <w:pPr>
        <w:pStyle w:val="NormalWeb"/>
        <w:spacing w:before="240" w:beforeAutospacing="0" w:after="0" w:afterAutospacing="0"/>
        <w:jc w:val="both"/>
        <w:rPr>
          <w:rFonts w:asciiTheme="minorHAnsi" w:hAnsiTheme="minorHAnsi" w:cs="Calibri"/>
          <w:bCs/>
          <w:color w:val="000000" w:themeColor="text1"/>
          <w:sz w:val="22"/>
          <w:szCs w:val="22"/>
          <w:lang w:val="en-GB"/>
        </w:rPr>
      </w:pPr>
      <w:r w:rsidRPr="00AE2F32">
        <w:rPr>
          <w:rFonts w:asciiTheme="minorHAnsi" w:hAnsiTheme="minorHAnsi" w:cs="Calibri"/>
          <w:bCs/>
          <w:color w:val="000000" w:themeColor="text1"/>
          <w:sz w:val="22"/>
          <w:szCs w:val="22"/>
          <w:lang w:val="en-GB"/>
        </w:rPr>
        <w:t>The concept of guardianship for</w:t>
      </w:r>
      <w:r w:rsidR="00522998" w:rsidRPr="00AE2F32">
        <w:rPr>
          <w:rFonts w:asciiTheme="minorHAnsi" w:hAnsiTheme="minorHAnsi" w:cs="Calibri"/>
          <w:bCs/>
          <w:color w:val="000000" w:themeColor="text1"/>
          <w:sz w:val="22"/>
          <w:szCs w:val="22"/>
        </w:rPr>
        <w:t xml:space="preserve"> </w:t>
      </w:r>
      <w:r w:rsidR="009D1247">
        <w:rPr>
          <w:rFonts w:asciiTheme="minorHAnsi" w:hAnsiTheme="minorHAnsi" w:cs="Calibri"/>
          <w:bCs/>
          <w:color w:val="000000" w:themeColor="text1"/>
          <w:sz w:val="22"/>
          <w:szCs w:val="22"/>
        </w:rPr>
        <w:t>persons</w:t>
      </w:r>
      <w:r w:rsidR="009D1247" w:rsidRPr="00AE2F32">
        <w:rPr>
          <w:rFonts w:asciiTheme="minorHAnsi" w:hAnsiTheme="minorHAnsi" w:cs="Calibri"/>
          <w:bCs/>
          <w:color w:val="000000" w:themeColor="text1"/>
          <w:sz w:val="22"/>
          <w:szCs w:val="22"/>
          <w:lang w:val="en-GB"/>
        </w:rPr>
        <w:t xml:space="preserve"> </w:t>
      </w:r>
      <w:r w:rsidR="009D1247">
        <w:rPr>
          <w:rFonts w:asciiTheme="minorHAnsi" w:hAnsiTheme="minorHAnsi" w:cs="Calibri"/>
          <w:bCs/>
          <w:color w:val="000000" w:themeColor="text1"/>
          <w:sz w:val="22"/>
          <w:szCs w:val="22"/>
          <w:lang w:val="en-GB"/>
        </w:rPr>
        <w:t>with</w:t>
      </w:r>
      <w:r w:rsidR="009D1247" w:rsidRPr="00AE2F32">
        <w:rPr>
          <w:rFonts w:asciiTheme="minorHAnsi" w:hAnsiTheme="minorHAnsi" w:cs="Calibri"/>
          <w:bCs/>
          <w:color w:val="000000" w:themeColor="text1"/>
          <w:sz w:val="22"/>
          <w:szCs w:val="22"/>
          <w:lang w:val="en-GB"/>
        </w:rPr>
        <w:t xml:space="preserve"> </w:t>
      </w:r>
      <w:r w:rsidRPr="00AE2F32">
        <w:rPr>
          <w:rFonts w:asciiTheme="minorHAnsi" w:hAnsiTheme="minorHAnsi" w:cs="Calibri"/>
          <w:bCs/>
          <w:color w:val="000000" w:themeColor="text1"/>
          <w:sz w:val="22"/>
          <w:szCs w:val="22"/>
          <w:lang w:val="en-GB"/>
        </w:rPr>
        <w:t xml:space="preserve">psychosocial and intellectual </w:t>
      </w:r>
      <w:r w:rsidR="00B93947">
        <w:rPr>
          <w:rFonts w:asciiTheme="minorHAnsi" w:hAnsiTheme="minorHAnsi" w:cs="Calibri"/>
          <w:bCs/>
          <w:color w:val="000000" w:themeColor="text1"/>
          <w:sz w:val="22"/>
          <w:szCs w:val="22"/>
          <w:lang w:val="en-GB"/>
        </w:rPr>
        <w:t>disabilities</w:t>
      </w:r>
      <w:r w:rsidR="009D1247" w:rsidRPr="00AE2F32">
        <w:rPr>
          <w:rFonts w:asciiTheme="minorHAnsi" w:hAnsiTheme="minorHAnsi" w:cs="Calibri"/>
          <w:bCs/>
          <w:color w:val="000000" w:themeColor="text1"/>
          <w:sz w:val="22"/>
          <w:szCs w:val="22"/>
          <w:lang w:val="en-GB"/>
        </w:rPr>
        <w:t xml:space="preserve"> </w:t>
      </w:r>
      <w:r w:rsidRPr="00AE2F32">
        <w:rPr>
          <w:rFonts w:asciiTheme="minorHAnsi" w:hAnsiTheme="minorHAnsi" w:cs="Calibri"/>
          <w:bCs/>
          <w:color w:val="000000" w:themeColor="text1"/>
          <w:sz w:val="22"/>
          <w:szCs w:val="22"/>
          <w:lang w:val="en-GB"/>
        </w:rPr>
        <w:t>was abolished and the support</w:t>
      </w:r>
      <w:r w:rsidR="009D1247">
        <w:rPr>
          <w:rFonts w:asciiTheme="minorHAnsi" w:hAnsiTheme="minorHAnsi" w:cs="Calibri"/>
          <w:bCs/>
          <w:color w:val="000000" w:themeColor="text1"/>
          <w:sz w:val="22"/>
          <w:szCs w:val="22"/>
          <w:lang w:val="en-GB"/>
        </w:rPr>
        <w:t>ed decision-making</w:t>
      </w:r>
      <w:r w:rsidRPr="00AE2F32">
        <w:rPr>
          <w:rFonts w:asciiTheme="minorHAnsi" w:hAnsiTheme="minorHAnsi" w:cs="Calibri"/>
          <w:bCs/>
          <w:color w:val="000000" w:themeColor="text1"/>
          <w:sz w:val="22"/>
          <w:szCs w:val="22"/>
          <w:lang w:val="en-GB"/>
        </w:rPr>
        <w:t xml:space="preserve"> model was introduced in 2015</w:t>
      </w:r>
      <w:r w:rsidR="006F3DA3" w:rsidRPr="00AE2F32">
        <w:rPr>
          <w:rFonts w:asciiTheme="minorHAnsi" w:hAnsiTheme="minorHAnsi" w:cs="Calibri"/>
          <w:bCs/>
          <w:color w:val="000000" w:themeColor="text1"/>
          <w:sz w:val="22"/>
          <w:szCs w:val="22"/>
          <w:lang w:val="en-GB"/>
        </w:rPr>
        <w:t>.</w:t>
      </w:r>
      <w:r w:rsidR="006F3DA3" w:rsidRPr="00AE2F32">
        <w:rPr>
          <w:rStyle w:val="FootnoteReference"/>
          <w:rFonts w:asciiTheme="minorHAnsi" w:hAnsiTheme="minorHAnsi" w:cs="Calibri"/>
          <w:bCs/>
          <w:color w:val="000000" w:themeColor="text1"/>
          <w:sz w:val="22"/>
          <w:szCs w:val="22"/>
          <w:lang w:val="en-GB"/>
        </w:rPr>
        <w:footnoteReference w:id="123"/>
      </w:r>
      <w:r w:rsidR="006F3DA3" w:rsidRPr="00AE2F32">
        <w:rPr>
          <w:rFonts w:asciiTheme="minorHAnsi" w:hAnsiTheme="minorHAnsi" w:cs="Calibri"/>
          <w:bCs/>
          <w:color w:val="000000" w:themeColor="text1"/>
          <w:sz w:val="22"/>
          <w:szCs w:val="22"/>
          <w:lang w:val="en-GB"/>
        </w:rPr>
        <w:t xml:space="preserve"> </w:t>
      </w:r>
      <w:r w:rsidR="002926F0">
        <w:rPr>
          <w:rFonts w:asciiTheme="minorHAnsi" w:hAnsiTheme="minorHAnsi" w:cs="Calibri"/>
          <w:bCs/>
          <w:color w:val="000000" w:themeColor="text1"/>
          <w:sz w:val="22"/>
          <w:szCs w:val="22"/>
          <w:lang w:val="en-GB"/>
        </w:rPr>
        <w:t xml:space="preserve">Within the </w:t>
      </w:r>
      <w:r w:rsidR="00D81C59" w:rsidRPr="00AE2F32">
        <w:rPr>
          <w:rFonts w:asciiTheme="minorHAnsi" w:hAnsiTheme="minorHAnsi" w:cs="Calibri"/>
          <w:bCs/>
          <w:color w:val="000000" w:themeColor="text1"/>
          <w:sz w:val="22"/>
          <w:szCs w:val="22"/>
          <w:lang w:val="en-GB"/>
        </w:rPr>
        <w:t xml:space="preserve">Legal Capacity reform, the amendments were made in </w:t>
      </w:r>
      <w:r w:rsidR="0050166D">
        <w:rPr>
          <w:rFonts w:asciiTheme="minorHAnsi" w:hAnsiTheme="minorHAnsi" w:cs="Calibri"/>
          <w:bCs/>
          <w:color w:val="000000" w:themeColor="text1"/>
          <w:sz w:val="22"/>
          <w:szCs w:val="22"/>
          <w:lang w:val="en-GB"/>
        </w:rPr>
        <w:t>several</w:t>
      </w:r>
      <w:r w:rsidR="00D81C59" w:rsidRPr="00AE2F32">
        <w:rPr>
          <w:rFonts w:asciiTheme="minorHAnsi" w:hAnsiTheme="minorHAnsi" w:cs="Calibri"/>
          <w:bCs/>
          <w:color w:val="000000" w:themeColor="text1"/>
          <w:sz w:val="22"/>
          <w:szCs w:val="22"/>
          <w:lang w:val="en-GB"/>
        </w:rPr>
        <w:t xml:space="preserve"> legislative norms. The reform introduced innovations, including regulations on the psychosocial assessment of a person by a multidisciplinary team </w:t>
      </w:r>
      <w:r w:rsidR="002926F0">
        <w:rPr>
          <w:rFonts w:asciiTheme="minorHAnsi" w:hAnsiTheme="minorHAnsi" w:cs="Calibri"/>
          <w:bCs/>
          <w:color w:val="000000" w:themeColor="text1"/>
          <w:sz w:val="22"/>
          <w:szCs w:val="22"/>
          <w:lang w:val="en-GB"/>
        </w:rPr>
        <w:t>and</w:t>
      </w:r>
      <w:r w:rsidR="002926F0" w:rsidRPr="00AE2F32">
        <w:rPr>
          <w:rFonts w:asciiTheme="minorHAnsi" w:hAnsiTheme="minorHAnsi" w:cs="Calibri"/>
          <w:bCs/>
          <w:color w:val="000000" w:themeColor="text1"/>
          <w:sz w:val="22"/>
          <w:szCs w:val="22"/>
          <w:lang w:val="en-GB"/>
        </w:rPr>
        <w:t xml:space="preserve"> </w:t>
      </w:r>
      <w:r w:rsidR="00D81C59" w:rsidRPr="00AE2F32">
        <w:rPr>
          <w:rFonts w:asciiTheme="minorHAnsi" w:hAnsiTheme="minorHAnsi" w:cs="Calibri"/>
          <w:bCs/>
          <w:color w:val="000000" w:themeColor="text1"/>
          <w:sz w:val="22"/>
          <w:szCs w:val="22"/>
          <w:lang w:val="en-GB"/>
        </w:rPr>
        <w:t>the appointment of support</w:t>
      </w:r>
      <w:r w:rsidR="00690010" w:rsidRPr="00AE2F32">
        <w:rPr>
          <w:rFonts w:asciiTheme="minorHAnsi" w:hAnsiTheme="minorHAnsi" w:cs="Calibri"/>
          <w:bCs/>
          <w:color w:val="000000" w:themeColor="text1"/>
          <w:sz w:val="22"/>
          <w:szCs w:val="22"/>
          <w:lang w:val="en-GB"/>
        </w:rPr>
        <w:t>er</w:t>
      </w:r>
      <w:r w:rsidR="00D81C59" w:rsidRPr="00AE2F32">
        <w:rPr>
          <w:rFonts w:asciiTheme="minorHAnsi" w:hAnsiTheme="minorHAnsi" w:cs="Calibri"/>
          <w:bCs/>
          <w:color w:val="000000" w:themeColor="text1"/>
          <w:sz w:val="22"/>
          <w:szCs w:val="22"/>
          <w:lang w:val="en-GB"/>
        </w:rPr>
        <w:t xml:space="preserve"> by a court.</w:t>
      </w:r>
    </w:p>
    <w:p w14:paraId="4663CF6D" w14:textId="011B2F7A" w:rsidR="006F3DA3" w:rsidRPr="00AE2F32" w:rsidRDefault="00690010" w:rsidP="00427A2B">
      <w:pPr>
        <w:pStyle w:val="NormalWeb"/>
        <w:spacing w:before="240" w:beforeAutospacing="0" w:after="0" w:afterAutospacing="0"/>
        <w:jc w:val="both"/>
        <w:rPr>
          <w:rFonts w:asciiTheme="minorHAnsi" w:hAnsiTheme="minorHAnsi" w:cs="Calibri"/>
          <w:bCs/>
          <w:color w:val="000000" w:themeColor="text1"/>
          <w:sz w:val="22"/>
          <w:szCs w:val="22"/>
          <w:lang w:val="en-GB"/>
        </w:rPr>
      </w:pPr>
      <w:r w:rsidRPr="00AE2F32">
        <w:rPr>
          <w:rFonts w:asciiTheme="minorHAnsi" w:hAnsiTheme="minorHAnsi" w:cs="Calibri"/>
          <w:bCs/>
          <w:color w:val="000000" w:themeColor="text1"/>
          <w:sz w:val="22"/>
          <w:szCs w:val="22"/>
          <w:lang w:val="en-GB"/>
        </w:rPr>
        <w:lastRenderedPageBreak/>
        <w:t xml:space="preserve">Legal capacity reform is mostly in compliance with </w:t>
      </w:r>
      <w:r w:rsidR="002926F0">
        <w:rPr>
          <w:rFonts w:asciiTheme="minorHAnsi" w:hAnsiTheme="minorHAnsi" w:cs="Calibri"/>
          <w:bCs/>
          <w:color w:val="000000" w:themeColor="text1"/>
          <w:sz w:val="22"/>
          <w:szCs w:val="22"/>
          <w:lang w:val="en-GB"/>
        </w:rPr>
        <w:t>UNCRPD</w:t>
      </w:r>
      <w:r w:rsidRPr="00AE2F32">
        <w:rPr>
          <w:rFonts w:asciiTheme="minorHAnsi" w:hAnsiTheme="minorHAnsi" w:cs="Calibri"/>
          <w:bCs/>
          <w:color w:val="000000" w:themeColor="text1"/>
          <w:sz w:val="22"/>
          <w:szCs w:val="22"/>
          <w:lang w:val="en-GB"/>
        </w:rPr>
        <w:t xml:space="preserve">; </w:t>
      </w:r>
      <w:r w:rsidR="00B93947">
        <w:rPr>
          <w:rFonts w:asciiTheme="minorHAnsi" w:hAnsiTheme="minorHAnsi" w:cs="Calibri"/>
          <w:bCs/>
          <w:color w:val="000000" w:themeColor="text1"/>
          <w:sz w:val="22"/>
          <w:szCs w:val="22"/>
          <w:lang w:val="en-GB"/>
        </w:rPr>
        <w:t>H</w:t>
      </w:r>
      <w:r w:rsidRPr="00AE2F32">
        <w:rPr>
          <w:rFonts w:asciiTheme="minorHAnsi" w:hAnsiTheme="minorHAnsi" w:cs="Calibri"/>
          <w:bCs/>
          <w:color w:val="000000" w:themeColor="text1"/>
          <w:sz w:val="22"/>
          <w:szCs w:val="22"/>
          <w:lang w:val="en-GB"/>
        </w:rPr>
        <w:t xml:space="preserve">owever, important challenges still exist, which </w:t>
      </w:r>
      <w:r w:rsidR="002926F0">
        <w:rPr>
          <w:rFonts w:asciiTheme="minorHAnsi" w:hAnsiTheme="minorHAnsi" w:cs="Calibri"/>
          <w:bCs/>
          <w:color w:val="000000" w:themeColor="text1"/>
          <w:sz w:val="22"/>
          <w:szCs w:val="22"/>
          <w:lang w:val="en-GB"/>
        </w:rPr>
        <w:t xml:space="preserve">hinders </w:t>
      </w:r>
      <w:r w:rsidR="0050166D">
        <w:rPr>
          <w:rFonts w:asciiTheme="minorHAnsi" w:hAnsiTheme="minorHAnsi" w:cs="Calibri"/>
          <w:bCs/>
          <w:color w:val="000000" w:themeColor="text1"/>
          <w:sz w:val="22"/>
          <w:szCs w:val="22"/>
          <w:lang w:val="en-GB"/>
        </w:rPr>
        <w:t xml:space="preserve">the </w:t>
      </w:r>
      <w:r w:rsidR="002926F0">
        <w:rPr>
          <w:rFonts w:asciiTheme="minorHAnsi" w:hAnsiTheme="minorHAnsi" w:cs="Calibri"/>
          <w:bCs/>
          <w:color w:val="000000" w:themeColor="text1"/>
          <w:sz w:val="22"/>
          <w:szCs w:val="22"/>
          <w:lang w:val="en-GB"/>
        </w:rPr>
        <w:t>implementation</w:t>
      </w:r>
      <w:r w:rsidR="002926F0" w:rsidRPr="00AE2F32">
        <w:rPr>
          <w:rFonts w:asciiTheme="minorHAnsi" w:hAnsiTheme="minorHAnsi" w:cs="Calibri"/>
          <w:bCs/>
          <w:color w:val="000000" w:themeColor="text1"/>
          <w:sz w:val="22"/>
          <w:szCs w:val="22"/>
          <w:lang w:val="en-GB"/>
        </w:rPr>
        <w:t xml:space="preserve"> </w:t>
      </w:r>
      <w:r w:rsidRPr="00AE2F32">
        <w:rPr>
          <w:rFonts w:asciiTheme="minorHAnsi" w:hAnsiTheme="minorHAnsi" w:cs="Calibri"/>
          <w:bCs/>
          <w:color w:val="000000" w:themeColor="text1"/>
          <w:sz w:val="22"/>
          <w:szCs w:val="22"/>
          <w:lang w:val="en-GB"/>
        </w:rPr>
        <w:t xml:space="preserve">of this concept. </w:t>
      </w:r>
      <w:r w:rsidR="00427A2B" w:rsidRPr="00AE2F32">
        <w:rPr>
          <w:rFonts w:asciiTheme="minorHAnsi" w:hAnsiTheme="minorHAnsi" w:cs="Calibri"/>
          <w:bCs/>
          <w:color w:val="000000" w:themeColor="text1"/>
          <w:sz w:val="22"/>
          <w:szCs w:val="22"/>
          <w:lang w:val="en-GB"/>
        </w:rPr>
        <w:t xml:space="preserve">The legislation blanketly restricts </w:t>
      </w:r>
      <w:r w:rsidR="0050166D">
        <w:rPr>
          <w:rFonts w:asciiTheme="minorHAnsi" w:hAnsiTheme="minorHAnsi" w:cs="Calibri"/>
          <w:bCs/>
          <w:color w:val="000000" w:themeColor="text1"/>
          <w:sz w:val="22"/>
          <w:szCs w:val="22"/>
          <w:lang w:val="en-GB"/>
        </w:rPr>
        <w:t xml:space="preserve">the </w:t>
      </w:r>
      <w:r w:rsidR="00427A2B" w:rsidRPr="00AE2F32">
        <w:rPr>
          <w:rFonts w:asciiTheme="minorHAnsi" w:hAnsiTheme="minorHAnsi" w:cs="Calibri"/>
          <w:bCs/>
          <w:color w:val="000000" w:themeColor="text1"/>
          <w:sz w:val="22"/>
          <w:szCs w:val="22"/>
          <w:lang w:val="en-GB"/>
        </w:rPr>
        <w:t xml:space="preserve">rights of </w:t>
      </w:r>
      <w:r w:rsidR="0050166D">
        <w:rPr>
          <w:rFonts w:asciiTheme="minorHAnsi" w:hAnsiTheme="minorHAnsi" w:cs="Calibri"/>
          <w:bCs/>
          <w:color w:val="000000" w:themeColor="text1"/>
          <w:sz w:val="22"/>
          <w:szCs w:val="22"/>
          <w:lang w:val="en-GB"/>
        </w:rPr>
        <w:t xml:space="preserve">a </w:t>
      </w:r>
      <w:r w:rsidR="00427A2B" w:rsidRPr="00AE2F32">
        <w:rPr>
          <w:rFonts w:asciiTheme="minorHAnsi" w:hAnsiTheme="minorHAnsi" w:cs="Calibri"/>
          <w:bCs/>
          <w:color w:val="000000" w:themeColor="text1"/>
          <w:sz w:val="22"/>
          <w:szCs w:val="22"/>
          <w:lang w:val="en-GB"/>
        </w:rPr>
        <w:t>support</w:t>
      </w:r>
      <w:r w:rsidR="002926F0">
        <w:rPr>
          <w:rFonts w:asciiTheme="minorHAnsi" w:hAnsiTheme="minorHAnsi" w:cs="Calibri"/>
          <w:bCs/>
          <w:color w:val="000000" w:themeColor="text1"/>
          <w:sz w:val="22"/>
          <w:szCs w:val="22"/>
          <w:lang w:val="en-GB"/>
        </w:rPr>
        <w:t>ed person</w:t>
      </w:r>
      <w:r w:rsidR="00427A2B" w:rsidRPr="00AE2F32">
        <w:rPr>
          <w:rFonts w:asciiTheme="minorHAnsi" w:hAnsiTheme="minorHAnsi" w:cs="Calibri"/>
          <w:bCs/>
          <w:color w:val="000000" w:themeColor="text1"/>
          <w:sz w:val="22"/>
          <w:szCs w:val="22"/>
          <w:lang w:val="en-GB"/>
        </w:rPr>
        <w:t xml:space="preserve"> in </w:t>
      </w:r>
      <w:r w:rsidR="004712D2">
        <w:rPr>
          <w:rFonts w:asciiTheme="minorHAnsi" w:hAnsiTheme="minorHAnsi" w:cs="Calibri"/>
          <w:bCs/>
          <w:color w:val="000000" w:themeColor="text1"/>
          <w:sz w:val="22"/>
          <w:szCs w:val="22"/>
          <w:lang w:val="en-GB"/>
        </w:rPr>
        <w:t>several</w:t>
      </w:r>
      <w:r w:rsidR="00427A2B" w:rsidRPr="00AE2F32">
        <w:rPr>
          <w:rFonts w:asciiTheme="minorHAnsi" w:hAnsiTheme="minorHAnsi" w:cs="Calibri"/>
          <w:bCs/>
          <w:color w:val="000000" w:themeColor="text1"/>
          <w:sz w:val="22"/>
          <w:szCs w:val="22"/>
          <w:lang w:val="en-GB"/>
        </w:rPr>
        <w:t xml:space="preserve"> fields -including</w:t>
      </w:r>
      <w:r w:rsidR="002926F0">
        <w:rPr>
          <w:rFonts w:asciiTheme="minorHAnsi" w:hAnsiTheme="minorHAnsi" w:cs="Calibri"/>
          <w:bCs/>
          <w:color w:val="000000" w:themeColor="text1"/>
          <w:sz w:val="22"/>
          <w:szCs w:val="22"/>
          <w:lang w:val="en-GB"/>
        </w:rPr>
        <w:t>, rights</w:t>
      </w:r>
      <w:r w:rsidR="00427A2B" w:rsidRPr="00AE2F32">
        <w:rPr>
          <w:rFonts w:asciiTheme="minorHAnsi" w:hAnsiTheme="minorHAnsi" w:cs="Calibri"/>
          <w:bCs/>
          <w:color w:val="000000" w:themeColor="text1"/>
          <w:sz w:val="22"/>
          <w:szCs w:val="22"/>
          <w:lang w:val="en-GB"/>
        </w:rPr>
        <w:t xml:space="preserve"> </w:t>
      </w:r>
      <w:r w:rsidR="002926F0">
        <w:rPr>
          <w:rFonts w:asciiTheme="minorHAnsi" w:hAnsiTheme="minorHAnsi" w:cs="Calibri"/>
          <w:bCs/>
          <w:color w:val="000000" w:themeColor="text1"/>
          <w:sz w:val="22"/>
          <w:szCs w:val="22"/>
          <w:lang w:val="en-GB"/>
        </w:rPr>
        <w:t xml:space="preserve">to </w:t>
      </w:r>
      <w:proofErr w:type="spellStart"/>
      <w:r w:rsidR="0050166D">
        <w:rPr>
          <w:rFonts w:asciiTheme="minorHAnsi" w:hAnsiTheme="minorHAnsi" w:cs="Calibri"/>
          <w:bCs/>
          <w:color w:val="000000" w:themeColor="text1"/>
          <w:sz w:val="22"/>
          <w:szCs w:val="22"/>
          <w:lang w:val="en-GB"/>
        </w:rPr>
        <w:t>labor</w:t>
      </w:r>
      <w:proofErr w:type="spellEnd"/>
      <w:r w:rsidR="00427A2B" w:rsidRPr="00AE2F32">
        <w:rPr>
          <w:rFonts w:asciiTheme="minorHAnsi" w:hAnsiTheme="minorHAnsi" w:cs="Calibri"/>
          <w:bCs/>
          <w:color w:val="000000" w:themeColor="text1"/>
          <w:sz w:val="22"/>
          <w:szCs w:val="22"/>
          <w:lang w:val="en-GB"/>
        </w:rPr>
        <w:t xml:space="preserve"> </w:t>
      </w:r>
      <w:r w:rsidR="002926F0">
        <w:rPr>
          <w:rFonts w:asciiTheme="minorHAnsi" w:hAnsiTheme="minorHAnsi" w:cs="Calibri"/>
          <w:bCs/>
          <w:color w:val="000000" w:themeColor="text1"/>
          <w:sz w:val="22"/>
          <w:szCs w:val="22"/>
          <w:lang w:val="en-GB"/>
        </w:rPr>
        <w:t>a</w:t>
      </w:r>
      <w:r w:rsidR="00427A2B" w:rsidRPr="00AE2F32">
        <w:rPr>
          <w:rFonts w:asciiTheme="minorHAnsi" w:hAnsiTheme="minorHAnsi" w:cs="Calibri"/>
          <w:bCs/>
          <w:color w:val="000000" w:themeColor="text1"/>
          <w:sz w:val="22"/>
          <w:szCs w:val="22"/>
          <w:lang w:val="en-GB"/>
        </w:rPr>
        <w:t>nd employment, healthcare, participation in elections, family</w:t>
      </w:r>
      <w:r w:rsidR="0050166D">
        <w:rPr>
          <w:rFonts w:asciiTheme="minorHAnsi" w:hAnsiTheme="minorHAnsi" w:cs="Calibri"/>
          <w:bCs/>
          <w:color w:val="000000" w:themeColor="text1"/>
          <w:sz w:val="22"/>
          <w:szCs w:val="22"/>
          <w:lang w:val="en-GB"/>
        </w:rPr>
        <w:t>,</w:t>
      </w:r>
      <w:r w:rsidR="00427A2B" w:rsidRPr="00AE2F32">
        <w:rPr>
          <w:rFonts w:asciiTheme="minorHAnsi" w:hAnsiTheme="minorHAnsi" w:cs="Calibri"/>
          <w:bCs/>
          <w:color w:val="000000" w:themeColor="text1"/>
          <w:sz w:val="22"/>
          <w:szCs w:val="22"/>
          <w:lang w:val="en-GB"/>
        </w:rPr>
        <w:t xml:space="preserve"> and private rights. </w:t>
      </w:r>
      <w:r w:rsidR="006F3DA3" w:rsidRPr="00AE2F32">
        <w:rPr>
          <w:rStyle w:val="FootnoteReference"/>
          <w:rFonts w:asciiTheme="minorHAnsi" w:hAnsiTheme="minorHAnsi" w:cs="Calibri"/>
          <w:bCs/>
          <w:color w:val="000000" w:themeColor="text1"/>
          <w:sz w:val="22"/>
          <w:szCs w:val="22"/>
          <w:lang w:val="en-GB"/>
        </w:rPr>
        <w:footnoteReference w:id="124"/>
      </w:r>
      <w:r w:rsidR="006F3DA3" w:rsidRPr="00AE2F32">
        <w:rPr>
          <w:rFonts w:asciiTheme="minorHAnsi" w:hAnsiTheme="minorHAnsi" w:cs="Calibri"/>
          <w:bCs/>
          <w:color w:val="000000" w:themeColor="text1"/>
          <w:sz w:val="22"/>
          <w:szCs w:val="22"/>
          <w:lang w:val="en-GB"/>
        </w:rPr>
        <w:t xml:space="preserve"> </w:t>
      </w:r>
      <w:r w:rsidR="00427A2B" w:rsidRPr="00AE2F32">
        <w:rPr>
          <w:rFonts w:asciiTheme="minorHAnsi" w:hAnsiTheme="minorHAnsi" w:cs="Calibri"/>
          <w:bCs/>
          <w:color w:val="000000" w:themeColor="text1"/>
          <w:sz w:val="22"/>
          <w:szCs w:val="22"/>
          <w:lang w:val="en-GB"/>
        </w:rPr>
        <w:t xml:space="preserve">Also, inappropriate and vague </w:t>
      </w:r>
      <w:r w:rsidR="004712D2">
        <w:rPr>
          <w:rFonts w:asciiTheme="minorHAnsi" w:hAnsiTheme="minorHAnsi" w:cs="Calibri"/>
          <w:bCs/>
          <w:color w:val="000000" w:themeColor="text1"/>
          <w:sz w:val="22"/>
          <w:szCs w:val="22"/>
          <w:lang w:val="en-GB"/>
        </w:rPr>
        <w:t>regulations</w:t>
      </w:r>
      <w:r w:rsidR="00427A2B" w:rsidRPr="00AE2F32">
        <w:rPr>
          <w:rFonts w:asciiTheme="minorHAnsi" w:hAnsiTheme="minorHAnsi" w:cs="Calibri"/>
          <w:bCs/>
          <w:color w:val="000000" w:themeColor="text1"/>
          <w:sz w:val="22"/>
          <w:szCs w:val="22"/>
          <w:lang w:val="en-GB"/>
        </w:rPr>
        <w:t xml:space="preserve"> often cause appointment of “supporter in all fields” without </w:t>
      </w:r>
      <w:r w:rsidR="004712D2">
        <w:rPr>
          <w:rFonts w:asciiTheme="minorHAnsi" w:hAnsiTheme="minorHAnsi" w:cs="Calibri"/>
          <w:bCs/>
          <w:color w:val="000000" w:themeColor="text1"/>
          <w:sz w:val="22"/>
          <w:szCs w:val="22"/>
          <w:lang w:val="en-GB"/>
        </w:rPr>
        <w:t xml:space="preserve">an </w:t>
      </w:r>
      <w:r w:rsidR="00427A2B" w:rsidRPr="00AE2F32">
        <w:rPr>
          <w:rFonts w:asciiTheme="minorHAnsi" w:hAnsiTheme="minorHAnsi" w:cs="Calibri"/>
          <w:bCs/>
          <w:color w:val="000000" w:themeColor="text1"/>
          <w:sz w:val="22"/>
          <w:szCs w:val="22"/>
          <w:lang w:val="en-GB"/>
        </w:rPr>
        <w:t>in-depth examination of individual needs</w:t>
      </w:r>
      <w:r w:rsidR="006F3DA3" w:rsidRPr="00AE2F32">
        <w:rPr>
          <w:rFonts w:asciiTheme="minorHAnsi" w:hAnsiTheme="minorHAnsi" w:cs="Calibri"/>
          <w:bCs/>
          <w:color w:val="000000" w:themeColor="text1"/>
          <w:sz w:val="22"/>
          <w:szCs w:val="22"/>
          <w:lang w:val="en-GB"/>
        </w:rPr>
        <w:t>.</w:t>
      </w:r>
      <w:r w:rsidR="006F3DA3" w:rsidRPr="00AE2F32">
        <w:rPr>
          <w:rStyle w:val="FootnoteReference"/>
          <w:rFonts w:asciiTheme="minorHAnsi" w:hAnsiTheme="minorHAnsi" w:cs="Calibri"/>
          <w:bCs/>
          <w:color w:val="000000" w:themeColor="text1"/>
          <w:sz w:val="22"/>
          <w:szCs w:val="22"/>
          <w:lang w:val="en-GB"/>
        </w:rPr>
        <w:footnoteReference w:id="125"/>
      </w:r>
    </w:p>
    <w:p w14:paraId="2C64FC57" w14:textId="2B235B73" w:rsidR="00427A2B" w:rsidRPr="00AE2F32" w:rsidRDefault="004712D2" w:rsidP="006F3DA3">
      <w:pPr>
        <w:pStyle w:val="NormalWeb"/>
        <w:spacing w:before="240" w:beforeAutospacing="0" w:after="0" w:afterAutospacing="0"/>
        <w:jc w:val="both"/>
        <w:rPr>
          <w:rFonts w:asciiTheme="minorHAnsi" w:hAnsiTheme="minorHAnsi" w:cs="Calibri"/>
          <w:bCs/>
          <w:color w:val="000000" w:themeColor="text1"/>
          <w:sz w:val="22"/>
          <w:szCs w:val="22"/>
        </w:rPr>
      </w:pPr>
      <w:r>
        <w:rPr>
          <w:rFonts w:asciiTheme="minorHAnsi" w:hAnsiTheme="minorHAnsi" w:cs="Calibri"/>
          <w:bCs/>
          <w:color w:val="000000" w:themeColor="text1"/>
          <w:sz w:val="22"/>
          <w:szCs w:val="22"/>
          <w:lang w:val="en-GB"/>
        </w:rPr>
        <w:t>Reform</w:t>
      </w:r>
      <w:r w:rsidR="00427A2B" w:rsidRPr="00AE2F32">
        <w:rPr>
          <w:rFonts w:asciiTheme="minorHAnsi" w:hAnsiTheme="minorHAnsi" w:cs="Calibri"/>
          <w:bCs/>
          <w:color w:val="000000" w:themeColor="text1"/>
          <w:sz w:val="22"/>
          <w:szCs w:val="22"/>
          <w:lang w:val="en-GB"/>
        </w:rPr>
        <w:t xml:space="preserve"> implementation is also challenging. The government had not allocated relevant human and financial resources</w:t>
      </w:r>
      <w:r w:rsidR="002926F0">
        <w:rPr>
          <w:rFonts w:asciiTheme="minorHAnsi" w:hAnsiTheme="minorHAnsi" w:cs="Calibri"/>
          <w:bCs/>
          <w:color w:val="000000" w:themeColor="text1"/>
          <w:sz w:val="22"/>
          <w:szCs w:val="22"/>
          <w:lang w:val="en-GB"/>
        </w:rPr>
        <w:t xml:space="preserve"> to this end</w:t>
      </w:r>
      <w:r w:rsidR="00427A2B" w:rsidRPr="00AE2F32">
        <w:rPr>
          <w:rFonts w:asciiTheme="minorHAnsi" w:hAnsiTheme="minorHAnsi" w:cs="Calibri"/>
          <w:bCs/>
          <w:color w:val="000000" w:themeColor="text1"/>
          <w:sz w:val="22"/>
          <w:szCs w:val="22"/>
          <w:lang w:val="en-GB"/>
        </w:rPr>
        <w:t xml:space="preserve">. A particular problem is </w:t>
      </w:r>
      <w:r>
        <w:rPr>
          <w:rFonts w:asciiTheme="minorHAnsi" w:hAnsiTheme="minorHAnsi" w:cs="Calibri"/>
          <w:bCs/>
          <w:color w:val="000000" w:themeColor="text1"/>
          <w:sz w:val="22"/>
          <w:szCs w:val="22"/>
          <w:lang w:val="en-GB"/>
        </w:rPr>
        <w:t>a</w:t>
      </w:r>
      <w:r w:rsidR="00427A2B" w:rsidRPr="00AE2F32">
        <w:rPr>
          <w:rFonts w:asciiTheme="minorHAnsi" w:hAnsiTheme="minorHAnsi" w:cs="Calibri"/>
          <w:bCs/>
          <w:color w:val="000000" w:themeColor="text1"/>
          <w:sz w:val="22"/>
          <w:szCs w:val="22"/>
          <w:lang w:val="en-GB"/>
        </w:rPr>
        <w:t xml:space="preserve"> </w:t>
      </w:r>
      <w:r w:rsidR="002926F0">
        <w:rPr>
          <w:rFonts w:asciiTheme="minorHAnsi" w:hAnsiTheme="minorHAnsi" w:cs="Calibri"/>
          <w:bCs/>
          <w:color w:val="000000" w:themeColor="text1"/>
          <w:sz w:val="22"/>
          <w:szCs w:val="22"/>
          <w:lang w:val="en-GB"/>
        </w:rPr>
        <w:t xml:space="preserve">lack of informing </w:t>
      </w:r>
      <w:r w:rsidR="00427A2B" w:rsidRPr="00AE2F32">
        <w:rPr>
          <w:rFonts w:asciiTheme="minorHAnsi" w:hAnsiTheme="minorHAnsi" w:cs="Calibri"/>
          <w:bCs/>
          <w:color w:val="000000" w:themeColor="text1"/>
          <w:sz w:val="22"/>
          <w:szCs w:val="22"/>
          <w:lang w:val="en-GB"/>
        </w:rPr>
        <w:t xml:space="preserve">of the relevant state agencies (including social workers, evaluation experts, judges), as well as </w:t>
      </w:r>
      <w:r w:rsidR="00F9643E" w:rsidRPr="00AE2F32">
        <w:rPr>
          <w:rFonts w:asciiTheme="minorHAnsi" w:hAnsiTheme="minorHAnsi" w:cs="Calibri"/>
          <w:bCs/>
          <w:color w:val="000000" w:themeColor="text1"/>
          <w:sz w:val="22"/>
          <w:szCs w:val="22"/>
        </w:rPr>
        <w:t>PWDS</w:t>
      </w:r>
      <w:r w:rsidR="00427A2B" w:rsidRPr="00AE2F32">
        <w:rPr>
          <w:rFonts w:asciiTheme="minorHAnsi" w:hAnsiTheme="minorHAnsi" w:cs="Calibri"/>
          <w:bCs/>
          <w:color w:val="000000" w:themeColor="text1"/>
          <w:sz w:val="22"/>
          <w:szCs w:val="22"/>
          <w:lang w:val="en-GB"/>
        </w:rPr>
        <w:t>, their supporters</w:t>
      </w:r>
      <w:r>
        <w:rPr>
          <w:rFonts w:asciiTheme="minorHAnsi" w:hAnsiTheme="minorHAnsi" w:cs="Calibri"/>
          <w:bCs/>
          <w:color w:val="000000" w:themeColor="text1"/>
          <w:sz w:val="22"/>
          <w:szCs w:val="22"/>
          <w:lang w:val="en-GB"/>
        </w:rPr>
        <w:t>,</w:t>
      </w:r>
      <w:r w:rsidR="00427A2B" w:rsidRPr="00AE2F32">
        <w:rPr>
          <w:rFonts w:asciiTheme="minorHAnsi" w:hAnsiTheme="minorHAnsi" w:cs="Calibri"/>
          <w:bCs/>
          <w:color w:val="000000" w:themeColor="text1"/>
          <w:sz w:val="22"/>
          <w:szCs w:val="22"/>
          <w:lang w:val="en-GB"/>
        </w:rPr>
        <w:t xml:space="preserve"> and family members about the </w:t>
      </w:r>
      <w:r w:rsidR="002926F0">
        <w:rPr>
          <w:rFonts w:asciiTheme="minorHAnsi" w:hAnsiTheme="minorHAnsi" w:cs="Calibri"/>
          <w:bCs/>
          <w:color w:val="000000" w:themeColor="text1"/>
          <w:sz w:val="22"/>
          <w:szCs w:val="22"/>
        </w:rPr>
        <w:t>essence</w:t>
      </w:r>
      <w:r w:rsidR="002926F0" w:rsidRPr="00680F99">
        <w:rPr>
          <w:rFonts w:asciiTheme="minorHAnsi" w:hAnsiTheme="minorHAnsi" w:cs="Calibri"/>
          <w:bCs/>
          <w:color w:val="000000" w:themeColor="text1"/>
          <w:sz w:val="22"/>
          <w:szCs w:val="22"/>
        </w:rPr>
        <w:t xml:space="preserve"> </w:t>
      </w:r>
      <w:r w:rsidR="00427A2B" w:rsidRPr="00AE2F32">
        <w:rPr>
          <w:rFonts w:asciiTheme="minorHAnsi" w:hAnsiTheme="minorHAnsi" w:cs="Calibri"/>
          <w:bCs/>
          <w:color w:val="000000" w:themeColor="text1"/>
          <w:sz w:val="22"/>
          <w:szCs w:val="22"/>
          <w:lang w:val="en-GB"/>
        </w:rPr>
        <w:t>of the support</w:t>
      </w:r>
      <w:r w:rsidR="002926F0">
        <w:rPr>
          <w:rFonts w:asciiTheme="minorHAnsi" w:hAnsiTheme="minorHAnsi" w:cs="Calibri"/>
          <w:bCs/>
          <w:color w:val="000000" w:themeColor="text1"/>
          <w:sz w:val="22"/>
          <w:szCs w:val="22"/>
          <w:lang w:val="en-GB"/>
        </w:rPr>
        <w:t>ed decision-making</w:t>
      </w:r>
      <w:r w:rsidR="00427A2B" w:rsidRPr="00AE2F32">
        <w:rPr>
          <w:rFonts w:asciiTheme="minorHAnsi" w:hAnsiTheme="minorHAnsi" w:cs="Calibri"/>
          <w:bCs/>
          <w:color w:val="000000" w:themeColor="text1"/>
          <w:sz w:val="22"/>
          <w:szCs w:val="22"/>
          <w:lang w:val="en-GB"/>
        </w:rPr>
        <w:t>.</w:t>
      </w:r>
      <w:r w:rsidR="00F9643E" w:rsidRPr="00AE2F32">
        <w:rPr>
          <w:rFonts w:asciiTheme="minorHAnsi" w:hAnsiTheme="minorHAnsi" w:cs="Calibri"/>
          <w:bCs/>
          <w:color w:val="000000" w:themeColor="text1"/>
          <w:sz w:val="22"/>
          <w:szCs w:val="22"/>
          <w:lang w:val="ka-GE"/>
        </w:rPr>
        <w:t xml:space="preserve"> Consequently, the reform so far remains only on paper and does not substantially change the legal status of persons with psychosocial </w:t>
      </w:r>
      <w:r w:rsidR="002926F0">
        <w:rPr>
          <w:rFonts w:asciiTheme="minorHAnsi" w:hAnsiTheme="minorHAnsi" w:cs="Calibri"/>
          <w:bCs/>
          <w:color w:val="000000" w:themeColor="text1"/>
          <w:sz w:val="22"/>
          <w:szCs w:val="22"/>
        </w:rPr>
        <w:t>and intellectual disabilities</w:t>
      </w:r>
      <w:r w:rsidR="00F9643E" w:rsidRPr="00AE2F32">
        <w:rPr>
          <w:rFonts w:asciiTheme="minorHAnsi" w:hAnsiTheme="minorHAnsi" w:cs="Calibri"/>
          <w:bCs/>
          <w:color w:val="000000" w:themeColor="text1"/>
          <w:sz w:val="22"/>
          <w:szCs w:val="22"/>
          <w:lang w:val="ka-GE"/>
        </w:rPr>
        <w:t>.</w:t>
      </w:r>
      <w:r w:rsidR="00F9643E" w:rsidRPr="00AE2F32">
        <w:rPr>
          <w:rFonts w:asciiTheme="minorHAnsi" w:hAnsiTheme="minorHAnsi" w:cs="Calibri"/>
          <w:bCs/>
          <w:color w:val="000000" w:themeColor="text1"/>
          <w:sz w:val="22"/>
          <w:szCs w:val="22"/>
        </w:rPr>
        <w:t xml:space="preserve"> </w:t>
      </w:r>
    </w:p>
    <w:p w14:paraId="257BCC8B" w14:textId="77777777" w:rsidR="006F3DA3" w:rsidRPr="00AE2F32" w:rsidRDefault="006F3DA3" w:rsidP="006F3DA3">
      <w:pPr>
        <w:pStyle w:val="CommentText"/>
        <w:rPr>
          <w:rFonts w:cs="Times New Roman"/>
          <w:sz w:val="22"/>
          <w:szCs w:val="22"/>
          <w:lang w:val="en-GB"/>
        </w:rPr>
      </w:pPr>
    </w:p>
    <w:p w14:paraId="1962A40D" w14:textId="2C5F40F3" w:rsidR="006F3DA3" w:rsidRPr="00AE2F32" w:rsidRDefault="00F9643E" w:rsidP="004F340E">
      <w:pPr>
        <w:pStyle w:val="ListParagraph"/>
        <w:shd w:val="clear" w:color="auto" w:fill="C9C9C9" w:themeFill="accent3" w:themeFillTint="99"/>
        <w:ind w:left="0"/>
        <w:jc w:val="both"/>
        <w:rPr>
          <w:b/>
          <w:iCs/>
          <w:sz w:val="22"/>
          <w:szCs w:val="22"/>
          <w:lang w:val="en-GB"/>
        </w:rPr>
      </w:pPr>
      <w:r w:rsidRPr="00AE2F32">
        <w:rPr>
          <w:b/>
          <w:iCs/>
          <w:sz w:val="22"/>
          <w:szCs w:val="22"/>
          <w:lang w:val="en-GB"/>
        </w:rPr>
        <w:t xml:space="preserve">Recommendations: </w:t>
      </w:r>
      <w:r w:rsidR="006F3DA3" w:rsidRPr="00AE2F32">
        <w:rPr>
          <w:b/>
          <w:iCs/>
          <w:sz w:val="22"/>
          <w:szCs w:val="22"/>
          <w:lang w:val="en-GB"/>
        </w:rPr>
        <w:t xml:space="preserve"> </w:t>
      </w:r>
    </w:p>
    <w:p w14:paraId="55DCB734" w14:textId="77777777" w:rsidR="004F340E" w:rsidRPr="00AE2F32" w:rsidRDefault="004F340E" w:rsidP="004F340E">
      <w:pPr>
        <w:pStyle w:val="ListParagraph"/>
        <w:shd w:val="clear" w:color="auto" w:fill="C9C9C9" w:themeFill="accent3" w:themeFillTint="99"/>
        <w:ind w:left="0"/>
        <w:jc w:val="both"/>
        <w:rPr>
          <w:b/>
          <w:iCs/>
          <w:sz w:val="22"/>
          <w:szCs w:val="22"/>
          <w:lang w:val="en-GB"/>
        </w:rPr>
      </w:pPr>
    </w:p>
    <w:p w14:paraId="78E465AB" w14:textId="2E971809" w:rsidR="00F9643E" w:rsidRPr="00AE2F32" w:rsidRDefault="00F9643E" w:rsidP="0023502D">
      <w:pPr>
        <w:pStyle w:val="ListParagraph"/>
        <w:numPr>
          <w:ilvl w:val="0"/>
          <w:numId w:val="31"/>
        </w:numPr>
        <w:shd w:val="clear" w:color="auto" w:fill="C9C9C9" w:themeFill="accent3" w:themeFillTint="99"/>
        <w:jc w:val="both"/>
        <w:rPr>
          <w:bCs/>
          <w:iCs/>
          <w:sz w:val="22"/>
          <w:szCs w:val="22"/>
          <w:lang w:val="en-GB"/>
        </w:rPr>
      </w:pPr>
      <w:r w:rsidRPr="00AE2F32">
        <w:rPr>
          <w:bCs/>
          <w:iCs/>
          <w:sz w:val="22"/>
          <w:szCs w:val="22"/>
          <w:lang w:val="en-GB"/>
        </w:rPr>
        <w:t xml:space="preserve">Immediately take measures to ensure full compliance </w:t>
      </w:r>
      <w:r w:rsidR="005B5FFB" w:rsidRPr="00AE2F32">
        <w:rPr>
          <w:bCs/>
          <w:iCs/>
          <w:sz w:val="22"/>
          <w:szCs w:val="22"/>
          <w:lang w:val="en-GB"/>
        </w:rPr>
        <w:t>of</w:t>
      </w:r>
      <w:r w:rsidR="002926F0">
        <w:rPr>
          <w:bCs/>
          <w:iCs/>
          <w:sz w:val="22"/>
          <w:szCs w:val="22"/>
          <w:lang w:val="en-GB"/>
        </w:rPr>
        <w:t xml:space="preserve"> legal capacity</w:t>
      </w:r>
      <w:r w:rsidR="005B5FFB" w:rsidRPr="00AE2F32">
        <w:rPr>
          <w:bCs/>
          <w:iCs/>
          <w:sz w:val="22"/>
          <w:szCs w:val="22"/>
          <w:lang w:val="en-GB"/>
        </w:rPr>
        <w:t xml:space="preserve"> </w:t>
      </w:r>
      <w:r w:rsidRPr="00AE2F32">
        <w:rPr>
          <w:bCs/>
          <w:iCs/>
          <w:sz w:val="22"/>
          <w:szCs w:val="22"/>
          <w:lang w:val="en-GB"/>
        </w:rPr>
        <w:t xml:space="preserve">legislation </w:t>
      </w:r>
      <w:r w:rsidR="005B5FFB" w:rsidRPr="00AE2F32">
        <w:rPr>
          <w:bCs/>
          <w:iCs/>
          <w:sz w:val="22"/>
          <w:szCs w:val="22"/>
          <w:lang w:val="en-GB"/>
        </w:rPr>
        <w:t xml:space="preserve">with the </w:t>
      </w:r>
      <w:r w:rsidR="00256F01">
        <w:rPr>
          <w:bCs/>
          <w:iCs/>
          <w:sz w:val="22"/>
          <w:szCs w:val="22"/>
          <w:lang w:val="en-GB"/>
        </w:rPr>
        <w:t>UNCRPD and</w:t>
      </w:r>
      <w:r w:rsidRPr="00AE2F32">
        <w:rPr>
          <w:bCs/>
          <w:iCs/>
          <w:sz w:val="22"/>
          <w:szCs w:val="22"/>
          <w:lang w:val="en-GB"/>
        </w:rPr>
        <w:t xml:space="preserve"> ensure the unimpeded exercise of</w:t>
      </w:r>
      <w:r w:rsidR="00EA63B0">
        <w:rPr>
          <w:bCs/>
          <w:iCs/>
          <w:sz w:val="22"/>
          <w:szCs w:val="22"/>
          <w:lang w:val="en-GB"/>
        </w:rPr>
        <w:t xml:space="preserve"> every right by the supported persons;</w:t>
      </w:r>
      <w:r w:rsidRPr="00AE2F32">
        <w:rPr>
          <w:bCs/>
          <w:iCs/>
          <w:sz w:val="22"/>
          <w:szCs w:val="22"/>
          <w:lang w:val="en-GB"/>
        </w:rPr>
        <w:t xml:space="preserve"> </w:t>
      </w:r>
    </w:p>
    <w:p w14:paraId="63B98160" w14:textId="789B7BD9" w:rsidR="005B5FFB" w:rsidRPr="00AE2F32" w:rsidRDefault="000C1EC4" w:rsidP="0023502D">
      <w:pPr>
        <w:pStyle w:val="ListParagraph"/>
        <w:numPr>
          <w:ilvl w:val="0"/>
          <w:numId w:val="31"/>
        </w:numPr>
        <w:shd w:val="clear" w:color="auto" w:fill="C9C9C9" w:themeFill="accent3" w:themeFillTint="99"/>
        <w:jc w:val="both"/>
        <w:rPr>
          <w:bCs/>
          <w:iCs/>
          <w:sz w:val="22"/>
          <w:szCs w:val="22"/>
          <w:lang w:val="en-GB"/>
        </w:rPr>
      </w:pPr>
      <w:r>
        <w:rPr>
          <w:bCs/>
          <w:iCs/>
          <w:sz w:val="22"/>
          <w:szCs w:val="22"/>
          <w:lang w:val="en-GB"/>
        </w:rPr>
        <w:t xml:space="preserve">Take appropriate efforts </w:t>
      </w:r>
      <w:r w:rsidR="005B5FFB" w:rsidRPr="00AE2F32">
        <w:rPr>
          <w:bCs/>
          <w:iCs/>
          <w:sz w:val="22"/>
          <w:szCs w:val="22"/>
          <w:lang w:val="en-GB"/>
        </w:rPr>
        <w:t xml:space="preserve">and allocate relevant financial and human resources for the implementation of the </w:t>
      </w:r>
      <w:r w:rsidR="00EA63B0">
        <w:rPr>
          <w:bCs/>
          <w:iCs/>
          <w:sz w:val="22"/>
          <w:szCs w:val="22"/>
          <w:lang w:val="en-GB"/>
        </w:rPr>
        <w:t xml:space="preserve">legal </w:t>
      </w:r>
      <w:r w:rsidR="005B5FFB" w:rsidRPr="00AE2F32">
        <w:rPr>
          <w:bCs/>
          <w:iCs/>
          <w:sz w:val="22"/>
          <w:szCs w:val="22"/>
          <w:lang w:val="en-GB"/>
        </w:rPr>
        <w:t xml:space="preserve">capacity reform. To this end, develop a concept and ensure its </w:t>
      </w:r>
      <w:r w:rsidR="00EA63B0">
        <w:rPr>
          <w:bCs/>
          <w:iCs/>
          <w:sz w:val="22"/>
          <w:szCs w:val="22"/>
          <w:lang w:val="en-GB"/>
        </w:rPr>
        <w:t>effective</w:t>
      </w:r>
      <w:r w:rsidR="00EA63B0" w:rsidRPr="00AE2F32">
        <w:rPr>
          <w:bCs/>
          <w:iCs/>
          <w:sz w:val="22"/>
          <w:szCs w:val="22"/>
          <w:lang w:val="en-GB"/>
        </w:rPr>
        <w:t xml:space="preserve"> </w:t>
      </w:r>
      <w:r w:rsidR="005B5FFB" w:rsidRPr="00AE2F32">
        <w:rPr>
          <w:bCs/>
          <w:iCs/>
          <w:sz w:val="22"/>
          <w:szCs w:val="22"/>
          <w:lang w:val="en-GB"/>
        </w:rPr>
        <w:t>implementation.</w:t>
      </w:r>
    </w:p>
    <w:p w14:paraId="68671A9A" w14:textId="77777777" w:rsidR="004F340E" w:rsidRPr="00AE2F32" w:rsidRDefault="004F340E" w:rsidP="00256F01">
      <w:pPr>
        <w:pStyle w:val="NormalWeb"/>
        <w:spacing w:before="0" w:beforeAutospacing="0" w:after="0" w:afterAutospacing="0"/>
        <w:jc w:val="both"/>
        <w:rPr>
          <w:rFonts w:asciiTheme="minorHAnsi" w:hAnsiTheme="minorHAnsi" w:cs="Calibri"/>
          <w:bCs/>
          <w:color w:val="000000" w:themeColor="text1"/>
          <w:sz w:val="22"/>
          <w:szCs w:val="22"/>
          <w:lang w:val="en-GB"/>
        </w:rPr>
      </w:pPr>
    </w:p>
    <w:p w14:paraId="656C675E" w14:textId="59F41B95" w:rsidR="004F340E" w:rsidRPr="00AE2F32" w:rsidRDefault="00F9643E" w:rsidP="004F340E">
      <w:pPr>
        <w:pStyle w:val="NormalWeb"/>
        <w:shd w:val="clear" w:color="auto" w:fill="D0CECE" w:themeFill="background2" w:themeFillShade="E6"/>
        <w:spacing w:before="240" w:beforeAutospacing="0" w:after="0" w:afterAutospacing="0"/>
        <w:jc w:val="both"/>
        <w:rPr>
          <w:rFonts w:asciiTheme="minorHAnsi" w:hAnsiTheme="minorHAnsi" w:cs="Calibri"/>
          <w:b/>
          <w:color w:val="000000" w:themeColor="text1"/>
          <w:sz w:val="22"/>
          <w:szCs w:val="22"/>
          <w:lang w:val="en-GB"/>
        </w:rPr>
      </w:pPr>
      <w:r w:rsidRPr="00AE2F32">
        <w:rPr>
          <w:rFonts w:asciiTheme="minorHAnsi" w:hAnsiTheme="minorHAnsi" w:cs="Calibri"/>
          <w:b/>
          <w:color w:val="000000" w:themeColor="text1"/>
          <w:sz w:val="22"/>
          <w:szCs w:val="22"/>
          <w:lang w:val="en-GB"/>
        </w:rPr>
        <w:t xml:space="preserve">Questions: </w:t>
      </w:r>
    </w:p>
    <w:p w14:paraId="3E77C3D7" w14:textId="4630A077" w:rsidR="00035F04" w:rsidRPr="00AE2F32" w:rsidRDefault="00035F04" w:rsidP="0023502D">
      <w:pPr>
        <w:pStyle w:val="NormalWeb"/>
        <w:numPr>
          <w:ilvl w:val="0"/>
          <w:numId w:val="27"/>
        </w:numPr>
        <w:shd w:val="clear" w:color="auto" w:fill="D0CECE" w:themeFill="background2" w:themeFillShade="E6"/>
        <w:spacing w:before="0" w:beforeAutospacing="0" w:after="0" w:afterAutospacing="0"/>
        <w:jc w:val="both"/>
        <w:rPr>
          <w:rFonts w:asciiTheme="minorHAnsi" w:hAnsiTheme="minorHAnsi" w:cs="Calibri"/>
          <w:bCs/>
          <w:color w:val="000000" w:themeColor="text1"/>
          <w:sz w:val="22"/>
          <w:szCs w:val="22"/>
          <w:lang w:val="en-GB"/>
        </w:rPr>
      </w:pPr>
      <w:r w:rsidRPr="00AE2F32">
        <w:rPr>
          <w:rFonts w:asciiTheme="minorHAnsi" w:hAnsiTheme="minorHAnsi" w:cs="Calibri"/>
          <w:bCs/>
          <w:color w:val="000000" w:themeColor="text1"/>
          <w:sz w:val="22"/>
          <w:szCs w:val="22"/>
          <w:lang w:val="en-GB"/>
        </w:rPr>
        <w:t xml:space="preserve">What measures </w:t>
      </w:r>
      <w:r w:rsidR="00EA63B0">
        <w:rPr>
          <w:rFonts w:asciiTheme="minorHAnsi" w:hAnsiTheme="minorHAnsi" w:cs="Calibri"/>
          <w:bCs/>
          <w:color w:val="000000" w:themeColor="text1"/>
          <w:sz w:val="22"/>
          <w:szCs w:val="22"/>
          <w:lang w:val="en-GB"/>
        </w:rPr>
        <w:t>are</w:t>
      </w:r>
      <w:r w:rsidRPr="00AE2F32">
        <w:rPr>
          <w:rFonts w:asciiTheme="minorHAnsi" w:hAnsiTheme="minorHAnsi" w:cs="Calibri"/>
          <w:bCs/>
          <w:color w:val="000000" w:themeColor="text1"/>
          <w:sz w:val="22"/>
          <w:szCs w:val="22"/>
          <w:lang w:val="en-GB"/>
        </w:rPr>
        <w:t xml:space="preserve"> taken to implement the legal capacity reform and </w:t>
      </w:r>
      <w:r w:rsidR="00EA63B0">
        <w:rPr>
          <w:rFonts w:asciiTheme="minorHAnsi" w:hAnsiTheme="minorHAnsi" w:cs="Calibri"/>
          <w:bCs/>
          <w:color w:val="000000" w:themeColor="text1"/>
          <w:sz w:val="22"/>
          <w:szCs w:val="22"/>
          <w:lang w:val="en-GB"/>
        </w:rPr>
        <w:t xml:space="preserve">to develop </w:t>
      </w:r>
      <w:r w:rsidR="004712D2">
        <w:rPr>
          <w:rFonts w:asciiTheme="minorHAnsi" w:hAnsiTheme="minorHAnsi" w:cs="Calibri"/>
          <w:bCs/>
          <w:color w:val="000000" w:themeColor="text1"/>
          <w:sz w:val="22"/>
          <w:szCs w:val="22"/>
          <w:lang w:val="en-GB"/>
        </w:rPr>
        <w:t xml:space="preserve">a </w:t>
      </w:r>
      <w:r w:rsidRPr="00AE2F32">
        <w:rPr>
          <w:rFonts w:asciiTheme="minorHAnsi" w:hAnsiTheme="minorHAnsi" w:cs="Calibri"/>
          <w:bCs/>
          <w:color w:val="000000" w:themeColor="text1"/>
          <w:sz w:val="22"/>
          <w:szCs w:val="22"/>
          <w:lang w:val="en-GB"/>
        </w:rPr>
        <w:t>support</w:t>
      </w:r>
      <w:r w:rsidR="00EA63B0">
        <w:rPr>
          <w:rFonts w:asciiTheme="minorHAnsi" w:hAnsiTheme="minorHAnsi" w:cs="Calibri"/>
          <w:bCs/>
          <w:color w:val="000000" w:themeColor="text1"/>
          <w:sz w:val="22"/>
          <w:szCs w:val="22"/>
          <w:lang w:val="en-GB"/>
        </w:rPr>
        <w:t>ed decision-making</w:t>
      </w:r>
      <w:r w:rsidRPr="00AE2F32">
        <w:rPr>
          <w:rFonts w:asciiTheme="minorHAnsi" w:hAnsiTheme="minorHAnsi" w:cs="Calibri"/>
          <w:bCs/>
          <w:color w:val="000000" w:themeColor="text1"/>
          <w:sz w:val="22"/>
          <w:szCs w:val="22"/>
          <w:lang w:val="en-GB"/>
        </w:rPr>
        <w:t xml:space="preserve"> model in line with international standards? Please provide information on financial, human</w:t>
      </w:r>
      <w:r w:rsidR="004712D2">
        <w:rPr>
          <w:rFonts w:asciiTheme="minorHAnsi" w:hAnsiTheme="minorHAnsi" w:cs="Calibri"/>
          <w:bCs/>
          <w:color w:val="000000" w:themeColor="text1"/>
          <w:sz w:val="22"/>
          <w:szCs w:val="22"/>
          <w:lang w:val="en-GB"/>
        </w:rPr>
        <w:t>,</w:t>
      </w:r>
      <w:r w:rsidRPr="00AE2F32">
        <w:rPr>
          <w:rFonts w:asciiTheme="minorHAnsi" w:hAnsiTheme="minorHAnsi" w:cs="Calibri"/>
          <w:bCs/>
          <w:color w:val="000000" w:themeColor="text1"/>
          <w:sz w:val="22"/>
          <w:szCs w:val="22"/>
          <w:lang w:val="en-GB"/>
        </w:rPr>
        <w:t xml:space="preserve"> and other resources allocated for the implementation of the reform </w:t>
      </w:r>
      <w:r w:rsidR="00EA63B0">
        <w:rPr>
          <w:rFonts w:asciiTheme="minorHAnsi" w:hAnsiTheme="minorHAnsi" w:cs="Calibri"/>
          <w:bCs/>
          <w:color w:val="000000" w:themeColor="text1"/>
          <w:sz w:val="22"/>
          <w:szCs w:val="22"/>
          <w:lang w:val="en-GB"/>
        </w:rPr>
        <w:t>since</w:t>
      </w:r>
      <w:r w:rsidR="00EA63B0" w:rsidRPr="00AE2F32">
        <w:rPr>
          <w:rFonts w:asciiTheme="minorHAnsi" w:hAnsiTheme="minorHAnsi" w:cs="Calibri"/>
          <w:bCs/>
          <w:color w:val="000000" w:themeColor="text1"/>
          <w:sz w:val="22"/>
          <w:szCs w:val="22"/>
          <w:lang w:val="en-GB"/>
        </w:rPr>
        <w:t xml:space="preserve"> </w:t>
      </w:r>
      <w:r w:rsidRPr="00AE2F32">
        <w:rPr>
          <w:rFonts w:asciiTheme="minorHAnsi" w:hAnsiTheme="minorHAnsi" w:cs="Calibri"/>
          <w:bCs/>
          <w:color w:val="000000" w:themeColor="text1"/>
          <w:sz w:val="22"/>
          <w:szCs w:val="22"/>
          <w:lang w:val="en-GB"/>
        </w:rPr>
        <w:t>2015.</w:t>
      </w:r>
    </w:p>
    <w:p w14:paraId="2BF01DE3" w14:textId="77777777" w:rsidR="006F3DA3" w:rsidRPr="00AE2F32" w:rsidRDefault="006F3DA3" w:rsidP="006F3DA3">
      <w:pPr>
        <w:rPr>
          <w:sz w:val="22"/>
          <w:szCs w:val="22"/>
          <w:lang w:val="en-GB"/>
        </w:rPr>
      </w:pPr>
    </w:p>
    <w:p w14:paraId="5B416D9C" w14:textId="45260FA8" w:rsidR="000D37F6" w:rsidRPr="00AE2F32" w:rsidRDefault="000D37F6" w:rsidP="00EB1CFE">
      <w:pPr>
        <w:rPr>
          <w:rFonts w:eastAsia="Times New Roman" w:cs="Times New Roman"/>
          <w:b/>
          <w:bCs/>
          <w:sz w:val="22"/>
          <w:szCs w:val="22"/>
          <w:lang w:val="en-GB"/>
        </w:rPr>
      </w:pPr>
    </w:p>
    <w:p w14:paraId="3002A6C4" w14:textId="176F3A88" w:rsidR="007918A6" w:rsidRPr="00AE2F32" w:rsidRDefault="00035F04" w:rsidP="0023502D">
      <w:pPr>
        <w:pStyle w:val="Heading2"/>
        <w:numPr>
          <w:ilvl w:val="0"/>
          <w:numId w:val="15"/>
        </w:numPr>
        <w:spacing w:before="0"/>
        <w:rPr>
          <w:rFonts w:asciiTheme="minorHAnsi" w:hAnsiTheme="minorHAnsi" w:cs="Sylfaen"/>
          <w:sz w:val="22"/>
          <w:szCs w:val="22"/>
          <w:lang w:val="en-GB"/>
        </w:rPr>
      </w:pPr>
      <w:bookmarkStart w:id="54" w:name="_Toc48565948"/>
      <w:r w:rsidRPr="00AE2F32">
        <w:rPr>
          <w:rFonts w:asciiTheme="minorHAnsi" w:hAnsiTheme="minorHAnsi" w:cs="Sylfaen"/>
          <w:sz w:val="22"/>
          <w:szCs w:val="22"/>
          <w:lang w:val="en-GB"/>
        </w:rPr>
        <w:t>Article</w:t>
      </w:r>
      <w:r w:rsidR="007918A6" w:rsidRPr="00AE2F32">
        <w:rPr>
          <w:rFonts w:asciiTheme="minorHAnsi" w:hAnsiTheme="minorHAnsi" w:cs="Sylfaen"/>
          <w:sz w:val="22"/>
          <w:szCs w:val="22"/>
          <w:lang w:val="en-GB"/>
        </w:rPr>
        <w:t xml:space="preserve"> 17: </w:t>
      </w:r>
      <w:r w:rsidRPr="00AE2F32">
        <w:rPr>
          <w:rFonts w:asciiTheme="minorHAnsi" w:hAnsiTheme="minorHAnsi" w:cs="Sylfaen"/>
          <w:sz w:val="22"/>
          <w:szCs w:val="22"/>
          <w:lang w:val="en-GB"/>
        </w:rPr>
        <w:t>Right to private life</w:t>
      </w:r>
      <w:bookmarkEnd w:id="54"/>
    </w:p>
    <w:p w14:paraId="718C0768" w14:textId="77F30498" w:rsidR="006F3DA3" w:rsidRPr="00AE2F32" w:rsidRDefault="00035F04" w:rsidP="006F3DA3">
      <w:pPr>
        <w:pStyle w:val="NormalWeb"/>
        <w:spacing w:before="240" w:beforeAutospacing="0" w:after="240" w:afterAutospacing="0"/>
        <w:jc w:val="both"/>
        <w:rPr>
          <w:rFonts w:asciiTheme="minorHAnsi" w:hAnsiTheme="minorHAnsi"/>
          <w:i/>
          <w:iCs/>
          <w:sz w:val="22"/>
          <w:szCs w:val="22"/>
        </w:rPr>
      </w:pPr>
      <w:r w:rsidRPr="00AE2F32">
        <w:rPr>
          <w:rFonts w:asciiTheme="minorHAnsi" w:hAnsiTheme="minorHAnsi" w:cs="Sylfaen"/>
          <w:i/>
          <w:iCs/>
          <w:color w:val="000000"/>
          <w:sz w:val="22"/>
          <w:szCs w:val="22"/>
          <w:u w:val="single"/>
        </w:rPr>
        <w:t xml:space="preserve">Protection from forced </w:t>
      </w:r>
      <w:r w:rsidR="00EA63B0">
        <w:rPr>
          <w:rFonts w:asciiTheme="minorHAnsi" w:hAnsiTheme="minorHAnsi" w:cs="Sylfaen"/>
          <w:i/>
          <w:iCs/>
          <w:color w:val="000000"/>
          <w:sz w:val="22"/>
          <w:szCs w:val="22"/>
          <w:u w:val="single"/>
        </w:rPr>
        <w:t>eviction</w:t>
      </w:r>
      <w:r w:rsidR="00EA63B0" w:rsidRPr="00AE2F32">
        <w:rPr>
          <w:rFonts w:asciiTheme="minorHAnsi" w:hAnsiTheme="minorHAnsi" w:cs="Sylfaen"/>
          <w:i/>
          <w:iCs/>
          <w:color w:val="000000"/>
          <w:sz w:val="22"/>
          <w:szCs w:val="22"/>
          <w:u w:val="single"/>
        </w:rPr>
        <w:t xml:space="preserve"> </w:t>
      </w:r>
    </w:p>
    <w:p w14:paraId="24051B4B" w14:textId="73995D6F" w:rsidR="006F3DA3" w:rsidRPr="00AE2F32" w:rsidRDefault="00035F04" w:rsidP="006F3DA3">
      <w:pPr>
        <w:pStyle w:val="NormalWeb"/>
        <w:spacing w:before="0" w:beforeAutospacing="0" w:after="240" w:afterAutospacing="0"/>
        <w:jc w:val="both"/>
        <w:rPr>
          <w:rFonts w:asciiTheme="minorHAnsi" w:hAnsiTheme="minorHAnsi"/>
          <w:color w:val="000000"/>
          <w:sz w:val="22"/>
          <w:szCs w:val="22"/>
          <w:lang w:val="en-GB"/>
        </w:rPr>
      </w:pPr>
      <w:r w:rsidRPr="00AE2F32">
        <w:rPr>
          <w:rFonts w:asciiTheme="minorHAnsi" w:hAnsiTheme="minorHAnsi" w:cs="Sylfaen"/>
          <w:color w:val="000000"/>
          <w:sz w:val="22"/>
          <w:szCs w:val="22"/>
          <w:lang w:val="en-GB"/>
        </w:rPr>
        <w:t>One of the major challenges during the reporting period was ensuring</w:t>
      </w:r>
      <w:r w:rsidR="00DA267F">
        <w:rPr>
          <w:rFonts w:asciiTheme="minorHAnsi" w:hAnsiTheme="minorHAnsi" w:cs="Sylfaen"/>
          <w:color w:val="000000"/>
          <w:sz w:val="22"/>
          <w:szCs w:val="22"/>
          <w:lang w:val="en-GB"/>
        </w:rPr>
        <w:t xml:space="preserve"> the right to</w:t>
      </w:r>
      <w:r w:rsidRPr="00AE2F32">
        <w:rPr>
          <w:rFonts w:asciiTheme="minorHAnsi" w:hAnsiTheme="minorHAnsi" w:cs="Sylfaen"/>
          <w:color w:val="000000"/>
          <w:sz w:val="22"/>
          <w:szCs w:val="22"/>
          <w:lang w:val="en-GB"/>
        </w:rPr>
        <w:t xml:space="preserve"> adequate housing and the introduction of </w:t>
      </w:r>
      <w:r w:rsidR="00EA63B0">
        <w:rPr>
          <w:rFonts w:asciiTheme="minorHAnsi" w:hAnsiTheme="minorHAnsi" w:cs="Sylfaen"/>
          <w:color w:val="000000"/>
          <w:sz w:val="22"/>
          <w:szCs w:val="22"/>
          <w:lang w:val="en-GB"/>
        </w:rPr>
        <w:t>eviction</w:t>
      </w:r>
      <w:r w:rsidR="00EA63B0" w:rsidRPr="00AE2F32">
        <w:rPr>
          <w:rFonts w:asciiTheme="minorHAnsi" w:hAnsiTheme="minorHAnsi" w:cs="Sylfaen"/>
          <w:color w:val="000000"/>
          <w:sz w:val="22"/>
          <w:szCs w:val="22"/>
          <w:lang w:val="en-GB"/>
        </w:rPr>
        <w:t xml:space="preserve"> </w:t>
      </w:r>
      <w:r w:rsidRPr="00AE2F32">
        <w:rPr>
          <w:rFonts w:asciiTheme="minorHAnsi" w:hAnsiTheme="minorHAnsi" w:cs="Sylfaen"/>
          <w:color w:val="000000"/>
          <w:sz w:val="22"/>
          <w:szCs w:val="22"/>
          <w:lang w:val="en-GB"/>
        </w:rPr>
        <w:t>standards</w:t>
      </w:r>
      <w:r w:rsidR="001D72ED" w:rsidRPr="00AE2F32">
        <w:rPr>
          <w:rFonts w:asciiTheme="minorHAnsi" w:hAnsiTheme="minorHAnsi" w:cs="Sylfaen"/>
          <w:color w:val="000000"/>
          <w:sz w:val="22"/>
          <w:szCs w:val="22"/>
          <w:lang w:val="en-GB"/>
        </w:rPr>
        <w:t xml:space="preserve">. Despite the abolition of so-called police </w:t>
      </w:r>
      <w:r w:rsidR="00EA63B0">
        <w:rPr>
          <w:rFonts w:asciiTheme="minorHAnsi" w:hAnsiTheme="minorHAnsi" w:cs="Sylfaen"/>
          <w:color w:val="000000"/>
          <w:sz w:val="22"/>
          <w:szCs w:val="22"/>
          <w:lang w:val="en-GB"/>
        </w:rPr>
        <w:t>evictions</w:t>
      </w:r>
      <w:r w:rsidR="001D72ED" w:rsidRPr="00AE2F32">
        <w:rPr>
          <w:rFonts w:asciiTheme="minorHAnsi" w:hAnsiTheme="minorHAnsi" w:cs="Sylfaen"/>
          <w:color w:val="000000"/>
          <w:sz w:val="22"/>
          <w:szCs w:val="22"/>
          <w:lang w:val="en-GB"/>
        </w:rPr>
        <w:t>, the current situation still does not meet international standards.</w:t>
      </w:r>
      <w:r w:rsidR="006F3DA3" w:rsidRPr="00AE2F32">
        <w:rPr>
          <w:rStyle w:val="FootnoteReference"/>
          <w:rFonts w:asciiTheme="minorHAnsi" w:hAnsiTheme="minorHAnsi" w:cs="Calibri"/>
          <w:bCs/>
          <w:color w:val="000000" w:themeColor="text1"/>
          <w:sz w:val="22"/>
          <w:szCs w:val="22"/>
          <w:lang w:val="en-GB"/>
        </w:rPr>
        <w:footnoteReference w:id="126"/>
      </w:r>
      <w:r w:rsidR="006F3DA3" w:rsidRPr="00AE2F32">
        <w:rPr>
          <w:rFonts w:asciiTheme="minorHAnsi" w:hAnsiTheme="minorHAnsi"/>
          <w:color w:val="000000"/>
          <w:sz w:val="22"/>
          <w:szCs w:val="22"/>
          <w:lang w:val="en-GB"/>
        </w:rPr>
        <w:t xml:space="preserve"> </w:t>
      </w:r>
      <w:r w:rsidR="001D72ED" w:rsidRPr="00AE2F32">
        <w:rPr>
          <w:rFonts w:asciiTheme="minorHAnsi" w:hAnsiTheme="minorHAnsi"/>
          <w:color w:val="000000"/>
          <w:sz w:val="22"/>
          <w:szCs w:val="22"/>
          <w:lang w:val="en-GB"/>
        </w:rPr>
        <w:t xml:space="preserve">Despite systemic challenges, the state has not developed a homelessness policy - strategy and action plan - that would address </w:t>
      </w:r>
      <w:r w:rsidR="00EA63B0">
        <w:rPr>
          <w:rFonts w:asciiTheme="minorHAnsi" w:hAnsiTheme="minorHAnsi"/>
          <w:color w:val="000000"/>
          <w:sz w:val="22"/>
          <w:szCs w:val="22"/>
          <w:lang w:val="en-GB"/>
        </w:rPr>
        <w:t>eviction</w:t>
      </w:r>
      <w:r w:rsidR="00EA63B0" w:rsidRPr="00AE2F32">
        <w:rPr>
          <w:rFonts w:asciiTheme="minorHAnsi" w:hAnsiTheme="minorHAnsi"/>
          <w:color w:val="000000"/>
          <w:sz w:val="22"/>
          <w:szCs w:val="22"/>
          <w:lang w:val="en-GB"/>
        </w:rPr>
        <w:t xml:space="preserve"> </w:t>
      </w:r>
      <w:r w:rsidR="001D72ED" w:rsidRPr="00AE2F32">
        <w:rPr>
          <w:rFonts w:asciiTheme="minorHAnsi" w:hAnsiTheme="minorHAnsi"/>
          <w:color w:val="000000"/>
          <w:sz w:val="22"/>
          <w:szCs w:val="22"/>
          <w:lang w:val="en-GB"/>
        </w:rPr>
        <w:t>challenges as well.</w:t>
      </w:r>
      <w:r w:rsidR="006F3DA3" w:rsidRPr="00AE2F32">
        <w:rPr>
          <w:rFonts w:asciiTheme="minorHAnsi" w:hAnsiTheme="minorHAnsi"/>
          <w:color w:val="000000"/>
          <w:sz w:val="22"/>
          <w:szCs w:val="22"/>
          <w:lang w:val="en-GB"/>
        </w:rPr>
        <w:t xml:space="preserve"> </w:t>
      </w:r>
    </w:p>
    <w:p w14:paraId="72F4BF1F" w14:textId="5288C34E" w:rsidR="006F3DA3" w:rsidRPr="00AE2F32" w:rsidRDefault="001D72ED" w:rsidP="006F3DA3">
      <w:pPr>
        <w:pStyle w:val="NormalWeb"/>
        <w:spacing w:before="0" w:beforeAutospacing="0" w:after="240" w:afterAutospacing="0"/>
        <w:jc w:val="both"/>
        <w:rPr>
          <w:rFonts w:asciiTheme="minorHAnsi" w:hAnsiTheme="minorHAnsi"/>
          <w:color w:val="000000"/>
          <w:sz w:val="22"/>
          <w:szCs w:val="22"/>
          <w:lang w:val="en-GB"/>
        </w:rPr>
      </w:pPr>
      <w:r w:rsidRPr="00AE2F32">
        <w:rPr>
          <w:rFonts w:asciiTheme="minorHAnsi" w:hAnsiTheme="minorHAnsi" w:cs="Sylfaen"/>
          <w:color w:val="000000"/>
          <w:sz w:val="22"/>
          <w:szCs w:val="22"/>
          <w:lang w:val="en-GB"/>
        </w:rPr>
        <w:t xml:space="preserve">State inaction puts hundreds of people at risk of homelessness. This is evidenced by the number of applications submitted to the National Bureau of Enforcement - the agency responsible for the execution of </w:t>
      </w:r>
      <w:r w:rsidR="00EA63B0">
        <w:rPr>
          <w:rFonts w:asciiTheme="minorHAnsi" w:hAnsiTheme="minorHAnsi" w:cs="Sylfaen"/>
          <w:color w:val="000000"/>
          <w:sz w:val="22"/>
          <w:szCs w:val="22"/>
          <w:lang w:val="en-GB"/>
        </w:rPr>
        <w:t>eviction</w:t>
      </w:r>
      <w:r w:rsidR="00EA63B0" w:rsidRPr="00AE2F32">
        <w:rPr>
          <w:rFonts w:asciiTheme="minorHAnsi" w:hAnsiTheme="minorHAnsi" w:cs="Sylfaen"/>
          <w:color w:val="000000"/>
          <w:sz w:val="22"/>
          <w:szCs w:val="22"/>
          <w:lang w:val="en-GB"/>
        </w:rPr>
        <w:t xml:space="preserve"> </w:t>
      </w:r>
      <w:r w:rsidRPr="00AE2F32">
        <w:rPr>
          <w:rFonts w:asciiTheme="minorHAnsi" w:hAnsiTheme="minorHAnsi" w:cs="Sylfaen"/>
          <w:color w:val="000000"/>
          <w:sz w:val="22"/>
          <w:szCs w:val="22"/>
          <w:lang w:val="en-GB"/>
        </w:rPr>
        <w:t>cases - has doubled.</w:t>
      </w:r>
      <w:r w:rsidR="00E22143" w:rsidRPr="00AE2F32">
        <w:rPr>
          <w:rFonts w:asciiTheme="minorHAnsi" w:hAnsiTheme="minorHAnsi"/>
          <w:sz w:val="22"/>
          <w:szCs w:val="22"/>
        </w:rPr>
        <w:t xml:space="preserve"> </w:t>
      </w:r>
      <w:r w:rsidR="00E22143" w:rsidRPr="00AE2F32">
        <w:rPr>
          <w:rFonts w:asciiTheme="minorHAnsi" w:hAnsiTheme="minorHAnsi" w:cs="Sylfaen"/>
          <w:color w:val="000000"/>
          <w:sz w:val="22"/>
          <w:szCs w:val="22"/>
          <w:lang w:val="en-GB"/>
        </w:rPr>
        <w:t xml:space="preserve">In 2018-2019, the agency registered more than 1,300 applications for the </w:t>
      </w:r>
      <w:r w:rsidR="00DA267F">
        <w:rPr>
          <w:rFonts w:asciiTheme="minorHAnsi" w:hAnsiTheme="minorHAnsi" w:cs="Sylfaen"/>
          <w:color w:val="000000"/>
          <w:sz w:val="22"/>
          <w:szCs w:val="22"/>
          <w:lang w:val="en-GB"/>
        </w:rPr>
        <w:t>commencement</w:t>
      </w:r>
      <w:r w:rsidR="00DA267F" w:rsidRPr="00AE2F32">
        <w:rPr>
          <w:rFonts w:asciiTheme="minorHAnsi" w:hAnsiTheme="minorHAnsi" w:cs="Sylfaen"/>
          <w:color w:val="000000"/>
          <w:sz w:val="22"/>
          <w:szCs w:val="22"/>
          <w:lang w:val="en-GB"/>
        </w:rPr>
        <w:t xml:space="preserve"> </w:t>
      </w:r>
      <w:r w:rsidR="00E22143" w:rsidRPr="00AE2F32">
        <w:rPr>
          <w:rFonts w:asciiTheme="minorHAnsi" w:hAnsiTheme="minorHAnsi" w:cs="Sylfaen"/>
          <w:color w:val="000000"/>
          <w:sz w:val="22"/>
          <w:szCs w:val="22"/>
          <w:lang w:val="en-GB"/>
        </w:rPr>
        <w:t xml:space="preserve">of </w:t>
      </w:r>
      <w:r w:rsidR="00EA63B0">
        <w:rPr>
          <w:rFonts w:asciiTheme="minorHAnsi" w:hAnsiTheme="minorHAnsi" w:cs="Sylfaen"/>
          <w:color w:val="000000"/>
          <w:sz w:val="22"/>
          <w:szCs w:val="22"/>
          <w:lang w:val="en-GB"/>
        </w:rPr>
        <w:t>eviction</w:t>
      </w:r>
      <w:r w:rsidR="00EA63B0" w:rsidRPr="00AE2F32">
        <w:rPr>
          <w:rFonts w:asciiTheme="minorHAnsi" w:hAnsiTheme="minorHAnsi" w:cs="Sylfaen"/>
          <w:color w:val="000000"/>
          <w:sz w:val="22"/>
          <w:szCs w:val="22"/>
          <w:lang w:val="en-GB"/>
        </w:rPr>
        <w:t xml:space="preserve"> </w:t>
      </w:r>
      <w:r w:rsidR="00E22143" w:rsidRPr="00AE2F32">
        <w:rPr>
          <w:rFonts w:asciiTheme="minorHAnsi" w:hAnsiTheme="minorHAnsi" w:cs="Sylfaen"/>
          <w:color w:val="000000"/>
          <w:sz w:val="22"/>
          <w:szCs w:val="22"/>
          <w:lang w:val="en-GB"/>
        </w:rPr>
        <w:t xml:space="preserve">procedures, which is close to the data </w:t>
      </w:r>
      <w:r w:rsidR="00DA267F">
        <w:rPr>
          <w:rFonts w:asciiTheme="minorHAnsi" w:hAnsiTheme="minorHAnsi" w:cs="Sylfaen"/>
          <w:color w:val="000000"/>
          <w:sz w:val="22"/>
          <w:szCs w:val="22"/>
          <w:lang w:val="en-GB"/>
        </w:rPr>
        <w:t>of</w:t>
      </w:r>
      <w:r w:rsidR="00E22143" w:rsidRPr="00AE2F32">
        <w:rPr>
          <w:rFonts w:asciiTheme="minorHAnsi" w:hAnsiTheme="minorHAnsi" w:cs="Sylfaen"/>
          <w:color w:val="000000"/>
          <w:sz w:val="22"/>
          <w:szCs w:val="22"/>
          <w:lang w:val="en-GB"/>
        </w:rPr>
        <w:t xml:space="preserve"> the previous four years altogether</w:t>
      </w:r>
      <w:r w:rsidR="006F3DA3" w:rsidRPr="00AE2F32">
        <w:rPr>
          <w:rFonts w:asciiTheme="minorHAnsi" w:hAnsiTheme="minorHAnsi"/>
          <w:color w:val="000000"/>
          <w:sz w:val="22"/>
          <w:szCs w:val="22"/>
          <w:lang w:val="en-GB"/>
        </w:rPr>
        <w:t>.</w:t>
      </w:r>
      <w:r w:rsidR="006F3DA3" w:rsidRPr="00AE2F32">
        <w:rPr>
          <w:rStyle w:val="FootnoteReference"/>
          <w:rFonts w:asciiTheme="minorHAnsi" w:hAnsiTheme="minorHAnsi" w:cs="Calibri"/>
          <w:bCs/>
          <w:color w:val="000000" w:themeColor="text1"/>
          <w:sz w:val="22"/>
          <w:szCs w:val="22"/>
          <w:lang w:val="en-GB"/>
        </w:rPr>
        <w:footnoteReference w:id="127"/>
      </w:r>
    </w:p>
    <w:p w14:paraId="3254EEEA" w14:textId="04F6F442" w:rsidR="006F3DA3" w:rsidRPr="00AE2F32" w:rsidRDefault="00E22143" w:rsidP="006F3DA3">
      <w:pPr>
        <w:pStyle w:val="NormalWeb"/>
        <w:spacing w:before="0" w:beforeAutospacing="0" w:after="240" w:afterAutospacing="0"/>
        <w:jc w:val="both"/>
        <w:rPr>
          <w:rFonts w:asciiTheme="minorHAnsi" w:hAnsiTheme="minorHAnsi" w:cs="Sylfaen"/>
          <w:color w:val="000000"/>
          <w:sz w:val="22"/>
          <w:szCs w:val="22"/>
          <w:lang w:val="en-GB"/>
        </w:rPr>
      </w:pPr>
      <w:r w:rsidRPr="00AE2F32">
        <w:rPr>
          <w:rFonts w:asciiTheme="minorHAnsi" w:hAnsiTheme="minorHAnsi" w:cs="Sylfaen"/>
          <w:color w:val="000000"/>
          <w:sz w:val="22"/>
          <w:szCs w:val="22"/>
          <w:lang w:val="en-GB"/>
        </w:rPr>
        <w:t xml:space="preserve">One of the major challenges in this area is flawed legislation. </w:t>
      </w:r>
      <w:r w:rsidR="00DA267F">
        <w:rPr>
          <w:rFonts w:asciiTheme="minorHAnsi" w:hAnsiTheme="minorHAnsi" w:cs="Sylfaen"/>
          <w:color w:val="000000"/>
          <w:sz w:val="22"/>
          <w:szCs w:val="22"/>
          <w:lang w:val="en-GB"/>
        </w:rPr>
        <w:t>Namely,</w:t>
      </w:r>
      <w:r w:rsidRPr="00AE2F32">
        <w:rPr>
          <w:rFonts w:asciiTheme="minorHAnsi" w:hAnsiTheme="minorHAnsi" w:cs="Sylfaen"/>
          <w:color w:val="000000"/>
          <w:sz w:val="22"/>
          <w:szCs w:val="22"/>
          <w:lang w:val="en-GB"/>
        </w:rPr>
        <w:t xml:space="preserve"> there is no single definition of </w:t>
      </w:r>
      <w:r w:rsidR="00EA63B0">
        <w:rPr>
          <w:rFonts w:asciiTheme="minorHAnsi" w:hAnsiTheme="minorHAnsi" w:cs="Sylfaen"/>
          <w:color w:val="000000"/>
          <w:sz w:val="22"/>
          <w:szCs w:val="22"/>
          <w:lang w:val="en-GB"/>
        </w:rPr>
        <w:t>eviction</w:t>
      </w:r>
      <w:r w:rsidRPr="00AE2F32">
        <w:rPr>
          <w:rFonts w:asciiTheme="minorHAnsi" w:hAnsiTheme="minorHAnsi" w:cs="Sylfaen"/>
          <w:color w:val="000000"/>
          <w:sz w:val="22"/>
          <w:szCs w:val="22"/>
          <w:lang w:val="en-GB"/>
        </w:rPr>
        <w:t>, and the demolition of buildings</w:t>
      </w:r>
      <w:r w:rsidR="004E5DD9" w:rsidRPr="00AE2F32">
        <w:rPr>
          <w:rFonts w:asciiTheme="minorHAnsi" w:hAnsiTheme="minorHAnsi" w:cs="Sylfaen"/>
          <w:color w:val="000000"/>
          <w:sz w:val="22"/>
          <w:szCs w:val="22"/>
          <w:lang w:val="en-GB"/>
        </w:rPr>
        <w:t xml:space="preserve">, </w:t>
      </w:r>
      <w:r w:rsidRPr="00AE2F32">
        <w:rPr>
          <w:rFonts w:asciiTheme="minorHAnsi" w:hAnsiTheme="minorHAnsi" w:cs="Sylfaen"/>
          <w:color w:val="000000"/>
          <w:sz w:val="22"/>
          <w:szCs w:val="22"/>
          <w:lang w:val="en-GB"/>
        </w:rPr>
        <w:t xml:space="preserve">built without a permit, accompanied by the </w:t>
      </w:r>
      <w:r w:rsidR="00EA63B0">
        <w:rPr>
          <w:rFonts w:asciiTheme="minorHAnsi" w:hAnsiTheme="minorHAnsi" w:cs="Sylfaen"/>
          <w:color w:val="000000"/>
          <w:sz w:val="22"/>
          <w:szCs w:val="22"/>
          <w:lang w:val="en-GB"/>
        </w:rPr>
        <w:t>eviction</w:t>
      </w:r>
      <w:r w:rsidR="00EA63B0" w:rsidRPr="00AE2F32">
        <w:rPr>
          <w:rFonts w:asciiTheme="minorHAnsi" w:hAnsiTheme="minorHAnsi" w:cs="Sylfaen"/>
          <w:color w:val="000000"/>
          <w:sz w:val="22"/>
          <w:szCs w:val="22"/>
          <w:lang w:val="en-GB"/>
        </w:rPr>
        <w:t xml:space="preserve"> </w:t>
      </w:r>
      <w:r w:rsidRPr="00AE2F32">
        <w:rPr>
          <w:rFonts w:asciiTheme="minorHAnsi" w:hAnsiTheme="minorHAnsi" w:cs="Sylfaen"/>
          <w:color w:val="000000"/>
          <w:sz w:val="22"/>
          <w:szCs w:val="22"/>
          <w:lang w:val="en-GB"/>
        </w:rPr>
        <w:t xml:space="preserve">of </w:t>
      </w:r>
      <w:r w:rsidR="004E5DD9" w:rsidRPr="00AE2F32">
        <w:rPr>
          <w:rFonts w:asciiTheme="minorHAnsi" w:hAnsiTheme="minorHAnsi" w:cs="Sylfaen"/>
          <w:color w:val="000000"/>
          <w:sz w:val="22"/>
          <w:szCs w:val="22"/>
          <w:lang w:val="en-GB"/>
        </w:rPr>
        <w:t xml:space="preserve">its </w:t>
      </w:r>
      <w:r w:rsidR="004E5DD9" w:rsidRPr="00AE2F32">
        <w:rPr>
          <w:rFonts w:asciiTheme="minorHAnsi" w:hAnsiTheme="minorHAnsi" w:cs="Sylfaen"/>
          <w:color w:val="000000"/>
          <w:sz w:val="22"/>
          <w:szCs w:val="22"/>
          <w:lang w:val="en-GB"/>
        </w:rPr>
        <w:lastRenderedPageBreak/>
        <w:t>residents</w:t>
      </w:r>
      <w:r w:rsidRPr="00AE2F32">
        <w:rPr>
          <w:rFonts w:asciiTheme="minorHAnsi" w:hAnsiTheme="minorHAnsi" w:cs="Sylfaen"/>
          <w:color w:val="000000"/>
          <w:sz w:val="22"/>
          <w:szCs w:val="22"/>
          <w:lang w:val="en-GB"/>
        </w:rPr>
        <w:t xml:space="preserve">, is not considered </w:t>
      </w:r>
      <w:r w:rsidR="004E5DD9" w:rsidRPr="00AE2F32">
        <w:rPr>
          <w:rFonts w:asciiTheme="minorHAnsi" w:hAnsiTheme="minorHAnsi" w:cs="Sylfaen"/>
          <w:color w:val="000000"/>
          <w:sz w:val="22"/>
          <w:szCs w:val="22"/>
          <w:lang w:val="en-GB"/>
        </w:rPr>
        <w:t xml:space="preserve">as </w:t>
      </w:r>
      <w:r w:rsidRPr="00AE2F32">
        <w:rPr>
          <w:rFonts w:asciiTheme="minorHAnsi" w:hAnsiTheme="minorHAnsi" w:cs="Sylfaen"/>
          <w:color w:val="000000"/>
          <w:sz w:val="22"/>
          <w:szCs w:val="22"/>
          <w:lang w:val="en-GB"/>
        </w:rPr>
        <w:t xml:space="preserve">a form of </w:t>
      </w:r>
      <w:r w:rsidR="00EA63B0">
        <w:rPr>
          <w:rFonts w:asciiTheme="minorHAnsi" w:hAnsiTheme="minorHAnsi" w:cs="Sylfaen"/>
          <w:color w:val="000000"/>
          <w:sz w:val="22"/>
          <w:szCs w:val="22"/>
          <w:lang w:val="en-GB"/>
        </w:rPr>
        <w:t>eviction</w:t>
      </w:r>
      <w:r w:rsidR="00EA63B0" w:rsidRPr="00AE2F32">
        <w:rPr>
          <w:rFonts w:asciiTheme="minorHAnsi" w:hAnsiTheme="minorHAnsi" w:cs="Sylfaen"/>
          <w:color w:val="000000"/>
          <w:sz w:val="22"/>
          <w:szCs w:val="22"/>
          <w:lang w:val="en-GB"/>
        </w:rPr>
        <w:t xml:space="preserve"> </w:t>
      </w:r>
      <w:r w:rsidRPr="00AE2F32">
        <w:rPr>
          <w:rFonts w:asciiTheme="minorHAnsi" w:hAnsiTheme="minorHAnsi" w:cs="Sylfaen"/>
          <w:color w:val="000000"/>
          <w:sz w:val="22"/>
          <w:szCs w:val="22"/>
          <w:lang w:val="en-GB"/>
        </w:rPr>
        <w:t>at all</w:t>
      </w:r>
      <w:r w:rsidR="004E5DD9" w:rsidRPr="00AE2F32">
        <w:rPr>
          <w:rFonts w:asciiTheme="minorHAnsi" w:hAnsiTheme="minorHAnsi" w:cs="Sylfaen"/>
          <w:color w:val="000000"/>
          <w:sz w:val="22"/>
          <w:szCs w:val="22"/>
          <w:lang w:val="en-GB"/>
        </w:rPr>
        <w:t>. S</w:t>
      </w:r>
      <w:r w:rsidRPr="00AE2F32">
        <w:rPr>
          <w:rFonts w:asciiTheme="minorHAnsi" w:hAnsiTheme="minorHAnsi" w:cs="Sylfaen"/>
          <w:color w:val="000000"/>
          <w:sz w:val="22"/>
          <w:szCs w:val="22"/>
          <w:lang w:val="en-GB"/>
        </w:rPr>
        <w:t>o</w:t>
      </w:r>
      <w:r w:rsidR="004E5DD9" w:rsidRPr="00AE2F32">
        <w:rPr>
          <w:rFonts w:asciiTheme="minorHAnsi" w:hAnsiTheme="minorHAnsi" w:cs="Sylfaen"/>
          <w:color w:val="000000"/>
          <w:sz w:val="22"/>
          <w:szCs w:val="22"/>
          <w:lang w:val="en-GB"/>
        </w:rPr>
        <w:t>,</w:t>
      </w:r>
      <w:r w:rsidRPr="00AE2F32">
        <w:rPr>
          <w:rFonts w:asciiTheme="minorHAnsi" w:hAnsiTheme="minorHAnsi" w:cs="Sylfaen"/>
          <w:color w:val="000000"/>
          <w:sz w:val="22"/>
          <w:szCs w:val="22"/>
          <w:lang w:val="en-GB"/>
        </w:rPr>
        <w:t xml:space="preserve"> these people are left with</w:t>
      </w:r>
      <w:r w:rsidR="00AF5D5B">
        <w:rPr>
          <w:rFonts w:asciiTheme="minorHAnsi" w:hAnsiTheme="minorHAnsi" w:cs="Sylfaen"/>
          <w:color w:val="000000"/>
          <w:sz w:val="22"/>
          <w:szCs w:val="22"/>
          <w:lang w:val="en-GB"/>
        </w:rPr>
        <w:t>out</w:t>
      </w:r>
      <w:r w:rsidRPr="00AE2F32">
        <w:rPr>
          <w:rFonts w:asciiTheme="minorHAnsi" w:hAnsiTheme="minorHAnsi" w:cs="Sylfaen"/>
          <w:color w:val="000000"/>
          <w:sz w:val="22"/>
          <w:szCs w:val="22"/>
          <w:lang w:val="en-GB"/>
        </w:rPr>
        <w:t xml:space="preserve"> minimal legal protection.</w:t>
      </w:r>
      <w:r w:rsidR="006F3DA3" w:rsidRPr="00AE2F32">
        <w:rPr>
          <w:rStyle w:val="FootnoteReference"/>
          <w:rFonts w:asciiTheme="minorHAnsi" w:hAnsiTheme="minorHAnsi" w:cs="Calibri"/>
          <w:bCs/>
          <w:color w:val="000000" w:themeColor="text1"/>
          <w:sz w:val="22"/>
          <w:szCs w:val="22"/>
          <w:lang w:val="en-GB"/>
        </w:rPr>
        <w:footnoteReference w:id="128"/>
      </w:r>
    </w:p>
    <w:p w14:paraId="7F5E5B26" w14:textId="2637DEA2" w:rsidR="006F3DA3" w:rsidRPr="00AE2F32" w:rsidRDefault="004E5DD9" w:rsidP="006F3DA3">
      <w:pPr>
        <w:pStyle w:val="NormalWeb"/>
        <w:spacing w:before="0" w:beforeAutospacing="0" w:after="240" w:afterAutospacing="0"/>
        <w:jc w:val="both"/>
        <w:rPr>
          <w:rFonts w:asciiTheme="minorHAnsi" w:hAnsiTheme="minorHAnsi" w:cs="Sylfaen"/>
          <w:color w:val="000000"/>
          <w:sz w:val="22"/>
          <w:szCs w:val="22"/>
          <w:lang w:val="en-GB"/>
        </w:rPr>
      </w:pPr>
      <w:r w:rsidRPr="00AE2F32">
        <w:rPr>
          <w:rFonts w:asciiTheme="minorHAnsi" w:hAnsiTheme="minorHAnsi" w:cs="Sylfaen"/>
          <w:color w:val="000000"/>
          <w:sz w:val="22"/>
          <w:szCs w:val="22"/>
          <w:lang w:val="en-GB"/>
        </w:rPr>
        <w:t xml:space="preserve">Unfortunately, significant challenges are encountered at all stages of the </w:t>
      </w:r>
      <w:r w:rsidR="00EA63B0">
        <w:rPr>
          <w:rFonts w:asciiTheme="minorHAnsi" w:hAnsiTheme="minorHAnsi" w:cs="Sylfaen"/>
          <w:color w:val="000000"/>
          <w:sz w:val="22"/>
          <w:szCs w:val="22"/>
          <w:lang w:val="en-GB"/>
        </w:rPr>
        <w:t>eviction</w:t>
      </w:r>
      <w:r w:rsidR="00EA63B0" w:rsidRPr="00AE2F32">
        <w:rPr>
          <w:rFonts w:asciiTheme="minorHAnsi" w:hAnsiTheme="minorHAnsi" w:cs="Sylfaen"/>
          <w:color w:val="000000"/>
          <w:sz w:val="22"/>
          <w:szCs w:val="22"/>
          <w:lang w:val="en-GB"/>
        </w:rPr>
        <w:t xml:space="preserve"> </w:t>
      </w:r>
      <w:r w:rsidRPr="00AE2F32">
        <w:rPr>
          <w:rFonts w:asciiTheme="minorHAnsi" w:hAnsiTheme="minorHAnsi" w:cs="Sylfaen"/>
          <w:color w:val="000000"/>
          <w:sz w:val="22"/>
          <w:szCs w:val="22"/>
          <w:lang w:val="en-GB"/>
        </w:rPr>
        <w:t>procedure.</w:t>
      </w:r>
      <w:r w:rsidRPr="00AE2F32">
        <w:rPr>
          <w:rFonts w:asciiTheme="minorHAnsi" w:hAnsiTheme="minorHAnsi"/>
          <w:sz w:val="22"/>
          <w:szCs w:val="22"/>
        </w:rPr>
        <w:t xml:space="preserve"> </w:t>
      </w:r>
      <w:r w:rsidRPr="00AE2F32">
        <w:rPr>
          <w:rFonts w:asciiTheme="minorHAnsi" w:hAnsiTheme="minorHAnsi" w:cs="Sylfaen"/>
          <w:color w:val="000000"/>
          <w:sz w:val="22"/>
          <w:szCs w:val="22"/>
          <w:lang w:val="en-GB"/>
        </w:rPr>
        <w:t xml:space="preserve">On the one hand, the state does not have an </w:t>
      </w:r>
      <w:r w:rsidR="00EA63B0">
        <w:rPr>
          <w:rFonts w:asciiTheme="minorHAnsi" w:hAnsiTheme="minorHAnsi" w:cs="Sylfaen"/>
          <w:color w:val="000000"/>
          <w:sz w:val="22"/>
          <w:szCs w:val="22"/>
          <w:lang w:val="en-GB"/>
        </w:rPr>
        <w:t>eviction</w:t>
      </w:r>
      <w:r w:rsidR="00EA63B0" w:rsidRPr="00AE2F32">
        <w:rPr>
          <w:rFonts w:asciiTheme="minorHAnsi" w:hAnsiTheme="minorHAnsi" w:cs="Sylfaen"/>
          <w:color w:val="000000"/>
          <w:sz w:val="22"/>
          <w:szCs w:val="22"/>
          <w:lang w:val="en-GB"/>
        </w:rPr>
        <w:t xml:space="preserve"> </w:t>
      </w:r>
      <w:r w:rsidRPr="00AE2F32">
        <w:rPr>
          <w:rFonts w:asciiTheme="minorHAnsi" w:hAnsiTheme="minorHAnsi" w:cs="Sylfaen"/>
          <w:color w:val="000000"/>
          <w:sz w:val="22"/>
          <w:szCs w:val="22"/>
          <w:lang w:val="en-GB"/>
        </w:rPr>
        <w:t xml:space="preserve">prevention policy that would minimize </w:t>
      </w:r>
      <w:r w:rsidR="00DA267F">
        <w:rPr>
          <w:rFonts w:asciiTheme="minorHAnsi" w:hAnsiTheme="minorHAnsi" w:cs="Sylfaen"/>
          <w:color w:val="000000"/>
          <w:sz w:val="22"/>
          <w:szCs w:val="22"/>
          <w:lang w:val="en-GB"/>
        </w:rPr>
        <w:t>their number</w:t>
      </w:r>
      <w:r w:rsidRPr="00AE2F32">
        <w:rPr>
          <w:rFonts w:asciiTheme="minorHAnsi" w:hAnsiTheme="minorHAnsi" w:cs="Sylfaen"/>
          <w:color w:val="000000"/>
          <w:sz w:val="22"/>
          <w:szCs w:val="22"/>
          <w:lang w:val="en-GB"/>
        </w:rPr>
        <w:t>. On the other hand, the decision-making process</w:t>
      </w:r>
      <w:r w:rsidR="00DA267F">
        <w:rPr>
          <w:rFonts w:asciiTheme="minorHAnsi" w:hAnsiTheme="minorHAnsi" w:cs="Sylfaen"/>
          <w:color w:val="000000"/>
          <w:sz w:val="22"/>
          <w:szCs w:val="22"/>
          <w:lang w:val="en-GB"/>
        </w:rPr>
        <w:t xml:space="preserve"> on evictions</w:t>
      </w:r>
      <w:r w:rsidRPr="00AE2F32">
        <w:rPr>
          <w:rFonts w:asciiTheme="minorHAnsi" w:hAnsiTheme="minorHAnsi" w:cs="Sylfaen"/>
          <w:color w:val="000000"/>
          <w:sz w:val="22"/>
          <w:szCs w:val="22"/>
          <w:lang w:val="en-GB"/>
        </w:rPr>
        <w:t xml:space="preserve"> is problematic, as it does not address issues such as the vulnerability of </w:t>
      </w:r>
      <w:r w:rsidR="00CC7EF1" w:rsidRPr="00AE2F32">
        <w:rPr>
          <w:rFonts w:asciiTheme="minorHAnsi" w:hAnsiTheme="minorHAnsi" w:cs="Sylfaen"/>
          <w:color w:val="000000"/>
          <w:sz w:val="22"/>
          <w:szCs w:val="22"/>
          <w:lang w:val="en-GB"/>
        </w:rPr>
        <w:t>persons</w:t>
      </w:r>
      <w:r w:rsidRPr="00AE2F32">
        <w:rPr>
          <w:rFonts w:asciiTheme="minorHAnsi" w:hAnsiTheme="minorHAnsi" w:cs="Sylfaen"/>
          <w:color w:val="000000"/>
          <w:sz w:val="22"/>
          <w:szCs w:val="22"/>
          <w:lang w:val="en-GB"/>
        </w:rPr>
        <w:t xml:space="preserve"> and the risks of leaving them homeless</w:t>
      </w:r>
      <w:r w:rsidR="006F3DA3" w:rsidRPr="00AE2F32">
        <w:rPr>
          <w:rFonts w:asciiTheme="minorHAnsi" w:hAnsiTheme="minorHAnsi"/>
          <w:color w:val="000000"/>
          <w:sz w:val="22"/>
          <w:szCs w:val="22"/>
          <w:lang w:val="en-GB"/>
        </w:rPr>
        <w:t>.</w:t>
      </w:r>
      <w:r w:rsidR="006F3DA3" w:rsidRPr="00AE2F32">
        <w:rPr>
          <w:rStyle w:val="FootnoteReference"/>
          <w:rFonts w:asciiTheme="minorHAnsi" w:hAnsiTheme="minorHAnsi" w:cs="Calibri"/>
          <w:bCs/>
          <w:color w:val="000000" w:themeColor="text1"/>
          <w:sz w:val="22"/>
          <w:szCs w:val="22"/>
          <w:lang w:val="en-GB"/>
        </w:rPr>
        <w:footnoteReference w:id="129"/>
      </w:r>
      <w:r w:rsidR="006F3DA3" w:rsidRPr="00AE2F32">
        <w:rPr>
          <w:rFonts w:asciiTheme="minorHAnsi" w:hAnsiTheme="minorHAnsi"/>
          <w:color w:val="000000"/>
          <w:sz w:val="22"/>
          <w:szCs w:val="22"/>
          <w:lang w:val="en-GB"/>
        </w:rPr>
        <w:t xml:space="preserve"> </w:t>
      </w:r>
      <w:r w:rsidR="00CC7EF1" w:rsidRPr="00AE2F32">
        <w:rPr>
          <w:rFonts w:asciiTheme="minorHAnsi" w:hAnsiTheme="minorHAnsi"/>
          <w:color w:val="000000"/>
          <w:sz w:val="22"/>
          <w:szCs w:val="22"/>
          <w:lang w:val="en-GB"/>
        </w:rPr>
        <w:t xml:space="preserve">At the same time, an important problem is the regulation and implementation of the eviction process in accordance with human dignity and international standards. </w:t>
      </w:r>
    </w:p>
    <w:p w14:paraId="61DBC055" w14:textId="17F18577" w:rsidR="006F3DA3" w:rsidRPr="00AE2F32" w:rsidRDefault="00CC7EF1" w:rsidP="006F3DA3">
      <w:pPr>
        <w:pStyle w:val="NormalWeb"/>
        <w:spacing w:before="0" w:beforeAutospacing="0" w:after="240" w:afterAutospacing="0"/>
        <w:jc w:val="both"/>
        <w:rPr>
          <w:rFonts w:asciiTheme="minorHAnsi" w:hAnsiTheme="minorHAnsi"/>
          <w:sz w:val="22"/>
          <w:szCs w:val="22"/>
          <w:lang w:val="en-GB"/>
        </w:rPr>
      </w:pPr>
      <w:r w:rsidRPr="00AE2F32">
        <w:rPr>
          <w:rFonts w:asciiTheme="minorHAnsi" w:hAnsiTheme="minorHAnsi" w:cs="Sylfaen"/>
          <w:color w:val="000000"/>
          <w:sz w:val="22"/>
          <w:szCs w:val="22"/>
          <w:lang w:val="en-GB"/>
        </w:rPr>
        <w:t xml:space="preserve">One of the biggest challenges is the provision of adequate housing for </w:t>
      </w:r>
      <w:r w:rsidR="00DA267F">
        <w:rPr>
          <w:rFonts w:asciiTheme="minorHAnsi" w:hAnsiTheme="minorHAnsi" w:cs="Sylfaen"/>
          <w:color w:val="000000"/>
          <w:sz w:val="22"/>
          <w:szCs w:val="22"/>
          <w:lang w:val="en-GB"/>
        </w:rPr>
        <w:t>evicted people.</w:t>
      </w:r>
      <w:r w:rsidR="006F3DA3" w:rsidRPr="00AE2F32">
        <w:rPr>
          <w:rFonts w:asciiTheme="minorHAnsi" w:hAnsiTheme="minorHAnsi"/>
          <w:color w:val="000000"/>
          <w:sz w:val="22"/>
          <w:szCs w:val="22"/>
          <w:lang w:val="en-GB"/>
        </w:rPr>
        <w:t xml:space="preserve"> </w:t>
      </w:r>
      <w:r w:rsidRPr="00AE2F32">
        <w:rPr>
          <w:rFonts w:asciiTheme="minorHAnsi" w:hAnsiTheme="minorHAnsi" w:cs="Sylfaen"/>
          <w:color w:val="000000"/>
          <w:sz w:val="22"/>
          <w:szCs w:val="22"/>
          <w:lang w:val="en-GB"/>
        </w:rPr>
        <w:t xml:space="preserve">Housing services are mostly short-term, are not tailored to the individual needs of the beneficiaries, and are only available in </w:t>
      </w:r>
      <w:r w:rsidR="00DA267F">
        <w:rPr>
          <w:rFonts w:asciiTheme="minorHAnsi" w:hAnsiTheme="minorHAnsi" w:cs="Sylfaen"/>
          <w:color w:val="000000"/>
          <w:sz w:val="22"/>
          <w:szCs w:val="22"/>
          <w:lang w:val="en-GB"/>
        </w:rPr>
        <w:t>certain</w:t>
      </w:r>
      <w:r w:rsidR="00DA267F" w:rsidRPr="00AE2F32">
        <w:rPr>
          <w:rFonts w:asciiTheme="minorHAnsi" w:hAnsiTheme="minorHAnsi" w:cs="Sylfaen"/>
          <w:color w:val="000000"/>
          <w:sz w:val="22"/>
          <w:szCs w:val="22"/>
          <w:lang w:val="en-GB"/>
        </w:rPr>
        <w:t xml:space="preserve"> </w:t>
      </w:r>
      <w:r w:rsidRPr="00AE2F32">
        <w:rPr>
          <w:rFonts w:asciiTheme="minorHAnsi" w:hAnsiTheme="minorHAnsi" w:cs="Sylfaen"/>
          <w:color w:val="000000"/>
          <w:sz w:val="22"/>
          <w:szCs w:val="22"/>
          <w:lang w:val="en-GB"/>
        </w:rPr>
        <w:t xml:space="preserve">municipalities. For instance, only 13 municipalities out of 69 have approved rules of homeless registration and </w:t>
      </w:r>
      <w:r w:rsidR="004712D2">
        <w:rPr>
          <w:rFonts w:asciiTheme="minorHAnsi" w:hAnsiTheme="minorHAnsi" w:cs="Sylfaen"/>
          <w:color w:val="000000"/>
          <w:sz w:val="22"/>
          <w:szCs w:val="22"/>
          <w:lang w:val="en-GB"/>
        </w:rPr>
        <w:t>provide</w:t>
      </w:r>
      <w:r w:rsidRPr="00AE2F32">
        <w:rPr>
          <w:rFonts w:asciiTheme="minorHAnsi" w:hAnsiTheme="minorHAnsi" w:cs="Sylfaen"/>
          <w:color w:val="000000"/>
          <w:sz w:val="22"/>
          <w:szCs w:val="22"/>
          <w:lang w:val="en-GB"/>
        </w:rPr>
        <w:t xml:space="preserve"> them with housing</w:t>
      </w:r>
      <w:r w:rsidR="006F3DA3" w:rsidRPr="00AE2F32">
        <w:rPr>
          <w:rFonts w:asciiTheme="minorHAnsi" w:hAnsiTheme="minorHAnsi"/>
          <w:color w:val="000000"/>
          <w:sz w:val="22"/>
          <w:szCs w:val="22"/>
          <w:lang w:val="en-GB"/>
        </w:rPr>
        <w:t xml:space="preserve">. </w:t>
      </w:r>
      <w:r w:rsidRPr="00AE2F32">
        <w:rPr>
          <w:rFonts w:asciiTheme="minorHAnsi" w:hAnsiTheme="minorHAnsi"/>
          <w:color w:val="000000"/>
          <w:sz w:val="22"/>
          <w:szCs w:val="22"/>
          <w:lang w:val="en-GB"/>
        </w:rPr>
        <w:t xml:space="preserve">The absence and fragmentation of a unified housing policy </w:t>
      </w:r>
      <w:r w:rsidR="004712D2">
        <w:rPr>
          <w:rFonts w:asciiTheme="minorHAnsi" w:hAnsiTheme="minorHAnsi"/>
          <w:color w:val="000000"/>
          <w:sz w:val="22"/>
          <w:szCs w:val="22"/>
          <w:lang w:val="en-GB"/>
        </w:rPr>
        <w:t>put</w:t>
      </w:r>
      <w:r w:rsidRPr="00AE2F32">
        <w:rPr>
          <w:rFonts w:asciiTheme="minorHAnsi" w:hAnsiTheme="minorHAnsi"/>
          <w:color w:val="000000"/>
          <w:sz w:val="22"/>
          <w:szCs w:val="22"/>
          <w:lang w:val="en-GB"/>
        </w:rPr>
        <w:t xml:space="preserve"> </w:t>
      </w:r>
      <w:r w:rsidR="00DA267F">
        <w:rPr>
          <w:rFonts w:asciiTheme="minorHAnsi" w:hAnsiTheme="minorHAnsi"/>
          <w:color w:val="000000"/>
          <w:sz w:val="22"/>
          <w:szCs w:val="22"/>
          <w:lang w:val="en-GB"/>
        </w:rPr>
        <w:t>evicted</w:t>
      </w:r>
      <w:r w:rsidR="00DA267F" w:rsidRPr="00AE2F32">
        <w:rPr>
          <w:rFonts w:asciiTheme="minorHAnsi" w:hAnsiTheme="minorHAnsi"/>
          <w:color w:val="000000"/>
          <w:sz w:val="22"/>
          <w:szCs w:val="22"/>
          <w:lang w:val="en-GB"/>
        </w:rPr>
        <w:t xml:space="preserve"> </w:t>
      </w:r>
      <w:r w:rsidRPr="00AE2F32">
        <w:rPr>
          <w:rFonts w:asciiTheme="minorHAnsi" w:hAnsiTheme="minorHAnsi"/>
          <w:color w:val="000000"/>
          <w:sz w:val="22"/>
          <w:szCs w:val="22"/>
          <w:lang w:val="en-GB"/>
        </w:rPr>
        <w:t xml:space="preserve">persons at significant risk of homelessness. </w:t>
      </w:r>
    </w:p>
    <w:p w14:paraId="0A907071" w14:textId="41059FF5" w:rsidR="006F3DA3" w:rsidRPr="00AE2F32" w:rsidRDefault="00CC7EF1" w:rsidP="0003180B">
      <w:pPr>
        <w:pStyle w:val="NormalWeb"/>
        <w:shd w:val="clear" w:color="auto" w:fill="D0CECE" w:themeFill="background2" w:themeFillShade="E6"/>
        <w:spacing w:before="0" w:beforeAutospacing="0" w:after="0" w:afterAutospacing="0"/>
        <w:jc w:val="both"/>
        <w:rPr>
          <w:rFonts w:asciiTheme="minorHAnsi" w:hAnsiTheme="minorHAnsi"/>
          <w:b/>
          <w:bCs/>
          <w:sz w:val="22"/>
          <w:szCs w:val="22"/>
          <w:lang w:val="en-GB"/>
        </w:rPr>
      </w:pPr>
      <w:r w:rsidRPr="00AE2F32">
        <w:rPr>
          <w:rFonts w:asciiTheme="minorHAnsi" w:hAnsiTheme="minorHAnsi" w:cs="Sylfaen"/>
          <w:b/>
          <w:bCs/>
          <w:color w:val="000000"/>
          <w:sz w:val="22"/>
          <w:szCs w:val="22"/>
          <w:lang w:val="en-GB"/>
        </w:rPr>
        <w:t xml:space="preserve">Recommendations: </w:t>
      </w:r>
    </w:p>
    <w:p w14:paraId="7FB311A4" w14:textId="6814D874" w:rsidR="00844DD6" w:rsidRPr="00AE2F32" w:rsidRDefault="00844DD6" w:rsidP="0023502D">
      <w:pPr>
        <w:pStyle w:val="NormalWeb"/>
        <w:numPr>
          <w:ilvl w:val="0"/>
          <w:numId w:val="32"/>
        </w:numPr>
        <w:shd w:val="clear" w:color="auto" w:fill="D0CECE" w:themeFill="background2" w:themeFillShade="E6"/>
        <w:spacing w:before="0" w:beforeAutospacing="0" w:after="0" w:afterAutospacing="0"/>
        <w:jc w:val="both"/>
        <w:textAlignment w:val="baseline"/>
        <w:rPr>
          <w:rFonts w:asciiTheme="minorHAnsi" w:hAnsiTheme="minorHAnsi"/>
          <w:color w:val="000000"/>
          <w:sz w:val="22"/>
          <w:szCs w:val="22"/>
          <w:lang w:val="en-GB"/>
        </w:rPr>
      </w:pPr>
      <w:r w:rsidRPr="00AE2F32">
        <w:rPr>
          <w:rFonts w:asciiTheme="minorHAnsi" w:hAnsiTheme="minorHAnsi"/>
          <w:color w:val="000000"/>
          <w:sz w:val="22"/>
          <w:szCs w:val="22"/>
          <w:lang w:val="en-GB"/>
        </w:rPr>
        <w:t xml:space="preserve">Immediately harmonize the </w:t>
      </w:r>
      <w:r w:rsidR="00DA267F">
        <w:rPr>
          <w:rFonts w:asciiTheme="minorHAnsi" w:hAnsiTheme="minorHAnsi"/>
          <w:color w:val="000000"/>
          <w:sz w:val="22"/>
          <w:szCs w:val="22"/>
          <w:lang w:val="en-GB"/>
        </w:rPr>
        <w:t xml:space="preserve">eviction </w:t>
      </w:r>
      <w:r w:rsidRPr="00AE2F32">
        <w:rPr>
          <w:rFonts w:asciiTheme="minorHAnsi" w:hAnsiTheme="minorHAnsi"/>
          <w:color w:val="000000"/>
          <w:sz w:val="22"/>
          <w:szCs w:val="22"/>
          <w:lang w:val="en-GB"/>
        </w:rPr>
        <w:t xml:space="preserve">legislation, as well as the institutional framework and practice with international standards, and establish effective preventive and </w:t>
      </w:r>
      <w:r w:rsidR="00DA267F">
        <w:rPr>
          <w:rFonts w:asciiTheme="minorHAnsi" w:hAnsiTheme="minorHAnsi"/>
          <w:color w:val="000000"/>
          <w:sz w:val="22"/>
          <w:szCs w:val="22"/>
          <w:lang w:val="en-GB"/>
        </w:rPr>
        <w:t>reactive</w:t>
      </w:r>
      <w:r w:rsidR="00DA267F" w:rsidRPr="00AE2F32">
        <w:rPr>
          <w:rFonts w:asciiTheme="minorHAnsi" w:hAnsiTheme="minorHAnsi"/>
          <w:color w:val="000000"/>
          <w:sz w:val="22"/>
          <w:szCs w:val="22"/>
          <w:lang w:val="en-GB"/>
        </w:rPr>
        <w:t xml:space="preserve"> </w:t>
      </w:r>
      <w:r w:rsidRPr="00AE2F32">
        <w:rPr>
          <w:rFonts w:asciiTheme="minorHAnsi" w:hAnsiTheme="minorHAnsi"/>
          <w:color w:val="000000"/>
          <w:sz w:val="22"/>
          <w:szCs w:val="22"/>
          <w:lang w:val="en-GB"/>
        </w:rPr>
        <w:t>mechanisms in this area;</w:t>
      </w:r>
    </w:p>
    <w:p w14:paraId="14BE3B9F" w14:textId="49785F7D" w:rsidR="00844DD6" w:rsidRPr="00AE2F32" w:rsidRDefault="00844DD6" w:rsidP="0023502D">
      <w:pPr>
        <w:pStyle w:val="NormalWeb"/>
        <w:numPr>
          <w:ilvl w:val="0"/>
          <w:numId w:val="32"/>
        </w:numPr>
        <w:shd w:val="clear" w:color="auto" w:fill="D0CECE" w:themeFill="background2" w:themeFillShade="E6"/>
        <w:spacing w:before="0" w:beforeAutospacing="0" w:after="0" w:afterAutospacing="0"/>
        <w:jc w:val="both"/>
        <w:textAlignment w:val="baseline"/>
        <w:rPr>
          <w:rFonts w:asciiTheme="minorHAnsi" w:hAnsiTheme="minorHAnsi"/>
          <w:color w:val="000000"/>
          <w:sz w:val="22"/>
          <w:szCs w:val="22"/>
          <w:lang w:val="en-GB"/>
        </w:rPr>
      </w:pPr>
      <w:r w:rsidRPr="00AE2F32">
        <w:rPr>
          <w:rFonts w:asciiTheme="minorHAnsi" w:hAnsiTheme="minorHAnsi"/>
          <w:color w:val="000000"/>
          <w:sz w:val="22"/>
          <w:szCs w:val="22"/>
          <w:lang w:val="en-GB"/>
        </w:rPr>
        <w:t xml:space="preserve">Develop and adopt a national housing strategy and action plan based on </w:t>
      </w:r>
      <w:r w:rsidR="00DA267F">
        <w:rPr>
          <w:rFonts w:asciiTheme="minorHAnsi" w:hAnsiTheme="minorHAnsi"/>
          <w:color w:val="000000"/>
          <w:sz w:val="22"/>
          <w:szCs w:val="22"/>
          <w:lang w:val="en-GB"/>
        </w:rPr>
        <w:t>research results</w:t>
      </w:r>
      <w:r w:rsidR="003752FD">
        <w:rPr>
          <w:rFonts w:asciiTheme="minorHAnsi" w:hAnsiTheme="minorHAnsi"/>
          <w:color w:val="000000"/>
          <w:sz w:val="22"/>
          <w:szCs w:val="22"/>
          <w:lang w:val="en-GB"/>
        </w:rPr>
        <w:t xml:space="preserve"> </w:t>
      </w:r>
      <w:r w:rsidRPr="00AE2F32">
        <w:rPr>
          <w:rFonts w:asciiTheme="minorHAnsi" w:hAnsiTheme="minorHAnsi"/>
          <w:color w:val="000000"/>
          <w:sz w:val="22"/>
          <w:szCs w:val="22"/>
          <w:lang w:val="en-GB"/>
        </w:rPr>
        <w:t>on the scale and causes of homelessness, and the needs of vulnerable groups, and set prevent</w:t>
      </w:r>
      <w:r w:rsidR="003752FD">
        <w:rPr>
          <w:rFonts w:asciiTheme="minorHAnsi" w:hAnsiTheme="minorHAnsi"/>
          <w:color w:val="000000"/>
          <w:sz w:val="22"/>
          <w:szCs w:val="22"/>
          <w:lang w:val="en-GB"/>
        </w:rPr>
        <w:t>ion and reduction of</w:t>
      </w:r>
      <w:r w:rsidRPr="00AE2F32">
        <w:rPr>
          <w:rFonts w:asciiTheme="minorHAnsi" w:hAnsiTheme="minorHAnsi"/>
          <w:color w:val="000000"/>
          <w:sz w:val="22"/>
          <w:szCs w:val="22"/>
          <w:lang w:val="en-GB"/>
        </w:rPr>
        <w:t xml:space="preserve"> </w:t>
      </w:r>
      <w:r w:rsidR="00EA63B0">
        <w:rPr>
          <w:rFonts w:asciiTheme="minorHAnsi" w:hAnsiTheme="minorHAnsi"/>
          <w:color w:val="000000"/>
          <w:sz w:val="22"/>
          <w:szCs w:val="22"/>
          <w:lang w:val="en-GB"/>
        </w:rPr>
        <w:t>eviction</w:t>
      </w:r>
      <w:r w:rsidR="003752FD">
        <w:rPr>
          <w:rFonts w:asciiTheme="minorHAnsi" w:hAnsiTheme="minorHAnsi"/>
          <w:color w:val="000000"/>
          <w:sz w:val="22"/>
          <w:szCs w:val="22"/>
          <w:lang w:val="en-GB"/>
        </w:rPr>
        <w:t>s</w:t>
      </w:r>
      <w:r w:rsidR="00EA63B0" w:rsidRPr="00AE2F32">
        <w:rPr>
          <w:rFonts w:asciiTheme="minorHAnsi" w:hAnsiTheme="minorHAnsi"/>
          <w:color w:val="000000"/>
          <w:sz w:val="22"/>
          <w:szCs w:val="22"/>
          <w:lang w:val="en-GB"/>
        </w:rPr>
        <w:t xml:space="preserve"> </w:t>
      </w:r>
      <w:r w:rsidR="003752FD">
        <w:rPr>
          <w:rFonts w:asciiTheme="minorHAnsi" w:hAnsiTheme="minorHAnsi"/>
          <w:color w:val="000000"/>
          <w:sz w:val="22"/>
          <w:szCs w:val="22"/>
          <w:lang w:val="en-GB"/>
        </w:rPr>
        <w:t xml:space="preserve">as one of its main strategic goals. </w:t>
      </w:r>
    </w:p>
    <w:p w14:paraId="64D2D3E2" w14:textId="77777777" w:rsidR="00844DD6" w:rsidRPr="00AE2F32" w:rsidRDefault="00844DD6" w:rsidP="00844DD6">
      <w:pPr>
        <w:pStyle w:val="NormalWeb"/>
        <w:spacing w:before="0" w:beforeAutospacing="0" w:after="0" w:afterAutospacing="0"/>
        <w:ind w:left="360"/>
        <w:jc w:val="both"/>
        <w:textAlignment w:val="baseline"/>
        <w:rPr>
          <w:rFonts w:asciiTheme="minorHAnsi" w:hAnsiTheme="minorHAnsi"/>
          <w:color w:val="000000"/>
          <w:sz w:val="22"/>
          <w:szCs w:val="22"/>
          <w:lang w:val="en-GB"/>
        </w:rPr>
      </w:pPr>
    </w:p>
    <w:p w14:paraId="1CAF9CF1" w14:textId="3F1F7D84" w:rsidR="0003180B" w:rsidRPr="00AE2F32" w:rsidRDefault="00CC7EF1" w:rsidP="0003180B">
      <w:pPr>
        <w:pStyle w:val="NormalWeb"/>
        <w:shd w:val="clear" w:color="auto" w:fill="D0CECE" w:themeFill="background2" w:themeFillShade="E6"/>
        <w:spacing w:before="0" w:beforeAutospacing="0" w:after="0" w:afterAutospacing="0"/>
        <w:jc w:val="both"/>
        <w:rPr>
          <w:rFonts w:asciiTheme="minorHAnsi" w:hAnsiTheme="minorHAnsi"/>
          <w:b/>
          <w:bCs/>
          <w:sz w:val="22"/>
          <w:szCs w:val="22"/>
          <w:lang w:val="en-GB"/>
        </w:rPr>
      </w:pPr>
      <w:r w:rsidRPr="00AE2F32">
        <w:rPr>
          <w:rFonts w:asciiTheme="minorHAnsi" w:hAnsiTheme="minorHAnsi" w:cs="Sylfaen"/>
          <w:b/>
          <w:bCs/>
          <w:color w:val="000000"/>
          <w:sz w:val="22"/>
          <w:szCs w:val="22"/>
          <w:lang w:val="en-GB"/>
        </w:rPr>
        <w:t xml:space="preserve">Questions: </w:t>
      </w:r>
    </w:p>
    <w:p w14:paraId="7D8ADDF6" w14:textId="3972AAF5" w:rsidR="00844DD6" w:rsidRPr="00AE2F32" w:rsidRDefault="00844DD6" w:rsidP="0023502D">
      <w:pPr>
        <w:pStyle w:val="NormalWeb"/>
        <w:numPr>
          <w:ilvl w:val="0"/>
          <w:numId w:val="28"/>
        </w:numPr>
        <w:shd w:val="clear" w:color="auto" w:fill="D0CECE" w:themeFill="background2" w:themeFillShade="E6"/>
        <w:spacing w:before="0" w:beforeAutospacing="0" w:after="0" w:afterAutospacing="0"/>
        <w:jc w:val="both"/>
        <w:textAlignment w:val="baseline"/>
        <w:rPr>
          <w:rFonts w:asciiTheme="minorHAnsi" w:hAnsiTheme="minorHAnsi"/>
          <w:color w:val="000000"/>
          <w:sz w:val="22"/>
          <w:szCs w:val="22"/>
          <w:lang w:val="en-GB"/>
        </w:rPr>
      </w:pPr>
      <w:r w:rsidRPr="00AE2F32">
        <w:rPr>
          <w:rFonts w:asciiTheme="minorHAnsi" w:hAnsiTheme="minorHAnsi"/>
          <w:color w:val="000000"/>
          <w:sz w:val="22"/>
          <w:szCs w:val="22"/>
          <w:lang w:val="en-GB"/>
        </w:rPr>
        <w:t>What measures are taken to improve the legislation</w:t>
      </w:r>
      <w:r w:rsidR="003752FD">
        <w:rPr>
          <w:rFonts w:asciiTheme="minorHAnsi" w:hAnsiTheme="minorHAnsi"/>
          <w:color w:val="000000"/>
          <w:sz w:val="22"/>
          <w:szCs w:val="22"/>
          <w:lang w:val="en-GB"/>
        </w:rPr>
        <w:t>, institutional framework</w:t>
      </w:r>
      <w:r w:rsidR="004712D2">
        <w:rPr>
          <w:rFonts w:asciiTheme="minorHAnsi" w:hAnsiTheme="minorHAnsi"/>
          <w:color w:val="000000"/>
          <w:sz w:val="22"/>
          <w:szCs w:val="22"/>
          <w:lang w:val="en-GB"/>
        </w:rPr>
        <w:t>,</w:t>
      </w:r>
      <w:r w:rsidR="003752FD">
        <w:rPr>
          <w:rFonts w:asciiTheme="minorHAnsi" w:hAnsiTheme="minorHAnsi"/>
          <w:color w:val="000000"/>
          <w:sz w:val="22"/>
          <w:szCs w:val="22"/>
          <w:lang w:val="en-GB"/>
        </w:rPr>
        <w:t xml:space="preserve"> and practice concerning </w:t>
      </w:r>
      <w:r w:rsidR="00256F01">
        <w:rPr>
          <w:rFonts w:asciiTheme="minorHAnsi" w:hAnsiTheme="minorHAnsi"/>
          <w:color w:val="000000"/>
          <w:sz w:val="22"/>
          <w:szCs w:val="22"/>
          <w:lang w:val="en-GB"/>
        </w:rPr>
        <w:t>evictions</w:t>
      </w:r>
      <w:r w:rsidR="00256F01" w:rsidRPr="00AE2F32">
        <w:rPr>
          <w:rFonts w:asciiTheme="minorHAnsi" w:hAnsiTheme="minorHAnsi"/>
          <w:color w:val="000000"/>
          <w:sz w:val="22"/>
          <w:szCs w:val="22"/>
          <w:lang w:val="en-GB"/>
        </w:rPr>
        <w:t>,</w:t>
      </w:r>
      <w:r w:rsidRPr="00AE2F32">
        <w:rPr>
          <w:rFonts w:asciiTheme="minorHAnsi" w:hAnsiTheme="minorHAnsi"/>
          <w:color w:val="000000"/>
          <w:sz w:val="22"/>
          <w:szCs w:val="22"/>
          <w:lang w:val="en-GB"/>
        </w:rPr>
        <w:t xml:space="preserve"> and to ensure compliance with international standards?</w:t>
      </w:r>
    </w:p>
    <w:p w14:paraId="655E9E28" w14:textId="6D57B9D3" w:rsidR="00844DD6" w:rsidRPr="00AE2F32" w:rsidRDefault="00844DD6" w:rsidP="0023502D">
      <w:pPr>
        <w:pStyle w:val="NormalWeb"/>
        <w:numPr>
          <w:ilvl w:val="0"/>
          <w:numId w:val="28"/>
        </w:numPr>
        <w:shd w:val="clear" w:color="auto" w:fill="D0CECE" w:themeFill="background2" w:themeFillShade="E6"/>
        <w:spacing w:before="0" w:beforeAutospacing="0" w:after="240" w:afterAutospacing="0"/>
        <w:jc w:val="both"/>
        <w:textAlignment w:val="baseline"/>
        <w:rPr>
          <w:rFonts w:asciiTheme="minorHAnsi" w:hAnsiTheme="minorHAnsi"/>
          <w:color w:val="000000"/>
          <w:sz w:val="22"/>
          <w:szCs w:val="22"/>
          <w:lang w:val="en-GB"/>
        </w:rPr>
      </w:pPr>
      <w:r w:rsidRPr="00AE2F32">
        <w:rPr>
          <w:rFonts w:asciiTheme="minorHAnsi" w:hAnsiTheme="minorHAnsi"/>
          <w:color w:val="000000"/>
          <w:sz w:val="22"/>
          <w:szCs w:val="22"/>
          <w:lang w:val="en-GB"/>
        </w:rPr>
        <w:t xml:space="preserve">How does the state provide housing for the </w:t>
      </w:r>
      <w:r w:rsidR="00EA63B0">
        <w:rPr>
          <w:rFonts w:asciiTheme="minorHAnsi" w:hAnsiTheme="minorHAnsi"/>
          <w:color w:val="000000"/>
          <w:sz w:val="22"/>
          <w:szCs w:val="22"/>
          <w:lang w:val="en-GB"/>
        </w:rPr>
        <w:t>evicted</w:t>
      </w:r>
      <w:r w:rsidR="00EA63B0" w:rsidRPr="00AE2F32">
        <w:rPr>
          <w:rFonts w:asciiTheme="minorHAnsi" w:hAnsiTheme="minorHAnsi"/>
          <w:color w:val="000000"/>
          <w:sz w:val="22"/>
          <w:szCs w:val="22"/>
          <w:lang w:val="en-GB"/>
        </w:rPr>
        <w:t xml:space="preserve"> </w:t>
      </w:r>
      <w:r w:rsidR="00780D5B" w:rsidRPr="00AE2F32">
        <w:rPr>
          <w:rFonts w:asciiTheme="minorHAnsi" w:hAnsiTheme="minorHAnsi"/>
          <w:color w:val="000000"/>
          <w:sz w:val="22"/>
          <w:szCs w:val="22"/>
          <w:lang w:val="en-GB"/>
        </w:rPr>
        <w:t>persons</w:t>
      </w:r>
      <w:r w:rsidRPr="00AE2F32">
        <w:rPr>
          <w:rFonts w:asciiTheme="minorHAnsi" w:hAnsiTheme="minorHAnsi"/>
          <w:color w:val="000000"/>
          <w:sz w:val="22"/>
          <w:szCs w:val="22"/>
          <w:lang w:val="en-GB"/>
        </w:rPr>
        <w:t xml:space="preserve">? Please provide information on </w:t>
      </w:r>
      <w:r w:rsidR="003752FD">
        <w:rPr>
          <w:rFonts w:asciiTheme="minorHAnsi" w:hAnsiTheme="minorHAnsi"/>
          <w:color w:val="000000"/>
          <w:sz w:val="22"/>
          <w:szCs w:val="22"/>
          <w:lang w:val="en-GB"/>
        </w:rPr>
        <w:t>the number</w:t>
      </w:r>
      <w:r w:rsidR="003752FD" w:rsidRPr="00AE2F32">
        <w:rPr>
          <w:rFonts w:asciiTheme="minorHAnsi" w:hAnsiTheme="minorHAnsi"/>
          <w:color w:val="000000"/>
          <w:sz w:val="22"/>
          <w:szCs w:val="22"/>
          <w:lang w:val="en-GB"/>
        </w:rPr>
        <w:t xml:space="preserve"> </w:t>
      </w:r>
      <w:r w:rsidR="004712D2">
        <w:rPr>
          <w:rFonts w:asciiTheme="minorHAnsi" w:hAnsiTheme="minorHAnsi"/>
          <w:color w:val="000000"/>
          <w:sz w:val="22"/>
          <w:szCs w:val="22"/>
          <w:lang w:val="en-GB"/>
        </w:rPr>
        <w:t xml:space="preserve">of </w:t>
      </w:r>
      <w:r w:rsidR="003752FD">
        <w:rPr>
          <w:rFonts w:asciiTheme="minorHAnsi" w:hAnsiTheme="minorHAnsi"/>
          <w:color w:val="000000"/>
          <w:sz w:val="22"/>
          <w:szCs w:val="22"/>
          <w:lang w:val="en-GB"/>
        </w:rPr>
        <w:t xml:space="preserve">evicted </w:t>
      </w:r>
      <w:r w:rsidRPr="00AE2F32">
        <w:rPr>
          <w:rFonts w:asciiTheme="minorHAnsi" w:hAnsiTheme="minorHAnsi"/>
          <w:color w:val="000000"/>
          <w:sz w:val="22"/>
          <w:szCs w:val="22"/>
          <w:lang w:val="en-GB"/>
        </w:rPr>
        <w:t>persons</w:t>
      </w:r>
      <w:r w:rsidR="003752FD">
        <w:rPr>
          <w:rFonts w:asciiTheme="minorHAnsi" w:hAnsiTheme="minorHAnsi"/>
          <w:color w:val="000000"/>
          <w:sz w:val="22"/>
          <w:szCs w:val="22"/>
          <w:lang w:val="en-GB"/>
        </w:rPr>
        <w:t>, who</w:t>
      </w:r>
      <w:r w:rsidRPr="00AE2F32">
        <w:rPr>
          <w:rFonts w:asciiTheme="minorHAnsi" w:hAnsiTheme="minorHAnsi"/>
          <w:color w:val="000000"/>
          <w:sz w:val="22"/>
          <w:szCs w:val="22"/>
          <w:lang w:val="en-GB"/>
        </w:rPr>
        <w:t xml:space="preserve"> have been provided</w:t>
      </w:r>
      <w:r w:rsidR="00780D5B" w:rsidRPr="00AE2F32">
        <w:rPr>
          <w:rFonts w:asciiTheme="minorHAnsi" w:hAnsiTheme="minorHAnsi"/>
          <w:color w:val="000000"/>
          <w:sz w:val="22"/>
          <w:szCs w:val="22"/>
          <w:lang w:val="en-GB"/>
        </w:rPr>
        <w:t xml:space="preserve"> and denied</w:t>
      </w:r>
      <w:r w:rsidRPr="00AE2F32">
        <w:rPr>
          <w:rFonts w:asciiTheme="minorHAnsi" w:hAnsiTheme="minorHAnsi"/>
          <w:color w:val="000000"/>
          <w:sz w:val="22"/>
          <w:szCs w:val="22"/>
          <w:lang w:val="en-GB"/>
        </w:rPr>
        <w:t xml:space="preserve"> housing by the state</w:t>
      </w:r>
      <w:r w:rsidR="00780D5B" w:rsidRPr="00AE2F32">
        <w:rPr>
          <w:rFonts w:asciiTheme="minorHAnsi" w:hAnsiTheme="minorHAnsi"/>
          <w:color w:val="000000"/>
          <w:sz w:val="22"/>
          <w:szCs w:val="22"/>
          <w:lang w:val="en-GB"/>
        </w:rPr>
        <w:t xml:space="preserve">. </w:t>
      </w:r>
    </w:p>
    <w:p w14:paraId="5FC8FBEE" w14:textId="33029172" w:rsidR="00E210AB" w:rsidRPr="00AE2F32" w:rsidRDefault="00780D5B" w:rsidP="0003180B">
      <w:pPr>
        <w:pStyle w:val="NormalWeb"/>
        <w:spacing w:before="240" w:beforeAutospacing="0" w:after="240" w:afterAutospacing="0"/>
        <w:jc w:val="both"/>
        <w:rPr>
          <w:rFonts w:asciiTheme="minorHAnsi" w:hAnsiTheme="minorHAnsi" w:cs="Sylfaen"/>
          <w:bCs/>
          <w:i/>
          <w:iCs/>
          <w:color w:val="000000"/>
          <w:sz w:val="22"/>
          <w:szCs w:val="22"/>
          <w:u w:val="single"/>
          <w:lang w:val="en-GB"/>
        </w:rPr>
      </w:pPr>
      <w:r w:rsidRPr="00AE2F32">
        <w:rPr>
          <w:rFonts w:asciiTheme="minorHAnsi" w:hAnsiTheme="minorHAnsi"/>
          <w:bCs/>
          <w:i/>
          <w:iCs/>
          <w:sz w:val="22"/>
          <w:szCs w:val="22"/>
          <w:u w:val="single"/>
          <w:lang w:val="en-GB"/>
        </w:rPr>
        <w:t xml:space="preserve">Personal Data Protection </w:t>
      </w:r>
    </w:p>
    <w:p w14:paraId="65668D5A" w14:textId="0AAA4D17" w:rsidR="00780D5B" w:rsidRPr="00AE2F32" w:rsidRDefault="00780D5B" w:rsidP="00EB1CFE">
      <w:pPr>
        <w:jc w:val="both"/>
        <w:rPr>
          <w:sz w:val="22"/>
          <w:szCs w:val="22"/>
          <w:lang w:val="en-GB"/>
        </w:rPr>
      </w:pPr>
      <w:r w:rsidRPr="00AE2F32">
        <w:rPr>
          <w:sz w:val="22"/>
          <w:szCs w:val="22"/>
          <w:lang w:val="en-GB"/>
        </w:rPr>
        <w:t xml:space="preserve">The amendments to the Law of Georgia on Personal Data Protection from 2014 to date were related to the extension of the mandate of the Personal Data Inspector (hereinafter the State Inspector); No significant legislative amendment </w:t>
      </w:r>
      <w:r w:rsidR="006F7ED1" w:rsidRPr="00AE2F32">
        <w:rPr>
          <w:sz w:val="22"/>
          <w:szCs w:val="22"/>
          <w:lang w:val="en-GB"/>
        </w:rPr>
        <w:t>was</w:t>
      </w:r>
      <w:r w:rsidRPr="00AE2F32">
        <w:rPr>
          <w:sz w:val="22"/>
          <w:szCs w:val="22"/>
          <w:lang w:val="en-GB"/>
        </w:rPr>
        <w:t xml:space="preserve"> made related to the processing, storage or deletion of personal data during this period. </w:t>
      </w:r>
    </w:p>
    <w:p w14:paraId="3E05AA3E" w14:textId="5DD82D4C" w:rsidR="00780D5B" w:rsidRPr="00AE2F32" w:rsidRDefault="00780D5B" w:rsidP="00EB1CFE">
      <w:pPr>
        <w:jc w:val="both"/>
        <w:rPr>
          <w:sz w:val="22"/>
          <w:szCs w:val="22"/>
          <w:lang w:val="en-GB"/>
        </w:rPr>
      </w:pPr>
    </w:p>
    <w:p w14:paraId="1B248553" w14:textId="5180E111" w:rsidR="00AF1A58" w:rsidRPr="00AE2F32" w:rsidRDefault="006F7ED1" w:rsidP="00EB1CFE">
      <w:pPr>
        <w:jc w:val="both"/>
        <w:rPr>
          <w:sz w:val="22"/>
          <w:szCs w:val="22"/>
          <w:lang w:val="en-GB"/>
        </w:rPr>
      </w:pPr>
      <w:r w:rsidRPr="00AE2F32">
        <w:rPr>
          <w:sz w:val="22"/>
          <w:szCs w:val="22"/>
          <w:lang w:val="en-GB"/>
        </w:rPr>
        <w:t xml:space="preserve">On May 22, 2019, a draft amendment was registered in the Parliament, that aims to bring data protection legislation in line with the new EU regulations (GPDR) and </w:t>
      </w:r>
      <w:r w:rsidR="004712D2">
        <w:rPr>
          <w:sz w:val="22"/>
          <w:szCs w:val="22"/>
          <w:lang w:val="en-GB"/>
        </w:rPr>
        <w:t>fulfil</w:t>
      </w:r>
      <w:r w:rsidRPr="00AE2F32">
        <w:rPr>
          <w:sz w:val="22"/>
          <w:szCs w:val="22"/>
          <w:lang w:val="en-GB"/>
        </w:rPr>
        <w:t xml:space="preserve"> the obligations set out in the Association Agenda</w:t>
      </w:r>
      <w:r w:rsidR="00AF1A58" w:rsidRPr="00AE2F32">
        <w:rPr>
          <w:sz w:val="22"/>
          <w:szCs w:val="22"/>
          <w:lang w:val="en-GB"/>
        </w:rPr>
        <w:t>.</w:t>
      </w:r>
      <w:r w:rsidR="00AF1A58" w:rsidRPr="00AE2F32">
        <w:rPr>
          <w:rStyle w:val="FootnoteReference"/>
          <w:sz w:val="22"/>
          <w:szCs w:val="22"/>
          <w:lang w:val="en-GB"/>
        </w:rPr>
        <w:footnoteReference w:id="130"/>
      </w:r>
      <w:r w:rsidR="00AF1A58" w:rsidRPr="00AE2F32">
        <w:rPr>
          <w:sz w:val="22"/>
          <w:szCs w:val="22"/>
          <w:lang w:val="en-GB"/>
        </w:rPr>
        <w:t xml:space="preserve"> </w:t>
      </w:r>
      <w:r w:rsidRPr="00AE2F32">
        <w:rPr>
          <w:sz w:val="22"/>
          <w:szCs w:val="22"/>
          <w:lang w:val="en-GB"/>
        </w:rPr>
        <w:t xml:space="preserve">The draft law includes positive amendments such as clear definition of the grounds of data processing; rule of processing for special category and minor related data; realization of right to be forgotten; </w:t>
      </w:r>
      <w:r w:rsidR="00ED1680" w:rsidRPr="00AE2F32">
        <w:rPr>
          <w:sz w:val="22"/>
          <w:szCs w:val="22"/>
          <w:lang w:val="en-GB"/>
        </w:rPr>
        <w:t xml:space="preserve">data processing for direct marketing purposes only in case of subject’s consent; establishment of personal data officer at public agencies and large organizations; obligation to inform the incident to </w:t>
      </w:r>
      <w:r w:rsidR="00ED1680" w:rsidRPr="00AE2F32">
        <w:rPr>
          <w:sz w:val="22"/>
          <w:szCs w:val="22"/>
          <w:lang w:val="en-GB"/>
        </w:rPr>
        <w:lastRenderedPageBreak/>
        <w:t xml:space="preserve">state inspector; Detailed regulation by the State Inspector </w:t>
      </w:r>
      <w:r w:rsidR="008D40D6">
        <w:rPr>
          <w:sz w:val="22"/>
          <w:szCs w:val="22"/>
          <w:lang w:val="en-GB"/>
        </w:rPr>
        <w:t>on</w:t>
      </w:r>
      <w:r w:rsidR="008D40D6" w:rsidRPr="00AE2F32">
        <w:rPr>
          <w:sz w:val="22"/>
          <w:szCs w:val="22"/>
          <w:lang w:val="en-GB"/>
        </w:rPr>
        <w:t xml:space="preserve"> </w:t>
      </w:r>
      <w:r w:rsidR="00ED1680" w:rsidRPr="00AE2F32">
        <w:rPr>
          <w:sz w:val="22"/>
          <w:szCs w:val="22"/>
          <w:lang w:val="en-GB"/>
        </w:rPr>
        <w:t>case proceedings</w:t>
      </w:r>
      <w:r w:rsidR="008D40D6">
        <w:rPr>
          <w:sz w:val="22"/>
          <w:szCs w:val="22"/>
          <w:lang w:val="en-GB"/>
        </w:rPr>
        <w:t xml:space="preserve"> procedure</w:t>
      </w:r>
      <w:r w:rsidR="00ED1680" w:rsidRPr="00AE2F32">
        <w:rPr>
          <w:sz w:val="22"/>
          <w:szCs w:val="22"/>
          <w:lang w:val="en-GB"/>
        </w:rPr>
        <w:t>, review of administrative offenses and imposition of fines, etc</w:t>
      </w:r>
      <w:r w:rsidR="00AF1A58" w:rsidRPr="00AE2F32">
        <w:rPr>
          <w:sz w:val="22"/>
          <w:szCs w:val="22"/>
          <w:lang w:val="en-GB"/>
        </w:rPr>
        <w:t>.</w:t>
      </w:r>
      <w:r w:rsidR="00AF1A58" w:rsidRPr="00AE2F32">
        <w:rPr>
          <w:rStyle w:val="FootnoteReference"/>
          <w:sz w:val="22"/>
          <w:szCs w:val="22"/>
          <w:lang w:val="en-GB"/>
        </w:rPr>
        <w:footnoteReference w:id="131"/>
      </w:r>
      <w:r w:rsidR="00AF1A58" w:rsidRPr="00AE2F32">
        <w:rPr>
          <w:sz w:val="22"/>
          <w:szCs w:val="22"/>
          <w:lang w:val="en-GB"/>
        </w:rPr>
        <w:t xml:space="preserve">  </w:t>
      </w:r>
    </w:p>
    <w:p w14:paraId="0C636C04" w14:textId="5D0B4FFA" w:rsidR="00E210AB" w:rsidRPr="00AE2F32" w:rsidRDefault="00E210AB" w:rsidP="00EB1CFE">
      <w:pPr>
        <w:jc w:val="both"/>
        <w:rPr>
          <w:sz w:val="22"/>
          <w:szCs w:val="22"/>
          <w:lang w:val="en-GB"/>
        </w:rPr>
      </w:pPr>
    </w:p>
    <w:p w14:paraId="631B7F44" w14:textId="3126A2DA" w:rsidR="00AF1A58" w:rsidRPr="00AE2F32" w:rsidRDefault="00ED1680" w:rsidP="00EB1CFE">
      <w:pPr>
        <w:jc w:val="both"/>
        <w:rPr>
          <w:sz w:val="22"/>
          <w:szCs w:val="22"/>
          <w:lang w:val="en-GB"/>
        </w:rPr>
      </w:pPr>
      <w:r w:rsidRPr="00AE2F32">
        <w:rPr>
          <w:sz w:val="22"/>
          <w:szCs w:val="22"/>
          <w:lang w:val="en-GB"/>
        </w:rPr>
        <w:t xml:space="preserve">Despite the positive changes, </w:t>
      </w:r>
      <w:r w:rsidR="004712D2">
        <w:rPr>
          <w:sz w:val="22"/>
          <w:szCs w:val="22"/>
          <w:lang w:val="en-GB"/>
        </w:rPr>
        <w:t>some problematic issues in the draft law need</w:t>
      </w:r>
      <w:r w:rsidRPr="00AE2F32">
        <w:rPr>
          <w:sz w:val="22"/>
          <w:szCs w:val="22"/>
          <w:lang w:val="en-GB"/>
        </w:rPr>
        <w:t xml:space="preserve"> to be improved, including the scope of audio monitoring; Terms of storage of electronic communications identification data, etc. </w:t>
      </w:r>
      <w:r w:rsidR="008A0F91" w:rsidRPr="00AE2F32">
        <w:rPr>
          <w:sz w:val="22"/>
          <w:szCs w:val="22"/>
          <w:lang w:val="en-GB"/>
        </w:rPr>
        <w:t xml:space="preserve">Despite the need for the above-mentioned amendments, the discussion has been suspended for unknown reasons, which </w:t>
      </w:r>
      <w:r w:rsidR="004712D2">
        <w:rPr>
          <w:sz w:val="22"/>
          <w:szCs w:val="22"/>
          <w:lang w:val="en-GB"/>
        </w:rPr>
        <w:t>harms</w:t>
      </w:r>
      <w:r w:rsidR="008A0F91" w:rsidRPr="00AE2F32">
        <w:rPr>
          <w:sz w:val="22"/>
          <w:szCs w:val="22"/>
          <w:lang w:val="en-GB"/>
        </w:rPr>
        <w:t xml:space="preserve"> the state of personal data protection in Georgia</w:t>
      </w:r>
      <w:r w:rsidR="00AF1A58" w:rsidRPr="00AE2F32">
        <w:rPr>
          <w:sz w:val="22"/>
          <w:szCs w:val="22"/>
          <w:lang w:val="en-GB"/>
        </w:rPr>
        <w:t>.</w:t>
      </w:r>
      <w:r w:rsidR="00AF1A58" w:rsidRPr="00AE2F32">
        <w:rPr>
          <w:rStyle w:val="FootnoteReference"/>
          <w:sz w:val="22"/>
          <w:szCs w:val="22"/>
          <w:lang w:val="en-GB"/>
        </w:rPr>
        <w:footnoteReference w:id="132"/>
      </w:r>
    </w:p>
    <w:p w14:paraId="1E2FB797" w14:textId="77777777" w:rsidR="00E210AB" w:rsidRPr="00AE2F32" w:rsidRDefault="00E210AB" w:rsidP="00EB1CFE">
      <w:pPr>
        <w:jc w:val="both"/>
        <w:rPr>
          <w:sz w:val="22"/>
          <w:szCs w:val="22"/>
          <w:lang w:val="en-GB"/>
        </w:rPr>
      </w:pPr>
    </w:p>
    <w:p w14:paraId="30EE43CC" w14:textId="34D4EA02" w:rsidR="00AF1A58" w:rsidRPr="00AE2F32" w:rsidRDefault="004712D2" w:rsidP="00EB1CFE">
      <w:pPr>
        <w:jc w:val="both"/>
        <w:rPr>
          <w:sz w:val="22"/>
          <w:szCs w:val="22"/>
          <w:lang w:val="en-GB"/>
        </w:rPr>
      </w:pPr>
      <w:r>
        <w:rPr>
          <w:sz w:val="22"/>
          <w:szCs w:val="22"/>
          <w:lang w:val="en-GB"/>
        </w:rPr>
        <w:t>A</w:t>
      </w:r>
      <w:r w:rsidR="008D40D6">
        <w:rPr>
          <w:sz w:val="22"/>
          <w:szCs w:val="22"/>
          <w:lang w:val="en-GB"/>
        </w:rPr>
        <w:t xml:space="preserve"> </w:t>
      </w:r>
      <w:r w:rsidR="008A0F91" w:rsidRPr="00AE2F32">
        <w:rPr>
          <w:sz w:val="22"/>
          <w:szCs w:val="22"/>
          <w:lang w:val="en-GB"/>
        </w:rPr>
        <w:t>large number of public institutions and private companies still ignore the importance of personal data protection. The situation is confirmed by the 2019 report of the State Inspector, which states that electronic programs introduced in the public sector do not take appropriate measures to protect personal data, in particular, do not record facts of access and viewing of data, do not record the history of information retrieved by users.</w:t>
      </w:r>
      <w:r w:rsidR="008A0F91" w:rsidRPr="00AE2F32">
        <w:rPr>
          <w:sz w:val="22"/>
          <w:szCs w:val="22"/>
        </w:rPr>
        <w:t xml:space="preserve"> </w:t>
      </w:r>
      <w:r w:rsidR="008A0F91" w:rsidRPr="00AE2F32">
        <w:rPr>
          <w:sz w:val="22"/>
          <w:szCs w:val="22"/>
          <w:lang w:val="en-GB"/>
        </w:rPr>
        <w:t>Problems exist in terms of</w:t>
      </w:r>
      <w:r w:rsidR="008D40D6">
        <w:rPr>
          <w:sz w:val="22"/>
          <w:szCs w:val="22"/>
          <w:lang w:val="en-GB"/>
        </w:rPr>
        <w:t xml:space="preserve"> minors’</w:t>
      </w:r>
      <w:r w:rsidR="008A0F91" w:rsidRPr="00AE2F32">
        <w:rPr>
          <w:sz w:val="22"/>
          <w:szCs w:val="22"/>
          <w:lang w:val="en-GB"/>
        </w:rPr>
        <w:t xml:space="preserve"> data processing or processing of special categories data in the field of healthcare.</w:t>
      </w:r>
      <w:r w:rsidR="00AF1A58" w:rsidRPr="00AE2F32">
        <w:rPr>
          <w:rStyle w:val="FootnoteReference"/>
          <w:sz w:val="22"/>
          <w:szCs w:val="22"/>
          <w:lang w:val="en-GB"/>
        </w:rPr>
        <w:footnoteReference w:id="133"/>
      </w:r>
    </w:p>
    <w:p w14:paraId="6D23DB43" w14:textId="4CCC5864" w:rsidR="00E210AB" w:rsidRPr="00AE2F32" w:rsidRDefault="00E210AB" w:rsidP="00551C4C">
      <w:pPr>
        <w:jc w:val="both"/>
        <w:rPr>
          <w:sz w:val="22"/>
          <w:szCs w:val="22"/>
          <w:lang w:val="en-GB"/>
        </w:rPr>
      </w:pPr>
    </w:p>
    <w:p w14:paraId="5667E458" w14:textId="7B0A9B45" w:rsidR="008A0F91" w:rsidRPr="00AE2F32" w:rsidRDefault="008A0F91" w:rsidP="00551C4C">
      <w:pPr>
        <w:jc w:val="both"/>
        <w:rPr>
          <w:i/>
          <w:iCs/>
          <w:sz w:val="22"/>
          <w:szCs w:val="22"/>
          <w:u w:val="single"/>
          <w:lang w:val="en-GB"/>
        </w:rPr>
      </w:pPr>
      <w:r w:rsidRPr="00AE2F32">
        <w:rPr>
          <w:i/>
          <w:iCs/>
          <w:sz w:val="22"/>
          <w:szCs w:val="22"/>
          <w:u w:val="single"/>
          <w:lang w:val="en-GB"/>
        </w:rPr>
        <w:t>Problematic amendments to the Law on Information Security</w:t>
      </w:r>
    </w:p>
    <w:p w14:paraId="72588369" w14:textId="77777777" w:rsidR="0003180B" w:rsidRPr="00AE2F32" w:rsidRDefault="0003180B" w:rsidP="00EB1CFE">
      <w:pPr>
        <w:jc w:val="both"/>
        <w:rPr>
          <w:b/>
          <w:sz w:val="22"/>
          <w:szCs w:val="22"/>
          <w:u w:val="single"/>
          <w:lang w:val="en-GB"/>
        </w:rPr>
      </w:pPr>
    </w:p>
    <w:p w14:paraId="3CADF5E3" w14:textId="581918D0" w:rsidR="00FA4C7B" w:rsidRPr="00AE2F32" w:rsidRDefault="00FA4C7B" w:rsidP="00EB1CFE">
      <w:pPr>
        <w:jc w:val="both"/>
        <w:rPr>
          <w:sz w:val="22"/>
          <w:szCs w:val="22"/>
          <w:lang w:val="en-GB"/>
        </w:rPr>
      </w:pPr>
      <w:r w:rsidRPr="00AE2F32">
        <w:rPr>
          <w:sz w:val="22"/>
          <w:szCs w:val="22"/>
          <w:lang w:val="en-GB"/>
        </w:rPr>
        <w:t xml:space="preserve">The Parliament of Georgia is considering the draft law on amendments to the Law of Georgia on Information Security. The draft law contains the risk of total control over information systems and personal or commercial information stored in them and is contrary to the Constitution of Georgia and international obligations. </w:t>
      </w:r>
    </w:p>
    <w:p w14:paraId="12D10FE0" w14:textId="63A41310" w:rsidR="0003180B" w:rsidRPr="00AE2F32" w:rsidRDefault="0003180B" w:rsidP="00EB1CFE">
      <w:pPr>
        <w:jc w:val="both"/>
        <w:rPr>
          <w:sz w:val="22"/>
          <w:szCs w:val="22"/>
          <w:lang w:val="en-GB"/>
        </w:rPr>
      </w:pPr>
    </w:p>
    <w:p w14:paraId="306058B2" w14:textId="67220DAA" w:rsidR="00AF1A58" w:rsidRPr="00AE2F32" w:rsidRDefault="00FA4C7B" w:rsidP="00EB1CFE">
      <w:pPr>
        <w:jc w:val="both"/>
        <w:rPr>
          <w:sz w:val="22"/>
          <w:szCs w:val="22"/>
          <w:lang w:val="en-GB"/>
        </w:rPr>
      </w:pPr>
      <w:r w:rsidRPr="00AE2F32">
        <w:rPr>
          <w:sz w:val="22"/>
          <w:szCs w:val="22"/>
          <w:lang w:val="en-GB"/>
        </w:rPr>
        <w:t>In particular, Operational-Technical Agency (Agency) the State Security Service will have direct access to the information systems of the legislative, executive or judicial authorities, individual public agencies, including Central Election Commission, as well as the National Bank and the telecommunications sector, and therefore indirect access to protected personal and commercial information.</w:t>
      </w:r>
      <w:r w:rsidRPr="00AE2F32">
        <w:rPr>
          <w:b/>
          <w:bCs/>
          <w:sz w:val="22"/>
          <w:szCs w:val="22"/>
          <w:lang w:val="en-GB"/>
        </w:rPr>
        <w:t xml:space="preserve"> </w:t>
      </w:r>
      <w:r w:rsidRPr="00AE2F32">
        <w:rPr>
          <w:sz w:val="22"/>
          <w:szCs w:val="22"/>
          <w:lang w:val="en-GB"/>
        </w:rPr>
        <w:t xml:space="preserve">The draft law creates the possibility of processing personal data without </w:t>
      </w:r>
      <w:r w:rsidR="004712D2">
        <w:rPr>
          <w:sz w:val="22"/>
          <w:szCs w:val="22"/>
          <w:lang w:val="en-GB"/>
        </w:rPr>
        <w:t xml:space="preserve">the </w:t>
      </w:r>
      <w:r w:rsidR="005D7889" w:rsidRPr="00AE2F32">
        <w:rPr>
          <w:sz w:val="22"/>
          <w:szCs w:val="22"/>
          <w:lang w:val="en-GB"/>
        </w:rPr>
        <w:t>Court’s</w:t>
      </w:r>
      <w:r w:rsidRPr="00AE2F32">
        <w:rPr>
          <w:sz w:val="22"/>
          <w:szCs w:val="22"/>
          <w:lang w:val="en-GB"/>
        </w:rPr>
        <w:t xml:space="preserve"> permission, while the ambiguity of the norms poses a real danger of illegal and disproportionate processing of personal data.</w:t>
      </w:r>
      <w:r w:rsidR="005D7889" w:rsidRPr="00AE2F32">
        <w:rPr>
          <w:sz w:val="22"/>
          <w:szCs w:val="22"/>
        </w:rPr>
        <w:t xml:space="preserve"> </w:t>
      </w:r>
      <w:r w:rsidR="005D7889" w:rsidRPr="00AE2F32">
        <w:rPr>
          <w:sz w:val="22"/>
          <w:szCs w:val="22"/>
          <w:lang w:val="en-GB"/>
        </w:rPr>
        <w:t>Accordingly, the draft law carries the risk of unjustified interference and surveillance in private life</w:t>
      </w:r>
      <w:r w:rsidR="00AF1A58" w:rsidRPr="00AE2F32">
        <w:rPr>
          <w:sz w:val="22"/>
          <w:szCs w:val="22"/>
          <w:lang w:val="en-GB"/>
        </w:rPr>
        <w:t>.</w:t>
      </w:r>
      <w:r w:rsidR="00AF1A58" w:rsidRPr="00AE2F32">
        <w:rPr>
          <w:rStyle w:val="FootnoteReference"/>
          <w:sz w:val="22"/>
          <w:szCs w:val="22"/>
          <w:lang w:val="en-GB"/>
        </w:rPr>
        <w:footnoteReference w:id="134"/>
      </w:r>
      <w:r w:rsidR="00AF1A58" w:rsidRPr="00AE2F32">
        <w:rPr>
          <w:sz w:val="22"/>
          <w:szCs w:val="22"/>
          <w:lang w:val="en-GB"/>
        </w:rPr>
        <w:t xml:space="preserve"> </w:t>
      </w:r>
      <w:r w:rsidR="005D7889" w:rsidRPr="00AE2F32">
        <w:rPr>
          <w:sz w:val="22"/>
          <w:szCs w:val="22"/>
          <w:lang w:val="en-GB"/>
        </w:rPr>
        <w:t xml:space="preserve">It should also be noted that the Agency's authority to oversee secret investigative actions, which, as in the initiated </w:t>
      </w:r>
      <w:r w:rsidR="00633521" w:rsidRPr="00AE2F32">
        <w:rPr>
          <w:sz w:val="22"/>
          <w:szCs w:val="22"/>
          <w:lang w:val="en-GB"/>
        </w:rPr>
        <w:t>draft law</w:t>
      </w:r>
      <w:r w:rsidR="005D7889" w:rsidRPr="00AE2F32">
        <w:rPr>
          <w:sz w:val="22"/>
          <w:szCs w:val="22"/>
          <w:lang w:val="en-GB"/>
        </w:rPr>
        <w:t>, allows for unjustified interference in private life, has been challenged in the Constitutional Court by hundreds of citizens.</w:t>
      </w:r>
      <w:r w:rsidR="00AF1A58" w:rsidRPr="00AE2F32">
        <w:rPr>
          <w:rStyle w:val="FootnoteReference"/>
          <w:sz w:val="22"/>
          <w:szCs w:val="22"/>
          <w:lang w:val="en-GB"/>
        </w:rPr>
        <w:footnoteReference w:id="135"/>
      </w:r>
    </w:p>
    <w:p w14:paraId="2B56F4D2" w14:textId="77777777" w:rsidR="0003180B" w:rsidRPr="00AE2F32" w:rsidRDefault="0003180B" w:rsidP="00EB1CFE">
      <w:pPr>
        <w:jc w:val="both"/>
        <w:rPr>
          <w:sz w:val="22"/>
          <w:szCs w:val="22"/>
          <w:lang w:val="en-GB"/>
        </w:rPr>
      </w:pPr>
    </w:p>
    <w:p w14:paraId="7B376CF7" w14:textId="2507D5A4" w:rsidR="00AF1A58" w:rsidRPr="00AE2F32" w:rsidRDefault="005D7889" w:rsidP="00EB1CFE">
      <w:pPr>
        <w:jc w:val="both"/>
        <w:rPr>
          <w:sz w:val="22"/>
          <w:szCs w:val="22"/>
          <w:lang w:val="en-GB"/>
        </w:rPr>
      </w:pPr>
      <w:r w:rsidRPr="00AE2F32">
        <w:rPr>
          <w:sz w:val="22"/>
          <w:szCs w:val="22"/>
          <w:lang w:val="en-GB"/>
        </w:rPr>
        <w:t xml:space="preserve">The draft law does not comply with </w:t>
      </w:r>
      <w:r w:rsidR="004712D2">
        <w:rPr>
          <w:sz w:val="22"/>
          <w:szCs w:val="22"/>
          <w:lang w:val="en-GB"/>
        </w:rPr>
        <w:t>several</w:t>
      </w:r>
      <w:r w:rsidRPr="00AE2F32">
        <w:rPr>
          <w:sz w:val="22"/>
          <w:szCs w:val="22"/>
          <w:lang w:val="en-GB"/>
        </w:rPr>
        <w:t xml:space="preserve"> principles of the European Directive on the Protection of High Standards of Network Security and Information Systems, </w:t>
      </w:r>
      <w:r w:rsidR="008D40D6">
        <w:rPr>
          <w:sz w:val="22"/>
          <w:szCs w:val="22"/>
          <w:lang w:val="en-GB"/>
        </w:rPr>
        <w:t>undertaken under</w:t>
      </w:r>
      <w:r w:rsidRPr="00AE2F32">
        <w:rPr>
          <w:sz w:val="22"/>
          <w:szCs w:val="22"/>
          <w:lang w:val="en-GB"/>
        </w:rPr>
        <w:t xml:space="preserve"> </w:t>
      </w:r>
      <w:r w:rsidR="004712D2">
        <w:rPr>
          <w:sz w:val="22"/>
          <w:szCs w:val="22"/>
          <w:lang w:val="en-GB"/>
        </w:rPr>
        <w:t xml:space="preserve">the </w:t>
      </w:r>
      <w:r w:rsidRPr="00AE2F32">
        <w:rPr>
          <w:sz w:val="22"/>
          <w:szCs w:val="22"/>
          <w:lang w:val="en-GB"/>
        </w:rPr>
        <w:t>Association Agreement</w:t>
      </w:r>
      <w:r w:rsidR="00DC6E2D">
        <w:rPr>
          <w:sz w:val="22"/>
          <w:szCs w:val="22"/>
          <w:lang w:val="en-GB"/>
        </w:rPr>
        <w:t>.  T</w:t>
      </w:r>
      <w:r w:rsidRPr="00AE2F32">
        <w:rPr>
          <w:sz w:val="22"/>
          <w:szCs w:val="22"/>
          <w:lang w:val="en-GB"/>
        </w:rPr>
        <w:t xml:space="preserve">here is no public consensus on the proposed </w:t>
      </w:r>
      <w:r w:rsidR="004051AA" w:rsidRPr="00AE2F32">
        <w:rPr>
          <w:sz w:val="22"/>
          <w:szCs w:val="22"/>
          <w:lang w:val="en-GB"/>
        </w:rPr>
        <w:t>amendments</w:t>
      </w:r>
      <w:r w:rsidRPr="00AE2F32">
        <w:rPr>
          <w:sz w:val="22"/>
          <w:szCs w:val="22"/>
          <w:lang w:val="en-GB"/>
        </w:rPr>
        <w:t xml:space="preserve"> and not all relevant committees were </w:t>
      </w:r>
      <w:r w:rsidR="004051AA" w:rsidRPr="00AE2F32">
        <w:rPr>
          <w:sz w:val="22"/>
          <w:szCs w:val="22"/>
          <w:lang w:val="en-GB"/>
        </w:rPr>
        <w:t xml:space="preserve">involved </w:t>
      </w:r>
      <w:r w:rsidRPr="00AE2F32">
        <w:rPr>
          <w:sz w:val="22"/>
          <w:szCs w:val="22"/>
          <w:lang w:val="en-GB"/>
        </w:rPr>
        <w:t>in the process of discuss</w:t>
      </w:r>
      <w:r w:rsidR="004051AA" w:rsidRPr="00AE2F32">
        <w:rPr>
          <w:sz w:val="22"/>
          <w:szCs w:val="22"/>
          <w:lang w:val="en-GB"/>
        </w:rPr>
        <w:t>ion</w:t>
      </w:r>
      <w:r w:rsidR="00AF1A58" w:rsidRPr="00AE2F32">
        <w:rPr>
          <w:sz w:val="22"/>
          <w:szCs w:val="22"/>
          <w:lang w:val="en-GB"/>
        </w:rPr>
        <w:t>.</w:t>
      </w:r>
      <w:r w:rsidR="00AF1A58" w:rsidRPr="00AE2F32">
        <w:rPr>
          <w:rStyle w:val="FootnoteReference"/>
          <w:sz w:val="22"/>
          <w:szCs w:val="22"/>
          <w:lang w:val="en-GB"/>
        </w:rPr>
        <w:footnoteReference w:id="136"/>
      </w:r>
    </w:p>
    <w:p w14:paraId="6C5C609E" w14:textId="77777777" w:rsidR="00E210AB" w:rsidRPr="00AE2F32" w:rsidRDefault="00E210AB" w:rsidP="00EB1CFE">
      <w:pPr>
        <w:jc w:val="both"/>
        <w:rPr>
          <w:sz w:val="22"/>
          <w:szCs w:val="22"/>
          <w:lang w:val="en-GB"/>
        </w:rPr>
      </w:pPr>
    </w:p>
    <w:p w14:paraId="185C4ACD" w14:textId="21D314A6" w:rsidR="00AF1A58" w:rsidRPr="00AE2F32" w:rsidRDefault="007A647A" w:rsidP="00E210AB">
      <w:pPr>
        <w:shd w:val="clear" w:color="auto" w:fill="C9C9C9" w:themeFill="accent3" w:themeFillTint="99"/>
        <w:jc w:val="both"/>
        <w:rPr>
          <w:b/>
          <w:sz w:val="22"/>
          <w:szCs w:val="22"/>
          <w:lang w:val="en-GB"/>
        </w:rPr>
      </w:pPr>
      <w:r w:rsidRPr="00AE2F32">
        <w:rPr>
          <w:b/>
          <w:sz w:val="22"/>
          <w:szCs w:val="22"/>
          <w:lang w:val="en-GB"/>
        </w:rPr>
        <w:t>Recommendations</w:t>
      </w:r>
      <w:r w:rsidR="00DC6E2D">
        <w:rPr>
          <w:b/>
          <w:sz w:val="22"/>
          <w:szCs w:val="22"/>
          <w:lang w:val="en-GB"/>
        </w:rPr>
        <w:t>;</w:t>
      </w:r>
    </w:p>
    <w:p w14:paraId="530EE9AD" w14:textId="77777777" w:rsidR="0003180B" w:rsidRPr="00AE2F32" w:rsidRDefault="0003180B" w:rsidP="00E210AB">
      <w:pPr>
        <w:shd w:val="clear" w:color="auto" w:fill="C9C9C9" w:themeFill="accent3" w:themeFillTint="99"/>
        <w:jc w:val="both"/>
        <w:rPr>
          <w:b/>
          <w:sz w:val="22"/>
          <w:szCs w:val="22"/>
          <w:lang w:val="en-GB"/>
        </w:rPr>
      </w:pPr>
    </w:p>
    <w:p w14:paraId="032F325C" w14:textId="0806FB37" w:rsidR="004051AA" w:rsidRPr="00AE2F32" w:rsidRDefault="004051AA" w:rsidP="0023502D">
      <w:pPr>
        <w:pStyle w:val="ListParagraph"/>
        <w:numPr>
          <w:ilvl w:val="0"/>
          <w:numId w:val="7"/>
        </w:numPr>
        <w:shd w:val="clear" w:color="auto" w:fill="C9C9C9" w:themeFill="accent3" w:themeFillTint="99"/>
        <w:jc w:val="both"/>
        <w:rPr>
          <w:sz w:val="22"/>
          <w:szCs w:val="22"/>
          <w:lang w:val="en-GB"/>
        </w:rPr>
      </w:pPr>
      <w:r w:rsidRPr="00AE2F32">
        <w:rPr>
          <w:sz w:val="22"/>
          <w:szCs w:val="22"/>
          <w:lang w:val="en-GB"/>
        </w:rPr>
        <w:lastRenderedPageBreak/>
        <w:t>Timely restore the review of the draft Law on Personal Data Protection and adopt progressive changes.</w:t>
      </w:r>
    </w:p>
    <w:p w14:paraId="0BFE4A55" w14:textId="63AB9F89" w:rsidR="004051AA" w:rsidRPr="00AE2F32" w:rsidRDefault="004051AA" w:rsidP="0023502D">
      <w:pPr>
        <w:pStyle w:val="ListParagraph"/>
        <w:numPr>
          <w:ilvl w:val="0"/>
          <w:numId w:val="7"/>
        </w:numPr>
        <w:shd w:val="clear" w:color="auto" w:fill="C9C9C9" w:themeFill="accent3" w:themeFillTint="99"/>
        <w:jc w:val="both"/>
        <w:rPr>
          <w:sz w:val="22"/>
          <w:szCs w:val="22"/>
          <w:lang w:val="en-GB"/>
        </w:rPr>
      </w:pPr>
      <w:r w:rsidRPr="00AE2F32">
        <w:rPr>
          <w:sz w:val="22"/>
          <w:szCs w:val="22"/>
          <w:lang w:val="en-GB"/>
        </w:rPr>
        <w:t>Ensure the implementation of the provisions of the Law on Personal Data Protection in practice.</w:t>
      </w:r>
    </w:p>
    <w:p w14:paraId="27AE52BF" w14:textId="3D1AE959" w:rsidR="00AF1A58" w:rsidRPr="00AE2F32" w:rsidRDefault="004051AA" w:rsidP="0023502D">
      <w:pPr>
        <w:pStyle w:val="ListParagraph"/>
        <w:numPr>
          <w:ilvl w:val="0"/>
          <w:numId w:val="8"/>
        </w:numPr>
        <w:shd w:val="clear" w:color="auto" w:fill="C9C9C9" w:themeFill="accent3" w:themeFillTint="99"/>
        <w:jc w:val="both"/>
        <w:rPr>
          <w:sz w:val="22"/>
          <w:szCs w:val="22"/>
          <w:lang w:val="en-GB"/>
        </w:rPr>
      </w:pPr>
      <w:r w:rsidRPr="00AE2F32">
        <w:rPr>
          <w:rFonts w:cs="Sylfaen"/>
          <w:sz w:val="22"/>
          <w:szCs w:val="22"/>
          <w:lang w:val="en-GB"/>
        </w:rPr>
        <w:t>Ensure amendment in information security legislation with the involvement of the general public and all stakeholders</w:t>
      </w:r>
      <w:r w:rsidR="00B6526D" w:rsidRPr="00AE2F32">
        <w:rPr>
          <w:rFonts w:cs="Sylfaen"/>
          <w:sz w:val="22"/>
          <w:szCs w:val="22"/>
          <w:lang w:val="en-GB"/>
        </w:rPr>
        <w:t xml:space="preserve">; </w:t>
      </w:r>
    </w:p>
    <w:p w14:paraId="0C2B550D" w14:textId="0E2B646E" w:rsidR="00B6526D" w:rsidRPr="00AE2F32" w:rsidRDefault="00B6526D" w:rsidP="0023502D">
      <w:pPr>
        <w:pStyle w:val="ListParagraph"/>
        <w:numPr>
          <w:ilvl w:val="0"/>
          <w:numId w:val="8"/>
        </w:numPr>
        <w:shd w:val="clear" w:color="auto" w:fill="C9C9C9" w:themeFill="accent3" w:themeFillTint="99"/>
        <w:jc w:val="both"/>
        <w:rPr>
          <w:sz w:val="22"/>
          <w:szCs w:val="22"/>
          <w:lang w:val="en-GB"/>
        </w:rPr>
      </w:pPr>
      <w:r w:rsidRPr="00AE2F32">
        <w:rPr>
          <w:sz w:val="22"/>
          <w:szCs w:val="22"/>
          <w:lang w:val="en-GB"/>
        </w:rPr>
        <w:t>Do not adopt legislation that does not comply with the Constitution of Georgia and international agreements</w:t>
      </w:r>
    </w:p>
    <w:p w14:paraId="3EB6222D" w14:textId="7E27848F" w:rsidR="007918A6" w:rsidRPr="00AE2F32" w:rsidRDefault="007918A6" w:rsidP="00EB1CFE">
      <w:pPr>
        <w:rPr>
          <w:rFonts w:eastAsia="Times New Roman" w:cs="Times New Roman"/>
          <w:b/>
          <w:bCs/>
          <w:sz w:val="22"/>
          <w:szCs w:val="22"/>
          <w:lang w:val="en-GB"/>
        </w:rPr>
      </w:pPr>
    </w:p>
    <w:p w14:paraId="4D1565AC" w14:textId="77777777" w:rsidR="0003180B" w:rsidRPr="00AE2F32" w:rsidRDefault="0003180B" w:rsidP="00EB1CFE">
      <w:pPr>
        <w:rPr>
          <w:rFonts w:eastAsia="Times New Roman" w:cs="Times New Roman"/>
          <w:b/>
          <w:bCs/>
          <w:sz w:val="22"/>
          <w:szCs w:val="22"/>
          <w:lang w:val="en-GB"/>
        </w:rPr>
      </w:pPr>
    </w:p>
    <w:p w14:paraId="607862F1" w14:textId="31C1A68E" w:rsidR="00AE2BB0" w:rsidRPr="00AE2F32" w:rsidRDefault="00B6526D" w:rsidP="0023502D">
      <w:pPr>
        <w:pStyle w:val="Heading2"/>
        <w:numPr>
          <w:ilvl w:val="0"/>
          <w:numId w:val="15"/>
        </w:numPr>
        <w:spacing w:before="0"/>
        <w:rPr>
          <w:rFonts w:asciiTheme="minorHAnsi" w:hAnsiTheme="minorHAnsi" w:cs="Sylfaen"/>
          <w:sz w:val="22"/>
          <w:szCs w:val="22"/>
          <w:lang w:val="en-GB"/>
        </w:rPr>
      </w:pPr>
      <w:bookmarkStart w:id="55" w:name="_Toc48565949"/>
      <w:r w:rsidRPr="00AE2F32">
        <w:rPr>
          <w:rFonts w:asciiTheme="minorHAnsi" w:hAnsiTheme="minorHAnsi" w:cs="Sylfaen"/>
          <w:sz w:val="22"/>
          <w:szCs w:val="22"/>
          <w:lang w:val="en-GB"/>
        </w:rPr>
        <w:t>Article</w:t>
      </w:r>
      <w:r w:rsidR="00AE2BB0" w:rsidRPr="00AE2F32">
        <w:rPr>
          <w:rFonts w:asciiTheme="minorHAnsi" w:hAnsiTheme="minorHAnsi" w:cs="Sylfaen"/>
          <w:sz w:val="22"/>
          <w:szCs w:val="22"/>
          <w:lang w:val="en-GB"/>
        </w:rPr>
        <w:t xml:space="preserve"> 18: </w:t>
      </w:r>
      <w:r w:rsidRPr="00AE2F32">
        <w:rPr>
          <w:rFonts w:asciiTheme="minorHAnsi" w:hAnsiTheme="minorHAnsi" w:cs="Sylfaen"/>
          <w:sz w:val="22"/>
          <w:szCs w:val="22"/>
          <w:lang w:val="en-GB"/>
        </w:rPr>
        <w:t>Freedom of Religion</w:t>
      </w:r>
      <w:bookmarkEnd w:id="55"/>
      <w:r w:rsidRPr="00AE2F32">
        <w:rPr>
          <w:rFonts w:asciiTheme="minorHAnsi" w:hAnsiTheme="minorHAnsi" w:cs="Sylfaen"/>
          <w:sz w:val="22"/>
          <w:szCs w:val="22"/>
          <w:lang w:val="en-GB"/>
        </w:rPr>
        <w:t xml:space="preserve"> </w:t>
      </w:r>
    </w:p>
    <w:p w14:paraId="39AA48B7" w14:textId="54B46494" w:rsidR="0061499B" w:rsidRPr="00AE2F32" w:rsidRDefault="0061499B" w:rsidP="00EB1CFE">
      <w:pPr>
        <w:rPr>
          <w:rFonts w:eastAsia="Times New Roman" w:cs="Times New Roman"/>
          <w:b/>
          <w:bCs/>
          <w:sz w:val="22"/>
          <w:szCs w:val="22"/>
          <w:lang w:val="en-GB"/>
        </w:rPr>
      </w:pPr>
    </w:p>
    <w:p w14:paraId="523B7C69" w14:textId="5556EC51" w:rsidR="007859F1" w:rsidRPr="00AE2F32" w:rsidRDefault="00B6526D" w:rsidP="00EB1CFE">
      <w:pPr>
        <w:jc w:val="both"/>
        <w:rPr>
          <w:rFonts w:eastAsia="Times New Roman" w:cs="Times New Roman"/>
          <w:sz w:val="22"/>
          <w:szCs w:val="22"/>
          <w:lang w:val="en-GB"/>
        </w:rPr>
      </w:pPr>
      <w:r w:rsidRPr="00AE2F32">
        <w:rPr>
          <w:rFonts w:eastAsia="Times New Roman" w:cs="Times New Roman"/>
          <w:sz w:val="22"/>
          <w:szCs w:val="22"/>
          <w:lang w:val="en-GB"/>
        </w:rPr>
        <w:t>The freedom of religion has not improved in the reporting period. Frequently, religious minorities are seen from security perspectives, whi</w:t>
      </w:r>
      <w:r w:rsidR="00AF6CED" w:rsidRPr="00AE2F32">
        <w:rPr>
          <w:rFonts w:eastAsia="Times New Roman" w:cs="Times New Roman"/>
          <w:sz w:val="22"/>
          <w:szCs w:val="22"/>
          <w:lang w:val="en-GB"/>
        </w:rPr>
        <w:t>ch is visible in the controlling practices and interference in religious activities</w:t>
      </w:r>
      <w:r w:rsidR="007859F1" w:rsidRPr="00AE2F32">
        <w:rPr>
          <w:rFonts w:eastAsia="Times New Roman" w:cs="Times New Roman"/>
          <w:sz w:val="22"/>
          <w:szCs w:val="22"/>
          <w:lang w:val="en-GB"/>
        </w:rPr>
        <w:t>.</w:t>
      </w:r>
      <w:r w:rsidR="003B481F" w:rsidRPr="00AE2F32">
        <w:rPr>
          <w:rStyle w:val="FootnoteReference"/>
          <w:rFonts w:eastAsia="Times New Roman" w:cs="Times New Roman"/>
          <w:sz w:val="22"/>
          <w:szCs w:val="22"/>
          <w:lang w:val="en-GB"/>
        </w:rPr>
        <w:footnoteReference w:id="137"/>
      </w:r>
      <w:r w:rsidR="007859F1" w:rsidRPr="00AE2F32">
        <w:rPr>
          <w:rFonts w:eastAsia="Times New Roman" w:cs="Times New Roman"/>
          <w:sz w:val="22"/>
          <w:szCs w:val="22"/>
          <w:lang w:val="en-GB"/>
        </w:rPr>
        <w:t xml:space="preserve"> </w:t>
      </w:r>
    </w:p>
    <w:p w14:paraId="586ACF2C" w14:textId="6EC406AB" w:rsidR="000D4EDC" w:rsidRPr="00AE2F32" w:rsidRDefault="000D4EDC" w:rsidP="00EB1CFE">
      <w:pPr>
        <w:jc w:val="both"/>
        <w:rPr>
          <w:rFonts w:eastAsia="Times New Roman" w:cs="Times New Roman"/>
          <w:sz w:val="22"/>
          <w:szCs w:val="22"/>
          <w:lang w:val="en-GB"/>
        </w:rPr>
      </w:pPr>
    </w:p>
    <w:p w14:paraId="149ABE4D" w14:textId="389BBEAF" w:rsidR="000D4EDC" w:rsidRPr="00AE2F32" w:rsidRDefault="00AF6CED" w:rsidP="00630E4B">
      <w:pPr>
        <w:jc w:val="both"/>
        <w:rPr>
          <w:rFonts w:eastAsia="Times New Roman" w:cs="Times New Roman"/>
          <w:sz w:val="22"/>
          <w:szCs w:val="22"/>
          <w:lang w:val="en-GB"/>
        </w:rPr>
      </w:pPr>
      <w:r w:rsidRPr="00AE2F32">
        <w:rPr>
          <w:rFonts w:eastAsia="Times New Roman" w:cs="Times New Roman"/>
          <w:sz w:val="22"/>
          <w:szCs w:val="22"/>
          <w:lang w:val="en-GB"/>
        </w:rPr>
        <w:t>The legislative system and administrative practice are asymmetric, and it imposes a number of preferences only to the Orthodox Church.</w:t>
      </w:r>
      <w:r w:rsidR="00BB60F8" w:rsidRPr="00AE2F32">
        <w:rPr>
          <w:rFonts w:eastAsia="Times New Roman" w:cs="Times New Roman"/>
          <w:sz w:val="22"/>
          <w:szCs w:val="22"/>
          <w:lang w:val="en-GB"/>
        </w:rPr>
        <w:t xml:space="preserve"> </w:t>
      </w:r>
      <w:r w:rsidR="00D00499">
        <w:rPr>
          <w:rFonts w:eastAsia="Times New Roman" w:cs="Times New Roman"/>
          <w:sz w:val="22"/>
          <w:szCs w:val="22"/>
          <w:lang w:val="en-GB"/>
        </w:rPr>
        <w:t xml:space="preserve">The </w:t>
      </w:r>
      <w:r w:rsidR="00340E64" w:rsidRPr="00AE2F32">
        <w:rPr>
          <w:rFonts w:eastAsia="Times New Roman" w:cs="Times New Roman"/>
          <w:sz w:val="22"/>
          <w:szCs w:val="22"/>
          <w:lang w:val="en-GB"/>
        </w:rPr>
        <w:t xml:space="preserve">state </w:t>
      </w:r>
      <w:r w:rsidR="00340E64" w:rsidRPr="00AE2F32">
        <w:rPr>
          <w:rFonts w:eastAsia="Times New Roman" w:cs="Times New Roman"/>
          <w:sz w:val="22"/>
          <w:szCs w:val="22"/>
        </w:rPr>
        <w:t>had not</w:t>
      </w:r>
      <w:r w:rsidR="00340E64" w:rsidRPr="00AE2F32">
        <w:rPr>
          <w:rFonts w:eastAsia="Times New Roman" w:cs="Times New Roman"/>
          <w:sz w:val="22"/>
          <w:szCs w:val="22"/>
          <w:lang w:val="en-GB"/>
        </w:rPr>
        <w:t xml:space="preserve"> </w:t>
      </w:r>
      <w:r w:rsidR="00D00499">
        <w:rPr>
          <w:rFonts w:eastAsia="Times New Roman" w:cs="Times New Roman"/>
          <w:sz w:val="22"/>
          <w:szCs w:val="22"/>
          <w:lang w:val="en-GB"/>
        </w:rPr>
        <w:t>regulated</w:t>
      </w:r>
      <w:r w:rsidR="00D00499" w:rsidRPr="00AE2F32">
        <w:rPr>
          <w:rFonts w:eastAsia="Times New Roman" w:cs="Times New Roman"/>
          <w:sz w:val="22"/>
          <w:szCs w:val="22"/>
          <w:lang w:val="en-GB"/>
        </w:rPr>
        <w:t xml:space="preserve"> </w:t>
      </w:r>
      <w:r w:rsidR="00340E64" w:rsidRPr="00AE2F32">
        <w:rPr>
          <w:rFonts w:eastAsia="Times New Roman" w:cs="Times New Roman"/>
          <w:sz w:val="22"/>
          <w:szCs w:val="22"/>
          <w:lang w:val="en-GB"/>
        </w:rPr>
        <w:t>relations with religious communities</w:t>
      </w:r>
      <w:r w:rsidR="00D00499">
        <w:rPr>
          <w:rFonts w:eastAsia="Times New Roman" w:cs="Times New Roman"/>
          <w:sz w:val="22"/>
          <w:szCs w:val="22"/>
          <w:lang w:val="en-GB"/>
        </w:rPr>
        <w:t xml:space="preserve"> apart from </w:t>
      </w:r>
      <w:r w:rsidR="004712D2">
        <w:rPr>
          <w:rFonts w:eastAsia="Times New Roman" w:cs="Times New Roman"/>
          <w:sz w:val="22"/>
          <w:szCs w:val="22"/>
          <w:lang w:val="en-GB"/>
        </w:rPr>
        <w:t xml:space="preserve">the </w:t>
      </w:r>
      <w:r w:rsidR="00D00499">
        <w:rPr>
          <w:rFonts w:eastAsia="Times New Roman" w:cs="Times New Roman"/>
          <w:sz w:val="22"/>
          <w:szCs w:val="22"/>
          <w:lang w:val="en-GB"/>
        </w:rPr>
        <w:t>Orthodox Church</w:t>
      </w:r>
      <w:r w:rsidR="00340E64" w:rsidRPr="00AE2F32">
        <w:rPr>
          <w:rFonts w:eastAsia="Times New Roman" w:cs="Times New Roman"/>
          <w:sz w:val="22"/>
          <w:szCs w:val="22"/>
          <w:lang w:val="en-GB"/>
        </w:rPr>
        <w:t>,</w:t>
      </w:r>
      <w:r w:rsidR="00DC6E2D" w:rsidRPr="00AE2F32">
        <w:rPr>
          <w:rStyle w:val="FootnoteReference"/>
          <w:rFonts w:eastAsia="Times New Roman" w:cs="Times New Roman"/>
          <w:sz w:val="22"/>
          <w:szCs w:val="22"/>
          <w:lang w:val="en-GB"/>
        </w:rPr>
        <w:footnoteReference w:id="138"/>
      </w:r>
      <w:r w:rsidR="00340E64" w:rsidRPr="00AE2F32">
        <w:rPr>
          <w:rFonts w:eastAsia="Times New Roman" w:cs="Times New Roman"/>
          <w:sz w:val="22"/>
          <w:szCs w:val="22"/>
          <w:lang w:val="en-GB"/>
        </w:rPr>
        <w:t xml:space="preserve"> nor </w:t>
      </w:r>
      <w:r w:rsidR="00B41FE0" w:rsidRPr="00AE2F32">
        <w:rPr>
          <w:rFonts w:eastAsia="Times New Roman" w:cs="Times New Roman"/>
          <w:sz w:val="22"/>
          <w:szCs w:val="22"/>
          <w:lang w:val="en-GB"/>
        </w:rPr>
        <w:t>tried</w:t>
      </w:r>
      <w:r w:rsidR="00340E64" w:rsidRPr="00AE2F32">
        <w:rPr>
          <w:rFonts w:eastAsia="Times New Roman" w:cs="Times New Roman"/>
          <w:sz w:val="22"/>
          <w:szCs w:val="22"/>
          <w:lang w:val="en-GB"/>
        </w:rPr>
        <w:t xml:space="preserve"> to eliminate legal loopholes and discrimination, this created a sharply unequal environment for minorities.</w:t>
      </w:r>
      <w:r w:rsidR="00340E64" w:rsidRPr="00AE2F32">
        <w:rPr>
          <w:rFonts w:eastAsia="Times New Roman" w:cs="Times New Roman"/>
          <w:sz w:val="22"/>
          <w:szCs w:val="22"/>
          <w:lang w:val="ka-GE"/>
        </w:rPr>
        <w:t xml:space="preserve"> </w:t>
      </w:r>
    </w:p>
    <w:p w14:paraId="3C5763B3" w14:textId="6F2E647E" w:rsidR="007859F1" w:rsidRPr="00AE2F32" w:rsidRDefault="007859F1" w:rsidP="00EB1CFE">
      <w:pPr>
        <w:jc w:val="both"/>
        <w:rPr>
          <w:rFonts w:eastAsia="Times New Roman" w:cs="Times New Roman"/>
          <w:sz w:val="22"/>
          <w:szCs w:val="22"/>
          <w:lang w:val="en-GB"/>
        </w:rPr>
      </w:pPr>
    </w:p>
    <w:p w14:paraId="2FF5C8DA" w14:textId="228435B7" w:rsidR="00C933B5" w:rsidRPr="00AE2F32" w:rsidRDefault="00630E4B" w:rsidP="00EB1CFE">
      <w:pPr>
        <w:jc w:val="both"/>
        <w:rPr>
          <w:rFonts w:eastAsia="Times New Roman" w:cs="Times New Roman"/>
          <w:sz w:val="22"/>
          <w:szCs w:val="22"/>
          <w:lang w:val="en-GB"/>
        </w:rPr>
      </w:pPr>
      <w:r w:rsidRPr="00AE2F32">
        <w:rPr>
          <w:rFonts w:eastAsia="Times New Roman" w:cs="Times New Roman"/>
          <w:sz w:val="22"/>
          <w:szCs w:val="22"/>
          <w:lang w:val="en-GB"/>
        </w:rPr>
        <w:t xml:space="preserve">In 2014, the State Agency </w:t>
      </w:r>
      <w:r w:rsidR="00631CC2" w:rsidRPr="00AE2F32">
        <w:rPr>
          <w:rFonts w:eastAsia="Times New Roman" w:cs="Times New Roman"/>
          <w:sz w:val="22"/>
          <w:szCs w:val="22"/>
          <w:lang w:val="en-GB"/>
        </w:rPr>
        <w:t>in</w:t>
      </w:r>
      <w:r w:rsidRPr="00AE2F32">
        <w:rPr>
          <w:rFonts w:eastAsia="Times New Roman" w:cs="Times New Roman"/>
          <w:sz w:val="22"/>
          <w:szCs w:val="22"/>
          <w:lang w:val="en-GB"/>
        </w:rPr>
        <w:t xml:space="preserve"> Religious Affairs</w:t>
      </w:r>
      <w:r w:rsidR="00DC6E2D">
        <w:rPr>
          <w:rFonts w:eastAsia="Times New Roman" w:cs="Times New Roman"/>
          <w:sz w:val="22"/>
          <w:szCs w:val="22"/>
          <w:lang w:val="en-GB"/>
        </w:rPr>
        <w:t xml:space="preserve"> (SARI)</w:t>
      </w:r>
      <w:r w:rsidRPr="00AE2F32">
        <w:rPr>
          <w:rFonts w:eastAsia="Times New Roman" w:cs="Times New Roman"/>
          <w:sz w:val="22"/>
          <w:szCs w:val="22"/>
          <w:lang w:val="en-GB"/>
        </w:rPr>
        <w:t xml:space="preserve"> was established under the Office of the Prime Minister, which from the beginning raised doubts about the control of religious organizations and </w:t>
      </w:r>
      <w:r w:rsidRPr="00AE2F32">
        <w:rPr>
          <w:rFonts w:eastAsia="Times New Roman" w:cs="Times New Roman"/>
          <w:sz w:val="22"/>
          <w:szCs w:val="22"/>
        </w:rPr>
        <w:t>envisioning</w:t>
      </w:r>
      <w:r w:rsidRPr="00AE2F32">
        <w:rPr>
          <w:rFonts w:eastAsia="Times New Roman" w:cs="Times New Roman"/>
          <w:sz w:val="22"/>
          <w:szCs w:val="22"/>
          <w:lang w:val="en-GB"/>
        </w:rPr>
        <w:t xml:space="preserve"> them from a security perspective. Such approaches are also reflected in the agency's draft strategy, where it openly discusses the need to strengthen the vision of religious freedom from a security perspective.</w:t>
      </w:r>
      <w:r w:rsidR="002A0A58" w:rsidRPr="00AE2F32">
        <w:rPr>
          <w:rStyle w:val="FootnoteReference"/>
          <w:rFonts w:eastAsia="Times New Roman" w:cs="Times New Roman"/>
          <w:sz w:val="22"/>
          <w:szCs w:val="22"/>
          <w:lang w:val="en-GB"/>
        </w:rPr>
        <w:footnoteReference w:id="139"/>
      </w:r>
      <w:r w:rsidR="003B481F" w:rsidRPr="00AE2F32">
        <w:rPr>
          <w:rFonts w:eastAsia="Times New Roman" w:cs="Times New Roman"/>
          <w:sz w:val="22"/>
          <w:szCs w:val="22"/>
          <w:lang w:val="en-GB"/>
        </w:rPr>
        <w:t xml:space="preserve"> </w:t>
      </w:r>
      <w:r w:rsidRPr="00AE2F32">
        <w:rPr>
          <w:rFonts w:eastAsia="Times New Roman" w:cs="Times New Roman"/>
          <w:sz w:val="22"/>
          <w:szCs w:val="22"/>
          <w:lang w:val="en-GB"/>
        </w:rPr>
        <w:t xml:space="preserve">Although the agency operates under the direct authority of the Prime Minister and must have a high resource of influence, it has not contributed to the improvement of legislation and policies regarding freedom of </w:t>
      </w:r>
      <w:r w:rsidR="004712D2">
        <w:rPr>
          <w:rFonts w:eastAsia="Times New Roman" w:cs="Times New Roman"/>
          <w:sz w:val="22"/>
          <w:szCs w:val="22"/>
          <w:lang w:val="en-GB"/>
        </w:rPr>
        <w:t>religion.</w:t>
      </w:r>
      <w:r w:rsidR="00E76065" w:rsidRPr="00AE2F32">
        <w:rPr>
          <w:rFonts w:eastAsia="Times New Roman" w:cs="Times New Roman"/>
          <w:sz w:val="22"/>
          <w:szCs w:val="22"/>
          <w:lang w:val="en-GB"/>
        </w:rPr>
        <w:t xml:space="preserve"> The Agency has not played a positive role in the process of transforming the religious conflicts in 2012-2016</w:t>
      </w:r>
      <w:r w:rsidR="00DC6E2D">
        <w:rPr>
          <w:rFonts w:eastAsia="Times New Roman" w:cs="Times New Roman"/>
          <w:sz w:val="22"/>
          <w:szCs w:val="22"/>
          <w:lang w:val="en-GB"/>
        </w:rPr>
        <w:t xml:space="preserve"> (7 </w:t>
      </w:r>
      <w:r w:rsidR="004712D2">
        <w:rPr>
          <w:rFonts w:eastAsia="Times New Roman" w:cs="Times New Roman"/>
          <w:sz w:val="22"/>
          <w:szCs w:val="22"/>
          <w:lang w:val="en-GB"/>
        </w:rPr>
        <w:t>conflicts</w:t>
      </w:r>
      <w:r w:rsidR="00DC6E2D">
        <w:rPr>
          <w:rFonts w:eastAsia="Times New Roman" w:cs="Times New Roman"/>
          <w:sz w:val="22"/>
          <w:szCs w:val="22"/>
          <w:lang w:val="en-GB"/>
        </w:rPr>
        <w:t>)</w:t>
      </w:r>
      <w:r w:rsidR="00E76065" w:rsidRPr="00AE2F32">
        <w:rPr>
          <w:rFonts w:eastAsia="Times New Roman" w:cs="Times New Roman"/>
          <w:sz w:val="22"/>
          <w:szCs w:val="22"/>
          <w:lang w:val="en-GB"/>
        </w:rPr>
        <w:t>,</w:t>
      </w:r>
      <w:r w:rsidR="00DC6E2D" w:rsidRPr="00DC6E2D">
        <w:rPr>
          <w:rStyle w:val="FootnoteReference"/>
          <w:rFonts w:eastAsia="Times New Roman" w:cs="Times New Roman"/>
          <w:sz w:val="22"/>
          <w:szCs w:val="22"/>
          <w:lang w:val="en-GB"/>
        </w:rPr>
        <w:t xml:space="preserve"> </w:t>
      </w:r>
      <w:r w:rsidR="00DC6E2D" w:rsidRPr="00AE2F32">
        <w:rPr>
          <w:rStyle w:val="FootnoteReference"/>
          <w:rFonts w:eastAsia="Times New Roman" w:cs="Times New Roman"/>
          <w:sz w:val="22"/>
          <w:szCs w:val="22"/>
          <w:lang w:val="en-GB"/>
        </w:rPr>
        <w:footnoteReference w:id="140"/>
      </w:r>
      <w:r w:rsidR="00E76065" w:rsidRPr="00AE2F32">
        <w:rPr>
          <w:rFonts w:eastAsia="Times New Roman" w:cs="Times New Roman"/>
          <w:sz w:val="22"/>
          <w:szCs w:val="22"/>
          <w:lang w:val="en-GB"/>
        </w:rPr>
        <w:t xml:space="preserve"> and the importance of special intervention in building trust and a multicultural environment is completely omitted from its activities. The main efforts of the Agency are related to the management and monitoring of the funding process of four </w:t>
      </w:r>
      <w:r w:rsidR="007012E8" w:rsidRPr="00AE2F32">
        <w:rPr>
          <w:rFonts w:eastAsia="Times New Roman" w:cs="Times New Roman"/>
          <w:sz w:val="22"/>
          <w:szCs w:val="22"/>
          <w:lang w:val="en-GB"/>
        </w:rPr>
        <w:t>religious’</w:t>
      </w:r>
      <w:r w:rsidR="00B6240D" w:rsidRPr="00AE2F32">
        <w:rPr>
          <w:rFonts w:eastAsia="Times New Roman" w:cs="Times New Roman"/>
          <w:sz w:val="22"/>
          <w:szCs w:val="22"/>
          <w:lang w:val="en-GB"/>
        </w:rPr>
        <w:t xml:space="preserve"> </w:t>
      </w:r>
      <w:r w:rsidR="00E76065" w:rsidRPr="00AE2F32">
        <w:rPr>
          <w:rFonts w:eastAsia="Times New Roman" w:cs="Times New Roman"/>
          <w:sz w:val="22"/>
          <w:szCs w:val="22"/>
          <w:lang w:val="en-GB"/>
        </w:rPr>
        <w:t>organizations, which in turn is a practice of discriminatory and non-secular funding and carries high risks of control over religious organizations.</w:t>
      </w:r>
      <w:r w:rsidR="003B481F" w:rsidRPr="00AE2F32">
        <w:rPr>
          <w:rStyle w:val="FootnoteReference"/>
          <w:rFonts w:eastAsia="Times New Roman" w:cs="Times New Roman"/>
          <w:sz w:val="22"/>
          <w:szCs w:val="22"/>
          <w:lang w:val="en-GB"/>
        </w:rPr>
        <w:footnoteReference w:id="141"/>
      </w:r>
      <w:r w:rsidR="003B481F" w:rsidRPr="00AE2F32">
        <w:rPr>
          <w:rFonts w:eastAsia="Times New Roman" w:cs="Times New Roman"/>
          <w:sz w:val="22"/>
          <w:szCs w:val="22"/>
          <w:lang w:val="en-GB"/>
        </w:rPr>
        <w:t xml:space="preserve"> </w:t>
      </w:r>
      <w:r w:rsidR="007859F1" w:rsidRPr="00AE2F32">
        <w:rPr>
          <w:rFonts w:eastAsia="Times New Roman" w:cs="Times New Roman"/>
          <w:sz w:val="22"/>
          <w:szCs w:val="22"/>
          <w:lang w:val="en-GB"/>
        </w:rPr>
        <w:t xml:space="preserve"> </w:t>
      </w:r>
    </w:p>
    <w:p w14:paraId="0C56AC5B" w14:textId="3B49652F" w:rsidR="00C933B5" w:rsidRPr="00AE2F32" w:rsidRDefault="00C933B5" w:rsidP="00EB1CFE">
      <w:pPr>
        <w:jc w:val="both"/>
        <w:rPr>
          <w:rFonts w:eastAsia="Times New Roman" w:cs="Times New Roman"/>
          <w:sz w:val="22"/>
          <w:szCs w:val="22"/>
          <w:lang w:val="en-GB"/>
        </w:rPr>
      </w:pPr>
    </w:p>
    <w:p w14:paraId="27836246" w14:textId="29F42909" w:rsidR="0061499B" w:rsidRPr="00AE2F32" w:rsidRDefault="00B6240D" w:rsidP="00EB1CFE">
      <w:pPr>
        <w:jc w:val="both"/>
        <w:rPr>
          <w:rFonts w:eastAsia="Times New Roman" w:cs="Times New Roman"/>
          <w:sz w:val="22"/>
          <w:szCs w:val="22"/>
          <w:lang w:val="en-GB"/>
        </w:rPr>
      </w:pPr>
      <w:r w:rsidRPr="00AE2F32">
        <w:rPr>
          <w:rFonts w:eastAsia="Times New Roman" w:cs="Times New Roman"/>
          <w:sz w:val="22"/>
          <w:szCs w:val="22"/>
          <w:lang w:val="en-GB"/>
        </w:rPr>
        <w:t xml:space="preserve">Despite the Committee’s final recommendations (paragraph 18) within the fourth cycle, the Georgian authorities still failed to develop restitution policies and legislation. </w:t>
      </w:r>
      <w:r w:rsidR="004712D2">
        <w:rPr>
          <w:rFonts w:eastAsia="Times New Roman" w:cs="Times New Roman"/>
          <w:sz w:val="22"/>
          <w:szCs w:val="22"/>
          <w:lang w:val="en-GB"/>
        </w:rPr>
        <w:t>The restitution</w:t>
      </w:r>
      <w:r w:rsidRPr="00AE2F32">
        <w:rPr>
          <w:rFonts w:eastAsia="Times New Roman" w:cs="Times New Roman"/>
          <w:sz w:val="22"/>
          <w:szCs w:val="22"/>
          <w:lang w:val="en-GB"/>
        </w:rPr>
        <w:t xml:space="preserve"> process is discriminatory towards religious groups,</w:t>
      </w:r>
      <w:r w:rsidR="00B107D0" w:rsidRPr="00AE2F32">
        <w:rPr>
          <w:rStyle w:val="FootnoteReference"/>
          <w:rFonts w:eastAsia="Times New Roman" w:cs="Times New Roman"/>
          <w:sz w:val="22"/>
          <w:szCs w:val="22"/>
          <w:lang w:val="en-GB"/>
        </w:rPr>
        <w:footnoteReference w:id="142"/>
      </w:r>
      <w:r w:rsidR="00B107D0" w:rsidRPr="00AE2F32">
        <w:rPr>
          <w:rFonts w:eastAsia="Times New Roman" w:cs="Times New Roman"/>
          <w:sz w:val="22"/>
          <w:szCs w:val="22"/>
          <w:lang w:val="en-GB"/>
        </w:rPr>
        <w:t xml:space="preserve"> </w:t>
      </w:r>
      <w:r w:rsidRPr="00AE2F32">
        <w:rPr>
          <w:rFonts w:eastAsia="Times New Roman" w:cs="Times New Roman"/>
          <w:sz w:val="22"/>
          <w:szCs w:val="22"/>
          <w:lang w:val="en-GB"/>
        </w:rPr>
        <w:t xml:space="preserve">while </w:t>
      </w:r>
      <w:r w:rsidR="004712D2">
        <w:rPr>
          <w:rFonts w:eastAsia="Times New Roman" w:cs="Times New Roman"/>
          <w:sz w:val="22"/>
          <w:szCs w:val="22"/>
          <w:lang w:val="en-GB"/>
        </w:rPr>
        <w:t xml:space="preserve">the </w:t>
      </w:r>
      <w:r w:rsidRPr="00AE2F32">
        <w:rPr>
          <w:rFonts w:eastAsia="Times New Roman" w:cs="Times New Roman"/>
          <w:sz w:val="22"/>
          <w:szCs w:val="22"/>
          <w:lang w:val="en-GB"/>
        </w:rPr>
        <w:t xml:space="preserve">state, under </w:t>
      </w:r>
      <w:r w:rsidR="004712D2">
        <w:rPr>
          <w:rFonts w:eastAsia="Times New Roman" w:cs="Times New Roman"/>
          <w:sz w:val="22"/>
          <w:szCs w:val="22"/>
          <w:lang w:val="en-GB"/>
        </w:rPr>
        <w:t xml:space="preserve">a </w:t>
      </w:r>
      <w:r w:rsidRPr="00AE2F32">
        <w:rPr>
          <w:rFonts w:eastAsia="Times New Roman" w:cs="Times New Roman"/>
          <w:sz w:val="22"/>
          <w:szCs w:val="22"/>
          <w:lang w:val="en-GB"/>
        </w:rPr>
        <w:t xml:space="preserve">special agreement with </w:t>
      </w:r>
      <w:r w:rsidR="00222E8B">
        <w:rPr>
          <w:rFonts w:eastAsia="Times New Roman" w:cs="Times New Roman"/>
          <w:sz w:val="22"/>
          <w:szCs w:val="22"/>
          <w:lang w:val="en-GB"/>
        </w:rPr>
        <w:t xml:space="preserve">the </w:t>
      </w:r>
      <w:r w:rsidRPr="00AE2F32">
        <w:rPr>
          <w:rFonts w:eastAsia="Times New Roman" w:cs="Times New Roman"/>
          <w:sz w:val="22"/>
          <w:szCs w:val="22"/>
          <w:lang w:val="en-GB"/>
        </w:rPr>
        <w:t xml:space="preserve">Orthodox Church </w:t>
      </w:r>
      <w:r w:rsidR="00B107D0" w:rsidRPr="00AE2F32">
        <w:rPr>
          <w:rFonts w:eastAsia="Times New Roman" w:cs="Times New Roman"/>
          <w:sz w:val="22"/>
          <w:szCs w:val="22"/>
          <w:lang w:val="en-GB"/>
        </w:rPr>
        <w:t xml:space="preserve">recognized their right to the churches and monasteries confiscated during USSR. </w:t>
      </w:r>
      <w:r w:rsidR="00631CC2" w:rsidRPr="00AE2F32">
        <w:rPr>
          <w:rFonts w:eastAsia="Times New Roman" w:cs="Times New Roman"/>
          <w:sz w:val="22"/>
          <w:szCs w:val="22"/>
          <w:lang w:val="en-GB"/>
        </w:rPr>
        <w:t xml:space="preserve">Separate historical religious monuments occupied by the Orthodox Church are still disputed with a number of denominations (5 Catholic Churches and several Armenian Churches). It should be noted that in 2014, a religious conflict was revealed on this ground over the dismantling of a historic mosque in the village of </w:t>
      </w:r>
      <w:proofErr w:type="spellStart"/>
      <w:r w:rsidR="00631CC2" w:rsidRPr="00AE2F32">
        <w:rPr>
          <w:rFonts w:eastAsia="Times New Roman" w:cs="Times New Roman"/>
          <w:sz w:val="22"/>
          <w:szCs w:val="22"/>
          <w:lang w:val="en-GB"/>
        </w:rPr>
        <w:lastRenderedPageBreak/>
        <w:t>Mokhe</w:t>
      </w:r>
      <w:proofErr w:type="spellEnd"/>
      <w:r w:rsidR="00631CC2" w:rsidRPr="00AE2F32">
        <w:rPr>
          <w:rFonts w:eastAsia="Times New Roman" w:cs="Times New Roman"/>
          <w:sz w:val="22"/>
          <w:szCs w:val="22"/>
          <w:lang w:val="en-GB"/>
        </w:rPr>
        <w:t>, which was followed by heavy police beatings and arrests of local Muslims during a spontaneous rally. The case is being heard at the E</w:t>
      </w:r>
      <w:r w:rsidR="00D00499">
        <w:rPr>
          <w:rFonts w:eastAsia="Times New Roman" w:cs="Times New Roman"/>
          <w:sz w:val="22"/>
          <w:szCs w:val="22"/>
          <w:lang w:val="en-GB"/>
        </w:rPr>
        <w:t>CHR</w:t>
      </w:r>
      <w:r w:rsidR="00B0291E">
        <w:rPr>
          <w:rFonts w:eastAsia="Times New Roman" w:cs="Times New Roman"/>
          <w:sz w:val="22"/>
          <w:szCs w:val="22"/>
          <w:lang w:val="en-GB"/>
        </w:rPr>
        <w:t xml:space="preserve">. </w:t>
      </w:r>
    </w:p>
    <w:p w14:paraId="71017943" w14:textId="77777777" w:rsidR="00437044" w:rsidRPr="00AE2F32" w:rsidRDefault="00437044" w:rsidP="00EB1CFE">
      <w:pPr>
        <w:jc w:val="both"/>
        <w:rPr>
          <w:rFonts w:eastAsia="Times New Roman" w:cs="Times New Roman"/>
          <w:sz w:val="22"/>
          <w:szCs w:val="22"/>
          <w:lang w:val="en-GB"/>
        </w:rPr>
      </w:pPr>
    </w:p>
    <w:p w14:paraId="1AC74127" w14:textId="16D703F5" w:rsidR="00437044" w:rsidRPr="00AE2F32" w:rsidRDefault="00B02E57" w:rsidP="00B02E57">
      <w:pPr>
        <w:jc w:val="both"/>
        <w:rPr>
          <w:rFonts w:eastAsia="Times New Roman" w:cs="Times New Roman"/>
          <w:sz w:val="22"/>
          <w:szCs w:val="22"/>
          <w:lang w:val="en-GB"/>
        </w:rPr>
      </w:pPr>
      <w:r w:rsidRPr="00AE2F32">
        <w:rPr>
          <w:rFonts w:eastAsia="Times New Roman" w:cs="Times New Roman"/>
          <w:sz w:val="22"/>
          <w:szCs w:val="22"/>
          <w:lang w:val="en-GB"/>
        </w:rPr>
        <w:t xml:space="preserve">The practice of funding religious organizations is also discriminatory. Since 2002, the state has been financing the Georgian Orthodox Church in accordance with the constitutional agreement. The funding obligation had to function as compensation for damage, but in </w:t>
      </w:r>
      <w:r w:rsidR="000A4CA7" w:rsidRPr="00AE2F32">
        <w:rPr>
          <w:rFonts w:eastAsia="Times New Roman" w:cs="Times New Roman"/>
          <w:sz w:val="22"/>
          <w:szCs w:val="22"/>
          <w:lang w:val="en-GB"/>
        </w:rPr>
        <w:t>reality,</w:t>
      </w:r>
      <w:r w:rsidRPr="00AE2F32">
        <w:rPr>
          <w:rFonts w:eastAsia="Times New Roman" w:cs="Times New Roman"/>
          <w:sz w:val="22"/>
          <w:szCs w:val="22"/>
          <w:lang w:val="en-GB"/>
        </w:rPr>
        <w:t xml:space="preserve"> it took subsidiary nature.</w:t>
      </w:r>
      <w:r w:rsidR="000D4EDC" w:rsidRPr="00AE2F32">
        <w:rPr>
          <w:rStyle w:val="FootnoteReference"/>
          <w:rFonts w:eastAsia="Times New Roman" w:cs="Times New Roman"/>
          <w:sz w:val="22"/>
          <w:szCs w:val="22"/>
          <w:lang w:val="en-GB"/>
        </w:rPr>
        <w:footnoteReference w:id="143"/>
      </w:r>
      <w:r w:rsidR="008E45DD" w:rsidRPr="00AE2F32">
        <w:rPr>
          <w:rFonts w:eastAsia="Times New Roman" w:cs="Times New Roman"/>
          <w:sz w:val="22"/>
          <w:szCs w:val="22"/>
          <w:lang w:val="en-GB"/>
        </w:rPr>
        <w:t xml:space="preserve"> </w:t>
      </w:r>
      <w:r w:rsidRPr="00AE2F32">
        <w:rPr>
          <w:rFonts w:eastAsia="Times New Roman" w:cs="Times New Roman"/>
          <w:sz w:val="22"/>
          <w:szCs w:val="22"/>
          <w:lang w:val="en-GB"/>
        </w:rPr>
        <w:t>Since 2014, state is funding four additional religious organizations</w:t>
      </w:r>
      <w:r w:rsidR="00D00499">
        <w:rPr>
          <w:rFonts w:eastAsia="Times New Roman" w:cs="Times New Roman"/>
          <w:sz w:val="22"/>
          <w:szCs w:val="22"/>
          <w:lang w:val="en-GB"/>
        </w:rPr>
        <w:t xml:space="preserve">. </w:t>
      </w:r>
      <w:r w:rsidRPr="00AE2F32">
        <w:rPr>
          <w:rFonts w:eastAsia="Times New Roman" w:cs="Times New Roman"/>
          <w:sz w:val="22"/>
          <w:szCs w:val="22"/>
          <w:lang w:val="en-GB"/>
        </w:rPr>
        <w:t>This itself contradicts secularism and equality principles as state does not give compensation to all organizations who were damaged during USSR.</w:t>
      </w:r>
      <w:r w:rsidR="00961910" w:rsidRPr="00AE2F32">
        <w:rPr>
          <w:rStyle w:val="FootnoteReference"/>
          <w:rFonts w:eastAsia="Times New Roman" w:cs="Times New Roman"/>
          <w:sz w:val="22"/>
          <w:szCs w:val="22"/>
          <w:lang w:val="en-GB"/>
        </w:rPr>
        <w:footnoteReference w:id="144"/>
      </w:r>
      <w:r w:rsidR="007012E8" w:rsidRPr="00AE2F32">
        <w:rPr>
          <w:sz w:val="22"/>
          <w:szCs w:val="22"/>
        </w:rPr>
        <w:t xml:space="preserve"> </w:t>
      </w:r>
    </w:p>
    <w:p w14:paraId="3CF22999" w14:textId="1FBA7B97" w:rsidR="007012E8" w:rsidRPr="00AE2F32" w:rsidRDefault="007012E8" w:rsidP="00EB1CFE">
      <w:pPr>
        <w:jc w:val="both"/>
        <w:rPr>
          <w:rFonts w:eastAsia="Times New Roman" w:cs="Times New Roman"/>
          <w:sz w:val="22"/>
          <w:szCs w:val="22"/>
          <w:lang w:val="en-GB"/>
        </w:rPr>
      </w:pPr>
    </w:p>
    <w:p w14:paraId="50241A09" w14:textId="45F76509" w:rsidR="007012E8" w:rsidRPr="00AE2F32" w:rsidRDefault="007012E8" w:rsidP="00EB1CFE">
      <w:pPr>
        <w:jc w:val="both"/>
        <w:rPr>
          <w:rFonts w:eastAsia="Times New Roman" w:cs="Times New Roman"/>
          <w:sz w:val="22"/>
          <w:szCs w:val="22"/>
        </w:rPr>
      </w:pPr>
      <w:r w:rsidRPr="00AE2F32">
        <w:rPr>
          <w:rFonts w:eastAsia="Times New Roman" w:cs="Times New Roman"/>
          <w:sz w:val="22"/>
          <w:szCs w:val="22"/>
          <w:lang w:val="en-GB"/>
        </w:rPr>
        <w:t>In May 2020, the practice of unequal transfer of material resources to the state continued with the state allowing the Orthodox Church to take ownership of a 20-hectare forest around the churches. The transfer of natural resources of strategic importance to a religious organization carries a distinctly discriminatory approach,</w:t>
      </w:r>
      <w:r w:rsidR="008762A8" w:rsidRPr="00AE2F32">
        <w:rPr>
          <w:rStyle w:val="FootnoteReference"/>
          <w:rFonts w:eastAsia="Times New Roman" w:cs="Times New Roman"/>
          <w:sz w:val="22"/>
          <w:szCs w:val="22"/>
          <w:lang w:val="en-GB"/>
        </w:rPr>
        <w:t xml:space="preserve"> </w:t>
      </w:r>
      <w:r w:rsidR="008762A8" w:rsidRPr="00AE2F32">
        <w:rPr>
          <w:rStyle w:val="FootnoteReference"/>
          <w:rFonts w:eastAsia="Times New Roman" w:cs="Times New Roman"/>
          <w:sz w:val="22"/>
          <w:szCs w:val="22"/>
          <w:lang w:val="en-GB"/>
        </w:rPr>
        <w:footnoteReference w:id="145"/>
      </w:r>
      <w:r w:rsidRPr="00AE2F32">
        <w:rPr>
          <w:rFonts w:eastAsia="Times New Roman" w:cs="Times New Roman"/>
          <w:sz w:val="22"/>
          <w:szCs w:val="22"/>
          <w:lang w:val="en-GB"/>
        </w:rPr>
        <w:t xml:space="preserve"> except that there is no expediency in the privatization of such public resources in general.</w:t>
      </w:r>
      <w:r w:rsidRPr="00AE2F32">
        <w:rPr>
          <w:rFonts w:eastAsia="Times New Roman" w:cs="Times New Roman"/>
          <w:sz w:val="22"/>
          <w:szCs w:val="22"/>
          <w:lang w:val="ka-GE"/>
        </w:rPr>
        <w:t xml:space="preserve"> </w:t>
      </w:r>
      <w:r w:rsidR="008762A8" w:rsidRPr="00AE2F32">
        <w:rPr>
          <w:rFonts w:eastAsia="Times New Roman" w:cs="Times New Roman"/>
          <w:sz w:val="22"/>
          <w:szCs w:val="22"/>
          <w:lang w:val="ka-GE"/>
        </w:rPr>
        <w:t xml:space="preserve"> </w:t>
      </w:r>
    </w:p>
    <w:p w14:paraId="5CD134A5" w14:textId="09FA200E" w:rsidR="00B46A39" w:rsidRPr="00AE2F32" w:rsidRDefault="00B46A39" w:rsidP="00EB1CFE">
      <w:pPr>
        <w:jc w:val="both"/>
        <w:rPr>
          <w:rFonts w:eastAsia="Times New Roman" w:cs="Times New Roman"/>
          <w:sz w:val="22"/>
          <w:szCs w:val="22"/>
          <w:lang w:val="en-GB"/>
        </w:rPr>
      </w:pPr>
    </w:p>
    <w:p w14:paraId="2D98D7A4" w14:textId="3E720DC2" w:rsidR="00BB60F8" w:rsidRDefault="005F5BB2" w:rsidP="00EB1CFE">
      <w:pPr>
        <w:jc w:val="both"/>
        <w:rPr>
          <w:rFonts w:eastAsia="Times New Roman" w:cs="Times New Roman"/>
          <w:sz w:val="22"/>
          <w:szCs w:val="22"/>
          <w:lang w:val="en-GB"/>
        </w:rPr>
      </w:pPr>
      <w:r w:rsidRPr="00AE2F32">
        <w:rPr>
          <w:rFonts w:eastAsia="Times New Roman" w:cs="Times New Roman"/>
          <w:sz w:val="22"/>
          <w:szCs w:val="22"/>
          <w:lang w:val="en-GB"/>
        </w:rPr>
        <w:t>The issue of construction of religious buildings is also problematic for religious organizations. The discriminatory refusal of state agencies to build a new mosque in Batumi is a clear example of it.</w:t>
      </w:r>
      <w:r w:rsidRPr="00AE2F32">
        <w:rPr>
          <w:sz w:val="22"/>
          <w:szCs w:val="22"/>
        </w:rPr>
        <w:t xml:space="preserve"> </w:t>
      </w:r>
      <w:r w:rsidRPr="00AE2F32">
        <w:rPr>
          <w:rFonts w:eastAsia="Times New Roman" w:cs="Times New Roman"/>
          <w:sz w:val="22"/>
          <w:szCs w:val="22"/>
          <w:lang w:val="en-GB"/>
        </w:rPr>
        <w:t>The Batumi court found discrimination in this case, however, due to the appeal by the Batumi City Hall, the dispute over this case continues and the democratically organized mosque construction fund still does not have the opportunity to obtain a construction permit.</w:t>
      </w:r>
      <w:r w:rsidR="00DC6E2D" w:rsidRPr="00DC6E2D">
        <w:rPr>
          <w:rStyle w:val="FootnoteReference"/>
          <w:rFonts w:eastAsia="Times New Roman" w:cs="Times New Roman"/>
          <w:sz w:val="22"/>
          <w:szCs w:val="22"/>
          <w:lang w:val="en-GB"/>
        </w:rPr>
        <w:t xml:space="preserve"> </w:t>
      </w:r>
      <w:r w:rsidR="00DC6E2D" w:rsidRPr="00AE2F32">
        <w:rPr>
          <w:rStyle w:val="FootnoteReference"/>
          <w:rFonts w:eastAsia="Times New Roman" w:cs="Times New Roman"/>
          <w:sz w:val="22"/>
          <w:szCs w:val="22"/>
          <w:lang w:val="en-GB"/>
        </w:rPr>
        <w:footnoteReference w:id="146"/>
      </w:r>
      <w:r w:rsidR="00AD48FA">
        <w:rPr>
          <w:rFonts w:eastAsia="Times New Roman" w:cs="Times New Roman"/>
          <w:sz w:val="22"/>
          <w:szCs w:val="22"/>
          <w:lang w:val="en-GB"/>
        </w:rPr>
        <w:t xml:space="preserve"> </w:t>
      </w:r>
    </w:p>
    <w:p w14:paraId="3886A385" w14:textId="77777777" w:rsidR="008D6526" w:rsidRPr="00AE2F32" w:rsidRDefault="008D6526" w:rsidP="00EB1CFE">
      <w:pPr>
        <w:jc w:val="both"/>
        <w:rPr>
          <w:rFonts w:eastAsia="Times New Roman" w:cs="Times New Roman"/>
          <w:sz w:val="22"/>
          <w:szCs w:val="22"/>
          <w:lang w:val="en-GB"/>
        </w:rPr>
      </w:pPr>
    </w:p>
    <w:p w14:paraId="760A73DF" w14:textId="393E8CF1" w:rsidR="007859F1" w:rsidRPr="00AE2F32" w:rsidRDefault="00B0291E" w:rsidP="00BF3BB1">
      <w:pPr>
        <w:jc w:val="both"/>
        <w:rPr>
          <w:rFonts w:eastAsia="Times New Roman" w:cs="Times New Roman"/>
          <w:sz w:val="22"/>
          <w:szCs w:val="22"/>
          <w:lang w:val="en-GB"/>
        </w:rPr>
      </w:pPr>
      <w:r>
        <w:rPr>
          <w:rFonts w:eastAsia="Times New Roman" w:cs="Times New Roman"/>
          <w:sz w:val="22"/>
          <w:szCs w:val="22"/>
          <w:lang w:val="en-GB"/>
        </w:rPr>
        <w:t xml:space="preserve"> </w:t>
      </w:r>
      <w:r w:rsidR="00BF3BB1" w:rsidRPr="00AE2F32">
        <w:rPr>
          <w:rFonts w:eastAsia="Times New Roman" w:cs="Times New Roman"/>
          <w:sz w:val="22"/>
          <w:szCs w:val="22"/>
          <w:lang w:val="en-GB"/>
        </w:rPr>
        <w:t>The practices of religious indoctrination and proselytism in the public education system should be named as a separate problem</w:t>
      </w:r>
      <w:r w:rsidR="007859F1" w:rsidRPr="00AE2F32">
        <w:rPr>
          <w:rFonts w:eastAsia="Times New Roman" w:cs="Times New Roman"/>
          <w:sz w:val="22"/>
          <w:szCs w:val="22"/>
          <w:lang w:val="en-GB"/>
        </w:rPr>
        <w:t>.</w:t>
      </w:r>
      <w:r w:rsidR="00961910" w:rsidRPr="00AE2F32">
        <w:rPr>
          <w:rStyle w:val="FootnoteReference"/>
          <w:rFonts w:eastAsia="Times New Roman" w:cs="Times New Roman"/>
          <w:sz w:val="22"/>
          <w:szCs w:val="22"/>
          <w:lang w:val="en-GB"/>
        </w:rPr>
        <w:footnoteReference w:id="147"/>
      </w:r>
      <w:r w:rsidR="007859F1" w:rsidRPr="00AE2F32">
        <w:rPr>
          <w:rFonts w:eastAsia="Times New Roman" w:cs="Times New Roman"/>
          <w:sz w:val="22"/>
          <w:szCs w:val="22"/>
          <w:lang w:val="en-GB"/>
        </w:rPr>
        <w:t xml:space="preserve"> </w:t>
      </w:r>
    </w:p>
    <w:p w14:paraId="318ED55D" w14:textId="4F9C2740" w:rsidR="009023EF" w:rsidRPr="00AE2F32" w:rsidRDefault="009023EF" w:rsidP="00EB1CFE">
      <w:pPr>
        <w:jc w:val="both"/>
        <w:rPr>
          <w:rFonts w:eastAsia="Times New Roman" w:cs="Times New Roman"/>
          <w:sz w:val="22"/>
          <w:szCs w:val="22"/>
          <w:lang w:val="en-GB"/>
        </w:rPr>
      </w:pPr>
    </w:p>
    <w:p w14:paraId="6336DD22" w14:textId="5E47FCD0" w:rsidR="009023EF" w:rsidRPr="00AE2F32" w:rsidRDefault="00B107D0" w:rsidP="00574ABA">
      <w:pPr>
        <w:shd w:val="clear" w:color="auto" w:fill="C9C9C9" w:themeFill="accent3" w:themeFillTint="99"/>
        <w:jc w:val="both"/>
        <w:rPr>
          <w:b/>
          <w:sz w:val="22"/>
          <w:szCs w:val="22"/>
          <w:lang w:val="en-GB"/>
        </w:rPr>
      </w:pPr>
      <w:r w:rsidRPr="00AE2F32">
        <w:rPr>
          <w:b/>
          <w:sz w:val="22"/>
          <w:szCs w:val="22"/>
          <w:lang w:val="en-GB"/>
        </w:rPr>
        <w:t xml:space="preserve">Recommendations: </w:t>
      </w:r>
    </w:p>
    <w:p w14:paraId="67BFEEF4" w14:textId="5F270F51" w:rsidR="00BF3BB1" w:rsidRPr="00AE2F32" w:rsidRDefault="003B2C29" w:rsidP="0023502D">
      <w:pPr>
        <w:pStyle w:val="ListParagraph"/>
        <w:numPr>
          <w:ilvl w:val="0"/>
          <w:numId w:val="21"/>
        </w:numPr>
        <w:shd w:val="clear" w:color="auto" w:fill="C9C9C9" w:themeFill="accent3" w:themeFillTint="99"/>
        <w:jc w:val="both"/>
        <w:rPr>
          <w:bCs/>
          <w:sz w:val="22"/>
          <w:szCs w:val="22"/>
          <w:lang w:val="en-GB"/>
        </w:rPr>
      </w:pPr>
      <w:r>
        <w:rPr>
          <w:bCs/>
          <w:sz w:val="22"/>
          <w:szCs w:val="22"/>
          <w:lang w:val="en-GB"/>
        </w:rPr>
        <w:t>Considering the</w:t>
      </w:r>
      <w:r w:rsidR="00BF3BB1" w:rsidRPr="00AE2F32">
        <w:rPr>
          <w:bCs/>
          <w:sz w:val="22"/>
          <w:szCs w:val="22"/>
          <w:lang w:val="en-GB"/>
        </w:rPr>
        <w:t xml:space="preserve"> problematic role of the SARI</w:t>
      </w:r>
      <w:r>
        <w:rPr>
          <w:bCs/>
          <w:sz w:val="22"/>
          <w:szCs w:val="22"/>
          <w:lang w:val="en-GB"/>
        </w:rPr>
        <w:t xml:space="preserve">, </w:t>
      </w:r>
      <w:r w:rsidR="00BF3BB1" w:rsidRPr="00AE2F32">
        <w:rPr>
          <w:bCs/>
          <w:sz w:val="22"/>
          <w:szCs w:val="22"/>
          <w:lang w:val="en-GB"/>
        </w:rPr>
        <w:t xml:space="preserve">abolish it. </w:t>
      </w:r>
      <w:sdt>
        <w:sdtPr>
          <w:rPr>
            <w:bCs/>
            <w:sz w:val="22"/>
            <w:szCs w:val="22"/>
            <w:lang w:val="en-GB"/>
          </w:rPr>
          <w:tag w:val="goog_rdk_3"/>
          <w:id w:val="1042019452"/>
        </w:sdtPr>
        <w:sdtEndPr/>
        <w:sdtContent/>
      </w:sdt>
      <w:r w:rsidR="00BF3BB1" w:rsidRPr="00AE2F32">
        <w:rPr>
          <w:bCs/>
          <w:sz w:val="22"/>
          <w:szCs w:val="22"/>
          <w:lang w:val="en-GB"/>
        </w:rPr>
        <w:t>Instead,</w:t>
      </w:r>
      <w:r>
        <w:rPr>
          <w:bCs/>
          <w:sz w:val="22"/>
          <w:szCs w:val="22"/>
          <w:lang w:val="en-GB"/>
        </w:rPr>
        <w:t xml:space="preserve"> scale up</w:t>
      </w:r>
      <w:r w:rsidR="00BF3BB1" w:rsidRPr="00AE2F32">
        <w:rPr>
          <w:bCs/>
          <w:sz w:val="22"/>
          <w:szCs w:val="22"/>
          <w:lang w:val="en-GB"/>
        </w:rPr>
        <w:t xml:space="preserve"> the cooperation with Council of Religions operating under the Public Defender of Georgia, utilize its expertise and recommendations. </w:t>
      </w:r>
    </w:p>
    <w:p w14:paraId="6A3BC8B6" w14:textId="51BF7EA2" w:rsidR="00BF3BB1" w:rsidRPr="00AE2F32" w:rsidRDefault="00BF3BB1" w:rsidP="0023502D">
      <w:pPr>
        <w:pStyle w:val="ListParagraph"/>
        <w:numPr>
          <w:ilvl w:val="0"/>
          <w:numId w:val="21"/>
        </w:numPr>
        <w:shd w:val="clear" w:color="auto" w:fill="C9C9C9" w:themeFill="accent3" w:themeFillTint="99"/>
        <w:jc w:val="both"/>
        <w:rPr>
          <w:bCs/>
          <w:sz w:val="22"/>
          <w:szCs w:val="22"/>
          <w:lang w:val="en-GB"/>
        </w:rPr>
      </w:pPr>
      <w:r w:rsidRPr="00AE2F32">
        <w:rPr>
          <w:bCs/>
          <w:sz w:val="22"/>
          <w:szCs w:val="22"/>
          <w:lang w:val="en-GB"/>
        </w:rPr>
        <w:t xml:space="preserve">Adopt policy and legislation on restitution of religious organization’s property confiscated during USSR in close cooperation with affected religious organizations, Council of Religions under the </w:t>
      </w:r>
      <w:r w:rsidR="003D0AD8">
        <w:rPr>
          <w:bCs/>
          <w:sz w:val="22"/>
          <w:szCs w:val="22"/>
          <w:lang w:val="en-GB"/>
        </w:rPr>
        <w:t>PDO</w:t>
      </w:r>
      <w:r w:rsidR="00222E8B">
        <w:rPr>
          <w:bCs/>
          <w:sz w:val="22"/>
          <w:szCs w:val="22"/>
          <w:lang w:val="en-GB"/>
        </w:rPr>
        <w:t>,</w:t>
      </w:r>
      <w:r w:rsidRPr="00AE2F32">
        <w:rPr>
          <w:bCs/>
          <w:sz w:val="22"/>
          <w:szCs w:val="22"/>
          <w:lang w:val="en-GB"/>
        </w:rPr>
        <w:t xml:space="preserve"> and </w:t>
      </w:r>
      <w:r w:rsidR="003D0AD8">
        <w:rPr>
          <w:bCs/>
          <w:sz w:val="22"/>
          <w:szCs w:val="22"/>
          <w:lang w:val="en-GB"/>
        </w:rPr>
        <w:t>h</w:t>
      </w:r>
      <w:r w:rsidRPr="00AE2F32">
        <w:rPr>
          <w:bCs/>
          <w:sz w:val="22"/>
          <w:szCs w:val="22"/>
          <w:lang w:val="en-GB"/>
        </w:rPr>
        <w:t xml:space="preserve">uman rights organizations. Before elaboration of restitution policy/legislation protect authenticity and inevitability of historical religious heritage. </w:t>
      </w:r>
    </w:p>
    <w:p w14:paraId="63924FA6" w14:textId="63C58918" w:rsidR="00BF3BB1" w:rsidRPr="00AE2F32" w:rsidRDefault="00BF3BB1" w:rsidP="0023502D">
      <w:pPr>
        <w:pStyle w:val="ListParagraph"/>
        <w:numPr>
          <w:ilvl w:val="0"/>
          <w:numId w:val="21"/>
        </w:numPr>
        <w:shd w:val="clear" w:color="auto" w:fill="C9C9C9" w:themeFill="accent3" w:themeFillTint="99"/>
        <w:jc w:val="both"/>
        <w:rPr>
          <w:bCs/>
          <w:sz w:val="22"/>
          <w:szCs w:val="22"/>
          <w:lang w:val="en-GB"/>
        </w:rPr>
      </w:pPr>
      <w:r w:rsidRPr="00AE2F32">
        <w:rPr>
          <w:bCs/>
          <w:sz w:val="22"/>
          <w:szCs w:val="22"/>
          <w:lang w:val="en-GB"/>
        </w:rPr>
        <w:t xml:space="preserve">Eradicate discriminatory practices on </w:t>
      </w:r>
      <w:r w:rsidR="00222E8B">
        <w:rPr>
          <w:bCs/>
          <w:sz w:val="22"/>
          <w:szCs w:val="22"/>
          <w:lang w:val="en-GB"/>
        </w:rPr>
        <w:t xml:space="preserve">the </w:t>
      </w:r>
      <w:r w:rsidRPr="00AE2F32">
        <w:rPr>
          <w:bCs/>
          <w:sz w:val="22"/>
          <w:szCs w:val="22"/>
          <w:lang w:val="en-GB"/>
        </w:rPr>
        <w:t>authorization of religious constructions, including refrain from hampering full enjoyment of Muslims</w:t>
      </w:r>
      <w:r w:rsidR="00222E8B">
        <w:rPr>
          <w:bCs/>
          <w:sz w:val="22"/>
          <w:szCs w:val="22"/>
          <w:lang w:val="en-GB"/>
        </w:rPr>
        <w:t>’</w:t>
      </w:r>
      <w:r w:rsidRPr="00AE2F32">
        <w:rPr>
          <w:bCs/>
          <w:sz w:val="22"/>
          <w:szCs w:val="22"/>
          <w:lang w:val="en-GB"/>
        </w:rPr>
        <w:t xml:space="preserve"> rights and grant the building permit for the mosque in Batumi. </w:t>
      </w:r>
    </w:p>
    <w:p w14:paraId="2835B3AF" w14:textId="1E4842CD" w:rsidR="00BF3BB1" w:rsidRPr="00AE2F32" w:rsidRDefault="00BF3BB1" w:rsidP="0023502D">
      <w:pPr>
        <w:pStyle w:val="ListParagraph"/>
        <w:numPr>
          <w:ilvl w:val="0"/>
          <w:numId w:val="21"/>
        </w:numPr>
        <w:shd w:val="clear" w:color="auto" w:fill="C9C9C9" w:themeFill="accent3" w:themeFillTint="99"/>
        <w:jc w:val="both"/>
        <w:rPr>
          <w:bCs/>
          <w:sz w:val="22"/>
          <w:szCs w:val="22"/>
          <w:lang w:val="en-GB"/>
        </w:rPr>
      </w:pPr>
      <w:r w:rsidRPr="00AE2F32">
        <w:rPr>
          <w:bCs/>
          <w:sz w:val="22"/>
          <w:szCs w:val="22"/>
          <w:lang w:val="en-GB"/>
        </w:rPr>
        <w:t xml:space="preserve">Eradicate discriminatory practices in financing religious organizations </w:t>
      </w:r>
      <w:r w:rsidR="00222E8B">
        <w:rPr>
          <w:bCs/>
          <w:sz w:val="22"/>
          <w:szCs w:val="22"/>
          <w:lang w:val="en-GB"/>
        </w:rPr>
        <w:t>that</w:t>
      </w:r>
      <w:r w:rsidRPr="00AE2F32">
        <w:rPr>
          <w:bCs/>
          <w:sz w:val="22"/>
          <w:szCs w:val="22"/>
          <w:lang w:val="en-GB"/>
        </w:rPr>
        <w:t xml:space="preserve"> </w:t>
      </w:r>
      <w:r w:rsidR="00222E8B">
        <w:rPr>
          <w:bCs/>
          <w:sz w:val="22"/>
          <w:szCs w:val="22"/>
          <w:lang w:val="en-GB"/>
        </w:rPr>
        <w:t>contain</w:t>
      </w:r>
      <w:r w:rsidRPr="00AE2F32">
        <w:rPr>
          <w:bCs/>
          <w:sz w:val="22"/>
          <w:szCs w:val="22"/>
          <w:lang w:val="en-GB"/>
        </w:rPr>
        <w:t xml:space="preserve"> risks of their control and </w:t>
      </w:r>
      <w:r w:rsidR="00222E8B">
        <w:rPr>
          <w:bCs/>
          <w:sz w:val="22"/>
          <w:szCs w:val="22"/>
          <w:lang w:val="en-GB"/>
        </w:rPr>
        <w:t>violate</w:t>
      </w:r>
      <w:r w:rsidRPr="00AE2F32">
        <w:rPr>
          <w:bCs/>
          <w:sz w:val="22"/>
          <w:szCs w:val="22"/>
          <w:lang w:val="en-GB"/>
        </w:rPr>
        <w:t xml:space="preserve"> secularism principles. </w:t>
      </w:r>
    </w:p>
    <w:p w14:paraId="39671EA2" w14:textId="2CF245DF" w:rsidR="00BF3BB1" w:rsidRPr="00AE2F32" w:rsidRDefault="00BF3BB1" w:rsidP="0023502D">
      <w:pPr>
        <w:pStyle w:val="ListParagraph"/>
        <w:numPr>
          <w:ilvl w:val="0"/>
          <w:numId w:val="21"/>
        </w:numPr>
        <w:shd w:val="clear" w:color="auto" w:fill="C9C9C9" w:themeFill="accent3" w:themeFillTint="99"/>
        <w:jc w:val="both"/>
        <w:rPr>
          <w:bCs/>
          <w:sz w:val="22"/>
          <w:szCs w:val="22"/>
          <w:lang w:val="en-GB"/>
        </w:rPr>
      </w:pPr>
      <w:r w:rsidRPr="00AE2F32">
        <w:rPr>
          <w:bCs/>
          <w:sz w:val="22"/>
          <w:szCs w:val="22"/>
          <w:lang w:val="en-GB"/>
        </w:rPr>
        <w:lastRenderedPageBreak/>
        <w:t xml:space="preserve"> Adopt policies oriented on peace and </w:t>
      </w:r>
      <w:r w:rsidR="00222E8B">
        <w:rPr>
          <w:bCs/>
          <w:sz w:val="22"/>
          <w:szCs w:val="22"/>
          <w:lang w:val="en-GB"/>
        </w:rPr>
        <w:t>confidence-building</w:t>
      </w:r>
      <w:r w:rsidRPr="00AE2F32">
        <w:rPr>
          <w:bCs/>
          <w:sz w:val="22"/>
          <w:szCs w:val="22"/>
          <w:lang w:val="en-GB"/>
        </w:rPr>
        <w:t xml:space="preserve"> and integration in the communities with experience of religious conflicts </w:t>
      </w:r>
      <w:r w:rsidR="000B43AF" w:rsidRPr="00AE2F32">
        <w:rPr>
          <w:bCs/>
          <w:sz w:val="22"/>
          <w:szCs w:val="22"/>
          <w:lang w:val="en-GB"/>
        </w:rPr>
        <w:t>t</w:t>
      </w:r>
      <w:r w:rsidR="000B43AF">
        <w:rPr>
          <w:bCs/>
          <w:sz w:val="22"/>
          <w:szCs w:val="22"/>
          <w:lang w:val="en-GB"/>
        </w:rPr>
        <w:t>hat</w:t>
      </w:r>
      <w:r w:rsidR="00222E8B">
        <w:rPr>
          <w:bCs/>
          <w:sz w:val="22"/>
          <w:szCs w:val="22"/>
          <w:lang w:val="en-GB"/>
        </w:rPr>
        <w:t xml:space="preserve"> </w:t>
      </w:r>
      <w:r w:rsidR="000B43AF" w:rsidRPr="00AE2F32">
        <w:rPr>
          <w:bCs/>
          <w:sz w:val="22"/>
          <w:szCs w:val="22"/>
          <w:lang w:val="en-GB"/>
        </w:rPr>
        <w:t>occurred</w:t>
      </w:r>
      <w:r w:rsidRPr="00AE2F32">
        <w:rPr>
          <w:bCs/>
          <w:sz w:val="22"/>
          <w:szCs w:val="22"/>
          <w:lang w:val="en-GB"/>
        </w:rPr>
        <w:t xml:space="preserve"> against Georgia Muslim communities in 2012-2016. </w:t>
      </w:r>
    </w:p>
    <w:p w14:paraId="44C19A7D" w14:textId="5F9F5830" w:rsidR="00BF3BB1" w:rsidRPr="00AE2F32" w:rsidRDefault="00BF3BB1" w:rsidP="0023502D">
      <w:pPr>
        <w:pStyle w:val="ListParagraph"/>
        <w:numPr>
          <w:ilvl w:val="0"/>
          <w:numId w:val="21"/>
        </w:numPr>
        <w:shd w:val="clear" w:color="auto" w:fill="C9C9C9" w:themeFill="accent3" w:themeFillTint="99"/>
        <w:jc w:val="both"/>
        <w:rPr>
          <w:bCs/>
          <w:sz w:val="22"/>
          <w:szCs w:val="22"/>
          <w:lang w:val="en-GB"/>
        </w:rPr>
      </w:pPr>
    </w:p>
    <w:p w14:paraId="17FA430A" w14:textId="4C0FA137" w:rsidR="000C1EC4" w:rsidRDefault="00BF3BB1" w:rsidP="0023502D">
      <w:pPr>
        <w:pStyle w:val="ListParagraph"/>
        <w:numPr>
          <w:ilvl w:val="0"/>
          <w:numId w:val="21"/>
        </w:numPr>
        <w:shd w:val="clear" w:color="auto" w:fill="C9C9C9" w:themeFill="accent3" w:themeFillTint="99"/>
        <w:jc w:val="both"/>
        <w:rPr>
          <w:bCs/>
          <w:sz w:val="22"/>
          <w:szCs w:val="22"/>
          <w:lang w:val="en-GB"/>
        </w:rPr>
      </w:pPr>
      <w:r w:rsidRPr="00AE2F32">
        <w:rPr>
          <w:bCs/>
          <w:sz w:val="22"/>
          <w:szCs w:val="22"/>
          <w:lang w:val="en-GB"/>
        </w:rPr>
        <w:t>Strengthen measures to respond ethnocentric, racist, xenophobic and indoctrination/proselytism/discrimination incidents in schools</w:t>
      </w:r>
      <w:r w:rsidR="000C1EC4">
        <w:rPr>
          <w:bCs/>
          <w:sz w:val="22"/>
          <w:szCs w:val="22"/>
          <w:lang w:val="en-GB"/>
        </w:rPr>
        <w:t>;</w:t>
      </w:r>
      <w:r w:rsidRPr="00AE2F32">
        <w:rPr>
          <w:bCs/>
          <w:sz w:val="22"/>
          <w:szCs w:val="22"/>
          <w:lang w:val="en-GB"/>
        </w:rPr>
        <w:t xml:space="preserve"> </w:t>
      </w:r>
    </w:p>
    <w:p w14:paraId="1A413B73" w14:textId="37CB106B" w:rsidR="00BF3BB1" w:rsidRPr="00AE2F32" w:rsidRDefault="00BF3BB1" w:rsidP="0023502D">
      <w:pPr>
        <w:pStyle w:val="ListParagraph"/>
        <w:numPr>
          <w:ilvl w:val="0"/>
          <w:numId w:val="21"/>
        </w:numPr>
        <w:shd w:val="clear" w:color="auto" w:fill="C9C9C9" w:themeFill="accent3" w:themeFillTint="99"/>
        <w:jc w:val="both"/>
        <w:rPr>
          <w:bCs/>
          <w:sz w:val="22"/>
          <w:szCs w:val="22"/>
          <w:lang w:val="en-GB"/>
        </w:rPr>
      </w:pPr>
      <w:r w:rsidRPr="00AE2F32">
        <w:rPr>
          <w:bCs/>
          <w:sz w:val="22"/>
          <w:szCs w:val="22"/>
          <w:lang w:val="en-GB"/>
        </w:rPr>
        <w:t xml:space="preserve">Establish state policy oriented on </w:t>
      </w:r>
      <w:r w:rsidR="00222E8B">
        <w:rPr>
          <w:bCs/>
          <w:sz w:val="22"/>
          <w:szCs w:val="22"/>
          <w:lang w:val="en-GB"/>
        </w:rPr>
        <w:t xml:space="preserve">the </w:t>
      </w:r>
      <w:r w:rsidRPr="00AE2F32">
        <w:rPr>
          <w:bCs/>
          <w:sz w:val="22"/>
          <w:szCs w:val="22"/>
          <w:lang w:val="en-GB"/>
        </w:rPr>
        <w:t xml:space="preserve">creation of </w:t>
      </w:r>
      <w:r w:rsidR="00222E8B">
        <w:rPr>
          <w:bCs/>
          <w:sz w:val="22"/>
          <w:szCs w:val="22"/>
          <w:lang w:val="en-GB"/>
        </w:rPr>
        <w:t xml:space="preserve">a </w:t>
      </w:r>
      <w:r w:rsidRPr="00AE2F32">
        <w:rPr>
          <w:bCs/>
          <w:sz w:val="22"/>
          <w:szCs w:val="22"/>
          <w:lang w:val="en-GB"/>
        </w:rPr>
        <w:t>multicultural and equal environment and practice in schools.</w:t>
      </w:r>
    </w:p>
    <w:p w14:paraId="2160E275" w14:textId="75EB0FCA" w:rsidR="00ED1CE8" w:rsidRPr="00AE2F32" w:rsidRDefault="00ED1CE8" w:rsidP="00EB1CFE">
      <w:pPr>
        <w:rPr>
          <w:rFonts w:eastAsia="Times New Roman" w:cs="Times New Roman"/>
          <w:sz w:val="22"/>
          <w:szCs w:val="22"/>
          <w:lang w:val="en-GB"/>
        </w:rPr>
      </w:pPr>
    </w:p>
    <w:p w14:paraId="37423E3D" w14:textId="668889AF" w:rsidR="007918A6" w:rsidRPr="00AE2F32" w:rsidRDefault="00BF3BB1" w:rsidP="0023502D">
      <w:pPr>
        <w:pStyle w:val="Heading2"/>
        <w:numPr>
          <w:ilvl w:val="0"/>
          <w:numId w:val="15"/>
        </w:numPr>
        <w:spacing w:before="0"/>
        <w:rPr>
          <w:rFonts w:asciiTheme="minorHAnsi" w:hAnsiTheme="minorHAnsi" w:cs="Sylfaen"/>
          <w:sz w:val="22"/>
          <w:szCs w:val="22"/>
          <w:lang w:val="en-GB"/>
        </w:rPr>
      </w:pPr>
      <w:bookmarkStart w:id="56" w:name="_Toc48565950"/>
      <w:r w:rsidRPr="00AE2F32">
        <w:rPr>
          <w:rFonts w:asciiTheme="minorHAnsi" w:hAnsiTheme="minorHAnsi" w:cs="Sylfaen"/>
          <w:sz w:val="22"/>
          <w:szCs w:val="22"/>
          <w:lang w:val="en-GB"/>
        </w:rPr>
        <w:t>Article</w:t>
      </w:r>
      <w:r w:rsidR="007918A6" w:rsidRPr="00AE2F32">
        <w:rPr>
          <w:rFonts w:asciiTheme="minorHAnsi" w:hAnsiTheme="minorHAnsi" w:cs="Sylfaen"/>
          <w:sz w:val="22"/>
          <w:szCs w:val="22"/>
          <w:lang w:val="en-GB"/>
        </w:rPr>
        <w:t xml:space="preserve"> 19: </w:t>
      </w:r>
      <w:r w:rsidRPr="00AE2F32">
        <w:rPr>
          <w:rFonts w:asciiTheme="minorHAnsi" w:hAnsiTheme="minorHAnsi" w:cs="Sylfaen"/>
          <w:sz w:val="22"/>
          <w:szCs w:val="22"/>
          <w:lang w:val="en-GB"/>
        </w:rPr>
        <w:t>Freedom of Expression</w:t>
      </w:r>
      <w:bookmarkEnd w:id="56"/>
    </w:p>
    <w:p w14:paraId="55C9BC1B" w14:textId="33FE49E6" w:rsidR="007918A6" w:rsidRPr="00AE2F32" w:rsidRDefault="007918A6" w:rsidP="00EB1CFE">
      <w:pPr>
        <w:rPr>
          <w:rFonts w:eastAsia="Times New Roman" w:cs="Times New Roman"/>
          <w:sz w:val="22"/>
          <w:szCs w:val="22"/>
          <w:lang w:val="en-GB"/>
        </w:rPr>
      </w:pPr>
    </w:p>
    <w:p w14:paraId="307185E4" w14:textId="37A98FA2" w:rsidR="00AF1A58" w:rsidRPr="00AE2F32" w:rsidRDefault="00BF3BB1" w:rsidP="00EB1CFE">
      <w:pPr>
        <w:jc w:val="both"/>
        <w:rPr>
          <w:bCs/>
          <w:i/>
          <w:iCs/>
          <w:sz w:val="22"/>
          <w:szCs w:val="22"/>
          <w:u w:val="single"/>
          <w:lang w:val="en-GB"/>
        </w:rPr>
      </w:pPr>
      <w:r w:rsidRPr="00AE2F32">
        <w:rPr>
          <w:bCs/>
          <w:i/>
          <w:iCs/>
          <w:sz w:val="22"/>
          <w:szCs w:val="22"/>
          <w:u w:val="single"/>
          <w:lang w:val="en-GB"/>
        </w:rPr>
        <w:t xml:space="preserve">Freedom of Media </w:t>
      </w:r>
    </w:p>
    <w:p w14:paraId="5C64C66E" w14:textId="77777777" w:rsidR="004B164F" w:rsidRPr="00AE2F32" w:rsidRDefault="004B164F" w:rsidP="00EB1CFE">
      <w:pPr>
        <w:jc w:val="both"/>
        <w:rPr>
          <w:sz w:val="22"/>
          <w:szCs w:val="22"/>
          <w:lang w:val="en-GB"/>
        </w:rPr>
      </w:pPr>
    </w:p>
    <w:p w14:paraId="0D645BFA" w14:textId="42FA2EAC" w:rsidR="00BF3BB1" w:rsidRPr="00AE2F32" w:rsidRDefault="00BF3BB1" w:rsidP="00EB1CFE">
      <w:pPr>
        <w:jc w:val="both"/>
        <w:rPr>
          <w:sz w:val="22"/>
          <w:szCs w:val="22"/>
          <w:lang w:val="en-GB"/>
        </w:rPr>
      </w:pPr>
      <w:r w:rsidRPr="00AE2F32">
        <w:rPr>
          <w:sz w:val="22"/>
          <w:szCs w:val="22"/>
          <w:lang w:val="en-GB"/>
        </w:rPr>
        <w:t>Although Georgian legislation fully protects freedom of expression, there are some problematic issues in practice. Developments in 2017-2019 showed that the government wants to regulate the media.</w:t>
      </w:r>
      <w:r w:rsidR="00633521" w:rsidRPr="00AE2F32">
        <w:rPr>
          <w:sz w:val="22"/>
          <w:szCs w:val="22"/>
          <w:lang w:val="en-GB"/>
        </w:rPr>
        <w:t xml:space="preserve"> The </w:t>
      </w:r>
      <w:r w:rsidR="003D0AD8">
        <w:rPr>
          <w:sz w:val="22"/>
          <w:szCs w:val="22"/>
          <w:lang w:val="en-GB"/>
        </w:rPr>
        <w:t>P</w:t>
      </w:r>
      <w:r w:rsidR="00633521" w:rsidRPr="00AE2F32">
        <w:rPr>
          <w:sz w:val="22"/>
          <w:szCs w:val="22"/>
          <w:lang w:val="en-GB"/>
        </w:rPr>
        <w:t>resident and some deputies have come out with an initiative to criminalize defamation. The National Communications Commission has submitted a draft law to the Parliament, and in case of its adoption</w:t>
      </w:r>
      <w:r w:rsidR="00222E8B">
        <w:rPr>
          <w:sz w:val="22"/>
          <w:szCs w:val="22"/>
          <w:lang w:val="en-GB"/>
        </w:rPr>
        <w:t>,</w:t>
      </w:r>
      <w:r w:rsidR="00633521" w:rsidRPr="00AE2F32">
        <w:rPr>
          <w:sz w:val="22"/>
          <w:szCs w:val="22"/>
          <w:lang w:val="en-GB"/>
        </w:rPr>
        <w:t xml:space="preserve"> the violation of the </w:t>
      </w:r>
      <w:r w:rsidR="00222E8B">
        <w:rPr>
          <w:sz w:val="22"/>
          <w:szCs w:val="22"/>
          <w:lang w:val="en-GB"/>
        </w:rPr>
        <w:t>behavio</w:t>
      </w:r>
      <w:r w:rsidR="008D6526">
        <w:rPr>
          <w:sz w:val="22"/>
          <w:szCs w:val="22"/>
          <w:lang w:val="en-GB"/>
        </w:rPr>
        <w:t>ur norms</w:t>
      </w:r>
      <w:r w:rsidR="00633521" w:rsidRPr="00AE2F32">
        <w:rPr>
          <w:sz w:val="22"/>
          <w:szCs w:val="22"/>
          <w:lang w:val="en-GB"/>
        </w:rPr>
        <w:t xml:space="preserve"> of the broadcasters will move from self-regulation to the field of state regulation. </w:t>
      </w:r>
    </w:p>
    <w:p w14:paraId="74A97BAD" w14:textId="77777777" w:rsidR="00574ABA" w:rsidRPr="00AE2F32" w:rsidRDefault="00574ABA" w:rsidP="00EB1CFE">
      <w:pPr>
        <w:jc w:val="both"/>
        <w:rPr>
          <w:sz w:val="22"/>
          <w:szCs w:val="22"/>
          <w:lang w:val="en-GB"/>
        </w:rPr>
      </w:pPr>
    </w:p>
    <w:p w14:paraId="0A13E810" w14:textId="68C00EDB" w:rsidR="00AF1A58" w:rsidRPr="00AE2F32" w:rsidRDefault="00605993" w:rsidP="00EB1CFE">
      <w:pPr>
        <w:jc w:val="both"/>
        <w:rPr>
          <w:sz w:val="22"/>
          <w:szCs w:val="22"/>
          <w:lang w:val="en-GB"/>
        </w:rPr>
      </w:pPr>
      <w:r w:rsidRPr="00AE2F32">
        <w:rPr>
          <w:sz w:val="22"/>
          <w:szCs w:val="22"/>
          <w:lang w:val="en-GB"/>
        </w:rPr>
        <w:t>In</w:t>
      </w:r>
      <w:r w:rsidR="00633521" w:rsidRPr="00AE2F32">
        <w:rPr>
          <w:sz w:val="22"/>
          <w:szCs w:val="22"/>
          <w:lang w:val="en-GB"/>
        </w:rPr>
        <w:t xml:space="preserve"> 2019, the cases of illegal interference in the professional activities of media representatives increased.</w:t>
      </w:r>
      <w:r w:rsidRPr="00AE2F32">
        <w:rPr>
          <w:sz w:val="22"/>
          <w:szCs w:val="22"/>
          <w:lang w:val="ka-GE"/>
        </w:rPr>
        <w:t xml:space="preserve"> In particular, during the dispersal of the protest rally on June 20-21, media representatives were prevented from performing their professional duties. 32 </w:t>
      </w:r>
      <w:r w:rsidRPr="00AE2F32">
        <w:rPr>
          <w:sz w:val="22"/>
          <w:szCs w:val="22"/>
        </w:rPr>
        <w:t>representatives</w:t>
      </w:r>
      <w:r w:rsidRPr="00AE2F32">
        <w:rPr>
          <w:sz w:val="22"/>
          <w:szCs w:val="22"/>
          <w:lang w:val="ka-GE"/>
        </w:rPr>
        <w:t xml:space="preserve"> of the media received various bodily injuries and </w:t>
      </w:r>
      <w:r w:rsidR="004A1DC4" w:rsidRPr="00AE2F32">
        <w:rPr>
          <w:sz w:val="22"/>
          <w:szCs w:val="22"/>
        </w:rPr>
        <w:t xml:space="preserve">liberty was </w:t>
      </w:r>
      <w:r w:rsidRPr="00AE2F32">
        <w:rPr>
          <w:sz w:val="22"/>
          <w:szCs w:val="22"/>
          <w:lang w:val="ka-GE"/>
        </w:rPr>
        <w:t xml:space="preserve">unlawfully restricted </w:t>
      </w:r>
      <w:r w:rsidR="004A1DC4" w:rsidRPr="00AE2F32">
        <w:rPr>
          <w:sz w:val="22"/>
          <w:szCs w:val="22"/>
        </w:rPr>
        <w:t>for 1 journalist</w:t>
      </w:r>
      <w:r w:rsidR="00AF1A58" w:rsidRPr="00AE2F32">
        <w:rPr>
          <w:sz w:val="22"/>
          <w:szCs w:val="22"/>
          <w:lang w:val="en-GB"/>
        </w:rPr>
        <w:t>.</w:t>
      </w:r>
      <w:r w:rsidR="00AF1A58" w:rsidRPr="00AE2F32">
        <w:rPr>
          <w:rStyle w:val="FootnoteReference"/>
          <w:sz w:val="22"/>
          <w:szCs w:val="22"/>
          <w:lang w:val="en-GB"/>
        </w:rPr>
        <w:footnoteReference w:id="148"/>
      </w:r>
      <w:r w:rsidR="00AF1A58" w:rsidRPr="00AE2F32">
        <w:rPr>
          <w:sz w:val="22"/>
          <w:szCs w:val="22"/>
          <w:lang w:val="en-GB"/>
        </w:rPr>
        <w:t xml:space="preserve"> </w:t>
      </w:r>
      <w:r w:rsidR="004A1DC4" w:rsidRPr="00AE2F32">
        <w:rPr>
          <w:sz w:val="22"/>
          <w:szCs w:val="22"/>
          <w:lang w:val="en-GB"/>
        </w:rPr>
        <w:t>According to the available information, the General Prosecutor's Office is investigating the alleged crime committed against the journalists, but as of today, the cases are not yet investigated</w:t>
      </w:r>
      <w:r w:rsidR="00AF1A58" w:rsidRPr="00AE2F32">
        <w:rPr>
          <w:sz w:val="22"/>
          <w:szCs w:val="22"/>
          <w:lang w:val="en-GB"/>
        </w:rPr>
        <w:t>.</w:t>
      </w:r>
      <w:r w:rsidR="00AF1A58" w:rsidRPr="00AE2F32">
        <w:rPr>
          <w:rStyle w:val="FootnoteReference"/>
          <w:sz w:val="22"/>
          <w:szCs w:val="22"/>
          <w:lang w:val="en-GB"/>
        </w:rPr>
        <w:footnoteReference w:id="149"/>
      </w:r>
      <w:r w:rsidR="00AF1A58" w:rsidRPr="00AE2F32">
        <w:rPr>
          <w:sz w:val="22"/>
          <w:szCs w:val="22"/>
          <w:lang w:val="en-GB"/>
        </w:rPr>
        <w:t xml:space="preserve"> </w:t>
      </w:r>
    </w:p>
    <w:p w14:paraId="4D403065" w14:textId="77777777" w:rsidR="00574ABA" w:rsidRPr="00AE2F32" w:rsidRDefault="00574ABA" w:rsidP="00EB1CFE">
      <w:pPr>
        <w:jc w:val="both"/>
        <w:rPr>
          <w:sz w:val="22"/>
          <w:szCs w:val="22"/>
          <w:lang w:val="en-GB"/>
        </w:rPr>
      </w:pPr>
    </w:p>
    <w:p w14:paraId="38BA6410" w14:textId="2FE4C125" w:rsidR="00AF1A58" w:rsidRPr="00AE2F32" w:rsidRDefault="00482A56" w:rsidP="00EB1CFE">
      <w:pPr>
        <w:jc w:val="both"/>
        <w:rPr>
          <w:sz w:val="22"/>
          <w:szCs w:val="22"/>
          <w:lang w:val="en-GB"/>
        </w:rPr>
      </w:pPr>
      <w:r w:rsidRPr="00AE2F32">
        <w:rPr>
          <w:sz w:val="22"/>
          <w:szCs w:val="22"/>
          <w:lang w:val="en-GB"/>
        </w:rPr>
        <w:t>There is no timely and effective investigation of the crimes committed against journalists and media outlets, including on the case of TV Rustavi 2 founder’s property</w:t>
      </w:r>
      <w:r w:rsidR="00AF1A58" w:rsidRPr="00AE2F32">
        <w:rPr>
          <w:sz w:val="22"/>
          <w:szCs w:val="22"/>
          <w:lang w:val="en-GB"/>
        </w:rPr>
        <w:t>,</w:t>
      </w:r>
      <w:r w:rsidR="00AF1A58" w:rsidRPr="00AE2F32">
        <w:rPr>
          <w:rStyle w:val="FootnoteReference"/>
          <w:sz w:val="22"/>
          <w:szCs w:val="22"/>
          <w:lang w:val="en-GB"/>
        </w:rPr>
        <w:footnoteReference w:id="150"/>
      </w:r>
      <w:r w:rsidR="00AF1A58" w:rsidRPr="00AE2F32">
        <w:rPr>
          <w:sz w:val="22"/>
          <w:szCs w:val="22"/>
          <w:lang w:val="en-GB"/>
        </w:rPr>
        <w:t xml:space="preserve"> </w:t>
      </w:r>
      <w:r w:rsidRPr="00AE2F32">
        <w:rPr>
          <w:sz w:val="22"/>
          <w:szCs w:val="22"/>
          <w:lang w:val="en-GB"/>
        </w:rPr>
        <w:t>the abduction of Azerbaijani journalist Afgan Mukhtarli on 29 May,</w:t>
      </w:r>
      <w:r w:rsidR="00AF1A58" w:rsidRPr="00AE2F32">
        <w:rPr>
          <w:sz w:val="22"/>
          <w:szCs w:val="22"/>
          <w:lang w:val="en-GB"/>
        </w:rPr>
        <w:t>2017</w:t>
      </w:r>
      <w:r w:rsidRPr="00AE2F32">
        <w:rPr>
          <w:sz w:val="22"/>
          <w:szCs w:val="22"/>
          <w:lang w:val="en-GB"/>
        </w:rPr>
        <w:t>,</w:t>
      </w:r>
      <w:r w:rsidR="00AF1A58" w:rsidRPr="00AE2F32">
        <w:rPr>
          <w:rStyle w:val="FootnoteReference"/>
          <w:sz w:val="22"/>
          <w:szCs w:val="22"/>
          <w:lang w:val="en-GB"/>
        </w:rPr>
        <w:footnoteReference w:id="151"/>
      </w:r>
      <w:r w:rsidR="00AF1A58" w:rsidRPr="00AE2F32">
        <w:rPr>
          <w:sz w:val="22"/>
          <w:szCs w:val="22"/>
          <w:lang w:val="en-GB"/>
        </w:rPr>
        <w:t xml:space="preserve"> </w:t>
      </w:r>
      <w:r w:rsidRPr="00AE2F32">
        <w:rPr>
          <w:sz w:val="22"/>
          <w:szCs w:val="22"/>
          <w:lang w:val="en-GB"/>
        </w:rPr>
        <w:t xml:space="preserve">also on the cases of illegal interference in journalist work during the elections. </w:t>
      </w:r>
    </w:p>
    <w:p w14:paraId="5B553AC5" w14:textId="72F91897" w:rsidR="00920686" w:rsidRPr="00AE2F32" w:rsidRDefault="00920686" w:rsidP="00EB1CFE">
      <w:pPr>
        <w:jc w:val="both"/>
        <w:rPr>
          <w:sz w:val="22"/>
          <w:szCs w:val="22"/>
          <w:lang w:val="en-GB"/>
        </w:rPr>
      </w:pPr>
    </w:p>
    <w:p w14:paraId="59313D2F" w14:textId="1FAF2055" w:rsidR="00996B7A" w:rsidRPr="00AE2F32" w:rsidRDefault="00996B7A" w:rsidP="00EB1CFE">
      <w:pPr>
        <w:jc w:val="both"/>
        <w:rPr>
          <w:sz w:val="22"/>
          <w:szCs w:val="22"/>
          <w:lang w:val="en-GB"/>
        </w:rPr>
      </w:pPr>
      <w:r w:rsidRPr="00AE2F32">
        <w:rPr>
          <w:sz w:val="22"/>
          <w:szCs w:val="22"/>
          <w:lang w:val="en-GB"/>
        </w:rPr>
        <w:t xml:space="preserve">Independence of Public Broadcaster remains problematic. Following the amendments to the Law on Broadcasting in February 2018, the Law on Public Procurement no longer applies to </w:t>
      </w:r>
      <w:r w:rsidR="00222E8B">
        <w:rPr>
          <w:sz w:val="22"/>
          <w:szCs w:val="22"/>
          <w:lang w:val="en-GB"/>
        </w:rPr>
        <w:t xml:space="preserve">the </w:t>
      </w:r>
      <w:r w:rsidR="00044920">
        <w:rPr>
          <w:sz w:val="22"/>
          <w:szCs w:val="22"/>
          <w:lang w:val="en-GB"/>
        </w:rPr>
        <w:t>pr</w:t>
      </w:r>
      <w:r w:rsidRPr="00AE2F32">
        <w:rPr>
          <w:sz w:val="22"/>
          <w:szCs w:val="22"/>
          <w:lang w:val="en-GB"/>
        </w:rPr>
        <w:t>ocurement of the Public Broadcaster, which increases the risks of corruption. Furthermore, the same legislative amendment increases the maximum advertising time of the broadcaster, thus significantly expands commercial impact on the public broadcaster.</w:t>
      </w:r>
    </w:p>
    <w:p w14:paraId="06764453" w14:textId="77777777" w:rsidR="00574ABA" w:rsidRPr="00AE2F32" w:rsidRDefault="00574ABA" w:rsidP="00EB1CFE">
      <w:pPr>
        <w:jc w:val="both"/>
        <w:rPr>
          <w:sz w:val="22"/>
          <w:szCs w:val="22"/>
          <w:lang w:val="en-GB"/>
        </w:rPr>
      </w:pPr>
    </w:p>
    <w:p w14:paraId="503D70D8" w14:textId="6A7BD1F5" w:rsidR="00A26068" w:rsidRPr="00AE2F32" w:rsidRDefault="00996B7A" w:rsidP="00A26068">
      <w:pPr>
        <w:jc w:val="both"/>
        <w:rPr>
          <w:sz w:val="22"/>
          <w:szCs w:val="22"/>
          <w:lang w:val="en-GB"/>
        </w:rPr>
      </w:pPr>
      <w:r w:rsidRPr="00AE2F32">
        <w:rPr>
          <w:sz w:val="22"/>
          <w:szCs w:val="22"/>
          <w:lang w:val="en-GB"/>
        </w:rPr>
        <w:t>Despite the sharp media polarization, in 2018 Adjara Public Broadcaster was evaluated as an objective and impartial television.</w:t>
      </w:r>
      <w:r w:rsidR="00AF1A58" w:rsidRPr="00AE2F32">
        <w:rPr>
          <w:rStyle w:val="FootnoteReference"/>
          <w:sz w:val="22"/>
          <w:szCs w:val="22"/>
          <w:lang w:val="en-GB"/>
        </w:rPr>
        <w:footnoteReference w:id="152"/>
      </w:r>
      <w:r w:rsidR="00AF1A58" w:rsidRPr="00AE2F32">
        <w:rPr>
          <w:sz w:val="22"/>
          <w:szCs w:val="22"/>
          <w:lang w:val="en-GB"/>
        </w:rPr>
        <w:t xml:space="preserve"> </w:t>
      </w:r>
      <w:r w:rsidRPr="00AE2F32">
        <w:rPr>
          <w:sz w:val="22"/>
          <w:szCs w:val="22"/>
          <w:lang w:val="en-GB"/>
        </w:rPr>
        <w:t>In April 2019, the Advisory Board fired the TV director in violation of the law</w:t>
      </w:r>
      <w:r w:rsidR="00AF1A58" w:rsidRPr="00AE2F32">
        <w:rPr>
          <w:sz w:val="22"/>
          <w:szCs w:val="22"/>
          <w:lang w:val="en-GB"/>
        </w:rPr>
        <w:t>.</w:t>
      </w:r>
      <w:r w:rsidR="00AF1A58" w:rsidRPr="00AE2F32">
        <w:rPr>
          <w:rStyle w:val="FootnoteReference"/>
          <w:sz w:val="22"/>
          <w:szCs w:val="22"/>
          <w:lang w:val="en-GB"/>
        </w:rPr>
        <w:footnoteReference w:id="153"/>
      </w:r>
      <w:r w:rsidR="00AF1A58" w:rsidRPr="00AE2F32">
        <w:rPr>
          <w:sz w:val="22"/>
          <w:szCs w:val="22"/>
          <w:lang w:val="en-GB"/>
        </w:rPr>
        <w:t xml:space="preserve"> </w:t>
      </w:r>
      <w:r w:rsidR="002A3A13" w:rsidRPr="00AE2F32">
        <w:rPr>
          <w:sz w:val="22"/>
          <w:szCs w:val="22"/>
          <w:lang w:val="en-GB"/>
        </w:rPr>
        <w:lastRenderedPageBreak/>
        <w:t>After appointment of new director, which occurred with important violations</w:t>
      </w:r>
      <w:r w:rsidR="00AF1A58" w:rsidRPr="00AE2F32">
        <w:rPr>
          <w:sz w:val="22"/>
          <w:szCs w:val="22"/>
          <w:lang w:val="en-GB"/>
        </w:rPr>
        <w:t>,</w:t>
      </w:r>
      <w:r w:rsidR="00AF1A58" w:rsidRPr="00AE2F32">
        <w:rPr>
          <w:rStyle w:val="FootnoteReference"/>
          <w:sz w:val="22"/>
          <w:szCs w:val="22"/>
          <w:lang w:val="en-GB"/>
        </w:rPr>
        <w:footnoteReference w:id="154"/>
      </w:r>
      <w:r w:rsidR="002A3A13" w:rsidRPr="00AE2F32">
        <w:rPr>
          <w:sz w:val="22"/>
          <w:szCs w:val="22"/>
          <w:lang w:val="en-GB"/>
        </w:rPr>
        <w:t xml:space="preserve"> </w:t>
      </w:r>
      <w:r w:rsidR="00AE752D">
        <w:rPr>
          <w:sz w:val="22"/>
          <w:szCs w:val="22"/>
          <w:lang w:val="en-GB"/>
        </w:rPr>
        <w:t>the series of dismissal of critical journalists commenced.</w:t>
      </w:r>
      <w:r w:rsidR="00256F01">
        <w:rPr>
          <w:sz w:val="22"/>
          <w:szCs w:val="22"/>
          <w:lang w:val="en-GB"/>
        </w:rPr>
        <w:t xml:space="preserve"> </w:t>
      </w:r>
      <w:r w:rsidR="00A4592D" w:rsidRPr="00AE2F32">
        <w:rPr>
          <w:sz w:val="22"/>
          <w:szCs w:val="22"/>
          <w:lang w:val="en-GB"/>
        </w:rPr>
        <w:t>These developments caused change of editorial policy</w:t>
      </w:r>
      <w:r w:rsidR="00AE752D">
        <w:rPr>
          <w:sz w:val="22"/>
          <w:szCs w:val="22"/>
          <w:lang w:val="en-GB"/>
        </w:rPr>
        <w:t xml:space="preserve"> and represented evident restriction of freedom of expression</w:t>
      </w:r>
      <w:r w:rsidR="00AF1A58" w:rsidRPr="00AE2F32">
        <w:rPr>
          <w:sz w:val="22"/>
          <w:szCs w:val="22"/>
          <w:lang w:val="en-GB"/>
        </w:rPr>
        <w:t>.</w:t>
      </w:r>
      <w:r w:rsidR="00AF1A58" w:rsidRPr="00AE2F32">
        <w:rPr>
          <w:rStyle w:val="FootnoteReference"/>
          <w:sz w:val="22"/>
          <w:szCs w:val="22"/>
          <w:lang w:val="en-GB"/>
        </w:rPr>
        <w:footnoteReference w:id="155"/>
      </w:r>
      <w:r w:rsidR="00256F01">
        <w:rPr>
          <w:sz w:val="22"/>
          <w:szCs w:val="22"/>
          <w:lang w:val="en-GB"/>
        </w:rPr>
        <w:t xml:space="preserve"> </w:t>
      </w:r>
      <w:r w:rsidR="009C5088" w:rsidRPr="00AE2F32">
        <w:rPr>
          <w:sz w:val="22"/>
          <w:szCs w:val="22"/>
          <w:lang w:val="en-GB"/>
        </w:rPr>
        <w:t>Reporters Without Borders also criticized the current state of the Adjara Public Broadcaster and linked it to growing political pressure on state-owned media</w:t>
      </w:r>
      <w:r w:rsidR="00A26068" w:rsidRPr="00AE2F32">
        <w:rPr>
          <w:sz w:val="22"/>
          <w:szCs w:val="22"/>
          <w:lang w:val="en-GB"/>
        </w:rPr>
        <w:t>.</w:t>
      </w:r>
      <w:r w:rsidR="00A26068" w:rsidRPr="00AE2F32">
        <w:rPr>
          <w:rStyle w:val="FootnoteReference"/>
          <w:sz w:val="22"/>
          <w:szCs w:val="22"/>
          <w:lang w:val="en-GB"/>
        </w:rPr>
        <w:footnoteReference w:id="156"/>
      </w:r>
      <w:r w:rsidR="00A26068" w:rsidRPr="00AE2F32">
        <w:rPr>
          <w:sz w:val="22"/>
          <w:szCs w:val="22"/>
          <w:lang w:val="en-GB"/>
        </w:rPr>
        <w:t xml:space="preserve"> </w:t>
      </w:r>
      <w:r w:rsidR="009C5088" w:rsidRPr="00AE2F32">
        <w:rPr>
          <w:sz w:val="22"/>
          <w:szCs w:val="22"/>
          <w:lang w:val="en-GB"/>
        </w:rPr>
        <w:t xml:space="preserve">In March 2020, 38 non-governmental organizations operating in Georgia collectively appealed to international organizations </w:t>
      </w:r>
      <w:r w:rsidR="00A23D19" w:rsidRPr="00AE2F32">
        <w:rPr>
          <w:sz w:val="22"/>
          <w:szCs w:val="22"/>
          <w:lang w:val="en-GB"/>
        </w:rPr>
        <w:t>on the</w:t>
      </w:r>
      <w:r w:rsidR="009C5088" w:rsidRPr="00AE2F32">
        <w:rPr>
          <w:sz w:val="22"/>
          <w:szCs w:val="22"/>
          <w:lang w:val="en-GB"/>
        </w:rPr>
        <w:t xml:space="preserve"> restrict</w:t>
      </w:r>
      <w:r w:rsidR="00A23D19" w:rsidRPr="00AE2F32">
        <w:rPr>
          <w:sz w:val="22"/>
          <w:szCs w:val="22"/>
          <w:lang w:val="en-GB"/>
        </w:rPr>
        <w:t>ion of</w:t>
      </w:r>
      <w:r w:rsidR="009C5088" w:rsidRPr="00AE2F32">
        <w:rPr>
          <w:sz w:val="22"/>
          <w:szCs w:val="22"/>
          <w:lang w:val="en-GB"/>
        </w:rPr>
        <w:t xml:space="preserve"> the </w:t>
      </w:r>
      <w:r w:rsidR="00A23D19" w:rsidRPr="00AE2F32">
        <w:rPr>
          <w:sz w:val="22"/>
          <w:szCs w:val="22"/>
          <w:lang w:val="en-GB"/>
        </w:rPr>
        <w:t>freedom</w:t>
      </w:r>
      <w:r w:rsidR="009C5088" w:rsidRPr="00AE2F32">
        <w:rPr>
          <w:sz w:val="22"/>
          <w:szCs w:val="22"/>
          <w:lang w:val="en-GB"/>
        </w:rPr>
        <w:t xml:space="preserve"> of expression on the Adjara Broadcasting</w:t>
      </w:r>
      <w:r w:rsidR="00A26068" w:rsidRPr="00AE2F32">
        <w:rPr>
          <w:sz w:val="22"/>
          <w:szCs w:val="22"/>
          <w:lang w:val="en-GB"/>
        </w:rPr>
        <w:t>.</w:t>
      </w:r>
      <w:r w:rsidR="00A26068" w:rsidRPr="00AE2F32">
        <w:rPr>
          <w:rStyle w:val="FootnoteReference"/>
          <w:sz w:val="22"/>
          <w:szCs w:val="22"/>
          <w:lang w:val="en-GB"/>
        </w:rPr>
        <w:footnoteReference w:id="157"/>
      </w:r>
    </w:p>
    <w:p w14:paraId="15726F4B" w14:textId="77777777" w:rsidR="00F6667F" w:rsidRPr="00AE2F32" w:rsidRDefault="00F6667F" w:rsidP="00EB1CFE">
      <w:pPr>
        <w:jc w:val="both"/>
        <w:rPr>
          <w:sz w:val="22"/>
          <w:szCs w:val="22"/>
          <w:lang w:val="en-GB"/>
        </w:rPr>
      </w:pPr>
    </w:p>
    <w:p w14:paraId="3B7B44E7" w14:textId="77777777" w:rsidR="00574ABA" w:rsidRPr="00AE2F32" w:rsidRDefault="00574ABA" w:rsidP="00EB1CFE">
      <w:pPr>
        <w:jc w:val="both"/>
        <w:rPr>
          <w:sz w:val="22"/>
          <w:szCs w:val="22"/>
          <w:lang w:val="en-GB"/>
        </w:rPr>
      </w:pPr>
    </w:p>
    <w:p w14:paraId="2121A2D8" w14:textId="77E14C79" w:rsidR="00AF1A58" w:rsidRPr="00AE2F32" w:rsidRDefault="009C5088" w:rsidP="00574ABA">
      <w:pPr>
        <w:shd w:val="clear" w:color="auto" w:fill="C9C9C9" w:themeFill="accent3" w:themeFillTint="99"/>
        <w:jc w:val="both"/>
        <w:rPr>
          <w:b/>
          <w:sz w:val="22"/>
          <w:szCs w:val="22"/>
          <w:lang w:val="en-GB"/>
        </w:rPr>
      </w:pPr>
      <w:r w:rsidRPr="00AE2F32">
        <w:rPr>
          <w:b/>
          <w:sz w:val="22"/>
          <w:szCs w:val="22"/>
          <w:lang w:val="en-GB"/>
        </w:rPr>
        <w:t xml:space="preserve">Recommendations: </w:t>
      </w:r>
    </w:p>
    <w:p w14:paraId="4AF2E6BD" w14:textId="2B328291" w:rsidR="00A23D19" w:rsidRPr="00AE2F32" w:rsidRDefault="00A23D19" w:rsidP="0023502D">
      <w:pPr>
        <w:pStyle w:val="ListParagraph"/>
        <w:numPr>
          <w:ilvl w:val="0"/>
          <w:numId w:val="9"/>
        </w:numPr>
        <w:shd w:val="clear" w:color="auto" w:fill="C9C9C9" w:themeFill="accent3" w:themeFillTint="99"/>
        <w:jc w:val="both"/>
        <w:rPr>
          <w:sz w:val="22"/>
          <w:szCs w:val="22"/>
          <w:lang w:val="en-GB"/>
        </w:rPr>
      </w:pPr>
      <w:r w:rsidRPr="00AE2F32">
        <w:rPr>
          <w:sz w:val="22"/>
          <w:szCs w:val="22"/>
          <w:lang w:val="en-GB"/>
        </w:rPr>
        <w:t xml:space="preserve">Refuse </w:t>
      </w:r>
      <w:r w:rsidRPr="00AE2F32">
        <w:rPr>
          <w:sz w:val="22"/>
          <w:szCs w:val="22"/>
        </w:rPr>
        <w:t xml:space="preserve">adoption of </w:t>
      </w:r>
      <w:r w:rsidRPr="00AE2F32">
        <w:rPr>
          <w:sz w:val="22"/>
          <w:szCs w:val="22"/>
          <w:lang w:val="en-GB"/>
        </w:rPr>
        <w:t xml:space="preserve">a law that would transfer issues covered by the broadcaster's self-regulatory mechanisms to </w:t>
      </w:r>
      <w:r w:rsidR="006653E2">
        <w:rPr>
          <w:sz w:val="22"/>
          <w:szCs w:val="22"/>
          <w:lang w:val="en-GB"/>
        </w:rPr>
        <w:t xml:space="preserve">state </w:t>
      </w:r>
      <w:r w:rsidRPr="00AE2F32">
        <w:rPr>
          <w:sz w:val="22"/>
          <w:szCs w:val="22"/>
          <w:lang w:val="en-GB"/>
        </w:rPr>
        <w:t>regulation</w:t>
      </w:r>
      <w:r w:rsidR="006653E2">
        <w:rPr>
          <w:sz w:val="22"/>
          <w:szCs w:val="22"/>
          <w:lang w:val="en-GB"/>
        </w:rPr>
        <w:t>;</w:t>
      </w:r>
    </w:p>
    <w:p w14:paraId="4D55E848" w14:textId="4BC7B0FE" w:rsidR="00A23D19" w:rsidRPr="00AE2F32" w:rsidRDefault="00A23D19" w:rsidP="0023502D">
      <w:pPr>
        <w:pStyle w:val="ListParagraph"/>
        <w:numPr>
          <w:ilvl w:val="0"/>
          <w:numId w:val="9"/>
        </w:numPr>
        <w:shd w:val="clear" w:color="auto" w:fill="C9C9C9" w:themeFill="accent3" w:themeFillTint="99"/>
        <w:jc w:val="both"/>
        <w:rPr>
          <w:sz w:val="22"/>
          <w:szCs w:val="22"/>
          <w:lang w:val="en-GB"/>
        </w:rPr>
      </w:pPr>
      <w:r w:rsidRPr="00AE2F32">
        <w:rPr>
          <w:sz w:val="22"/>
          <w:szCs w:val="22"/>
          <w:lang w:val="en-GB"/>
        </w:rPr>
        <w:t>Ensure the real independence of the Public Broadcaster</w:t>
      </w:r>
      <w:r w:rsidR="006653E2">
        <w:rPr>
          <w:sz w:val="22"/>
          <w:szCs w:val="22"/>
          <w:lang w:val="en-GB"/>
        </w:rPr>
        <w:t xml:space="preserve"> and</w:t>
      </w:r>
      <w:r w:rsidR="00256F01">
        <w:rPr>
          <w:sz w:val="22"/>
          <w:szCs w:val="22"/>
          <w:lang w:val="en-GB"/>
        </w:rPr>
        <w:t xml:space="preserve"> </w:t>
      </w:r>
      <w:r w:rsidR="006653E2">
        <w:rPr>
          <w:sz w:val="22"/>
          <w:szCs w:val="22"/>
          <w:lang w:val="en-GB"/>
        </w:rPr>
        <w:t>b</w:t>
      </w:r>
      <w:r w:rsidRPr="00AE2F32">
        <w:rPr>
          <w:sz w:val="22"/>
          <w:szCs w:val="22"/>
          <w:lang w:val="en-GB"/>
        </w:rPr>
        <w:t>ring the legislative acts regulating its activities in line with the principles of the Public Broadcaster;</w:t>
      </w:r>
    </w:p>
    <w:p w14:paraId="02C3593C" w14:textId="43AE95C4" w:rsidR="004318CD" w:rsidRPr="00AE2F32" w:rsidRDefault="004318CD" w:rsidP="0023502D">
      <w:pPr>
        <w:pStyle w:val="ListParagraph"/>
        <w:numPr>
          <w:ilvl w:val="0"/>
          <w:numId w:val="9"/>
        </w:numPr>
        <w:shd w:val="clear" w:color="auto" w:fill="C9C9C9" w:themeFill="accent3" w:themeFillTint="99"/>
        <w:jc w:val="both"/>
        <w:rPr>
          <w:sz w:val="22"/>
          <w:szCs w:val="22"/>
          <w:lang w:val="en-GB"/>
        </w:rPr>
      </w:pPr>
      <w:r w:rsidRPr="00AE2F32">
        <w:rPr>
          <w:sz w:val="22"/>
          <w:szCs w:val="22"/>
          <w:lang w:val="en-GB"/>
        </w:rPr>
        <w:t>Timely and effectively investigate the facts of illegal interference in professional activities of media representatives and the cases of abuse (especially the cases of June 20-21, 2019)</w:t>
      </w:r>
    </w:p>
    <w:p w14:paraId="2F324038" w14:textId="77777777" w:rsidR="00A26068" w:rsidRPr="00AE2F32" w:rsidRDefault="00A26068" w:rsidP="00EB1CFE">
      <w:pPr>
        <w:rPr>
          <w:rFonts w:eastAsia="Times New Roman" w:cs="Times New Roman"/>
          <w:sz w:val="22"/>
          <w:szCs w:val="22"/>
          <w:lang w:val="en-GB"/>
        </w:rPr>
      </w:pPr>
    </w:p>
    <w:p w14:paraId="39DC8B0E" w14:textId="77777777" w:rsidR="00A26068" w:rsidRPr="00AE2F32" w:rsidRDefault="00A26068" w:rsidP="00EB1CFE">
      <w:pPr>
        <w:rPr>
          <w:rFonts w:eastAsia="Times New Roman" w:cs="Times New Roman"/>
          <w:sz w:val="22"/>
          <w:szCs w:val="22"/>
          <w:lang w:val="en-GB"/>
        </w:rPr>
      </w:pPr>
    </w:p>
    <w:p w14:paraId="5198C1CB" w14:textId="35DC3658" w:rsidR="00ED1CE8" w:rsidRPr="00AE2F32" w:rsidRDefault="00A23D19" w:rsidP="0023502D">
      <w:pPr>
        <w:pStyle w:val="Heading2"/>
        <w:numPr>
          <w:ilvl w:val="0"/>
          <w:numId w:val="15"/>
        </w:numPr>
        <w:spacing w:before="0"/>
        <w:rPr>
          <w:rFonts w:asciiTheme="minorHAnsi" w:hAnsiTheme="minorHAnsi" w:cs="Sylfaen"/>
          <w:sz w:val="22"/>
          <w:szCs w:val="22"/>
          <w:lang w:val="en-GB"/>
        </w:rPr>
      </w:pPr>
      <w:bookmarkStart w:id="57" w:name="_Toc48565951"/>
      <w:r w:rsidRPr="00AE2F32">
        <w:rPr>
          <w:rFonts w:asciiTheme="minorHAnsi" w:hAnsiTheme="minorHAnsi" w:cs="Sylfaen"/>
          <w:sz w:val="22"/>
          <w:szCs w:val="22"/>
          <w:lang w:val="en-GB"/>
        </w:rPr>
        <w:t>Article</w:t>
      </w:r>
      <w:r w:rsidR="00ED1CE8" w:rsidRPr="00AE2F32">
        <w:rPr>
          <w:rFonts w:asciiTheme="minorHAnsi" w:hAnsiTheme="minorHAnsi" w:cs="Sylfaen"/>
          <w:sz w:val="22"/>
          <w:szCs w:val="22"/>
          <w:lang w:val="en-GB"/>
        </w:rPr>
        <w:t xml:space="preserve"> 20: </w:t>
      </w:r>
      <w:r w:rsidRPr="00AE2F32">
        <w:rPr>
          <w:rFonts w:asciiTheme="minorHAnsi" w:hAnsiTheme="minorHAnsi" w:cs="Sylfaen"/>
          <w:sz w:val="22"/>
          <w:szCs w:val="22"/>
          <w:lang w:val="en-GB"/>
        </w:rPr>
        <w:t>Propaganda for War and Advocacy of National, Racial and Religious Hatred</w:t>
      </w:r>
      <w:bookmarkEnd w:id="57"/>
    </w:p>
    <w:p w14:paraId="550ECC32" w14:textId="77777777" w:rsidR="00D155B2" w:rsidRPr="00AE2F32" w:rsidRDefault="00D155B2" w:rsidP="00EB1CFE">
      <w:pPr>
        <w:rPr>
          <w:rFonts w:eastAsia="Times New Roman" w:cs="Times New Roman"/>
          <w:sz w:val="22"/>
          <w:szCs w:val="22"/>
          <w:lang w:val="en-GB"/>
        </w:rPr>
      </w:pPr>
    </w:p>
    <w:p w14:paraId="61F0BA5A" w14:textId="46DDE294" w:rsidR="007918A6" w:rsidRPr="00AE2F32" w:rsidRDefault="004318CD" w:rsidP="00EB1CFE">
      <w:pPr>
        <w:jc w:val="both"/>
        <w:rPr>
          <w:rFonts w:eastAsia="Times New Roman" w:cs="Times New Roman"/>
          <w:sz w:val="22"/>
          <w:szCs w:val="22"/>
          <w:lang w:val="en-GB"/>
        </w:rPr>
      </w:pPr>
      <w:r w:rsidRPr="00AE2F32">
        <w:rPr>
          <w:rFonts w:eastAsia="Times New Roman" w:cs="Times New Roman"/>
          <w:sz w:val="22"/>
          <w:szCs w:val="22"/>
          <w:lang w:val="en-GB"/>
        </w:rPr>
        <w:t xml:space="preserve">Although Georgian legislation explicitly prohibits incitement to violence and </w:t>
      </w:r>
      <w:r w:rsidR="00BB32A4" w:rsidRPr="00AE2F32">
        <w:rPr>
          <w:rFonts w:eastAsia="Times New Roman" w:cs="Times New Roman"/>
          <w:sz w:val="22"/>
          <w:szCs w:val="22"/>
          <w:lang w:val="en-GB"/>
        </w:rPr>
        <w:t>stirring up between</w:t>
      </w:r>
      <w:r w:rsidRPr="00AE2F32">
        <w:rPr>
          <w:rFonts w:eastAsia="Times New Roman" w:cs="Times New Roman"/>
          <w:sz w:val="22"/>
          <w:szCs w:val="22"/>
          <w:lang w:val="en-GB"/>
        </w:rPr>
        <w:t xml:space="preserve"> ethnic, religious, racial or other groups through oral, written or other means of expression</w:t>
      </w:r>
      <w:r w:rsidR="00BB32A4" w:rsidRPr="00AE2F32">
        <w:rPr>
          <w:rFonts w:eastAsia="Times New Roman" w:cs="Times New Roman"/>
          <w:sz w:val="22"/>
          <w:szCs w:val="22"/>
          <w:lang w:val="en-GB"/>
        </w:rPr>
        <w:t xml:space="preserve">, </w:t>
      </w:r>
      <w:r w:rsidR="006653E2">
        <w:rPr>
          <w:rFonts w:eastAsia="Times New Roman" w:cs="Times New Roman"/>
          <w:sz w:val="22"/>
          <w:szCs w:val="22"/>
          <w:lang w:val="en-GB"/>
        </w:rPr>
        <w:t>such acts</w:t>
      </w:r>
      <w:r w:rsidR="006653E2" w:rsidRPr="00AE2F32">
        <w:rPr>
          <w:rFonts w:eastAsia="Times New Roman" w:cs="Times New Roman"/>
          <w:sz w:val="22"/>
          <w:szCs w:val="22"/>
          <w:lang w:val="en-GB"/>
        </w:rPr>
        <w:t xml:space="preserve"> </w:t>
      </w:r>
      <w:r w:rsidR="00BB32A4" w:rsidRPr="00AE2F32">
        <w:rPr>
          <w:rFonts w:eastAsia="Times New Roman" w:cs="Times New Roman"/>
          <w:sz w:val="22"/>
          <w:szCs w:val="22"/>
          <w:lang w:val="en-GB"/>
        </w:rPr>
        <w:t xml:space="preserve">from far-right violent groups in Georgia have recently intensified, and in some cases have taken a serious form of tension. This process was particularly noticeable during and after the COVID 19 pandemic in the Kvemo Kartli region, which </w:t>
      </w:r>
      <w:r w:rsidR="006653E2">
        <w:rPr>
          <w:rFonts w:eastAsia="Times New Roman" w:cs="Times New Roman"/>
          <w:sz w:val="22"/>
          <w:szCs w:val="22"/>
          <w:lang w:val="en-GB"/>
        </w:rPr>
        <w:t xml:space="preserve">is </w:t>
      </w:r>
      <w:r w:rsidR="00BB32A4" w:rsidRPr="00AE2F32">
        <w:rPr>
          <w:rFonts w:eastAsia="Times New Roman" w:cs="Times New Roman"/>
          <w:sz w:val="22"/>
          <w:szCs w:val="22"/>
          <w:lang w:val="en-GB"/>
        </w:rPr>
        <w:t xml:space="preserve">densely populated by ethnic Azerbaijanis. </w:t>
      </w:r>
      <w:r w:rsidR="006653E2">
        <w:rPr>
          <w:rFonts w:eastAsia="Times New Roman" w:cs="Times New Roman"/>
          <w:sz w:val="22"/>
          <w:szCs w:val="22"/>
          <w:lang w:val="en-GB"/>
        </w:rPr>
        <w:t xml:space="preserve"> I</w:t>
      </w:r>
      <w:r w:rsidR="00BB32A4" w:rsidRPr="00AE2F32">
        <w:rPr>
          <w:rFonts w:eastAsia="Times New Roman" w:cs="Times New Roman"/>
          <w:sz w:val="22"/>
          <w:szCs w:val="22"/>
          <w:lang w:val="en-GB"/>
        </w:rPr>
        <w:t xml:space="preserve">dentification of the first infected person in one of the </w:t>
      </w:r>
      <w:r w:rsidR="006653E2" w:rsidRPr="00AE2F32">
        <w:rPr>
          <w:rFonts w:eastAsia="Times New Roman" w:cs="Times New Roman"/>
          <w:sz w:val="22"/>
          <w:szCs w:val="22"/>
          <w:lang w:val="en-GB"/>
        </w:rPr>
        <w:t xml:space="preserve">Kvemo Kartli </w:t>
      </w:r>
      <w:r w:rsidR="00BB32A4" w:rsidRPr="00AE2F32">
        <w:rPr>
          <w:rFonts w:eastAsia="Times New Roman" w:cs="Times New Roman"/>
          <w:sz w:val="22"/>
          <w:szCs w:val="22"/>
          <w:lang w:val="en-GB"/>
        </w:rPr>
        <w:t xml:space="preserve">municipalities was followed by the government's decision </w:t>
      </w:r>
      <w:r w:rsidR="006653E2">
        <w:rPr>
          <w:rFonts w:eastAsia="Times New Roman" w:cs="Times New Roman"/>
          <w:sz w:val="22"/>
          <w:szCs w:val="22"/>
          <w:lang w:val="en-GB"/>
        </w:rPr>
        <w:t>on</w:t>
      </w:r>
      <w:r w:rsidR="006653E2" w:rsidRPr="00AE2F32">
        <w:rPr>
          <w:rFonts w:eastAsia="Times New Roman" w:cs="Times New Roman"/>
          <w:sz w:val="22"/>
          <w:szCs w:val="22"/>
          <w:lang w:val="en-GB"/>
        </w:rPr>
        <w:t xml:space="preserve"> </w:t>
      </w:r>
      <w:r w:rsidR="00BB32A4" w:rsidRPr="00AE2F32">
        <w:rPr>
          <w:rFonts w:eastAsia="Times New Roman" w:cs="Times New Roman"/>
          <w:sz w:val="22"/>
          <w:szCs w:val="22"/>
          <w:lang w:val="en-GB"/>
        </w:rPr>
        <w:t>quarantine</w:t>
      </w:r>
      <w:r w:rsidR="0089301C" w:rsidRPr="00AE2F32">
        <w:rPr>
          <w:rFonts w:eastAsia="Times New Roman" w:cs="Times New Roman"/>
          <w:sz w:val="22"/>
          <w:szCs w:val="22"/>
          <w:lang w:val="en-GB"/>
        </w:rPr>
        <w:t>.</w:t>
      </w:r>
      <w:r w:rsidR="00387068" w:rsidRPr="00AE2F32">
        <w:rPr>
          <w:rStyle w:val="FootnoteReference"/>
          <w:rFonts w:eastAsia="Times New Roman" w:cs="Times New Roman"/>
          <w:sz w:val="22"/>
          <w:szCs w:val="22"/>
          <w:lang w:val="en-GB"/>
        </w:rPr>
        <w:footnoteReference w:id="158"/>
      </w:r>
      <w:r w:rsidR="0089301C" w:rsidRPr="00AE2F32">
        <w:rPr>
          <w:rFonts w:eastAsia="Times New Roman" w:cs="Times New Roman"/>
          <w:sz w:val="22"/>
          <w:szCs w:val="22"/>
          <w:lang w:val="en-GB"/>
        </w:rPr>
        <w:t xml:space="preserve"> </w:t>
      </w:r>
      <w:r w:rsidR="006653E2">
        <w:rPr>
          <w:rFonts w:eastAsia="Times New Roman" w:cs="Times New Roman"/>
          <w:sz w:val="22"/>
          <w:szCs w:val="22"/>
          <w:lang w:val="en-GB"/>
        </w:rPr>
        <w:t>This</w:t>
      </w:r>
      <w:r w:rsidR="00AB34E7" w:rsidRPr="00AE2F32">
        <w:rPr>
          <w:rFonts w:eastAsia="Times New Roman" w:cs="Times New Roman"/>
          <w:sz w:val="22"/>
          <w:szCs w:val="22"/>
          <w:lang w:val="en-GB"/>
        </w:rPr>
        <w:t xml:space="preserve"> was followed by a heavy wave of hate speech and calls for violence on ethnic grounds. Unfortunately, hate speech and chauvinism remained beyond the proper response of the authorities, including the extremely problematic and chauvinistic statement of a public official - the director of the National </w:t>
      </w:r>
      <w:proofErr w:type="spellStart"/>
      <w:r w:rsidR="00AB34E7" w:rsidRPr="00AE2F32">
        <w:rPr>
          <w:rFonts w:eastAsia="Times New Roman" w:cs="Times New Roman"/>
          <w:sz w:val="22"/>
          <w:szCs w:val="22"/>
          <w:lang w:val="en-GB"/>
        </w:rPr>
        <w:t>Center</w:t>
      </w:r>
      <w:proofErr w:type="spellEnd"/>
      <w:r w:rsidR="00AB34E7" w:rsidRPr="00AE2F32">
        <w:rPr>
          <w:rFonts w:eastAsia="Times New Roman" w:cs="Times New Roman"/>
          <w:sz w:val="22"/>
          <w:szCs w:val="22"/>
          <w:lang w:val="en-GB"/>
        </w:rPr>
        <w:t xml:space="preserve"> for Manuscripts.</w:t>
      </w:r>
      <w:r w:rsidR="00875C55" w:rsidRPr="00AE2F32">
        <w:rPr>
          <w:rStyle w:val="FootnoteReference"/>
          <w:rFonts w:eastAsia="Times New Roman" w:cs="Times New Roman"/>
          <w:sz w:val="22"/>
          <w:szCs w:val="22"/>
          <w:lang w:val="en-GB"/>
        </w:rPr>
        <w:footnoteReference w:id="159"/>
      </w:r>
      <w:r w:rsidR="00875C55" w:rsidRPr="00AE2F32">
        <w:rPr>
          <w:rFonts w:eastAsia="Times New Roman" w:cs="Times New Roman"/>
          <w:sz w:val="22"/>
          <w:szCs w:val="22"/>
          <w:lang w:val="en-GB"/>
        </w:rPr>
        <w:t xml:space="preserve">   </w:t>
      </w:r>
    </w:p>
    <w:p w14:paraId="6EA0D70A" w14:textId="6B3E95C0" w:rsidR="00875C55" w:rsidRPr="00AE2F32" w:rsidRDefault="00875C55" w:rsidP="00EB1CFE">
      <w:pPr>
        <w:jc w:val="both"/>
        <w:rPr>
          <w:rFonts w:eastAsia="Times New Roman" w:cs="Times New Roman"/>
          <w:sz w:val="22"/>
          <w:szCs w:val="22"/>
          <w:lang w:val="en-GB"/>
        </w:rPr>
      </w:pPr>
    </w:p>
    <w:p w14:paraId="55973A2A" w14:textId="0964BA4A" w:rsidR="00875C55" w:rsidRPr="00AE2F32" w:rsidRDefault="0098574A" w:rsidP="00EB1CFE">
      <w:pPr>
        <w:jc w:val="both"/>
        <w:rPr>
          <w:rFonts w:eastAsia="Times New Roman" w:cs="Times New Roman"/>
          <w:sz w:val="22"/>
          <w:szCs w:val="22"/>
          <w:lang w:val="en-GB"/>
        </w:rPr>
      </w:pPr>
      <w:r w:rsidRPr="00AE2F32">
        <w:rPr>
          <w:rFonts w:eastAsia="Times New Roman" w:cs="Times New Roman"/>
          <w:sz w:val="22"/>
          <w:szCs w:val="22"/>
          <w:lang w:val="en-GB"/>
        </w:rPr>
        <w:t xml:space="preserve">In the post-quarantine period, </w:t>
      </w:r>
      <w:r w:rsidR="00222E8B">
        <w:rPr>
          <w:rFonts w:eastAsia="Times New Roman" w:cs="Times New Roman"/>
          <w:sz w:val="22"/>
          <w:szCs w:val="22"/>
          <w:lang w:val="en-GB"/>
        </w:rPr>
        <w:t>the</w:t>
      </w:r>
      <w:r w:rsidRPr="00AE2F32">
        <w:rPr>
          <w:rFonts w:eastAsia="Times New Roman" w:cs="Times New Roman"/>
          <w:sz w:val="22"/>
          <w:szCs w:val="22"/>
          <w:lang w:val="en-GB"/>
        </w:rPr>
        <w:t xml:space="preserve"> second wave of ethnic tensions was followed by the restoration of a monument to ethnic Azerbaijani revolutionary, Bolshevik</w:t>
      </w:r>
      <w:r w:rsidR="00222E8B">
        <w:rPr>
          <w:rFonts w:eastAsia="Times New Roman" w:cs="Times New Roman"/>
          <w:sz w:val="22"/>
          <w:szCs w:val="22"/>
          <w:lang w:val="en-GB"/>
        </w:rPr>
        <w:t>,</w:t>
      </w:r>
      <w:r w:rsidRPr="00AE2F32">
        <w:rPr>
          <w:rFonts w:eastAsia="Times New Roman" w:cs="Times New Roman"/>
          <w:sz w:val="22"/>
          <w:szCs w:val="22"/>
          <w:lang w:val="en-GB"/>
        </w:rPr>
        <w:t xml:space="preserve"> and writer Nariman Narimanov in Kvemo Kartli, Marneuli Municipality</w:t>
      </w:r>
      <w:r w:rsidR="00DB0432" w:rsidRPr="00AE2F32">
        <w:rPr>
          <w:rFonts w:eastAsia="Times New Roman" w:cs="Times New Roman"/>
          <w:sz w:val="22"/>
          <w:szCs w:val="22"/>
          <w:lang w:val="en-GB"/>
        </w:rPr>
        <w:t>.</w:t>
      </w:r>
      <w:r w:rsidR="00987EE4" w:rsidRPr="00AE2F32">
        <w:rPr>
          <w:rStyle w:val="FootnoteReference"/>
          <w:rFonts w:eastAsia="Times New Roman" w:cs="Times New Roman"/>
          <w:sz w:val="22"/>
          <w:szCs w:val="22"/>
          <w:lang w:val="en-GB"/>
        </w:rPr>
        <w:footnoteReference w:id="160"/>
      </w:r>
      <w:r w:rsidR="00DB0432" w:rsidRPr="00AE2F32">
        <w:rPr>
          <w:rFonts w:eastAsia="Times New Roman" w:cs="Times New Roman"/>
          <w:sz w:val="22"/>
          <w:szCs w:val="22"/>
          <w:lang w:val="en-GB"/>
        </w:rPr>
        <w:t xml:space="preserve"> </w:t>
      </w:r>
      <w:r w:rsidRPr="00AE2F32">
        <w:rPr>
          <w:rFonts w:eastAsia="Times New Roman" w:cs="Times New Roman"/>
          <w:sz w:val="22"/>
          <w:szCs w:val="22"/>
          <w:lang w:val="en-GB"/>
        </w:rPr>
        <w:t xml:space="preserve">Such an action by the ethnically Azerbaijani mayor of Marneuli has been the subject of sharp criticism from the local Orthodox diocese, whose statement had a sharply chauvinistic connotation. The local bishop was supported by ultra-right groups. </w:t>
      </w:r>
      <w:r w:rsidR="00B3216C">
        <w:rPr>
          <w:rFonts w:eastAsia="Times New Roman" w:cs="Times New Roman"/>
          <w:sz w:val="22"/>
          <w:szCs w:val="22"/>
          <w:lang w:val="en-GB"/>
        </w:rPr>
        <w:t>SSS</w:t>
      </w:r>
      <w:r w:rsidRPr="00AE2F32">
        <w:rPr>
          <w:rFonts w:eastAsia="Times New Roman" w:cs="Times New Roman"/>
          <w:sz w:val="22"/>
          <w:szCs w:val="22"/>
          <w:lang w:val="en-GB"/>
        </w:rPr>
        <w:t xml:space="preserve"> has launched an investigation under the article of racial discrimination. As part of the investigation, SSS summoned a number of Azerbaijani activists and human rights activists. The investigation contained signs of freedom of expression </w:t>
      </w:r>
      <w:r w:rsidR="00C33170" w:rsidRPr="00AE2F32">
        <w:rPr>
          <w:rFonts w:eastAsia="Times New Roman" w:cs="Times New Roman"/>
          <w:sz w:val="22"/>
          <w:szCs w:val="22"/>
          <w:lang w:val="en-GB"/>
        </w:rPr>
        <w:t xml:space="preserve">and activist </w:t>
      </w:r>
      <w:r w:rsidRPr="00AE2F32">
        <w:rPr>
          <w:rFonts w:eastAsia="Times New Roman" w:cs="Times New Roman"/>
          <w:sz w:val="22"/>
          <w:szCs w:val="22"/>
          <w:lang w:val="en-GB"/>
        </w:rPr>
        <w:t>control</w:t>
      </w:r>
      <w:r w:rsidR="00B3216C">
        <w:rPr>
          <w:rFonts w:eastAsia="Times New Roman" w:cs="Times New Roman"/>
          <w:sz w:val="22"/>
          <w:szCs w:val="22"/>
          <w:lang w:val="en-GB"/>
        </w:rPr>
        <w:t>, as</w:t>
      </w:r>
      <w:r w:rsidR="00C33170" w:rsidRPr="00AE2F32">
        <w:rPr>
          <w:rFonts w:eastAsia="Times New Roman" w:cs="Times New Roman"/>
          <w:sz w:val="22"/>
          <w:szCs w:val="22"/>
          <w:lang w:val="en-GB"/>
        </w:rPr>
        <w:t xml:space="preserve"> </w:t>
      </w:r>
      <w:r w:rsidR="00B3216C">
        <w:rPr>
          <w:rFonts w:eastAsia="Times New Roman" w:cs="Times New Roman"/>
          <w:sz w:val="22"/>
          <w:szCs w:val="22"/>
          <w:lang w:val="en-GB"/>
        </w:rPr>
        <w:t>e</w:t>
      </w:r>
      <w:r w:rsidR="00C33170" w:rsidRPr="00AE2F32">
        <w:rPr>
          <w:rFonts w:eastAsia="Times New Roman" w:cs="Times New Roman"/>
          <w:sz w:val="22"/>
          <w:szCs w:val="22"/>
          <w:lang w:val="en-GB"/>
        </w:rPr>
        <w:t xml:space="preserve">xamination the public positions and criticism of activists as part of the </w:t>
      </w:r>
      <w:r w:rsidR="00C33170" w:rsidRPr="00AE2F32">
        <w:rPr>
          <w:rFonts w:eastAsia="Times New Roman" w:cs="Times New Roman"/>
          <w:sz w:val="22"/>
          <w:szCs w:val="22"/>
          <w:lang w:val="en-GB"/>
        </w:rPr>
        <w:lastRenderedPageBreak/>
        <w:t>investigation may have the effect of weakening freedom of expression and social activism. This investigation once again shows the problem of seeing minorities through security perspective. Although the discussion on the monument and the radicalization of the processes by ultra-conservative groups required a timely political solution, none of the political agencies, including the Office of the State Minister for Reconciliation and Civic Equality, even appeared in the process.</w:t>
      </w:r>
      <w:r w:rsidR="009E75CE" w:rsidRPr="00AE2F32">
        <w:rPr>
          <w:rStyle w:val="FootnoteReference"/>
          <w:rFonts w:eastAsia="Times New Roman" w:cs="Times New Roman"/>
          <w:sz w:val="22"/>
          <w:szCs w:val="22"/>
          <w:lang w:val="en-GB"/>
        </w:rPr>
        <w:footnoteReference w:id="161"/>
      </w:r>
      <w:r w:rsidR="00F152A5" w:rsidRPr="00AE2F32">
        <w:rPr>
          <w:rFonts w:eastAsia="Times New Roman" w:cs="Times New Roman"/>
          <w:sz w:val="22"/>
          <w:szCs w:val="22"/>
          <w:lang w:val="en-GB"/>
        </w:rPr>
        <w:t xml:space="preserve"> </w:t>
      </w:r>
    </w:p>
    <w:p w14:paraId="4483495A" w14:textId="03F5592C" w:rsidR="00177C90" w:rsidRPr="00AE2F32" w:rsidRDefault="00177C90" w:rsidP="00EB1CFE">
      <w:pPr>
        <w:rPr>
          <w:rFonts w:eastAsia="Times New Roman" w:cs="Times New Roman"/>
          <w:b/>
          <w:bCs/>
          <w:sz w:val="22"/>
          <w:szCs w:val="22"/>
          <w:lang w:val="en-GB"/>
        </w:rPr>
      </w:pPr>
    </w:p>
    <w:p w14:paraId="766A9644" w14:textId="1D9D6402" w:rsidR="00D155B2" w:rsidRPr="00AE2F32" w:rsidRDefault="0098574A" w:rsidP="00574ABA">
      <w:pPr>
        <w:shd w:val="clear" w:color="auto" w:fill="C9C9C9" w:themeFill="accent3" w:themeFillTint="99"/>
        <w:jc w:val="both"/>
        <w:rPr>
          <w:b/>
          <w:sz w:val="22"/>
          <w:szCs w:val="22"/>
          <w:lang w:val="en-GB"/>
        </w:rPr>
      </w:pPr>
      <w:r w:rsidRPr="00AE2F32">
        <w:rPr>
          <w:b/>
          <w:sz w:val="22"/>
          <w:szCs w:val="22"/>
          <w:lang w:val="en-GB"/>
        </w:rPr>
        <w:t xml:space="preserve">Recommendations: </w:t>
      </w:r>
    </w:p>
    <w:p w14:paraId="51F3DB20" w14:textId="77777777" w:rsidR="00D155B2" w:rsidRPr="00AE2F32" w:rsidRDefault="00D155B2" w:rsidP="00574ABA">
      <w:pPr>
        <w:shd w:val="clear" w:color="auto" w:fill="C9C9C9" w:themeFill="accent3" w:themeFillTint="99"/>
        <w:jc w:val="both"/>
        <w:rPr>
          <w:b/>
          <w:sz w:val="22"/>
          <w:szCs w:val="22"/>
          <w:lang w:val="en-GB"/>
        </w:rPr>
      </w:pPr>
    </w:p>
    <w:p w14:paraId="6C7B00BA" w14:textId="65E90A19" w:rsidR="00C33170" w:rsidRPr="00AE2F32" w:rsidRDefault="00C33170" w:rsidP="0023502D">
      <w:pPr>
        <w:pStyle w:val="ListParagraph"/>
        <w:numPr>
          <w:ilvl w:val="0"/>
          <w:numId w:val="22"/>
        </w:numPr>
        <w:shd w:val="clear" w:color="auto" w:fill="C9C9C9" w:themeFill="accent3" w:themeFillTint="99"/>
        <w:jc w:val="both"/>
        <w:rPr>
          <w:bCs/>
          <w:sz w:val="22"/>
          <w:szCs w:val="22"/>
          <w:lang w:val="en-GB"/>
        </w:rPr>
      </w:pPr>
      <w:r w:rsidRPr="00AE2F32">
        <w:rPr>
          <w:bCs/>
          <w:sz w:val="22"/>
          <w:szCs w:val="22"/>
          <w:lang w:val="en-GB"/>
        </w:rPr>
        <w:t>Transfer jurisdiction over the investigation of equality-related crimes to the Ministry of Interior</w:t>
      </w:r>
      <w:r w:rsidR="00B3216C">
        <w:rPr>
          <w:bCs/>
          <w:sz w:val="22"/>
          <w:szCs w:val="22"/>
          <w:lang w:val="en-GB"/>
        </w:rPr>
        <w:t>, instead of SSS</w:t>
      </w:r>
      <w:r w:rsidRPr="00AE2F32">
        <w:rPr>
          <w:bCs/>
          <w:sz w:val="22"/>
          <w:szCs w:val="22"/>
          <w:lang w:val="en-GB"/>
        </w:rPr>
        <w:t>.</w:t>
      </w:r>
    </w:p>
    <w:p w14:paraId="184FD2E4" w14:textId="32106EFC" w:rsidR="00C33170" w:rsidRPr="00AE2F32" w:rsidRDefault="00C33170" w:rsidP="0023502D">
      <w:pPr>
        <w:pStyle w:val="ListParagraph"/>
        <w:numPr>
          <w:ilvl w:val="0"/>
          <w:numId w:val="22"/>
        </w:numPr>
        <w:shd w:val="clear" w:color="auto" w:fill="C9C9C9" w:themeFill="accent3" w:themeFillTint="99"/>
        <w:jc w:val="both"/>
        <w:rPr>
          <w:bCs/>
          <w:sz w:val="22"/>
          <w:szCs w:val="22"/>
          <w:lang w:val="en-GB"/>
        </w:rPr>
      </w:pPr>
      <w:r w:rsidRPr="00AE2F32">
        <w:rPr>
          <w:bCs/>
          <w:sz w:val="22"/>
          <w:szCs w:val="22"/>
          <w:lang w:val="en-GB"/>
        </w:rPr>
        <w:t xml:space="preserve">Strengthening human rights-based rhetoric against hate speech campaigns and organize relevant educational processes in the public service and society; </w:t>
      </w:r>
    </w:p>
    <w:p w14:paraId="550B7E01" w14:textId="77777777" w:rsidR="00875C55" w:rsidRPr="00AE2F32" w:rsidRDefault="00875C55" w:rsidP="00EB1CFE">
      <w:pPr>
        <w:rPr>
          <w:rFonts w:eastAsia="Times New Roman" w:cs="Times New Roman"/>
          <w:b/>
          <w:bCs/>
          <w:sz w:val="22"/>
          <w:szCs w:val="22"/>
          <w:lang w:val="en-GB"/>
        </w:rPr>
      </w:pPr>
    </w:p>
    <w:p w14:paraId="7261690A" w14:textId="028805A3" w:rsidR="007918A6" w:rsidRPr="00AE2F32" w:rsidRDefault="00AB34E7" w:rsidP="0023502D">
      <w:pPr>
        <w:pStyle w:val="Heading2"/>
        <w:numPr>
          <w:ilvl w:val="0"/>
          <w:numId w:val="15"/>
        </w:numPr>
        <w:spacing w:before="0"/>
        <w:rPr>
          <w:rFonts w:asciiTheme="minorHAnsi" w:hAnsiTheme="minorHAnsi" w:cs="Sylfaen"/>
          <w:sz w:val="22"/>
          <w:szCs w:val="22"/>
          <w:lang w:val="en-GB"/>
        </w:rPr>
      </w:pPr>
      <w:bookmarkStart w:id="58" w:name="_Toc48565952"/>
      <w:r w:rsidRPr="00AE2F32">
        <w:rPr>
          <w:rFonts w:asciiTheme="minorHAnsi" w:hAnsiTheme="minorHAnsi" w:cs="Sylfaen"/>
          <w:sz w:val="22"/>
          <w:szCs w:val="22"/>
          <w:lang w:val="en-GB"/>
        </w:rPr>
        <w:t>Article</w:t>
      </w:r>
      <w:r w:rsidR="007918A6" w:rsidRPr="00AE2F32">
        <w:rPr>
          <w:rFonts w:asciiTheme="minorHAnsi" w:hAnsiTheme="minorHAnsi" w:cs="Sylfaen"/>
          <w:sz w:val="22"/>
          <w:szCs w:val="22"/>
          <w:lang w:val="en-GB"/>
        </w:rPr>
        <w:t xml:space="preserve"> 21: </w:t>
      </w:r>
      <w:r w:rsidRPr="00AE2F32">
        <w:rPr>
          <w:rFonts w:asciiTheme="minorHAnsi" w:hAnsiTheme="minorHAnsi" w:cs="Sylfaen"/>
          <w:sz w:val="22"/>
          <w:szCs w:val="22"/>
          <w:lang w:val="en-GB"/>
        </w:rPr>
        <w:t xml:space="preserve">Freedom of </w:t>
      </w:r>
      <w:r w:rsidR="0098574A" w:rsidRPr="00AE2F32">
        <w:rPr>
          <w:rFonts w:asciiTheme="minorHAnsi" w:hAnsiTheme="minorHAnsi" w:cs="Sylfaen"/>
          <w:sz w:val="22"/>
          <w:szCs w:val="22"/>
          <w:lang w:val="en-GB"/>
        </w:rPr>
        <w:t>Assembly</w:t>
      </w:r>
      <w:bookmarkEnd w:id="58"/>
    </w:p>
    <w:p w14:paraId="2D840756" w14:textId="77777777" w:rsidR="00087FE3" w:rsidRPr="00AE2F32" w:rsidRDefault="00087FE3" w:rsidP="00EB1CFE">
      <w:pPr>
        <w:jc w:val="both"/>
        <w:rPr>
          <w:rFonts w:cs="Sylfaen"/>
          <w:sz w:val="22"/>
          <w:szCs w:val="22"/>
          <w:lang w:val="en-GB"/>
        </w:rPr>
      </w:pPr>
    </w:p>
    <w:p w14:paraId="17DB2151" w14:textId="17CBE3D3" w:rsidR="00574ABA" w:rsidRPr="00AE2F32" w:rsidRDefault="001E462B" w:rsidP="00EB1CFE">
      <w:pPr>
        <w:jc w:val="both"/>
        <w:rPr>
          <w:sz w:val="22"/>
          <w:szCs w:val="22"/>
          <w:lang w:val="en-GB"/>
        </w:rPr>
      </w:pPr>
      <w:r w:rsidRPr="00AE2F32">
        <w:rPr>
          <w:sz w:val="22"/>
          <w:szCs w:val="22"/>
          <w:lang w:val="en-GB"/>
        </w:rPr>
        <w:t>Recently, the state has violated the right to peaceful assembly several times, used disproportionate and unnecessary force, which was critically assessed by the Public Defender,</w:t>
      </w:r>
      <w:r w:rsidR="00087FE3" w:rsidRPr="00AE2F32">
        <w:rPr>
          <w:rStyle w:val="FootnoteReference"/>
          <w:sz w:val="22"/>
          <w:szCs w:val="22"/>
          <w:lang w:val="en-GB"/>
        </w:rPr>
        <w:footnoteReference w:id="162"/>
      </w:r>
      <w:r w:rsidRPr="00AE2F32">
        <w:rPr>
          <w:sz w:val="22"/>
          <w:szCs w:val="22"/>
          <w:lang w:val="en-GB"/>
        </w:rPr>
        <w:t xml:space="preserve"> local</w:t>
      </w:r>
      <w:r w:rsidR="00087FE3" w:rsidRPr="00AE2F32">
        <w:rPr>
          <w:rStyle w:val="FootnoteReference"/>
          <w:sz w:val="22"/>
          <w:szCs w:val="22"/>
          <w:lang w:val="en-GB"/>
        </w:rPr>
        <w:footnoteReference w:id="163"/>
      </w:r>
      <w:r w:rsidR="00087FE3" w:rsidRPr="00AE2F32">
        <w:rPr>
          <w:sz w:val="22"/>
          <w:szCs w:val="22"/>
          <w:lang w:val="en-GB"/>
        </w:rPr>
        <w:t xml:space="preserve"> </w:t>
      </w:r>
      <w:r w:rsidRPr="00AE2F32">
        <w:rPr>
          <w:sz w:val="22"/>
          <w:szCs w:val="22"/>
          <w:lang w:val="en-GB"/>
        </w:rPr>
        <w:t>and international organizations</w:t>
      </w:r>
      <w:r w:rsidR="00087FE3" w:rsidRPr="00AE2F32">
        <w:rPr>
          <w:sz w:val="22"/>
          <w:szCs w:val="22"/>
          <w:lang w:val="en-GB"/>
        </w:rPr>
        <w:t>.</w:t>
      </w:r>
      <w:r w:rsidR="00087FE3" w:rsidRPr="00AE2F32">
        <w:rPr>
          <w:rStyle w:val="FootnoteReference"/>
          <w:sz w:val="22"/>
          <w:szCs w:val="22"/>
          <w:lang w:val="en-GB"/>
        </w:rPr>
        <w:footnoteReference w:id="164"/>
      </w:r>
    </w:p>
    <w:p w14:paraId="03EFC888" w14:textId="77777777" w:rsidR="00781748" w:rsidRPr="00AE2F32" w:rsidRDefault="00781748" w:rsidP="00EB1CFE">
      <w:pPr>
        <w:jc w:val="both"/>
        <w:rPr>
          <w:sz w:val="22"/>
          <w:szCs w:val="22"/>
          <w:lang w:val="en-GB"/>
        </w:rPr>
      </w:pPr>
    </w:p>
    <w:p w14:paraId="60DAD20F" w14:textId="44BE0637" w:rsidR="00087FE3" w:rsidRPr="00AE2F32" w:rsidRDefault="009F3BB5" w:rsidP="00EB1CFE">
      <w:pPr>
        <w:jc w:val="both"/>
        <w:rPr>
          <w:rFonts w:cs="Sylfaen"/>
          <w:i/>
          <w:iCs/>
          <w:sz w:val="22"/>
          <w:szCs w:val="22"/>
          <w:lang w:val="en-GB"/>
        </w:rPr>
      </w:pPr>
      <w:r>
        <w:rPr>
          <w:rFonts w:cs="Sylfaen"/>
          <w:sz w:val="22"/>
          <w:szCs w:val="22"/>
          <w:lang w:val="en-GB"/>
        </w:rPr>
        <w:t xml:space="preserve">As </w:t>
      </w:r>
      <w:r w:rsidR="00781748" w:rsidRPr="00AE2F32">
        <w:rPr>
          <w:rFonts w:cs="Sylfaen"/>
          <w:sz w:val="22"/>
          <w:szCs w:val="22"/>
          <w:lang w:val="en-GB"/>
        </w:rPr>
        <w:t>a result of</w:t>
      </w:r>
      <w:r>
        <w:rPr>
          <w:rFonts w:cs="Sylfaen"/>
          <w:sz w:val="22"/>
          <w:szCs w:val="22"/>
          <w:lang w:val="en-GB"/>
        </w:rPr>
        <w:t xml:space="preserve"> </w:t>
      </w:r>
      <w:r w:rsidRPr="00AE2F32">
        <w:rPr>
          <w:sz w:val="22"/>
          <w:szCs w:val="22"/>
          <w:lang w:val="en-GB"/>
        </w:rPr>
        <w:t xml:space="preserve">dispersal </w:t>
      </w:r>
      <w:r>
        <w:rPr>
          <w:sz w:val="22"/>
          <w:szCs w:val="22"/>
          <w:lang w:val="en-GB"/>
        </w:rPr>
        <w:t>large-scale protest</w:t>
      </w:r>
      <w:r>
        <w:rPr>
          <w:sz w:val="22"/>
          <w:szCs w:val="22"/>
        </w:rPr>
        <w:t xml:space="preserve"> on</w:t>
      </w:r>
      <w:r>
        <w:rPr>
          <w:rFonts w:ascii="Sylfaen" w:hAnsi="Sylfaen"/>
          <w:sz w:val="22"/>
          <w:szCs w:val="22"/>
          <w:lang w:val="ka-GE"/>
        </w:rPr>
        <w:t xml:space="preserve"> </w:t>
      </w:r>
      <w:r w:rsidRPr="00AE2F32">
        <w:rPr>
          <w:sz w:val="22"/>
          <w:szCs w:val="22"/>
          <w:lang w:val="en-GB"/>
        </w:rPr>
        <w:t xml:space="preserve">June 20-21, 2019, </w:t>
      </w:r>
      <w:r w:rsidR="00781748" w:rsidRPr="00AE2F32">
        <w:rPr>
          <w:rFonts w:cs="Sylfaen"/>
          <w:sz w:val="22"/>
          <w:szCs w:val="22"/>
          <w:lang w:val="en-GB"/>
        </w:rPr>
        <w:t xml:space="preserve">peaceful demonstrators (more than 200 persons, including journalists) were injured. Journalists were interfered to fulfil their professional activity. Police, without prior notice, with use of tear gas, water cannons and rubber bullets, dismantled the </w:t>
      </w:r>
      <w:r>
        <w:rPr>
          <w:rFonts w:cs="Sylfaen"/>
          <w:sz w:val="22"/>
          <w:szCs w:val="22"/>
          <w:lang w:val="en-GB"/>
        </w:rPr>
        <w:t>demonstration</w:t>
      </w:r>
      <w:r w:rsidR="00781748" w:rsidRPr="00AE2F32">
        <w:rPr>
          <w:rFonts w:cs="Sylfaen"/>
          <w:sz w:val="22"/>
          <w:szCs w:val="22"/>
          <w:lang w:val="en-GB"/>
        </w:rPr>
        <w:t>.</w:t>
      </w:r>
      <w:r w:rsidR="00087FE3" w:rsidRPr="00AE2F32">
        <w:rPr>
          <w:rStyle w:val="FootnoteReference"/>
          <w:rFonts w:cs="Sylfaen"/>
          <w:sz w:val="22"/>
          <w:szCs w:val="22"/>
          <w:lang w:val="en-GB"/>
        </w:rPr>
        <w:footnoteReference w:id="165"/>
      </w:r>
      <w:r w:rsidR="00882889" w:rsidRPr="00AE2F32">
        <w:rPr>
          <w:rFonts w:cs="Sylfaen"/>
          <w:sz w:val="22"/>
          <w:szCs w:val="22"/>
          <w:lang w:val="en-GB"/>
        </w:rPr>
        <w:t xml:space="preserve"> </w:t>
      </w:r>
      <w:r w:rsidR="00781748" w:rsidRPr="00256F01">
        <w:rPr>
          <w:rFonts w:cs="Sylfaen"/>
          <w:sz w:val="22"/>
          <w:szCs w:val="22"/>
          <w:lang w:val="en-GB"/>
        </w:rPr>
        <w:t>(See Appendix</w:t>
      </w:r>
      <w:r w:rsidR="00882889" w:rsidRPr="00256F01">
        <w:rPr>
          <w:rFonts w:cs="Sylfaen"/>
          <w:sz w:val="22"/>
          <w:szCs w:val="22"/>
          <w:lang w:val="en-GB"/>
        </w:rPr>
        <w:t xml:space="preserve"> N</w:t>
      </w:r>
      <w:r w:rsidR="00F169A5" w:rsidRPr="00256F01">
        <w:rPr>
          <w:rFonts w:cs="Sylfaen"/>
          <w:sz w:val="22"/>
          <w:szCs w:val="22"/>
          <w:lang w:val="en-GB"/>
        </w:rPr>
        <w:t>4</w:t>
      </w:r>
      <w:r w:rsidR="00636398">
        <w:rPr>
          <w:rFonts w:cs="Sylfaen"/>
          <w:sz w:val="22"/>
          <w:szCs w:val="22"/>
          <w:lang w:val="en-GB"/>
        </w:rPr>
        <w:t xml:space="preserve">, </w:t>
      </w:r>
      <w:proofErr w:type="spellStart"/>
      <w:r w:rsidR="00636398">
        <w:rPr>
          <w:rFonts w:cs="Sylfaen"/>
          <w:sz w:val="22"/>
          <w:szCs w:val="22"/>
          <w:lang w:val="en-GB"/>
        </w:rPr>
        <w:t>pg</w:t>
      </w:r>
      <w:proofErr w:type="spellEnd"/>
      <w:r w:rsidR="00636398">
        <w:rPr>
          <w:rFonts w:cs="Sylfaen"/>
          <w:sz w:val="22"/>
          <w:szCs w:val="22"/>
          <w:lang w:val="en-GB"/>
        </w:rPr>
        <w:t>: 157-178</w:t>
      </w:r>
      <w:r w:rsidR="00882889" w:rsidRPr="00256F01">
        <w:rPr>
          <w:rFonts w:cs="Sylfaen"/>
          <w:sz w:val="22"/>
          <w:szCs w:val="22"/>
          <w:lang w:val="en-GB"/>
        </w:rPr>
        <w:t>)</w:t>
      </w:r>
    </w:p>
    <w:p w14:paraId="61B7DBA6" w14:textId="77777777" w:rsidR="00C10653" w:rsidRPr="00AE2F32" w:rsidRDefault="00C10653" w:rsidP="00EB1CFE">
      <w:pPr>
        <w:jc w:val="both"/>
        <w:rPr>
          <w:rFonts w:cs="Sylfaen"/>
          <w:i/>
          <w:iCs/>
          <w:sz w:val="22"/>
          <w:szCs w:val="22"/>
          <w:lang w:val="en-GB"/>
        </w:rPr>
      </w:pPr>
    </w:p>
    <w:p w14:paraId="45B973FF" w14:textId="1EC17212" w:rsidR="00087FE3" w:rsidRPr="00AE2F32" w:rsidRDefault="00C10653" w:rsidP="00EB1CFE">
      <w:pPr>
        <w:jc w:val="both"/>
        <w:rPr>
          <w:sz w:val="22"/>
          <w:szCs w:val="22"/>
          <w:lang w:val="en-GB"/>
        </w:rPr>
      </w:pPr>
      <w:r w:rsidRPr="00AE2F32">
        <w:rPr>
          <w:sz w:val="22"/>
          <w:szCs w:val="22"/>
          <w:lang w:val="en-GB"/>
        </w:rPr>
        <w:t xml:space="preserve">Police detained under administrative </w:t>
      </w:r>
      <w:r w:rsidR="009F3BB5">
        <w:rPr>
          <w:sz w:val="22"/>
          <w:szCs w:val="22"/>
          <w:lang w:val="en-GB"/>
        </w:rPr>
        <w:t>code,</w:t>
      </w:r>
      <w:r w:rsidR="009F3BB5" w:rsidRPr="00AE2F32">
        <w:rPr>
          <w:sz w:val="22"/>
          <w:szCs w:val="22"/>
          <w:lang w:val="en-GB"/>
        </w:rPr>
        <w:t xml:space="preserve"> </w:t>
      </w:r>
      <w:r w:rsidRPr="00AE2F32">
        <w:rPr>
          <w:sz w:val="22"/>
          <w:szCs w:val="22"/>
          <w:lang w:val="en-GB"/>
        </w:rPr>
        <w:t>342 protesters. The trials of the detainees were carried out with significant violations</w:t>
      </w:r>
      <w:r w:rsidR="009F3BB5">
        <w:rPr>
          <w:sz w:val="22"/>
          <w:szCs w:val="22"/>
          <w:lang w:val="en-GB"/>
        </w:rPr>
        <w:t xml:space="preserve"> </w:t>
      </w:r>
      <w:r w:rsidR="009F3BB5" w:rsidRPr="009F3BB5">
        <w:rPr>
          <w:sz w:val="22"/>
          <w:szCs w:val="22"/>
        </w:rPr>
        <w:t>even access to the lawyer haven’t sufficiently provided</w:t>
      </w:r>
      <w:r w:rsidRPr="00AE2F32">
        <w:rPr>
          <w:sz w:val="22"/>
          <w:szCs w:val="22"/>
          <w:lang w:val="en-GB"/>
        </w:rPr>
        <w:t>.</w:t>
      </w:r>
      <w:bookmarkStart w:id="59" w:name="_Ref48250950"/>
      <w:r w:rsidR="00087FE3" w:rsidRPr="00AE2F32">
        <w:rPr>
          <w:rStyle w:val="FootnoteReference"/>
          <w:rFonts w:cs="Sylfaen"/>
          <w:sz w:val="22"/>
          <w:szCs w:val="22"/>
          <w:lang w:val="en-GB"/>
        </w:rPr>
        <w:footnoteReference w:id="166"/>
      </w:r>
      <w:bookmarkEnd w:id="59"/>
      <w:r w:rsidR="00087FE3" w:rsidRPr="00AE2F32">
        <w:rPr>
          <w:rFonts w:cs="Sylfaen"/>
          <w:sz w:val="22"/>
          <w:szCs w:val="22"/>
          <w:lang w:val="en-GB"/>
        </w:rPr>
        <w:t xml:space="preserve"> </w:t>
      </w:r>
    </w:p>
    <w:p w14:paraId="5319388A" w14:textId="77777777" w:rsidR="00574ABA" w:rsidRPr="00AE2F32" w:rsidRDefault="00574ABA" w:rsidP="00EB1CFE">
      <w:pPr>
        <w:jc w:val="both"/>
        <w:rPr>
          <w:rFonts w:cs="Sylfaen"/>
          <w:sz w:val="22"/>
          <w:szCs w:val="22"/>
          <w:lang w:val="en-GB"/>
        </w:rPr>
      </w:pPr>
    </w:p>
    <w:p w14:paraId="6F88715B" w14:textId="412BB4B7" w:rsidR="00574ABA" w:rsidRPr="00AE2F32" w:rsidRDefault="00C10653" w:rsidP="00EB1CFE">
      <w:pPr>
        <w:jc w:val="both"/>
        <w:rPr>
          <w:rFonts w:cs="Sylfaen"/>
          <w:sz w:val="22"/>
          <w:szCs w:val="22"/>
          <w:lang w:val="en-GB"/>
        </w:rPr>
      </w:pPr>
      <w:r w:rsidRPr="00AE2F32">
        <w:rPr>
          <w:rFonts w:cs="Sylfaen"/>
          <w:sz w:val="22"/>
          <w:szCs w:val="22"/>
          <w:lang w:val="en-GB"/>
        </w:rPr>
        <w:t>The quality of the ongoing investigation</w:t>
      </w:r>
      <w:r w:rsidR="009F3BB5">
        <w:rPr>
          <w:rFonts w:cs="Sylfaen"/>
          <w:sz w:val="22"/>
          <w:szCs w:val="22"/>
          <w:lang w:val="en-GB"/>
        </w:rPr>
        <w:t xml:space="preserve"> </w:t>
      </w:r>
      <w:r w:rsidR="009F3BB5" w:rsidRPr="009F3BB5">
        <w:rPr>
          <w:rFonts w:cs="Sylfaen"/>
          <w:sz w:val="22"/>
          <w:szCs w:val="22"/>
          <w:lang w:val="en-GB"/>
        </w:rPr>
        <w:t>of these cases is</w:t>
      </w:r>
      <w:r w:rsidRPr="00AE2F32">
        <w:rPr>
          <w:rFonts w:cs="Sylfaen"/>
          <w:sz w:val="22"/>
          <w:szCs w:val="22"/>
          <w:lang w:val="en-GB"/>
        </w:rPr>
        <w:t xml:space="preserve"> problematic. </w:t>
      </w:r>
      <w:r w:rsidR="00B3216C">
        <w:rPr>
          <w:rFonts w:cs="Sylfaen"/>
          <w:sz w:val="22"/>
          <w:szCs w:val="22"/>
          <w:lang w:val="en-GB"/>
        </w:rPr>
        <w:t>Moreover,</w:t>
      </w:r>
      <w:r w:rsidRPr="00AE2F32">
        <w:rPr>
          <w:rFonts w:cs="Sylfaen"/>
          <w:sz w:val="22"/>
          <w:szCs w:val="22"/>
          <w:lang w:val="en-GB"/>
        </w:rPr>
        <w:t xml:space="preserve"> bias and loyalty of the state towards the police</w:t>
      </w:r>
      <w:r w:rsidR="009F3BB5">
        <w:rPr>
          <w:rFonts w:cs="Sylfaen"/>
          <w:sz w:val="22"/>
          <w:szCs w:val="22"/>
          <w:lang w:val="en-GB"/>
        </w:rPr>
        <w:t xml:space="preserve"> </w:t>
      </w:r>
      <w:r w:rsidR="009F3BB5" w:rsidRPr="009F3BB5">
        <w:rPr>
          <w:rFonts w:cs="Sylfaen"/>
          <w:sz w:val="22"/>
          <w:szCs w:val="22"/>
          <w:lang w:val="en-GB"/>
        </w:rPr>
        <w:t>officers is obvious</w:t>
      </w:r>
      <w:r w:rsidRPr="00AE2F32">
        <w:rPr>
          <w:rFonts w:cs="Sylfaen"/>
          <w:sz w:val="22"/>
          <w:szCs w:val="22"/>
          <w:lang w:val="en-GB"/>
        </w:rPr>
        <w:t xml:space="preserve">. </w:t>
      </w:r>
      <w:r w:rsidR="00FB7BF0" w:rsidRPr="00AE2F32">
        <w:rPr>
          <w:rFonts w:cs="Sylfaen"/>
          <w:sz w:val="22"/>
          <w:szCs w:val="22"/>
          <w:lang w:val="en-GB"/>
        </w:rPr>
        <w:t>The number of accused protesters is significantly higher than the number of accused police officers, relatively light procedural measures have been applied to the police</w:t>
      </w:r>
      <w:r w:rsidR="00087FE3" w:rsidRPr="00AE2F32">
        <w:rPr>
          <w:rFonts w:cs="Sylfaen"/>
          <w:sz w:val="22"/>
          <w:szCs w:val="22"/>
          <w:lang w:val="en-GB"/>
        </w:rPr>
        <w:t>.</w:t>
      </w:r>
      <w:r w:rsidR="00087FE3" w:rsidRPr="00AE2F32">
        <w:rPr>
          <w:rStyle w:val="FootnoteReference"/>
          <w:rFonts w:cs="Sylfaen"/>
          <w:sz w:val="22"/>
          <w:szCs w:val="22"/>
          <w:lang w:val="en-GB"/>
        </w:rPr>
        <w:footnoteReference w:id="167"/>
      </w:r>
    </w:p>
    <w:p w14:paraId="27900BAE" w14:textId="77777777" w:rsidR="00E77D7C" w:rsidRPr="00AE2F32" w:rsidRDefault="00E77D7C" w:rsidP="00EB1CFE">
      <w:pPr>
        <w:jc w:val="both"/>
        <w:rPr>
          <w:rFonts w:cs="Sylfaen"/>
          <w:sz w:val="22"/>
          <w:szCs w:val="22"/>
          <w:lang w:val="en-GB"/>
        </w:rPr>
      </w:pPr>
    </w:p>
    <w:p w14:paraId="083D6199" w14:textId="494A2D98" w:rsidR="00087FE3" w:rsidRPr="00AE2F32" w:rsidRDefault="00FB7BF0" w:rsidP="00EB1CFE">
      <w:pPr>
        <w:jc w:val="both"/>
        <w:rPr>
          <w:rFonts w:cs="Sylfaen"/>
          <w:sz w:val="22"/>
          <w:szCs w:val="22"/>
          <w:lang w:val="en-GB"/>
        </w:rPr>
      </w:pPr>
      <w:r w:rsidRPr="00AE2F32">
        <w:rPr>
          <w:rFonts w:cs="Sylfaen"/>
          <w:sz w:val="22"/>
          <w:szCs w:val="22"/>
          <w:lang w:val="en-GB"/>
        </w:rPr>
        <w:t xml:space="preserve">Relatively light, though disproportionate and unnecessary force was used by the state against later organized </w:t>
      </w:r>
      <w:r w:rsidR="009F3BB5" w:rsidRPr="009F3BB5">
        <w:rPr>
          <w:rFonts w:cs="Sylfaen"/>
          <w:sz w:val="22"/>
          <w:szCs w:val="22"/>
          <w:lang w:val="en-GB"/>
        </w:rPr>
        <w:t>demonstrations</w:t>
      </w:r>
      <w:r w:rsidR="00087FE3" w:rsidRPr="00AE2F32">
        <w:rPr>
          <w:rFonts w:cs="Sylfaen"/>
          <w:sz w:val="22"/>
          <w:szCs w:val="22"/>
          <w:lang w:val="en-GB"/>
        </w:rPr>
        <w:t>.</w:t>
      </w:r>
      <w:bookmarkStart w:id="60" w:name="_Ref48250965"/>
      <w:r w:rsidR="00087FE3" w:rsidRPr="00AE2F32">
        <w:rPr>
          <w:rStyle w:val="FootnoteReference"/>
          <w:rFonts w:cs="Sylfaen"/>
          <w:sz w:val="22"/>
          <w:szCs w:val="22"/>
          <w:lang w:val="en-GB"/>
        </w:rPr>
        <w:footnoteReference w:id="168"/>
      </w:r>
      <w:bookmarkEnd w:id="60"/>
      <w:r w:rsidR="00087FE3" w:rsidRPr="00AE2F32">
        <w:rPr>
          <w:rFonts w:cs="Sylfaen"/>
          <w:sz w:val="22"/>
          <w:szCs w:val="22"/>
          <w:lang w:val="en-GB"/>
        </w:rPr>
        <w:t xml:space="preserve"> </w:t>
      </w:r>
    </w:p>
    <w:p w14:paraId="049E37A2" w14:textId="693E3190" w:rsidR="00574ABA" w:rsidRPr="00AE2F32" w:rsidRDefault="00574ABA" w:rsidP="00EB1CFE">
      <w:pPr>
        <w:jc w:val="both"/>
        <w:rPr>
          <w:rFonts w:cs="Sylfaen"/>
          <w:sz w:val="22"/>
          <w:szCs w:val="22"/>
          <w:lang w:val="en-GB"/>
        </w:rPr>
      </w:pPr>
    </w:p>
    <w:p w14:paraId="35D5D943" w14:textId="4BE59AD8" w:rsidR="00087FE3" w:rsidRPr="00AE2F32" w:rsidRDefault="00095BB1" w:rsidP="00EB1CFE">
      <w:pPr>
        <w:jc w:val="both"/>
        <w:rPr>
          <w:rFonts w:cs="Sylfaen"/>
          <w:sz w:val="22"/>
          <w:szCs w:val="22"/>
          <w:lang w:val="en-GB"/>
        </w:rPr>
      </w:pPr>
      <w:r w:rsidRPr="00AE2F32">
        <w:rPr>
          <w:rFonts w:cs="Sylfaen"/>
          <w:sz w:val="22"/>
          <w:szCs w:val="22"/>
          <w:lang w:val="en-GB"/>
        </w:rPr>
        <w:t>During these events, it was simultaneously problematic to determine the grounds for interfering with the right to peaceful assembly, as well as to protect the necessary preconditions for the dissolution of the rally, the issues of legality and proportionality of the force and means used.</w:t>
      </w:r>
      <w:r w:rsidR="00087FE3" w:rsidRPr="00AE2F32">
        <w:rPr>
          <w:rStyle w:val="FootnoteReference"/>
          <w:rFonts w:cs="Sylfaen"/>
          <w:sz w:val="22"/>
          <w:szCs w:val="22"/>
          <w:lang w:val="en-GB"/>
        </w:rPr>
        <w:footnoteReference w:id="169"/>
      </w:r>
      <w:r w:rsidR="00087FE3" w:rsidRPr="00AE2F32">
        <w:rPr>
          <w:rFonts w:cs="Sylfaen"/>
          <w:sz w:val="22"/>
          <w:szCs w:val="22"/>
          <w:lang w:val="en-GB"/>
        </w:rPr>
        <w:t xml:space="preserve"> </w:t>
      </w:r>
    </w:p>
    <w:p w14:paraId="4272280F" w14:textId="77777777" w:rsidR="00095BB1" w:rsidRPr="00AE2F32" w:rsidRDefault="00095BB1" w:rsidP="00EB1CFE">
      <w:pPr>
        <w:jc w:val="both"/>
        <w:rPr>
          <w:rFonts w:cs="Sylfaen"/>
          <w:sz w:val="22"/>
          <w:szCs w:val="22"/>
          <w:lang w:val="en-GB"/>
        </w:rPr>
      </w:pPr>
    </w:p>
    <w:p w14:paraId="67FCBF65" w14:textId="00D4E80F" w:rsidR="00087FE3" w:rsidRPr="00AE2F32" w:rsidRDefault="003533F0" w:rsidP="00EB1CFE">
      <w:pPr>
        <w:jc w:val="both"/>
        <w:rPr>
          <w:rFonts w:cs="Sylfaen"/>
          <w:sz w:val="22"/>
          <w:szCs w:val="22"/>
          <w:lang w:val="en-GB"/>
        </w:rPr>
      </w:pPr>
      <w:r>
        <w:rPr>
          <w:rFonts w:cs="Sylfaen"/>
          <w:sz w:val="22"/>
          <w:szCs w:val="22"/>
          <w:lang w:val="en-GB"/>
        </w:rPr>
        <w:t>In</w:t>
      </w:r>
      <w:r w:rsidR="00095BB1" w:rsidRPr="00AE2F32">
        <w:rPr>
          <w:rFonts w:cs="Sylfaen"/>
          <w:sz w:val="22"/>
          <w:szCs w:val="22"/>
          <w:lang w:val="en-GB"/>
        </w:rPr>
        <w:t xml:space="preserve"> legislat</w:t>
      </w:r>
      <w:r w:rsidR="00B3216C">
        <w:rPr>
          <w:rFonts w:cs="Sylfaen"/>
          <w:sz w:val="22"/>
          <w:szCs w:val="22"/>
          <w:lang w:val="en-GB"/>
        </w:rPr>
        <w:t>ion</w:t>
      </w:r>
      <w:r w:rsidR="00095BB1" w:rsidRPr="00AE2F32">
        <w:rPr>
          <w:rFonts w:cs="Sylfaen"/>
          <w:sz w:val="22"/>
          <w:szCs w:val="22"/>
          <w:lang w:val="en-GB"/>
        </w:rPr>
        <w:t xml:space="preserve"> there is no detailed regulation of holding various types of gatherings (including spontaneous and simultaneous), the pre-warning/negotiation with the organizers of the </w:t>
      </w:r>
      <w:r>
        <w:rPr>
          <w:rFonts w:cs="Sylfaen"/>
          <w:sz w:val="22"/>
          <w:szCs w:val="22"/>
          <w:lang w:val="en-GB"/>
        </w:rPr>
        <w:t>demonstration</w:t>
      </w:r>
      <w:r w:rsidR="00095BB1" w:rsidRPr="00AE2F32">
        <w:rPr>
          <w:rFonts w:cs="Sylfaen"/>
          <w:sz w:val="22"/>
          <w:szCs w:val="22"/>
          <w:lang w:val="en-GB"/>
        </w:rPr>
        <w:t>, separation of competencies between self-governing bodies and police</w:t>
      </w:r>
      <w:r w:rsidR="0063748F" w:rsidRPr="00AE2F32">
        <w:rPr>
          <w:rFonts w:cs="Sylfaen"/>
          <w:sz w:val="22"/>
          <w:szCs w:val="22"/>
          <w:lang w:val="en-GB"/>
        </w:rPr>
        <w:t>, unified legal regulation of using special means</w:t>
      </w:r>
      <w:r w:rsidR="00B37812" w:rsidRPr="00AE2F32">
        <w:rPr>
          <w:rFonts w:cs="Sylfaen"/>
          <w:sz w:val="22"/>
          <w:szCs w:val="22"/>
          <w:lang w:val="en-GB"/>
        </w:rPr>
        <w:t>.</w:t>
      </w:r>
      <w:r w:rsidR="00087FE3" w:rsidRPr="00AE2F32">
        <w:rPr>
          <w:rStyle w:val="FootnoteReference"/>
          <w:rFonts w:cs="Sylfaen"/>
          <w:sz w:val="22"/>
          <w:szCs w:val="22"/>
          <w:lang w:val="en-GB"/>
        </w:rPr>
        <w:footnoteReference w:id="170"/>
      </w:r>
      <w:r w:rsidR="00087FE3" w:rsidRPr="00AE2F32">
        <w:rPr>
          <w:rFonts w:cs="Sylfaen"/>
          <w:sz w:val="22"/>
          <w:szCs w:val="22"/>
          <w:lang w:val="en-GB"/>
        </w:rPr>
        <w:t xml:space="preserve"> </w:t>
      </w:r>
      <w:r w:rsidR="0063748F" w:rsidRPr="00AE2F32">
        <w:rPr>
          <w:rFonts w:cs="Sylfaen"/>
          <w:sz w:val="22"/>
          <w:szCs w:val="22"/>
          <w:lang w:val="en-GB"/>
        </w:rPr>
        <w:t xml:space="preserve">The state has no political will to use alternative mechanisms for responding to protests, to discuss public demands peacefully, or to compromise. Relevant bodies/individuals do not </w:t>
      </w:r>
      <w:r w:rsidR="00222E8B">
        <w:rPr>
          <w:rFonts w:cs="Sylfaen"/>
          <w:sz w:val="22"/>
          <w:szCs w:val="22"/>
          <w:lang w:val="en-GB"/>
        </w:rPr>
        <w:t>know</w:t>
      </w:r>
      <w:r w:rsidR="0063748F" w:rsidRPr="00AE2F32">
        <w:rPr>
          <w:rFonts w:cs="Sylfaen"/>
          <w:sz w:val="22"/>
          <w:szCs w:val="22"/>
          <w:lang w:val="en-GB"/>
        </w:rPr>
        <w:t xml:space="preserve"> to manage a public protest. </w:t>
      </w:r>
    </w:p>
    <w:p w14:paraId="5F0B1A2B" w14:textId="25F3B486" w:rsidR="00574ABA" w:rsidRPr="00AE2F32" w:rsidRDefault="00574ABA" w:rsidP="00EB1CFE">
      <w:pPr>
        <w:jc w:val="both"/>
        <w:rPr>
          <w:rFonts w:cs="Sylfaen"/>
          <w:sz w:val="22"/>
          <w:szCs w:val="22"/>
          <w:lang w:val="en-GB"/>
        </w:rPr>
      </w:pPr>
    </w:p>
    <w:p w14:paraId="5A2CE400" w14:textId="16490AE5" w:rsidR="00747D33" w:rsidRPr="00AE2F32" w:rsidRDefault="00747D33" w:rsidP="00747D33">
      <w:pPr>
        <w:jc w:val="both"/>
        <w:rPr>
          <w:sz w:val="22"/>
          <w:szCs w:val="22"/>
          <w:lang w:val="en-GB"/>
        </w:rPr>
      </w:pPr>
      <w:r w:rsidRPr="00AE2F32">
        <w:rPr>
          <w:rFonts w:cs="Sylfaen"/>
          <w:sz w:val="22"/>
          <w:szCs w:val="22"/>
          <w:lang w:val="en-GB"/>
        </w:rPr>
        <w:t xml:space="preserve">The Constitution of Georgia protects both pre-planned and spontaneous </w:t>
      </w:r>
      <w:r>
        <w:rPr>
          <w:rFonts w:cs="Sylfaen"/>
          <w:sz w:val="22"/>
          <w:szCs w:val="22"/>
          <w:lang w:val="en-GB"/>
        </w:rPr>
        <w:t>assemblies</w:t>
      </w:r>
      <w:r w:rsidRPr="00AE2F32">
        <w:rPr>
          <w:rFonts w:cs="Sylfaen"/>
          <w:sz w:val="22"/>
          <w:szCs w:val="22"/>
          <w:lang w:val="en-GB"/>
        </w:rPr>
        <w:t xml:space="preserve"> and demonstrations, however, the Law on Assemblies and Demonstrations does not </w:t>
      </w:r>
      <w:r>
        <w:rPr>
          <w:rFonts w:cs="Sylfaen"/>
          <w:sz w:val="22"/>
          <w:szCs w:val="22"/>
          <w:lang w:val="en-GB"/>
        </w:rPr>
        <w:t>specifically</w:t>
      </w:r>
      <w:r w:rsidRPr="00AE2F32">
        <w:rPr>
          <w:rFonts w:cs="Sylfaen"/>
          <w:sz w:val="22"/>
          <w:szCs w:val="22"/>
          <w:lang w:val="en-GB"/>
        </w:rPr>
        <w:t xml:space="preserve"> regulate spontaneous </w:t>
      </w:r>
      <w:r>
        <w:rPr>
          <w:rFonts w:cs="Sylfaen"/>
          <w:sz w:val="22"/>
          <w:szCs w:val="22"/>
          <w:lang w:val="en-GB"/>
        </w:rPr>
        <w:t>assemblies</w:t>
      </w:r>
      <w:r w:rsidRPr="00AE2F32">
        <w:rPr>
          <w:rFonts w:cs="Sylfaen"/>
          <w:sz w:val="22"/>
          <w:szCs w:val="22"/>
          <w:lang w:val="en-GB"/>
        </w:rPr>
        <w:t xml:space="preserve"> and general procedural rules apply, including the prior notice. Regardless </w:t>
      </w:r>
      <w:r>
        <w:rPr>
          <w:rFonts w:cs="Sylfaen"/>
          <w:sz w:val="22"/>
          <w:szCs w:val="22"/>
          <w:lang w:val="en-GB"/>
        </w:rPr>
        <w:t xml:space="preserve">of </w:t>
      </w:r>
      <w:r w:rsidRPr="00AE2F32">
        <w:rPr>
          <w:rFonts w:cs="Sylfaen"/>
          <w:sz w:val="22"/>
          <w:szCs w:val="22"/>
          <w:lang w:val="en-GB"/>
        </w:rPr>
        <w:t>the</w:t>
      </w:r>
      <w:r w:rsidR="009530E0">
        <w:rPr>
          <w:rFonts w:cs="Sylfaen"/>
          <w:sz w:val="22"/>
          <w:szCs w:val="22"/>
          <w:lang w:val="en-GB"/>
        </w:rPr>
        <w:t xml:space="preserve"> Venice Commission</w:t>
      </w:r>
      <w:r w:rsidRPr="00AE2F32">
        <w:rPr>
          <w:rFonts w:cs="Sylfaen"/>
          <w:sz w:val="22"/>
          <w:szCs w:val="22"/>
          <w:lang w:val="en-GB"/>
        </w:rPr>
        <w:t xml:space="preserve"> recommendation </w:t>
      </w:r>
      <w:r w:rsidRPr="00AE2F32">
        <w:rPr>
          <w:rStyle w:val="FootnoteReference"/>
          <w:sz w:val="22"/>
          <w:szCs w:val="22"/>
          <w:lang w:val="en-GB"/>
        </w:rPr>
        <w:footnoteReference w:id="171"/>
      </w:r>
      <w:r w:rsidRPr="00AE2F32">
        <w:rPr>
          <w:sz w:val="22"/>
          <w:szCs w:val="22"/>
          <w:lang w:val="en-GB"/>
        </w:rPr>
        <w:t xml:space="preserve"> </w:t>
      </w:r>
      <w:r w:rsidRPr="00AE2F32">
        <w:rPr>
          <w:sz w:val="22"/>
          <w:szCs w:val="22"/>
        </w:rPr>
        <w:t xml:space="preserve">amendments </w:t>
      </w:r>
      <w:r>
        <w:rPr>
          <w:sz w:val="22"/>
          <w:szCs w:val="22"/>
        </w:rPr>
        <w:t>concerning spontaneous assemblies have</w:t>
      </w:r>
      <w:r w:rsidRPr="00AE2F32">
        <w:rPr>
          <w:sz w:val="22"/>
          <w:szCs w:val="22"/>
        </w:rPr>
        <w:t xml:space="preserve"> not </w:t>
      </w:r>
      <w:r>
        <w:rPr>
          <w:sz w:val="22"/>
          <w:szCs w:val="22"/>
        </w:rPr>
        <w:t>yet been introduced</w:t>
      </w:r>
      <w:r w:rsidRPr="00AE2F32">
        <w:rPr>
          <w:sz w:val="22"/>
          <w:szCs w:val="22"/>
        </w:rPr>
        <w:t xml:space="preserve"> </w:t>
      </w:r>
      <w:r>
        <w:rPr>
          <w:sz w:val="22"/>
          <w:szCs w:val="22"/>
        </w:rPr>
        <w:t>to</w:t>
      </w:r>
      <w:r w:rsidRPr="00AE2F32">
        <w:rPr>
          <w:sz w:val="22"/>
          <w:szCs w:val="22"/>
        </w:rPr>
        <w:t xml:space="preserve"> the Law</w:t>
      </w:r>
      <w:r>
        <w:rPr>
          <w:sz w:val="22"/>
          <w:szCs w:val="22"/>
        </w:rPr>
        <w:t xml:space="preserve"> </w:t>
      </w:r>
      <w:r w:rsidRPr="00AE2F32">
        <w:rPr>
          <w:sz w:val="22"/>
          <w:szCs w:val="22"/>
        </w:rPr>
        <w:t xml:space="preserve">on Manifestations. </w:t>
      </w:r>
      <w:r>
        <w:rPr>
          <w:sz w:val="22"/>
          <w:szCs w:val="22"/>
        </w:rPr>
        <w:t>The Georgian l</w:t>
      </w:r>
      <w:r w:rsidRPr="00AE2F32">
        <w:rPr>
          <w:sz w:val="22"/>
          <w:szCs w:val="22"/>
        </w:rPr>
        <w:t>egislation does not so far provide for the right to hold spontaneous gatherings without prior notice. People do not have the opportunity</w:t>
      </w:r>
      <w:r>
        <w:rPr>
          <w:sz w:val="22"/>
          <w:szCs w:val="22"/>
        </w:rPr>
        <w:t xml:space="preserve"> </w:t>
      </w:r>
      <w:r w:rsidRPr="00AE2F32">
        <w:rPr>
          <w:sz w:val="22"/>
          <w:szCs w:val="22"/>
        </w:rPr>
        <w:t xml:space="preserve">to demonstrate on the roadway, without </w:t>
      </w:r>
      <w:r>
        <w:rPr>
          <w:sz w:val="22"/>
          <w:szCs w:val="22"/>
        </w:rPr>
        <w:t xml:space="preserve">the 5 days </w:t>
      </w:r>
      <w:r w:rsidRPr="00AE2F32">
        <w:rPr>
          <w:sz w:val="22"/>
          <w:szCs w:val="22"/>
        </w:rPr>
        <w:t>in advance</w:t>
      </w:r>
      <w:r>
        <w:rPr>
          <w:sz w:val="22"/>
          <w:szCs w:val="22"/>
        </w:rPr>
        <w:t xml:space="preserve"> notice, for</w:t>
      </w:r>
      <w:r w:rsidRPr="00AE2F32">
        <w:rPr>
          <w:sz w:val="22"/>
          <w:szCs w:val="22"/>
        </w:rPr>
        <w:t xml:space="preserve"> an event that could not</w:t>
      </w:r>
      <w:r>
        <w:rPr>
          <w:sz w:val="22"/>
          <w:szCs w:val="22"/>
        </w:rPr>
        <w:t xml:space="preserve"> have</w:t>
      </w:r>
      <w:r w:rsidRPr="00AE2F32">
        <w:rPr>
          <w:sz w:val="22"/>
          <w:szCs w:val="22"/>
        </w:rPr>
        <w:t xml:space="preserve"> be</w:t>
      </w:r>
      <w:r>
        <w:rPr>
          <w:sz w:val="22"/>
          <w:szCs w:val="22"/>
        </w:rPr>
        <w:t>en</w:t>
      </w:r>
      <w:r w:rsidRPr="00AE2F32">
        <w:rPr>
          <w:sz w:val="22"/>
          <w:szCs w:val="22"/>
        </w:rPr>
        <w:t xml:space="preserve"> </w:t>
      </w:r>
      <w:r>
        <w:rPr>
          <w:sz w:val="22"/>
          <w:szCs w:val="22"/>
        </w:rPr>
        <w:t>foreseen</w:t>
      </w:r>
      <w:r w:rsidR="009530E0">
        <w:rPr>
          <w:sz w:val="22"/>
          <w:szCs w:val="22"/>
        </w:rPr>
        <w:t xml:space="preserve">. </w:t>
      </w:r>
      <w:r w:rsidRPr="00AE2F32">
        <w:rPr>
          <w:sz w:val="22"/>
          <w:szCs w:val="22"/>
        </w:rPr>
        <w:t xml:space="preserve">, </w:t>
      </w:r>
    </w:p>
    <w:p w14:paraId="0733C0CD" w14:textId="75FF60A5" w:rsidR="00747D33" w:rsidRPr="00AE2F32" w:rsidRDefault="00747D33" w:rsidP="00747D33">
      <w:pPr>
        <w:jc w:val="both"/>
        <w:rPr>
          <w:sz w:val="22"/>
          <w:szCs w:val="22"/>
          <w:lang w:val="en-GB"/>
        </w:rPr>
      </w:pPr>
      <w:r w:rsidRPr="00AE2F32">
        <w:rPr>
          <w:sz w:val="22"/>
          <w:szCs w:val="22"/>
          <w:lang w:val="en-GB"/>
        </w:rPr>
        <w:t>The need for these amendments became apparent on May 12,</w:t>
      </w:r>
      <w:r>
        <w:rPr>
          <w:sz w:val="22"/>
          <w:szCs w:val="22"/>
          <w:lang w:val="en-GB"/>
        </w:rPr>
        <w:t xml:space="preserve"> </w:t>
      </w:r>
      <w:r w:rsidRPr="00AE2F32">
        <w:rPr>
          <w:sz w:val="22"/>
          <w:szCs w:val="22"/>
          <w:lang w:val="en-GB"/>
        </w:rPr>
        <w:t xml:space="preserve">2018, when a </w:t>
      </w:r>
      <w:r>
        <w:rPr>
          <w:sz w:val="22"/>
          <w:szCs w:val="22"/>
          <w:lang w:val="en-GB"/>
        </w:rPr>
        <w:t>serious</w:t>
      </w:r>
      <w:r w:rsidRPr="00AE2F32">
        <w:rPr>
          <w:sz w:val="22"/>
          <w:szCs w:val="22"/>
          <w:lang w:val="en-GB"/>
        </w:rPr>
        <w:t xml:space="preserve"> violation of the right to peaceful spontaneous assembly was reported in Tbilisi. The demonstration was </w:t>
      </w:r>
      <w:r>
        <w:rPr>
          <w:sz w:val="22"/>
          <w:szCs w:val="22"/>
          <w:lang w:val="en-GB"/>
        </w:rPr>
        <w:t>a response to</w:t>
      </w:r>
      <w:r w:rsidRPr="00AE2F32">
        <w:rPr>
          <w:sz w:val="22"/>
          <w:szCs w:val="22"/>
          <w:lang w:val="en-GB"/>
        </w:rPr>
        <w:t xml:space="preserve"> the large-scale police operation in the night clubs - "</w:t>
      </w:r>
      <w:proofErr w:type="spellStart"/>
      <w:r w:rsidRPr="00AE2F32">
        <w:rPr>
          <w:sz w:val="22"/>
          <w:szCs w:val="22"/>
          <w:lang w:val="en-GB"/>
        </w:rPr>
        <w:t>Basiani</w:t>
      </w:r>
      <w:proofErr w:type="spellEnd"/>
      <w:r w:rsidRPr="00AE2F32">
        <w:rPr>
          <w:sz w:val="22"/>
          <w:szCs w:val="22"/>
          <w:lang w:val="en-GB"/>
        </w:rPr>
        <w:t xml:space="preserve">" and "Gallery". </w:t>
      </w:r>
      <w:r>
        <w:rPr>
          <w:sz w:val="22"/>
          <w:szCs w:val="22"/>
          <w:lang w:val="en-GB"/>
        </w:rPr>
        <w:t>A</w:t>
      </w:r>
      <w:r w:rsidRPr="00AE2F32">
        <w:rPr>
          <w:sz w:val="22"/>
          <w:szCs w:val="22"/>
          <w:lang w:val="en-GB"/>
        </w:rPr>
        <w:t xml:space="preserve">bout 1,000 people joined the spontaneous </w:t>
      </w:r>
      <w:r>
        <w:rPr>
          <w:sz w:val="22"/>
          <w:szCs w:val="22"/>
          <w:lang w:val="en-GB"/>
        </w:rPr>
        <w:t>assembly</w:t>
      </w:r>
      <w:r w:rsidRPr="00AE2F32">
        <w:rPr>
          <w:sz w:val="22"/>
          <w:szCs w:val="22"/>
          <w:lang w:val="en-GB"/>
        </w:rPr>
        <w:t xml:space="preserve">, protesting peacefully. </w:t>
      </w:r>
      <w:r>
        <w:rPr>
          <w:sz w:val="22"/>
          <w:szCs w:val="22"/>
          <w:lang w:val="en-GB"/>
        </w:rPr>
        <w:t>Nevertheless</w:t>
      </w:r>
      <w:r w:rsidRPr="00AE2F32">
        <w:rPr>
          <w:sz w:val="22"/>
          <w:szCs w:val="22"/>
          <w:lang w:val="en-GB"/>
        </w:rPr>
        <w:t xml:space="preserve">, </w:t>
      </w:r>
      <w:r>
        <w:rPr>
          <w:sz w:val="22"/>
          <w:szCs w:val="22"/>
          <w:lang w:val="en-GB"/>
        </w:rPr>
        <w:t xml:space="preserve">the </w:t>
      </w:r>
      <w:r w:rsidRPr="00AE2F32">
        <w:rPr>
          <w:sz w:val="22"/>
          <w:szCs w:val="22"/>
          <w:lang w:val="en-GB"/>
        </w:rPr>
        <w:t xml:space="preserve">police used physical force to clear the sidewalks </w:t>
      </w:r>
      <w:r>
        <w:rPr>
          <w:sz w:val="22"/>
          <w:szCs w:val="22"/>
          <w:lang w:val="en-GB"/>
        </w:rPr>
        <w:t>from</w:t>
      </w:r>
      <w:r w:rsidRPr="00AE2F32">
        <w:rPr>
          <w:sz w:val="22"/>
          <w:szCs w:val="22"/>
          <w:lang w:val="en-GB"/>
        </w:rPr>
        <w:t xml:space="preserve"> protesters without any prior notice, legal or factual reasons, and reasonable time to leave the area peacefully. </w:t>
      </w:r>
      <w:r>
        <w:rPr>
          <w:sz w:val="22"/>
          <w:szCs w:val="22"/>
          <w:lang w:val="en-GB"/>
        </w:rPr>
        <w:t>Moreover, p</w:t>
      </w:r>
      <w:r w:rsidRPr="00AE2F32">
        <w:rPr>
          <w:sz w:val="22"/>
          <w:szCs w:val="22"/>
          <w:lang w:val="en-GB"/>
        </w:rPr>
        <w:t xml:space="preserve">olice detained 44 protesters under </w:t>
      </w:r>
      <w:r>
        <w:rPr>
          <w:sz w:val="22"/>
          <w:szCs w:val="22"/>
          <w:lang w:val="en-GB"/>
        </w:rPr>
        <w:t xml:space="preserve">the </w:t>
      </w:r>
      <w:r w:rsidRPr="00AE2F32">
        <w:rPr>
          <w:sz w:val="22"/>
          <w:szCs w:val="22"/>
          <w:lang w:val="en-GB"/>
        </w:rPr>
        <w:t>administrative rule.</w:t>
      </w:r>
      <w:r w:rsidRPr="00AE2F32">
        <w:rPr>
          <w:rStyle w:val="FootnoteReference"/>
          <w:sz w:val="22"/>
          <w:szCs w:val="22"/>
          <w:lang w:val="en-GB"/>
        </w:rPr>
        <w:footnoteReference w:id="172"/>
      </w:r>
      <w:r w:rsidRPr="00AE2F32">
        <w:rPr>
          <w:sz w:val="22"/>
          <w:szCs w:val="22"/>
          <w:lang w:val="en-GB"/>
        </w:rPr>
        <w:t xml:space="preserve"> </w:t>
      </w:r>
    </w:p>
    <w:p w14:paraId="2970CA54" w14:textId="77777777" w:rsidR="00087FE3" w:rsidRPr="00256F01" w:rsidRDefault="00087FE3" w:rsidP="00EB1CFE">
      <w:pPr>
        <w:jc w:val="both"/>
        <w:rPr>
          <w:rFonts w:cs="Sylfaen"/>
          <w:sz w:val="22"/>
          <w:szCs w:val="22"/>
          <w:lang w:val="ka-GE"/>
        </w:rPr>
      </w:pPr>
    </w:p>
    <w:p w14:paraId="670ED2E1" w14:textId="32F9357B" w:rsidR="00087FE3" w:rsidRPr="00AE2F32" w:rsidRDefault="004D6548" w:rsidP="00574ABA">
      <w:pPr>
        <w:shd w:val="clear" w:color="auto" w:fill="C9C9C9" w:themeFill="accent3" w:themeFillTint="99"/>
        <w:jc w:val="both"/>
        <w:rPr>
          <w:rFonts w:cs="Sylfaen"/>
          <w:b/>
          <w:iCs/>
          <w:sz w:val="22"/>
          <w:szCs w:val="22"/>
          <w:lang w:val="en-GB"/>
        </w:rPr>
      </w:pPr>
      <w:r w:rsidRPr="00AE2F32">
        <w:rPr>
          <w:rFonts w:cs="Sylfaen"/>
          <w:b/>
          <w:iCs/>
          <w:sz w:val="22"/>
          <w:szCs w:val="22"/>
          <w:lang w:val="en-GB"/>
        </w:rPr>
        <w:t xml:space="preserve">Recommendations: </w:t>
      </w:r>
    </w:p>
    <w:p w14:paraId="294BA72B" w14:textId="49BDABEF" w:rsidR="00092C74" w:rsidRPr="00AE2F32" w:rsidRDefault="000C1EC4" w:rsidP="0023502D">
      <w:pPr>
        <w:pStyle w:val="ListParagraph"/>
        <w:numPr>
          <w:ilvl w:val="0"/>
          <w:numId w:val="23"/>
        </w:numPr>
        <w:shd w:val="clear" w:color="auto" w:fill="C9C9C9" w:themeFill="accent3" w:themeFillTint="99"/>
        <w:jc w:val="both"/>
        <w:rPr>
          <w:rFonts w:cs="Sylfaen"/>
          <w:sz w:val="22"/>
          <w:szCs w:val="22"/>
          <w:lang w:val="en-GB"/>
        </w:rPr>
      </w:pPr>
      <w:r>
        <w:rPr>
          <w:rFonts w:cs="Sylfaen"/>
          <w:sz w:val="22"/>
          <w:szCs w:val="22"/>
          <w:lang w:val="en-GB"/>
        </w:rPr>
        <w:t>Regulate i</w:t>
      </w:r>
      <w:r w:rsidR="00092C74" w:rsidRPr="00AE2F32">
        <w:rPr>
          <w:rFonts w:cs="Sylfaen"/>
          <w:sz w:val="22"/>
          <w:szCs w:val="22"/>
          <w:lang w:val="en-GB"/>
        </w:rPr>
        <w:t>ssues related to the exercise of the right to peaceful assembly at legislative level;</w:t>
      </w:r>
    </w:p>
    <w:p w14:paraId="42AE9300" w14:textId="5A89BB64" w:rsidR="00092C74" w:rsidRPr="00AE2F32" w:rsidRDefault="000C1EC4" w:rsidP="0023502D">
      <w:pPr>
        <w:pStyle w:val="ListParagraph"/>
        <w:numPr>
          <w:ilvl w:val="0"/>
          <w:numId w:val="23"/>
        </w:numPr>
        <w:shd w:val="clear" w:color="auto" w:fill="C9C9C9" w:themeFill="accent3" w:themeFillTint="99"/>
        <w:jc w:val="both"/>
        <w:rPr>
          <w:rFonts w:cs="Sylfaen"/>
          <w:sz w:val="22"/>
          <w:szCs w:val="22"/>
          <w:lang w:val="en-GB"/>
        </w:rPr>
      </w:pPr>
      <w:r>
        <w:rPr>
          <w:rFonts w:cs="Sylfaen"/>
          <w:sz w:val="22"/>
          <w:szCs w:val="22"/>
          <w:lang w:val="en-GB"/>
        </w:rPr>
        <w:t>U</w:t>
      </w:r>
      <w:r w:rsidR="00092C74" w:rsidRPr="00AE2F32">
        <w:rPr>
          <w:rFonts w:cs="Sylfaen"/>
          <w:sz w:val="22"/>
          <w:szCs w:val="22"/>
          <w:lang w:val="en-GB"/>
        </w:rPr>
        <w:t xml:space="preserve">nwaveringly protect the right to peaceful assembly, and manage public protests peacefully, use the method of negotiating with the public, and minimize police response to rallies; </w:t>
      </w:r>
    </w:p>
    <w:p w14:paraId="15BC4FDB" w14:textId="29357A55" w:rsidR="00EC3E3A" w:rsidRPr="00AE2F32" w:rsidRDefault="00EC3E3A" w:rsidP="0023502D">
      <w:pPr>
        <w:pStyle w:val="ListParagraph"/>
        <w:numPr>
          <w:ilvl w:val="0"/>
          <w:numId w:val="23"/>
        </w:numPr>
        <w:shd w:val="clear" w:color="auto" w:fill="C9C9C9" w:themeFill="accent3" w:themeFillTint="99"/>
        <w:jc w:val="both"/>
        <w:rPr>
          <w:rFonts w:cs="Sylfaen"/>
          <w:sz w:val="22"/>
          <w:szCs w:val="22"/>
          <w:lang w:val="en-GB"/>
        </w:rPr>
      </w:pPr>
      <w:r w:rsidRPr="00AE2F32">
        <w:rPr>
          <w:rFonts w:cs="Sylfaen"/>
          <w:sz w:val="22"/>
          <w:szCs w:val="22"/>
          <w:lang w:val="en-GB"/>
        </w:rPr>
        <w:t>Interfere with the right to peaceful assembly only in cases expressly provided for by law and in compliance with key international standards;</w:t>
      </w:r>
    </w:p>
    <w:p w14:paraId="7B3264B3" w14:textId="578B7C3B" w:rsidR="00EC3E3A" w:rsidRPr="00AE2F32" w:rsidRDefault="00EC3E3A" w:rsidP="0023502D">
      <w:pPr>
        <w:pStyle w:val="ListParagraph"/>
        <w:numPr>
          <w:ilvl w:val="0"/>
          <w:numId w:val="23"/>
        </w:numPr>
        <w:shd w:val="clear" w:color="auto" w:fill="C9C9C9" w:themeFill="accent3" w:themeFillTint="99"/>
        <w:jc w:val="both"/>
        <w:rPr>
          <w:rFonts w:cs="Sylfaen"/>
          <w:sz w:val="22"/>
          <w:szCs w:val="22"/>
          <w:lang w:val="en-GB"/>
        </w:rPr>
      </w:pPr>
      <w:r w:rsidRPr="00AE2F32">
        <w:rPr>
          <w:rFonts w:cs="Sylfaen"/>
          <w:sz w:val="22"/>
          <w:szCs w:val="22"/>
          <w:lang w:val="en-GB"/>
        </w:rPr>
        <w:t xml:space="preserve">Relevant police units, their supervisors must undergo special training courses related to assembly management; </w:t>
      </w:r>
    </w:p>
    <w:p w14:paraId="02C02266" w14:textId="01ED9C59" w:rsidR="00EC3E3A" w:rsidRPr="00AE2F32" w:rsidRDefault="00EC3E3A" w:rsidP="0023502D">
      <w:pPr>
        <w:pStyle w:val="ListParagraph"/>
        <w:numPr>
          <w:ilvl w:val="0"/>
          <w:numId w:val="23"/>
        </w:numPr>
        <w:shd w:val="clear" w:color="auto" w:fill="C9C9C9" w:themeFill="accent3" w:themeFillTint="99"/>
        <w:jc w:val="both"/>
        <w:rPr>
          <w:sz w:val="22"/>
          <w:szCs w:val="22"/>
          <w:lang w:val="en-GB"/>
        </w:rPr>
      </w:pPr>
      <w:r w:rsidRPr="00AE2F32">
        <w:rPr>
          <w:sz w:val="22"/>
          <w:szCs w:val="22"/>
          <w:lang w:val="en-GB"/>
        </w:rPr>
        <w:t>Amend national legislation in line with the recommendations of the Venice Commission and regulate issues related to spontaneous assembly; In particular, an exception should be made to the general rule of early warning of the local self-government body and participants in peaceful assembly and demonstration should be allowed to block the roadway when prior notice of the relevant authorities is not possible.</w:t>
      </w:r>
    </w:p>
    <w:p w14:paraId="48D34DB5" w14:textId="77777777" w:rsidR="00087FE3" w:rsidRPr="00AE2F32" w:rsidRDefault="00087FE3" w:rsidP="00EB1CFE">
      <w:pPr>
        <w:rPr>
          <w:rFonts w:eastAsia="Times New Roman" w:cs="Times New Roman"/>
          <w:b/>
          <w:bCs/>
          <w:sz w:val="22"/>
          <w:szCs w:val="22"/>
          <w:lang w:val="en-GB"/>
        </w:rPr>
      </w:pPr>
    </w:p>
    <w:p w14:paraId="2E32BC20" w14:textId="1BF82C25" w:rsidR="004D6548" w:rsidRPr="00AE2F32" w:rsidRDefault="004D6548" w:rsidP="004D6548">
      <w:pPr>
        <w:shd w:val="clear" w:color="auto" w:fill="D0CECE"/>
        <w:jc w:val="both"/>
        <w:rPr>
          <w:b/>
          <w:bCs/>
          <w:color w:val="000000"/>
          <w:sz w:val="22"/>
          <w:szCs w:val="22"/>
          <w:lang w:val="en-GB"/>
        </w:rPr>
      </w:pPr>
      <w:r w:rsidRPr="00AE2F32">
        <w:rPr>
          <w:rFonts w:cs="Sylfaen"/>
          <w:b/>
          <w:bCs/>
          <w:color w:val="000000"/>
          <w:sz w:val="22"/>
          <w:szCs w:val="22"/>
          <w:lang w:val="en-GB"/>
        </w:rPr>
        <w:t xml:space="preserve">Questions: </w:t>
      </w:r>
    </w:p>
    <w:p w14:paraId="2756AD8C" w14:textId="77777777" w:rsidR="00EC3E3A" w:rsidRPr="00AE2F32" w:rsidRDefault="00EC3E3A" w:rsidP="0023502D">
      <w:pPr>
        <w:numPr>
          <w:ilvl w:val="0"/>
          <w:numId w:val="40"/>
        </w:numPr>
        <w:shd w:val="clear" w:color="auto" w:fill="D0CECE"/>
        <w:jc w:val="both"/>
        <w:rPr>
          <w:sz w:val="22"/>
          <w:szCs w:val="22"/>
          <w:lang w:val="en-GB"/>
        </w:rPr>
      </w:pPr>
      <w:r w:rsidRPr="00AE2F32">
        <w:rPr>
          <w:rFonts w:cs="Sylfaen"/>
          <w:sz w:val="22"/>
          <w:szCs w:val="22"/>
          <w:lang w:val="en-GB"/>
        </w:rPr>
        <w:t>What steps have been taken to regulate various types, including spontaneous assembly, at the legislative level?</w:t>
      </w:r>
    </w:p>
    <w:p w14:paraId="36FC7603" w14:textId="1732D9CE" w:rsidR="00EC3E3A" w:rsidRPr="00AE2F32" w:rsidRDefault="00EC3E3A" w:rsidP="0023502D">
      <w:pPr>
        <w:numPr>
          <w:ilvl w:val="0"/>
          <w:numId w:val="40"/>
        </w:numPr>
        <w:shd w:val="clear" w:color="auto" w:fill="D0CECE"/>
        <w:jc w:val="both"/>
        <w:rPr>
          <w:sz w:val="22"/>
          <w:szCs w:val="22"/>
          <w:lang w:val="en-GB"/>
        </w:rPr>
      </w:pPr>
      <w:r w:rsidRPr="00AE2F32">
        <w:rPr>
          <w:sz w:val="22"/>
          <w:szCs w:val="22"/>
          <w:lang w:val="en-GB"/>
        </w:rPr>
        <w:t xml:space="preserve">What steps have been taken in the police system to manage the assembly </w:t>
      </w:r>
      <w:r w:rsidR="00222E8B">
        <w:rPr>
          <w:sz w:val="22"/>
          <w:szCs w:val="22"/>
          <w:lang w:val="en-GB"/>
        </w:rPr>
        <w:t>to</w:t>
      </w:r>
      <w:r w:rsidRPr="00AE2F32">
        <w:rPr>
          <w:sz w:val="22"/>
          <w:szCs w:val="22"/>
          <w:lang w:val="en-GB"/>
        </w:rPr>
        <w:t xml:space="preserve"> develop a special training course?</w:t>
      </w:r>
    </w:p>
    <w:p w14:paraId="65AF31DF" w14:textId="624BDB97" w:rsidR="007D16E6" w:rsidRPr="00AE2F32" w:rsidRDefault="007D16E6" w:rsidP="0023502D">
      <w:pPr>
        <w:numPr>
          <w:ilvl w:val="0"/>
          <w:numId w:val="40"/>
        </w:numPr>
        <w:shd w:val="clear" w:color="auto" w:fill="D0CECE"/>
        <w:jc w:val="both"/>
        <w:rPr>
          <w:sz w:val="22"/>
          <w:szCs w:val="22"/>
          <w:lang w:val="en-GB"/>
        </w:rPr>
      </w:pPr>
      <w:r w:rsidRPr="00AE2F32">
        <w:rPr>
          <w:sz w:val="22"/>
          <w:szCs w:val="22"/>
          <w:lang w:val="en-GB"/>
        </w:rPr>
        <w:t>At what stage is the investigation of the violent actions by law enforcers on June 20-21?</w:t>
      </w:r>
    </w:p>
    <w:p w14:paraId="09D3EFFD" w14:textId="08987B6F" w:rsidR="00551EDC" w:rsidRPr="00AE2F32" w:rsidRDefault="00551EDC" w:rsidP="00551EDC">
      <w:pPr>
        <w:jc w:val="both"/>
        <w:rPr>
          <w:rFonts w:cs="Sylfaen"/>
          <w:sz w:val="22"/>
          <w:szCs w:val="22"/>
          <w:lang w:val="en-GB"/>
        </w:rPr>
      </w:pPr>
    </w:p>
    <w:p w14:paraId="5CC3F60A" w14:textId="6A4AD10B" w:rsidR="00035EFD" w:rsidRPr="00AE2F32" w:rsidRDefault="004D6548" w:rsidP="00551EDC">
      <w:pPr>
        <w:jc w:val="both"/>
        <w:rPr>
          <w:rFonts w:cs="Sylfaen"/>
          <w:i/>
          <w:iCs/>
          <w:sz w:val="22"/>
          <w:szCs w:val="22"/>
          <w:u w:val="single"/>
          <w:lang w:val="en-GB"/>
        </w:rPr>
      </w:pPr>
      <w:r w:rsidRPr="00AE2F32">
        <w:rPr>
          <w:rFonts w:cs="Sylfaen"/>
          <w:i/>
          <w:iCs/>
          <w:sz w:val="22"/>
          <w:szCs w:val="22"/>
          <w:u w:val="single"/>
          <w:lang w:val="en-GB"/>
        </w:rPr>
        <w:lastRenderedPageBreak/>
        <w:t>Right to Assembly for LGBTQ</w:t>
      </w:r>
    </w:p>
    <w:p w14:paraId="2791CA47" w14:textId="77777777" w:rsidR="00035EFD" w:rsidRPr="00AE2F32" w:rsidRDefault="00035EFD" w:rsidP="00551EDC">
      <w:pPr>
        <w:jc w:val="both"/>
        <w:rPr>
          <w:rFonts w:cs="Sylfaen"/>
          <w:sz w:val="22"/>
          <w:szCs w:val="22"/>
          <w:lang w:val="en-GB"/>
        </w:rPr>
      </w:pPr>
    </w:p>
    <w:p w14:paraId="1B1AF113" w14:textId="4EEEE300" w:rsidR="00551EDC" w:rsidRPr="00AE2F32" w:rsidRDefault="007D16E6" w:rsidP="007D16E6">
      <w:pPr>
        <w:jc w:val="both"/>
        <w:rPr>
          <w:rFonts w:cstheme="minorHAnsi"/>
          <w:sz w:val="22"/>
          <w:szCs w:val="22"/>
          <w:lang w:val="en-GB"/>
        </w:rPr>
      </w:pPr>
      <w:r w:rsidRPr="00AE2F32">
        <w:rPr>
          <w:rFonts w:cs="Sylfaen"/>
          <w:sz w:val="22"/>
          <w:szCs w:val="22"/>
          <w:lang w:val="en-GB"/>
        </w:rPr>
        <w:t xml:space="preserve">In Georgia, the exercise of the right to freedom of assembly and expression by LGBTQ people is still a significant problem, which is related to the attempts of certain groups in the society to privatize public space. </w:t>
      </w:r>
      <w:r w:rsidRPr="00AE2F32">
        <w:rPr>
          <w:rFonts w:cstheme="minorHAnsi"/>
          <w:sz w:val="22"/>
          <w:szCs w:val="22"/>
          <w:lang w:val="en-GB"/>
        </w:rPr>
        <w:t xml:space="preserve">Negative experiences from 2012-2013 until now to protect freedom of assembly and expression have provoked violence in the public sphere, which has also </w:t>
      </w:r>
      <w:r w:rsidR="00E34228" w:rsidRPr="00AE2F32">
        <w:rPr>
          <w:rFonts w:cstheme="minorHAnsi"/>
          <w:sz w:val="22"/>
          <w:szCs w:val="22"/>
          <w:lang w:val="en-GB"/>
        </w:rPr>
        <w:t xml:space="preserve">revealed </w:t>
      </w:r>
      <w:r w:rsidRPr="00AE2F32">
        <w:rPr>
          <w:rFonts w:cstheme="minorHAnsi"/>
          <w:sz w:val="22"/>
          <w:szCs w:val="22"/>
          <w:lang w:val="en-GB"/>
        </w:rPr>
        <w:t>in the</w:t>
      </w:r>
      <w:r w:rsidR="00E34228" w:rsidRPr="00AE2F32">
        <w:rPr>
          <w:rFonts w:cstheme="minorHAnsi"/>
          <w:sz w:val="22"/>
          <w:szCs w:val="22"/>
          <w:lang w:val="en-GB"/>
        </w:rPr>
        <w:t xml:space="preserve"> state’s</w:t>
      </w:r>
      <w:r w:rsidRPr="00AE2F32">
        <w:rPr>
          <w:rFonts w:cstheme="minorHAnsi"/>
          <w:sz w:val="22"/>
          <w:szCs w:val="22"/>
          <w:lang w:val="en-GB"/>
        </w:rPr>
        <w:t xml:space="preserve"> failure </w:t>
      </w:r>
      <w:r w:rsidR="00222E8B">
        <w:rPr>
          <w:rFonts w:cstheme="minorHAnsi"/>
          <w:sz w:val="22"/>
          <w:szCs w:val="22"/>
          <w:lang w:val="en-GB"/>
        </w:rPr>
        <w:t xml:space="preserve">to </w:t>
      </w:r>
      <w:r w:rsidRPr="00AE2F32">
        <w:rPr>
          <w:rFonts w:cstheme="minorHAnsi"/>
          <w:sz w:val="22"/>
          <w:szCs w:val="22"/>
          <w:lang w:val="en-GB"/>
        </w:rPr>
        <w:t xml:space="preserve">ensure both  fundamental human </w:t>
      </w:r>
      <w:r w:rsidR="00222E8B">
        <w:rPr>
          <w:rFonts w:cstheme="minorHAnsi"/>
          <w:sz w:val="22"/>
          <w:szCs w:val="22"/>
          <w:lang w:val="en-GB"/>
        </w:rPr>
        <w:t>rights</w:t>
      </w:r>
      <w:r w:rsidRPr="00AE2F32">
        <w:rPr>
          <w:rFonts w:cstheme="minorHAnsi"/>
          <w:sz w:val="22"/>
          <w:szCs w:val="22"/>
          <w:lang w:val="en-GB"/>
        </w:rPr>
        <w:t xml:space="preserve"> and to punish those who violate that right</w:t>
      </w:r>
      <w:r w:rsidR="00551EDC" w:rsidRPr="00AE2F32">
        <w:rPr>
          <w:rFonts w:cstheme="minorHAnsi"/>
          <w:sz w:val="22"/>
          <w:szCs w:val="22"/>
          <w:lang w:val="en-GB"/>
        </w:rPr>
        <w:t>.</w:t>
      </w:r>
      <w:r w:rsidR="00551EDC" w:rsidRPr="00AE2F32">
        <w:rPr>
          <w:rStyle w:val="FootnoteReference"/>
          <w:rFonts w:cstheme="minorHAnsi"/>
          <w:sz w:val="22"/>
          <w:szCs w:val="22"/>
          <w:lang w:val="en-GB"/>
        </w:rPr>
        <w:footnoteReference w:id="173"/>
      </w:r>
      <w:r w:rsidR="000A659B" w:rsidRPr="00AE2F32">
        <w:rPr>
          <w:rFonts w:cstheme="minorHAnsi"/>
          <w:sz w:val="22"/>
          <w:szCs w:val="22"/>
          <w:lang w:val="en-GB"/>
        </w:rPr>
        <w:t xml:space="preserve"> </w:t>
      </w:r>
      <w:r w:rsidR="00E34228" w:rsidRPr="00AE2F32">
        <w:rPr>
          <w:rFonts w:cstheme="minorHAnsi"/>
          <w:sz w:val="22"/>
          <w:szCs w:val="22"/>
          <w:lang w:val="en-GB"/>
        </w:rPr>
        <w:t>As a result, May 17 (IDAHOT), as the International Day Against Homophobia, Transphobia</w:t>
      </w:r>
      <w:r w:rsidR="00222E8B">
        <w:rPr>
          <w:rFonts w:cstheme="minorHAnsi"/>
          <w:sz w:val="22"/>
          <w:szCs w:val="22"/>
          <w:lang w:val="en-GB"/>
        </w:rPr>
        <w:t>,</w:t>
      </w:r>
      <w:r w:rsidR="00E34228" w:rsidRPr="00AE2F32">
        <w:rPr>
          <w:rFonts w:cstheme="minorHAnsi"/>
          <w:sz w:val="22"/>
          <w:szCs w:val="22"/>
          <w:lang w:val="en-GB"/>
        </w:rPr>
        <w:t xml:space="preserve"> and Biphobia, has become a day of manifestation of institutional and homophobic attitudes in society from year to year. </w:t>
      </w:r>
    </w:p>
    <w:p w14:paraId="1C550890" w14:textId="0536394F" w:rsidR="00E34228" w:rsidRPr="00AE2F32" w:rsidRDefault="00E34228" w:rsidP="007D16E6">
      <w:pPr>
        <w:jc w:val="both"/>
        <w:rPr>
          <w:rFonts w:cstheme="minorHAnsi"/>
          <w:sz w:val="22"/>
          <w:szCs w:val="22"/>
          <w:lang w:val="en-GB"/>
        </w:rPr>
      </w:pPr>
    </w:p>
    <w:p w14:paraId="46CDA53C" w14:textId="4234A32E" w:rsidR="001B1361" w:rsidRPr="00AE2F32" w:rsidRDefault="00573595" w:rsidP="001B1361">
      <w:pPr>
        <w:jc w:val="both"/>
        <w:rPr>
          <w:rFonts w:cstheme="minorHAnsi"/>
          <w:color w:val="000000" w:themeColor="text1"/>
          <w:sz w:val="22"/>
          <w:szCs w:val="22"/>
          <w:lang w:val="en-GB"/>
        </w:rPr>
      </w:pPr>
      <w:r>
        <w:rPr>
          <w:rFonts w:cstheme="minorHAnsi"/>
          <w:sz w:val="22"/>
          <w:szCs w:val="22"/>
          <w:lang w:val="en-GB"/>
        </w:rPr>
        <w:t>ECHR</w:t>
      </w:r>
      <w:r w:rsidR="009530E0">
        <w:rPr>
          <w:rFonts w:cstheme="minorHAnsi"/>
          <w:sz w:val="22"/>
          <w:szCs w:val="22"/>
          <w:lang w:val="en-GB"/>
        </w:rPr>
        <w:t xml:space="preserve"> ruling</w:t>
      </w:r>
      <w:r w:rsidR="00E34228" w:rsidRPr="00AE2F32">
        <w:rPr>
          <w:rFonts w:cstheme="minorHAnsi"/>
          <w:sz w:val="22"/>
          <w:szCs w:val="22"/>
          <w:lang w:val="en-GB"/>
        </w:rPr>
        <w:t xml:space="preserve">, which deals with interference with </w:t>
      </w:r>
      <w:r w:rsidR="009530E0">
        <w:rPr>
          <w:rFonts w:cstheme="minorHAnsi"/>
          <w:sz w:val="22"/>
          <w:szCs w:val="22"/>
          <w:lang w:val="en-GB"/>
        </w:rPr>
        <w:t xml:space="preserve">LGBTQ community </w:t>
      </w:r>
      <w:r w:rsidR="00E34228" w:rsidRPr="00AE2F32">
        <w:rPr>
          <w:rFonts w:cstheme="minorHAnsi"/>
          <w:sz w:val="22"/>
          <w:szCs w:val="22"/>
          <w:lang w:val="en-GB"/>
        </w:rPr>
        <w:t xml:space="preserve">right </w:t>
      </w:r>
      <w:r w:rsidR="009530E0">
        <w:rPr>
          <w:rFonts w:cstheme="minorHAnsi"/>
          <w:sz w:val="22"/>
          <w:szCs w:val="22"/>
          <w:lang w:val="en-GB"/>
        </w:rPr>
        <w:t>to</w:t>
      </w:r>
      <w:r w:rsidR="009530E0" w:rsidRPr="00AE2F32">
        <w:rPr>
          <w:rFonts w:cstheme="minorHAnsi"/>
          <w:sz w:val="22"/>
          <w:szCs w:val="22"/>
          <w:lang w:val="en-GB"/>
        </w:rPr>
        <w:t xml:space="preserve"> </w:t>
      </w:r>
      <w:r w:rsidR="00E34228" w:rsidRPr="00AE2F32">
        <w:rPr>
          <w:rFonts w:cstheme="minorHAnsi"/>
          <w:sz w:val="22"/>
          <w:szCs w:val="22"/>
          <w:lang w:val="en-GB"/>
        </w:rPr>
        <w:t>assembly at the IDAHOT meeting in 2012 noted that” "Domestic authorities failed to properly deter homophobic and violent counter-demonstrators and to hold a peaceful march on May 17, 2012 [..] In view of this negligence, the authorities have failed to fulfil their positive obligation under Article 11 in conjunction with Article 14."</w:t>
      </w:r>
      <w:r w:rsidR="00120D0F" w:rsidRPr="00AE2F32">
        <w:rPr>
          <w:rStyle w:val="FootnoteReference"/>
          <w:rFonts w:cstheme="minorHAnsi"/>
          <w:sz w:val="22"/>
          <w:szCs w:val="22"/>
          <w:lang w:val="en-GB"/>
        </w:rPr>
        <w:footnoteReference w:id="174"/>
      </w:r>
      <w:r w:rsidR="00120D0F" w:rsidRPr="00AE2F32">
        <w:rPr>
          <w:rFonts w:cs="Sylfaen"/>
          <w:sz w:val="22"/>
          <w:szCs w:val="22"/>
          <w:lang w:val="en-GB"/>
        </w:rPr>
        <w:t xml:space="preserve"> </w:t>
      </w:r>
      <w:r w:rsidR="00E34228" w:rsidRPr="00AE2F32">
        <w:rPr>
          <w:rFonts w:cs="Sylfaen"/>
          <w:sz w:val="22"/>
          <w:szCs w:val="22"/>
          <w:lang w:val="en-GB"/>
        </w:rPr>
        <w:t xml:space="preserve"> Although this decision is under the </w:t>
      </w:r>
      <w:r>
        <w:rPr>
          <w:rFonts w:cs="Sylfaen"/>
          <w:sz w:val="22"/>
          <w:szCs w:val="22"/>
          <w:lang w:val="en-GB"/>
        </w:rPr>
        <w:t xml:space="preserve">enhanced </w:t>
      </w:r>
      <w:r w:rsidR="00E34228" w:rsidRPr="00AE2F32">
        <w:rPr>
          <w:rFonts w:cs="Sylfaen"/>
          <w:sz w:val="22"/>
          <w:szCs w:val="22"/>
          <w:lang w:val="en-GB"/>
        </w:rPr>
        <w:t xml:space="preserve">supervision of the </w:t>
      </w:r>
      <w:proofErr w:type="spellStart"/>
      <w:r w:rsidR="002D5DC1">
        <w:rPr>
          <w:rFonts w:cs="Sylfaen"/>
          <w:sz w:val="22"/>
          <w:szCs w:val="22"/>
          <w:lang w:val="en-GB"/>
        </w:rPr>
        <w:t>CoE</w:t>
      </w:r>
      <w:proofErr w:type="spellEnd"/>
      <w:r w:rsidR="002D5DC1">
        <w:rPr>
          <w:rFonts w:cs="Sylfaen"/>
          <w:sz w:val="22"/>
          <w:szCs w:val="22"/>
          <w:lang w:val="en-GB"/>
        </w:rPr>
        <w:t xml:space="preserve"> </w:t>
      </w:r>
      <w:r w:rsidR="00E34228" w:rsidRPr="00AE2F32">
        <w:rPr>
          <w:rFonts w:cs="Sylfaen"/>
          <w:sz w:val="22"/>
          <w:szCs w:val="22"/>
          <w:lang w:val="en-GB"/>
        </w:rPr>
        <w:t xml:space="preserve">Committee of Ministers, </w:t>
      </w:r>
      <w:r>
        <w:rPr>
          <w:rFonts w:cs="Sylfaen"/>
          <w:sz w:val="22"/>
          <w:szCs w:val="22"/>
          <w:lang w:val="en-GB"/>
        </w:rPr>
        <w:t xml:space="preserve">and </w:t>
      </w:r>
      <w:r w:rsidR="00E34228" w:rsidRPr="00AE2F32">
        <w:rPr>
          <w:rFonts w:cs="Sylfaen"/>
          <w:sz w:val="22"/>
          <w:szCs w:val="22"/>
          <w:lang w:val="en-GB"/>
        </w:rPr>
        <w:t xml:space="preserve">state is obliged to take specific individual and general measures to ensure the effective implementation </w:t>
      </w:r>
      <w:r>
        <w:rPr>
          <w:rFonts w:cs="Sylfaen"/>
          <w:sz w:val="22"/>
          <w:szCs w:val="22"/>
          <w:lang w:val="en-GB"/>
        </w:rPr>
        <w:t xml:space="preserve">freedom of assembly, </w:t>
      </w:r>
      <w:r w:rsidR="001B1361" w:rsidRPr="00AE2F32">
        <w:rPr>
          <w:rFonts w:cs="Sylfaen"/>
          <w:sz w:val="22"/>
          <w:szCs w:val="22"/>
          <w:lang w:val="en-GB"/>
        </w:rPr>
        <w:t>since 2013 this community had not an opportunity to gather on IDAHOT day without restrictions, in secured and politically important space.</w:t>
      </w:r>
      <w:r w:rsidR="00551EDC" w:rsidRPr="00AE2F32">
        <w:rPr>
          <w:rStyle w:val="FootnoteReference"/>
          <w:rFonts w:cstheme="minorHAnsi"/>
          <w:color w:val="000000" w:themeColor="text1"/>
          <w:sz w:val="22"/>
          <w:szCs w:val="22"/>
          <w:lang w:val="en-GB"/>
        </w:rPr>
        <w:footnoteReference w:id="175"/>
      </w:r>
      <w:r w:rsidR="00551EDC" w:rsidRPr="00AE2F32">
        <w:rPr>
          <w:rFonts w:cstheme="minorHAnsi"/>
          <w:color w:val="000000" w:themeColor="text1"/>
          <w:sz w:val="22"/>
          <w:szCs w:val="22"/>
          <w:lang w:val="en-GB"/>
        </w:rPr>
        <w:t xml:space="preserve"> </w:t>
      </w:r>
      <w:r w:rsidR="001B1361" w:rsidRPr="00AE2F32">
        <w:rPr>
          <w:rFonts w:cstheme="minorHAnsi"/>
          <w:color w:val="000000" w:themeColor="text1"/>
          <w:sz w:val="22"/>
          <w:szCs w:val="22"/>
          <w:lang w:val="en-GB"/>
        </w:rPr>
        <w:t>The reason for this is the lack of security guarantees from the state and the strengthening of violent groups, as the practical restriction of the realization of these rights is accompanied by the constant active mobilization of homophobic groups.</w:t>
      </w:r>
      <w:r w:rsidR="00120D0F" w:rsidRPr="00AE2F32">
        <w:rPr>
          <w:rStyle w:val="FootnoteReference"/>
          <w:rFonts w:cstheme="minorHAnsi"/>
          <w:color w:val="000000" w:themeColor="text1"/>
          <w:sz w:val="22"/>
          <w:szCs w:val="22"/>
          <w:lang w:val="en-GB"/>
        </w:rPr>
        <w:footnoteReference w:id="176"/>
      </w:r>
    </w:p>
    <w:p w14:paraId="1A0A125E" w14:textId="0F6F714D" w:rsidR="00C97CD8" w:rsidRPr="00AE2F32" w:rsidRDefault="00C97CD8" w:rsidP="001B1361">
      <w:pPr>
        <w:jc w:val="both"/>
        <w:rPr>
          <w:rFonts w:cstheme="minorHAnsi"/>
          <w:color w:val="000000" w:themeColor="text1"/>
          <w:sz w:val="22"/>
          <w:szCs w:val="22"/>
          <w:lang w:val="en-GB"/>
        </w:rPr>
      </w:pPr>
    </w:p>
    <w:p w14:paraId="436A1014" w14:textId="17532D16" w:rsidR="009339F6" w:rsidRPr="00AE2F32" w:rsidRDefault="00573595" w:rsidP="00C97CD8">
      <w:pPr>
        <w:jc w:val="both"/>
        <w:rPr>
          <w:rFonts w:cstheme="minorHAnsi"/>
          <w:color w:val="000000" w:themeColor="text1"/>
          <w:sz w:val="22"/>
          <w:szCs w:val="22"/>
          <w:lang w:val="ka-GE"/>
        </w:rPr>
      </w:pPr>
      <w:r>
        <w:rPr>
          <w:rFonts w:cstheme="minorHAnsi"/>
          <w:color w:val="000000" w:themeColor="text1"/>
          <w:sz w:val="22"/>
          <w:szCs w:val="22"/>
          <w:lang w:val="en-GB"/>
        </w:rPr>
        <w:t xml:space="preserve">In 2019, </w:t>
      </w:r>
      <w:r w:rsidR="002D5DC1">
        <w:rPr>
          <w:rFonts w:cstheme="minorHAnsi"/>
          <w:color w:val="000000" w:themeColor="text1"/>
          <w:sz w:val="22"/>
          <w:szCs w:val="22"/>
          <w:lang w:val="en-GB"/>
        </w:rPr>
        <w:t>MIA</w:t>
      </w:r>
      <w:r w:rsidR="00C97CD8" w:rsidRPr="00AE2F32">
        <w:rPr>
          <w:rFonts w:cstheme="minorHAnsi"/>
          <w:color w:val="000000" w:themeColor="text1"/>
          <w:sz w:val="22"/>
          <w:szCs w:val="22"/>
          <w:lang w:val="en-GB"/>
        </w:rPr>
        <w:t xml:space="preserve"> also refused to ensure safety of participants of a "March of Dignity" within the framework of "Tbilisi Pride Week" in June 2019</w:t>
      </w:r>
      <w:r w:rsidR="00C97CD8" w:rsidRPr="00AE2F32">
        <w:rPr>
          <w:rFonts w:cs="Sylfaen"/>
          <w:color w:val="000000" w:themeColor="text1"/>
          <w:sz w:val="22"/>
          <w:szCs w:val="22"/>
          <w:lang w:val="en-GB"/>
        </w:rPr>
        <w:t>.</w:t>
      </w:r>
      <w:r w:rsidR="00551EDC" w:rsidRPr="00AE2F32">
        <w:rPr>
          <w:rStyle w:val="FootnoteReference"/>
          <w:rFonts w:cstheme="minorHAnsi"/>
          <w:color w:val="000000" w:themeColor="text1"/>
          <w:sz w:val="22"/>
          <w:szCs w:val="22"/>
          <w:lang w:val="en-GB"/>
        </w:rPr>
        <w:footnoteReference w:id="177"/>
      </w:r>
      <w:r w:rsidR="009339F6" w:rsidRPr="00AE2F32">
        <w:rPr>
          <w:rFonts w:cs="Sylfaen"/>
          <w:color w:val="000000" w:themeColor="text1"/>
          <w:sz w:val="22"/>
          <w:szCs w:val="22"/>
          <w:lang w:val="en-GB"/>
        </w:rPr>
        <w:t xml:space="preserve"> </w:t>
      </w:r>
      <w:r w:rsidR="00C97CD8" w:rsidRPr="00AE2F32">
        <w:rPr>
          <w:rFonts w:cs="Sylfaen"/>
          <w:color w:val="000000" w:themeColor="text1"/>
          <w:sz w:val="22"/>
          <w:szCs w:val="22"/>
          <w:lang w:val="en-GB"/>
        </w:rPr>
        <w:t>At the same time, the Patriarchate of Georgia issued an official statement urging the government not to allow organization of “March of dignity”.</w:t>
      </w:r>
      <w:r w:rsidR="00551EDC" w:rsidRPr="00AE2F32">
        <w:rPr>
          <w:rStyle w:val="FootnoteReference"/>
          <w:rFonts w:cstheme="minorHAnsi"/>
          <w:color w:val="000000" w:themeColor="text1"/>
          <w:sz w:val="22"/>
          <w:szCs w:val="22"/>
          <w:lang w:val="en-GB"/>
        </w:rPr>
        <w:footnoteReference w:id="178"/>
      </w:r>
      <w:r w:rsidR="00035EFD" w:rsidRPr="00AE2F32">
        <w:rPr>
          <w:rFonts w:cstheme="minorHAnsi"/>
          <w:color w:val="000000" w:themeColor="text1"/>
          <w:sz w:val="22"/>
          <w:szCs w:val="22"/>
          <w:lang w:val="en-GB"/>
        </w:rPr>
        <w:t xml:space="preserve"> </w:t>
      </w:r>
      <w:r w:rsidR="00C97CD8" w:rsidRPr="00AE2F32">
        <w:rPr>
          <w:rFonts w:cstheme="minorHAnsi"/>
          <w:color w:val="000000" w:themeColor="text1"/>
          <w:sz w:val="22"/>
          <w:szCs w:val="22"/>
          <w:lang w:val="en-GB"/>
        </w:rPr>
        <w:t>In response, on June 14, supporters of Tbilisi Pride held a rally in front of the Government Chancellery to demand a guarantee from the state that they would have the right to assembly. Some of the rally organizers and activists were opposed by ultra-conservative political and clerical groups, whose leaders and members openly expressed violent actions and intentions.</w:t>
      </w:r>
      <w:r w:rsidR="00C97CD8" w:rsidRPr="00AE2F32">
        <w:rPr>
          <w:rFonts w:cstheme="minorHAnsi"/>
          <w:color w:val="000000" w:themeColor="text1"/>
          <w:sz w:val="22"/>
          <w:szCs w:val="22"/>
          <w:lang w:val="ka-GE"/>
        </w:rPr>
        <w:t xml:space="preserve"> </w:t>
      </w:r>
    </w:p>
    <w:p w14:paraId="431AA9F9" w14:textId="77777777" w:rsidR="00A926E0" w:rsidRPr="00AE2F32" w:rsidRDefault="00A926E0" w:rsidP="00C97CD8">
      <w:pPr>
        <w:jc w:val="both"/>
        <w:rPr>
          <w:rFonts w:cs="Sylfaen"/>
          <w:color w:val="000000" w:themeColor="text1"/>
          <w:sz w:val="22"/>
          <w:szCs w:val="22"/>
          <w:lang w:val="en-GB"/>
        </w:rPr>
      </w:pPr>
    </w:p>
    <w:p w14:paraId="47B93E84" w14:textId="676D57E8" w:rsidR="00551EDC" w:rsidRPr="00AE2F32" w:rsidRDefault="00A926E0" w:rsidP="00A926E0">
      <w:pPr>
        <w:jc w:val="both"/>
        <w:rPr>
          <w:rFonts w:cs="Sylfaen"/>
          <w:color w:val="000000" w:themeColor="text1"/>
          <w:sz w:val="22"/>
          <w:szCs w:val="22"/>
          <w:lang w:val="en-GB"/>
        </w:rPr>
      </w:pPr>
      <w:r w:rsidRPr="00AE2F32">
        <w:rPr>
          <w:rFonts w:cs="Sylfaen"/>
          <w:color w:val="000000" w:themeColor="text1"/>
          <w:sz w:val="22"/>
          <w:szCs w:val="22"/>
          <w:lang w:val="en-GB"/>
        </w:rPr>
        <w:t xml:space="preserve">It is noteworthy that the leader of the ultra-conservative and violent group made a number of public </w:t>
      </w:r>
      <w:r w:rsidR="00573595">
        <w:rPr>
          <w:rFonts w:cs="Sylfaen"/>
          <w:color w:val="000000" w:themeColor="text1"/>
          <w:sz w:val="22"/>
          <w:szCs w:val="22"/>
          <w:lang w:val="en-GB"/>
        </w:rPr>
        <w:t xml:space="preserve">statements and </w:t>
      </w:r>
      <w:r w:rsidRPr="00AE2F32">
        <w:rPr>
          <w:rFonts w:cs="Sylfaen"/>
          <w:color w:val="000000" w:themeColor="text1"/>
          <w:sz w:val="22"/>
          <w:szCs w:val="22"/>
          <w:lang w:val="en-GB"/>
        </w:rPr>
        <w:t>call</w:t>
      </w:r>
      <w:r w:rsidR="00573595">
        <w:rPr>
          <w:rFonts w:cs="Sylfaen"/>
          <w:color w:val="000000" w:themeColor="text1"/>
          <w:sz w:val="22"/>
          <w:szCs w:val="22"/>
          <w:lang w:val="en-GB"/>
        </w:rPr>
        <w:t>ed</w:t>
      </w:r>
      <w:r w:rsidRPr="00AE2F32">
        <w:rPr>
          <w:rFonts w:cs="Sylfaen"/>
          <w:color w:val="000000" w:themeColor="text1"/>
          <w:sz w:val="22"/>
          <w:szCs w:val="22"/>
          <w:lang w:val="en-GB"/>
        </w:rPr>
        <w:t xml:space="preserve"> for </w:t>
      </w:r>
      <w:r w:rsidR="00573595">
        <w:rPr>
          <w:rFonts w:cs="Sylfaen"/>
          <w:color w:val="000000" w:themeColor="text1"/>
          <w:sz w:val="22"/>
          <w:szCs w:val="22"/>
          <w:lang w:val="en-GB"/>
        </w:rPr>
        <w:t xml:space="preserve">incitement of </w:t>
      </w:r>
      <w:r w:rsidRPr="00AE2F32">
        <w:rPr>
          <w:rFonts w:cs="Sylfaen"/>
          <w:color w:val="000000" w:themeColor="text1"/>
          <w:sz w:val="22"/>
          <w:szCs w:val="22"/>
          <w:lang w:val="en-GB"/>
        </w:rPr>
        <w:t>violence,</w:t>
      </w:r>
      <w:r w:rsidR="00551EDC" w:rsidRPr="00AE2F32">
        <w:rPr>
          <w:rStyle w:val="FootnoteReference"/>
          <w:rFonts w:cstheme="minorHAnsi"/>
          <w:color w:val="000000" w:themeColor="text1"/>
          <w:sz w:val="22"/>
          <w:szCs w:val="22"/>
          <w:lang w:val="en-GB"/>
        </w:rPr>
        <w:footnoteReference w:id="179"/>
      </w:r>
      <w:r w:rsidR="00551EDC" w:rsidRPr="00AE2F32">
        <w:rPr>
          <w:rFonts w:cstheme="minorHAnsi"/>
          <w:color w:val="000000" w:themeColor="text1"/>
          <w:sz w:val="22"/>
          <w:szCs w:val="22"/>
          <w:lang w:val="en-GB"/>
        </w:rPr>
        <w:t> </w:t>
      </w:r>
      <w:r w:rsidRPr="00AE2F32">
        <w:rPr>
          <w:rFonts w:cstheme="minorHAnsi"/>
          <w:color w:val="000000" w:themeColor="text1"/>
          <w:sz w:val="22"/>
          <w:szCs w:val="22"/>
          <w:lang w:val="en-GB"/>
        </w:rPr>
        <w:t xml:space="preserve">in particular, </w:t>
      </w:r>
      <w:r w:rsidR="00222E8B">
        <w:rPr>
          <w:rFonts w:cstheme="minorHAnsi"/>
          <w:color w:val="000000" w:themeColor="text1"/>
          <w:sz w:val="22"/>
          <w:szCs w:val="22"/>
          <w:lang w:val="en-GB"/>
        </w:rPr>
        <w:t xml:space="preserve">the </w:t>
      </w:r>
      <w:r w:rsidRPr="00AE2F32">
        <w:rPr>
          <w:rFonts w:cstheme="minorHAnsi"/>
          <w:color w:val="000000" w:themeColor="text1"/>
          <w:sz w:val="22"/>
          <w:szCs w:val="22"/>
          <w:lang w:val="en-GB"/>
        </w:rPr>
        <w:t>creation of “public legions” and patrolling in streets were announced</w:t>
      </w:r>
      <w:r w:rsidR="00573595">
        <w:rPr>
          <w:rFonts w:cstheme="minorHAnsi"/>
          <w:color w:val="000000" w:themeColor="text1"/>
          <w:sz w:val="22"/>
          <w:szCs w:val="22"/>
          <w:lang w:val="en-GB"/>
        </w:rPr>
        <w:t>,</w:t>
      </w:r>
      <w:r w:rsidRPr="00AE2F32">
        <w:rPr>
          <w:rFonts w:cstheme="minorHAnsi"/>
          <w:color w:val="000000" w:themeColor="text1"/>
          <w:sz w:val="22"/>
          <w:szCs w:val="22"/>
          <w:lang w:val="en-GB"/>
        </w:rPr>
        <w:t xml:space="preserve"> </w:t>
      </w:r>
      <w:r w:rsidR="00222E8B">
        <w:rPr>
          <w:rFonts w:cstheme="minorHAnsi"/>
          <w:color w:val="000000" w:themeColor="text1"/>
          <w:sz w:val="22"/>
          <w:szCs w:val="22"/>
          <w:lang w:val="en-GB"/>
        </w:rPr>
        <w:t>although</w:t>
      </w:r>
      <w:r w:rsidR="00573595">
        <w:rPr>
          <w:rFonts w:cstheme="minorHAnsi"/>
          <w:color w:val="000000" w:themeColor="text1"/>
          <w:sz w:val="22"/>
          <w:szCs w:val="22"/>
          <w:lang w:val="en-GB"/>
        </w:rPr>
        <w:t xml:space="preserve"> M</w:t>
      </w:r>
      <w:r w:rsidR="00EC7E1D">
        <w:rPr>
          <w:rFonts w:cstheme="minorHAnsi"/>
          <w:color w:val="000000" w:themeColor="text1"/>
          <w:sz w:val="22"/>
          <w:szCs w:val="22"/>
          <w:lang w:val="en-GB"/>
        </w:rPr>
        <w:t>I</w:t>
      </w:r>
      <w:r w:rsidR="00573595">
        <w:rPr>
          <w:rFonts w:cstheme="minorHAnsi"/>
          <w:color w:val="000000" w:themeColor="text1"/>
          <w:sz w:val="22"/>
          <w:szCs w:val="22"/>
          <w:lang w:val="en-GB"/>
        </w:rPr>
        <w:t>A</w:t>
      </w:r>
      <w:r w:rsidRPr="00AE2F32">
        <w:rPr>
          <w:rFonts w:cstheme="minorHAnsi"/>
          <w:color w:val="000000" w:themeColor="text1"/>
          <w:sz w:val="22"/>
          <w:szCs w:val="22"/>
          <w:lang w:val="en-GB"/>
        </w:rPr>
        <w:t xml:space="preserve"> commenced investigation</w:t>
      </w:r>
      <w:r w:rsidR="00551EDC" w:rsidRPr="00AE2F32">
        <w:rPr>
          <w:rStyle w:val="FootnoteReference"/>
          <w:rFonts w:cstheme="minorHAnsi"/>
          <w:color w:val="000000" w:themeColor="text1"/>
          <w:sz w:val="22"/>
          <w:szCs w:val="22"/>
          <w:lang w:val="en-GB"/>
        </w:rPr>
        <w:footnoteReference w:id="180"/>
      </w:r>
      <w:r w:rsidRPr="00AE2F32">
        <w:rPr>
          <w:rFonts w:cstheme="minorHAnsi"/>
          <w:color w:val="000000" w:themeColor="text1"/>
          <w:sz w:val="22"/>
          <w:szCs w:val="22"/>
          <w:lang w:val="en-GB"/>
        </w:rPr>
        <w:t xml:space="preserve"> </w:t>
      </w:r>
      <w:r w:rsidR="00573595">
        <w:rPr>
          <w:rFonts w:cstheme="minorHAnsi"/>
          <w:color w:val="000000" w:themeColor="text1"/>
          <w:sz w:val="22"/>
          <w:szCs w:val="22"/>
          <w:lang w:val="en-GB"/>
        </w:rPr>
        <w:t>s</w:t>
      </w:r>
      <w:r w:rsidRPr="00AE2F32">
        <w:rPr>
          <w:rFonts w:cstheme="minorHAnsi"/>
          <w:color w:val="000000" w:themeColor="text1"/>
          <w:sz w:val="22"/>
          <w:szCs w:val="22"/>
          <w:lang w:val="en-GB"/>
        </w:rPr>
        <w:t xml:space="preserve">ociety had not yet received information on </w:t>
      </w:r>
      <w:r w:rsidR="00573595">
        <w:rPr>
          <w:rFonts w:cstheme="minorHAnsi"/>
          <w:color w:val="000000" w:themeColor="text1"/>
          <w:sz w:val="22"/>
          <w:szCs w:val="22"/>
          <w:lang w:val="en-GB"/>
        </w:rPr>
        <w:t xml:space="preserve">the </w:t>
      </w:r>
      <w:r w:rsidRPr="00AE2F32">
        <w:rPr>
          <w:rFonts w:cstheme="minorHAnsi"/>
          <w:color w:val="000000" w:themeColor="text1"/>
          <w:sz w:val="22"/>
          <w:szCs w:val="22"/>
          <w:lang w:val="en-GB"/>
        </w:rPr>
        <w:t xml:space="preserve">results. </w:t>
      </w:r>
    </w:p>
    <w:p w14:paraId="771DD6F9" w14:textId="77777777" w:rsidR="00A926E0" w:rsidRPr="00AE2F32" w:rsidRDefault="00A926E0" w:rsidP="00A926E0">
      <w:pPr>
        <w:jc w:val="both"/>
        <w:rPr>
          <w:rFonts w:cs="Sylfaen"/>
          <w:color w:val="000000" w:themeColor="text1"/>
          <w:sz w:val="22"/>
          <w:szCs w:val="22"/>
          <w:lang w:val="en-GB"/>
        </w:rPr>
      </w:pPr>
    </w:p>
    <w:p w14:paraId="28A02638" w14:textId="1534EA6D" w:rsidR="00551EDC" w:rsidRPr="00AE2F32" w:rsidRDefault="006E0C6B" w:rsidP="00035EFD">
      <w:pPr>
        <w:pStyle w:val="NormalWeb"/>
        <w:shd w:val="clear" w:color="auto" w:fill="D0CECE" w:themeFill="background2" w:themeFillShade="E6"/>
        <w:spacing w:before="0" w:beforeAutospacing="0"/>
        <w:jc w:val="both"/>
        <w:rPr>
          <w:rFonts w:asciiTheme="minorHAnsi" w:hAnsiTheme="minorHAnsi" w:cstheme="minorHAnsi"/>
          <w:b/>
          <w:color w:val="000000" w:themeColor="text1"/>
          <w:sz w:val="22"/>
          <w:szCs w:val="22"/>
          <w:lang w:val="en-GB"/>
        </w:rPr>
      </w:pPr>
      <w:r w:rsidRPr="00AE2F32">
        <w:rPr>
          <w:rFonts w:asciiTheme="minorHAnsi" w:hAnsiTheme="minorHAnsi" w:cs="Sylfaen"/>
          <w:b/>
          <w:color w:val="000000" w:themeColor="text1"/>
          <w:sz w:val="22"/>
          <w:szCs w:val="22"/>
          <w:lang w:val="en-GB"/>
        </w:rPr>
        <w:t>Recommendations:</w:t>
      </w:r>
    </w:p>
    <w:p w14:paraId="22E70B23" w14:textId="4606D9FF" w:rsidR="00551EDC" w:rsidRPr="00AE2F32" w:rsidRDefault="000C1EC4" w:rsidP="0023502D">
      <w:pPr>
        <w:pStyle w:val="NormalWeb"/>
        <w:numPr>
          <w:ilvl w:val="0"/>
          <w:numId w:val="36"/>
        </w:numPr>
        <w:shd w:val="clear" w:color="auto" w:fill="D0CECE" w:themeFill="background2" w:themeFillShade="E6"/>
        <w:spacing w:before="0" w:beforeAutospacing="0"/>
        <w:jc w:val="both"/>
        <w:rPr>
          <w:rFonts w:asciiTheme="minorHAnsi" w:hAnsiTheme="minorHAnsi" w:cstheme="minorHAnsi"/>
          <w:color w:val="000000" w:themeColor="text1"/>
          <w:sz w:val="22"/>
          <w:szCs w:val="22"/>
          <w:lang w:val="en-GB"/>
        </w:rPr>
      </w:pPr>
      <w:r>
        <w:rPr>
          <w:rFonts w:asciiTheme="minorHAnsi" w:hAnsiTheme="minorHAnsi" w:cs="Sylfaen"/>
          <w:sz w:val="22"/>
          <w:szCs w:val="22"/>
          <w:lang w:val="en-GB"/>
        </w:rPr>
        <w:lastRenderedPageBreak/>
        <w:t>E</w:t>
      </w:r>
      <w:r w:rsidR="006E0C6B" w:rsidRPr="00AE2F32">
        <w:rPr>
          <w:rFonts w:asciiTheme="minorHAnsi" w:hAnsiTheme="minorHAnsi" w:cs="Sylfaen"/>
          <w:sz w:val="22"/>
          <w:szCs w:val="22"/>
          <w:lang w:val="en-GB"/>
        </w:rPr>
        <w:t xml:space="preserve">nsure the right of LGBTQ people to assemble and demonstrate, as well as the full enjoyment of freedom of expression and the effective </w:t>
      </w:r>
      <w:r w:rsidR="00044920">
        <w:rPr>
          <w:rFonts w:asciiTheme="minorHAnsi" w:hAnsiTheme="minorHAnsi" w:cs="Sylfaen"/>
          <w:sz w:val="22"/>
          <w:szCs w:val="22"/>
          <w:lang w:val="en-GB"/>
        </w:rPr>
        <w:t>fulfilment</w:t>
      </w:r>
      <w:r w:rsidR="006E0C6B" w:rsidRPr="00AE2F32">
        <w:rPr>
          <w:rFonts w:asciiTheme="minorHAnsi" w:hAnsiTheme="minorHAnsi" w:cs="Sylfaen"/>
          <w:sz w:val="22"/>
          <w:szCs w:val="22"/>
          <w:lang w:val="en-GB"/>
        </w:rPr>
        <w:t xml:space="preserve"> of the imposed positive obligations;</w:t>
      </w:r>
    </w:p>
    <w:p w14:paraId="76D49246" w14:textId="2E273EF3" w:rsidR="006E0C6B" w:rsidRPr="00AE2F32" w:rsidRDefault="000C1EC4" w:rsidP="0023502D">
      <w:pPr>
        <w:pStyle w:val="NormalWeb"/>
        <w:numPr>
          <w:ilvl w:val="0"/>
          <w:numId w:val="36"/>
        </w:numPr>
        <w:shd w:val="clear" w:color="auto" w:fill="D0CECE" w:themeFill="background2" w:themeFillShade="E6"/>
        <w:spacing w:before="0" w:beforeAutospacing="0"/>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T</w:t>
      </w:r>
      <w:r w:rsidR="006E0C6B" w:rsidRPr="00AE2F32">
        <w:rPr>
          <w:rFonts w:asciiTheme="minorHAnsi" w:hAnsiTheme="minorHAnsi" w:cstheme="minorHAnsi"/>
          <w:color w:val="000000" w:themeColor="text1"/>
          <w:sz w:val="22"/>
          <w:szCs w:val="22"/>
          <w:lang w:val="en-GB"/>
        </w:rPr>
        <w:t>ake appropriate measures to eliminate stigma and negative prejudices in the society, including through systematic education reform.</w:t>
      </w:r>
    </w:p>
    <w:p w14:paraId="0996AAD6" w14:textId="62346327" w:rsidR="007918A6" w:rsidRPr="00AE2F32" w:rsidRDefault="00A926E0" w:rsidP="0023502D">
      <w:pPr>
        <w:pStyle w:val="Heading2"/>
        <w:numPr>
          <w:ilvl w:val="0"/>
          <w:numId w:val="15"/>
        </w:numPr>
        <w:spacing w:before="0"/>
        <w:rPr>
          <w:rFonts w:asciiTheme="minorHAnsi" w:hAnsiTheme="minorHAnsi" w:cs="Sylfaen"/>
          <w:sz w:val="22"/>
          <w:szCs w:val="22"/>
          <w:lang w:val="en-GB"/>
        </w:rPr>
      </w:pPr>
      <w:bookmarkStart w:id="61" w:name="_Toc48565953"/>
      <w:r w:rsidRPr="00AE2F32">
        <w:rPr>
          <w:rFonts w:asciiTheme="minorHAnsi" w:hAnsiTheme="minorHAnsi" w:cs="Sylfaen"/>
          <w:sz w:val="22"/>
          <w:szCs w:val="22"/>
          <w:lang w:val="en-GB"/>
        </w:rPr>
        <w:t>Article</w:t>
      </w:r>
      <w:r w:rsidR="007918A6" w:rsidRPr="00AE2F32">
        <w:rPr>
          <w:rFonts w:asciiTheme="minorHAnsi" w:hAnsiTheme="minorHAnsi" w:cs="Sylfaen"/>
          <w:sz w:val="22"/>
          <w:szCs w:val="22"/>
          <w:lang w:val="en-GB"/>
        </w:rPr>
        <w:t xml:space="preserve"> 22: </w:t>
      </w:r>
      <w:r w:rsidRPr="00AE2F32">
        <w:rPr>
          <w:rFonts w:asciiTheme="minorHAnsi" w:hAnsiTheme="minorHAnsi" w:cs="Sylfaen"/>
          <w:sz w:val="22"/>
          <w:szCs w:val="22"/>
          <w:lang w:val="en-GB"/>
        </w:rPr>
        <w:t>Freedom of Association</w:t>
      </w:r>
      <w:bookmarkEnd w:id="61"/>
    </w:p>
    <w:p w14:paraId="7DB7CC4F" w14:textId="3D1A2C0F" w:rsidR="00E33ABD" w:rsidRPr="00AE2F32" w:rsidRDefault="00E33ABD" w:rsidP="00EB1CFE">
      <w:pPr>
        <w:ind w:left="720"/>
        <w:rPr>
          <w:rFonts w:eastAsia="Times New Roman" w:cs="Times New Roman"/>
          <w:sz w:val="22"/>
          <w:szCs w:val="22"/>
          <w:lang w:val="en-GB"/>
        </w:rPr>
      </w:pPr>
    </w:p>
    <w:p w14:paraId="201882D7" w14:textId="4A42CF5F" w:rsidR="00A926E0" w:rsidRDefault="00A926E0" w:rsidP="00A26068">
      <w:pPr>
        <w:jc w:val="both"/>
        <w:rPr>
          <w:sz w:val="22"/>
          <w:szCs w:val="22"/>
          <w:lang w:val="en-GB"/>
        </w:rPr>
      </w:pPr>
      <w:r w:rsidRPr="00AE2F32">
        <w:rPr>
          <w:sz w:val="22"/>
          <w:szCs w:val="22"/>
          <w:lang w:val="en-GB"/>
        </w:rPr>
        <w:t xml:space="preserve">Despite Georgian law guaranteeing freedom of association and the right to collective negotiations, problematic issues remain on the agenda. </w:t>
      </w:r>
    </w:p>
    <w:p w14:paraId="001A586A" w14:textId="77777777" w:rsidR="002D5DC1" w:rsidRPr="00AE2F32" w:rsidRDefault="002D5DC1" w:rsidP="00A26068">
      <w:pPr>
        <w:jc w:val="both"/>
        <w:rPr>
          <w:sz w:val="22"/>
          <w:szCs w:val="22"/>
          <w:lang w:val="en-GB"/>
        </w:rPr>
      </w:pPr>
    </w:p>
    <w:p w14:paraId="295DCA73" w14:textId="51A34185" w:rsidR="00A926E0" w:rsidRPr="00AE2F32" w:rsidRDefault="003A668A" w:rsidP="00A26068">
      <w:pPr>
        <w:jc w:val="both"/>
        <w:rPr>
          <w:sz w:val="22"/>
          <w:szCs w:val="22"/>
          <w:lang w:val="en-GB"/>
        </w:rPr>
      </w:pPr>
      <w:r w:rsidRPr="00AE2F32">
        <w:rPr>
          <w:sz w:val="22"/>
          <w:szCs w:val="22"/>
          <w:lang w:val="en-GB"/>
        </w:rPr>
        <w:t>Although discrimination against a person on the grounds of trade union membership is prohibited, the law does not explicitly address the need to reinstate such employees. The issue of exercising the right to strike also remains a challenge. In particular, a</w:t>
      </w:r>
      <w:r w:rsidR="003752FD">
        <w:rPr>
          <w:sz w:val="22"/>
          <w:szCs w:val="22"/>
          <w:lang w:val="en-GB"/>
        </w:rPr>
        <w:t xml:space="preserve"> legislative</w:t>
      </w:r>
      <w:r w:rsidRPr="00AE2F32">
        <w:rPr>
          <w:sz w:val="22"/>
          <w:szCs w:val="22"/>
          <w:lang w:val="en-GB"/>
        </w:rPr>
        <w:t xml:space="preserve"> list of activities </w:t>
      </w:r>
      <w:r w:rsidR="003752FD">
        <w:rPr>
          <w:sz w:val="22"/>
          <w:szCs w:val="22"/>
          <w:lang w:val="en-GB"/>
        </w:rPr>
        <w:t>where</w:t>
      </w:r>
      <w:r w:rsidR="002D5DC1">
        <w:rPr>
          <w:sz w:val="22"/>
          <w:szCs w:val="22"/>
          <w:lang w:val="en-GB"/>
        </w:rPr>
        <w:t xml:space="preserve"> </w:t>
      </w:r>
      <w:r w:rsidRPr="00AE2F32">
        <w:rPr>
          <w:sz w:val="22"/>
          <w:szCs w:val="22"/>
          <w:lang w:val="en-GB"/>
        </w:rPr>
        <w:t>strikes are not allowed should be reviewed. The lack of a guarantee of compensation for the restriction of the right to strike is also problematic.</w:t>
      </w:r>
    </w:p>
    <w:p w14:paraId="49AA483B" w14:textId="24A1DB86" w:rsidR="003A668A" w:rsidRPr="00AE2F32" w:rsidRDefault="003A668A" w:rsidP="00A26068">
      <w:pPr>
        <w:jc w:val="both"/>
        <w:rPr>
          <w:sz w:val="22"/>
          <w:szCs w:val="22"/>
          <w:lang w:val="en-GB"/>
        </w:rPr>
      </w:pPr>
    </w:p>
    <w:p w14:paraId="284FB12A" w14:textId="050E711A" w:rsidR="00A26068" w:rsidRPr="00AE2F32" w:rsidRDefault="003752FD" w:rsidP="00A26068">
      <w:pPr>
        <w:jc w:val="both"/>
        <w:rPr>
          <w:sz w:val="22"/>
          <w:szCs w:val="22"/>
          <w:lang w:val="en-GB"/>
        </w:rPr>
      </w:pPr>
      <w:r>
        <w:rPr>
          <w:sz w:val="22"/>
          <w:szCs w:val="22"/>
          <w:lang w:val="en-GB"/>
        </w:rPr>
        <w:t>T</w:t>
      </w:r>
      <w:r w:rsidR="003A668A" w:rsidRPr="00AE2F32">
        <w:rPr>
          <w:sz w:val="22"/>
          <w:szCs w:val="22"/>
          <w:lang w:val="en-GB"/>
        </w:rPr>
        <w:t>he problems of inefficien</w:t>
      </w:r>
      <w:r>
        <w:rPr>
          <w:sz w:val="22"/>
          <w:szCs w:val="22"/>
          <w:lang w:val="en-GB"/>
        </w:rPr>
        <w:t>t</w:t>
      </w:r>
      <w:r w:rsidR="003A668A" w:rsidRPr="00AE2F32">
        <w:rPr>
          <w:sz w:val="22"/>
          <w:szCs w:val="22"/>
          <w:lang w:val="en-GB"/>
        </w:rPr>
        <w:t xml:space="preserve"> realization of the right of association of employees, which are caused by improper and unreliable activities of the mediation system, </w:t>
      </w:r>
      <w:r w:rsidR="00222E8B">
        <w:rPr>
          <w:sz w:val="22"/>
          <w:szCs w:val="22"/>
          <w:lang w:val="en-GB"/>
        </w:rPr>
        <w:t xml:space="preserve">the </w:t>
      </w:r>
      <w:r w:rsidR="003A668A" w:rsidRPr="00AE2F32">
        <w:rPr>
          <w:sz w:val="22"/>
          <w:szCs w:val="22"/>
          <w:lang w:val="en-GB"/>
        </w:rPr>
        <w:t xml:space="preserve">limited mandate of </w:t>
      </w:r>
      <w:proofErr w:type="spellStart"/>
      <w:r w:rsidR="003A668A" w:rsidRPr="00AE2F32">
        <w:rPr>
          <w:sz w:val="22"/>
          <w:szCs w:val="22"/>
          <w:lang w:val="en-GB"/>
        </w:rPr>
        <w:t>labor</w:t>
      </w:r>
      <w:proofErr w:type="spellEnd"/>
      <w:r w:rsidR="003A668A" w:rsidRPr="00AE2F32">
        <w:rPr>
          <w:sz w:val="22"/>
          <w:szCs w:val="22"/>
          <w:lang w:val="en-GB"/>
        </w:rPr>
        <w:t xml:space="preserve"> </w:t>
      </w:r>
      <w:r>
        <w:rPr>
          <w:sz w:val="22"/>
          <w:szCs w:val="22"/>
          <w:lang w:val="en-GB"/>
        </w:rPr>
        <w:t>inspection body</w:t>
      </w:r>
      <w:r w:rsidR="00222E8B">
        <w:rPr>
          <w:sz w:val="22"/>
          <w:szCs w:val="22"/>
          <w:lang w:val="en-GB"/>
        </w:rPr>
        <w:t>,</w:t>
      </w:r>
      <w:r w:rsidR="003A668A" w:rsidRPr="00AE2F32">
        <w:rPr>
          <w:sz w:val="22"/>
          <w:szCs w:val="22"/>
          <w:lang w:val="en-GB"/>
        </w:rPr>
        <w:t xml:space="preserve"> and lack of adequate sanctioning mechanisms</w:t>
      </w:r>
      <w:r>
        <w:rPr>
          <w:sz w:val="22"/>
          <w:szCs w:val="22"/>
          <w:lang w:val="en-GB"/>
        </w:rPr>
        <w:t xml:space="preserve"> are also noteworthy</w:t>
      </w:r>
      <w:r w:rsidR="00A26068" w:rsidRPr="00AE2F32">
        <w:rPr>
          <w:sz w:val="22"/>
          <w:szCs w:val="22"/>
          <w:lang w:val="en-GB"/>
        </w:rPr>
        <w:t>.</w:t>
      </w:r>
      <w:r w:rsidR="00A26068" w:rsidRPr="00AE2F32">
        <w:rPr>
          <w:rStyle w:val="FootnoteReference"/>
          <w:sz w:val="22"/>
          <w:szCs w:val="22"/>
          <w:lang w:val="en-GB"/>
        </w:rPr>
        <w:footnoteReference w:id="181"/>
      </w:r>
      <w:r w:rsidR="00A26068" w:rsidRPr="00AE2F32">
        <w:rPr>
          <w:sz w:val="22"/>
          <w:szCs w:val="22"/>
          <w:lang w:val="en-GB"/>
        </w:rPr>
        <w:t xml:space="preserve"> </w:t>
      </w:r>
      <w:r w:rsidR="003A668A" w:rsidRPr="00AE2F32">
        <w:rPr>
          <w:sz w:val="22"/>
          <w:szCs w:val="22"/>
          <w:lang w:val="en-GB"/>
        </w:rPr>
        <w:t xml:space="preserve">The formats of the tripartite </w:t>
      </w:r>
      <w:r>
        <w:rPr>
          <w:sz w:val="22"/>
          <w:szCs w:val="22"/>
          <w:lang w:val="en-GB"/>
        </w:rPr>
        <w:t>negotiations</w:t>
      </w:r>
      <w:r w:rsidR="003A668A" w:rsidRPr="00AE2F32">
        <w:rPr>
          <w:sz w:val="22"/>
          <w:szCs w:val="22"/>
          <w:lang w:val="en-GB"/>
        </w:rPr>
        <w:t>, the promotion</w:t>
      </w:r>
      <w:r w:rsidR="00222E8B">
        <w:rPr>
          <w:sz w:val="22"/>
          <w:szCs w:val="22"/>
          <w:lang w:val="en-GB"/>
        </w:rPr>
        <w:t>,</w:t>
      </w:r>
      <w:r w:rsidR="003A668A" w:rsidRPr="00AE2F32">
        <w:rPr>
          <w:sz w:val="22"/>
          <w:szCs w:val="22"/>
          <w:lang w:val="en-GB"/>
        </w:rPr>
        <w:t xml:space="preserve"> and development of which at the legislative level are envisaged </w:t>
      </w:r>
      <w:r w:rsidR="002D5DC1">
        <w:rPr>
          <w:sz w:val="22"/>
          <w:szCs w:val="22"/>
          <w:lang w:val="en-GB"/>
        </w:rPr>
        <w:t>under</w:t>
      </w:r>
      <w:r w:rsidR="002D5DC1" w:rsidRPr="00AE2F32">
        <w:rPr>
          <w:sz w:val="22"/>
          <w:szCs w:val="22"/>
          <w:lang w:val="en-GB"/>
        </w:rPr>
        <w:t xml:space="preserve"> </w:t>
      </w:r>
      <w:r w:rsidR="003A668A" w:rsidRPr="00AE2F32">
        <w:rPr>
          <w:sz w:val="22"/>
          <w:szCs w:val="22"/>
          <w:lang w:val="en-GB"/>
        </w:rPr>
        <w:t xml:space="preserve">the </w:t>
      </w:r>
      <w:r w:rsidR="002D5DC1">
        <w:rPr>
          <w:sz w:val="22"/>
          <w:szCs w:val="22"/>
          <w:lang w:val="en-GB"/>
        </w:rPr>
        <w:t xml:space="preserve">AA </w:t>
      </w:r>
      <w:r w:rsidR="003A668A" w:rsidRPr="00AE2F32">
        <w:rPr>
          <w:sz w:val="22"/>
          <w:szCs w:val="22"/>
          <w:lang w:val="en-GB"/>
        </w:rPr>
        <w:t xml:space="preserve">agenda </w:t>
      </w:r>
      <w:r>
        <w:rPr>
          <w:sz w:val="22"/>
          <w:szCs w:val="22"/>
          <w:lang w:val="en-GB"/>
        </w:rPr>
        <w:t>should</w:t>
      </w:r>
      <w:r w:rsidRPr="00AE2F32">
        <w:rPr>
          <w:sz w:val="22"/>
          <w:szCs w:val="22"/>
          <w:lang w:val="en-GB"/>
        </w:rPr>
        <w:t xml:space="preserve"> </w:t>
      </w:r>
      <w:r w:rsidR="003A668A" w:rsidRPr="00AE2F32">
        <w:rPr>
          <w:sz w:val="22"/>
          <w:szCs w:val="22"/>
          <w:lang w:val="en-GB"/>
        </w:rPr>
        <w:t xml:space="preserve">also </w:t>
      </w:r>
      <w:r>
        <w:rPr>
          <w:sz w:val="22"/>
          <w:szCs w:val="22"/>
          <w:lang w:val="en-GB"/>
        </w:rPr>
        <w:t>be underlined.</w:t>
      </w:r>
      <w:r w:rsidR="00A26068" w:rsidRPr="00AE2F32">
        <w:rPr>
          <w:rStyle w:val="FootnoteReference"/>
          <w:sz w:val="22"/>
          <w:szCs w:val="22"/>
          <w:lang w:val="en-GB"/>
        </w:rPr>
        <w:footnoteReference w:id="182"/>
      </w:r>
      <w:r w:rsidR="00A26068" w:rsidRPr="00AE2F32">
        <w:rPr>
          <w:sz w:val="22"/>
          <w:szCs w:val="22"/>
          <w:lang w:val="en-GB"/>
        </w:rPr>
        <w:t xml:space="preserve"> </w:t>
      </w:r>
      <w:r w:rsidR="003A668A" w:rsidRPr="00AE2F32">
        <w:rPr>
          <w:sz w:val="22"/>
          <w:szCs w:val="22"/>
          <w:lang w:val="en-GB"/>
        </w:rPr>
        <w:t xml:space="preserve">Despite the stated commitment, the Tripartite Commission has failed to become an effective mechanism, which significantly hinders the possibility of establishing trade unions as effective actors. </w:t>
      </w:r>
    </w:p>
    <w:p w14:paraId="6983AF3E" w14:textId="4BB7B86C" w:rsidR="00A26068" w:rsidRPr="00AE2F32" w:rsidRDefault="00A26068" w:rsidP="00A26068">
      <w:pPr>
        <w:jc w:val="both"/>
        <w:rPr>
          <w:sz w:val="22"/>
          <w:szCs w:val="22"/>
          <w:lang w:val="en-GB"/>
        </w:rPr>
      </w:pPr>
    </w:p>
    <w:p w14:paraId="2536E2FA" w14:textId="141F2D00" w:rsidR="00A26068" w:rsidRPr="00AE2F32" w:rsidRDefault="003A668A" w:rsidP="00A26068">
      <w:pPr>
        <w:shd w:val="clear" w:color="auto" w:fill="D0CECE" w:themeFill="background2" w:themeFillShade="E6"/>
        <w:jc w:val="both"/>
        <w:rPr>
          <w:i/>
          <w:iCs/>
          <w:sz w:val="22"/>
          <w:szCs w:val="22"/>
          <w:u w:val="single"/>
          <w:lang w:val="en-GB"/>
        </w:rPr>
      </w:pPr>
      <w:r w:rsidRPr="00AE2F32">
        <w:rPr>
          <w:i/>
          <w:iCs/>
          <w:sz w:val="22"/>
          <w:szCs w:val="22"/>
          <w:u w:val="single"/>
          <w:lang w:val="en-GB"/>
        </w:rPr>
        <w:t xml:space="preserve">Recommendations: </w:t>
      </w:r>
    </w:p>
    <w:p w14:paraId="44F465D4" w14:textId="267014C2" w:rsidR="00C262F0" w:rsidRPr="00AE2F32" w:rsidRDefault="00220FD9" w:rsidP="0023502D">
      <w:pPr>
        <w:pStyle w:val="ListParagraph"/>
        <w:numPr>
          <w:ilvl w:val="0"/>
          <w:numId w:val="34"/>
        </w:numPr>
        <w:shd w:val="clear" w:color="auto" w:fill="D0CECE" w:themeFill="background2" w:themeFillShade="E6"/>
        <w:spacing w:after="160" w:line="259" w:lineRule="auto"/>
        <w:jc w:val="both"/>
        <w:rPr>
          <w:sz w:val="22"/>
          <w:szCs w:val="22"/>
          <w:lang w:val="en-GB"/>
        </w:rPr>
      </w:pPr>
      <w:r>
        <w:rPr>
          <w:sz w:val="22"/>
          <w:szCs w:val="22"/>
          <w:lang w:val="en-GB"/>
        </w:rPr>
        <w:t>R</w:t>
      </w:r>
      <w:r w:rsidR="00A33CAA" w:rsidRPr="00AE2F32">
        <w:rPr>
          <w:sz w:val="22"/>
          <w:szCs w:val="22"/>
          <w:lang w:val="en-GB"/>
        </w:rPr>
        <w:t xml:space="preserve">egulate </w:t>
      </w:r>
      <w:r w:rsidR="00C262F0" w:rsidRPr="00AE2F32">
        <w:rPr>
          <w:sz w:val="22"/>
          <w:szCs w:val="22"/>
          <w:lang w:val="en-GB"/>
        </w:rPr>
        <w:t>the</w:t>
      </w:r>
      <w:r>
        <w:rPr>
          <w:sz w:val="22"/>
          <w:szCs w:val="22"/>
          <w:lang w:val="en-GB"/>
        </w:rPr>
        <w:t xml:space="preserve"> mandatory</w:t>
      </w:r>
      <w:r w:rsidR="00C262F0" w:rsidRPr="00AE2F32">
        <w:rPr>
          <w:sz w:val="22"/>
          <w:szCs w:val="22"/>
          <w:lang w:val="en-GB"/>
        </w:rPr>
        <w:t xml:space="preserve"> </w:t>
      </w:r>
      <w:r w:rsidR="00A33CAA" w:rsidRPr="00AE2F32">
        <w:rPr>
          <w:sz w:val="22"/>
          <w:szCs w:val="22"/>
          <w:lang w:val="en-GB"/>
        </w:rPr>
        <w:t>restoration</w:t>
      </w:r>
      <w:r w:rsidR="00C262F0" w:rsidRPr="00AE2F32">
        <w:rPr>
          <w:sz w:val="22"/>
          <w:szCs w:val="22"/>
          <w:lang w:val="en-GB"/>
        </w:rPr>
        <w:t xml:space="preserve"> of an employee</w:t>
      </w:r>
      <w:r w:rsidR="00A33CAA" w:rsidRPr="00AE2F32">
        <w:rPr>
          <w:sz w:val="22"/>
          <w:szCs w:val="22"/>
          <w:lang w:val="en-GB"/>
        </w:rPr>
        <w:t xml:space="preserve"> from various trade unions</w:t>
      </w:r>
      <w:r w:rsidR="00C262F0" w:rsidRPr="00AE2F32">
        <w:rPr>
          <w:sz w:val="22"/>
          <w:szCs w:val="22"/>
          <w:lang w:val="en-GB"/>
        </w:rPr>
        <w:t xml:space="preserve"> in the same position in case of dismissa</w:t>
      </w:r>
      <w:r w:rsidR="00A33CAA" w:rsidRPr="00AE2F32">
        <w:rPr>
          <w:sz w:val="22"/>
          <w:szCs w:val="22"/>
          <w:lang w:val="en-GB"/>
        </w:rPr>
        <w:t>l</w:t>
      </w:r>
      <w:r w:rsidR="00C262F0" w:rsidRPr="00AE2F32">
        <w:rPr>
          <w:sz w:val="22"/>
          <w:szCs w:val="22"/>
          <w:lang w:val="en-GB"/>
        </w:rPr>
        <w:t>.</w:t>
      </w:r>
    </w:p>
    <w:p w14:paraId="5E6F2542" w14:textId="0ABAC9A1" w:rsidR="00C262F0" w:rsidRPr="00AE2F32" w:rsidRDefault="000C1EC4" w:rsidP="0023502D">
      <w:pPr>
        <w:pStyle w:val="ListParagraph"/>
        <w:numPr>
          <w:ilvl w:val="0"/>
          <w:numId w:val="34"/>
        </w:numPr>
        <w:shd w:val="clear" w:color="auto" w:fill="D0CECE" w:themeFill="background2" w:themeFillShade="E6"/>
        <w:spacing w:after="160" w:line="259" w:lineRule="auto"/>
        <w:jc w:val="both"/>
        <w:rPr>
          <w:sz w:val="22"/>
          <w:szCs w:val="22"/>
          <w:lang w:val="en-GB"/>
        </w:rPr>
      </w:pPr>
      <w:r>
        <w:rPr>
          <w:sz w:val="22"/>
          <w:szCs w:val="22"/>
          <w:lang w:val="en-GB"/>
        </w:rPr>
        <w:t>E</w:t>
      </w:r>
      <w:r w:rsidR="00C262F0" w:rsidRPr="00AE2F32">
        <w:rPr>
          <w:sz w:val="22"/>
          <w:szCs w:val="22"/>
          <w:lang w:val="en-GB"/>
        </w:rPr>
        <w:t>nsure the effective functioning of the tripartite commission</w:t>
      </w:r>
    </w:p>
    <w:p w14:paraId="622AF647" w14:textId="377E7E16" w:rsidR="00A26068" w:rsidRPr="00AE2F32" w:rsidRDefault="00220FD9" w:rsidP="0023502D">
      <w:pPr>
        <w:pStyle w:val="ListParagraph"/>
        <w:numPr>
          <w:ilvl w:val="0"/>
          <w:numId w:val="34"/>
        </w:numPr>
        <w:shd w:val="clear" w:color="auto" w:fill="D0CECE" w:themeFill="background2" w:themeFillShade="E6"/>
        <w:spacing w:after="160" w:line="259" w:lineRule="auto"/>
        <w:jc w:val="both"/>
        <w:rPr>
          <w:sz w:val="22"/>
          <w:szCs w:val="22"/>
          <w:lang w:val="en-GB"/>
        </w:rPr>
      </w:pPr>
      <w:r>
        <w:rPr>
          <w:sz w:val="22"/>
          <w:szCs w:val="22"/>
          <w:lang w:val="en-GB"/>
        </w:rPr>
        <w:t>Taking into account</w:t>
      </w:r>
      <w:r w:rsidRPr="00AE2F32">
        <w:rPr>
          <w:sz w:val="22"/>
          <w:szCs w:val="22"/>
          <w:lang w:val="en-GB"/>
        </w:rPr>
        <w:t xml:space="preserve"> </w:t>
      </w:r>
      <w:r w:rsidR="00C262F0" w:rsidRPr="00AE2F32">
        <w:rPr>
          <w:sz w:val="22"/>
          <w:szCs w:val="22"/>
          <w:lang w:val="en-GB"/>
        </w:rPr>
        <w:t>the practical problems of the mediation process, ensure the proper functioning of this process at the legislative level.</w:t>
      </w:r>
    </w:p>
    <w:p w14:paraId="5DDB9388" w14:textId="77777777" w:rsidR="00A26068" w:rsidRPr="00AE2F32" w:rsidRDefault="00A26068" w:rsidP="00A26068">
      <w:pPr>
        <w:jc w:val="both"/>
        <w:rPr>
          <w:sz w:val="22"/>
          <w:szCs w:val="22"/>
          <w:lang w:val="en-GB"/>
        </w:rPr>
      </w:pPr>
    </w:p>
    <w:p w14:paraId="0AB4628F" w14:textId="69ADC192" w:rsidR="003A668A" w:rsidRPr="00AE2F32" w:rsidRDefault="003A668A" w:rsidP="003A668A">
      <w:pPr>
        <w:shd w:val="clear" w:color="auto" w:fill="D0CECE" w:themeFill="background2" w:themeFillShade="E6"/>
        <w:spacing w:after="160" w:line="259" w:lineRule="auto"/>
        <w:jc w:val="both"/>
        <w:rPr>
          <w:sz w:val="22"/>
          <w:szCs w:val="22"/>
          <w:lang w:val="en-GB"/>
        </w:rPr>
      </w:pPr>
      <w:r w:rsidRPr="00AE2F32">
        <w:rPr>
          <w:sz w:val="22"/>
          <w:szCs w:val="22"/>
          <w:lang w:val="en-GB"/>
        </w:rPr>
        <w:t>Questions:</w:t>
      </w:r>
    </w:p>
    <w:p w14:paraId="27FBC7B0" w14:textId="78075845" w:rsidR="008A70BA" w:rsidRPr="00AE2F32" w:rsidRDefault="003A668A" w:rsidP="0023502D">
      <w:pPr>
        <w:pStyle w:val="ListParagraph"/>
        <w:numPr>
          <w:ilvl w:val="0"/>
          <w:numId w:val="27"/>
        </w:numPr>
        <w:shd w:val="clear" w:color="auto" w:fill="D0CECE" w:themeFill="background2" w:themeFillShade="E6"/>
        <w:spacing w:after="160" w:line="259" w:lineRule="auto"/>
        <w:jc w:val="both"/>
        <w:rPr>
          <w:sz w:val="22"/>
          <w:szCs w:val="22"/>
          <w:lang w:val="en-GB"/>
        </w:rPr>
      </w:pPr>
      <w:r w:rsidRPr="00AE2F32">
        <w:rPr>
          <w:sz w:val="22"/>
          <w:szCs w:val="22"/>
          <w:lang w:val="en-GB"/>
        </w:rPr>
        <w:t xml:space="preserve"> What measures does the state take to promote the establishment, strengthening</w:t>
      </w:r>
      <w:r w:rsidR="00B655B8">
        <w:rPr>
          <w:sz w:val="22"/>
          <w:szCs w:val="22"/>
          <w:lang w:val="en-GB"/>
        </w:rPr>
        <w:t>,</w:t>
      </w:r>
      <w:r w:rsidRPr="00AE2F32">
        <w:rPr>
          <w:sz w:val="22"/>
          <w:szCs w:val="22"/>
          <w:lang w:val="en-GB"/>
        </w:rPr>
        <w:t xml:space="preserve"> and development of trade unions</w:t>
      </w:r>
      <w:r w:rsidR="00222E8B">
        <w:rPr>
          <w:sz w:val="22"/>
          <w:szCs w:val="22"/>
          <w:lang w:val="en-GB"/>
        </w:rPr>
        <w:t>,</w:t>
      </w:r>
      <w:r w:rsidRPr="00AE2F32">
        <w:rPr>
          <w:sz w:val="22"/>
          <w:szCs w:val="22"/>
          <w:lang w:val="en-GB"/>
        </w:rPr>
        <w:t xml:space="preserve"> and does the country have a policy in this regard?</w:t>
      </w:r>
    </w:p>
    <w:p w14:paraId="54728C0E" w14:textId="77777777" w:rsidR="000159D3" w:rsidRPr="00AE2F32" w:rsidRDefault="000159D3" w:rsidP="00256F01">
      <w:pPr>
        <w:rPr>
          <w:rFonts w:eastAsia="Times New Roman" w:cs="Times New Roman"/>
          <w:sz w:val="22"/>
          <w:szCs w:val="22"/>
          <w:lang w:val="en-GB"/>
        </w:rPr>
      </w:pPr>
    </w:p>
    <w:p w14:paraId="1985AE0E" w14:textId="3978EADF" w:rsidR="000055F2" w:rsidRPr="00AE2F32" w:rsidRDefault="00221F3E" w:rsidP="0023502D">
      <w:pPr>
        <w:pStyle w:val="Heading2"/>
        <w:numPr>
          <w:ilvl w:val="0"/>
          <w:numId w:val="15"/>
        </w:numPr>
        <w:spacing w:before="0"/>
        <w:rPr>
          <w:rFonts w:asciiTheme="minorHAnsi" w:hAnsiTheme="minorHAnsi" w:cs="Sylfaen"/>
          <w:sz w:val="22"/>
          <w:szCs w:val="22"/>
          <w:lang w:val="en-GB"/>
        </w:rPr>
      </w:pPr>
      <w:bookmarkStart w:id="62" w:name="_Toc48565954"/>
      <w:r w:rsidRPr="00AE2F32">
        <w:rPr>
          <w:rFonts w:asciiTheme="minorHAnsi" w:hAnsiTheme="minorHAnsi" w:cs="Sylfaen"/>
          <w:sz w:val="22"/>
          <w:szCs w:val="22"/>
          <w:lang w:val="en-GB"/>
        </w:rPr>
        <w:t>Article</w:t>
      </w:r>
      <w:r w:rsidR="007918A6" w:rsidRPr="00AE2F32">
        <w:rPr>
          <w:rFonts w:asciiTheme="minorHAnsi" w:hAnsiTheme="minorHAnsi" w:cs="Sylfaen"/>
          <w:sz w:val="22"/>
          <w:szCs w:val="22"/>
          <w:lang w:val="en-GB"/>
        </w:rPr>
        <w:t xml:space="preserve"> 25:</w:t>
      </w:r>
      <w:r w:rsidRPr="00AE2F32">
        <w:rPr>
          <w:rFonts w:asciiTheme="minorHAnsi" w:hAnsiTheme="minorHAnsi" w:cs="Sylfaen"/>
          <w:sz w:val="22"/>
          <w:szCs w:val="22"/>
          <w:lang w:val="en-GB"/>
        </w:rPr>
        <w:t xml:space="preserve"> Participation in elections and public affairs</w:t>
      </w:r>
      <w:bookmarkEnd w:id="62"/>
      <w:r w:rsidR="007918A6" w:rsidRPr="00AE2F32">
        <w:rPr>
          <w:rFonts w:asciiTheme="minorHAnsi" w:hAnsiTheme="minorHAnsi" w:cs="Sylfaen"/>
          <w:sz w:val="22"/>
          <w:szCs w:val="22"/>
          <w:lang w:val="en-GB"/>
        </w:rPr>
        <w:t xml:space="preserve"> </w:t>
      </w:r>
    </w:p>
    <w:p w14:paraId="6ED749EC" w14:textId="77777777" w:rsidR="00221F3E" w:rsidRPr="00AE2F32" w:rsidRDefault="00221F3E" w:rsidP="00221F3E">
      <w:pPr>
        <w:rPr>
          <w:sz w:val="22"/>
          <w:szCs w:val="22"/>
          <w:lang w:val="en-GB"/>
        </w:rPr>
      </w:pPr>
    </w:p>
    <w:p w14:paraId="47B5978F" w14:textId="77777777" w:rsidR="00256F01" w:rsidRDefault="00514D77" w:rsidP="00837F27">
      <w:pPr>
        <w:tabs>
          <w:tab w:val="left" w:pos="360"/>
        </w:tabs>
        <w:spacing w:after="120"/>
        <w:jc w:val="both"/>
        <w:rPr>
          <w:rFonts w:cs="Calibri"/>
          <w:bCs/>
          <w:i/>
          <w:iCs/>
          <w:sz w:val="22"/>
          <w:szCs w:val="22"/>
          <w:u w:val="single"/>
          <w:lang w:val="en-GB"/>
        </w:rPr>
      </w:pPr>
      <w:r w:rsidRPr="00AE2F32">
        <w:rPr>
          <w:rFonts w:cs="Calibri"/>
          <w:bCs/>
          <w:i/>
          <w:iCs/>
          <w:sz w:val="22"/>
          <w:szCs w:val="22"/>
          <w:u w:val="single"/>
          <w:lang w:val="en-GB"/>
        </w:rPr>
        <w:t xml:space="preserve">Control of voters’ expression of the will </w:t>
      </w:r>
    </w:p>
    <w:p w14:paraId="28FC1F36" w14:textId="65DAD475" w:rsidR="00837F27" w:rsidRPr="00256F01" w:rsidRDefault="00514D77" w:rsidP="00837F27">
      <w:pPr>
        <w:tabs>
          <w:tab w:val="left" w:pos="360"/>
        </w:tabs>
        <w:spacing w:after="120"/>
        <w:jc w:val="both"/>
        <w:rPr>
          <w:rFonts w:cs="Calibri"/>
          <w:bCs/>
          <w:i/>
          <w:iCs/>
          <w:sz w:val="22"/>
          <w:szCs w:val="22"/>
          <w:u w:val="single"/>
          <w:lang w:val="en-GB"/>
        </w:rPr>
      </w:pPr>
      <w:r w:rsidRPr="00AE2F32">
        <w:rPr>
          <w:rFonts w:cs="Calibri"/>
          <w:bCs/>
          <w:sz w:val="22"/>
          <w:szCs w:val="22"/>
          <w:lang w:val="en-GB"/>
        </w:rPr>
        <w:lastRenderedPageBreak/>
        <w:t>Control of Voter’s will "is mainly carried out at polling stations to record the number of declared supporters."</w:t>
      </w:r>
      <w:r w:rsidR="00837F27" w:rsidRPr="00AE2F32">
        <w:rPr>
          <w:rStyle w:val="FootnoteReference"/>
          <w:rFonts w:cs="Calibri"/>
          <w:sz w:val="22"/>
          <w:szCs w:val="22"/>
          <w:lang w:val="en-GB"/>
        </w:rPr>
        <w:footnoteReference w:id="183"/>
      </w:r>
      <w:r w:rsidR="00837F27" w:rsidRPr="00AE2F32">
        <w:rPr>
          <w:rFonts w:cs="Calibri"/>
          <w:sz w:val="22"/>
          <w:szCs w:val="22"/>
          <w:lang w:val="en-GB"/>
        </w:rPr>
        <w:t xml:space="preserve"> </w:t>
      </w:r>
      <w:r w:rsidR="00430E56" w:rsidRPr="00AE2F32">
        <w:rPr>
          <w:rFonts w:cs="Calibri"/>
          <w:sz w:val="22"/>
          <w:szCs w:val="22"/>
          <w:lang w:val="en-GB"/>
        </w:rPr>
        <w:t>The forms of control also include mobilizing large numbers of people at polling stations</w:t>
      </w:r>
      <w:r w:rsidR="00837F27" w:rsidRPr="00AE2F32">
        <w:rPr>
          <w:rFonts w:cs="Calibri"/>
          <w:sz w:val="22"/>
          <w:szCs w:val="22"/>
          <w:lang w:val="en-GB"/>
        </w:rPr>
        <w:t>,</w:t>
      </w:r>
      <w:r w:rsidR="00837F27" w:rsidRPr="00AE2F32">
        <w:rPr>
          <w:rStyle w:val="FootnoteReference"/>
          <w:rFonts w:cs="Calibri"/>
          <w:sz w:val="22"/>
          <w:szCs w:val="22"/>
          <w:lang w:val="en-GB"/>
        </w:rPr>
        <w:footnoteReference w:id="184"/>
      </w:r>
      <w:r w:rsidR="00837F27" w:rsidRPr="00AE2F32">
        <w:rPr>
          <w:rFonts w:cs="Calibri"/>
          <w:sz w:val="22"/>
          <w:szCs w:val="22"/>
          <w:lang w:val="en-GB"/>
        </w:rPr>
        <w:t xml:space="preserve"> </w:t>
      </w:r>
      <w:r w:rsidR="00430E56" w:rsidRPr="00AE2F32">
        <w:rPr>
          <w:rFonts w:cs="Calibri"/>
          <w:sz w:val="22"/>
          <w:szCs w:val="22"/>
          <w:lang w:val="en-GB"/>
        </w:rPr>
        <w:t>marking voter data and political preferences</w:t>
      </w:r>
      <w:r w:rsidR="00837F27" w:rsidRPr="00AE2F32">
        <w:rPr>
          <w:rStyle w:val="FootnoteReference"/>
          <w:rFonts w:cs="Calibri"/>
          <w:sz w:val="22"/>
          <w:szCs w:val="22"/>
          <w:lang w:val="en-GB"/>
        </w:rPr>
        <w:footnoteReference w:id="185"/>
      </w:r>
      <w:r w:rsidR="00837F27" w:rsidRPr="00AE2F32">
        <w:rPr>
          <w:rFonts w:cs="Calibri"/>
          <w:sz w:val="22"/>
          <w:szCs w:val="22"/>
          <w:lang w:val="en-GB"/>
        </w:rPr>
        <w:t xml:space="preserve"> </w:t>
      </w:r>
      <w:r w:rsidR="004712D2">
        <w:rPr>
          <w:rFonts w:cs="Calibri"/>
          <w:sz w:val="22"/>
          <w:szCs w:val="22"/>
          <w:lang w:val="en-GB"/>
        </w:rPr>
        <w:t xml:space="preserve">, </w:t>
      </w:r>
      <w:r w:rsidR="00430E56" w:rsidRPr="00AE2F32">
        <w:rPr>
          <w:rFonts w:cs="Calibri"/>
          <w:sz w:val="22"/>
          <w:szCs w:val="22"/>
          <w:lang w:val="en-GB"/>
        </w:rPr>
        <w:t>and informal tracking of voters.</w:t>
      </w:r>
      <w:r w:rsidR="00837F27" w:rsidRPr="00AE2F32">
        <w:rPr>
          <w:rStyle w:val="FootnoteReference"/>
          <w:rFonts w:cs="Calibri"/>
          <w:sz w:val="22"/>
          <w:szCs w:val="22"/>
          <w:lang w:val="en-GB"/>
        </w:rPr>
        <w:footnoteReference w:id="186"/>
      </w:r>
      <w:r w:rsidR="00837F27" w:rsidRPr="00AE2F32">
        <w:rPr>
          <w:rFonts w:cs="Calibri"/>
          <w:sz w:val="22"/>
          <w:szCs w:val="22"/>
          <w:lang w:val="en-GB"/>
        </w:rPr>
        <w:t xml:space="preserve"> </w:t>
      </w:r>
      <w:r w:rsidR="00430E56" w:rsidRPr="00AE2F32">
        <w:rPr>
          <w:rFonts w:cs="Calibri"/>
          <w:sz w:val="22"/>
          <w:szCs w:val="22"/>
          <w:lang w:val="en-GB"/>
        </w:rPr>
        <w:t>This practice creates discomfort and a sense of control, which reduces the likelihood of making independent and free choices.</w:t>
      </w:r>
      <w:r w:rsidR="00837F27" w:rsidRPr="00AE2F32">
        <w:rPr>
          <w:rStyle w:val="FootnoteReference"/>
          <w:rFonts w:cs="Calibri"/>
          <w:sz w:val="22"/>
          <w:szCs w:val="22"/>
          <w:lang w:val="en-GB"/>
        </w:rPr>
        <w:footnoteReference w:id="187"/>
      </w:r>
    </w:p>
    <w:p w14:paraId="02615E83" w14:textId="3D4635A3" w:rsidR="008A7488" w:rsidRDefault="00B954B8" w:rsidP="00837F27">
      <w:pPr>
        <w:tabs>
          <w:tab w:val="left" w:pos="360"/>
        </w:tabs>
        <w:spacing w:after="120"/>
        <w:jc w:val="both"/>
        <w:rPr>
          <w:rFonts w:cs="Calibri"/>
          <w:sz w:val="22"/>
          <w:szCs w:val="22"/>
          <w:lang w:val="ka-GE"/>
        </w:rPr>
      </w:pPr>
      <w:r w:rsidRPr="00AE2F32">
        <w:rPr>
          <w:rFonts w:cs="Calibri"/>
          <w:sz w:val="22"/>
          <w:szCs w:val="22"/>
          <w:lang w:val="en-GB"/>
        </w:rPr>
        <w:t>According to the latest amendments, the placement of agitation materials within 25 meters from the entrance of the polling station is prohibited, as well as physical obstruction of the movement of voters at the same distance</w:t>
      </w:r>
      <w:r w:rsidR="00837F27" w:rsidRPr="00AE2F32">
        <w:rPr>
          <w:rFonts w:cs="Calibri"/>
          <w:sz w:val="22"/>
          <w:szCs w:val="22"/>
          <w:lang w:val="en-GB"/>
        </w:rPr>
        <w:t>.</w:t>
      </w:r>
      <w:r w:rsidR="00837F27" w:rsidRPr="00AE2F32">
        <w:rPr>
          <w:sz w:val="22"/>
          <w:szCs w:val="22"/>
          <w:vertAlign w:val="superscript"/>
          <w:lang w:val="en-GB"/>
        </w:rPr>
        <w:footnoteReference w:id="188"/>
      </w:r>
      <w:r w:rsidR="00837F27" w:rsidRPr="00AE2F32">
        <w:rPr>
          <w:rFonts w:cs="Calibri"/>
          <w:sz w:val="22"/>
          <w:szCs w:val="22"/>
          <w:lang w:val="en-GB"/>
        </w:rPr>
        <w:t xml:space="preserve"> </w:t>
      </w:r>
      <w:r w:rsidR="008A7488" w:rsidRPr="00AE2F32">
        <w:rPr>
          <w:rFonts w:cs="Calibri"/>
          <w:sz w:val="22"/>
          <w:szCs w:val="22"/>
          <w:lang w:val="en-GB"/>
        </w:rPr>
        <w:t>These mechanisms will not effective</w:t>
      </w:r>
      <w:r w:rsidR="00813F3B">
        <w:rPr>
          <w:rFonts w:cs="Calibri"/>
          <w:sz w:val="22"/>
          <w:szCs w:val="22"/>
          <w:lang w:val="en-GB"/>
        </w:rPr>
        <w:t xml:space="preserve">ly </w:t>
      </w:r>
      <w:r w:rsidR="008A7488" w:rsidRPr="00AE2F32">
        <w:rPr>
          <w:rFonts w:cs="Calibri"/>
          <w:sz w:val="22"/>
          <w:szCs w:val="22"/>
          <w:lang w:val="en-GB"/>
        </w:rPr>
        <w:t>eliminat</w:t>
      </w:r>
      <w:r w:rsidR="00813F3B">
        <w:rPr>
          <w:rFonts w:cs="Calibri"/>
          <w:sz w:val="22"/>
          <w:szCs w:val="22"/>
          <w:lang w:val="en-GB"/>
        </w:rPr>
        <w:t>e</w:t>
      </w:r>
      <w:r w:rsidR="008A7488" w:rsidRPr="00AE2F32">
        <w:rPr>
          <w:rFonts w:cs="Calibri"/>
          <w:sz w:val="22"/>
          <w:szCs w:val="22"/>
          <w:lang w:val="en-GB"/>
        </w:rPr>
        <w:t xml:space="preserve"> the problems of influencing the will of the voter, as it does not prohibit the creation of a surveillance environment</w:t>
      </w:r>
      <w:r w:rsidR="00813F3B">
        <w:rPr>
          <w:rFonts w:cs="Calibri"/>
          <w:sz w:val="22"/>
          <w:szCs w:val="22"/>
          <w:lang w:val="en-GB"/>
        </w:rPr>
        <w:t>.</w:t>
      </w:r>
    </w:p>
    <w:p w14:paraId="1487D715" w14:textId="77777777" w:rsidR="006D4451" w:rsidRPr="006D4451" w:rsidRDefault="006D4451" w:rsidP="00837F27">
      <w:pPr>
        <w:tabs>
          <w:tab w:val="left" w:pos="360"/>
        </w:tabs>
        <w:spacing w:after="120"/>
        <w:jc w:val="both"/>
        <w:rPr>
          <w:rFonts w:cs="Calibri"/>
          <w:sz w:val="22"/>
          <w:szCs w:val="22"/>
          <w:lang w:val="ka-GE"/>
        </w:rPr>
      </w:pPr>
    </w:p>
    <w:p w14:paraId="02D6C469" w14:textId="77777777" w:rsidR="006D4451" w:rsidRDefault="00A47044" w:rsidP="00837F27">
      <w:pPr>
        <w:tabs>
          <w:tab w:val="left" w:pos="360"/>
        </w:tabs>
        <w:spacing w:after="120"/>
        <w:jc w:val="both"/>
        <w:rPr>
          <w:rFonts w:cs="Calibri"/>
          <w:bCs/>
          <w:i/>
          <w:iCs/>
          <w:sz w:val="22"/>
          <w:szCs w:val="22"/>
          <w:u w:val="single"/>
          <w:lang w:val="en-GB"/>
        </w:rPr>
      </w:pPr>
      <w:r w:rsidRPr="00AE2F32">
        <w:rPr>
          <w:rFonts w:cs="Calibri"/>
          <w:bCs/>
          <w:i/>
          <w:iCs/>
          <w:sz w:val="22"/>
          <w:szCs w:val="22"/>
          <w:u w:val="single"/>
          <w:lang w:val="en-GB"/>
        </w:rPr>
        <w:t xml:space="preserve">Period of Silence </w:t>
      </w:r>
    </w:p>
    <w:p w14:paraId="4D0C3894" w14:textId="04D12090" w:rsidR="00837F27" w:rsidRPr="006D4451" w:rsidRDefault="00A47044" w:rsidP="00837F27">
      <w:pPr>
        <w:tabs>
          <w:tab w:val="left" w:pos="360"/>
        </w:tabs>
        <w:spacing w:after="120"/>
        <w:jc w:val="both"/>
        <w:rPr>
          <w:rFonts w:cs="Calibri"/>
          <w:bCs/>
          <w:i/>
          <w:iCs/>
          <w:sz w:val="22"/>
          <w:szCs w:val="22"/>
          <w:u w:val="single"/>
          <w:lang w:val="en-GB"/>
        </w:rPr>
      </w:pPr>
      <w:r w:rsidRPr="00AE2F32">
        <w:rPr>
          <w:rFonts w:cs="Calibri"/>
          <w:sz w:val="22"/>
          <w:szCs w:val="22"/>
          <w:lang w:val="en-GB"/>
        </w:rPr>
        <w:t>Pre-election agitation is prohibited in the polling station on the polling day.</w:t>
      </w:r>
      <w:r w:rsidR="00837F27" w:rsidRPr="00AE2F32">
        <w:rPr>
          <w:sz w:val="22"/>
          <w:szCs w:val="22"/>
          <w:vertAlign w:val="superscript"/>
          <w:lang w:val="en-GB"/>
        </w:rPr>
        <w:footnoteReference w:id="189"/>
      </w:r>
      <w:r w:rsidR="00837F27" w:rsidRPr="00AE2F32">
        <w:rPr>
          <w:rFonts w:cs="Calibri"/>
          <w:sz w:val="22"/>
          <w:szCs w:val="22"/>
          <w:lang w:val="en-GB"/>
        </w:rPr>
        <w:t xml:space="preserve"> </w:t>
      </w:r>
      <w:r w:rsidRPr="00AE2F32">
        <w:rPr>
          <w:rFonts w:cs="Calibri"/>
          <w:sz w:val="22"/>
          <w:szCs w:val="22"/>
          <w:lang w:val="en-GB"/>
        </w:rPr>
        <w:t xml:space="preserve"> However, this period is insufficient. Voters need time to unwind, which they will use for quiet </w:t>
      </w:r>
      <w:r w:rsidR="00813F3B">
        <w:rPr>
          <w:rFonts w:cs="Calibri"/>
          <w:sz w:val="22"/>
          <w:szCs w:val="22"/>
          <w:lang w:val="en-GB"/>
        </w:rPr>
        <w:t>voting,</w:t>
      </w:r>
      <w:r w:rsidR="00813F3B" w:rsidRPr="00AE2F32">
        <w:rPr>
          <w:rFonts w:cs="Calibri"/>
          <w:sz w:val="22"/>
          <w:szCs w:val="22"/>
          <w:lang w:val="en-GB"/>
        </w:rPr>
        <w:t xml:space="preserve"> </w:t>
      </w:r>
      <w:r w:rsidRPr="00AE2F32">
        <w:rPr>
          <w:rFonts w:cs="Calibri"/>
          <w:sz w:val="22"/>
          <w:szCs w:val="22"/>
          <w:lang w:val="en-GB"/>
        </w:rPr>
        <w:t>after a hot election campaign</w:t>
      </w:r>
      <w:r w:rsidR="00837F27" w:rsidRPr="00AE2F32">
        <w:rPr>
          <w:rFonts w:cs="Calibri"/>
          <w:sz w:val="22"/>
          <w:szCs w:val="22"/>
          <w:lang w:val="en-GB"/>
        </w:rPr>
        <w:t>.</w:t>
      </w:r>
      <w:r w:rsidR="00837F27" w:rsidRPr="00AE2F32">
        <w:rPr>
          <w:rStyle w:val="FootnoteReference"/>
          <w:rFonts w:cs="Calibri"/>
          <w:sz w:val="22"/>
          <w:szCs w:val="22"/>
          <w:lang w:val="en-GB"/>
        </w:rPr>
        <w:footnoteReference w:id="190"/>
      </w:r>
      <w:r w:rsidR="00837F27" w:rsidRPr="00AE2F32">
        <w:rPr>
          <w:rFonts w:cs="Calibri"/>
          <w:sz w:val="22"/>
          <w:szCs w:val="22"/>
          <w:lang w:val="en-GB"/>
        </w:rPr>
        <w:t xml:space="preserve"> </w:t>
      </w:r>
    </w:p>
    <w:p w14:paraId="68E35869" w14:textId="2D7AF819" w:rsidR="00837F27" w:rsidRPr="00AE2F32" w:rsidRDefault="00A47044" w:rsidP="00837F27">
      <w:pPr>
        <w:shd w:val="clear" w:color="auto" w:fill="C9C9C9" w:themeFill="accent3" w:themeFillTint="99"/>
        <w:tabs>
          <w:tab w:val="left" w:pos="360"/>
        </w:tabs>
        <w:spacing w:after="120"/>
        <w:jc w:val="both"/>
        <w:rPr>
          <w:rFonts w:cs="Calibri"/>
          <w:b/>
          <w:sz w:val="22"/>
          <w:szCs w:val="22"/>
          <w:lang w:val="en-GB"/>
        </w:rPr>
      </w:pPr>
      <w:r w:rsidRPr="00AE2F32">
        <w:rPr>
          <w:rFonts w:cs="Calibri"/>
          <w:b/>
          <w:sz w:val="22"/>
          <w:szCs w:val="22"/>
          <w:lang w:val="en-GB"/>
        </w:rPr>
        <w:t>Recommendations:</w:t>
      </w:r>
    </w:p>
    <w:p w14:paraId="74C39B65" w14:textId="02334B01" w:rsidR="00837F27" w:rsidRPr="00AE2F32" w:rsidRDefault="00837F27" w:rsidP="0023502D">
      <w:pPr>
        <w:pStyle w:val="ListParagraph"/>
        <w:numPr>
          <w:ilvl w:val="0"/>
          <w:numId w:val="6"/>
        </w:numPr>
        <w:shd w:val="clear" w:color="auto" w:fill="C9C9C9" w:themeFill="accent3" w:themeFillTint="99"/>
        <w:tabs>
          <w:tab w:val="left" w:pos="360"/>
        </w:tabs>
        <w:spacing w:after="120"/>
        <w:ind w:left="0" w:firstLine="0"/>
        <w:jc w:val="both"/>
        <w:rPr>
          <w:rFonts w:cs="Calibri"/>
          <w:sz w:val="22"/>
          <w:szCs w:val="22"/>
          <w:lang w:val="en-GB"/>
        </w:rPr>
      </w:pPr>
      <w:r w:rsidRPr="00AE2F32">
        <w:rPr>
          <w:rFonts w:cs="Calibri"/>
          <w:sz w:val="22"/>
          <w:szCs w:val="22"/>
          <w:lang w:val="en-GB"/>
        </w:rPr>
        <w:t xml:space="preserve"> (1) </w:t>
      </w:r>
      <w:r w:rsidR="00A47044" w:rsidRPr="00AE2F32">
        <w:rPr>
          <w:rFonts w:cs="Calibri"/>
          <w:sz w:val="22"/>
          <w:szCs w:val="22"/>
          <w:lang w:val="en-GB"/>
        </w:rPr>
        <w:t>to increase up to 100 meters the limitation of agitation materials</w:t>
      </w:r>
      <w:r w:rsidR="00593B48" w:rsidRPr="00AE2F32">
        <w:rPr>
          <w:rFonts w:cs="Calibri"/>
          <w:sz w:val="22"/>
          <w:szCs w:val="22"/>
          <w:lang w:val="en-GB"/>
        </w:rPr>
        <w:t xml:space="preserve">; </w:t>
      </w:r>
      <w:r w:rsidRPr="00AE2F32">
        <w:rPr>
          <w:rFonts w:cs="Calibri"/>
          <w:sz w:val="22"/>
          <w:szCs w:val="22"/>
          <w:lang w:val="en-GB"/>
        </w:rPr>
        <w:t xml:space="preserve">(2) </w:t>
      </w:r>
      <w:r w:rsidR="00A47044" w:rsidRPr="00AE2F32">
        <w:rPr>
          <w:rFonts w:cs="Calibri"/>
          <w:sz w:val="22"/>
          <w:szCs w:val="22"/>
          <w:lang w:val="en-GB"/>
        </w:rPr>
        <w:t xml:space="preserve">To prohibit </w:t>
      </w:r>
      <w:r w:rsidR="004712D2">
        <w:rPr>
          <w:rFonts w:cs="Calibri"/>
          <w:sz w:val="22"/>
          <w:szCs w:val="22"/>
          <w:lang w:val="en-GB"/>
        </w:rPr>
        <w:t xml:space="preserve">the </w:t>
      </w:r>
      <w:r w:rsidR="00AD48FA" w:rsidRPr="00AE2F32">
        <w:rPr>
          <w:rFonts w:cs="Calibri"/>
          <w:sz w:val="22"/>
          <w:szCs w:val="22"/>
          <w:lang w:val="en-GB"/>
        </w:rPr>
        <w:t>existence</w:t>
      </w:r>
      <w:r w:rsidR="00A47044" w:rsidRPr="00AE2F32">
        <w:rPr>
          <w:rFonts w:cs="Calibri"/>
          <w:sz w:val="22"/>
          <w:szCs w:val="22"/>
          <w:lang w:val="en-GB"/>
        </w:rPr>
        <w:t xml:space="preserve"> of any unauthorized persons in the same radius. </w:t>
      </w:r>
    </w:p>
    <w:p w14:paraId="59721E3C" w14:textId="26882B69" w:rsidR="00837F27" w:rsidRPr="00AE2F32" w:rsidRDefault="000C1EC4" w:rsidP="0023502D">
      <w:pPr>
        <w:pStyle w:val="ListParagraph"/>
        <w:numPr>
          <w:ilvl w:val="0"/>
          <w:numId w:val="6"/>
        </w:numPr>
        <w:shd w:val="clear" w:color="auto" w:fill="C9C9C9" w:themeFill="accent3" w:themeFillTint="99"/>
        <w:tabs>
          <w:tab w:val="left" w:pos="360"/>
        </w:tabs>
        <w:spacing w:after="120"/>
        <w:ind w:left="0" w:firstLine="0"/>
        <w:jc w:val="both"/>
        <w:rPr>
          <w:rFonts w:cs="Calibri"/>
          <w:sz w:val="22"/>
          <w:szCs w:val="22"/>
          <w:lang w:val="en-GB"/>
        </w:rPr>
      </w:pPr>
      <w:r>
        <w:rPr>
          <w:rFonts w:cs="Calibri"/>
          <w:sz w:val="22"/>
          <w:szCs w:val="22"/>
          <w:lang w:val="en-GB"/>
        </w:rPr>
        <w:t xml:space="preserve">Declare </w:t>
      </w:r>
      <w:r w:rsidR="004712D2">
        <w:rPr>
          <w:rFonts w:cs="Calibri"/>
          <w:sz w:val="22"/>
          <w:szCs w:val="22"/>
          <w:lang w:val="en-GB"/>
        </w:rPr>
        <w:t>elections</w:t>
      </w:r>
      <w:r w:rsidR="00593B48" w:rsidRPr="00AE2F32">
        <w:rPr>
          <w:rFonts w:cs="Calibri"/>
          <w:sz w:val="22"/>
          <w:szCs w:val="22"/>
          <w:lang w:val="en-GB"/>
        </w:rPr>
        <w:t xml:space="preserve"> day as “silence day”.</w:t>
      </w:r>
    </w:p>
    <w:p w14:paraId="628D2674" w14:textId="77777777" w:rsidR="00593B48" w:rsidRPr="00AE2F32" w:rsidRDefault="00593B48" w:rsidP="00C16CF9">
      <w:pPr>
        <w:pStyle w:val="ListParagraph"/>
        <w:tabs>
          <w:tab w:val="left" w:pos="360"/>
        </w:tabs>
        <w:spacing w:after="120"/>
        <w:ind w:left="0"/>
        <w:jc w:val="both"/>
        <w:rPr>
          <w:rFonts w:cs="Calibri"/>
          <w:sz w:val="22"/>
          <w:szCs w:val="22"/>
          <w:lang w:val="en-GB"/>
        </w:rPr>
      </w:pPr>
    </w:p>
    <w:p w14:paraId="09FED5B1" w14:textId="31185786" w:rsidR="00837F27" w:rsidRPr="00AE2F32" w:rsidRDefault="00A47044" w:rsidP="00E62D0D">
      <w:pPr>
        <w:pStyle w:val="ListParagraph"/>
        <w:shd w:val="clear" w:color="auto" w:fill="C9C9C9" w:themeFill="accent3" w:themeFillTint="99"/>
        <w:tabs>
          <w:tab w:val="left" w:pos="360"/>
        </w:tabs>
        <w:spacing w:after="120"/>
        <w:ind w:left="0"/>
        <w:jc w:val="both"/>
        <w:rPr>
          <w:rFonts w:cs="Calibri"/>
          <w:b/>
          <w:sz w:val="22"/>
          <w:szCs w:val="22"/>
          <w:lang w:val="en-GB"/>
        </w:rPr>
      </w:pPr>
      <w:r w:rsidRPr="00AE2F32">
        <w:rPr>
          <w:rFonts w:cs="Calibri"/>
          <w:b/>
          <w:sz w:val="22"/>
          <w:szCs w:val="22"/>
          <w:lang w:val="en-GB"/>
        </w:rPr>
        <w:t>Questions:</w:t>
      </w:r>
    </w:p>
    <w:p w14:paraId="10589E60" w14:textId="6530131C" w:rsidR="00837F27" w:rsidRPr="00AE2F32" w:rsidRDefault="00A47044" w:rsidP="0023502D">
      <w:pPr>
        <w:pStyle w:val="ListParagraph"/>
        <w:numPr>
          <w:ilvl w:val="0"/>
          <w:numId w:val="6"/>
        </w:numPr>
        <w:shd w:val="clear" w:color="auto" w:fill="C9C9C9" w:themeFill="accent3" w:themeFillTint="99"/>
        <w:tabs>
          <w:tab w:val="left" w:pos="360"/>
        </w:tabs>
        <w:spacing w:after="120"/>
        <w:ind w:left="0" w:firstLine="0"/>
        <w:jc w:val="both"/>
        <w:rPr>
          <w:rFonts w:cs="Calibri"/>
          <w:sz w:val="22"/>
          <w:szCs w:val="22"/>
          <w:lang w:val="en-GB"/>
        </w:rPr>
      </w:pPr>
      <w:r w:rsidRPr="00AE2F32">
        <w:rPr>
          <w:rFonts w:cs="Calibri"/>
          <w:sz w:val="22"/>
          <w:szCs w:val="22"/>
          <w:lang w:val="en-GB"/>
        </w:rPr>
        <w:t>What mechanisms do exist to provide free will expression by a voter</w:t>
      </w:r>
      <w:r w:rsidR="00837F27" w:rsidRPr="00AE2F32">
        <w:rPr>
          <w:rFonts w:cs="Calibri"/>
          <w:sz w:val="22"/>
          <w:szCs w:val="22"/>
          <w:lang w:val="en-GB"/>
        </w:rPr>
        <w:t>?</w:t>
      </w:r>
    </w:p>
    <w:p w14:paraId="32C08FC2" w14:textId="35B0B649" w:rsidR="00837F27" w:rsidRPr="00AE2F32" w:rsidRDefault="00593B48" w:rsidP="0023502D">
      <w:pPr>
        <w:pStyle w:val="ListParagraph"/>
        <w:numPr>
          <w:ilvl w:val="0"/>
          <w:numId w:val="6"/>
        </w:numPr>
        <w:shd w:val="clear" w:color="auto" w:fill="C9C9C9" w:themeFill="accent3" w:themeFillTint="99"/>
        <w:tabs>
          <w:tab w:val="left" w:pos="360"/>
        </w:tabs>
        <w:spacing w:after="120"/>
        <w:ind w:left="0" w:firstLine="0"/>
        <w:jc w:val="both"/>
        <w:rPr>
          <w:rFonts w:cs="Calibri"/>
          <w:sz w:val="22"/>
          <w:szCs w:val="22"/>
          <w:lang w:val="en-GB"/>
        </w:rPr>
      </w:pPr>
      <w:r w:rsidRPr="00AE2F32">
        <w:rPr>
          <w:rFonts w:cs="Calibri"/>
          <w:sz w:val="22"/>
          <w:szCs w:val="22"/>
          <w:lang w:val="en-GB"/>
        </w:rPr>
        <w:t xml:space="preserve">Are the regulations enough to eradicate influences over voter’s will? </w:t>
      </w:r>
    </w:p>
    <w:p w14:paraId="479F1059" w14:textId="53B0AF2D" w:rsidR="00837F27" w:rsidRPr="00AE2F32" w:rsidRDefault="00837F27" w:rsidP="00837F27">
      <w:pPr>
        <w:tabs>
          <w:tab w:val="left" w:pos="360"/>
        </w:tabs>
        <w:spacing w:after="120"/>
        <w:rPr>
          <w:rFonts w:eastAsia="Times New Roman" w:cs="Times New Roman"/>
          <w:i/>
          <w:iCs/>
          <w:sz w:val="22"/>
          <w:szCs w:val="22"/>
          <w:u w:val="single"/>
          <w:lang w:val="en-GB"/>
        </w:rPr>
      </w:pPr>
    </w:p>
    <w:p w14:paraId="3C3D2BC9" w14:textId="791F9999" w:rsidR="00593B48" w:rsidRPr="00AE2F32" w:rsidRDefault="00593B48" w:rsidP="00837F27">
      <w:pPr>
        <w:tabs>
          <w:tab w:val="left" w:pos="360"/>
        </w:tabs>
        <w:spacing w:after="120"/>
        <w:rPr>
          <w:rFonts w:eastAsia="Times New Roman" w:cs="Times New Roman"/>
          <w:i/>
          <w:iCs/>
          <w:sz w:val="22"/>
          <w:szCs w:val="22"/>
          <w:u w:val="single"/>
          <w:lang w:val="en-GB"/>
        </w:rPr>
      </w:pPr>
      <w:r w:rsidRPr="00AE2F32">
        <w:rPr>
          <w:rFonts w:eastAsia="Times New Roman" w:cs="Times New Roman"/>
          <w:i/>
          <w:iCs/>
          <w:sz w:val="22"/>
          <w:szCs w:val="22"/>
          <w:u w:val="single"/>
          <w:lang w:val="en-GB"/>
        </w:rPr>
        <w:t>Participation of minorities in public life</w:t>
      </w:r>
    </w:p>
    <w:p w14:paraId="3C43129B" w14:textId="29E7C751" w:rsidR="00837F27" w:rsidRPr="00AE2F32" w:rsidRDefault="00593B48" w:rsidP="00837F27">
      <w:pPr>
        <w:tabs>
          <w:tab w:val="left" w:pos="360"/>
        </w:tabs>
        <w:spacing w:after="120"/>
        <w:jc w:val="both"/>
        <w:rPr>
          <w:rFonts w:eastAsia="Times New Roman" w:cs="Times New Roman"/>
          <w:sz w:val="22"/>
          <w:szCs w:val="22"/>
          <w:lang w:val="en-GB"/>
        </w:rPr>
      </w:pPr>
      <w:r w:rsidRPr="00AE2F32">
        <w:rPr>
          <w:rFonts w:eastAsia="Times New Roman" w:cs="Times New Roman"/>
          <w:sz w:val="22"/>
          <w:szCs w:val="22"/>
          <w:lang w:val="en-GB"/>
        </w:rPr>
        <w:t xml:space="preserve">The realization of the right to participate in elections and public life is only formalistic for various vulnerable and marginalized groups and it is not properly realized. Political representation and participation </w:t>
      </w:r>
      <w:r w:rsidR="006E26B9" w:rsidRPr="00AE2F32">
        <w:rPr>
          <w:rFonts w:eastAsia="Times New Roman" w:cs="Times New Roman"/>
          <w:sz w:val="22"/>
          <w:szCs w:val="22"/>
          <w:lang w:val="en-GB"/>
        </w:rPr>
        <w:t>are</w:t>
      </w:r>
      <w:r w:rsidRPr="00AE2F32">
        <w:rPr>
          <w:rFonts w:eastAsia="Times New Roman" w:cs="Times New Roman"/>
          <w:sz w:val="22"/>
          <w:szCs w:val="22"/>
          <w:lang w:val="en-GB"/>
        </w:rPr>
        <w:t xml:space="preserve"> particularly problematic for ethnic minorities.</w:t>
      </w:r>
      <w:r w:rsidR="00B81A18" w:rsidRPr="00AE2F32">
        <w:rPr>
          <w:rFonts w:eastAsia="Times New Roman" w:cs="Times New Roman"/>
          <w:sz w:val="22"/>
          <w:szCs w:val="22"/>
          <w:lang w:val="en-GB"/>
        </w:rPr>
        <w:t xml:space="preserve"> </w:t>
      </w:r>
      <w:r w:rsidR="00837F27" w:rsidRPr="00AE2F32">
        <w:rPr>
          <w:rFonts w:eastAsia="Times New Roman" w:cs="Times New Roman"/>
          <w:sz w:val="22"/>
          <w:szCs w:val="22"/>
          <w:lang w:val="en-GB"/>
        </w:rPr>
        <w:t xml:space="preserve"> </w:t>
      </w:r>
      <w:r w:rsidRPr="00AE2F32">
        <w:rPr>
          <w:rFonts w:eastAsia="Times New Roman" w:cs="Times New Roman"/>
          <w:sz w:val="22"/>
          <w:szCs w:val="22"/>
          <w:lang w:val="en-GB"/>
        </w:rPr>
        <w:t xml:space="preserve">A formalistic approach to </w:t>
      </w:r>
      <w:r w:rsidR="004712D2">
        <w:rPr>
          <w:rFonts w:eastAsia="Times New Roman" w:cs="Times New Roman"/>
          <w:sz w:val="22"/>
          <w:szCs w:val="22"/>
          <w:lang w:val="en-GB"/>
        </w:rPr>
        <w:t xml:space="preserve">the </w:t>
      </w:r>
      <w:r w:rsidRPr="00AE2F32">
        <w:rPr>
          <w:rFonts w:eastAsia="Times New Roman" w:cs="Times New Roman"/>
          <w:sz w:val="22"/>
          <w:szCs w:val="22"/>
          <w:lang w:val="en-GB"/>
        </w:rPr>
        <w:t xml:space="preserve">exercise of the right to participation is revealed in the work of the Office of the State Minister for Reconciliation and Civic Integration (SMR). The observation on their activities </w:t>
      </w:r>
      <w:r w:rsidR="004712D2">
        <w:rPr>
          <w:rFonts w:eastAsia="Times New Roman" w:cs="Times New Roman"/>
          <w:sz w:val="22"/>
          <w:szCs w:val="22"/>
          <w:lang w:val="en-GB"/>
        </w:rPr>
        <w:t>demonstrates</w:t>
      </w:r>
      <w:r w:rsidRPr="00AE2F32">
        <w:rPr>
          <w:rFonts w:eastAsia="Times New Roman" w:cs="Times New Roman"/>
          <w:sz w:val="22"/>
          <w:szCs w:val="22"/>
          <w:lang w:val="en-GB"/>
        </w:rPr>
        <w:t xml:space="preserve"> that this agency has only coordinative character and </w:t>
      </w:r>
      <w:r w:rsidR="00560CBB" w:rsidRPr="00AE2F32">
        <w:rPr>
          <w:rFonts w:eastAsia="Times New Roman" w:cs="Times New Roman"/>
          <w:sz w:val="22"/>
          <w:szCs w:val="22"/>
          <w:lang w:val="en-GB"/>
        </w:rPr>
        <w:t xml:space="preserve">minority politics is processed only from security perspectives. </w:t>
      </w:r>
    </w:p>
    <w:p w14:paraId="742D89D7" w14:textId="34B7CF97" w:rsidR="00837F27" w:rsidRPr="00AE2F32" w:rsidRDefault="006E26B9" w:rsidP="00837F27">
      <w:pPr>
        <w:tabs>
          <w:tab w:val="left" w:pos="360"/>
        </w:tabs>
        <w:spacing w:after="120"/>
        <w:jc w:val="both"/>
        <w:rPr>
          <w:rFonts w:eastAsia="Times New Roman" w:cs="Times New Roman"/>
          <w:sz w:val="22"/>
          <w:szCs w:val="22"/>
        </w:rPr>
      </w:pPr>
      <w:r>
        <w:rPr>
          <w:rFonts w:eastAsia="Times New Roman" w:cs="Times New Roman"/>
          <w:sz w:val="22"/>
          <w:szCs w:val="22"/>
          <w:lang w:val="en-GB"/>
        </w:rPr>
        <w:t>T</w:t>
      </w:r>
      <w:r w:rsidR="00560CBB" w:rsidRPr="00AE2F32">
        <w:rPr>
          <w:rFonts w:eastAsia="Times New Roman" w:cs="Times New Roman"/>
          <w:sz w:val="22"/>
          <w:szCs w:val="22"/>
          <w:lang w:val="en-GB"/>
        </w:rPr>
        <w:t xml:space="preserve">here </w:t>
      </w:r>
      <w:r w:rsidR="004712D2">
        <w:rPr>
          <w:rFonts w:eastAsia="Times New Roman" w:cs="Times New Roman"/>
          <w:sz w:val="22"/>
          <w:szCs w:val="22"/>
          <w:lang w:val="en-GB"/>
        </w:rPr>
        <w:t>are</w:t>
      </w:r>
      <w:r w:rsidR="00560CBB" w:rsidRPr="00AE2F32">
        <w:rPr>
          <w:rFonts w:eastAsia="Times New Roman" w:cs="Times New Roman"/>
          <w:sz w:val="22"/>
          <w:szCs w:val="22"/>
          <w:lang w:val="en-GB"/>
        </w:rPr>
        <w:t xml:space="preserve"> no positive </w:t>
      </w:r>
      <w:r w:rsidR="00813F3B">
        <w:rPr>
          <w:rFonts w:eastAsia="Times New Roman" w:cs="Times New Roman"/>
          <w:sz w:val="22"/>
          <w:szCs w:val="22"/>
          <w:lang w:val="en-GB"/>
        </w:rPr>
        <w:t>participatory</w:t>
      </w:r>
      <w:r w:rsidR="00813F3B" w:rsidRPr="00AE2F32">
        <w:rPr>
          <w:rFonts w:eastAsia="Times New Roman" w:cs="Times New Roman"/>
          <w:sz w:val="22"/>
          <w:szCs w:val="22"/>
          <w:lang w:val="en-GB"/>
        </w:rPr>
        <w:t xml:space="preserve"> </w:t>
      </w:r>
      <w:r w:rsidR="00560CBB" w:rsidRPr="00AE2F32">
        <w:rPr>
          <w:rFonts w:eastAsia="Times New Roman" w:cs="Times New Roman"/>
          <w:sz w:val="22"/>
          <w:szCs w:val="22"/>
          <w:lang w:val="en-GB"/>
        </w:rPr>
        <w:t xml:space="preserve">mechanisms, neither consultative </w:t>
      </w:r>
      <w:r w:rsidR="00813F3B">
        <w:rPr>
          <w:rFonts w:eastAsia="Times New Roman" w:cs="Times New Roman"/>
          <w:sz w:val="22"/>
          <w:szCs w:val="22"/>
          <w:lang w:val="en-GB"/>
        </w:rPr>
        <w:t>ones</w:t>
      </w:r>
      <w:r w:rsidR="00813F3B" w:rsidRPr="00AE2F32">
        <w:rPr>
          <w:rFonts w:eastAsia="Times New Roman" w:cs="Times New Roman"/>
          <w:sz w:val="22"/>
          <w:szCs w:val="22"/>
          <w:lang w:val="en-GB"/>
        </w:rPr>
        <w:t xml:space="preserve"> </w:t>
      </w:r>
      <w:r w:rsidR="00923B93" w:rsidRPr="00AE2F32">
        <w:rPr>
          <w:rFonts w:eastAsia="Times New Roman" w:cs="Times New Roman"/>
          <w:sz w:val="22"/>
          <w:szCs w:val="22"/>
          <w:lang w:val="en-GB"/>
        </w:rPr>
        <w:t xml:space="preserve">which </w:t>
      </w:r>
      <w:r w:rsidR="004712D2">
        <w:rPr>
          <w:rFonts w:eastAsia="Times New Roman" w:cs="Times New Roman"/>
          <w:sz w:val="22"/>
          <w:szCs w:val="22"/>
          <w:lang w:val="en-GB"/>
        </w:rPr>
        <w:t>are</w:t>
      </w:r>
      <w:r w:rsidR="00923B93" w:rsidRPr="00AE2F32">
        <w:rPr>
          <w:rFonts w:eastAsia="Times New Roman" w:cs="Times New Roman"/>
          <w:sz w:val="22"/>
          <w:szCs w:val="22"/>
          <w:lang w:val="en-GB"/>
        </w:rPr>
        <w:t xml:space="preserve"> an important format to influence over political decisions, and for deliberation and inter-ethnic dialogue. The only organ which functionates as consultative body is under </w:t>
      </w:r>
      <w:r w:rsidR="00813F3B">
        <w:rPr>
          <w:rFonts w:eastAsia="Times New Roman" w:cs="Times New Roman"/>
          <w:sz w:val="22"/>
          <w:szCs w:val="22"/>
          <w:lang w:val="en-GB"/>
        </w:rPr>
        <w:t>PDO</w:t>
      </w:r>
      <w:r w:rsidR="00923B93" w:rsidRPr="00AE2F32">
        <w:rPr>
          <w:rFonts w:eastAsia="Times New Roman" w:cs="Times New Roman"/>
          <w:sz w:val="22"/>
          <w:szCs w:val="22"/>
          <w:lang w:val="en-GB"/>
        </w:rPr>
        <w:t xml:space="preserve"> – National Minority Council, which is itself important format to voice minorities. However, it is not genuinely connected with executive or legislative branches </w:t>
      </w:r>
      <w:r w:rsidR="00923B93" w:rsidRPr="00AE2F32">
        <w:rPr>
          <w:rFonts w:eastAsia="Times New Roman" w:cs="Times New Roman"/>
          <w:sz w:val="22"/>
          <w:szCs w:val="22"/>
          <w:lang w:val="en-GB"/>
        </w:rPr>
        <w:lastRenderedPageBreak/>
        <w:t>as a compulsory, regular</w:t>
      </w:r>
      <w:r w:rsidR="004712D2">
        <w:rPr>
          <w:rFonts w:eastAsia="Times New Roman" w:cs="Times New Roman"/>
          <w:sz w:val="22"/>
          <w:szCs w:val="22"/>
          <w:lang w:val="en-GB"/>
        </w:rPr>
        <w:t>,</w:t>
      </w:r>
      <w:r w:rsidR="00923B93" w:rsidRPr="00AE2F32">
        <w:rPr>
          <w:rFonts w:eastAsia="Times New Roman" w:cs="Times New Roman"/>
          <w:sz w:val="22"/>
          <w:szCs w:val="22"/>
          <w:lang w:val="en-GB"/>
        </w:rPr>
        <w:t xml:space="preserve"> and institutionalized consultative mechanism and performs rather self-organized autonomous forum.</w:t>
      </w:r>
      <w:r w:rsidR="00256F01">
        <w:rPr>
          <w:rFonts w:eastAsia="Times New Roman" w:cs="Times New Roman"/>
          <w:sz w:val="22"/>
          <w:szCs w:val="22"/>
          <w:lang w:val="en-GB"/>
        </w:rPr>
        <w:t xml:space="preserve"> </w:t>
      </w:r>
      <w:r w:rsidR="00923B93" w:rsidRPr="00AE2F32">
        <w:rPr>
          <w:rFonts w:eastAsia="Times New Roman" w:cs="Times New Roman"/>
          <w:sz w:val="22"/>
          <w:szCs w:val="22"/>
          <w:lang w:val="en-GB"/>
        </w:rPr>
        <w:t>Other “attempts” to establish consultative mechanisms under SMR do not qualify international standards, as they are not sustainable, regular, open for minority organizations</w:t>
      </w:r>
      <w:r w:rsidR="004712D2">
        <w:rPr>
          <w:rFonts w:eastAsia="Times New Roman" w:cs="Times New Roman"/>
          <w:sz w:val="22"/>
          <w:szCs w:val="22"/>
          <w:lang w:val="en-GB"/>
        </w:rPr>
        <w:t>,</w:t>
      </w:r>
      <w:r w:rsidR="00923B93" w:rsidRPr="00AE2F32">
        <w:rPr>
          <w:rFonts w:eastAsia="Times New Roman" w:cs="Times New Roman"/>
          <w:sz w:val="22"/>
          <w:szCs w:val="22"/>
          <w:lang w:val="en-GB"/>
        </w:rPr>
        <w:t xml:space="preserve"> or simply functionates as interagency coordinative council.</w:t>
      </w:r>
      <w:r w:rsidR="00813F3B" w:rsidRPr="00813F3B">
        <w:rPr>
          <w:rStyle w:val="FootnoteReference"/>
          <w:rFonts w:eastAsia="Times New Roman" w:cs="Times New Roman"/>
          <w:sz w:val="22"/>
          <w:szCs w:val="22"/>
          <w:lang w:val="en-GB"/>
        </w:rPr>
        <w:t xml:space="preserve"> </w:t>
      </w:r>
      <w:r w:rsidR="00813F3B" w:rsidRPr="00AE2F32">
        <w:rPr>
          <w:rStyle w:val="FootnoteReference"/>
          <w:rFonts w:eastAsia="Times New Roman" w:cs="Times New Roman"/>
          <w:sz w:val="22"/>
          <w:szCs w:val="22"/>
          <w:lang w:val="en-GB"/>
        </w:rPr>
        <w:footnoteReference w:id="191"/>
      </w:r>
    </w:p>
    <w:p w14:paraId="120DEC87" w14:textId="679B1D5B" w:rsidR="00837F27" w:rsidRPr="00AE2F32" w:rsidRDefault="00923B93" w:rsidP="00837F27">
      <w:pPr>
        <w:tabs>
          <w:tab w:val="left" w:pos="360"/>
        </w:tabs>
        <w:spacing w:after="120"/>
        <w:jc w:val="both"/>
        <w:rPr>
          <w:rFonts w:eastAsia="Times New Roman" w:cs="Times New Roman"/>
          <w:sz w:val="22"/>
          <w:szCs w:val="22"/>
          <w:lang w:val="en-GB"/>
        </w:rPr>
      </w:pPr>
      <w:r w:rsidRPr="00AE2F32">
        <w:rPr>
          <w:rFonts w:eastAsia="Times New Roman" w:cs="Times New Roman"/>
          <w:sz w:val="22"/>
          <w:szCs w:val="22"/>
          <w:lang w:val="en-GB"/>
        </w:rPr>
        <w:t>Recent sociological research revealed that 46% of respondents do not see their group interests within political parties’ agendas</w:t>
      </w:r>
      <w:r w:rsidR="00837F27" w:rsidRPr="00AE2F32">
        <w:rPr>
          <w:rFonts w:eastAsia="Times New Roman" w:cs="Times New Roman"/>
          <w:sz w:val="22"/>
          <w:szCs w:val="22"/>
          <w:lang w:val="en-GB"/>
        </w:rPr>
        <w:t>.</w:t>
      </w:r>
      <w:r w:rsidR="00837F27" w:rsidRPr="00AE2F32">
        <w:rPr>
          <w:rStyle w:val="FootnoteReference"/>
          <w:rFonts w:eastAsia="Times New Roman" w:cs="Times New Roman"/>
          <w:sz w:val="22"/>
          <w:szCs w:val="22"/>
          <w:lang w:val="en-GB"/>
        </w:rPr>
        <w:footnoteReference w:id="192"/>
      </w:r>
      <w:r w:rsidR="00837F27" w:rsidRPr="00AE2F32">
        <w:rPr>
          <w:rFonts w:eastAsia="Times New Roman" w:cs="Times New Roman"/>
          <w:sz w:val="22"/>
          <w:szCs w:val="22"/>
          <w:lang w:val="en-GB"/>
        </w:rPr>
        <w:t xml:space="preserve"> </w:t>
      </w:r>
      <w:r w:rsidRPr="00AE2F32">
        <w:rPr>
          <w:rFonts w:eastAsia="Times New Roman" w:cs="Times New Roman"/>
          <w:sz w:val="22"/>
          <w:szCs w:val="22"/>
          <w:lang w:val="en-GB"/>
        </w:rPr>
        <w:t xml:space="preserve">The same indicates that 69.9% of respondents have never applied to the local self-government authorities for their private or family needs and 76.5% </w:t>
      </w:r>
      <w:r w:rsidR="004712D2">
        <w:rPr>
          <w:rFonts w:eastAsia="Times New Roman" w:cs="Times New Roman"/>
          <w:sz w:val="22"/>
          <w:szCs w:val="22"/>
          <w:lang w:val="en-GB"/>
        </w:rPr>
        <w:t>have</w:t>
      </w:r>
      <w:r w:rsidRPr="00AE2F32">
        <w:rPr>
          <w:rFonts w:eastAsia="Times New Roman" w:cs="Times New Roman"/>
          <w:sz w:val="22"/>
          <w:szCs w:val="22"/>
          <w:lang w:val="en-GB"/>
        </w:rPr>
        <w:t xml:space="preserve"> not applied for public needs</w:t>
      </w:r>
      <w:r w:rsidR="00837F27" w:rsidRPr="00AE2F32">
        <w:rPr>
          <w:rFonts w:eastAsia="Times New Roman" w:cs="Times New Roman"/>
          <w:sz w:val="22"/>
          <w:szCs w:val="22"/>
          <w:lang w:val="en-GB"/>
        </w:rPr>
        <w:t>.</w:t>
      </w:r>
      <w:r w:rsidR="00837F27" w:rsidRPr="00AE2F32">
        <w:rPr>
          <w:rStyle w:val="FootnoteReference"/>
          <w:rFonts w:eastAsia="Times New Roman" w:cs="Times New Roman"/>
          <w:sz w:val="22"/>
          <w:szCs w:val="22"/>
          <w:lang w:val="en-GB"/>
        </w:rPr>
        <w:footnoteReference w:id="193"/>
      </w:r>
      <w:r w:rsidR="00837F27" w:rsidRPr="00AE2F32">
        <w:rPr>
          <w:rFonts w:eastAsia="Times New Roman" w:cs="Times New Roman"/>
          <w:sz w:val="22"/>
          <w:szCs w:val="22"/>
          <w:lang w:val="en-GB"/>
        </w:rPr>
        <w:t xml:space="preserve"> </w:t>
      </w:r>
      <w:r w:rsidR="005F4613" w:rsidRPr="00AE2F32">
        <w:rPr>
          <w:rFonts w:eastAsia="Times New Roman" w:cs="Times New Roman"/>
          <w:sz w:val="22"/>
          <w:szCs w:val="22"/>
          <w:lang w:val="en-GB"/>
        </w:rPr>
        <w:t xml:space="preserve">In such </w:t>
      </w:r>
      <w:r w:rsidR="004712D2">
        <w:rPr>
          <w:rFonts w:eastAsia="Times New Roman" w:cs="Times New Roman"/>
          <w:sz w:val="22"/>
          <w:szCs w:val="22"/>
          <w:lang w:val="en-GB"/>
        </w:rPr>
        <w:t xml:space="preserve">a </w:t>
      </w:r>
      <w:r w:rsidR="005F4613" w:rsidRPr="00AE2F32">
        <w:rPr>
          <w:rFonts w:eastAsia="Times New Roman" w:cs="Times New Roman"/>
          <w:sz w:val="22"/>
          <w:szCs w:val="22"/>
          <w:lang w:val="en-GB"/>
        </w:rPr>
        <w:t>context, in the</w:t>
      </w:r>
      <w:r w:rsidR="00813F3B">
        <w:rPr>
          <w:rFonts w:eastAsia="Times New Roman" w:cs="Times New Roman"/>
          <w:sz w:val="22"/>
          <w:szCs w:val="22"/>
          <w:lang w:val="en-GB"/>
        </w:rPr>
        <w:t xml:space="preserve"> minority</w:t>
      </w:r>
      <w:r w:rsidR="005F4613" w:rsidRPr="00AE2F32">
        <w:rPr>
          <w:rFonts w:eastAsia="Times New Roman" w:cs="Times New Roman"/>
          <w:sz w:val="22"/>
          <w:szCs w:val="22"/>
          <w:lang w:val="en-GB"/>
        </w:rPr>
        <w:t xml:space="preserve"> regions, where language barriers exist,</w:t>
      </w:r>
      <w:r w:rsidR="006E26B9" w:rsidRPr="006E26B9">
        <w:rPr>
          <w:rStyle w:val="FootnoteReference"/>
          <w:rFonts w:eastAsia="Times New Roman" w:cs="Times New Roman"/>
          <w:sz w:val="22"/>
          <w:szCs w:val="22"/>
          <w:lang w:val="en-GB"/>
        </w:rPr>
        <w:t xml:space="preserve"> </w:t>
      </w:r>
      <w:r w:rsidR="006E26B9" w:rsidRPr="00AE2F32">
        <w:rPr>
          <w:rStyle w:val="FootnoteReference"/>
          <w:rFonts w:eastAsia="Times New Roman" w:cs="Times New Roman"/>
          <w:sz w:val="22"/>
          <w:szCs w:val="22"/>
          <w:lang w:val="en-GB"/>
        </w:rPr>
        <w:footnoteReference w:id="194"/>
      </w:r>
      <w:r w:rsidR="005F4613" w:rsidRPr="00AE2F32">
        <w:rPr>
          <w:rFonts w:eastAsia="Times New Roman" w:cs="Times New Roman"/>
          <w:sz w:val="22"/>
          <w:szCs w:val="22"/>
          <w:lang w:val="en-GB"/>
        </w:rPr>
        <w:t xml:space="preserve"> local authorities do not create translation services and proactive platforms of information dissemination.</w:t>
      </w:r>
      <w:r w:rsidR="00837F27" w:rsidRPr="00AE2F32">
        <w:rPr>
          <w:rStyle w:val="FootnoteReference"/>
          <w:rFonts w:eastAsia="Times New Roman" w:cs="Times New Roman"/>
          <w:sz w:val="22"/>
          <w:szCs w:val="22"/>
          <w:lang w:val="en-GB"/>
        </w:rPr>
        <w:footnoteReference w:id="195"/>
      </w:r>
      <w:r w:rsidR="00837F27" w:rsidRPr="00AE2F32">
        <w:rPr>
          <w:rFonts w:eastAsia="Times New Roman" w:cs="Times New Roman"/>
          <w:sz w:val="22"/>
          <w:szCs w:val="22"/>
          <w:lang w:val="en-GB"/>
        </w:rPr>
        <w:t xml:space="preserve"> </w:t>
      </w:r>
      <w:r w:rsidR="005F4613" w:rsidRPr="00AE2F32">
        <w:rPr>
          <w:rFonts w:eastAsia="Times New Roman" w:cs="Times New Roman"/>
          <w:sz w:val="22"/>
          <w:szCs w:val="22"/>
          <w:lang w:val="en-GB"/>
        </w:rPr>
        <w:t xml:space="preserve">Although there are MPs in parliament who </w:t>
      </w:r>
      <w:r w:rsidR="005F4613" w:rsidRPr="00AE2F32">
        <w:rPr>
          <w:rFonts w:eastAsia="Times New Roman" w:cs="Times New Roman"/>
          <w:sz w:val="22"/>
          <w:szCs w:val="22"/>
        </w:rPr>
        <w:t>belong</w:t>
      </w:r>
      <w:r w:rsidR="005F4613" w:rsidRPr="00AE2F32">
        <w:rPr>
          <w:rFonts w:eastAsia="Times New Roman" w:cs="Times New Roman"/>
          <w:sz w:val="22"/>
          <w:szCs w:val="22"/>
          <w:lang w:val="en-GB"/>
        </w:rPr>
        <w:t xml:space="preserve"> themselves to minority group</w:t>
      </w:r>
      <w:r w:rsidR="00813F3B">
        <w:rPr>
          <w:rFonts w:eastAsia="Times New Roman" w:cs="Times New Roman"/>
          <w:sz w:val="22"/>
          <w:szCs w:val="22"/>
          <w:lang w:val="en-GB"/>
        </w:rPr>
        <w:t>s</w:t>
      </w:r>
      <w:r w:rsidR="005F4613" w:rsidRPr="00AE2F32">
        <w:rPr>
          <w:rFonts w:eastAsia="Times New Roman" w:cs="Times New Roman"/>
          <w:sz w:val="22"/>
          <w:szCs w:val="22"/>
          <w:lang w:val="en-GB"/>
        </w:rPr>
        <w:t xml:space="preserve">, their real political legitimacy is weak and usually </w:t>
      </w:r>
      <w:r w:rsidR="004712D2">
        <w:rPr>
          <w:rFonts w:eastAsia="Times New Roman" w:cs="Times New Roman"/>
          <w:sz w:val="22"/>
          <w:szCs w:val="22"/>
          <w:lang w:val="en-GB"/>
        </w:rPr>
        <w:t>serves</w:t>
      </w:r>
      <w:r w:rsidR="005F4613" w:rsidRPr="00AE2F32">
        <w:rPr>
          <w:rFonts w:eastAsia="Times New Roman" w:cs="Times New Roman"/>
          <w:sz w:val="22"/>
          <w:szCs w:val="22"/>
          <w:lang w:val="en-GB"/>
        </w:rPr>
        <w:t xml:space="preserve"> a more imaginative representation of minorities.</w:t>
      </w:r>
      <w:r w:rsidR="005F4613" w:rsidRPr="00AE2F32">
        <w:rPr>
          <w:rFonts w:eastAsia="Times New Roman" w:cs="Times New Roman"/>
          <w:sz w:val="22"/>
          <w:szCs w:val="22"/>
          <w:lang w:val="ka-GE"/>
        </w:rPr>
        <w:t xml:space="preserve"> </w:t>
      </w:r>
      <w:r w:rsidR="005F4613" w:rsidRPr="00AE2F32">
        <w:rPr>
          <w:rFonts w:eastAsia="Times New Roman" w:cs="Times New Roman"/>
          <w:sz w:val="22"/>
          <w:szCs w:val="22"/>
          <w:lang w:val="en-GB"/>
        </w:rPr>
        <w:t xml:space="preserve">Their large majority do not hold state language and are passive in parliamentary life. </w:t>
      </w:r>
      <w:r w:rsidR="00813F3B">
        <w:rPr>
          <w:rFonts w:eastAsia="Times New Roman" w:cs="Times New Roman"/>
          <w:sz w:val="22"/>
          <w:szCs w:val="22"/>
          <w:lang w:val="en-GB"/>
        </w:rPr>
        <w:t xml:space="preserve"> </w:t>
      </w:r>
    </w:p>
    <w:p w14:paraId="6D0FE1B7" w14:textId="46963262" w:rsidR="00A92A99" w:rsidRPr="00AE2F32" w:rsidRDefault="00A92A99" w:rsidP="00837F27">
      <w:pPr>
        <w:tabs>
          <w:tab w:val="left" w:pos="360"/>
        </w:tabs>
        <w:spacing w:after="120"/>
        <w:jc w:val="both"/>
        <w:rPr>
          <w:rFonts w:eastAsia="Times New Roman" w:cs="Times New Roman"/>
          <w:sz w:val="22"/>
          <w:szCs w:val="22"/>
          <w:lang w:val="en-GB"/>
        </w:rPr>
      </w:pPr>
      <w:r w:rsidRPr="00AE2F32">
        <w:rPr>
          <w:rFonts w:eastAsia="Times New Roman" w:cs="Times New Roman"/>
          <w:sz w:val="22"/>
          <w:szCs w:val="22"/>
          <w:lang w:val="en-GB"/>
        </w:rPr>
        <w:t xml:space="preserve">Information vacuum is also connected to language barriers. Georgian Public Broadcaster </w:t>
      </w:r>
      <w:r w:rsidR="004712D2">
        <w:rPr>
          <w:rFonts w:eastAsia="Times New Roman" w:cs="Times New Roman"/>
          <w:sz w:val="22"/>
          <w:szCs w:val="22"/>
          <w:lang w:val="en-GB"/>
        </w:rPr>
        <w:t>does</w:t>
      </w:r>
      <w:r w:rsidRPr="00AE2F32">
        <w:rPr>
          <w:rFonts w:eastAsia="Times New Roman" w:cs="Times New Roman"/>
          <w:sz w:val="22"/>
          <w:szCs w:val="22"/>
          <w:lang w:val="en-GB"/>
        </w:rPr>
        <w:t xml:space="preserve"> not broadcast in minority languages and provides information only through internet platforms. While access to the internet is very deficient in most parts of region</w:t>
      </w:r>
      <w:r w:rsidR="00813F3B">
        <w:rPr>
          <w:rFonts w:eastAsia="Times New Roman" w:cs="Times New Roman"/>
          <w:sz w:val="22"/>
          <w:szCs w:val="22"/>
          <w:lang w:val="en-GB"/>
        </w:rPr>
        <w:t>s</w:t>
      </w:r>
      <w:r w:rsidRPr="00AE2F32">
        <w:rPr>
          <w:rFonts w:eastAsia="Times New Roman" w:cs="Times New Roman"/>
          <w:sz w:val="22"/>
          <w:szCs w:val="22"/>
          <w:lang w:val="en-GB"/>
        </w:rPr>
        <w:t xml:space="preserve">, this approach is not relevant. </w:t>
      </w:r>
    </w:p>
    <w:p w14:paraId="25F6229E" w14:textId="75A5F5C4" w:rsidR="00837F27" w:rsidRPr="00AE2F32" w:rsidRDefault="00A92A99" w:rsidP="00837F27">
      <w:pPr>
        <w:shd w:val="clear" w:color="auto" w:fill="C9C9C9" w:themeFill="accent3" w:themeFillTint="99"/>
        <w:tabs>
          <w:tab w:val="left" w:pos="360"/>
        </w:tabs>
        <w:spacing w:after="120"/>
        <w:jc w:val="both"/>
        <w:rPr>
          <w:rFonts w:cs="Calibri"/>
          <w:b/>
          <w:sz w:val="22"/>
          <w:szCs w:val="22"/>
          <w:lang w:val="en-GB"/>
        </w:rPr>
      </w:pPr>
      <w:r w:rsidRPr="00AE2F32">
        <w:rPr>
          <w:rFonts w:cs="Calibri"/>
          <w:b/>
          <w:sz w:val="22"/>
          <w:szCs w:val="22"/>
          <w:lang w:val="en-GB"/>
        </w:rPr>
        <w:t xml:space="preserve">Recommendations: </w:t>
      </w:r>
    </w:p>
    <w:p w14:paraId="6E9AC2BD" w14:textId="7FDDCB14" w:rsidR="00837F27" w:rsidRPr="00AE2F32" w:rsidRDefault="00A92A99" w:rsidP="0023502D">
      <w:pPr>
        <w:pStyle w:val="ListParagraph"/>
        <w:numPr>
          <w:ilvl w:val="0"/>
          <w:numId w:val="24"/>
        </w:numPr>
        <w:shd w:val="clear" w:color="auto" w:fill="C9C9C9" w:themeFill="accent3" w:themeFillTint="99"/>
        <w:tabs>
          <w:tab w:val="left" w:pos="360"/>
        </w:tabs>
        <w:spacing w:after="120"/>
        <w:ind w:left="0" w:firstLine="0"/>
        <w:jc w:val="both"/>
        <w:rPr>
          <w:rFonts w:cs="Calibri"/>
          <w:bCs/>
          <w:sz w:val="22"/>
          <w:szCs w:val="22"/>
          <w:lang w:val="en-GB"/>
        </w:rPr>
      </w:pPr>
      <w:r w:rsidRPr="00AE2F32">
        <w:rPr>
          <w:rFonts w:cs="Calibri"/>
          <w:bCs/>
          <w:sz w:val="22"/>
          <w:szCs w:val="22"/>
          <w:lang w:val="en-GB"/>
        </w:rPr>
        <w:t xml:space="preserve">Strengthen the mandate of SMR to implement effective integration policies; </w:t>
      </w:r>
    </w:p>
    <w:p w14:paraId="19B0DF4C" w14:textId="28401CBB" w:rsidR="00FE4DCA" w:rsidRPr="00AE2F32" w:rsidRDefault="00FE4DCA" w:rsidP="0023502D">
      <w:pPr>
        <w:pStyle w:val="ListParagraph"/>
        <w:numPr>
          <w:ilvl w:val="0"/>
          <w:numId w:val="24"/>
        </w:numPr>
        <w:shd w:val="clear" w:color="auto" w:fill="C9C9C9" w:themeFill="accent3" w:themeFillTint="99"/>
        <w:tabs>
          <w:tab w:val="left" w:pos="360"/>
        </w:tabs>
        <w:spacing w:after="120"/>
        <w:ind w:left="0" w:firstLine="0"/>
        <w:jc w:val="both"/>
        <w:rPr>
          <w:rFonts w:cs="Calibri"/>
          <w:bCs/>
          <w:sz w:val="22"/>
          <w:szCs w:val="22"/>
          <w:lang w:val="en-GB"/>
        </w:rPr>
      </w:pPr>
      <w:r w:rsidRPr="00AE2F32">
        <w:rPr>
          <w:rFonts w:cs="Calibri"/>
          <w:bCs/>
          <w:sz w:val="22"/>
          <w:szCs w:val="22"/>
          <w:lang w:val="en-GB"/>
        </w:rPr>
        <w:t xml:space="preserve">Measure certain state programs from minority </w:t>
      </w:r>
      <w:r w:rsidR="004712D2">
        <w:rPr>
          <w:rFonts w:cs="Calibri"/>
          <w:bCs/>
          <w:sz w:val="22"/>
          <w:szCs w:val="22"/>
          <w:lang w:val="en-GB"/>
        </w:rPr>
        <w:t>perspectives</w:t>
      </w:r>
      <w:r w:rsidRPr="00AE2F32">
        <w:rPr>
          <w:rFonts w:cs="Calibri"/>
          <w:bCs/>
          <w:sz w:val="22"/>
          <w:szCs w:val="22"/>
          <w:lang w:val="en-GB"/>
        </w:rPr>
        <w:t xml:space="preserve"> and respond asymmetries revealed during the exercise of rights, services</w:t>
      </w:r>
      <w:r w:rsidR="004712D2">
        <w:rPr>
          <w:rFonts w:cs="Calibri"/>
          <w:bCs/>
          <w:sz w:val="22"/>
          <w:szCs w:val="22"/>
          <w:lang w:val="en-GB"/>
        </w:rPr>
        <w:t>,</w:t>
      </w:r>
      <w:r w:rsidRPr="00AE2F32">
        <w:rPr>
          <w:rFonts w:cs="Calibri"/>
          <w:bCs/>
          <w:sz w:val="22"/>
          <w:szCs w:val="22"/>
          <w:lang w:val="en-GB"/>
        </w:rPr>
        <w:t xml:space="preserve"> and resources with special measures. </w:t>
      </w:r>
    </w:p>
    <w:p w14:paraId="2C1EDE67" w14:textId="55334F29" w:rsidR="00FE4DCA" w:rsidRPr="00AE2F32" w:rsidRDefault="00FE4DCA" w:rsidP="0023502D">
      <w:pPr>
        <w:pStyle w:val="ListParagraph"/>
        <w:numPr>
          <w:ilvl w:val="0"/>
          <w:numId w:val="24"/>
        </w:numPr>
        <w:shd w:val="clear" w:color="auto" w:fill="C9C9C9" w:themeFill="accent3" w:themeFillTint="99"/>
        <w:tabs>
          <w:tab w:val="left" w:pos="360"/>
        </w:tabs>
        <w:ind w:left="0" w:firstLine="0"/>
        <w:rPr>
          <w:rFonts w:cs="Calibri"/>
          <w:bCs/>
          <w:sz w:val="22"/>
          <w:szCs w:val="22"/>
          <w:lang w:val="en-GB"/>
        </w:rPr>
      </w:pPr>
      <w:r w:rsidRPr="00AE2F32">
        <w:rPr>
          <w:rFonts w:cs="Calibri"/>
          <w:bCs/>
          <w:sz w:val="22"/>
          <w:szCs w:val="22"/>
        </w:rPr>
        <w:t xml:space="preserve">Establish long-term, sustainable minority consultative mechanisms in connection with the Parliament of Georgia and on governmental level, as well as within the municipalities, where </w:t>
      </w:r>
      <w:r w:rsidRPr="00AE2F32">
        <w:rPr>
          <w:rFonts w:cs="Calibri"/>
          <w:bCs/>
          <w:sz w:val="22"/>
          <w:szCs w:val="22"/>
          <w:lang w:val="en-GB"/>
        </w:rPr>
        <w:t xml:space="preserve">minorities compactly live. </w:t>
      </w:r>
    </w:p>
    <w:p w14:paraId="2015BF5C" w14:textId="07320DA0" w:rsidR="00837F27" w:rsidRPr="00AE2F32" w:rsidRDefault="00FE4DCA" w:rsidP="0023502D">
      <w:pPr>
        <w:pStyle w:val="ListParagraph"/>
        <w:numPr>
          <w:ilvl w:val="0"/>
          <w:numId w:val="24"/>
        </w:numPr>
        <w:shd w:val="clear" w:color="auto" w:fill="C9C9C9" w:themeFill="accent3" w:themeFillTint="99"/>
        <w:tabs>
          <w:tab w:val="left" w:pos="360"/>
        </w:tabs>
        <w:ind w:left="0" w:firstLine="0"/>
        <w:rPr>
          <w:rFonts w:eastAsia="Times New Roman" w:cs="Times New Roman"/>
          <w:sz w:val="22"/>
          <w:szCs w:val="22"/>
          <w:lang w:val="en-GB"/>
        </w:rPr>
      </w:pPr>
      <w:r w:rsidRPr="00AE2F32">
        <w:rPr>
          <w:rFonts w:cs="Calibri"/>
          <w:bCs/>
          <w:sz w:val="22"/>
          <w:szCs w:val="22"/>
          <w:lang w:val="en-GB"/>
        </w:rPr>
        <w:t xml:space="preserve">Georgian Public Broadcaster should increase access to information in minority languages by translating major news programs and promote multicultural TV programs. </w:t>
      </w:r>
    </w:p>
    <w:p w14:paraId="2641567E" w14:textId="77777777" w:rsidR="00FE4DCA" w:rsidRPr="00AE2F32" w:rsidRDefault="00FE4DCA" w:rsidP="00FE4DCA">
      <w:pPr>
        <w:pStyle w:val="ListParagraph"/>
        <w:shd w:val="clear" w:color="auto" w:fill="C9C9C9" w:themeFill="accent3" w:themeFillTint="99"/>
        <w:tabs>
          <w:tab w:val="left" w:pos="360"/>
        </w:tabs>
        <w:ind w:left="0"/>
        <w:rPr>
          <w:rFonts w:eastAsia="Times New Roman" w:cs="Times New Roman"/>
          <w:sz w:val="22"/>
          <w:szCs w:val="22"/>
          <w:lang w:val="en-GB"/>
        </w:rPr>
      </w:pPr>
    </w:p>
    <w:p w14:paraId="7D5AF77F" w14:textId="68B87374" w:rsidR="00837F27" w:rsidRPr="00AE2F32" w:rsidRDefault="00FE4DCA" w:rsidP="00837F27">
      <w:pPr>
        <w:shd w:val="clear" w:color="auto" w:fill="D0CECE" w:themeFill="background2" w:themeFillShade="E6"/>
        <w:tabs>
          <w:tab w:val="left" w:pos="360"/>
        </w:tabs>
        <w:spacing w:after="120"/>
        <w:rPr>
          <w:rFonts w:eastAsia="Times New Roman" w:cs="Times New Roman"/>
          <w:b/>
          <w:bCs/>
          <w:sz w:val="22"/>
          <w:szCs w:val="22"/>
          <w:lang w:val="en-GB"/>
        </w:rPr>
      </w:pPr>
      <w:r w:rsidRPr="00AE2F32">
        <w:rPr>
          <w:rFonts w:eastAsia="Times New Roman" w:cs="Times New Roman"/>
          <w:b/>
          <w:bCs/>
          <w:sz w:val="22"/>
          <w:szCs w:val="22"/>
          <w:lang w:val="en-GB"/>
        </w:rPr>
        <w:t xml:space="preserve">Questions: </w:t>
      </w:r>
    </w:p>
    <w:p w14:paraId="25D5C37E" w14:textId="07AB14AA" w:rsidR="00837F27" w:rsidRPr="00AE2F32" w:rsidRDefault="00FE4DCA" w:rsidP="0023502D">
      <w:pPr>
        <w:pStyle w:val="ListParagraph"/>
        <w:numPr>
          <w:ilvl w:val="0"/>
          <w:numId w:val="27"/>
        </w:numPr>
        <w:shd w:val="clear" w:color="auto" w:fill="D0CECE" w:themeFill="background2" w:themeFillShade="E6"/>
        <w:tabs>
          <w:tab w:val="left" w:pos="360"/>
        </w:tabs>
        <w:spacing w:after="120"/>
        <w:ind w:left="0" w:firstLine="0"/>
        <w:jc w:val="both"/>
        <w:rPr>
          <w:rFonts w:eastAsia="Times New Roman" w:cs="Times New Roman"/>
          <w:sz w:val="22"/>
          <w:szCs w:val="22"/>
          <w:lang w:val="en-GB"/>
        </w:rPr>
      </w:pPr>
      <w:r w:rsidRPr="00AE2F32">
        <w:rPr>
          <w:rFonts w:eastAsia="Times New Roman" w:cs="Times New Roman"/>
          <w:sz w:val="22"/>
          <w:szCs w:val="22"/>
          <w:lang w:val="en-GB"/>
        </w:rPr>
        <w:t xml:space="preserve">What positive measures exist for minority participation in public life? </w:t>
      </w:r>
      <w:r w:rsidR="00837F27" w:rsidRPr="00AE2F32">
        <w:rPr>
          <w:rFonts w:eastAsia="Times New Roman" w:cs="Times New Roman"/>
          <w:sz w:val="22"/>
          <w:szCs w:val="22"/>
          <w:lang w:val="en-GB"/>
        </w:rPr>
        <w:t xml:space="preserve"> </w:t>
      </w:r>
    </w:p>
    <w:p w14:paraId="08126B49" w14:textId="13E628DC" w:rsidR="000A0C72" w:rsidRPr="00AE2F32" w:rsidRDefault="00FE4DCA" w:rsidP="0023502D">
      <w:pPr>
        <w:pStyle w:val="ListParagraph"/>
        <w:numPr>
          <w:ilvl w:val="0"/>
          <w:numId w:val="27"/>
        </w:numPr>
        <w:shd w:val="clear" w:color="auto" w:fill="D0CECE" w:themeFill="background2" w:themeFillShade="E6"/>
        <w:tabs>
          <w:tab w:val="left" w:pos="360"/>
        </w:tabs>
        <w:spacing w:after="120"/>
        <w:ind w:left="0" w:firstLine="0"/>
        <w:jc w:val="both"/>
        <w:rPr>
          <w:rFonts w:eastAsia="Times New Roman" w:cs="Times New Roman"/>
          <w:sz w:val="22"/>
          <w:szCs w:val="22"/>
          <w:lang w:val="en-GB"/>
        </w:rPr>
      </w:pPr>
      <w:r w:rsidRPr="00AE2F32">
        <w:rPr>
          <w:rFonts w:eastAsia="Times New Roman" w:cs="Times New Roman"/>
          <w:sz w:val="22"/>
          <w:szCs w:val="22"/>
          <w:lang w:val="en-GB"/>
        </w:rPr>
        <w:t>What consultative formats exist on legislative and executive level</w:t>
      </w:r>
      <w:r w:rsidR="00813F3B">
        <w:rPr>
          <w:rFonts w:eastAsia="Times New Roman" w:cs="Times New Roman"/>
          <w:sz w:val="22"/>
          <w:szCs w:val="22"/>
          <w:lang w:val="en-GB"/>
        </w:rPr>
        <w:t>s</w:t>
      </w:r>
      <w:r w:rsidRPr="00AE2F32">
        <w:rPr>
          <w:rFonts w:eastAsia="Times New Roman" w:cs="Times New Roman"/>
          <w:sz w:val="22"/>
          <w:szCs w:val="22"/>
          <w:lang w:val="en-GB"/>
        </w:rPr>
        <w:t>?</w:t>
      </w:r>
      <w:r w:rsidR="00837F27" w:rsidRPr="00AE2F32">
        <w:rPr>
          <w:rFonts w:eastAsia="Times New Roman" w:cs="Times New Roman"/>
          <w:sz w:val="22"/>
          <w:szCs w:val="22"/>
          <w:lang w:val="en-GB"/>
        </w:rPr>
        <w:t xml:space="preserve"> </w:t>
      </w:r>
    </w:p>
    <w:p w14:paraId="500BE55F" w14:textId="77777777" w:rsidR="007E05AC" w:rsidRPr="00AE2F32" w:rsidRDefault="007E05AC" w:rsidP="00EB1CFE">
      <w:pPr>
        <w:rPr>
          <w:rFonts w:eastAsia="Times New Roman" w:cs="Times New Roman"/>
          <w:sz w:val="22"/>
          <w:szCs w:val="22"/>
          <w:lang w:val="en-GB"/>
        </w:rPr>
      </w:pPr>
    </w:p>
    <w:p w14:paraId="630EE883" w14:textId="132936BD" w:rsidR="007918A6" w:rsidRPr="00AE2F32" w:rsidRDefault="00FE4DCA" w:rsidP="0023502D">
      <w:pPr>
        <w:pStyle w:val="Heading2"/>
        <w:numPr>
          <w:ilvl w:val="0"/>
          <w:numId w:val="15"/>
        </w:numPr>
        <w:spacing w:before="0"/>
        <w:rPr>
          <w:rFonts w:asciiTheme="minorHAnsi" w:hAnsiTheme="minorHAnsi" w:cs="Sylfaen"/>
          <w:sz w:val="22"/>
          <w:szCs w:val="22"/>
          <w:lang w:val="en-GB"/>
        </w:rPr>
      </w:pPr>
      <w:bookmarkStart w:id="63" w:name="_Toc48565955"/>
      <w:r w:rsidRPr="00AE2F32">
        <w:rPr>
          <w:rFonts w:asciiTheme="minorHAnsi" w:hAnsiTheme="minorHAnsi" w:cs="Sylfaen"/>
          <w:sz w:val="22"/>
          <w:szCs w:val="22"/>
          <w:lang w:val="en-GB"/>
        </w:rPr>
        <w:t>Right</w:t>
      </w:r>
      <w:r w:rsidR="007918A6" w:rsidRPr="00AE2F32">
        <w:rPr>
          <w:rFonts w:asciiTheme="minorHAnsi" w:hAnsiTheme="minorHAnsi" w:cs="Sylfaen"/>
          <w:sz w:val="22"/>
          <w:szCs w:val="22"/>
          <w:lang w:val="en-GB"/>
        </w:rPr>
        <w:t xml:space="preserve"> 26: </w:t>
      </w:r>
      <w:r w:rsidRPr="00AE2F32">
        <w:rPr>
          <w:rFonts w:asciiTheme="minorHAnsi" w:hAnsiTheme="minorHAnsi" w:cs="Sylfaen"/>
          <w:sz w:val="22"/>
          <w:szCs w:val="22"/>
          <w:lang w:val="en-GB"/>
        </w:rPr>
        <w:t>Equality before the law</w:t>
      </w:r>
      <w:bookmarkEnd w:id="63"/>
      <w:r w:rsidR="007918A6" w:rsidRPr="00AE2F32">
        <w:rPr>
          <w:rFonts w:asciiTheme="minorHAnsi" w:hAnsiTheme="minorHAnsi" w:cs="Sylfaen"/>
          <w:sz w:val="22"/>
          <w:szCs w:val="22"/>
          <w:lang w:val="en-GB"/>
        </w:rPr>
        <w:t xml:space="preserve"> </w:t>
      </w:r>
    </w:p>
    <w:p w14:paraId="18C17428" w14:textId="5091DC73" w:rsidR="000159D3" w:rsidRPr="00AE2F32" w:rsidRDefault="000159D3" w:rsidP="00EB1CFE">
      <w:pPr>
        <w:rPr>
          <w:rFonts w:eastAsia="Times New Roman" w:cs="Times New Roman"/>
          <w:sz w:val="22"/>
          <w:szCs w:val="22"/>
          <w:lang w:val="en-GB"/>
        </w:rPr>
      </w:pPr>
    </w:p>
    <w:p w14:paraId="2C344789" w14:textId="5C4DA60A" w:rsidR="00AE2BB0" w:rsidRPr="00AE2F32" w:rsidRDefault="000C6D0E" w:rsidP="00EB1CFE">
      <w:pPr>
        <w:jc w:val="both"/>
        <w:rPr>
          <w:rFonts w:eastAsia="Times New Roman" w:cs="Times New Roman"/>
          <w:sz w:val="22"/>
          <w:szCs w:val="22"/>
          <w:lang w:val="en-GB"/>
        </w:rPr>
      </w:pPr>
      <w:r>
        <w:rPr>
          <w:rFonts w:eastAsia="Times New Roman" w:cs="Times New Roman"/>
          <w:sz w:val="22"/>
          <w:szCs w:val="22"/>
          <w:lang w:val="en-GB"/>
        </w:rPr>
        <w:t xml:space="preserve">Despite, </w:t>
      </w:r>
      <w:r w:rsidR="003F66BA" w:rsidRPr="00AE2F32">
        <w:rPr>
          <w:rFonts w:eastAsia="Times New Roman" w:cs="Times New Roman"/>
          <w:sz w:val="22"/>
          <w:szCs w:val="22"/>
          <w:lang w:val="en-GB"/>
        </w:rPr>
        <w:t>Georgian legislation guarantees equality before the law, regardless of any sign</w:t>
      </w:r>
      <w:r>
        <w:rPr>
          <w:rFonts w:eastAsia="Times New Roman" w:cs="Times New Roman"/>
          <w:sz w:val="22"/>
          <w:szCs w:val="22"/>
          <w:lang w:val="en-GB"/>
        </w:rPr>
        <w:t xml:space="preserve">, </w:t>
      </w:r>
      <w:r w:rsidR="003F66BA" w:rsidRPr="00AE2F32">
        <w:rPr>
          <w:rFonts w:eastAsia="Times New Roman" w:cs="Times New Roman"/>
          <w:sz w:val="22"/>
          <w:szCs w:val="22"/>
          <w:lang w:val="en-GB"/>
        </w:rPr>
        <w:t>ethnic minorit</w:t>
      </w:r>
      <w:r>
        <w:rPr>
          <w:rFonts w:eastAsia="Times New Roman" w:cs="Times New Roman"/>
          <w:sz w:val="22"/>
          <w:szCs w:val="22"/>
          <w:lang w:val="en-GB"/>
        </w:rPr>
        <w:t xml:space="preserve">ies still encounter </w:t>
      </w:r>
      <w:r w:rsidR="004712D2">
        <w:rPr>
          <w:rFonts w:eastAsia="Times New Roman" w:cs="Times New Roman"/>
          <w:sz w:val="22"/>
          <w:szCs w:val="22"/>
          <w:lang w:val="en-GB"/>
        </w:rPr>
        <w:t xml:space="preserve">a </w:t>
      </w:r>
      <w:r>
        <w:rPr>
          <w:rFonts w:eastAsia="Times New Roman" w:cs="Times New Roman"/>
          <w:sz w:val="22"/>
          <w:szCs w:val="22"/>
          <w:lang w:val="en-GB"/>
        </w:rPr>
        <w:t>number of</w:t>
      </w:r>
      <w:r w:rsidR="003F66BA" w:rsidRPr="00AE2F32">
        <w:rPr>
          <w:rFonts w:eastAsia="Times New Roman" w:cs="Times New Roman"/>
          <w:sz w:val="22"/>
          <w:szCs w:val="22"/>
          <w:lang w:val="en-GB"/>
        </w:rPr>
        <w:t xml:space="preserve"> equality-related problems. Their access to quality education is problematic due to systemic failures in the education system. This is evidenced in the exam failure statistics, which is particularly high in minority regions (Azerbaijani and Armenian communities). More specifically, at non-Georgian </w:t>
      </w:r>
      <w:r w:rsidR="00427AC4" w:rsidRPr="00AE2F32">
        <w:rPr>
          <w:rFonts w:eastAsia="Times New Roman" w:cs="Times New Roman"/>
          <w:sz w:val="22"/>
          <w:szCs w:val="22"/>
          <w:lang w:val="en-GB"/>
        </w:rPr>
        <w:t>school’s</w:t>
      </w:r>
      <w:r w:rsidR="003F66BA" w:rsidRPr="00AE2F32">
        <w:rPr>
          <w:rFonts w:eastAsia="Times New Roman" w:cs="Times New Roman"/>
          <w:sz w:val="22"/>
          <w:szCs w:val="22"/>
          <w:lang w:val="en-GB"/>
        </w:rPr>
        <w:t xml:space="preserve"> exam failure statistics fluctuate between 8%-29%, while in Georgian-language schools </w:t>
      </w:r>
      <w:r w:rsidR="003F66BA" w:rsidRPr="00AE2F32">
        <w:rPr>
          <w:rFonts w:eastAsia="Times New Roman" w:cs="Times New Roman"/>
          <w:sz w:val="22"/>
          <w:szCs w:val="22"/>
          <w:lang w:val="en-GB"/>
        </w:rPr>
        <w:lastRenderedPageBreak/>
        <w:t xml:space="preserve">this rate is </w:t>
      </w:r>
      <w:r w:rsidR="006A68A1" w:rsidRPr="00AE2F32">
        <w:rPr>
          <w:rFonts w:eastAsia="Times New Roman" w:cs="Times New Roman"/>
          <w:sz w:val="22"/>
          <w:szCs w:val="22"/>
          <w:lang w:val="en-GB"/>
        </w:rPr>
        <w:t>1.5%-4.5%.</w:t>
      </w:r>
      <w:r w:rsidR="006A68A1" w:rsidRPr="00AE2F32">
        <w:rPr>
          <w:rStyle w:val="FootnoteReference"/>
          <w:rFonts w:eastAsia="Times New Roman" w:cs="Times New Roman"/>
          <w:sz w:val="22"/>
          <w:szCs w:val="22"/>
          <w:lang w:val="en-GB"/>
        </w:rPr>
        <w:footnoteReference w:id="196"/>
      </w:r>
      <w:r w:rsidR="006A68A1" w:rsidRPr="00AE2F32">
        <w:rPr>
          <w:rFonts w:eastAsia="Times New Roman" w:cs="Times New Roman"/>
          <w:sz w:val="22"/>
          <w:szCs w:val="22"/>
          <w:lang w:val="en-GB"/>
        </w:rPr>
        <w:t xml:space="preserve"> </w:t>
      </w:r>
      <w:r w:rsidR="003F66BA" w:rsidRPr="00AE2F32">
        <w:rPr>
          <w:rFonts w:eastAsia="Times New Roman" w:cs="Times New Roman"/>
          <w:sz w:val="22"/>
          <w:szCs w:val="22"/>
          <w:lang w:val="en-GB"/>
        </w:rPr>
        <w:t xml:space="preserve">According to the </w:t>
      </w:r>
      <w:r>
        <w:rPr>
          <w:rFonts w:eastAsia="Times New Roman" w:cs="Times New Roman"/>
          <w:sz w:val="22"/>
          <w:szCs w:val="22"/>
          <w:lang w:val="en-GB"/>
        </w:rPr>
        <w:t>official</w:t>
      </w:r>
      <w:r w:rsidRPr="00AE2F32">
        <w:rPr>
          <w:rFonts w:eastAsia="Times New Roman" w:cs="Times New Roman"/>
          <w:sz w:val="22"/>
          <w:szCs w:val="22"/>
          <w:lang w:val="en-GB"/>
        </w:rPr>
        <w:t xml:space="preserve"> </w:t>
      </w:r>
      <w:r w:rsidR="003F66BA" w:rsidRPr="00AE2F32">
        <w:rPr>
          <w:rFonts w:eastAsia="Times New Roman" w:cs="Times New Roman"/>
          <w:sz w:val="22"/>
          <w:szCs w:val="22"/>
          <w:lang w:val="en-GB"/>
        </w:rPr>
        <w:t xml:space="preserve">data, in 2011-2018, Kvemo Kartli and Samtskhe-Javakheti, where minorities are densely populated, had </w:t>
      </w:r>
      <w:r w:rsidR="004712D2">
        <w:rPr>
          <w:rFonts w:eastAsia="Times New Roman" w:cs="Times New Roman"/>
          <w:sz w:val="22"/>
          <w:szCs w:val="22"/>
          <w:lang w:val="en-GB"/>
        </w:rPr>
        <w:t xml:space="preserve">the </w:t>
      </w:r>
      <w:r w:rsidR="003F66BA" w:rsidRPr="00AE2F32">
        <w:rPr>
          <w:rFonts w:eastAsia="Times New Roman" w:cs="Times New Roman"/>
          <w:sz w:val="22"/>
          <w:szCs w:val="22"/>
          <w:lang w:val="en-GB"/>
        </w:rPr>
        <w:t xml:space="preserve">highest number of exam failures. </w:t>
      </w:r>
    </w:p>
    <w:p w14:paraId="6E21A5E7" w14:textId="0F15D822" w:rsidR="006A68A1" w:rsidRPr="00AE2F32" w:rsidRDefault="006A68A1" w:rsidP="00EB1CFE">
      <w:pPr>
        <w:jc w:val="both"/>
        <w:rPr>
          <w:rFonts w:eastAsia="Times New Roman" w:cs="Times New Roman"/>
          <w:sz w:val="22"/>
          <w:szCs w:val="22"/>
          <w:lang w:val="en-GB"/>
        </w:rPr>
      </w:pPr>
    </w:p>
    <w:p w14:paraId="7CC8AA67" w14:textId="4A088FE2" w:rsidR="00427AC4" w:rsidRDefault="00427AC4" w:rsidP="00EB1CFE">
      <w:pPr>
        <w:jc w:val="both"/>
        <w:rPr>
          <w:rFonts w:cstheme="minorHAnsi"/>
          <w:color w:val="000000"/>
          <w:sz w:val="22"/>
          <w:szCs w:val="22"/>
          <w:lang w:val="en-GB" w:eastAsia="en-GB"/>
        </w:rPr>
      </w:pPr>
      <w:r w:rsidRPr="00AE2F32">
        <w:rPr>
          <w:rFonts w:eastAsia="Times New Roman" w:cs="Times New Roman"/>
          <w:sz w:val="22"/>
          <w:szCs w:val="22"/>
          <w:lang w:val="en-GB"/>
        </w:rPr>
        <w:t xml:space="preserve">The supportive program of “1+4” established in high education system, positively affected minority high education, however it could not eradicate the systemic problems at school level. The number of certified teachers in non-Georgian schools is extremely low. Furthermore, according to the </w:t>
      </w:r>
      <w:r w:rsidR="000C6D0E">
        <w:rPr>
          <w:rFonts w:eastAsia="Times New Roman" w:cs="Times New Roman"/>
          <w:sz w:val="22"/>
          <w:szCs w:val="22"/>
          <w:lang w:val="en-GB"/>
        </w:rPr>
        <w:t>official</w:t>
      </w:r>
      <w:r w:rsidR="000C6D0E" w:rsidRPr="00AE2F32">
        <w:rPr>
          <w:rFonts w:eastAsia="Times New Roman" w:cs="Times New Roman"/>
          <w:sz w:val="22"/>
          <w:szCs w:val="22"/>
          <w:lang w:val="en-GB"/>
        </w:rPr>
        <w:t xml:space="preserve"> </w:t>
      </w:r>
      <w:r w:rsidRPr="00AE2F32">
        <w:rPr>
          <w:rFonts w:eastAsia="Times New Roman" w:cs="Times New Roman"/>
          <w:sz w:val="22"/>
          <w:szCs w:val="22"/>
          <w:lang w:val="en-GB"/>
        </w:rPr>
        <w:t>data of 2014, 6830 teachers are functioning instead of needed 15375 teachers in non-Georgian schools</w:t>
      </w:r>
      <w:r w:rsidR="006A68A1" w:rsidRPr="00AE2F32">
        <w:rPr>
          <w:rFonts w:cstheme="minorHAnsi"/>
          <w:color w:val="000000"/>
          <w:sz w:val="22"/>
          <w:szCs w:val="22"/>
          <w:lang w:val="en-GB" w:eastAsia="en-GB"/>
        </w:rPr>
        <w:t>.</w:t>
      </w:r>
      <w:r w:rsidR="005A3CE4" w:rsidRPr="00AE2F32">
        <w:rPr>
          <w:rStyle w:val="FootnoteReference"/>
          <w:rFonts w:cstheme="minorHAnsi"/>
          <w:color w:val="000000"/>
          <w:sz w:val="22"/>
          <w:szCs w:val="22"/>
          <w:lang w:val="en-GB" w:eastAsia="en-GB"/>
        </w:rPr>
        <w:footnoteReference w:id="197"/>
      </w:r>
    </w:p>
    <w:p w14:paraId="0CB3A74F" w14:textId="77777777" w:rsidR="006E3209" w:rsidRPr="00AE2F32" w:rsidRDefault="006E3209" w:rsidP="00EB1CFE">
      <w:pPr>
        <w:jc w:val="both"/>
        <w:rPr>
          <w:rFonts w:cstheme="minorHAnsi"/>
          <w:color w:val="000000"/>
          <w:sz w:val="22"/>
          <w:szCs w:val="22"/>
          <w:lang w:val="en-GB" w:eastAsia="en-GB"/>
        </w:rPr>
      </w:pPr>
    </w:p>
    <w:p w14:paraId="76D9AC55" w14:textId="656F3DA6" w:rsidR="006A68A1" w:rsidRPr="00AE2F32" w:rsidRDefault="00427AC4" w:rsidP="00EB1CFE">
      <w:pPr>
        <w:jc w:val="both"/>
        <w:rPr>
          <w:rFonts w:cstheme="minorHAnsi"/>
          <w:color w:val="000000"/>
          <w:sz w:val="22"/>
          <w:szCs w:val="22"/>
          <w:lang w:val="en-GB" w:eastAsia="en-GB"/>
        </w:rPr>
      </w:pPr>
      <w:r w:rsidRPr="00AE2F32">
        <w:rPr>
          <w:rFonts w:cstheme="minorHAnsi"/>
          <w:color w:val="000000"/>
          <w:sz w:val="22"/>
          <w:szCs w:val="22"/>
          <w:lang w:val="en-GB" w:eastAsia="en-GB"/>
        </w:rPr>
        <w:t xml:space="preserve">The multi-lingual textbooks have </w:t>
      </w:r>
      <w:r w:rsidR="004712D2">
        <w:rPr>
          <w:rFonts w:cstheme="minorHAnsi"/>
          <w:color w:val="000000"/>
          <w:sz w:val="22"/>
          <w:szCs w:val="22"/>
          <w:lang w:val="en-GB" w:eastAsia="en-GB"/>
        </w:rPr>
        <w:t xml:space="preserve">a </w:t>
      </w:r>
      <w:r w:rsidRPr="00AE2F32">
        <w:rPr>
          <w:rFonts w:cstheme="minorHAnsi"/>
          <w:color w:val="000000"/>
          <w:sz w:val="22"/>
          <w:szCs w:val="22"/>
          <w:lang w:val="en-GB" w:eastAsia="en-GB"/>
        </w:rPr>
        <w:t>significant gap in terms of methodology</w:t>
      </w:r>
      <w:r w:rsidR="000C6D0E">
        <w:rPr>
          <w:rFonts w:cstheme="minorHAnsi"/>
          <w:color w:val="000000"/>
          <w:sz w:val="22"/>
          <w:szCs w:val="22"/>
          <w:lang w:val="en-GB" w:eastAsia="en-GB"/>
        </w:rPr>
        <w:t>.</w:t>
      </w:r>
      <w:r w:rsidRPr="00AE2F32">
        <w:rPr>
          <w:rFonts w:cstheme="minorHAnsi"/>
          <w:color w:val="000000"/>
          <w:sz w:val="22"/>
          <w:szCs w:val="22"/>
          <w:lang w:val="en-GB" w:eastAsia="en-GB"/>
        </w:rPr>
        <w:t xml:space="preserve"> </w:t>
      </w:r>
      <w:r w:rsidR="00114022" w:rsidRPr="00AE2F32">
        <w:rPr>
          <w:rFonts w:cstheme="minorHAnsi"/>
          <w:color w:val="000000"/>
          <w:sz w:val="22"/>
          <w:szCs w:val="22"/>
          <w:lang w:val="en-GB" w:eastAsia="en-GB"/>
        </w:rPr>
        <w:t xml:space="preserve">Native language textbooks (Armenian and Azerbaijanian languages) are imported from </w:t>
      </w:r>
      <w:r w:rsidR="004712D2">
        <w:rPr>
          <w:rFonts w:cstheme="minorHAnsi"/>
          <w:color w:val="000000"/>
          <w:sz w:val="22"/>
          <w:szCs w:val="22"/>
          <w:lang w:val="en-GB" w:eastAsia="en-GB"/>
        </w:rPr>
        <w:t>neighbo</w:t>
      </w:r>
      <w:r w:rsidR="000B43AF">
        <w:rPr>
          <w:rFonts w:cstheme="minorHAnsi"/>
          <w:color w:val="000000"/>
          <w:sz w:val="22"/>
          <w:szCs w:val="22"/>
          <w:lang w:val="en-GB" w:eastAsia="en-GB"/>
        </w:rPr>
        <w:t>u</w:t>
      </w:r>
      <w:r w:rsidR="004712D2">
        <w:rPr>
          <w:rFonts w:cstheme="minorHAnsi"/>
          <w:color w:val="000000"/>
          <w:sz w:val="22"/>
          <w:szCs w:val="22"/>
          <w:lang w:val="en-GB" w:eastAsia="en-GB"/>
        </w:rPr>
        <w:t>ring</w:t>
      </w:r>
      <w:r w:rsidR="00114022" w:rsidRPr="00AE2F32">
        <w:rPr>
          <w:rFonts w:cstheme="minorHAnsi"/>
          <w:color w:val="000000"/>
          <w:sz w:val="22"/>
          <w:szCs w:val="22"/>
          <w:lang w:val="en-GB" w:eastAsia="en-GB"/>
        </w:rPr>
        <w:t xml:space="preserve"> countries </w:t>
      </w:r>
      <w:r w:rsidR="004712D2">
        <w:rPr>
          <w:rFonts w:cstheme="minorHAnsi"/>
          <w:color w:val="000000"/>
          <w:sz w:val="22"/>
          <w:szCs w:val="22"/>
          <w:lang w:val="en-GB" w:eastAsia="en-GB"/>
        </w:rPr>
        <w:t>that</w:t>
      </w:r>
      <w:r w:rsidR="00114022" w:rsidRPr="00AE2F32">
        <w:rPr>
          <w:rFonts w:cstheme="minorHAnsi"/>
          <w:color w:val="000000"/>
          <w:sz w:val="22"/>
          <w:szCs w:val="22"/>
          <w:lang w:val="en-GB" w:eastAsia="en-GB"/>
        </w:rPr>
        <w:t xml:space="preserve"> do not undergo </w:t>
      </w:r>
      <w:r w:rsidR="004712D2">
        <w:rPr>
          <w:rFonts w:cstheme="minorHAnsi"/>
          <w:color w:val="000000"/>
          <w:sz w:val="22"/>
          <w:szCs w:val="22"/>
          <w:lang w:val="en-GB" w:eastAsia="en-GB"/>
        </w:rPr>
        <w:t xml:space="preserve">an </w:t>
      </w:r>
      <w:r w:rsidR="00114022" w:rsidRPr="00AE2F32">
        <w:rPr>
          <w:rFonts w:cstheme="minorHAnsi"/>
          <w:color w:val="000000"/>
          <w:sz w:val="22"/>
          <w:szCs w:val="22"/>
          <w:lang w:val="en-GB" w:eastAsia="en-GB"/>
        </w:rPr>
        <w:t xml:space="preserve">examination under </w:t>
      </w:r>
      <w:r w:rsidR="004712D2">
        <w:rPr>
          <w:rFonts w:cstheme="minorHAnsi"/>
          <w:color w:val="000000"/>
          <w:sz w:val="22"/>
          <w:szCs w:val="22"/>
          <w:lang w:val="en-GB" w:eastAsia="en-GB"/>
        </w:rPr>
        <w:t xml:space="preserve">the </w:t>
      </w:r>
      <w:r w:rsidR="00114022" w:rsidRPr="00AE2F32">
        <w:rPr>
          <w:rFonts w:cstheme="minorHAnsi"/>
          <w:color w:val="000000"/>
          <w:sz w:val="22"/>
          <w:szCs w:val="22"/>
          <w:lang w:val="en-GB" w:eastAsia="en-GB"/>
        </w:rPr>
        <w:t xml:space="preserve">national education system. School early drop-out is also highest in minority regions. </w:t>
      </w:r>
      <w:r w:rsidR="005A3CE4" w:rsidRPr="00AE2F32">
        <w:rPr>
          <w:rStyle w:val="FootnoteReference"/>
          <w:rFonts w:cstheme="minorHAnsi"/>
          <w:color w:val="000000"/>
          <w:sz w:val="22"/>
          <w:szCs w:val="22"/>
          <w:lang w:val="en-GB" w:eastAsia="en-GB"/>
        </w:rPr>
        <w:footnoteReference w:id="198"/>
      </w:r>
      <w:r w:rsidR="005A3CE4" w:rsidRPr="00AE2F32">
        <w:rPr>
          <w:rFonts w:cstheme="minorHAnsi"/>
          <w:color w:val="000000"/>
          <w:sz w:val="22"/>
          <w:szCs w:val="22"/>
          <w:lang w:val="en-GB" w:eastAsia="en-GB"/>
        </w:rPr>
        <w:t xml:space="preserve"> </w:t>
      </w:r>
    </w:p>
    <w:p w14:paraId="63F8CFB8" w14:textId="5B45BA6E" w:rsidR="00114022" w:rsidRPr="00AE2F32" w:rsidRDefault="00114022" w:rsidP="00EB1CFE">
      <w:pPr>
        <w:jc w:val="both"/>
        <w:rPr>
          <w:rFonts w:cstheme="minorHAnsi"/>
          <w:color w:val="000000"/>
          <w:sz w:val="22"/>
          <w:szCs w:val="22"/>
          <w:lang w:val="en-GB" w:eastAsia="en-GB"/>
        </w:rPr>
      </w:pPr>
    </w:p>
    <w:p w14:paraId="1CF91D6B" w14:textId="0DEEADE7" w:rsidR="005A3CE4" w:rsidRPr="00AE2F32" w:rsidRDefault="00114022" w:rsidP="00EB1CFE">
      <w:pPr>
        <w:jc w:val="both"/>
        <w:rPr>
          <w:rFonts w:cstheme="minorHAnsi"/>
          <w:color w:val="000000"/>
          <w:sz w:val="22"/>
          <w:szCs w:val="22"/>
          <w:lang w:val="en-GB" w:eastAsia="en-GB"/>
        </w:rPr>
      </w:pPr>
      <w:r w:rsidRPr="00AE2F32">
        <w:rPr>
          <w:rFonts w:cstheme="minorHAnsi"/>
          <w:color w:val="000000"/>
          <w:sz w:val="22"/>
          <w:szCs w:val="22"/>
          <w:lang w:val="en-GB" w:eastAsia="en-GB"/>
        </w:rPr>
        <w:t>Socio-economic hardships also hinder</w:t>
      </w:r>
      <w:r w:rsidR="00E33D19" w:rsidRPr="00AE2F32">
        <w:rPr>
          <w:rFonts w:cstheme="minorHAnsi"/>
          <w:color w:val="000000"/>
          <w:sz w:val="22"/>
          <w:szCs w:val="22"/>
          <w:lang w:val="en-GB" w:eastAsia="en-GB"/>
        </w:rPr>
        <w:t xml:space="preserve"> </w:t>
      </w:r>
      <w:r w:rsidRPr="00AE2F32">
        <w:rPr>
          <w:rFonts w:cstheme="minorHAnsi"/>
          <w:color w:val="000000"/>
          <w:sz w:val="22"/>
          <w:szCs w:val="22"/>
          <w:lang w:val="en-GB" w:eastAsia="en-GB"/>
        </w:rPr>
        <w:t xml:space="preserve">the equality environment for minorities. </w:t>
      </w:r>
      <w:r w:rsidR="004712D2">
        <w:rPr>
          <w:rFonts w:cstheme="minorHAnsi"/>
          <w:color w:val="000000"/>
          <w:sz w:val="22"/>
          <w:szCs w:val="22"/>
          <w:lang w:val="en-GB" w:eastAsia="en-GB"/>
        </w:rPr>
        <w:t>This itself obstacle</w:t>
      </w:r>
      <w:r w:rsidRPr="00AE2F32">
        <w:rPr>
          <w:rFonts w:cstheme="minorHAnsi"/>
          <w:color w:val="000000"/>
          <w:sz w:val="22"/>
          <w:szCs w:val="22"/>
          <w:lang w:val="en-GB" w:eastAsia="en-GB"/>
        </w:rPr>
        <w:t xml:space="preserve"> their participation in public life</w:t>
      </w:r>
      <w:r w:rsidR="005A3CE4" w:rsidRPr="00AE2F32">
        <w:rPr>
          <w:rFonts w:cstheme="minorHAnsi"/>
          <w:color w:val="000000"/>
          <w:sz w:val="22"/>
          <w:szCs w:val="22"/>
          <w:lang w:val="en-GB" w:eastAsia="en-GB"/>
        </w:rPr>
        <w:t>.</w:t>
      </w:r>
      <w:r w:rsidRPr="00AE2F32">
        <w:rPr>
          <w:rFonts w:cstheme="minorHAnsi"/>
          <w:color w:val="000000"/>
          <w:sz w:val="22"/>
          <w:szCs w:val="22"/>
          <w:lang w:val="en-GB" w:eastAsia="en-GB"/>
        </w:rPr>
        <w:t xml:space="preserve"> The infrastructure in minority regions is weak,</w:t>
      </w:r>
      <w:r w:rsidR="00E33D19" w:rsidRPr="00AE2F32">
        <w:rPr>
          <w:rStyle w:val="FootnoteReference"/>
          <w:rFonts w:cstheme="minorHAnsi"/>
          <w:color w:val="000000"/>
          <w:sz w:val="22"/>
          <w:szCs w:val="22"/>
          <w:lang w:val="en-GB" w:eastAsia="en-GB"/>
        </w:rPr>
        <w:t xml:space="preserve"> </w:t>
      </w:r>
      <w:r w:rsidR="00E33D19" w:rsidRPr="00AE2F32">
        <w:rPr>
          <w:rStyle w:val="FootnoteReference"/>
          <w:rFonts w:cstheme="minorHAnsi"/>
          <w:color w:val="000000"/>
          <w:sz w:val="22"/>
          <w:szCs w:val="22"/>
          <w:lang w:val="en-GB" w:eastAsia="en-GB"/>
        </w:rPr>
        <w:footnoteReference w:id="199"/>
      </w:r>
      <w:r w:rsidRPr="00AE2F32">
        <w:rPr>
          <w:rFonts w:cstheme="minorHAnsi"/>
          <w:color w:val="000000"/>
          <w:sz w:val="22"/>
          <w:szCs w:val="22"/>
          <w:lang w:val="en-GB" w:eastAsia="en-GB"/>
        </w:rPr>
        <w:t xml:space="preserve"> the access to </w:t>
      </w:r>
      <w:r w:rsidR="00E33D19" w:rsidRPr="00AE2F32">
        <w:rPr>
          <w:rFonts w:cstheme="minorHAnsi"/>
          <w:color w:val="000000"/>
          <w:sz w:val="22"/>
          <w:szCs w:val="22"/>
          <w:lang w:val="en-GB" w:eastAsia="en-GB"/>
        </w:rPr>
        <w:t>the water and lands is problematic.</w:t>
      </w:r>
      <w:r w:rsidR="007E05AC" w:rsidRPr="00AE2F32">
        <w:rPr>
          <w:rStyle w:val="FootnoteReference"/>
          <w:rFonts w:cstheme="minorHAnsi"/>
          <w:color w:val="000000"/>
          <w:sz w:val="22"/>
          <w:szCs w:val="22"/>
          <w:lang w:val="en-GB" w:eastAsia="en-GB"/>
        </w:rPr>
        <w:footnoteReference w:id="200"/>
      </w:r>
      <w:r w:rsidR="007E05AC" w:rsidRPr="00AE2F32">
        <w:rPr>
          <w:rFonts w:cstheme="minorHAnsi"/>
          <w:color w:val="000000"/>
          <w:sz w:val="22"/>
          <w:szCs w:val="22"/>
          <w:lang w:val="en-GB" w:eastAsia="en-GB"/>
        </w:rPr>
        <w:t xml:space="preserve"> </w:t>
      </w:r>
      <w:r w:rsidR="00B81FA8" w:rsidRPr="00AE2F32">
        <w:rPr>
          <w:rFonts w:cstheme="minorHAnsi"/>
          <w:color w:val="000000"/>
          <w:sz w:val="22"/>
          <w:szCs w:val="22"/>
          <w:lang w:val="en-GB" w:eastAsia="en-GB"/>
        </w:rPr>
        <w:t xml:space="preserve"> </w:t>
      </w:r>
    </w:p>
    <w:p w14:paraId="0231521C" w14:textId="51168A15" w:rsidR="008D1DD5" w:rsidRPr="00AE2F32" w:rsidRDefault="008D1DD5" w:rsidP="00EB1CFE">
      <w:pPr>
        <w:jc w:val="both"/>
        <w:rPr>
          <w:rFonts w:eastAsia="Times New Roman" w:cs="Times New Roman"/>
          <w:sz w:val="22"/>
          <w:szCs w:val="22"/>
          <w:lang w:val="en-GB"/>
        </w:rPr>
      </w:pPr>
    </w:p>
    <w:p w14:paraId="65A29E0E" w14:textId="463F3724" w:rsidR="00905D09" w:rsidRPr="00AE2F32" w:rsidRDefault="00E33D19" w:rsidP="00EB1CFE">
      <w:pPr>
        <w:jc w:val="both"/>
        <w:rPr>
          <w:rFonts w:eastAsia="Times New Roman" w:cs="Times New Roman"/>
          <w:sz w:val="22"/>
          <w:szCs w:val="22"/>
          <w:lang w:val="en-GB"/>
        </w:rPr>
      </w:pPr>
      <w:r w:rsidRPr="00AE2F32">
        <w:rPr>
          <w:rFonts w:eastAsia="Times New Roman" w:cs="Times New Roman"/>
          <w:sz w:val="22"/>
          <w:szCs w:val="22"/>
          <w:lang w:val="en-GB"/>
        </w:rPr>
        <w:t>Inequality is manifested in law enforcement practices in minority regions</w:t>
      </w:r>
      <w:r w:rsidR="000C6D0E">
        <w:rPr>
          <w:rFonts w:eastAsia="Times New Roman" w:cs="Times New Roman"/>
          <w:sz w:val="22"/>
          <w:szCs w:val="22"/>
          <w:lang w:val="en-GB"/>
        </w:rPr>
        <w:t>.</w:t>
      </w:r>
      <w:r w:rsidR="00256F01">
        <w:rPr>
          <w:rFonts w:eastAsia="Times New Roman" w:cs="Times New Roman"/>
          <w:sz w:val="22"/>
          <w:szCs w:val="22"/>
          <w:lang w:val="en-GB"/>
        </w:rPr>
        <w:t xml:space="preserve"> </w:t>
      </w:r>
      <w:r w:rsidRPr="00AE2F32">
        <w:rPr>
          <w:rFonts w:eastAsia="Times New Roman" w:cs="Times New Roman"/>
          <w:sz w:val="22"/>
          <w:szCs w:val="22"/>
          <w:lang w:val="en-GB"/>
        </w:rPr>
        <w:t xml:space="preserve">The hard experiences of security service and police control </w:t>
      </w:r>
      <w:r w:rsidR="004712D2">
        <w:rPr>
          <w:rFonts w:eastAsia="Times New Roman" w:cs="Times New Roman"/>
          <w:sz w:val="22"/>
          <w:szCs w:val="22"/>
          <w:lang w:val="en-GB"/>
        </w:rPr>
        <w:t>are</w:t>
      </w:r>
      <w:r w:rsidRPr="00AE2F32">
        <w:rPr>
          <w:rFonts w:eastAsia="Times New Roman" w:cs="Times New Roman"/>
          <w:sz w:val="22"/>
          <w:szCs w:val="22"/>
          <w:lang w:val="en-GB"/>
        </w:rPr>
        <w:t xml:space="preserve"> visible in Pankisi Gorge, where ethnic </w:t>
      </w:r>
      <w:proofErr w:type="spellStart"/>
      <w:r w:rsidRPr="00AE2F32">
        <w:rPr>
          <w:rFonts w:eastAsia="Times New Roman" w:cs="Times New Roman"/>
          <w:sz w:val="22"/>
          <w:szCs w:val="22"/>
          <w:lang w:val="en-GB"/>
        </w:rPr>
        <w:t>Qists</w:t>
      </w:r>
      <w:proofErr w:type="spellEnd"/>
      <w:r w:rsidRPr="00AE2F32">
        <w:rPr>
          <w:rFonts w:eastAsia="Times New Roman" w:cs="Times New Roman"/>
          <w:sz w:val="22"/>
          <w:szCs w:val="22"/>
          <w:lang w:val="en-GB"/>
        </w:rPr>
        <w:t xml:space="preserve"> reside</w:t>
      </w:r>
      <w:r w:rsidR="00BD23E2" w:rsidRPr="00AE2F32">
        <w:rPr>
          <w:rFonts w:eastAsia="Times New Roman" w:cs="Times New Roman"/>
          <w:sz w:val="22"/>
          <w:szCs w:val="22"/>
          <w:lang w:val="en-GB"/>
        </w:rPr>
        <w:t>.</w:t>
      </w:r>
      <w:r w:rsidR="00BD23E2" w:rsidRPr="00AE2F32">
        <w:rPr>
          <w:rStyle w:val="FootnoteReference"/>
          <w:rFonts w:eastAsia="Times New Roman" w:cs="Times New Roman"/>
          <w:sz w:val="22"/>
          <w:szCs w:val="22"/>
          <w:lang w:val="en-GB"/>
        </w:rPr>
        <w:footnoteReference w:id="201"/>
      </w:r>
      <w:r w:rsidR="00BD23E2" w:rsidRPr="00AE2F32">
        <w:rPr>
          <w:rFonts w:eastAsia="Times New Roman" w:cs="Times New Roman"/>
          <w:sz w:val="22"/>
          <w:szCs w:val="22"/>
          <w:lang w:val="en-GB"/>
        </w:rPr>
        <w:t xml:space="preserve"> </w:t>
      </w:r>
      <w:r w:rsidR="005414FE" w:rsidRPr="00AE2F32">
        <w:rPr>
          <w:rFonts w:eastAsia="Times New Roman" w:cs="Times New Roman"/>
          <w:sz w:val="22"/>
          <w:szCs w:val="22"/>
          <w:lang w:val="en-GB"/>
        </w:rPr>
        <w:t xml:space="preserve">This approach was critically revealed in relation to the protests against HPP constructions when </w:t>
      </w:r>
      <w:r w:rsidR="004712D2">
        <w:rPr>
          <w:rFonts w:eastAsia="Times New Roman" w:cs="Times New Roman"/>
          <w:sz w:val="22"/>
          <w:szCs w:val="22"/>
          <w:lang w:val="en-GB"/>
        </w:rPr>
        <w:t xml:space="preserve">the </w:t>
      </w:r>
      <w:r w:rsidR="005414FE" w:rsidRPr="00AE2F32">
        <w:rPr>
          <w:rFonts w:eastAsia="Times New Roman" w:cs="Times New Roman"/>
          <w:sz w:val="22"/>
          <w:szCs w:val="22"/>
          <w:lang w:val="en-GB"/>
        </w:rPr>
        <w:t xml:space="preserve">Deputy </w:t>
      </w:r>
      <w:r w:rsidR="004712D2">
        <w:rPr>
          <w:rFonts w:eastAsia="Times New Roman" w:cs="Times New Roman"/>
          <w:sz w:val="22"/>
          <w:szCs w:val="22"/>
          <w:lang w:val="en-GB"/>
        </w:rPr>
        <w:t>Minister</w:t>
      </w:r>
      <w:r w:rsidR="005414FE" w:rsidRPr="00AE2F32">
        <w:rPr>
          <w:rFonts w:eastAsia="Times New Roman" w:cs="Times New Roman"/>
          <w:sz w:val="22"/>
          <w:szCs w:val="22"/>
          <w:lang w:val="en-GB"/>
        </w:rPr>
        <w:t xml:space="preserve"> of Interior Affairs and local police were directly involved in the processes.  Later</w:t>
      </w:r>
      <w:r w:rsidR="000C6D0E">
        <w:rPr>
          <w:rFonts w:eastAsia="Times New Roman" w:cs="Times New Roman"/>
          <w:sz w:val="22"/>
          <w:szCs w:val="22"/>
          <w:lang w:val="en-GB"/>
        </w:rPr>
        <w:t>,</w:t>
      </w:r>
      <w:r w:rsidR="004712D2">
        <w:rPr>
          <w:rFonts w:eastAsia="Times New Roman" w:cs="Times New Roman"/>
          <w:sz w:val="22"/>
          <w:szCs w:val="22"/>
          <w:lang w:val="en-GB"/>
        </w:rPr>
        <w:t xml:space="preserve"> the </w:t>
      </w:r>
      <w:r w:rsidR="005414FE" w:rsidRPr="00AE2F32">
        <w:rPr>
          <w:rFonts w:eastAsia="Times New Roman" w:cs="Times New Roman"/>
          <w:sz w:val="22"/>
          <w:szCs w:val="22"/>
          <w:lang w:val="en-GB"/>
        </w:rPr>
        <w:t>government decided to settle the problem via mobilization of massive police forces in the Gorge</w:t>
      </w:r>
      <w:r w:rsidR="00905D09" w:rsidRPr="00AE2F32">
        <w:rPr>
          <w:rFonts w:eastAsia="Times New Roman" w:cs="Times New Roman"/>
          <w:sz w:val="22"/>
          <w:szCs w:val="22"/>
          <w:lang w:val="en-GB"/>
        </w:rPr>
        <w:t xml:space="preserve">, while locals were </w:t>
      </w:r>
      <w:r w:rsidR="004712D2">
        <w:rPr>
          <w:rFonts w:eastAsia="Times New Roman" w:cs="Times New Roman"/>
          <w:sz w:val="22"/>
          <w:szCs w:val="22"/>
          <w:lang w:val="en-GB"/>
        </w:rPr>
        <w:t xml:space="preserve">for </w:t>
      </w:r>
      <w:r w:rsidR="00905D09" w:rsidRPr="00AE2F32">
        <w:rPr>
          <w:rFonts w:eastAsia="Times New Roman" w:cs="Times New Roman"/>
          <w:sz w:val="22"/>
          <w:szCs w:val="22"/>
          <w:lang w:val="en-GB"/>
        </w:rPr>
        <w:t>waiting public discussions with public officials.</w:t>
      </w:r>
      <w:r w:rsidR="008E6E89">
        <w:rPr>
          <w:rFonts w:eastAsia="Times New Roman" w:cs="Times New Roman"/>
          <w:sz w:val="22"/>
          <w:szCs w:val="22"/>
        </w:rPr>
        <w:t xml:space="preserve"> This was followed by confrontation with police and the situation is currently stalemated as government had not created any dialogue and consultation formats.</w:t>
      </w:r>
      <w:r w:rsidR="00305269">
        <w:rPr>
          <w:rFonts w:eastAsia="Times New Roman" w:cs="Times New Roman"/>
          <w:sz w:val="22"/>
          <w:szCs w:val="22"/>
          <w:lang w:val="en-GB"/>
        </w:rPr>
        <w:t xml:space="preserve"> </w:t>
      </w:r>
      <w:r w:rsidR="00BD23E2" w:rsidRPr="00AE2F32">
        <w:rPr>
          <w:rStyle w:val="FootnoteReference"/>
          <w:rFonts w:eastAsia="Times New Roman" w:cs="Times New Roman"/>
          <w:sz w:val="22"/>
          <w:szCs w:val="22"/>
          <w:lang w:val="en-GB"/>
        </w:rPr>
        <w:footnoteReference w:id="202"/>
      </w:r>
      <w:r w:rsidR="00905D09" w:rsidRPr="00AE2F32">
        <w:rPr>
          <w:rFonts w:eastAsia="Times New Roman" w:cs="Times New Roman"/>
          <w:sz w:val="22"/>
          <w:szCs w:val="22"/>
          <w:lang w:val="en-GB"/>
        </w:rPr>
        <w:t xml:space="preserve"> </w:t>
      </w:r>
    </w:p>
    <w:p w14:paraId="0BAE6FAE" w14:textId="437C86CC" w:rsidR="00905D09" w:rsidRPr="00AE2F32" w:rsidRDefault="00905D09" w:rsidP="00EB1CFE">
      <w:pPr>
        <w:jc w:val="both"/>
        <w:rPr>
          <w:rFonts w:eastAsia="Times New Roman" w:cs="Times New Roman"/>
          <w:sz w:val="22"/>
          <w:szCs w:val="22"/>
          <w:lang w:val="en-GB"/>
        </w:rPr>
      </w:pPr>
    </w:p>
    <w:p w14:paraId="48F190AF" w14:textId="7D55B7B3" w:rsidR="007B122C" w:rsidRPr="00AE2F32" w:rsidRDefault="008E6E89" w:rsidP="00EB1CFE">
      <w:pPr>
        <w:jc w:val="both"/>
        <w:rPr>
          <w:rFonts w:eastAsia="Times New Roman" w:cs="Times New Roman"/>
          <w:sz w:val="22"/>
          <w:szCs w:val="22"/>
          <w:lang w:val="en-GB"/>
        </w:rPr>
      </w:pPr>
      <w:r>
        <w:rPr>
          <w:rFonts w:eastAsia="Times New Roman" w:cs="Times New Roman"/>
          <w:sz w:val="22"/>
          <w:szCs w:val="22"/>
          <w:lang w:val="en-GB"/>
        </w:rPr>
        <w:t>H</w:t>
      </w:r>
      <w:r w:rsidR="00905D09" w:rsidRPr="00AE2F32">
        <w:rPr>
          <w:rFonts w:eastAsia="Times New Roman" w:cs="Times New Roman"/>
          <w:sz w:val="22"/>
          <w:szCs w:val="22"/>
          <w:lang w:val="en-GB"/>
        </w:rPr>
        <w:t>arsh police practices were visible in the minority regions during pandemic quarantine, where police did not take into consideration local hard social contexts and prescribed fines for the violation of quarantine regimes</w:t>
      </w:r>
      <w:r>
        <w:rPr>
          <w:rFonts w:eastAsia="Times New Roman" w:cs="Times New Roman"/>
          <w:sz w:val="22"/>
          <w:szCs w:val="22"/>
          <w:lang w:val="en-GB"/>
        </w:rPr>
        <w:t>.</w:t>
      </w:r>
      <w:r w:rsidR="00BD23E2" w:rsidRPr="00AE2F32">
        <w:rPr>
          <w:rStyle w:val="FootnoteReference"/>
          <w:rFonts w:eastAsia="Times New Roman" w:cs="Times New Roman"/>
          <w:sz w:val="22"/>
          <w:szCs w:val="22"/>
          <w:lang w:val="en-GB"/>
        </w:rPr>
        <w:footnoteReference w:id="203"/>
      </w:r>
      <w:r w:rsidR="00085E60" w:rsidRPr="00AE2F32">
        <w:rPr>
          <w:rFonts w:eastAsia="Times New Roman" w:cs="Times New Roman"/>
          <w:sz w:val="22"/>
          <w:szCs w:val="22"/>
          <w:lang w:val="en-GB"/>
        </w:rPr>
        <w:t xml:space="preserve"> </w:t>
      </w:r>
      <w:r w:rsidR="00905D09" w:rsidRPr="00AE2F32">
        <w:rPr>
          <w:rFonts w:eastAsia="Times New Roman" w:cs="Times New Roman"/>
          <w:sz w:val="22"/>
          <w:szCs w:val="22"/>
          <w:lang w:val="en-GB"/>
        </w:rPr>
        <w:t xml:space="preserve">Noteworthily, locals expressed their dissatisfaction </w:t>
      </w:r>
      <w:r w:rsidR="004712D2">
        <w:rPr>
          <w:rFonts w:eastAsia="Times New Roman" w:cs="Times New Roman"/>
          <w:sz w:val="22"/>
          <w:szCs w:val="22"/>
          <w:lang w:val="en-GB"/>
        </w:rPr>
        <w:t>with</w:t>
      </w:r>
      <w:r w:rsidR="00905D09" w:rsidRPr="00AE2F32">
        <w:rPr>
          <w:rFonts w:eastAsia="Times New Roman" w:cs="Times New Roman"/>
          <w:sz w:val="22"/>
          <w:szCs w:val="22"/>
          <w:lang w:val="en-GB"/>
        </w:rPr>
        <w:t xml:space="preserve"> social </w:t>
      </w:r>
      <w:r w:rsidR="00256F01">
        <w:rPr>
          <w:rFonts w:eastAsia="Times New Roman" w:cs="Times New Roman"/>
          <w:sz w:val="22"/>
          <w:szCs w:val="22"/>
          <w:lang w:val="en-GB"/>
        </w:rPr>
        <w:t>problems</w:t>
      </w:r>
      <w:r w:rsidR="0054621F" w:rsidRPr="00AE2F32">
        <w:rPr>
          <w:rFonts w:eastAsia="Times New Roman" w:cs="Times New Roman"/>
          <w:sz w:val="22"/>
          <w:szCs w:val="22"/>
          <w:lang w:val="en-GB"/>
        </w:rPr>
        <w:t xml:space="preserve"> </w:t>
      </w:r>
      <w:r w:rsidR="00905D09" w:rsidRPr="00AE2F32">
        <w:rPr>
          <w:rFonts w:eastAsia="Times New Roman" w:cs="Times New Roman"/>
          <w:sz w:val="22"/>
          <w:szCs w:val="22"/>
          <w:lang w:val="en-GB"/>
        </w:rPr>
        <w:t xml:space="preserve">with car signals, but </w:t>
      </w:r>
      <w:r>
        <w:rPr>
          <w:rFonts w:eastAsia="Times New Roman" w:cs="Times New Roman"/>
          <w:sz w:val="22"/>
          <w:szCs w:val="22"/>
          <w:lang w:val="en-GB"/>
        </w:rPr>
        <w:t>SSS</w:t>
      </w:r>
      <w:r w:rsidR="00905D09" w:rsidRPr="00AE2F32">
        <w:rPr>
          <w:rFonts w:eastAsia="Times New Roman" w:cs="Times New Roman"/>
          <w:sz w:val="22"/>
          <w:szCs w:val="22"/>
          <w:lang w:val="en-GB"/>
        </w:rPr>
        <w:t xml:space="preserve"> launched an investigation under the sabotage article.</w:t>
      </w:r>
    </w:p>
    <w:p w14:paraId="532E9EC3" w14:textId="54458061" w:rsidR="007B122C" w:rsidRPr="00AE2F32" w:rsidRDefault="00905D09" w:rsidP="007B122C">
      <w:pPr>
        <w:shd w:val="clear" w:color="auto" w:fill="C9C9C9" w:themeFill="accent3" w:themeFillTint="99"/>
        <w:jc w:val="both"/>
        <w:rPr>
          <w:rFonts w:cs="Calibri"/>
          <w:b/>
          <w:sz w:val="22"/>
          <w:szCs w:val="22"/>
          <w:lang w:val="en-GB"/>
        </w:rPr>
      </w:pPr>
      <w:r w:rsidRPr="00AE2F32">
        <w:rPr>
          <w:rFonts w:cs="Calibri"/>
          <w:b/>
          <w:sz w:val="22"/>
          <w:szCs w:val="22"/>
          <w:lang w:val="en-GB"/>
        </w:rPr>
        <w:lastRenderedPageBreak/>
        <w:t xml:space="preserve">Recommendations: </w:t>
      </w:r>
    </w:p>
    <w:p w14:paraId="7B3EBA27" w14:textId="3256B1D8" w:rsidR="005A3CE4" w:rsidRPr="00AE2F32" w:rsidRDefault="005A3CE4" w:rsidP="007B122C">
      <w:pPr>
        <w:shd w:val="clear" w:color="auto" w:fill="C9C9C9" w:themeFill="accent3" w:themeFillTint="99"/>
        <w:jc w:val="both"/>
        <w:rPr>
          <w:rFonts w:cs="Calibri"/>
          <w:b/>
          <w:sz w:val="22"/>
          <w:szCs w:val="22"/>
          <w:lang w:val="en-GB"/>
        </w:rPr>
      </w:pPr>
    </w:p>
    <w:p w14:paraId="7F687351" w14:textId="51463B79" w:rsidR="00D155B2" w:rsidRPr="00AE2F32" w:rsidRDefault="00905D09" w:rsidP="0023502D">
      <w:pPr>
        <w:pStyle w:val="ListParagraph"/>
        <w:numPr>
          <w:ilvl w:val="0"/>
          <w:numId w:val="25"/>
        </w:numPr>
        <w:shd w:val="clear" w:color="auto" w:fill="C9C9C9" w:themeFill="accent3" w:themeFillTint="99"/>
        <w:jc w:val="both"/>
        <w:rPr>
          <w:rFonts w:cs="Calibri"/>
          <w:bCs/>
          <w:sz w:val="22"/>
          <w:szCs w:val="22"/>
          <w:lang w:val="en-GB"/>
        </w:rPr>
      </w:pPr>
      <w:r w:rsidRPr="00AE2F32">
        <w:rPr>
          <w:rFonts w:cs="Calibri"/>
          <w:bCs/>
          <w:sz w:val="22"/>
          <w:szCs w:val="22"/>
          <w:lang w:val="en-GB"/>
        </w:rPr>
        <w:t xml:space="preserve">Examine the challenges in terms of minority education, including the shortcomings of state language teaching. </w:t>
      </w:r>
    </w:p>
    <w:p w14:paraId="3D218F10" w14:textId="77777777" w:rsidR="009966C3" w:rsidRPr="00AE2F32" w:rsidRDefault="009966C3" w:rsidP="0023502D">
      <w:pPr>
        <w:pStyle w:val="ListParagraph"/>
        <w:numPr>
          <w:ilvl w:val="0"/>
          <w:numId w:val="25"/>
        </w:numPr>
        <w:shd w:val="clear" w:color="auto" w:fill="C9C9C9" w:themeFill="accent3" w:themeFillTint="99"/>
        <w:jc w:val="both"/>
        <w:rPr>
          <w:rFonts w:cs="Calibri"/>
          <w:bCs/>
          <w:sz w:val="22"/>
          <w:szCs w:val="22"/>
          <w:lang w:val="en-GB"/>
        </w:rPr>
      </w:pPr>
      <w:r w:rsidRPr="00AE2F32">
        <w:rPr>
          <w:rFonts w:cs="Calibri"/>
          <w:bCs/>
          <w:sz w:val="22"/>
          <w:szCs w:val="22"/>
          <w:lang w:val="en-GB"/>
        </w:rPr>
        <w:t>Elaborate reform and state policy for multi-lingual and multi-cultural school education, which will be regularly monitored and revised based on research data.</w:t>
      </w:r>
    </w:p>
    <w:p w14:paraId="092B4067" w14:textId="6ACB5AA8" w:rsidR="009966C3" w:rsidRPr="00AE2F32" w:rsidRDefault="009966C3" w:rsidP="0023502D">
      <w:pPr>
        <w:pStyle w:val="ListParagraph"/>
        <w:numPr>
          <w:ilvl w:val="0"/>
          <w:numId w:val="25"/>
        </w:numPr>
        <w:shd w:val="clear" w:color="auto" w:fill="C9C9C9" w:themeFill="accent3" w:themeFillTint="99"/>
        <w:jc w:val="both"/>
        <w:rPr>
          <w:rFonts w:cs="Calibri"/>
          <w:bCs/>
          <w:sz w:val="22"/>
          <w:szCs w:val="22"/>
          <w:lang w:val="en-GB"/>
        </w:rPr>
      </w:pPr>
      <w:r w:rsidRPr="00AE2F32">
        <w:rPr>
          <w:rFonts w:cs="Calibri"/>
          <w:bCs/>
          <w:sz w:val="22"/>
          <w:szCs w:val="22"/>
          <w:lang w:val="en-GB"/>
        </w:rPr>
        <w:t xml:space="preserve">Increase employment of 1+4 program graduates in public schools. </w:t>
      </w:r>
    </w:p>
    <w:p w14:paraId="25001EBB" w14:textId="4118F74C" w:rsidR="009966C3" w:rsidRPr="00AE2F32" w:rsidRDefault="009966C3" w:rsidP="0023502D">
      <w:pPr>
        <w:pStyle w:val="ListParagraph"/>
        <w:numPr>
          <w:ilvl w:val="0"/>
          <w:numId w:val="25"/>
        </w:numPr>
        <w:shd w:val="clear" w:color="auto" w:fill="C9C9C9" w:themeFill="accent3" w:themeFillTint="99"/>
        <w:jc w:val="both"/>
        <w:rPr>
          <w:rFonts w:cs="Calibri"/>
          <w:bCs/>
          <w:sz w:val="22"/>
          <w:szCs w:val="22"/>
          <w:lang w:val="en-GB"/>
        </w:rPr>
      </w:pPr>
      <w:r w:rsidRPr="00AE2F32">
        <w:rPr>
          <w:rFonts w:cs="Calibri"/>
          <w:bCs/>
          <w:sz w:val="22"/>
          <w:szCs w:val="22"/>
          <w:lang w:val="en-GB"/>
        </w:rPr>
        <w:t>Create school bilingual textbooks with parallel translations, which will be based on the existing experience and needs</w:t>
      </w:r>
      <w:r w:rsidR="0054621F">
        <w:rPr>
          <w:rFonts w:cs="Calibri"/>
          <w:bCs/>
          <w:sz w:val="22"/>
          <w:szCs w:val="22"/>
          <w:lang w:val="en-GB"/>
        </w:rPr>
        <w:t>.</w:t>
      </w:r>
      <w:r w:rsidRPr="00AE2F32">
        <w:rPr>
          <w:rFonts w:cs="Calibri"/>
          <w:bCs/>
          <w:sz w:val="22"/>
          <w:szCs w:val="22"/>
          <w:lang w:val="en-GB"/>
        </w:rPr>
        <w:t xml:space="preserve"> </w:t>
      </w:r>
    </w:p>
    <w:p w14:paraId="42F18708" w14:textId="39876A2F" w:rsidR="00BF0196" w:rsidRPr="0054621F" w:rsidRDefault="009966C3" w:rsidP="00EB1CFE">
      <w:pPr>
        <w:pStyle w:val="ListParagraph"/>
        <w:numPr>
          <w:ilvl w:val="0"/>
          <w:numId w:val="25"/>
        </w:numPr>
        <w:shd w:val="clear" w:color="auto" w:fill="C9C9C9" w:themeFill="accent3" w:themeFillTint="99"/>
        <w:jc w:val="both"/>
        <w:rPr>
          <w:rFonts w:cs="Calibri"/>
          <w:bCs/>
          <w:sz w:val="22"/>
          <w:szCs w:val="22"/>
          <w:lang w:val="en-GB"/>
        </w:rPr>
      </w:pPr>
      <w:r w:rsidRPr="00AE2F32">
        <w:rPr>
          <w:rFonts w:cs="Calibri"/>
          <w:bCs/>
          <w:sz w:val="22"/>
          <w:szCs w:val="22"/>
          <w:lang w:val="en-GB"/>
        </w:rPr>
        <w:t>Eradicate tense and arbitrary police/security authorities control practices in minority regions and instead, elaborate democratic approaches based on community needs.</w:t>
      </w:r>
    </w:p>
    <w:p w14:paraId="1E260E64" w14:textId="77777777" w:rsidR="00BF0196" w:rsidRPr="00AE2F32" w:rsidRDefault="00BF0196" w:rsidP="00EB1CFE">
      <w:pPr>
        <w:rPr>
          <w:rFonts w:eastAsia="Times New Roman" w:cs="Times New Roman"/>
          <w:b/>
          <w:bCs/>
          <w:sz w:val="22"/>
          <w:szCs w:val="22"/>
          <w:lang w:val="en-GB"/>
        </w:rPr>
      </w:pPr>
    </w:p>
    <w:p w14:paraId="36E90DB6" w14:textId="316808D2" w:rsidR="00AE2BB0" w:rsidRPr="00AE2F32" w:rsidRDefault="009966C3" w:rsidP="0023502D">
      <w:pPr>
        <w:pStyle w:val="Heading2"/>
        <w:numPr>
          <w:ilvl w:val="0"/>
          <w:numId w:val="15"/>
        </w:numPr>
        <w:spacing w:before="0"/>
        <w:rPr>
          <w:rFonts w:asciiTheme="minorHAnsi" w:hAnsiTheme="minorHAnsi" w:cs="Sylfaen"/>
          <w:sz w:val="22"/>
          <w:szCs w:val="22"/>
          <w:lang w:val="en-GB"/>
        </w:rPr>
      </w:pPr>
      <w:bookmarkStart w:id="64" w:name="_Toc48565956"/>
      <w:r w:rsidRPr="00AE2F32">
        <w:rPr>
          <w:rFonts w:asciiTheme="minorHAnsi" w:hAnsiTheme="minorHAnsi" w:cs="Sylfaen"/>
          <w:sz w:val="22"/>
          <w:szCs w:val="22"/>
          <w:lang w:val="en-GB"/>
        </w:rPr>
        <w:t>Article</w:t>
      </w:r>
      <w:r w:rsidR="00AE2BB0" w:rsidRPr="00AE2F32">
        <w:rPr>
          <w:rFonts w:asciiTheme="minorHAnsi" w:hAnsiTheme="minorHAnsi" w:cs="Sylfaen"/>
          <w:sz w:val="22"/>
          <w:szCs w:val="22"/>
          <w:lang w:val="en-GB"/>
        </w:rPr>
        <w:t xml:space="preserve"> 27: </w:t>
      </w:r>
      <w:r w:rsidRPr="00AE2F32">
        <w:rPr>
          <w:rFonts w:asciiTheme="minorHAnsi" w:hAnsiTheme="minorHAnsi" w:cs="Sylfaen"/>
          <w:sz w:val="22"/>
          <w:szCs w:val="22"/>
          <w:lang w:val="en-GB"/>
        </w:rPr>
        <w:t>Rights of Minorities</w:t>
      </w:r>
      <w:bookmarkEnd w:id="64"/>
      <w:r w:rsidRPr="00AE2F32">
        <w:rPr>
          <w:rFonts w:asciiTheme="minorHAnsi" w:hAnsiTheme="minorHAnsi" w:cs="Sylfaen"/>
          <w:sz w:val="22"/>
          <w:szCs w:val="22"/>
          <w:lang w:val="en-GB"/>
        </w:rPr>
        <w:t xml:space="preserve"> </w:t>
      </w:r>
    </w:p>
    <w:p w14:paraId="1B86DCD9" w14:textId="77777777" w:rsidR="006619C5" w:rsidRPr="00AE2F32" w:rsidRDefault="006619C5" w:rsidP="00EB1CFE">
      <w:pPr>
        <w:jc w:val="both"/>
        <w:rPr>
          <w:sz w:val="22"/>
          <w:szCs w:val="22"/>
          <w:lang w:val="en-GB"/>
        </w:rPr>
      </w:pPr>
    </w:p>
    <w:p w14:paraId="49411FB7" w14:textId="6713A755" w:rsidR="00AE2BB0" w:rsidRPr="00AE2F32" w:rsidRDefault="006619C5" w:rsidP="00EB1CFE">
      <w:pPr>
        <w:jc w:val="both"/>
        <w:rPr>
          <w:sz w:val="22"/>
          <w:szCs w:val="22"/>
          <w:lang w:val="en-GB"/>
        </w:rPr>
      </w:pPr>
      <w:r w:rsidRPr="00AE2F32">
        <w:rPr>
          <w:sz w:val="22"/>
          <w:szCs w:val="22"/>
          <w:lang w:val="en-GB"/>
        </w:rPr>
        <w:t xml:space="preserve">According to Article 27, the state must create </w:t>
      </w:r>
      <w:r w:rsidR="004712D2">
        <w:rPr>
          <w:sz w:val="22"/>
          <w:szCs w:val="22"/>
          <w:lang w:val="en-GB"/>
        </w:rPr>
        <w:t xml:space="preserve">a </w:t>
      </w:r>
      <w:r w:rsidRPr="00AE2F32">
        <w:rPr>
          <w:sz w:val="22"/>
          <w:szCs w:val="22"/>
          <w:lang w:val="en-GB"/>
        </w:rPr>
        <w:t>situation for minorities to freely use and develop their own culture, religion</w:t>
      </w:r>
      <w:r w:rsidR="004712D2">
        <w:rPr>
          <w:sz w:val="22"/>
          <w:szCs w:val="22"/>
          <w:lang w:val="en-GB"/>
        </w:rPr>
        <w:t>,</w:t>
      </w:r>
      <w:r w:rsidRPr="00AE2F32">
        <w:rPr>
          <w:sz w:val="22"/>
          <w:szCs w:val="22"/>
          <w:lang w:val="en-GB"/>
        </w:rPr>
        <w:t xml:space="preserve"> and language.  The minority culture policy is not based on equality approaches, and in the regions, it often takes the form of assimilation rather than integration. In conditions of low political participation, minority culture is less or misrepresented. The renaming and changes of minority </w:t>
      </w:r>
      <w:r w:rsidRPr="00AE2F32">
        <w:rPr>
          <w:sz w:val="22"/>
          <w:szCs w:val="22"/>
        </w:rPr>
        <w:t>holidays, as well as renaming of minority villages</w:t>
      </w:r>
      <w:r w:rsidR="004712D2">
        <w:rPr>
          <w:sz w:val="22"/>
          <w:szCs w:val="22"/>
        </w:rPr>
        <w:t>,</w:t>
      </w:r>
      <w:r w:rsidRPr="00AE2F32">
        <w:rPr>
          <w:sz w:val="22"/>
          <w:szCs w:val="22"/>
        </w:rPr>
        <w:t xml:space="preserve"> </w:t>
      </w:r>
      <w:r w:rsidR="004712D2">
        <w:rPr>
          <w:sz w:val="22"/>
          <w:szCs w:val="22"/>
        </w:rPr>
        <w:t>are</w:t>
      </w:r>
      <w:r w:rsidRPr="00AE2F32">
        <w:rPr>
          <w:sz w:val="22"/>
          <w:szCs w:val="22"/>
        </w:rPr>
        <w:t xml:space="preserve"> recent </w:t>
      </w:r>
      <w:r w:rsidR="004712D2">
        <w:rPr>
          <w:sz w:val="22"/>
          <w:szCs w:val="22"/>
        </w:rPr>
        <w:t>practices</w:t>
      </w:r>
      <w:r w:rsidRPr="00AE2F32">
        <w:rPr>
          <w:sz w:val="22"/>
          <w:szCs w:val="22"/>
        </w:rPr>
        <w:t xml:space="preserve">. </w:t>
      </w:r>
      <w:r w:rsidR="00301C22" w:rsidRPr="00AE2F32">
        <w:rPr>
          <w:rStyle w:val="FootnoteReference"/>
          <w:sz w:val="22"/>
          <w:szCs w:val="22"/>
          <w:lang w:val="en-GB"/>
        </w:rPr>
        <w:footnoteReference w:id="204"/>
      </w:r>
      <w:r w:rsidRPr="00AE2F32">
        <w:rPr>
          <w:sz w:val="22"/>
          <w:szCs w:val="22"/>
        </w:rPr>
        <w:t xml:space="preserve"> </w:t>
      </w:r>
      <w:r w:rsidR="004712D2">
        <w:rPr>
          <w:sz w:val="22"/>
          <w:szCs w:val="22"/>
        </w:rPr>
        <w:t>A recent</w:t>
      </w:r>
      <w:r w:rsidRPr="00AE2F32">
        <w:rPr>
          <w:sz w:val="22"/>
          <w:szCs w:val="22"/>
        </w:rPr>
        <w:t xml:space="preserve"> analysis of one culture center in Kvemo Kartli, where more than 80% ethnic minority reside, revealed that in 2018 out of 68 cultural events, only 4 were dedicated to minority culture; in 2017, 4 events out of 58 and in 2016 only 1 event, out of 47.</w:t>
      </w:r>
      <w:r w:rsidR="00837118" w:rsidRPr="00AE2F32">
        <w:rPr>
          <w:rStyle w:val="FootnoteReference"/>
          <w:rFonts w:cstheme="minorHAnsi"/>
          <w:color w:val="000000"/>
          <w:sz w:val="22"/>
          <w:szCs w:val="22"/>
          <w:lang w:val="en-GB" w:eastAsia="en-GB"/>
        </w:rPr>
        <w:footnoteReference w:id="205"/>
      </w:r>
      <w:r w:rsidR="00837118" w:rsidRPr="00AE2F32">
        <w:rPr>
          <w:sz w:val="22"/>
          <w:szCs w:val="22"/>
          <w:lang w:val="en-GB"/>
        </w:rPr>
        <w:t xml:space="preserve"> </w:t>
      </w:r>
      <w:r w:rsidR="008C7687" w:rsidRPr="00AE2F32">
        <w:rPr>
          <w:sz w:val="22"/>
          <w:szCs w:val="22"/>
          <w:lang w:val="en-GB"/>
        </w:rPr>
        <w:t xml:space="preserve">Minority cultural heritage and touristic sites are also invisible on the general touristic maps, </w:t>
      </w:r>
      <w:r w:rsidR="00B655B8">
        <w:rPr>
          <w:sz w:val="22"/>
          <w:szCs w:val="22"/>
          <w:lang w:val="en-GB"/>
        </w:rPr>
        <w:t>and the</w:t>
      </w:r>
      <w:r w:rsidR="00222E8B">
        <w:rPr>
          <w:sz w:val="22"/>
          <w:szCs w:val="22"/>
          <w:lang w:val="en-GB"/>
        </w:rPr>
        <w:t xml:space="preserve"> </w:t>
      </w:r>
      <w:r w:rsidR="008C7687" w:rsidRPr="00AE2F32">
        <w:rPr>
          <w:sz w:val="22"/>
          <w:szCs w:val="22"/>
          <w:lang w:val="en-GB"/>
        </w:rPr>
        <w:t xml:space="preserve">state </w:t>
      </w:r>
      <w:r w:rsidR="004712D2">
        <w:rPr>
          <w:sz w:val="22"/>
          <w:szCs w:val="22"/>
          <w:lang w:val="en-GB"/>
        </w:rPr>
        <w:t>does</w:t>
      </w:r>
      <w:r w:rsidR="008C7687" w:rsidRPr="00AE2F32">
        <w:rPr>
          <w:sz w:val="22"/>
          <w:szCs w:val="22"/>
          <w:lang w:val="en-GB"/>
        </w:rPr>
        <w:t xml:space="preserve"> not grant them protection status, which endangers their existence and maintenance. Local municipalities are mostly producing touristic maps and videos, where minorities do not see themselves.  </w:t>
      </w:r>
    </w:p>
    <w:p w14:paraId="32D93916" w14:textId="77777777" w:rsidR="007B122C" w:rsidRPr="00AE2F32" w:rsidRDefault="007B122C" w:rsidP="007B122C">
      <w:pPr>
        <w:jc w:val="both"/>
        <w:rPr>
          <w:sz w:val="22"/>
          <w:szCs w:val="22"/>
          <w:lang w:val="en-GB"/>
        </w:rPr>
      </w:pPr>
    </w:p>
    <w:p w14:paraId="69483753" w14:textId="1A9AA571" w:rsidR="00837118" w:rsidRPr="00AE2F32" w:rsidRDefault="009966C3" w:rsidP="007B122C">
      <w:pPr>
        <w:shd w:val="clear" w:color="auto" w:fill="C9C9C9" w:themeFill="accent3" w:themeFillTint="99"/>
        <w:jc w:val="both"/>
        <w:rPr>
          <w:rFonts w:cs="Calibri"/>
          <w:b/>
          <w:sz w:val="22"/>
          <w:szCs w:val="22"/>
          <w:lang w:val="en-GB"/>
        </w:rPr>
      </w:pPr>
      <w:r w:rsidRPr="00AE2F32">
        <w:rPr>
          <w:rFonts w:cs="Calibri"/>
          <w:b/>
          <w:sz w:val="22"/>
          <w:szCs w:val="22"/>
          <w:lang w:val="en-GB"/>
        </w:rPr>
        <w:t>Recommendations:</w:t>
      </w:r>
    </w:p>
    <w:p w14:paraId="559261CE" w14:textId="6BBF03D6" w:rsidR="00837118" w:rsidRPr="00AE2F32" w:rsidRDefault="00837118" w:rsidP="007B122C">
      <w:pPr>
        <w:shd w:val="clear" w:color="auto" w:fill="C9C9C9" w:themeFill="accent3" w:themeFillTint="99"/>
        <w:jc w:val="both"/>
        <w:rPr>
          <w:rFonts w:cs="Calibri"/>
          <w:bCs/>
          <w:sz w:val="22"/>
          <w:szCs w:val="22"/>
          <w:lang w:val="en-GB"/>
        </w:rPr>
      </w:pPr>
    </w:p>
    <w:p w14:paraId="022F7C3F" w14:textId="22073CB5" w:rsidR="009966C3" w:rsidRPr="00AE2F32" w:rsidRDefault="009966C3" w:rsidP="0023502D">
      <w:pPr>
        <w:pStyle w:val="ListParagraph"/>
        <w:numPr>
          <w:ilvl w:val="0"/>
          <w:numId w:val="37"/>
        </w:numPr>
        <w:shd w:val="clear" w:color="auto" w:fill="D0CECE" w:themeFill="background2" w:themeFillShade="E6"/>
        <w:rPr>
          <w:sz w:val="22"/>
          <w:szCs w:val="22"/>
          <w:lang w:val="en-GB"/>
        </w:rPr>
      </w:pPr>
      <w:r w:rsidRPr="00AE2F32">
        <w:rPr>
          <w:sz w:val="22"/>
          <w:szCs w:val="22"/>
          <w:lang w:val="en-GB"/>
        </w:rPr>
        <w:t xml:space="preserve">Create the list of ethnic minority cultural objects/heritage and in accordance with the needs and priorities, take specific measures for their protection and popularization. </w:t>
      </w:r>
    </w:p>
    <w:p w14:paraId="699E3FB8" w14:textId="122F0F1D" w:rsidR="00D87A99" w:rsidRPr="00AE2F32" w:rsidRDefault="009966C3" w:rsidP="0023502D">
      <w:pPr>
        <w:pStyle w:val="ListParagraph"/>
        <w:numPr>
          <w:ilvl w:val="0"/>
          <w:numId w:val="37"/>
        </w:numPr>
        <w:shd w:val="clear" w:color="auto" w:fill="D0CECE" w:themeFill="background2" w:themeFillShade="E6"/>
        <w:rPr>
          <w:sz w:val="22"/>
          <w:szCs w:val="22"/>
          <w:lang w:val="en-GB"/>
        </w:rPr>
      </w:pPr>
      <w:r w:rsidRPr="00AE2F32">
        <w:rPr>
          <w:sz w:val="22"/>
          <w:szCs w:val="22"/>
          <w:lang w:val="en-GB"/>
        </w:rPr>
        <w:t xml:space="preserve">Municipal cultural </w:t>
      </w:r>
      <w:proofErr w:type="spellStart"/>
      <w:r w:rsidR="004712D2">
        <w:rPr>
          <w:sz w:val="22"/>
          <w:szCs w:val="22"/>
          <w:lang w:val="en-GB"/>
        </w:rPr>
        <w:t>centers</w:t>
      </w:r>
      <w:proofErr w:type="spellEnd"/>
      <w:r w:rsidRPr="00AE2F32">
        <w:rPr>
          <w:sz w:val="22"/>
          <w:szCs w:val="22"/>
          <w:lang w:val="en-GB"/>
        </w:rPr>
        <w:t xml:space="preserve"> should give specific attention to minority culture protection and development, and establish consultative mechanisms for their implementation and monitoring. </w:t>
      </w:r>
    </w:p>
    <w:p w14:paraId="56935316" w14:textId="77777777" w:rsidR="009966C3" w:rsidRPr="00AE2F32" w:rsidRDefault="009966C3" w:rsidP="009966C3">
      <w:pPr>
        <w:pStyle w:val="ListParagraph"/>
        <w:ind w:left="360"/>
        <w:rPr>
          <w:sz w:val="22"/>
          <w:szCs w:val="22"/>
          <w:lang w:val="en-GB"/>
        </w:rPr>
      </w:pPr>
    </w:p>
    <w:p w14:paraId="59606609" w14:textId="65614488" w:rsidR="00D87A99" w:rsidRPr="00AE2F32" w:rsidRDefault="009966C3" w:rsidP="00D87A99">
      <w:pPr>
        <w:shd w:val="clear" w:color="auto" w:fill="D0CECE" w:themeFill="background2" w:themeFillShade="E6"/>
        <w:rPr>
          <w:b/>
          <w:bCs/>
          <w:sz w:val="22"/>
          <w:szCs w:val="22"/>
          <w:lang w:val="en-GB"/>
        </w:rPr>
      </w:pPr>
      <w:r w:rsidRPr="00AE2F32">
        <w:rPr>
          <w:b/>
          <w:bCs/>
          <w:sz w:val="22"/>
          <w:szCs w:val="22"/>
          <w:lang w:val="en-GB"/>
        </w:rPr>
        <w:t xml:space="preserve">Questions: </w:t>
      </w:r>
    </w:p>
    <w:p w14:paraId="7489BA38" w14:textId="5F0C0FAA" w:rsidR="009966C3" w:rsidRPr="00AE2F32" w:rsidRDefault="009966C3" w:rsidP="0023502D">
      <w:pPr>
        <w:pStyle w:val="ListParagraph"/>
        <w:numPr>
          <w:ilvl w:val="0"/>
          <w:numId w:val="37"/>
        </w:numPr>
        <w:shd w:val="clear" w:color="auto" w:fill="D0CECE" w:themeFill="background2" w:themeFillShade="E6"/>
        <w:rPr>
          <w:i/>
          <w:iCs/>
          <w:sz w:val="22"/>
          <w:szCs w:val="22"/>
          <w:u w:val="single"/>
          <w:lang w:val="en-GB"/>
        </w:rPr>
      </w:pPr>
      <w:r w:rsidRPr="00AE2F32">
        <w:rPr>
          <w:sz w:val="22"/>
          <w:szCs w:val="22"/>
          <w:lang w:val="en-GB"/>
        </w:rPr>
        <w:t>How many ethnic minority cultural heritage sites are protected under cultural heritage status?</w:t>
      </w:r>
    </w:p>
    <w:p w14:paraId="6E977607" w14:textId="525748EA" w:rsidR="00091158" w:rsidRPr="00091158" w:rsidRDefault="009966C3" w:rsidP="00091158">
      <w:pPr>
        <w:pStyle w:val="ListParagraph"/>
        <w:numPr>
          <w:ilvl w:val="0"/>
          <w:numId w:val="37"/>
        </w:numPr>
        <w:shd w:val="clear" w:color="auto" w:fill="D0CECE" w:themeFill="background2" w:themeFillShade="E6"/>
        <w:jc w:val="both"/>
        <w:rPr>
          <w:i/>
          <w:iCs/>
          <w:sz w:val="22"/>
          <w:szCs w:val="22"/>
          <w:u w:val="single"/>
          <w:lang w:val="en-GB"/>
        </w:rPr>
      </w:pPr>
      <w:r w:rsidRPr="00AE2F32">
        <w:rPr>
          <w:sz w:val="22"/>
          <w:szCs w:val="22"/>
          <w:lang w:val="en-GB"/>
        </w:rPr>
        <w:t xml:space="preserve"> Is there an appropriate strategy/action plan for the preservation and development of minority culture in minority regions and an appropriate consultation </w:t>
      </w:r>
      <w:r w:rsidR="00091158" w:rsidRPr="00AE2F32">
        <w:rPr>
          <w:sz w:val="22"/>
          <w:szCs w:val="22"/>
          <w:lang w:val="en-GB"/>
        </w:rPr>
        <w:t>mechanism</w:t>
      </w:r>
      <w:r w:rsidRPr="00AE2F32">
        <w:rPr>
          <w:sz w:val="22"/>
          <w:szCs w:val="22"/>
          <w:lang w:val="en-GB"/>
        </w:rPr>
        <w:t>?</w:t>
      </w:r>
      <w:r w:rsidR="00091158" w:rsidRPr="00091158">
        <w:rPr>
          <w:lang w:val="en-GB"/>
        </w:rPr>
        <w:tab/>
      </w:r>
    </w:p>
    <w:sectPr w:rsidR="00091158" w:rsidRPr="00091158" w:rsidSect="006A54B3">
      <w:footerReference w:type="even" r:id="rId12"/>
      <w:footerReference w:type="default" r:id="rId13"/>
      <w:pgSz w:w="12240" w:h="15840"/>
      <w:pgMar w:top="1440" w:right="1440" w:bottom="99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97EE2" w14:textId="77777777" w:rsidR="002C171F" w:rsidRDefault="002C171F" w:rsidP="00D27A14">
      <w:r>
        <w:separator/>
      </w:r>
    </w:p>
  </w:endnote>
  <w:endnote w:type="continuationSeparator" w:id="0">
    <w:p w14:paraId="091FD6AD" w14:textId="77777777" w:rsidR="002C171F" w:rsidRDefault="002C171F" w:rsidP="00D27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enlo Bold">
    <w:panose1 w:val="020B0709030604020204"/>
    <w:charset w:val="00"/>
    <w:family w:val="modern"/>
    <w:pitch w:val="fixed"/>
    <w:sig w:usb0="E60022FF" w:usb1="D000F1FB" w:usb2="00000028"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84468492"/>
      <w:docPartObj>
        <w:docPartGallery w:val="Page Numbers (Bottom of Page)"/>
        <w:docPartUnique/>
      </w:docPartObj>
    </w:sdtPr>
    <w:sdtEndPr>
      <w:rPr>
        <w:rStyle w:val="PageNumber"/>
      </w:rPr>
    </w:sdtEndPr>
    <w:sdtContent>
      <w:p w14:paraId="7DC47CA1" w14:textId="4CFEB66E" w:rsidR="000F4173" w:rsidRDefault="000F4173" w:rsidP="006F3D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71BF4B" w14:textId="77777777" w:rsidR="000F4173" w:rsidRDefault="000F4173" w:rsidP="006F3D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7509071"/>
      <w:docPartObj>
        <w:docPartGallery w:val="Page Numbers (Bottom of Page)"/>
        <w:docPartUnique/>
      </w:docPartObj>
    </w:sdtPr>
    <w:sdtEndPr>
      <w:rPr>
        <w:rStyle w:val="PageNumber"/>
      </w:rPr>
    </w:sdtEndPr>
    <w:sdtContent>
      <w:p w14:paraId="5C70C9F7" w14:textId="73EE0D3D" w:rsidR="000F4173" w:rsidRDefault="000F4173" w:rsidP="006F3D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sdtContent>
  </w:sdt>
  <w:p w14:paraId="68B0A9D9" w14:textId="77777777" w:rsidR="000F4173" w:rsidRDefault="000F4173" w:rsidP="006F3DA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DDEBC" w14:textId="77777777" w:rsidR="002C171F" w:rsidRDefault="002C171F" w:rsidP="00D27A14">
      <w:r>
        <w:separator/>
      </w:r>
    </w:p>
  </w:footnote>
  <w:footnote w:type="continuationSeparator" w:id="0">
    <w:p w14:paraId="29758314" w14:textId="77777777" w:rsidR="002C171F" w:rsidRDefault="002C171F" w:rsidP="00D27A14">
      <w:r>
        <w:continuationSeparator/>
      </w:r>
    </w:p>
  </w:footnote>
  <w:footnote w:id="1">
    <w:p w14:paraId="2D9576C7" w14:textId="3BD56668"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lang w:val="ka-GE"/>
        </w:rPr>
        <w:footnoteRef/>
      </w:r>
      <w:r w:rsidRPr="0071006D">
        <w:rPr>
          <w:rFonts w:asciiTheme="majorHAnsi" w:hAnsiTheme="majorHAnsi" w:cstheme="majorHAnsi"/>
          <w:sz w:val="18"/>
          <w:szCs w:val="18"/>
          <w:lang w:val="ka-GE"/>
        </w:rPr>
        <w:t xml:space="preserve"> Urgent Issues of Domestic Violence and Violence against Women -  </w:t>
      </w:r>
      <w:r w:rsidRPr="0071006D">
        <w:rPr>
          <w:rFonts w:asciiTheme="majorHAnsi" w:hAnsiTheme="majorHAnsi" w:cstheme="majorHAnsi"/>
          <w:sz w:val="18"/>
          <w:szCs w:val="18"/>
        </w:rPr>
        <w:t xml:space="preserve">GYLA, Tbilisi, 2019 available at: </w:t>
      </w:r>
      <w:hyperlink r:id="rId1" w:history="1">
        <w:r w:rsidRPr="0071006D">
          <w:rPr>
            <w:rStyle w:val="Hyperlink"/>
            <w:rFonts w:asciiTheme="majorHAnsi" w:hAnsiTheme="majorHAnsi" w:cstheme="majorHAnsi"/>
            <w:color w:val="auto"/>
            <w:sz w:val="18"/>
            <w:szCs w:val="18"/>
            <w:lang w:val="ka-GE"/>
          </w:rPr>
          <w:t>https://bit.ly/2CO7x2y</w:t>
        </w:r>
      </w:hyperlink>
      <w:r w:rsidRPr="0071006D">
        <w:rPr>
          <w:rFonts w:asciiTheme="majorHAnsi" w:hAnsiTheme="majorHAnsi" w:cstheme="majorHAnsi"/>
          <w:sz w:val="18"/>
          <w:szCs w:val="18"/>
          <w:lang w:val="ka-GE"/>
        </w:rPr>
        <w:t xml:space="preserve">. </w:t>
      </w:r>
    </w:p>
  </w:footnote>
  <w:footnote w:id="2">
    <w:p w14:paraId="59FA76E0" w14:textId="4B7A403B"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lang w:val="ka-GE"/>
        </w:rPr>
        <w:footnoteRef/>
      </w:r>
      <w:r w:rsidRPr="0071006D">
        <w:rPr>
          <w:rFonts w:asciiTheme="majorHAnsi" w:hAnsiTheme="majorHAnsi" w:cstheme="majorHAnsi"/>
          <w:sz w:val="18"/>
          <w:szCs w:val="18"/>
          <w:lang w:val="ka-GE"/>
        </w:rPr>
        <w:t xml:space="preserve"> </w:t>
      </w:r>
      <w:r>
        <w:rPr>
          <w:rFonts w:asciiTheme="majorHAnsi" w:hAnsiTheme="majorHAnsi" w:cstheme="majorHAnsi"/>
          <w:sz w:val="18"/>
          <w:szCs w:val="18"/>
        </w:rPr>
        <w:t>ibid:</w:t>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p</w:t>
      </w:r>
      <w:r>
        <w:rPr>
          <w:rFonts w:asciiTheme="majorHAnsi" w:hAnsiTheme="majorHAnsi" w:cstheme="majorHAnsi"/>
          <w:sz w:val="18"/>
          <w:szCs w:val="18"/>
        </w:rPr>
        <w:t>g</w:t>
      </w:r>
      <w:r w:rsidRPr="0071006D">
        <w:rPr>
          <w:rFonts w:asciiTheme="majorHAnsi" w:hAnsiTheme="majorHAnsi" w:cstheme="majorHAnsi"/>
          <w:sz w:val="18"/>
          <w:szCs w:val="18"/>
        </w:rPr>
        <w:t xml:space="preserve">. 36 available at: </w:t>
      </w:r>
      <w:hyperlink r:id="rId2" w:history="1">
        <w:r w:rsidRPr="0071006D">
          <w:rPr>
            <w:rStyle w:val="Hyperlink"/>
            <w:rFonts w:asciiTheme="majorHAnsi" w:hAnsiTheme="majorHAnsi" w:cstheme="majorHAnsi"/>
            <w:color w:val="auto"/>
            <w:sz w:val="18"/>
            <w:szCs w:val="18"/>
            <w:lang w:val="ka-GE"/>
          </w:rPr>
          <w:t>https://bit.ly/2CO7x2y</w:t>
        </w:r>
      </w:hyperlink>
      <w:r w:rsidRPr="0071006D">
        <w:rPr>
          <w:rStyle w:val="Hyperlink"/>
          <w:rFonts w:asciiTheme="majorHAnsi" w:hAnsiTheme="majorHAnsi" w:cstheme="majorHAnsi"/>
          <w:color w:val="auto"/>
          <w:sz w:val="18"/>
          <w:szCs w:val="18"/>
          <w:lang w:val="ka-GE"/>
        </w:rPr>
        <w:t xml:space="preserve"> </w:t>
      </w:r>
    </w:p>
  </w:footnote>
  <w:footnote w:id="3">
    <w:p w14:paraId="5C696A37" w14:textId="425ED6B8"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lang w:val="ka-GE"/>
        </w:rPr>
        <w:footnoteRef/>
      </w:r>
      <w:r w:rsidRPr="0071006D">
        <w:rPr>
          <w:rFonts w:asciiTheme="majorHAnsi" w:hAnsiTheme="majorHAnsi" w:cstheme="majorHAnsi"/>
          <w:sz w:val="18"/>
          <w:szCs w:val="18"/>
          <w:lang w:val="ka-GE"/>
        </w:rPr>
        <w:t xml:space="preserve">Femicide Monitoring Report 2014-2018 – </w:t>
      </w:r>
      <w:r w:rsidRPr="0071006D">
        <w:rPr>
          <w:rFonts w:asciiTheme="majorHAnsi" w:hAnsiTheme="majorHAnsi" w:cstheme="majorHAnsi"/>
          <w:sz w:val="18"/>
          <w:szCs w:val="18"/>
        </w:rPr>
        <w:t xml:space="preserve">PDO, Tbilisi, </w:t>
      </w:r>
      <w:r w:rsidRPr="0071006D">
        <w:rPr>
          <w:rFonts w:asciiTheme="majorHAnsi" w:hAnsiTheme="majorHAnsi" w:cstheme="majorHAnsi"/>
          <w:sz w:val="18"/>
          <w:szCs w:val="18"/>
          <w:lang w:val="ka-GE"/>
        </w:rPr>
        <w:t xml:space="preserve">available at: </w:t>
      </w:r>
      <w:hyperlink r:id="rId3" w:history="1">
        <w:r w:rsidRPr="0071006D">
          <w:rPr>
            <w:rStyle w:val="Hyperlink"/>
            <w:rFonts w:asciiTheme="majorHAnsi" w:hAnsiTheme="majorHAnsi" w:cstheme="majorHAnsi"/>
            <w:color w:val="auto"/>
            <w:sz w:val="18"/>
            <w:szCs w:val="18"/>
            <w:lang w:val="ka-GE"/>
          </w:rPr>
          <w:t>http://ombudsman.ge/res/docs/2020070314085795380.pdf</w:t>
        </w:r>
      </w:hyperlink>
      <w:r w:rsidRPr="0071006D">
        <w:rPr>
          <w:rStyle w:val="Hyperlink"/>
          <w:rFonts w:asciiTheme="majorHAnsi" w:hAnsiTheme="majorHAnsi" w:cstheme="majorHAnsi"/>
          <w:color w:val="auto"/>
          <w:sz w:val="18"/>
          <w:szCs w:val="18"/>
          <w:lang w:val="ka-GE"/>
        </w:rPr>
        <w:t xml:space="preserve"> </w:t>
      </w:r>
      <w:r w:rsidRPr="0071006D">
        <w:rPr>
          <w:rFonts w:asciiTheme="majorHAnsi" w:hAnsiTheme="majorHAnsi" w:cstheme="majorHAnsi"/>
          <w:sz w:val="18"/>
          <w:szCs w:val="18"/>
          <w:lang w:val="ka-GE"/>
        </w:rPr>
        <w:t xml:space="preserve">. </w:t>
      </w:r>
    </w:p>
  </w:footnote>
  <w:footnote w:id="4">
    <w:p w14:paraId="531CB0E6" w14:textId="77777777"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lang w:val="ka-GE"/>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GYLA's Assessment of Women's Rights, 2020, </w:t>
      </w:r>
      <w:r w:rsidRPr="0071006D">
        <w:rPr>
          <w:rFonts w:asciiTheme="majorHAnsi" w:hAnsiTheme="majorHAnsi" w:cstheme="majorHAnsi"/>
          <w:sz w:val="18"/>
          <w:szCs w:val="18"/>
          <w:lang w:val="ka-GE"/>
        </w:rPr>
        <w:t xml:space="preserve">available at: </w:t>
      </w:r>
      <w:r w:rsidRPr="0071006D">
        <w:fldChar w:fldCharType="begin"/>
      </w:r>
      <w:r w:rsidRPr="0071006D">
        <w:rPr>
          <w:rFonts w:asciiTheme="majorHAnsi" w:hAnsiTheme="majorHAnsi" w:cstheme="majorHAnsi"/>
          <w:sz w:val="18"/>
          <w:szCs w:val="18"/>
        </w:rPr>
        <w:instrText xml:space="preserve"> HYPERLINK "https://bit.ly/333cMpt" </w:instrText>
      </w:r>
      <w:r w:rsidRPr="0071006D">
        <w:fldChar w:fldCharType="separate"/>
      </w:r>
      <w:r w:rsidRPr="0071006D">
        <w:rPr>
          <w:rStyle w:val="Hyperlink"/>
          <w:rFonts w:asciiTheme="majorHAnsi" w:hAnsiTheme="majorHAnsi" w:cstheme="majorHAnsi"/>
          <w:color w:val="auto"/>
          <w:sz w:val="18"/>
          <w:szCs w:val="18"/>
          <w:lang w:val="ka-GE"/>
        </w:rPr>
        <w:t>https://bit.ly/333cMpt</w:t>
      </w:r>
      <w:r w:rsidRPr="0071006D">
        <w:rPr>
          <w:rStyle w:val="Hyperlink"/>
          <w:rFonts w:asciiTheme="majorHAnsi" w:hAnsiTheme="majorHAnsi" w:cstheme="majorHAnsi"/>
          <w:color w:val="auto"/>
          <w:sz w:val="18"/>
          <w:szCs w:val="18"/>
          <w:lang w:val="ka-GE"/>
        </w:rPr>
        <w:fldChar w:fldCharType="end"/>
      </w:r>
      <w:r w:rsidRPr="0071006D">
        <w:rPr>
          <w:rFonts w:asciiTheme="majorHAnsi" w:hAnsiTheme="majorHAnsi" w:cstheme="majorHAnsi"/>
          <w:sz w:val="18"/>
          <w:szCs w:val="18"/>
          <w:lang w:val="ka-GE"/>
        </w:rPr>
        <w:t xml:space="preserve"> . </w:t>
      </w:r>
    </w:p>
  </w:footnote>
  <w:footnote w:id="5">
    <w:p w14:paraId="0EBB3722" w14:textId="77777777"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lang w:val="ka-GE"/>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lang w:val="ka-GE"/>
        </w:rPr>
        <w:t>GYLA asserts in the CEDAW that the State has committed discrimination against B.DZ., as it: a) failed to protect B.DZ’s life; b) failed to protect B. DZ against inhumane treatment; c) failed to investigate the murder of B.DZ as a gender crime; d) failed to eradicate deeply established gender stereotypes and subordination, which played the major factor in the murder of B.DZ.</w:t>
      </w:r>
    </w:p>
    <w:p w14:paraId="3F3EC315" w14:textId="37DDFFDE" w:rsidR="000F4173" w:rsidRPr="0071006D" w:rsidRDefault="000F4173" w:rsidP="0071006D">
      <w:pPr>
        <w:pStyle w:val="FootnoteText"/>
        <w:jc w:val="both"/>
        <w:rPr>
          <w:rFonts w:asciiTheme="majorHAnsi" w:hAnsiTheme="majorHAnsi" w:cstheme="majorHAnsi"/>
          <w:sz w:val="18"/>
          <w:szCs w:val="18"/>
          <w:lang w:val="ka-GE"/>
        </w:rPr>
      </w:pPr>
      <w:r w:rsidRPr="0071006D">
        <w:rPr>
          <w:rFonts w:asciiTheme="majorHAnsi" w:hAnsiTheme="majorHAnsi" w:cstheme="majorHAnsi"/>
          <w:sz w:val="18"/>
          <w:szCs w:val="18"/>
        </w:rPr>
        <w:t>See</w:t>
      </w:r>
      <w:r w:rsidRPr="0071006D">
        <w:rPr>
          <w:rFonts w:asciiTheme="majorHAnsi" w:hAnsiTheme="majorHAnsi" w:cstheme="majorHAnsi"/>
          <w:sz w:val="18"/>
          <w:szCs w:val="18"/>
          <w:lang w:val="ka-GE"/>
        </w:rPr>
        <w:t xml:space="preserve"> GYLA’s first communication on the femicide </w:t>
      </w:r>
      <w:r w:rsidRPr="0071006D">
        <w:rPr>
          <w:rFonts w:asciiTheme="majorHAnsi" w:hAnsiTheme="majorHAnsi" w:cstheme="majorHAnsi"/>
          <w:sz w:val="18"/>
          <w:szCs w:val="18"/>
        </w:rPr>
        <w:t>to</w:t>
      </w:r>
      <w:r w:rsidRPr="0071006D">
        <w:rPr>
          <w:rFonts w:asciiTheme="majorHAnsi" w:hAnsiTheme="majorHAnsi" w:cstheme="majorHAnsi"/>
          <w:sz w:val="18"/>
          <w:szCs w:val="18"/>
          <w:lang w:val="ka-GE"/>
        </w:rPr>
        <w:t xml:space="preserve"> CEDAWat: </w:t>
      </w:r>
      <w:r w:rsidRPr="0071006D">
        <w:fldChar w:fldCharType="begin"/>
      </w:r>
      <w:r w:rsidRPr="0071006D">
        <w:rPr>
          <w:rFonts w:asciiTheme="majorHAnsi" w:hAnsiTheme="majorHAnsi" w:cstheme="majorHAnsi"/>
          <w:sz w:val="18"/>
          <w:szCs w:val="18"/>
        </w:rPr>
        <w:instrText xml:space="preserve"> HYPERLINK "https://bit.ly/2CTZYqY" </w:instrText>
      </w:r>
      <w:r w:rsidRPr="0071006D">
        <w:fldChar w:fldCharType="separate"/>
      </w:r>
      <w:r w:rsidRPr="0071006D">
        <w:rPr>
          <w:rStyle w:val="Hyperlink"/>
          <w:rFonts w:asciiTheme="majorHAnsi" w:hAnsiTheme="majorHAnsi" w:cstheme="majorHAnsi"/>
          <w:color w:val="auto"/>
          <w:sz w:val="18"/>
          <w:szCs w:val="18"/>
          <w:lang w:val="ka-GE"/>
        </w:rPr>
        <w:t>https://bit.ly/2CTZYqY</w:t>
      </w:r>
      <w:r w:rsidRPr="0071006D">
        <w:rPr>
          <w:rStyle w:val="Hyperlink"/>
          <w:rFonts w:asciiTheme="majorHAnsi" w:hAnsiTheme="majorHAnsi" w:cstheme="majorHAnsi"/>
          <w:color w:val="auto"/>
          <w:sz w:val="18"/>
          <w:szCs w:val="18"/>
          <w:lang w:val="ka-GE"/>
        </w:rPr>
        <w:fldChar w:fldCharType="end"/>
      </w:r>
      <w:r w:rsidRPr="0071006D">
        <w:rPr>
          <w:rFonts w:asciiTheme="majorHAnsi" w:hAnsiTheme="majorHAnsi" w:cstheme="majorHAnsi"/>
          <w:sz w:val="18"/>
          <w:szCs w:val="18"/>
          <w:lang w:val="ka-GE"/>
        </w:rPr>
        <w:t xml:space="preserve"> . </w:t>
      </w:r>
    </w:p>
  </w:footnote>
  <w:footnote w:id="6">
    <w:p w14:paraId="272DC015" w14:textId="77777777"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lang w:val="ka-GE"/>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lang w:val="ka-GE"/>
        </w:rPr>
        <w:t xml:space="preserve">Decision on the Prosecutor’s request for authorization of an investigation </w:t>
      </w:r>
      <w:r w:rsidRPr="0071006D">
        <w:rPr>
          <w:rFonts w:asciiTheme="majorHAnsi" w:hAnsiTheme="majorHAnsi" w:cstheme="majorHAnsi"/>
          <w:sz w:val="18"/>
          <w:szCs w:val="18"/>
        </w:rPr>
        <w:t xml:space="preserve">issued by a pre-trial chamber of the International Criminal Court, </w:t>
      </w:r>
      <w:r w:rsidRPr="0071006D">
        <w:rPr>
          <w:rFonts w:asciiTheme="majorHAnsi" w:hAnsiTheme="majorHAnsi" w:cstheme="majorHAnsi"/>
          <w:sz w:val="18"/>
          <w:szCs w:val="18"/>
          <w:shd w:val="clear" w:color="auto" w:fill="FFFFFF"/>
          <w:lang w:val="ka-GE"/>
        </w:rPr>
        <w:t xml:space="preserve">27.01.2016. </w:t>
      </w:r>
      <w:r w:rsidRPr="0071006D">
        <w:rPr>
          <w:rFonts w:asciiTheme="majorHAnsi" w:hAnsiTheme="majorHAnsi" w:cstheme="majorHAnsi"/>
          <w:sz w:val="18"/>
          <w:szCs w:val="18"/>
          <w:lang w:val="ka-GE"/>
        </w:rPr>
        <w:t xml:space="preserve">available at:  </w:t>
      </w:r>
      <w:hyperlink r:id="rId4" w:history="1">
        <w:r w:rsidRPr="0071006D">
          <w:rPr>
            <w:rStyle w:val="Hyperlink"/>
            <w:rFonts w:asciiTheme="majorHAnsi" w:hAnsiTheme="majorHAnsi" w:cstheme="majorHAnsi"/>
            <w:color w:val="auto"/>
            <w:sz w:val="18"/>
            <w:szCs w:val="18"/>
            <w:lang w:val="ka-GE"/>
          </w:rPr>
          <w:t>https://www.icc-cpi.int/CourtRecords/CR2016_00608.PDF</w:t>
        </w:r>
      </w:hyperlink>
      <w:r w:rsidRPr="0071006D">
        <w:rPr>
          <w:rStyle w:val="Hyperlink"/>
          <w:rFonts w:asciiTheme="majorHAnsi" w:hAnsiTheme="majorHAnsi" w:cstheme="majorHAnsi"/>
          <w:color w:val="auto"/>
          <w:sz w:val="18"/>
          <w:szCs w:val="18"/>
          <w:lang w:val="ka-GE"/>
        </w:rPr>
        <w:t xml:space="preserve"> </w:t>
      </w:r>
      <w:r w:rsidRPr="0071006D">
        <w:rPr>
          <w:rFonts w:asciiTheme="majorHAnsi" w:hAnsiTheme="majorHAnsi" w:cstheme="majorHAnsi"/>
          <w:sz w:val="18"/>
          <w:szCs w:val="18"/>
          <w:lang w:val="ka-GE"/>
        </w:rPr>
        <w:t xml:space="preserve">. </w:t>
      </w:r>
    </w:p>
  </w:footnote>
  <w:footnote w:id="7">
    <w:p w14:paraId="212E9CA1" w14:textId="4317CCF9"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lang w:val="ka-GE"/>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Motion submitted by </w:t>
      </w:r>
      <w:r w:rsidRPr="0071006D">
        <w:rPr>
          <w:rFonts w:asciiTheme="majorHAnsi" w:hAnsiTheme="majorHAnsi" w:cstheme="majorHAnsi"/>
          <w:sz w:val="18"/>
          <w:szCs w:val="18"/>
          <w:lang w:val="ka-GE"/>
        </w:rPr>
        <w:t>the Prosecutor</w:t>
      </w:r>
      <w:r w:rsidRPr="0071006D">
        <w:rPr>
          <w:rFonts w:asciiTheme="majorHAnsi" w:hAnsiTheme="majorHAnsi" w:cstheme="majorHAnsi"/>
          <w:sz w:val="18"/>
          <w:szCs w:val="18"/>
        </w:rPr>
        <w:t xml:space="preserve">’s Office of </w:t>
      </w:r>
      <w:r>
        <w:rPr>
          <w:rFonts w:asciiTheme="majorHAnsi" w:hAnsiTheme="majorHAnsi" w:cstheme="majorHAnsi"/>
          <w:sz w:val="18"/>
          <w:szCs w:val="18"/>
        </w:rPr>
        <w:t>ICC</w:t>
      </w:r>
      <w:r w:rsidRPr="0071006D">
        <w:rPr>
          <w:rFonts w:asciiTheme="majorHAnsi" w:hAnsiTheme="majorHAnsi" w:cstheme="majorHAnsi"/>
          <w:sz w:val="18"/>
          <w:szCs w:val="18"/>
        </w:rPr>
        <w:t>,</w:t>
      </w:r>
      <w:r w:rsidRPr="0071006D">
        <w:rPr>
          <w:rFonts w:asciiTheme="majorHAnsi" w:hAnsiTheme="majorHAnsi" w:cstheme="majorHAnsi"/>
          <w:sz w:val="18"/>
          <w:szCs w:val="18"/>
          <w:lang w:val="ka-GE"/>
        </w:rPr>
        <w:t xml:space="preserve"> 17.10.2015. available at: </w:t>
      </w:r>
      <w:hyperlink r:id="rId5" w:history="1">
        <w:r w:rsidRPr="0071006D">
          <w:rPr>
            <w:rStyle w:val="Hyperlink"/>
            <w:rFonts w:asciiTheme="majorHAnsi" w:hAnsiTheme="majorHAnsi" w:cstheme="majorHAnsi"/>
            <w:color w:val="auto"/>
            <w:sz w:val="18"/>
            <w:szCs w:val="18"/>
            <w:lang w:val="ka-GE"/>
          </w:rPr>
          <w:t>https://www.icc-cpi.int/CourtRecords/CR2015_21221.PDF</w:t>
        </w:r>
      </w:hyperlink>
      <w:r w:rsidRPr="0071006D">
        <w:rPr>
          <w:rFonts w:asciiTheme="majorHAnsi" w:hAnsiTheme="majorHAnsi" w:cstheme="majorHAnsi"/>
          <w:sz w:val="18"/>
          <w:szCs w:val="18"/>
          <w:lang w:val="ka-GE"/>
        </w:rPr>
        <w:t xml:space="preserve"> . </w:t>
      </w:r>
    </w:p>
  </w:footnote>
  <w:footnote w:id="8">
    <w:p w14:paraId="143B8C68" w14:textId="77777777"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lang w:val="ka-GE"/>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Letter of the Justice Ministry of Georgia, March 17, 2015, </w:t>
      </w:r>
      <w:r w:rsidRPr="0071006D">
        <w:rPr>
          <w:rFonts w:asciiTheme="majorHAnsi" w:hAnsiTheme="majorHAnsi" w:cstheme="majorHAnsi"/>
          <w:sz w:val="18"/>
          <w:szCs w:val="18"/>
          <w:lang w:val="ka-GE"/>
        </w:rPr>
        <w:t xml:space="preserve">available at: </w:t>
      </w:r>
      <w:r w:rsidRPr="0071006D">
        <w:fldChar w:fldCharType="begin"/>
      </w:r>
      <w:r w:rsidRPr="0071006D">
        <w:rPr>
          <w:rFonts w:asciiTheme="majorHAnsi" w:hAnsiTheme="majorHAnsi" w:cstheme="majorHAnsi"/>
          <w:sz w:val="18"/>
          <w:szCs w:val="18"/>
        </w:rPr>
        <w:instrText xml:space="preserve"> HYPERLINK "https://bit.ly/3eS1PcJ" </w:instrText>
      </w:r>
      <w:r w:rsidRPr="0071006D">
        <w:fldChar w:fldCharType="separate"/>
      </w:r>
      <w:r w:rsidRPr="0071006D">
        <w:rPr>
          <w:rStyle w:val="Hyperlink"/>
          <w:rFonts w:asciiTheme="majorHAnsi" w:hAnsiTheme="majorHAnsi" w:cstheme="majorHAnsi"/>
          <w:color w:val="auto"/>
          <w:sz w:val="18"/>
          <w:szCs w:val="18"/>
          <w:lang w:val="ka-GE"/>
        </w:rPr>
        <w:t>https://bit.ly/3eS1PcJ</w:t>
      </w:r>
      <w:r w:rsidRPr="0071006D">
        <w:rPr>
          <w:rStyle w:val="Hyperlink"/>
          <w:rFonts w:asciiTheme="majorHAnsi" w:hAnsiTheme="majorHAnsi" w:cstheme="majorHAnsi"/>
          <w:color w:val="auto"/>
          <w:sz w:val="18"/>
          <w:szCs w:val="18"/>
          <w:lang w:val="ka-GE"/>
        </w:rPr>
        <w:fldChar w:fldCharType="end"/>
      </w:r>
      <w:r w:rsidRPr="0071006D">
        <w:rPr>
          <w:rFonts w:asciiTheme="majorHAnsi" w:hAnsiTheme="majorHAnsi" w:cstheme="majorHAnsi"/>
          <w:sz w:val="18"/>
          <w:szCs w:val="18"/>
          <w:lang w:val="ka-GE"/>
        </w:rPr>
        <w:t xml:space="preserve"> . </w:t>
      </w:r>
    </w:p>
  </w:footnote>
  <w:footnote w:id="9">
    <w:p w14:paraId="4B8622EF" w14:textId="52E837FE"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lang w:val="ka-GE"/>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lang w:val="ka-GE"/>
        </w:rPr>
        <w:t xml:space="preserve">Georgian Coalition for International Criminal Court (GCICC), </w:t>
      </w:r>
      <w:r w:rsidRPr="0071006D">
        <w:rPr>
          <w:rFonts w:asciiTheme="majorHAnsi" w:hAnsiTheme="majorHAnsi" w:cstheme="majorHAnsi"/>
          <w:sz w:val="18"/>
          <w:szCs w:val="18"/>
        </w:rPr>
        <w:t>f</w:t>
      </w:r>
      <w:r w:rsidRPr="0071006D">
        <w:rPr>
          <w:rFonts w:asciiTheme="majorHAnsi" w:hAnsiTheme="majorHAnsi" w:cstheme="majorHAnsi"/>
          <w:sz w:val="18"/>
          <w:szCs w:val="18"/>
          <w:lang w:val="ka-GE"/>
        </w:rPr>
        <w:t>our years have passed since the Office of the Prosecutor of the International Criminal Court launched an investigation</w:t>
      </w:r>
      <w:r w:rsidRPr="0071006D">
        <w:rPr>
          <w:rFonts w:asciiTheme="majorHAnsi" w:hAnsiTheme="majorHAnsi" w:cstheme="majorHAnsi"/>
          <w:sz w:val="18"/>
          <w:szCs w:val="18"/>
        </w:rPr>
        <w:t xml:space="preserve"> into the August 2008 War Crimes, </w:t>
      </w:r>
      <w:r w:rsidRPr="0071006D">
        <w:rPr>
          <w:rFonts w:asciiTheme="majorHAnsi" w:hAnsiTheme="majorHAnsi" w:cstheme="majorHAnsi"/>
          <w:sz w:val="18"/>
          <w:szCs w:val="18"/>
          <w:lang w:val="ka-GE"/>
        </w:rPr>
        <w:t>27.01.2020. available at: https://bit.ly/345Up3R</w:t>
      </w:r>
      <w:r w:rsidRPr="0071006D" w:rsidDel="0098372D">
        <w:rPr>
          <w:rFonts w:asciiTheme="majorHAnsi" w:hAnsiTheme="majorHAnsi" w:cstheme="majorHAnsi"/>
          <w:sz w:val="18"/>
          <w:szCs w:val="18"/>
          <w:lang w:val="ka-GE"/>
        </w:rPr>
        <w:t xml:space="preserve"> </w:t>
      </w:r>
      <w:hyperlink w:history="1"/>
    </w:p>
  </w:footnote>
  <w:footnote w:id="10">
    <w:p w14:paraId="73F70AA8" w14:textId="77777777"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lang w:val="ka-GE"/>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Correspondence with GYLA regarding progress of the investigation, February 7, 2017 </w:t>
      </w:r>
      <w:r w:rsidRPr="0071006D">
        <w:rPr>
          <w:rFonts w:asciiTheme="majorHAnsi" w:hAnsiTheme="majorHAnsi" w:cstheme="majorHAnsi"/>
          <w:sz w:val="18"/>
          <w:szCs w:val="18"/>
          <w:lang w:val="ka-GE"/>
        </w:rPr>
        <w:t>#</w:t>
      </w:r>
      <w:r w:rsidRPr="0071006D">
        <w:rPr>
          <w:rFonts w:ascii="Sylfaen" w:hAnsi="Sylfaen" w:cs="Sylfaen"/>
          <w:sz w:val="18"/>
          <w:szCs w:val="18"/>
          <w:lang w:val="ka-GE"/>
        </w:rPr>
        <w:t>გ</w:t>
      </w:r>
      <w:r w:rsidRPr="0071006D">
        <w:rPr>
          <w:rFonts w:asciiTheme="majorHAnsi" w:hAnsiTheme="majorHAnsi" w:cstheme="majorHAnsi"/>
          <w:sz w:val="18"/>
          <w:szCs w:val="18"/>
          <w:lang w:val="ka-GE"/>
        </w:rPr>
        <w:t>-01/57-19</w:t>
      </w:r>
      <w:r w:rsidRPr="0071006D">
        <w:rPr>
          <w:rFonts w:asciiTheme="majorHAnsi" w:hAnsiTheme="majorHAnsi" w:cstheme="majorHAnsi"/>
          <w:sz w:val="18"/>
          <w:szCs w:val="18"/>
        </w:rPr>
        <w:t xml:space="preserve"> and the letter sent by GYLA lawyer on June 19, 2020, which was not answered by the General Prosecutor’s Office of Georgia. </w:t>
      </w:r>
    </w:p>
  </w:footnote>
  <w:footnote w:id="11">
    <w:p w14:paraId="6760B515" w14:textId="31B8E9D6"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lang w:val="ka-GE"/>
        </w:rPr>
        <w:footnoteRef/>
      </w:r>
      <w:r w:rsidRPr="0071006D">
        <w:rPr>
          <w:rFonts w:asciiTheme="majorHAnsi" w:hAnsiTheme="majorHAnsi" w:cstheme="majorHAnsi"/>
          <w:sz w:val="18"/>
          <w:szCs w:val="18"/>
        </w:rPr>
        <w:t xml:space="preserve"> </w:t>
      </w:r>
      <w:r w:rsidRPr="0071006D">
        <w:rPr>
          <w:rFonts w:asciiTheme="majorHAnsi" w:hAnsiTheme="majorHAnsi" w:cstheme="majorHAnsi"/>
          <w:sz w:val="18"/>
          <w:szCs w:val="18"/>
          <w:lang w:val="ka-GE"/>
        </w:rPr>
        <w:t>GCICC, 10 Years after the August War: Victims of the Situation in Georgia</w:t>
      </w:r>
      <w:r w:rsidRPr="0071006D">
        <w:rPr>
          <w:rFonts w:asciiTheme="majorHAnsi" w:hAnsiTheme="majorHAnsi" w:cstheme="majorHAnsi"/>
          <w:sz w:val="18"/>
          <w:szCs w:val="18"/>
        </w:rPr>
        <w:t>, Tbilisi, 2019</w:t>
      </w:r>
      <w:r w:rsidRPr="0071006D">
        <w:rPr>
          <w:rFonts w:asciiTheme="majorHAnsi" w:hAnsiTheme="majorHAnsi" w:cstheme="majorHAnsi"/>
          <w:sz w:val="18"/>
          <w:szCs w:val="18"/>
          <w:lang w:val="ka-GE"/>
        </w:rPr>
        <w:t xml:space="preserve">. available at: </w:t>
      </w:r>
      <w:hyperlink r:id="rId6" w:history="1">
        <w:r w:rsidRPr="0071006D">
          <w:rPr>
            <w:rStyle w:val="Hyperlink"/>
            <w:rFonts w:asciiTheme="majorHAnsi" w:hAnsiTheme="majorHAnsi" w:cstheme="majorHAnsi"/>
            <w:sz w:val="18"/>
            <w:szCs w:val="18"/>
          </w:rPr>
          <w:t xml:space="preserve">https://bit.ly/3g3IWnD; </w:t>
        </w:r>
      </w:hyperlink>
    </w:p>
  </w:footnote>
  <w:footnote w:id="12">
    <w:p w14:paraId="040FCFC2" w14:textId="77777777"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lang w:val="ka-GE"/>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Ltd Studio Maestro and others against Georgia </w:t>
      </w:r>
      <w:r w:rsidRPr="0071006D">
        <w:rPr>
          <w:rFonts w:asciiTheme="majorHAnsi" w:hAnsiTheme="majorHAnsi" w:cstheme="majorHAnsi"/>
          <w:sz w:val="18"/>
          <w:szCs w:val="18"/>
          <w:lang w:val="ka-GE"/>
        </w:rPr>
        <w:t xml:space="preserve">№ 22318/10, 30.06.2015, </w:t>
      </w:r>
      <w:proofErr w:type="spellStart"/>
      <w:r w:rsidRPr="0071006D">
        <w:rPr>
          <w:rFonts w:asciiTheme="majorHAnsi" w:hAnsiTheme="majorHAnsi" w:cstheme="majorHAnsi"/>
          <w:sz w:val="18"/>
          <w:szCs w:val="18"/>
        </w:rPr>
        <w:t>Bekauri</w:t>
      </w:r>
      <w:proofErr w:type="spellEnd"/>
      <w:r w:rsidRPr="0071006D">
        <w:rPr>
          <w:rFonts w:asciiTheme="majorHAnsi" w:hAnsiTheme="majorHAnsi" w:cstheme="majorHAnsi"/>
          <w:sz w:val="18"/>
          <w:szCs w:val="18"/>
        </w:rPr>
        <w:t xml:space="preserve"> and others against Georgia</w:t>
      </w:r>
      <w:r w:rsidRPr="0071006D">
        <w:rPr>
          <w:rFonts w:asciiTheme="majorHAnsi" w:hAnsiTheme="majorHAnsi" w:cstheme="majorHAnsi"/>
          <w:i/>
          <w:sz w:val="18"/>
          <w:szCs w:val="18"/>
          <w:lang w:val="ka-GE"/>
        </w:rPr>
        <w:t>,</w:t>
      </w:r>
      <w:r w:rsidRPr="0071006D">
        <w:rPr>
          <w:rFonts w:asciiTheme="majorHAnsi" w:hAnsiTheme="majorHAnsi" w:cstheme="majorHAnsi"/>
          <w:sz w:val="18"/>
          <w:szCs w:val="18"/>
          <w:lang w:val="ka-GE"/>
        </w:rPr>
        <w:t xml:space="preserve"> №312/10, 15.09.2015 </w:t>
      </w:r>
      <w:r w:rsidRPr="0071006D">
        <w:rPr>
          <w:rFonts w:asciiTheme="majorHAnsi" w:hAnsiTheme="majorHAnsi" w:cstheme="majorHAnsi"/>
          <w:sz w:val="18"/>
          <w:szCs w:val="18"/>
        </w:rPr>
        <w:t xml:space="preserve">and </w:t>
      </w:r>
      <w:proofErr w:type="spellStart"/>
      <w:r w:rsidRPr="0071006D">
        <w:rPr>
          <w:rFonts w:asciiTheme="majorHAnsi" w:hAnsiTheme="majorHAnsi" w:cstheme="majorHAnsi"/>
          <w:sz w:val="18"/>
          <w:szCs w:val="18"/>
        </w:rPr>
        <w:t>Menabde</w:t>
      </w:r>
      <w:proofErr w:type="spellEnd"/>
      <w:r w:rsidRPr="0071006D">
        <w:rPr>
          <w:rFonts w:asciiTheme="majorHAnsi" w:hAnsiTheme="majorHAnsi" w:cstheme="majorHAnsi"/>
          <w:sz w:val="18"/>
          <w:szCs w:val="18"/>
        </w:rPr>
        <w:t xml:space="preserve"> against Georgia </w:t>
      </w:r>
      <w:r w:rsidRPr="0071006D">
        <w:rPr>
          <w:rFonts w:asciiTheme="majorHAnsi" w:hAnsiTheme="majorHAnsi" w:cstheme="majorHAnsi"/>
          <w:sz w:val="18"/>
          <w:szCs w:val="18"/>
          <w:lang w:val="ka-GE"/>
        </w:rPr>
        <w:t xml:space="preserve">№4731/10, 13.10.2015. </w:t>
      </w:r>
    </w:p>
  </w:footnote>
  <w:footnote w:id="13">
    <w:p w14:paraId="6DA1F2E1" w14:textId="2A21AAB1"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lang w:val="ka-GE"/>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Criminal Code, Article </w:t>
      </w:r>
      <w:r w:rsidRPr="0071006D">
        <w:rPr>
          <w:rFonts w:asciiTheme="majorHAnsi" w:hAnsiTheme="majorHAnsi" w:cstheme="majorHAnsi"/>
          <w:sz w:val="18"/>
          <w:szCs w:val="18"/>
          <w:lang w:val="ka-GE"/>
        </w:rPr>
        <w:t>333 (3) (</w:t>
      </w:r>
      <w:r w:rsidRPr="0071006D">
        <w:rPr>
          <w:rFonts w:asciiTheme="majorHAnsi" w:hAnsiTheme="majorHAnsi" w:cstheme="majorHAnsi"/>
          <w:sz w:val="18"/>
          <w:szCs w:val="18"/>
        </w:rPr>
        <w:t>b</w:t>
      </w:r>
      <w:r w:rsidRPr="0071006D">
        <w:rPr>
          <w:rFonts w:asciiTheme="majorHAnsi" w:hAnsiTheme="majorHAnsi" w:cstheme="majorHAnsi"/>
          <w:sz w:val="18"/>
          <w:szCs w:val="18"/>
          <w:lang w:val="ka-GE"/>
        </w:rPr>
        <w:t>)</w:t>
      </w:r>
      <w:r>
        <w:rPr>
          <w:rFonts w:asciiTheme="majorHAnsi" w:hAnsiTheme="majorHAnsi" w:cstheme="majorHAnsi"/>
          <w:sz w:val="18"/>
          <w:szCs w:val="18"/>
        </w:rPr>
        <w:t>.</w:t>
      </w:r>
    </w:p>
  </w:footnote>
  <w:footnote w:id="14">
    <w:p w14:paraId="78EFA4C9" w14:textId="4E388957"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lang w:val="ka-GE"/>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Criminal Code, </w:t>
      </w:r>
      <w:r w:rsidRPr="0071006D">
        <w:rPr>
          <w:rFonts w:asciiTheme="majorHAnsi" w:hAnsiTheme="majorHAnsi" w:cstheme="majorHAnsi"/>
          <w:sz w:val="18"/>
          <w:szCs w:val="18"/>
          <w:lang w:val="ka-GE"/>
        </w:rPr>
        <w:t>144</w:t>
      </w:r>
      <w:r w:rsidRPr="0071006D">
        <w:rPr>
          <w:rFonts w:asciiTheme="majorHAnsi" w:hAnsiTheme="majorHAnsi" w:cstheme="majorHAnsi"/>
          <w:sz w:val="18"/>
          <w:szCs w:val="18"/>
          <w:vertAlign w:val="superscript"/>
          <w:lang w:val="ka-GE"/>
        </w:rPr>
        <w:t>1</w:t>
      </w:r>
      <w:r w:rsidRPr="0071006D">
        <w:rPr>
          <w:rFonts w:asciiTheme="majorHAnsi" w:hAnsiTheme="majorHAnsi" w:cstheme="majorHAnsi"/>
          <w:sz w:val="18"/>
          <w:szCs w:val="18"/>
        </w:rPr>
        <w:t>and</w:t>
      </w:r>
      <w:r w:rsidRPr="0071006D">
        <w:rPr>
          <w:rFonts w:asciiTheme="majorHAnsi" w:hAnsiTheme="majorHAnsi" w:cstheme="majorHAnsi"/>
          <w:sz w:val="18"/>
          <w:szCs w:val="18"/>
          <w:lang w:val="ka-GE"/>
        </w:rPr>
        <w:t xml:space="preserve"> 144</w:t>
      </w:r>
      <w:r w:rsidRPr="0071006D">
        <w:rPr>
          <w:rFonts w:asciiTheme="majorHAnsi" w:hAnsiTheme="majorHAnsi" w:cstheme="majorHAnsi"/>
          <w:sz w:val="18"/>
          <w:szCs w:val="18"/>
          <w:vertAlign w:val="superscript"/>
          <w:lang w:val="ka-GE"/>
        </w:rPr>
        <w:t>3</w:t>
      </w:r>
      <w:r>
        <w:rPr>
          <w:rFonts w:asciiTheme="majorHAnsi" w:hAnsiTheme="majorHAnsi" w:cstheme="majorHAnsi"/>
          <w:sz w:val="18"/>
          <w:szCs w:val="18"/>
        </w:rPr>
        <w:t>.</w:t>
      </w:r>
    </w:p>
  </w:footnote>
  <w:footnote w:id="15">
    <w:p w14:paraId="1C91A763" w14:textId="77777777"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lang w:val="ka-GE"/>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GYLA’s </w:t>
      </w:r>
      <w:r w:rsidRPr="0071006D">
        <w:rPr>
          <w:rFonts w:asciiTheme="majorHAnsi" w:hAnsiTheme="majorHAnsi" w:cstheme="majorHAnsi"/>
          <w:sz w:val="18"/>
          <w:szCs w:val="18"/>
          <w:lang w:val="ka-GE"/>
        </w:rPr>
        <w:t>alternative reports on the state of enforcement of judgments</w:t>
      </w:r>
      <w:r w:rsidRPr="0071006D">
        <w:rPr>
          <w:rFonts w:asciiTheme="majorHAnsi" w:hAnsiTheme="majorHAnsi" w:cstheme="majorHAnsi"/>
          <w:sz w:val="18"/>
          <w:szCs w:val="18"/>
        </w:rPr>
        <w:t>/decisions</w:t>
      </w:r>
      <w:r w:rsidRPr="0071006D">
        <w:rPr>
          <w:rFonts w:asciiTheme="majorHAnsi" w:hAnsiTheme="majorHAnsi" w:cstheme="majorHAnsi"/>
          <w:sz w:val="18"/>
          <w:szCs w:val="18"/>
          <w:lang w:val="ka-GE"/>
        </w:rPr>
        <w:t xml:space="preserve"> of the strasbourg court</w:t>
      </w:r>
      <w:r w:rsidRPr="0071006D">
        <w:rPr>
          <w:rFonts w:asciiTheme="majorHAnsi" w:hAnsiTheme="majorHAnsi" w:cstheme="majorHAnsi"/>
          <w:sz w:val="18"/>
          <w:szCs w:val="18"/>
        </w:rPr>
        <w:t xml:space="preserve">, </w:t>
      </w:r>
      <w:r w:rsidRPr="0071006D">
        <w:rPr>
          <w:rFonts w:asciiTheme="majorHAnsi" w:hAnsiTheme="majorHAnsi" w:cstheme="majorHAnsi"/>
          <w:sz w:val="18"/>
          <w:szCs w:val="18"/>
          <w:lang w:val="ka-GE"/>
        </w:rPr>
        <w:t xml:space="preserve">available at: </w:t>
      </w:r>
      <w:r w:rsidRPr="0071006D">
        <w:fldChar w:fldCharType="begin"/>
      </w:r>
      <w:r w:rsidRPr="0071006D">
        <w:rPr>
          <w:rFonts w:asciiTheme="majorHAnsi" w:hAnsiTheme="majorHAnsi" w:cstheme="majorHAnsi"/>
          <w:sz w:val="18"/>
          <w:szCs w:val="18"/>
        </w:rPr>
        <w:instrText xml:space="preserve"> HYPERLINK "https://bit.ly/3eORRcc" </w:instrText>
      </w:r>
      <w:r w:rsidRPr="0071006D">
        <w:fldChar w:fldCharType="separate"/>
      </w:r>
      <w:r w:rsidRPr="0071006D">
        <w:rPr>
          <w:rStyle w:val="Hyperlink"/>
          <w:rFonts w:asciiTheme="majorHAnsi" w:hAnsiTheme="majorHAnsi" w:cstheme="majorHAnsi"/>
          <w:color w:val="auto"/>
          <w:sz w:val="18"/>
          <w:szCs w:val="18"/>
          <w:lang w:val="ka-GE"/>
        </w:rPr>
        <w:t>https://bit.ly/3eORRcc</w:t>
      </w:r>
      <w:r w:rsidRPr="0071006D">
        <w:rPr>
          <w:rStyle w:val="Hyperlink"/>
          <w:rFonts w:asciiTheme="majorHAnsi" w:hAnsiTheme="majorHAnsi" w:cstheme="majorHAnsi"/>
          <w:color w:val="auto"/>
          <w:sz w:val="18"/>
          <w:szCs w:val="18"/>
          <w:lang w:val="ka-GE"/>
        </w:rPr>
        <w:fldChar w:fldCharType="end"/>
      </w:r>
      <w:r w:rsidRPr="0071006D">
        <w:rPr>
          <w:rFonts w:asciiTheme="majorHAnsi" w:hAnsiTheme="majorHAnsi" w:cstheme="majorHAnsi"/>
          <w:sz w:val="18"/>
          <w:szCs w:val="18"/>
          <w:lang w:val="ka-GE"/>
        </w:rPr>
        <w:t xml:space="preserve">, </w:t>
      </w:r>
    </w:p>
  </w:footnote>
  <w:footnote w:id="16">
    <w:p w14:paraId="1ACF37E4" w14:textId="77777777"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lang w:val="ka-GE"/>
        </w:rPr>
        <w:footnoteRef/>
      </w:r>
      <w:r w:rsidRPr="0071006D">
        <w:rPr>
          <w:rFonts w:asciiTheme="majorHAnsi" w:hAnsiTheme="majorHAnsi" w:cstheme="majorHAnsi"/>
          <w:sz w:val="18"/>
          <w:szCs w:val="18"/>
          <w:lang w:val="ka-GE"/>
        </w:rPr>
        <w:t xml:space="preserve"> </w:t>
      </w:r>
      <w:proofErr w:type="spellStart"/>
      <w:r w:rsidRPr="0071006D">
        <w:rPr>
          <w:rFonts w:asciiTheme="majorHAnsi" w:hAnsiTheme="majorHAnsi" w:cstheme="majorHAnsi"/>
          <w:sz w:val="18"/>
          <w:szCs w:val="18"/>
        </w:rPr>
        <w:t>Kukhalashvili</w:t>
      </w:r>
      <w:proofErr w:type="spellEnd"/>
      <w:r w:rsidRPr="0071006D">
        <w:rPr>
          <w:rFonts w:asciiTheme="majorHAnsi" w:hAnsiTheme="majorHAnsi" w:cstheme="majorHAnsi"/>
          <w:sz w:val="18"/>
          <w:szCs w:val="18"/>
        </w:rPr>
        <w:t xml:space="preserve"> and others against Georgia </w:t>
      </w:r>
      <w:r w:rsidRPr="0071006D">
        <w:rPr>
          <w:rFonts w:asciiTheme="majorHAnsi" w:hAnsiTheme="majorHAnsi" w:cstheme="majorHAnsi"/>
          <w:sz w:val="18"/>
          <w:szCs w:val="18"/>
          <w:lang w:val="ka-GE"/>
        </w:rPr>
        <w:t>№</w:t>
      </w:r>
      <w:r w:rsidRPr="0071006D">
        <w:fldChar w:fldCharType="begin"/>
      </w:r>
      <w:r w:rsidRPr="0071006D">
        <w:rPr>
          <w:rFonts w:asciiTheme="majorHAnsi" w:hAnsiTheme="majorHAnsi" w:cstheme="majorHAnsi"/>
          <w:sz w:val="18"/>
          <w:szCs w:val="18"/>
        </w:rPr>
        <w:instrText xml:space="preserve"> HYPERLINK "https://hudoc.echr.coe.int/eng" \l "{%22appno%22:[%228938/07%22]}" \t "_blank" </w:instrText>
      </w:r>
      <w:r w:rsidRPr="0071006D">
        <w:fldChar w:fldCharType="separate"/>
      </w:r>
      <w:r w:rsidRPr="0071006D">
        <w:rPr>
          <w:rStyle w:val="Hyperlink"/>
          <w:rFonts w:asciiTheme="majorHAnsi" w:hAnsiTheme="majorHAnsi" w:cstheme="majorHAnsi"/>
          <w:iCs/>
          <w:color w:val="auto"/>
          <w:sz w:val="18"/>
          <w:szCs w:val="18"/>
          <w:lang w:val="ka-GE"/>
        </w:rPr>
        <w:t>8938/07</w:t>
      </w:r>
      <w:r w:rsidRPr="0071006D">
        <w:rPr>
          <w:rStyle w:val="Hyperlink"/>
          <w:rFonts w:asciiTheme="majorHAnsi" w:hAnsiTheme="majorHAnsi" w:cstheme="majorHAnsi"/>
          <w:iCs/>
          <w:color w:val="auto"/>
          <w:sz w:val="18"/>
          <w:szCs w:val="18"/>
          <w:lang w:val="ka-GE"/>
        </w:rPr>
        <w:fldChar w:fldCharType="end"/>
      </w:r>
      <w:r w:rsidRPr="0071006D">
        <w:rPr>
          <w:rStyle w:val="s6b621b36"/>
          <w:rFonts w:asciiTheme="majorHAnsi" w:hAnsiTheme="majorHAnsi" w:cstheme="majorHAnsi"/>
          <w:iCs/>
          <w:sz w:val="18"/>
          <w:szCs w:val="18"/>
          <w:shd w:val="clear" w:color="auto" w:fill="FFFFFF"/>
        </w:rPr>
        <w:t xml:space="preserve"> and</w:t>
      </w:r>
      <w:r w:rsidRPr="0071006D">
        <w:rPr>
          <w:rStyle w:val="s6b621b36"/>
          <w:rFonts w:asciiTheme="majorHAnsi" w:hAnsiTheme="majorHAnsi" w:cstheme="majorHAnsi"/>
          <w:iCs/>
          <w:sz w:val="18"/>
          <w:szCs w:val="18"/>
          <w:shd w:val="clear" w:color="auto" w:fill="FFFFFF"/>
          <w:lang w:val="ka-GE"/>
        </w:rPr>
        <w:t xml:space="preserve"> </w:t>
      </w:r>
      <w:r w:rsidRPr="0071006D">
        <w:rPr>
          <w:rFonts w:asciiTheme="majorHAnsi" w:hAnsiTheme="majorHAnsi" w:cstheme="majorHAnsi"/>
          <w:sz w:val="18"/>
          <w:szCs w:val="18"/>
          <w:lang w:val="ka-GE"/>
        </w:rPr>
        <w:t>№</w:t>
      </w:r>
      <w:r w:rsidRPr="0071006D">
        <w:fldChar w:fldCharType="begin"/>
      </w:r>
      <w:r w:rsidRPr="0071006D">
        <w:rPr>
          <w:rFonts w:asciiTheme="majorHAnsi" w:hAnsiTheme="majorHAnsi" w:cstheme="majorHAnsi"/>
          <w:sz w:val="18"/>
          <w:szCs w:val="18"/>
        </w:rPr>
        <w:instrText xml:space="preserve"> HYPERLINK "https://hudoc.echr.coe.int/eng" \l "{%22appno%22:[%2241891/07%22]}" \t "_blank" </w:instrText>
      </w:r>
      <w:r w:rsidRPr="0071006D">
        <w:fldChar w:fldCharType="separate"/>
      </w:r>
      <w:r w:rsidRPr="0071006D">
        <w:rPr>
          <w:rStyle w:val="Hyperlink"/>
          <w:rFonts w:asciiTheme="majorHAnsi" w:hAnsiTheme="majorHAnsi" w:cstheme="majorHAnsi"/>
          <w:color w:val="auto"/>
          <w:sz w:val="18"/>
          <w:szCs w:val="18"/>
          <w:lang w:val="ka-GE"/>
        </w:rPr>
        <w:t>41891/07</w:t>
      </w:r>
      <w:r w:rsidRPr="0071006D">
        <w:rPr>
          <w:rStyle w:val="Hyperlink"/>
          <w:rFonts w:asciiTheme="majorHAnsi" w:hAnsiTheme="majorHAnsi" w:cstheme="majorHAnsi"/>
          <w:color w:val="auto"/>
          <w:sz w:val="18"/>
          <w:szCs w:val="18"/>
          <w:lang w:val="ka-GE"/>
        </w:rPr>
        <w:fldChar w:fldCharType="end"/>
      </w:r>
      <w:r w:rsidRPr="0071006D">
        <w:rPr>
          <w:rStyle w:val="s6b621b36"/>
          <w:rFonts w:asciiTheme="majorHAnsi" w:hAnsiTheme="majorHAnsi" w:cstheme="majorHAnsi"/>
          <w:iCs/>
          <w:sz w:val="18"/>
          <w:szCs w:val="18"/>
          <w:shd w:val="clear" w:color="auto" w:fill="FFFFFF"/>
          <w:lang w:val="ka-GE"/>
        </w:rPr>
        <w:t>, 2.04.2020</w:t>
      </w:r>
    </w:p>
  </w:footnote>
  <w:footnote w:id="17">
    <w:p w14:paraId="1A9FDEC7" w14:textId="77777777"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lang w:val="ka-GE"/>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Letter of the General Prosecutor sent to GYLA’s lawyer, April 24, 2020, </w:t>
      </w:r>
      <w:r w:rsidRPr="0071006D">
        <w:rPr>
          <w:rFonts w:asciiTheme="majorHAnsi" w:hAnsiTheme="majorHAnsi" w:cstheme="majorHAnsi"/>
          <w:sz w:val="18"/>
          <w:szCs w:val="18"/>
          <w:lang w:val="ka-GE"/>
        </w:rPr>
        <w:t>#13/22565.</w:t>
      </w:r>
    </w:p>
  </w:footnote>
  <w:footnote w:id="18">
    <w:p w14:paraId="528F1485" w14:textId="2F3541CF" w:rsidR="000F4173" w:rsidRPr="0071006D" w:rsidRDefault="000F4173" w:rsidP="0071006D">
      <w:pPr>
        <w:autoSpaceDE w:val="0"/>
        <w:autoSpaceDN w:val="0"/>
        <w:adjustRightInd w:val="0"/>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Human Rights Watch, </w:t>
      </w:r>
      <w:r w:rsidRPr="0071006D">
        <w:rPr>
          <w:rFonts w:asciiTheme="majorHAnsi" w:hAnsiTheme="majorHAnsi" w:cstheme="majorHAnsi"/>
          <w:i/>
          <w:iCs/>
          <w:sz w:val="18"/>
          <w:szCs w:val="18"/>
          <w:lang w:val="ka-GE"/>
        </w:rPr>
        <w:t xml:space="preserve">Administrative Error: Georgia’s Flawed System of Administrative Justice </w:t>
      </w:r>
      <w:r w:rsidRPr="0071006D">
        <w:rPr>
          <w:rFonts w:asciiTheme="majorHAnsi" w:hAnsiTheme="majorHAnsi" w:cstheme="majorHAnsi"/>
          <w:sz w:val="18"/>
          <w:szCs w:val="18"/>
          <w:lang w:val="ka-GE"/>
        </w:rPr>
        <w:t>(January</w:t>
      </w:r>
    </w:p>
    <w:p w14:paraId="50E6BA4A" w14:textId="54F11F3A" w:rsidR="000F4173" w:rsidRPr="0071006D" w:rsidRDefault="000F4173" w:rsidP="0071006D">
      <w:pPr>
        <w:jc w:val="both"/>
        <w:rPr>
          <w:rFonts w:asciiTheme="majorHAnsi" w:hAnsiTheme="majorHAnsi" w:cstheme="majorHAnsi"/>
          <w:sz w:val="18"/>
          <w:szCs w:val="18"/>
          <w:lang w:val="ka-GE"/>
        </w:rPr>
      </w:pPr>
      <w:r w:rsidRPr="0071006D">
        <w:rPr>
          <w:rFonts w:asciiTheme="majorHAnsi" w:hAnsiTheme="majorHAnsi" w:cstheme="majorHAnsi"/>
          <w:sz w:val="18"/>
          <w:szCs w:val="18"/>
          <w:lang w:val="ka-GE"/>
        </w:rPr>
        <w:t xml:space="preserve">2013, </w:t>
      </w:r>
      <w:hyperlink r:id="rId7" w:history="1">
        <w:r w:rsidRPr="0071006D">
          <w:rPr>
            <w:rFonts w:asciiTheme="majorHAnsi" w:hAnsiTheme="majorHAnsi" w:cstheme="majorHAnsi"/>
            <w:sz w:val="18"/>
            <w:szCs w:val="18"/>
            <w:u w:val="single"/>
            <w:lang w:val="ka-GE"/>
          </w:rPr>
          <w:t>https://www.hrw.org/sites/default/files/reports/georgia0112ForUpload.pdf</w:t>
        </w:r>
      </w:hyperlink>
      <w:r w:rsidRPr="0071006D">
        <w:rPr>
          <w:rFonts w:asciiTheme="majorHAnsi" w:hAnsiTheme="majorHAnsi" w:cstheme="majorHAnsi"/>
          <w:sz w:val="18"/>
          <w:szCs w:val="18"/>
        </w:rPr>
        <w:t xml:space="preserve">; Report 26 May Analysis of Human Rights Violations during and related to the Dispersal of the May 26 Assembly, GYLA, 2011 </w:t>
      </w:r>
      <w:hyperlink r:id="rId8" w:history="1">
        <w:r w:rsidRPr="0071006D">
          <w:rPr>
            <w:rFonts w:asciiTheme="majorHAnsi" w:hAnsiTheme="majorHAnsi" w:cstheme="majorHAnsi"/>
            <w:sz w:val="18"/>
            <w:szCs w:val="18"/>
            <w:u w:val="single"/>
          </w:rPr>
          <w:t>https://goo.gl/nKDmpz</w:t>
        </w:r>
      </w:hyperlink>
      <w:r w:rsidRPr="0071006D">
        <w:rPr>
          <w:rFonts w:asciiTheme="majorHAnsi" w:hAnsiTheme="majorHAnsi" w:cstheme="majorHAnsi"/>
          <w:sz w:val="18"/>
          <w:szCs w:val="18"/>
        </w:rPr>
        <w:t xml:space="preserve">; Political Neutrality in the Police System, EMC, 2016 </w:t>
      </w:r>
      <w:hyperlink r:id="rId9" w:history="1">
        <w:r w:rsidRPr="0071006D">
          <w:rPr>
            <w:rFonts w:asciiTheme="majorHAnsi" w:hAnsiTheme="majorHAnsi" w:cstheme="majorHAnsi"/>
            <w:sz w:val="18"/>
            <w:szCs w:val="18"/>
            <w:u w:val="single"/>
          </w:rPr>
          <w:t>https://emc.org.ge/2016/09/07/emc-130/</w:t>
        </w:r>
      </w:hyperlink>
      <w:r w:rsidRPr="0071006D">
        <w:rPr>
          <w:rFonts w:asciiTheme="majorHAnsi" w:hAnsiTheme="majorHAnsi" w:cstheme="majorHAnsi"/>
          <w:sz w:val="18"/>
          <w:szCs w:val="18"/>
        </w:rPr>
        <w:t xml:space="preserve">; Protests Considered to be an offence, GYLA, 2017 </w:t>
      </w:r>
      <w:hyperlink r:id="rId10" w:history="1">
        <w:r w:rsidRPr="0071006D">
          <w:rPr>
            <w:rFonts w:asciiTheme="majorHAnsi" w:hAnsiTheme="majorHAnsi" w:cstheme="majorHAnsi"/>
            <w:sz w:val="18"/>
            <w:szCs w:val="18"/>
            <w:u w:val="single"/>
          </w:rPr>
          <w:t>https://goo.gl/ocENXL</w:t>
        </w:r>
      </w:hyperlink>
      <w:r w:rsidRPr="0071006D">
        <w:rPr>
          <w:rFonts w:asciiTheme="majorHAnsi" w:hAnsiTheme="majorHAnsi" w:cstheme="majorHAnsi"/>
          <w:sz w:val="18"/>
          <w:szCs w:val="18"/>
        </w:rPr>
        <w:t xml:space="preserve">; GYLA’s report “Beyond the Lost Eye – legal assessment of the 20-21 June events” Chapters 4 and 5, available at: </w:t>
      </w:r>
      <w:hyperlink r:id="rId11" w:history="1">
        <w:r w:rsidRPr="0071006D">
          <w:rPr>
            <w:rFonts w:asciiTheme="majorHAnsi" w:hAnsiTheme="majorHAnsi" w:cstheme="majorHAnsi"/>
            <w:sz w:val="18"/>
            <w:szCs w:val="18"/>
            <w:u w:val="single"/>
          </w:rPr>
          <w:t>https://bit.ly/2OR8OZW</w:t>
        </w:r>
      </w:hyperlink>
      <w:r w:rsidRPr="0071006D">
        <w:rPr>
          <w:rFonts w:asciiTheme="majorHAnsi" w:hAnsiTheme="majorHAnsi" w:cstheme="majorHAnsi"/>
          <w:sz w:val="18"/>
          <w:szCs w:val="18"/>
        </w:rPr>
        <w:t xml:space="preserve"> </w:t>
      </w:r>
    </w:p>
  </w:footnote>
  <w:footnote w:id="19">
    <w:p w14:paraId="3E8594DB" w14:textId="5D94E0ED" w:rsidR="000F4173" w:rsidRPr="0071006D" w:rsidRDefault="000F4173" w:rsidP="0071006D">
      <w:pPr>
        <w:autoSpaceDE w:val="0"/>
        <w:autoSpaceDN w:val="0"/>
        <w:adjustRightInd w:val="0"/>
        <w:jc w:val="both"/>
        <w:rPr>
          <w:rFonts w:asciiTheme="majorHAnsi" w:hAnsiTheme="majorHAnsi" w:cstheme="majorHAnsi"/>
          <w:b/>
          <w:bCs/>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bCs/>
          <w:sz w:val="18"/>
          <w:szCs w:val="18"/>
        </w:rPr>
        <w:t xml:space="preserve"> How to End Georgia’s Unconstitutional Use of its Administrative Offenses Regime </w:t>
      </w:r>
      <w:r w:rsidRPr="0071006D">
        <w:rPr>
          <w:rFonts w:asciiTheme="majorHAnsi" w:hAnsiTheme="majorHAnsi" w:cstheme="majorHAnsi"/>
          <w:sz w:val="18"/>
          <w:szCs w:val="18"/>
        </w:rPr>
        <w:t xml:space="preserve">Judicial Independence and Legal Empowerment Project (JILEP) October 15, 2013 </w:t>
      </w:r>
      <w:r w:rsidRPr="0071006D">
        <w:rPr>
          <w:rFonts w:asciiTheme="majorHAnsi" w:hAnsiTheme="majorHAnsi" w:cstheme="majorHAnsi"/>
          <w:bCs/>
          <w:sz w:val="18"/>
          <w:szCs w:val="18"/>
        </w:rPr>
        <w:t xml:space="preserve">available at: </w:t>
      </w:r>
      <w:hyperlink r:id="rId12" w:history="1">
        <w:r w:rsidRPr="0071006D">
          <w:rPr>
            <w:rFonts w:asciiTheme="majorHAnsi" w:hAnsiTheme="majorHAnsi" w:cstheme="majorHAnsi"/>
            <w:bCs/>
            <w:sz w:val="18"/>
            <w:szCs w:val="18"/>
          </w:rPr>
          <w:t>https://bit.ly/3aoNdB6</w:t>
        </w:r>
      </w:hyperlink>
      <w:r w:rsidRPr="0071006D">
        <w:rPr>
          <w:rFonts w:asciiTheme="majorHAnsi" w:hAnsiTheme="majorHAnsi" w:cstheme="majorHAnsi"/>
          <w:bCs/>
          <w:sz w:val="18"/>
          <w:szCs w:val="18"/>
        </w:rPr>
        <w:t>.</w:t>
      </w:r>
      <w:r w:rsidRPr="0071006D">
        <w:rPr>
          <w:rFonts w:asciiTheme="majorHAnsi" w:hAnsiTheme="majorHAnsi" w:cstheme="majorHAnsi"/>
          <w:sz w:val="18"/>
          <w:szCs w:val="18"/>
        </w:rPr>
        <w:t xml:space="preserve"> </w:t>
      </w:r>
    </w:p>
  </w:footnote>
  <w:footnote w:id="20">
    <w:p w14:paraId="25AC6595" w14:textId="28AE40E6"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GYLA’s report “Beyond the Lost Eye” p. 82</w:t>
      </w:r>
    </w:p>
  </w:footnote>
  <w:footnote w:id="21">
    <w:p w14:paraId="61C1DEAB" w14:textId="55BC1460"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Coalition for an Independent and Transparent Judiciary addresses United Nations Special Rapporteur on the Rights to Freedom of Peaceful Assembly and of Association, available at: </w:t>
      </w:r>
      <w:hyperlink r:id="rId13" w:history="1">
        <w:r w:rsidRPr="0071006D">
          <w:rPr>
            <w:rStyle w:val="Hyperlink"/>
            <w:rFonts w:asciiTheme="majorHAnsi" w:hAnsiTheme="majorHAnsi" w:cstheme="majorHAnsi"/>
            <w:sz w:val="18"/>
            <w:szCs w:val="18"/>
          </w:rPr>
          <w:t>https://bit.ly/2E1SzpV</w:t>
        </w:r>
      </w:hyperlink>
      <w:r w:rsidRPr="0071006D">
        <w:rPr>
          <w:rFonts w:asciiTheme="majorHAnsi" w:hAnsiTheme="majorHAnsi" w:cstheme="majorHAnsi"/>
          <w:sz w:val="18"/>
          <w:szCs w:val="18"/>
        </w:rPr>
        <w:t xml:space="preserve">. </w:t>
      </w:r>
    </w:p>
  </w:footnote>
  <w:footnote w:id="22">
    <w:p w14:paraId="65882248" w14:textId="77777777"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Official statistics published by the Ministry of Internal Affairs, available at: </w:t>
      </w:r>
      <w:hyperlink r:id="rId14" w:history="1">
        <w:r w:rsidRPr="0071006D">
          <w:rPr>
            <w:rFonts w:asciiTheme="majorHAnsi" w:hAnsiTheme="majorHAnsi" w:cstheme="majorHAnsi"/>
            <w:sz w:val="18"/>
            <w:szCs w:val="18"/>
            <w:u w:val="single"/>
          </w:rPr>
          <w:t>https://info.police.ge/page?id=283&amp;parent_id=233</w:t>
        </w:r>
      </w:hyperlink>
      <w:r w:rsidRPr="0071006D">
        <w:rPr>
          <w:rFonts w:asciiTheme="majorHAnsi" w:hAnsiTheme="majorHAnsi" w:cstheme="majorHAnsi"/>
          <w:sz w:val="18"/>
          <w:szCs w:val="18"/>
        </w:rPr>
        <w:t xml:space="preserve"> </w:t>
      </w:r>
    </w:p>
  </w:footnote>
  <w:footnote w:id="23">
    <w:p w14:paraId="32980E08" w14:textId="77777777"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Coalition statement regarding administrative detentions  </w:t>
      </w:r>
      <w:hyperlink r:id="rId15" w:history="1">
        <w:r w:rsidRPr="0071006D">
          <w:rPr>
            <w:rStyle w:val="Hyperlink"/>
            <w:rFonts w:asciiTheme="majorHAnsi" w:hAnsiTheme="majorHAnsi" w:cstheme="majorHAnsi"/>
            <w:color w:val="auto"/>
            <w:sz w:val="18"/>
            <w:szCs w:val="18"/>
          </w:rPr>
          <w:t>http://www.coalition.ge/index.php?article_id=123&amp;clang=1</w:t>
        </w:r>
      </w:hyperlink>
      <w:r w:rsidRPr="0071006D">
        <w:rPr>
          <w:rFonts w:asciiTheme="majorHAnsi" w:hAnsiTheme="majorHAnsi" w:cstheme="majorHAnsi"/>
          <w:sz w:val="18"/>
          <w:szCs w:val="18"/>
        </w:rPr>
        <w:t xml:space="preserve"> </w:t>
      </w:r>
    </w:p>
  </w:footnote>
  <w:footnote w:id="24">
    <w:p w14:paraId="21C8D6F6" w14:textId="77777777"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i/>
          <w:iCs/>
          <w:sz w:val="18"/>
          <w:szCs w:val="18"/>
          <w:lang w:val="ka-GE"/>
        </w:rPr>
        <w:t>Human Rights Council Universal Periodic Review</w:t>
      </w:r>
      <w:r w:rsidRPr="0071006D">
        <w:rPr>
          <w:rFonts w:asciiTheme="majorHAnsi" w:hAnsiTheme="majorHAnsi" w:cstheme="majorHAnsi"/>
          <w:i/>
          <w:iCs/>
          <w:sz w:val="18"/>
          <w:szCs w:val="18"/>
        </w:rPr>
        <w:t xml:space="preserve">, </w:t>
      </w:r>
      <w:r w:rsidRPr="0071006D">
        <w:rPr>
          <w:rFonts w:asciiTheme="majorHAnsi" w:hAnsiTheme="majorHAnsi" w:cstheme="majorHAnsi"/>
          <w:sz w:val="18"/>
          <w:szCs w:val="18"/>
        </w:rPr>
        <w:t xml:space="preserve">EMC and GYLA coalition joint submission, Third Cycle, 37 session, 2020, </w:t>
      </w:r>
      <w:r w:rsidRPr="0071006D">
        <w:rPr>
          <w:rFonts w:asciiTheme="majorHAnsi" w:hAnsiTheme="majorHAnsi" w:cstheme="majorHAnsi"/>
          <w:sz w:val="18"/>
          <w:szCs w:val="18"/>
          <w:lang w:val="ka-GE"/>
        </w:rPr>
        <w:t xml:space="preserve">available at: </w:t>
      </w:r>
      <w:r w:rsidRPr="0071006D">
        <w:fldChar w:fldCharType="begin"/>
      </w:r>
      <w:r w:rsidRPr="0071006D">
        <w:rPr>
          <w:rFonts w:asciiTheme="majorHAnsi" w:hAnsiTheme="majorHAnsi" w:cstheme="majorHAnsi"/>
          <w:sz w:val="18"/>
          <w:szCs w:val="18"/>
        </w:rPr>
        <w:instrText xml:space="preserve"> HYPERLINK "https://bit.ly/39xUZIc" </w:instrText>
      </w:r>
      <w:r w:rsidRPr="0071006D">
        <w:fldChar w:fldCharType="separate"/>
      </w:r>
      <w:r w:rsidRPr="0071006D">
        <w:rPr>
          <w:rStyle w:val="Hyperlink"/>
          <w:rFonts w:asciiTheme="majorHAnsi" w:hAnsiTheme="majorHAnsi" w:cstheme="majorHAnsi"/>
          <w:color w:val="auto"/>
          <w:sz w:val="18"/>
          <w:szCs w:val="18"/>
          <w:lang w:val="ka-GE"/>
        </w:rPr>
        <w:t>https://bit.ly/39xUZIc</w:t>
      </w:r>
      <w:r w:rsidRPr="0071006D">
        <w:rPr>
          <w:rStyle w:val="Hyperlink"/>
          <w:rFonts w:asciiTheme="majorHAnsi" w:hAnsiTheme="majorHAnsi" w:cstheme="majorHAnsi"/>
          <w:color w:val="auto"/>
          <w:sz w:val="18"/>
          <w:szCs w:val="18"/>
          <w:lang w:val="ka-GE"/>
        </w:rPr>
        <w:fldChar w:fldCharType="end"/>
      </w:r>
      <w:r w:rsidRPr="0071006D">
        <w:rPr>
          <w:rFonts w:asciiTheme="majorHAnsi" w:hAnsiTheme="majorHAnsi" w:cstheme="majorHAnsi"/>
          <w:sz w:val="18"/>
          <w:szCs w:val="18"/>
        </w:rPr>
        <w:t xml:space="preserve"> </w:t>
      </w:r>
    </w:p>
  </w:footnote>
  <w:footnote w:id="25">
    <w:p w14:paraId="30EB4FAB" w14:textId="2B667840"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Draft Bill, </w:t>
      </w:r>
      <w:r w:rsidRPr="0071006D">
        <w:rPr>
          <w:rFonts w:asciiTheme="majorHAnsi" w:hAnsiTheme="majorHAnsi" w:cstheme="majorHAnsi"/>
          <w:i/>
          <w:sz w:val="18"/>
          <w:szCs w:val="18"/>
          <w:lang w:val="ka-GE"/>
        </w:rPr>
        <w:t>available at:</w:t>
      </w:r>
      <w:r w:rsidRPr="0071006D">
        <w:rPr>
          <w:rFonts w:asciiTheme="majorHAnsi" w:hAnsiTheme="majorHAnsi" w:cstheme="majorHAnsi"/>
          <w:sz w:val="18"/>
          <w:szCs w:val="18"/>
          <w:lang w:val="ka-GE"/>
        </w:rPr>
        <w:t xml:space="preserve">  </w:t>
      </w:r>
      <w:hyperlink r:id="rId16" w:anchor="law-drafting/14119" w:history="1">
        <w:r w:rsidRPr="0071006D">
          <w:rPr>
            <w:rStyle w:val="Hyperlink"/>
            <w:rFonts w:asciiTheme="majorHAnsi" w:hAnsiTheme="majorHAnsi" w:cstheme="majorHAnsi"/>
            <w:color w:val="auto"/>
            <w:sz w:val="18"/>
            <w:szCs w:val="18"/>
            <w:lang w:val="ka-GE"/>
          </w:rPr>
          <w:t>https://info.parliament.ge/#law-drafting/14119</w:t>
        </w:r>
      </w:hyperlink>
      <w:r w:rsidRPr="0071006D">
        <w:rPr>
          <w:rFonts w:asciiTheme="majorHAnsi" w:hAnsiTheme="majorHAnsi" w:cstheme="majorHAnsi"/>
          <w:sz w:val="18"/>
          <w:szCs w:val="18"/>
          <w:lang w:val="ka-GE"/>
        </w:rPr>
        <w:t xml:space="preserve">. </w:t>
      </w:r>
    </w:p>
  </w:footnote>
  <w:footnote w:id="26">
    <w:p w14:paraId="4E5C24B8" w14:textId="77777777"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A large-scale police operation in Tbilisi night clubs</w:t>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EMC and GYLA, Tbilisi, 2018, EMC, website, available </w:t>
      </w:r>
      <w:r w:rsidRPr="0071006D">
        <w:rPr>
          <w:rFonts w:asciiTheme="majorHAnsi" w:hAnsiTheme="majorHAnsi" w:cstheme="majorHAnsi"/>
          <w:sz w:val="18"/>
          <w:szCs w:val="18"/>
          <w:lang w:val="ka-GE"/>
        </w:rPr>
        <w:t xml:space="preserve">at: </w:t>
      </w:r>
      <w:r w:rsidRPr="0071006D">
        <w:fldChar w:fldCharType="begin"/>
      </w:r>
      <w:r w:rsidRPr="0071006D">
        <w:rPr>
          <w:rFonts w:asciiTheme="majorHAnsi" w:hAnsiTheme="majorHAnsi" w:cstheme="majorHAnsi"/>
          <w:sz w:val="18"/>
          <w:szCs w:val="18"/>
        </w:rPr>
        <w:instrText xml:space="preserve"> HYPERLINK "https://bit.ly/2ZYNMy2" </w:instrText>
      </w:r>
      <w:r w:rsidRPr="0071006D">
        <w:fldChar w:fldCharType="separate"/>
      </w:r>
      <w:r w:rsidRPr="0071006D">
        <w:rPr>
          <w:rStyle w:val="Hyperlink"/>
          <w:rFonts w:asciiTheme="majorHAnsi" w:hAnsiTheme="majorHAnsi" w:cstheme="majorHAnsi"/>
          <w:color w:val="auto"/>
          <w:sz w:val="18"/>
          <w:szCs w:val="18"/>
          <w:lang w:val="ka-GE"/>
        </w:rPr>
        <w:t>https://bit.ly/2ZYNMy2</w:t>
      </w:r>
      <w:r w:rsidRPr="0071006D">
        <w:rPr>
          <w:rStyle w:val="Hyperlink"/>
          <w:rFonts w:asciiTheme="majorHAnsi" w:hAnsiTheme="majorHAnsi" w:cstheme="majorHAnsi"/>
          <w:color w:val="auto"/>
          <w:sz w:val="18"/>
          <w:szCs w:val="18"/>
          <w:lang w:val="ka-GE"/>
        </w:rPr>
        <w:fldChar w:fldCharType="end"/>
      </w:r>
      <w:r w:rsidRPr="0071006D">
        <w:rPr>
          <w:rFonts w:asciiTheme="majorHAnsi" w:hAnsiTheme="majorHAnsi" w:cstheme="majorHAnsi"/>
          <w:sz w:val="18"/>
          <w:szCs w:val="18"/>
          <w:lang w:val="ka-GE"/>
        </w:rPr>
        <w:t xml:space="preserve">, </w:t>
      </w:r>
    </w:p>
  </w:footnote>
  <w:footnote w:id="27">
    <w:p w14:paraId="0D11D61B" w14:textId="77777777"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lang w:val="ka-GE"/>
        </w:rPr>
        <w:t xml:space="preserve">Human Rights Watch, World Report 2020, </w:t>
      </w:r>
      <w:r w:rsidRPr="0071006D">
        <w:rPr>
          <w:rFonts w:asciiTheme="majorHAnsi" w:hAnsiTheme="majorHAnsi" w:cstheme="majorHAnsi"/>
          <w:i/>
          <w:sz w:val="18"/>
          <w:szCs w:val="18"/>
          <w:lang w:val="ka-GE"/>
        </w:rPr>
        <w:t>available at:</w:t>
      </w:r>
      <w:r w:rsidRPr="0071006D">
        <w:rPr>
          <w:rFonts w:asciiTheme="majorHAnsi" w:hAnsiTheme="majorHAnsi" w:cstheme="majorHAnsi"/>
          <w:sz w:val="18"/>
          <w:szCs w:val="18"/>
          <w:lang w:val="ka-GE"/>
        </w:rPr>
        <w:t xml:space="preserve"> </w:t>
      </w:r>
      <w:hyperlink r:id="rId17" w:history="1">
        <w:r w:rsidRPr="0071006D">
          <w:rPr>
            <w:rFonts w:asciiTheme="majorHAnsi" w:hAnsiTheme="majorHAnsi" w:cstheme="majorHAnsi"/>
            <w:sz w:val="18"/>
            <w:szCs w:val="18"/>
            <w:lang w:val="ka-GE"/>
          </w:rPr>
          <w:t>https://bit.ly/32TPlz3</w:t>
        </w:r>
      </w:hyperlink>
      <w:r w:rsidRPr="0071006D">
        <w:rPr>
          <w:rFonts w:asciiTheme="majorHAnsi" w:hAnsiTheme="majorHAnsi" w:cstheme="majorHAnsi"/>
          <w:sz w:val="18"/>
          <w:szCs w:val="18"/>
          <w:lang w:val="ka-GE"/>
        </w:rPr>
        <w:t xml:space="preserve">,  </w:t>
      </w:r>
    </w:p>
  </w:footnote>
  <w:footnote w:id="28">
    <w:p w14:paraId="004F72F3" w14:textId="77777777"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Decision of the Constitutional Court of Georgia, August 2, 2019 and of June 4, 2020 </w:t>
      </w:r>
      <w:r w:rsidRPr="0071006D">
        <w:rPr>
          <w:rFonts w:asciiTheme="majorHAnsi" w:hAnsiTheme="majorHAnsi" w:cstheme="majorHAnsi"/>
          <w:sz w:val="18"/>
          <w:szCs w:val="18"/>
          <w:lang w:val="ka-GE"/>
        </w:rPr>
        <w:t>1/19/1265,1318</w:t>
      </w:r>
    </w:p>
  </w:footnote>
  <w:footnote w:id="29">
    <w:p w14:paraId="02F97D0B" w14:textId="4D81099D"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Style w:val="FootnoteReference"/>
          <w:rFonts w:asciiTheme="majorHAnsi" w:hAnsiTheme="majorHAnsi" w:cstheme="majorHAnsi"/>
          <w:sz w:val="18"/>
          <w:szCs w:val="18"/>
          <w:lang w:val="ka-GE"/>
        </w:rPr>
        <w:t xml:space="preserve"> </w:t>
      </w:r>
      <w:r w:rsidRPr="0071006D">
        <w:rPr>
          <w:rFonts w:asciiTheme="majorHAnsi" w:hAnsiTheme="majorHAnsi" w:cstheme="majorHAnsi"/>
          <w:sz w:val="18"/>
          <w:szCs w:val="18"/>
          <w:lang w:val="ka-GE"/>
        </w:rPr>
        <w:t>L</w:t>
      </w:r>
      <w:r w:rsidRPr="0071006D">
        <w:rPr>
          <w:rFonts w:asciiTheme="majorHAnsi" w:hAnsiTheme="majorHAnsi" w:cstheme="majorHAnsi"/>
          <w:sz w:val="18"/>
          <w:szCs w:val="18"/>
        </w:rPr>
        <w:t>aw</w:t>
      </w:r>
      <w:r w:rsidRPr="0071006D">
        <w:rPr>
          <w:rFonts w:asciiTheme="majorHAnsi" w:hAnsiTheme="majorHAnsi" w:cstheme="majorHAnsi"/>
          <w:sz w:val="18"/>
          <w:szCs w:val="18"/>
          <w:lang w:val="ka-GE"/>
        </w:rPr>
        <w:t xml:space="preserve"> on </w:t>
      </w:r>
      <w:r w:rsidRPr="0071006D">
        <w:rPr>
          <w:rFonts w:asciiTheme="majorHAnsi" w:hAnsiTheme="majorHAnsi" w:cstheme="majorHAnsi"/>
          <w:sz w:val="18"/>
          <w:szCs w:val="18"/>
        </w:rPr>
        <w:t>C</w:t>
      </w:r>
      <w:r w:rsidRPr="0071006D">
        <w:rPr>
          <w:rFonts w:asciiTheme="majorHAnsi" w:hAnsiTheme="majorHAnsi" w:cstheme="majorHAnsi"/>
          <w:sz w:val="18"/>
          <w:szCs w:val="18"/>
          <w:lang w:val="ka-GE"/>
        </w:rPr>
        <w:t xml:space="preserve">ombating </w:t>
      </w:r>
      <w:r w:rsidRPr="0071006D">
        <w:rPr>
          <w:rFonts w:asciiTheme="majorHAnsi" w:hAnsiTheme="majorHAnsi" w:cstheme="majorHAnsi"/>
          <w:sz w:val="18"/>
          <w:szCs w:val="18"/>
        </w:rPr>
        <w:t>D</w:t>
      </w:r>
      <w:r w:rsidRPr="0071006D">
        <w:rPr>
          <w:rFonts w:asciiTheme="majorHAnsi" w:hAnsiTheme="majorHAnsi" w:cstheme="majorHAnsi"/>
          <w:sz w:val="18"/>
          <w:szCs w:val="18"/>
          <w:lang w:val="ka-GE"/>
        </w:rPr>
        <w:t>rug-</w:t>
      </w:r>
      <w:r w:rsidRPr="0071006D">
        <w:rPr>
          <w:rFonts w:asciiTheme="majorHAnsi" w:hAnsiTheme="majorHAnsi" w:cstheme="majorHAnsi"/>
          <w:sz w:val="18"/>
          <w:szCs w:val="18"/>
        </w:rPr>
        <w:t>R</w:t>
      </w:r>
      <w:r w:rsidRPr="0071006D">
        <w:rPr>
          <w:rFonts w:asciiTheme="majorHAnsi" w:hAnsiTheme="majorHAnsi" w:cstheme="majorHAnsi"/>
          <w:sz w:val="18"/>
          <w:szCs w:val="18"/>
          <w:lang w:val="ka-GE"/>
        </w:rPr>
        <w:t xml:space="preserve">elated </w:t>
      </w:r>
      <w:r w:rsidRPr="0071006D">
        <w:rPr>
          <w:rFonts w:asciiTheme="majorHAnsi" w:hAnsiTheme="majorHAnsi" w:cstheme="majorHAnsi"/>
          <w:sz w:val="18"/>
          <w:szCs w:val="18"/>
        </w:rPr>
        <w:t>C</w:t>
      </w:r>
      <w:r w:rsidRPr="0071006D">
        <w:rPr>
          <w:rFonts w:asciiTheme="majorHAnsi" w:hAnsiTheme="majorHAnsi" w:cstheme="majorHAnsi"/>
          <w:sz w:val="18"/>
          <w:szCs w:val="18"/>
          <w:lang w:val="ka-GE"/>
        </w:rPr>
        <w:t>rime,</w:t>
      </w:r>
      <w:r w:rsidRPr="0071006D">
        <w:rPr>
          <w:rFonts w:asciiTheme="majorHAnsi" w:hAnsiTheme="majorHAnsi" w:cstheme="majorHAnsi"/>
          <w:sz w:val="18"/>
          <w:szCs w:val="18"/>
        </w:rPr>
        <w:t xml:space="preserve"> article 3</w:t>
      </w:r>
      <w:r w:rsidRPr="0071006D">
        <w:rPr>
          <w:rFonts w:asciiTheme="majorHAnsi" w:hAnsiTheme="majorHAnsi" w:cstheme="majorHAnsi"/>
          <w:sz w:val="18"/>
          <w:szCs w:val="18"/>
          <w:lang w:val="ka-GE"/>
        </w:rPr>
        <w:t>.</w:t>
      </w:r>
    </w:p>
  </w:footnote>
  <w:footnote w:id="30">
    <w:p w14:paraId="383EBB48" w14:textId="77777777" w:rsidR="000F4173" w:rsidRPr="00256F01"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Style w:val="FootnoteReference"/>
          <w:rFonts w:asciiTheme="majorHAnsi" w:hAnsiTheme="majorHAnsi" w:cstheme="majorHAnsi"/>
          <w:sz w:val="18"/>
          <w:szCs w:val="18"/>
          <w:lang w:val="ka-GE"/>
        </w:rPr>
        <w:t xml:space="preserve"> </w:t>
      </w:r>
      <w:r w:rsidRPr="0071006D">
        <w:rPr>
          <w:rFonts w:asciiTheme="majorHAnsi" w:hAnsiTheme="majorHAnsi" w:cstheme="majorHAnsi"/>
          <w:sz w:val="18"/>
          <w:szCs w:val="18"/>
          <w:lang w:val="ka-GE"/>
        </w:rPr>
        <w:t xml:space="preserve">EMC, Drug Policy in Georgia - Canceled Reform and New Tendencies, 2019, </w:t>
      </w:r>
      <w:r w:rsidRPr="0071006D">
        <w:rPr>
          <w:rFonts w:asciiTheme="majorHAnsi" w:hAnsiTheme="majorHAnsi" w:cstheme="majorHAnsi"/>
          <w:sz w:val="18"/>
          <w:szCs w:val="18"/>
        </w:rPr>
        <w:t>p</w:t>
      </w:r>
      <w:r w:rsidRPr="0071006D">
        <w:rPr>
          <w:rFonts w:asciiTheme="majorHAnsi" w:hAnsiTheme="majorHAnsi" w:cstheme="majorHAnsi"/>
          <w:sz w:val="18"/>
          <w:szCs w:val="18"/>
          <w:lang w:val="ka-GE"/>
        </w:rPr>
        <w:t xml:space="preserve">.33, available at: </w:t>
      </w:r>
      <w:r w:rsidRPr="0071006D">
        <w:rPr>
          <w:rFonts w:asciiTheme="majorHAnsi" w:hAnsiTheme="majorHAnsi" w:cstheme="majorHAnsi"/>
          <w:sz w:val="18"/>
          <w:szCs w:val="18"/>
        </w:rPr>
        <w:fldChar w:fldCharType="begin"/>
      </w:r>
      <w:r w:rsidRPr="0071006D">
        <w:rPr>
          <w:rFonts w:asciiTheme="majorHAnsi" w:hAnsiTheme="majorHAnsi" w:cstheme="majorHAnsi"/>
          <w:sz w:val="18"/>
          <w:szCs w:val="18"/>
        </w:rPr>
        <w:instrText xml:space="preserve"> HYPERLINK "https://bit.ly/2TGqxW5" </w:instrText>
      </w:r>
      <w:r w:rsidRPr="0071006D">
        <w:rPr>
          <w:rFonts w:asciiTheme="majorHAnsi" w:hAnsiTheme="majorHAnsi" w:cstheme="majorHAnsi"/>
          <w:sz w:val="18"/>
          <w:szCs w:val="18"/>
        </w:rPr>
        <w:fldChar w:fldCharType="separate"/>
      </w:r>
      <w:r w:rsidRPr="0071006D">
        <w:rPr>
          <w:rFonts w:asciiTheme="majorHAnsi" w:hAnsiTheme="majorHAnsi" w:cstheme="majorHAnsi"/>
          <w:sz w:val="18"/>
          <w:szCs w:val="18"/>
          <w:lang w:val="ka-GE"/>
        </w:rPr>
        <w:t>https://bit.ly/2TGqxW5</w:t>
      </w:r>
      <w:r w:rsidRPr="0071006D">
        <w:rPr>
          <w:rFonts w:asciiTheme="majorHAnsi" w:hAnsiTheme="majorHAnsi" w:cstheme="majorHAnsi"/>
          <w:sz w:val="18"/>
          <w:szCs w:val="18"/>
          <w:lang w:val="ka-GE"/>
        </w:rPr>
        <w:fldChar w:fldCharType="end"/>
      </w:r>
      <w:r w:rsidRPr="0071006D">
        <w:rPr>
          <w:rFonts w:asciiTheme="majorHAnsi" w:hAnsiTheme="majorHAnsi" w:cstheme="majorHAnsi"/>
          <w:sz w:val="18"/>
          <w:szCs w:val="18"/>
        </w:rPr>
        <w:t xml:space="preserve">; </w:t>
      </w:r>
      <w:r w:rsidRPr="0071006D">
        <w:rPr>
          <w:rFonts w:asciiTheme="majorHAnsi" w:hAnsiTheme="majorHAnsi" w:cstheme="majorHAnsi"/>
          <w:sz w:val="18"/>
          <w:szCs w:val="18"/>
          <w:lang w:val="ka-GE"/>
        </w:rPr>
        <w:t xml:space="preserve"> Human Rights Watch, Harsh Punishment – The Human Toll of Georgia’s Abusive Drug Policies, 2018, </w:t>
      </w:r>
      <w:r w:rsidRPr="0071006D">
        <w:rPr>
          <w:rFonts w:asciiTheme="majorHAnsi" w:hAnsiTheme="majorHAnsi" w:cstheme="majorHAnsi"/>
          <w:sz w:val="18"/>
          <w:szCs w:val="18"/>
        </w:rPr>
        <w:t>pp</w:t>
      </w:r>
      <w:r w:rsidRPr="0071006D">
        <w:rPr>
          <w:rFonts w:asciiTheme="majorHAnsi" w:hAnsiTheme="majorHAnsi" w:cstheme="majorHAnsi"/>
          <w:sz w:val="18"/>
          <w:szCs w:val="18"/>
          <w:lang w:val="ka-GE"/>
        </w:rPr>
        <w:t xml:space="preserve">. 53-55, available at: </w:t>
      </w:r>
      <w:r w:rsidRPr="0071006D">
        <w:rPr>
          <w:rFonts w:asciiTheme="majorHAnsi" w:hAnsiTheme="majorHAnsi" w:cstheme="majorHAnsi"/>
          <w:sz w:val="18"/>
          <w:szCs w:val="18"/>
        </w:rPr>
        <w:fldChar w:fldCharType="begin"/>
      </w:r>
      <w:r w:rsidRPr="0071006D">
        <w:rPr>
          <w:rFonts w:asciiTheme="majorHAnsi" w:hAnsiTheme="majorHAnsi" w:cstheme="majorHAnsi"/>
          <w:sz w:val="18"/>
          <w:szCs w:val="18"/>
        </w:rPr>
        <w:instrText xml:space="preserve"> HYPERLINK "https://bit.ly/33eJtyr" </w:instrText>
      </w:r>
      <w:r w:rsidRPr="0071006D">
        <w:rPr>
          <w:rFonts w:asciiTheme="majorHAnsi" w:hAnsiTheme="majorHAnsi" w:cstheme="majorHAnsi"/>
          <w:sz w:val="18"/>
          <w:szCs w:val="18"/>
        </w:rPr>
        <w:fldChar w:fldCharType="separate"/>
      </w:r>
      <w:r w:rsidRPr="0071006D">
        <w:rPr>
          <w:rFonts w:asciiTheme="majorHAnsi" w:hAnsiTheme="majorHAnsi" w:cstheme="majorHAnsi"/>
          <w:sz w:val="18"/>
          <w:szCs w:val="18"/>
          <w:lang w:val="ka-GE"/>
        </w:rPr>
        <w:t>https://bit.ly/33eJtyr</w:t>
      </w:r>
      <w:r w:rsidRPr="0071006D">
        <w:rPr>
          <w:rFonts w:asciiTheme="majorHAnsi" w:hAnsiTheme="majorHAnsi" w:cstheme="majorHAnsi"/>
          <w:sz w:val="18"/>
          <w:szCs w:val="18"/>
          <w:lang w:val="ka-GE"/>
        </w:rPr>
        <w:fldChar w:fldCharType="end"/>
      </w:r>
      <w:r w:rsidRPr="0071006D">
        <w:rPr>
          <w:rFonts w:asciiTheme="majorHAnsi" w:hAnsiTheme="majorHAnsi" w:cstheme="majorHAnsi"/>
          <w:sz w:val="18"/>
          <w:szCs w:val="18"/>
          <w:lang w:val="ka-GE"/>
        </w:rPr>
        <w:t xml:space="preserve">. </w:t>
      </w:r>
    </w:p>
  </w:footnote>
  <w:footnote w:id="31">
    <w:p w14:paraId="59A3886B" w14:textId="77777777"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lang w:val="ka-GE"/>
        </w:rPr>
        <w:t>Administrative Offences Code</w:t>
      </w:r>
      <w:r w:rsidRPr="0071006D">
        <w:rPr>
          <w:rFonts w:asciiTheme="majorHAnsi" w:hAnsiTheme="majorHAnsi" w:cstheme="majorHAnsi"/>
          <w:sz w:val="18"/>
          <w:szCs w:val="18"/>
        </w:rPr>
        <w:t xml:space="preserve">, article </w:t>
      </w:r>
      <w:r w:rsidRPr="0071006D">
        <w:rPr>
          <w:rFonts w:asciiTheme="majorHAnsi" w:hAnsiTheme="majorHAnsi" w:cstheme="majorHAnsi"/>
          <w:sz w:val="18"/>
          <w:szCs w:val="18"/>
          <w:lang w:val="ka-GE"/>
        </w:rPr>
        <w:t>45</w:t>
      </w:r>
      <w:r w:rsidRPr="0071006D">
        <w:rPr>
          <w:rFonts w:asciiTheme="majorHAnsi" w:hAnsiTheme="majorHAnsi" w:cstheme="majorHAnsi"/>
          <w:sz w:val="18"/>
          <w:szCs w:val="18"/>
          <w:vertAlign w:val="superscript"/>
          <w:lang w:val="ka-GE"/>
        </w:rPr>
        <w:t>1</w:t>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paragraph 12 of the Note. </w:t>
      </w:r>
    </w:p>
  </w:footnote>
  <w:footnote w:id="32">
    <w:p w14:paraId="71B55187" w14:textId="77777777"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Order </w:t>
      </w:r>
      <w:r w:rsidRPr="0071006D">
        <w:rPr>
          <w:rFonts w:asciiTheme="majorHAnsi" w:hAnsiTheme="majorHAnsi" w:cstheme="majorHAnsi"/>
          <w:sz w:val="18"/>
          <w:szCs w:val="18"/>
          <w:lang w:val="ka-GE"/>
        </w:rPr>
        <w:t>№725</w:t>
      </w:r>
      <w:r w:rsidRPr="0071006D">
        <w:rPr>
          <w:rFonts w:asciiTheme="majorHAnsi" w:hAnsiTheme="majorHAnsi" w:cstheme="majorHAnsi"/>
          <w:sz w:val="18"/>
          <w:szCs w:val="18"/>
        </w:rPr>
        <w:t xml:space="preserve"> of the Minister of Internal Affairs, September 30, 2015 on approval of instruction for establishing the fact of consumption of narcotic drugs and/or P</w:t>
      </w:r>
      <w:r w:rsidRPr="0071006D">
        <w:rPr>
          <w:rFonts w:asciiTheme="majorHAnsi" w:hAnsiTheme="majorHAnsi" w:cstheme="majorHAnsi"/>
          <w:sz w:val="18"/>
          <w:szCs w:val="18"/>
          <w:lang w:val="ka-GE"/>
        </w:rPr>
        <w:t xml:space="preserve">sychotropic </w:t>
      </w:r>
      <w:r w:rsidRPr="0071006D">
        <w:rPr>
          <w:rFonts w:asciiTheme="majorHAnsi" w:hAnsiTheme="majorHAnsi" w:cstheme="majorHAnsi"/>
          <w:sz w:val="18"/>
          <w:szCs w:val="18"/>
        </w:rPr>
        <w:t>S</w:t>
      </w:r>
      <w:r w:rsidRPr="0071006D">
        <w:rPr>
          <w:rFonts w:asciiTheme="majorHAnsi" w:hAnsiTheme="majorHAnsi" w:cstheme="majorHAnsi"/>
          <w:sz w:val="18"/>
          <w:szCs w:val="18"/>
          <w:lang w:val="ka-GE"/>
        </w:rPr>
        <w:t>ubstances</w:t>
      </w:r>
      <w:r w:rsidRPr="0071006D">
        <w:rPr>
          <w:rFonts w:asciiTheme="majorHAnsi" w:hAnsiTheme="majorHAnsi" w:cstheme="majorHAnsi"/>
          <w:sz w:val="18"/>
          <w:szCs w:val="18"/>
        </w:rPr>
        <w:t xml:space="preserve">, article 3. </w:t>
      </w:r>
    </w:p>
  </w:footnote>
  <w:footnote w:id="33">
    <w:p w14:paraId="54058E05" w14:textId="6A5A98AF"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Style w:val="FootnoteReference"/>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 Law on operative-investigative activities, article 21, paragraph 2. </w:t>
      </w:r>
    </w:p>
  </w:footnote>
  <w:footnote w:id="34">
    <w:p w14:paraId="742637E5" w14:textId="77777777"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Style w:val="FootnoteReference"/>
          <w:rFonts w:asciiTheme="majorHAnsi" w:hAnsiTheme="majorHAnsi" w:cstheme="majorHAnsi"/>
          <w:sz w:val="18"/>
          <w:szCs w:val="18"/>
          <w:lang w:val="ka-GE"/>
        </w:rPr>
        <w:t xml:space="preserve"> </w:t>
      </w:r>
      <w:r w:rsidRPr="0071006D">
        <w:rPr>
          <w:rFonts w:asciiTheme="majorHAnsi" w:hAnsiTheme="majorHAnsi" w:cstheme="majorHAnsi"/>
          <w:sz w:val="18"/>
          <w:szCs w:val="18"/>
          <w:lang w:val="ka-GE"/>
        </w:rPr>
        <w:t xml:space="preserve">Human Rights Watch, Harsh Punishment – The Human Toll of Georgia’s Abusive Drug Policies, 2018, </w:t>
      </w:r>
      <w:r w:rsidRPr="0071006D">
        <w:rPr>
          <w:rFonts w:asciiTheme="majorHAnsi" w:hAnsiTheme="majorHAnsi" w:cstheme="majorHAnsi"/>
          <w:sz w:val="18"/>
          <w:szCs w:val="18"/>
        </w:rPr>
        <w:t>p</w:t>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lang w:val="ka-GE"/>
        </w:rPr>
        <w:t xml:space="preserve">24, available at: </w:t>
      </w:r>
      <w:r w:rsidRPr="0071006D">
        <w:rPr>
          <w:rFonts w:asciiTheme="majorHAnsi" w:hAnsiTheme="majorHAnsi" w:cstheme="majorHAnsi"/>
          <w:sz w:val="18"/>
          <w:szCs w:val="18"/>
        </w:rPr>
        <w:fldChar w:fldCharType="begin"/>
      </w:r>
      <w:r w:rsidRPr="0071006D">
        <w:rPr>
          <w:rFonts w:asciiTheme="majorHAnsi" w:hAnsiTheme="majorHAnsi" w:cstheme="majorHAnsi"/>
          <w:sz w:val="18"/>
          <w:szCs w:val="18"/>
        </w:rPr>
        <w:instrText xml:space="preserve"> HYPERLINK "https://bit.ly/33eJtyr" </w:instrText>
      </w:r>
      <w:r w:rsidRPr="0071006D">
        <w:rPr>
          <w:rFonts w:asciiTheme="majorHAnsi" w:hAnsiTheme="majorHAnsi" w:cstheme="majorHAnsi"/>
          <w:sz w:val="18"/>
          <w:szCs w:val="18"/>
        </w:rPr>
        <w:fldChar w:fldCharType="separate"/>
      </w:r>
      <w:r w:rsidRPr="0071006D">
        <w:rPr>
          <w:rFonts w:asciiTheme="majorHAnsi" w:hAnsiTheme="majorHAnsi" w:cstheme="majorHAnsi"/>
          <w:sz w:val="18"/>
          <w:szCs w:val="18"/>
          <w:lang w:val="ka-GE"/>
        </w:rPr>
        <w:t>https://bit.ly/33eJtyr</w:t>
      </w:r>
      <w:r w:rsidRPr="0071006D">
        <w:rPr>
          <w:rFonts w:asciiTheme="majorHAnsi" w:hAnsiTheme="majorHAnsi" w:cstheme="majorHAnsi"/>
          <w:sz w:val="18"/>
          <w:szCs w:val="18"/>
          <w:lang w:val="ka-GE"/>
        </w:rPr>
        <w:fldChar w:fldCharType="end"/>
      </w:r>
      <w:r w:rsidRPr="0071006D">
        <w:rPr>
          <w:rFonts w:asciiTheme="majorHAnsi" w:hAnsiTheme="majorHAnsi" w:cstheme="majorHAnsi"/>
          <w:sz w:val="18"/>
          <w:szCs w:val="18"/>
          <w:lang w:val="ka-GE"/>
        </w:rPr>
        <w:t>.</w:t>
      </w:r>
    </w:p>
  </w:footnote>
  <w:footnote w:id="35">
    <w:p w14:paraId="291F152A" w14:textId="152E5CFF" w:rsidR="000F4173" w:rsidRPr="0071006D" w:rsidRDefault="000F4173" w:rsidP="0071006D">
      <w:pPr>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lang w:val="ka-GE"/>
        </w:rPr>
        <w:t xml:space="preserve">On December 11th 2019, a </w:t>
      </w:r>
      <w:r w:rsidRPr="0071006D">
        <w:rPr>
          <w:rFonts w:asciiTheme="majorHAnsi" w:hAnsiTheme="majorHAnsi" w:cstheme="majorHAnsi"/>
          <w:sz w:val="18"/>
          <w:szCs w:val="18"/>
        </w:rPr>
        <w:t xml:space="preserve">minor was found, who had </w:t>
      </w:r>
      <w:r w:rsidRPr="0071006D">
        <w:rPr>
          <w:rFonts w:asciiTheme="majorHAnsi" w:hAnsiTheme="majorHAnsi" w:cstheme="majorHAnsi"/>
          <w:sz w:val="18"/>
          <w:szCs w:val="18"/>
          <w:lang w:val="ka-GE"/>
        </w:rPr>
        <w:t xml:space="preserve"> jumped from the 9th floor of a residential block of flats</w:t>
      </w:r>
      <w:r w:rsidRPr="0071006D">
        <w:rPr>
          <w:rFonts w:asciiTheme="majorHAnsi" w:hAnsiTheme="majorHAnsi" w:cstheme="majorHAnsi"/>
          <w:sz w:val="18"/>
          <w:szCs w:val="18"/>
        </w:rPr>
        <w:t xml:space="preserve">, who later passed away, </w:t>
      </w:r>
      <w:r w:rsidRPr="0071006D">
        <w:rPr>
          <w:rFonts w:asciiTheme="majorHAnsi" w:hAnsiTheme="majorHAnsi" w:cstheme="majorHAnsi"/>
          <w:sz w:val="18"/>
          <w:szCs w:val="18"/>
          <w:lang w:val="ka-GE"/>
        </w:rPr>
        <w:t xml:space="preserve">available at: </w:t>
      </w:r>
      <w:r>
        <w:rPr>
          <w:rFonts w:asciiTheme="majorHAnsi" w:hAnsiTheme="majorHAnsi" w:cstheme="majorHAnsi"/>
          <w:sz w:val="18"/>
          <w:szCs w:val="18"/>
        </w:rPr>
        <w:fldChar w:fldCharType="begin"/>
      </w:r>
      <w:r>
        <w:rPr>
          <w:rFonts w:asciiTheme="majorHAnsi" w:hAnsiTheme="majorHAnsi" w:cstheme="majorHAnsi"/>
          <w:sz w:val="18"/>
          <w:szCs w:val="18"/>
        </w:rPr>
        <w:instrText xml:space="preserve"> HYPERLINK "</w:instrText>
      </w:r>
      <w:r w:rsidRPr="0071006D">
        <w:rPr>
          <w:rFonts w:asciiTheme="majorHAnsi" w:hAnsiTheme="majorHAnsi" w:cstheme="majorHAnsi"/>
          <w:sz w:val="18"/>
          <w:szCs w:val="18"/>
        </w:rPr>
        <w:instrText>https://bit.ly/2Y4ZwNV</w:instrText>
      </w:r>
      <w:r>
        <w:rPr>
          <w:rFonts w:asciiTheme="majorHAnsi" w:hAnsiTheme="majorHAnsi" w:cstheme="majorHAnsi"/>
          <w:sz w:val="18"/>
          <w:szCs w:val="18"/>
        </w:rPr>
        <w:instrText xml:space="preserve">" </w:instrText>
      </w:r>
      <w:r>
        <w:rPr>
          <w:rFonts w:asciiTheme="majorHAnsi" w:hAnsiTheme="majorHAnsi" w:cstheme="majorHAnsi"/>
          <w:sz w:val="18"/>
          <w:szCs w:val="18"/>
        </w:rPr>
        <w:fldChar w:fldCharType="separate"/>
      </w:r>
      <w:r w:rsidRPr="007B1917">
        <w:rPr>
          <w:rStyle w:val="Hyperlink"/>
          <w:rFonts w:asciiTheme="majorHAnsi" w:hAnsiTheme="majorHAnsi" w:cstheme="majorHAnsi"/>
          <w:sz w:val="18"/>
          <w:szCs w:val="18"/>
        </w:rPr>
        <w:t>https://bit.ly/2Y4ZwNV</w:t>
      </w:r>
      <w:r>
        <w:rPr>
          <w:rFonts w:asciiTheme="majorHAnsi" w:hAnsiTheme="majorHAnsi" w:cstheme="majorHAnsi"/>
          <w:sz w:val="18"/>
          <w:szCs w:val="18"/>
        </w:rPr>
        <w:fldChar w:fldCharType="end"/>
      </w:r>
      <w:r w:rsidRPr="0071006D">
        <w:rPr>
          <w:rFonts w:asciiTheme="majorHAnsi" w:hAnsiTheme="majorHAnsi" w:cstheme="majorHAnsi"/>
          <w:sz w:val="18"/>
          <w:szCs w:val="18"/>
        </w:rPr>
        <w:t>.</w:t>
      </w:r>
      <w:r>
        <w:rPr>
          <w:rFonts w:asciiTheme="majorHAnsi" w:hAnsiTheme="majorHAnsi" w:cstheme="majorHAnsi"/>
          <w:sz w:val="18"/>
          <w:szCs w:val="18"/>
          <w:lang w:val="ka-GE"/>
        </w:rPr>
        <w:t xml:space="preserve"> </w:t>
      </w:r>
    </w:p>
  </w:footnote>
  <w:footnote w:id="36">
    <w:p w14:paraId="287BA85A" w14:textId="0A7EC9A2"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GYLA statement: On February, 12 pre-trial session will be held in the case of L.S. </w:t>
      </w:r>
      <w:r w:rsidRPr="0071006D">
        <w:rPr>
          <w:rFonts w:asciiTheme="majorHAnsi" w:hAnsiTheme="majorHAnsi" w:cstheme="majorHAnsi"/>
          <w:sz w:val="18"/>
          <w:szCs w:val="18"/>
          <w:lang w:val="ka-GE"/>
        </w:rPr>
        <w:t xml:space="preserve">available at: </w:t>
      </w:r>
      <w:r w:rsidRPr="0071006D">
        <w:rPr>
          <w:rFonts w:asciiTheme="majorHAnsi" w:hAnsiTheme="majorHAnsi" w:cstheme="majorHAnsi"/>
          <w:sz w:val="18"/>
          <w:szCs w:val="18"/>
        </w:rPr>
        <w:fldChar w:fldCharType="begin"/>
      </w:r>
      <w:r w:rsidRPr="0071006D">
        <w:rPr>
          <w:rFonts w:asciiTheme="majorHAnsi" w:hAnsiTheme="majorHAnsi" w:cstheme="majorHAnsi"/>
          <w:sz w:val="18"/>
          <w:szCs w:val="18"/>
        </w:rPr>
        <w:instrText xml:space="preserve"> HYPERLINK "https://bit.ly/31UEWAX" </w:instrText>
      </w:r>
      <w:r w:rsidRPr="0071006D">
        <w:rPr>
          <w:rFonts w:asciiTheme="majorHAnsi" w:hAnsiTheme="majorHAnsi" w:cstheme="majorHAnsi"/>
          <w:sz w:val="18"/>
          <w:szCs w:val="18"/>
        </w:rPr>
        <w:fldChar w:fldCharType="separate"/>
      </w:r>
      <w:r w:rsidRPr="0071006D">
        <w:rPr>
          <w:rStyle w:val="Hyperlink"/>
          <w:rFonts w:asciiTheme="majorHAnsi" w:hAnsiTheme="majorHAnsi" w:cstheme="majorHAnsi"/>
          <w:sz w:val="18"/>
          <w:szCs w:val="18"/>
        </w:rPr>
        <w:t>https://bit.ly/31UEWAX</w:t>
      </w:r>
      <w:r w:rsidRPr="0071006D">
        <w:rPr>
          <w:rFonts w:asciiTheme="majorHAnsi" w:hAnsiTheme="majorHAnsi" w:cstheme="majorHAnsi"/>
          <w:sz w:val="18"/>
          <w:szCs w:val="18"/>
        </w:rPr>
        <w:fldChar w:fldCharType="end"/>
      </w:r>
      <w:r w:rsidRPr="0071006D">
        <w:rPr>
          <w:rFonts w:asciiTheme="majorHAnsi" w:hAnsiTheme="majorHAnsi" w:cstheme="majorHAnsi"/>
          <w:sz w:val="18"/>
          <w:szCs w:val="18"/>
        </w:rPr>
        <w:t xml:space="preserve"> </w:t>
      </w:r>
    </w:p>
  </w:footnote>
  <w:footnote w:id="37">
    <w:p w14:paraId="2AF65219" w14:textId="77777777"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Some of the investigators in the case of L.S. were trained in juvenile justice before 2015, when the new Code had not been adopted yet. </w:t>
      </w:r>
    </w:p>
  </w:footnote>
  <w:footnote w:id="38">
    <w:p w14:paraId="46B854E9" w14:textId="448F1FF0"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A</w:t>
      </w:r>
      <w:r w:rsidRPr="0071006D">
        <w:rPr>
          <w:rFonts w:asciiTheme="majorHAnsi" w:hAnsiTheme="majorHAnsi" w:cstheme="majorHAnsi"/>
          <w:sz w:val="18"/>
          <w:szCs w:val="18"/>
          <w:lang w:val="ka-GE"/>
        </w:rPr>
        <w:t xml:space="preserve"> special report on the protection of procedural rights of juvenile defendants, witnesses and victims in the area of criminal justice</w:t>
      </w:r>
      <w:r w:rsidRPr="0071006D">
        <w:rPr>
          <w:rFonts w:asciiTheme="majorHAnsi" w:hAnsiTheme="majorHAnsi" w:cstheme="majorHAnsi"/>
          <w:sz w:val="18"/>
          <w:szCs w:val="18"/>
        </w:rPr>
        <w:t xml:space="preserve">, </w:t>
      </w:r>
      <w:r>
        <w:rPr>
          <w:rFonts w:asciiTheme="majorHAnsi" w:hAnsiTheme="majorHAnsi" w:cstheme="majorHAnsi"/>
          <w:sz w:val="18"/>
          <w:szCs w:val="18"/>
        </w:rPr>
        <w:t>PDO,</w:t>
      </w:r>
      <w:r w:rsidRPr="0071006D">
        <w:rPr>
          <w:rFonts w:asciiTheme="majorHAnsi" w:hAnsiTheme="majorHAnsi" w:cstheme="majorHAnsi"/>
          <w:sz w:val="18"/>
          <w:szCs w:val="18"/>
        </w:rPr>
        <w:t xml:space="preserve"> 2020, </w:t>
      </w:r>
      <w:r w:rsidRPr="0071006D">
        <w:rPr>
          <w:rFonts w:asciiTheme="majorHAnsi" w:hAnsiTheme="majorHAnsi" w:cstheme="majorHAnsi"/>
          <w:sz w:val="18"/>
          <w:szCs w:val="18"/>
          <w:lang w:val="ka-GE"/>
        </w:rPr>
        <w:t xml:space="preserve">available at: </w:t>
      </w:r>
      <w:hyperlink r:id="rId18" w:history="1">
        <w:r w:rsidRPr="0071006D">
          <w:rPr>
            <w:rStyle w:val="Hyperlink"/>
            <w:rFonts w:asciiTheme="majorHAnsi" w:hAnsiTheme="majorHAnsi" w:cstheme="majorHAnsi"/>
            <w:sz w:val="18"/>
            <w:szCs w:val="18"/>
          </w:rPr>
          <w:t>http://www.ombudsman.ge/res/docs/2020052512261337628.pdf</w:t>
        </w:r>
      </w:hyperlink>
      <w:r w:rsidRPr="0071006D">
        <w:rPr>
          <w:rFonts w:asciiTheme="majorHAnsi" w:hAnsiTheme="majorHAnsi" w:cstheme="majorHAnsi"/>
          <w:sz w:val="18"/>
          <w:szCs w:val="18"/>
        </w:rPr>
        <w:t xml:space="preserve"> </w:t>
      </w:r>
    </w:p>
  </w:footnote>
  <w:footnote w:id="39">
    <w:p w14:paraId="4D4A9721" w14:textId="580419E1"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lang w:val="ka-GE"/>
        </w:rPr>
        <w:footnoteRef/>
      </w:r>
      <w:r w:rsidRPr="0071006D">
        <w:rPr>
          <w:rFonts w:asciiTheme="majorHAnsi" w:hAnsiTheme="majorHAnsi" w:cstheme="majorHAnsi"/>
          <w:sz w:val="18"/>
          <w:szCs w:val="18"/>
          <w:lang w:val="ka-GE"/>
        </w:rPr>
        <w:t xml:space="preserve"> The Situation in Human Rights and Freedoms in Georgia</w:t>
      </w:r>
      <w:r w:rsidRPr="0071006D">
        <w:rPr>
          <w:rFonts w:asciiTheme="majorHAnsi" w:hAnsiTheme="majorHAnsi" w:cstheme="majorHAnsi"/>
          <w:sz w:val="18"/>
          <w:szCs w:val="18"/>
        </w:rPr>
        <w:t xml:space="preserve"> </w:t>
      </w:r>
      <w:r w:rsidRPr="0071006D">
        <w:rPr>
          <w:rFonts w:asciiTheme="majorHAnsi" w:hAnsiTheme="majorHAnsi" w:cstheme="majorHAnsi"/>
          <w:sz w:val="18"/>
          <w:szCs w:val="18"/>
          <w:lang w:val="ka-GE"/>
        </w:rPr>
        <w:t>2019</w:t>
      </w:r>
      <w:r w:rsidRPr="0071006D">
        <w:rPr>
          <w:rFonts w:asciiTheme="majorHAnsi" w:hAnsiTheme="majorHAnsi" w:cstheme="majorHAnsi"/>
          <w:sz w:val="18"/>
          <w:szCs w:val="18"/>
        </w:rPr>
        <w:t xml:space="preserve">, PDO, </w:t>
      </w:r>
      <w:r w:rsidRPr="0071006D">
        <w:rPr>
          <w:rFonts w:asciiTheme="majorHAnsi" w:hAnsiTheme="majorHAnsi" w:cstheme="majorHAnsi"/>
          <w:sz w:val="18"/>
          <w:szCs w:val="18"/>
          <w:lang w:val="ka-GE"/>
        </w:rPr>
        <w:t xml:space="preserve"> </w:t>
      </w:r>
      <w:hyperlink r:id="rId19" w:history="1">
        <w:r w:rsidRPr="0071006D">
          <w:rPr>
            <w:rStyle w:val="Hyperlink"/>
            <w:rFonts w:asciiTheme="majorHAnsi" w:hAnsiTheme="majorHAnsi" w:cstheme="majorHAnsi"/>
            <w:color w:val="auto"/>
            <w:sz w:val="18"/>
            <w:szCs w:val="18"/>
            <w:lang w:val="ka-GE"/>
          </w:rPr>
          <w:t>http://www.ombudsman.ge/res/docs/2020040215365449134.pdf</w:t>
        </w:r>
      </w:hyperlink>
    </w:p>
  </w:footnote>
  <w:footnote w:id="40">
    <w:p w14:paraId="4194AE05" w14:textId="77777777"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lang w:val="ka-GE"/>
        </w:rPr>
        <w:footnoteRef/>
      </w:r>
      <w:r w:rsidRPr="0071006D">
        <w:rPr>
          <w:rFonts w:asciiTheme="majorHAnsi" w:hAnsiTheme="majorHAnsi" w:cstheme="majorHAnsi"/>
          <w:sz w:val="18"/>
          <w:szCs w:val="18"/>
          <w:lang w:val="ka-GE"/>
        </w:rPr>
        <w:t xml:space="preserve"> GCICC, 10 Years after the August War: Victims of the Situation in Georgia</w:t>
      </w:r>
      <w:r w:rsidRPr="0071006D">
        <w:rPr>
          <w:rFonts w:asciiTheme="majorHAnsi" w:hAnsiTheme="majorHAnsi" w:cstheme="majorHAnsi"/>
          <w:sz w:val="18"/>
          <w:szCs w:val="18"/>
        </w:rPr>
        <w:t xml:space="preserve">, </w:t>
      </w:r>
      <w:r w:rsidRPr="0071006D">
        <w:rPr>
          <w:rFonts w:asciiTheme="majorHAnsi" w:hAnsiTheme="majorHAnsi" w:cstheme="majorHAnsi"/>
          <w:sz w:val="18"/>
          <w:szCs w:val="18"/>
          <w:lang w:val="ka-GE"/>
        </w:rPr>
        <w:t>17.07.2020</w:t>
      </w:r>
    </w:p>
  </w:footnote>
  <w:footnote w:id="41">
    <w:p w14:paraId="25C5B257" w14:textId="30F7C2A2"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Report of the Independent Expert on protection against violence and discrimination based on sexual orientation and gender identity, 2019. see at: </w:t>
      </w:r>
      <w:hyperlink r:id="rId20" w:history="1">
        <w:r w:rsidRPr="0071006D">
          <w:rPr>
            <w:rStyle w:val="Hyperlink"/>
            <w:rFonts w:asciiTheme="majorHAnsi" w:hAnsiTheme="majorHAnsi" w:cstheme="majorHAnsi"/>
            <w:sz w:val="18"/>
            <w:szCs w:val="18"/>
          </w:rPr>
          <w:t>https://bit.ly/3gUFYmO</w:t>
        </w:r>
      </w:hyperlink>
      <w:r w:rsidRPr="0071006D">
        <w:rPr>
          <w:rFonts w:asciiTheme="majorHAnsi" w:hAnsiTheme="majorHAnsi" w:cstheme="majorHAnsi"/>
          <w:sz w:val="18"/>
          <w:szCs w:val="18"/>
        </w:rPr>
        <w:t xml:space="preserve"> </w:t>
      </w:r>
    </w:p>
  </w:footnote>
  <w:footnote w:id="42">
    <w:p w14:paraId="2C576882" w14:textId="77777777"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Ibid, para 31. </w:t>
      </w:r>
    </w:p>
  </w:footnote>
  <w:footnote w:id="43">
    <w:p w14:paraId="3050FFD8" w14:textId="77777777"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Ibid, para 40.</w:t>
      </w:r>
    </w:p>
  </w:footnote>
  <w:footnote w:id="44">
    <w:p w14:paraId="2E73D949" w14:textId="77777777"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For example, according to the survey conducted by WISG in 2018, during 2015-2018, 226 respondents became victims of hate crimes or incidents (E. </w:t>
      </w:r>
      <w:proofErr w:type="spellStart"/>
      <w:r w:rsidRPr="0071006D">
        <w:rPr>
          <w:rFonts w:asciiTheme="majorHAnsi" w:hAnsiTheme="majorHAnsi" w:cstheme="majorHAnsi"/>
          <w:sz w:val="18"/>
          <w:szCs w:val="18"/>
        </w:rPr>
        <w:t>Aghdgomelashvili</w:t>
      </w:r>
      <w:proofErr w:type="spellEnd"/>
      <w:r w:rsidRPr="0071006D">
        <w:rPr>
          <w:rFonts w:asciiTheme="majorHAnsi" w:hAnsiTheme="majorHAnsi" w:cstheme="majorHAnsi"/>
          <w:sz w:val="18"/>
          <w:szCs w:val="18"/>
        </w:rPr>
        <w:t xml:space="preserve">, From Prejudice to Equality, LGBTQI Persons in Georgia, 2018). </w:t>
      </w:r>
    </w:p>
  </w:footnote>
  <w:footnote w:id="45">
    <w:p w14:paraId="4BE1910E" w14:textId="77777777"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Report of the Working Group on the Universal Periodic Review – Georgia, 2015, Recommendation 118.10  </w:t>
      </w:r>
    </w:p>
  </w:footnote>
  <w:footnote w:id="46">
    <w:p w14:paraId="2786912A" w14:textId="77777777"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ECRI REPORT ON GEORGIA (fifth monitoring cycle) Adopted on 8 December 2015 Published on 1 March 2016</w:t>
      </w:r>
    </w:p>
  </w:footnote>
  <w:footnote w:id="47">
    <w:p w14:paraId="5ED6C6AB" w14:textId="2BF284E3"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w:t>
      </w:r>
      <w:r>
        <w:rPr>
          <w:rFonts w:asciiTheme="majorHAnsi" w:hAnsiTheme="majorHAnsi" w:cstheme="majorHAnsi"/>
          <w:sz w:val="18"/>
          <w:szCs w:val="18"/>
        </w:rPr>
        <w:t xml:space="preserve">ECRI </w:t>
      </w:r>
      <w:r w:rsidRPr="0071006D">
        <w:rPr>
          <w:rFonts w:asciiTheme="majorHAnsi" w:hAnsiTheme="majorHAnsi" w:cstheme="majorHAnsi"/>
          <w:sz w:val="18"/>
          <w:szCs w:val="18"/>
        </w:rPr>
        <w:t xml:space="preserve">Interim Report on Georgia published on 5 March 2019 (CRI (2019) 4) on the implementation of the recommendations made in the report of 1 March 2016, available at: </w:t>
      </w:r>
      <w:hyperlink r:id="rId21" w:history="1">
        <w:r w:rsidRPr="0071006D">
          <w:rPr>
            <w:rStyle w:val="Hyperlink"/>
            <w:rFonts w:asciiTheme="majorHAnsi" w:hAnsiTheme="majorHAnsi" w:cstheme="majorHAnsi"/>
            <w:color w:val="auto"/>
            <w:sz w:val="18"/>
            <w:szCs w:val="18"/>
          </w:rPr>
          <w:t>https://women.ge/ka/news/newsfeed/226/</w:t>
        </w:r>
      </w:hyperlink>
      <w:r w:rsidRPr="0071006D">
        <w:rPr>
          <w:rFonts w:asciiTheme="majorHAnsi" w:hAnsiTheme="majorHAnsi" w:cstheme="majorHAnsi"/>
          <w:sz w:val="18"/>
          <w:szCs w:val="18"/>
        </w:rPr>
        <w:t>.</w:t>
      </w:r>
    </w:p>
  </w:footnote>
  <w:footnote w:id="48">
    <w:p w14:paraId="70906C3A" w14:textId="13C7B978"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Film deals with queer issues. </w:t>
      </w:r>
    </w:p>
  </w:footnote>
  <w:footnote w:id="49">
    <w:p w14:paraId="6F94F2AA" w14:textId="77777777"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See: </w:t>
      </w:r>
      <w:hyperlink r:id="rId22" w:history="1">
        <w:r w:rsidRPr="0071006D">
          <w:rPr>
            <w:rStyle w:val="Hyperlink"/>
            <w:rFonts w:asciiTheme="majorHAnsi" w:hAnsiTheme="majorHAnsi" w:cstheme="majorHAnsi"/>
            <w:color w:val="auto"/>
            <w:sz w:val="18"/>
            <w:szCs w:val="18"/>
          </w:rPr>
          <w:t>https://oc-media.org/georgian-ultraconservative-groups-vow-to-prevent-queer-romance-film-premier/</w:t>
        </w:r>
      </w:hyperlink>
    </w:p>
  </w:footnote>
  <w:footnote w:id="50">
    <w:p w14:paraId="402E5EDE" w14:textId="788950A9"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GYLA appealed Georgia’s refusal to legally recognize the gender of the transgender man before the </w:t>
      </w:r>
      <w:r>
        <w:rPr>
          <w:rFonts w:asciiTheme="majorHAnsi" w:hAnsiTheme="majorHAnsi" w:cstheme="majorHAnsi"/>
          <w:sz w:val="18"/>
          <w:szCs w:val="18"/>
        </w:rPr>
        <w:t>EHCR</w:t>
      </w:r>
      <w:r w:rsidRPr="0071006D">
        <w:rPr>
          <w:rFonts w:asciiTheme="majorHAnsi" w:hAnsiTheme="majorHAnsi" w:cstheme="majorHAnsi"/>
          <w:sz w:val="18"/>
          <w:szCs w:val="18"/>
        </w:rPr>
        <w:t xml:space="preserve">, available at: </w:t>
      </w:r>
      <w:hyperlink r:id="rId23" w:history="1">
        <w:r w:rsidRPr="0071006D">
          <w:rPr>
            <w:rStyle w:val="Hyperlink"/>
            <w:rFonts w:asciiTheme="majorHAnsi" w:hAnsiTheme="majorHAnsi" w:cstheme="majorHAnsi"/>
            <w:color w:val="auto"/>
            <w:sz w:val="18"/>
            <w:szCs w:val="18"/>
          </w:rPr>
          <w:t>https://bit.ly/2DUpSaO</w:t>
        </w:r>
      </w:hyperlink>
      <w:r w:rsidRPr="0071006D">
        <w:rPr>
          <w:rFonts w:asciiTheme="majorHAnsi" w:hAnsiTheme="majorHAnsi" w:cstheme="majorHAnsi"/>
          <w:sz w:val="18"/>
          <w:szCs w:val="18"/>
        </w:rPr>
        <w:t xml:space="preserve">.  Also, the </w:t>
      </w:r>
      <w:r>
        <w:rPr>
          <w:rFonts w:asciiTheme="majorHAnsi" w:hAnsiTheme="majorHAnsi" w:cstheme="majorHAnsi"/>
          <w:sz w:val="18"/>
          <w:szCs w:val="18"/>
        </w:rPr>
        <w:t>ECHR</w:t>
      </w:r>
      <w:r w:rsidRPr="0071006D">
        <w:rPr>
          <w:rFonts w:asciiTheme="majorHAnsi" w:hAnsiTheme="majorHAnsi" w:cstheme="majorHAnsi"/>
          <w:sz w:val="18"/>
          <w:szCs w:val="18"/>
        </w:rPr>
        <w:t xml:space="preserve"> has started substantive consideration of the case on the legal recognition of gender of the transgender man, available at: </w:t>
      </w:r>
      <w:hyperlink r:id="rId24" w:history="1">
        <w:r w:rsidRPr="0071006D">
          <w:rPr>
            <w:rStyle w:val="Hyperlink"/>
            <w:rFonts w:asciiTheme="majorHAnsi" w:hAnsiTheme="majorHAnsi" w:cstheme="majorHAnsi"/>
            <w:color w:val="auto"/>
            <w:sz w:val="18"/>
            <w:szCs w:val="18"/>
          </w:rPr>
          <w:t>https://bit.ly/2WTV0kR</w:t>
        </w:r>
      </w:hyperlink>
      <w:r w:rsidRPr="0071006D">
        <w:rPr>
          <w:rFonts w:asciiTheme="majorHAnsi" w:hAnsiTheme="majorHAnsi" w:cstheme="majorHAnsi"/>
          <w:sz w:val="18"/>
          <w:szCs w:val="18"/>
        </w:rPr>
        <w:t xml:space="preserve"> .</w:t>
      </w:r>
    </w:p>
  </w:footnote>
  <w:footnote w:id="51">
    <w:p w14:paraId="0EF8174A" w14:textId="0E40E1A4"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Gender Equality in Georgia: Barriers and Recommendations, Part I, January, 2018, </w:t>
      </w:r>
      <w:proofErr w:type="spellStart"/>
      <w:r w:rsidRPr="0071006D">
        <w:rPr>
          <w:rFonts w:asciiTheme="majorHAnsi" w:hAnsiTheme="majorHAnsi" w:cstheme="majorHAnsi"/>
          <w:sz w:val="18"/>
          <w:szCs w:val="18"/>
        </w:rPr>
        <w:t>pg</w:t>
      </w:r>
      <w:proofErr w:type="spellEnd"/>
      <w:r w:rsidRPr="0071006D">
        <w:rPr>
          <w:rFonts w:asciiTheme="majorHAnsi" w:hAnsiTheme="majorHAnsi" w:cstheme="majorHAnsi"/>
          <w:sz w:val="18"/>
          <w:szCs w:val="18"/>
          <w:lang w:val="ka-GE"/>
        </w:rPr>
        <w:t>:</w:t>
      </w:r>
      <w:r w:rsidR="000B43AF">
        <w:rPr>
          <w:rFonts w:asciiTheme="majorHAnsi" w:hAnsiTheme="majorHAnsi" w:cstheme="majorHAnsi"/>
          <w:sz w:val="18"/>
          <w:szCs w:val="18"/>
        </w:rPr>
        <w:t xml:space="preserve"> </w:t>
      </w:r>
      <w:r w:rsidRPr="0071006D">
        <w:rPr>
          <w:rFonts w:asciiTheme="majorHAnsi" w:hAnsiTheme="majorHAnsi" w:cstheme="majorHAnsi"/>
          <w:sz w:val="18"/>
          <w:szCs w:val="18"/>
          <w:lang w:val="ka-GE"/>
        </w:rPr>
        <w:t xml:space="preserve">9, </w:t>
      </w:r>
      <w:r w:rsidRPr="0071006D">
        <w:rPr>
          <w:rFonts w:asciiTheme="majorHAnsi" w:hAnsiTheme="majorHAnsi" w:cstheme="majorHAnsi"/>
          <w:sz w:val="18"/>
          <w:szCs w:val="18"/>
        </w:rPr>
        <w:t xml:space="preserve">Available at: </w:t>
      </w:r>
      <w:hyperlink r:id="rId25" w:history="1">
        <w:r w:rsidRPr="0071006D">
          <w:rPr>
            <w:rStyle w:val="Hyperlink"/>
            <w:rFonts w:asciiTheme="majorHAnsi" w:hAnsiTheme="majorHAnsi" w:cstheme="majorHAnsi"/>
            <w:color w:val="auto"/>
            <w:sz w:val="18"/>
            <w:szCs w:val="18"/>
            <w:lang w:val="ka-GE"/>
          </w:rPr>
          <w:t>https://www.ge.undp.org/content/georgia/en/home/library/democratic_governance/gender-equality-in-georgia.html</w:t>
        </w:r>
      </w:hyperlink>
      <w:r w:rsidRPr="0071006D">
        <w:rPr>
          <w:rStyle w:val="Hyperlink"/>
          <w:rFonts w:asciiTheme="majorHAnsi" w:hAnsiTheme="majorHAnsi" w:cstheme="majorHAnsi"/>
          <w:color w:val="auto"/>
          <w:sz w:val="18"/>
          <w:szCs w:val="18"/>
        </w:rPr>
        <w:t xml:space="preserve"> </w:t>
      </w:r>
    </w:p>
  </w:footnote>
  <w:footnote w:id="52">
    <w:p w14:paraId="5EA22BF3" w14:textId="087A990F"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Election Code of Georgia, Article 203(2)</w:t>
      </w:r>
      <w:r w:rsidRPr="0071006D">
        <w:rPr>
          <w:rFonts w:asciiTheme="majorHAnsi" w:hAnsiTheme="majorHAnsi" w:cstheme="majorHAnsi"/>
          <w:sz w:val="18"/>
          <w:szCs w:val="18"/>
          <w:lang w:val="ka-GE"/>
        </w:rPr>
        <w:t>.</w:t>
      </w:r>
    </w:p>
  </w:footnote>
  <w:footnote w:id="53">
    <w:p w14:paraId="0E7D00B7" w14:textId="0B90178D"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ibid, Article 203(8)</w:t>
      </w:r>
      <w:r w:rsidRPr="0071006D">
        <w:rPr>
          <w:rFonts w:asciiTheme="majorHAnsi" w:hAnsiTheme="majorHAnsi" w:cstheme="majorHAnsi"/>
          <w:sz w:val="18"/>
          <w:szCs w:val="18"/>
          <w:lang w:val="ka-GE"/>
        </w:rPr>
        <w:t>.</w:t>
      </w:r>
    </w:p>
  </w:footnote>
  <w:footnote w:id="54">
    <w:p w14:paraId="304E4CD7" w14:textId="77777777" w:rsidR="000F4173" w:rsidRPr="0071006D" w:rsidRDefault="000F4173" w:rsidP="0000645C">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Critical Assessment of Investigation Proceedings Against Temirlan Machalikashvili</w:t>
      </w:r>
      <w:r w:rsidRPr="0071006D">
        <w:rPr>
          <w:rFonts w:asciiTheme="majorHAnsi" w:hAnsiTheme="majorHAnsi" w:cstheme="majorHAnsi"/>
          <w:sz w:val="18"/>
          <w:szCs w:val="18"/>
        </w:rPr>
        <w:t xml:space="preserve">, EMC, 2020, available at: </w:t>
      </w:r>
      <w:r w:rsidRPr="0071006D">
        <w:rPr>
          <w:rFonts w:asciiTheme="majorHAnsi" w:hAnsiTheme="majorHAnsi" w:cstheme="majorHAnsi"/>
          <w:sz w:val="18"/>
          <w:szCs w:val="18"/>
          <w:lang w:val="ka-GE"/>
        </w:rPr>
        <w:t xml:space="preserve"> </w:t>
      </w:r>
      <w:hyperlink r:id="rId26" w:history="1">
        <w:r w:rsidRPr="0071006D">
          <w:rPr>
            <w:rStyle w:val="Hyperlink"/>
            <w:rFonts w:asciiTheme="majorHAnsi" w:hAnsiTheme="majorHAnsi" w:cstheme="majorHAnsi"/>
            <w:color w:val="auto"/>
            <w:sz w:val="18"/>
            <w:szCs w:val="18"/>
            <w:lang w:val="ka-GE"/>
          </w:rPr>
          <w:t>https://emc.org.ge/en/products/temirlan-machalikashvilis-tsinaaaghmdeg-mimdinare-gamodziebis-kritikuli-shefaseba</w:t>
        </w:r>
      </w:hyperlink>
      <w:r w:rsidRPr="0071006D">
        <w:rPr>
          <w:rFonts w:asciiTheme="majorHAnsi" w:hAnsiTheme="majorHAnsi" w:cstheme="majorHAnsi"/>
          <w:sz w:val="18"/>
          <w:szCs w:val="18"/>
        </w:rPr>
        <w:t xml:space="preserve"> </w:t>
      </w:r>
    </w:p>
  </w:footnote>
  <w:footnote w:id="55">
    <w:p w14:paraId="614E7B8B" w14:textId="3BC1D48B"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EMC applied to ECHR on Temirlan Machlikashili death case</w:t>
      </w:r>
      <w:r w:rsidRPr="0071006D">
        <w:rPr>
          <w:rFonts w:asciiTheme="majorHAnsi" w:hAnsiTheme="majorHAnsi" w:cstheme="majorHAnsi"/>
          <w:sz w:val="18"/>
          <w:szCs w:val="18"/>
        </w:rPr>
        <w:t xml:space="preserve">, 2019, available at: </w:t>
      </w:r>
      <w:hyperlink r:id="rId27" w:history="1">
        <w:r w:rsidRPr="0071006D">
          <w:rPr>
            <w:rStyle w:val="Hyperlink"/>
            <w:rFonts w:asciiTheme="majorHAnsi" w:hAnsiTheme="majorHAnsi" w:cstheme="majorHAnsi"/>
            <w:color w:val="auto"/>
            <w:sz w:val="18"/>
            <w:szCs w:val="18"/>
          </w:rPr>
          <w:t>https://emc.org.ge/en/products/emc-m-temirlan-machalikashvilis-sakmeze-evrosasamartlos-mimarta</w:t>
        </w:r>
      </w:hyperlink>
      <w:r w:rsidRPr="0071006D">
        <w:rPr>
          <w:rFonts w:asciiTheme="majorHAnsi" w:hAnsiTheme="majorHAnsi" w:cstheme="majorHAnsi"/>
          <w:sz w:val="18"/>
          <w:szCs w:val="18"/>
        </w:rPr>
        <w:t xml:space="preserve"> </w:t>
      </w:r>
    </w:p>
  </w:footnote>
  <w:footnote w:id="56">
    <w:p w14:paraId="7F28B838" w14:textId="38B3AE82"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w:t>
      </w:r>
      <w:r w:rsidRPr="0071006D">
        <w:rPr>
          <w:rFonts w:asciiTheme="majorHAnsi" w:hAnsiTheme="majorHAnsi" w:cstheme="majorHAnsi"/>
          <w:sz w:val="18"/>
          <w:szCs w:val="18"/>
          <w:lang w:val="ka-GE"/>
        </w:rPr>
        <w:t xml:space="preserve">Under the Security Gaze: History, Religion and Politics in the Pankisi Gorge, </w:t>
      </w:r>
      <w:r w:rsidRPr="0071006D">
        <w:rPr>
          <w:rFonts w:asciiTheme="majorHAnsi" w:hAnsiTheme="majorHAnsi" w:cstheme="majorHAnsi"/>
          <w:sz w:val="18"/>
          <w:szCs w:val="18"/>
        </w:rPr>
        <w:t>EMC,</w:t>
      </w:r>
      <w:r w:rsidRPr="0071006D">
        <w:rPr>
          <w:rFonts w:asciiTheme="majorHAnsi" w:hAnsiTheme="majorHAnsi" w:cstheme="majorHAnsi"/>
          <w:sz w:val="18"/>
          <w:szCs w:val="18"/>
          <w:lang w:val="ka-GE"/>
        </w:rPr>
        <w:t xml:space="preserve"> 2019</w:t>
      </w:r>
      <w:r w:rsidRPr="0071006D">
        <w:rPr>
          <w:rFonts w:asciiTheme="majorHAnsi" w:hAnsiTheme="majorHAnsi" w:cstheme="majorHAnsi"/>
          <w:sz w:val="18"/>
          <w:szCs w:val="18"/>
        </w:rPr>
        <w:t>, available at</w:t>
      </w:r>
      <w:r w:rsidRPr="0071006D">
        <w:rPr>
          <w:rFonts w:asciiTheme="majorHAnsi" w:hAnsiTheme="majorHAnsi" w:cstheme="majorHAnsi"/>
          <w:sz w:val="18"/>
          <w:szCs w:val="18"/>
          <w:lang w:val="ka-GE"/>
        </w:rPr>
        <w:t xml:space="preserve">: </w:t>
      </w:r>
      <w:hyperlink r:id="rId28" w:history="1">
        <w:r w:rsidRPr="0071006D">
          <w:rPr>
            <w:rStyle w:val="Hyperlink"/>
            <w:rFonts w:asciiTheme="majorHAnsi" w:hAnsiTheme="majorHAnsi" w:cstheme="majorHAnsi"/>
            <w:color w:val="auto"/>
            <w:sz w:val="18"/>
            <w:szCs w:val="18"/>
            <w:lang w:val="ka-GE"/>
          </w:rPr>
          <w:t>https://emc.org.ge/en/products/usafrtkhoebis-mzeris-kvesh-istoria-politika-da-religia-pankisis-kheobashi</w:t>
        </w:r>
      </w:hyperlink>
      <w:r w:rsidRPr="0071006D">
        <w:rPr>
          <w:rFonts w:asciiTheme="majorHAnsi" w:hAnsiTheme="majorHAnsi" w:cstheme="majorHAnsi"/>
          <w:sz w:val="18"/>
          <w:szCs w:val="18"/>
        </w:rPr>
        <w:t xml:space="preserve"> </w:t>
      </w:r>
    </w:p>
  </w:footnote>
  <w:footnote w:id="57">
    <w:p w14:paraId="1F9ABCB9" w14:textId="5039B178"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Reform of the Security Service in Georgia</w:t>
      </w:r>
      <w:r w:rsidRPr="0071006D">
        <w:rPr>
          <w:rFonts w:asciiTheme="majorHAnsi" w:hAnsiTheme="majorHAnsi" w:cstheme="majorHAnsi"/>
          <w:sz w:val="18"/>
          <w:szCs w:val="18"/>
        </w:rPr>
        <w:t xml:space="preserve">, EMC, 2018. available at: </w:t>
      </w:r>
      <w:hyperlink r:id="rId29" w:history="1">
        <w:r w:rsidRPr="0071006D">
          <w:rPr>
            <w:rStyle w:val="Hyperlink"/>
            <w:rFonts w:asciiTheme="majorHAnsi" w:hAnsiTheme="majorHAnsi" w:cstheme="majorHAnsi"/>
            <w:color w:val="auto"/>
            <w:sz w:val="18"/>
            <w:szCs w:val="18"/>
          </w:rPr>
          <w:t>https://emc.org.ge/en/products/usafrtkhoebis-samsakhuris-reforma-sakartveloshi-shedegebi-da-gamotsvevebi</w:t>
        </w:r>
      </w:hyperlink>
      <w:r w:rsidRPr="0071006D">
        <w:rPr>
          <w:rFonts w:asciiTheme="majorHAnsi" w:hAnsiTheme="majorHAnsi" w:cstheme="majorHAnsi"/>
          <w:sz w:val="18"/>
          <w:szCs w:val="18"/>
        </w:rPr>
        <w:t xml:space="preserve"> </w:t>
      </w:r>
    </w:p>
  </w:footnote>
  <w:footnote w:id="58">
    <w:p w14:paraId="576C07DA" w14:textId="0CE16C78"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Association Agreement between Georgia and EU, Article 229(2). </w:t>
      </w:r>
    </w:p>
  </w:footnote>
  <w:footnote w:id="59">
    <w:p w14:paraId="66761ECB" w14:textId="2B0C6850"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Joint Staff Working Document, Association Implementation Report on Georgia, 2016, European Commission, </w:t>
      </w:r>
      <w:hyperlink r:id="rId30" w:history="1">
        <w:r w:rsidRPr="0071006D">
          <w:rPr>
            <w:rStyle w:val="Hyperlink"/>
            <w:rFonts w:asciiTheme="majorHAnsi" w:hAnsiTheme="majorHAnsi" w:cstheme="majorHAnsi"/>
            <w:color w:val="auto"/>
            <w:sz w:val="18"/>
            <w:szCs w:val="18"/>
          </w:rPr>
          <w:t>https://eeas.europa.eu/sites/eeas/files/1_en_jswd_georgia.pdf</w:t>
        </w:r>
      </w:hyperlink>
    </w:p>
  </w:footnote>
  <w:footnote w:id="60">
    <w:p w14:paraId="5C884176" w14:textId="5B6CFFE6"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Organic Law  on Labor Security, Chapter 6-</w:t>
      </w:r>
      <w:r w:rsidRPr="0071006D">
        <w:rPr>
          <w:rFonts w:asciiTheme="majorHAnsi" w:hAnsiTheme="majorHAnsi" w:cstheme="majorHAnsi"/>
          <w:sz w:val="18"/>
          <w:szCs w:val="18"/>
          <w:lang w:val="ka-GE"/>
        </w:rPr>
        <w:t>7</w:t>
      </w:r>
    </w:p>
  </w:footnote>
  <w:footnote w:id="61">
    <w:p w14:paraId="72444566" w14:textId="14E947B7"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Report of Labor conditions inspection department, 2019, pg</w:t>
      </w:r>
      <w:r>
        <w:rPr>
          <w:rFonts w:asciiTheme="majorHAnsi" w:hAnsiTheme="majorHAnsi" w:cstheme="majorHAnsi"/>
          <w:sz w:val="18"/>
          <w:szCs w:val="18"/>
        </w:rPr>
        <w:t>.</w:t>
      </w:r>
      <w:r w:rsidRPr="0071006D">
        <w:rPr>
          <w:rFonts w:asciiTheme="majorHAnsi" w:hAnsiTheme="majorHAnsi" w:cstheme="majorHAnsi"/>
          <w:sz w:val="18"/>
          <w:szCs w:val="18"/>
        </w:rPr>
        <w:t xml:space="preserve"> 21. </w:t>
      </w:r>
      <w:hyperlink r:id="rId31" w:history="1">
        <w:r w:rsidRPr="0071006D">
          <w:rPr>
            <w:rStyle w:val="Hyperlink"/>
            <w:rFonts w:asciiTheme="majorHAnsi" w:hAnsiTheme="majorHAnsi" w:cstheme="majorHAnsi"/>
            <w:color w:val="auto"/>
            <w:sz w:val="18"/>
            <w:szCs w:val="18"/>
            <w:lang w:val="ka-GE"/>
          </w:rPr>
          <w:t>https://www.moh.gov.ge/uploads/files/2019/Failebi/LCID_Geo_a4_1.pdf</w:t>
        </w:r>
      </w:hyperlink>
      <w:r w:rsidRPr="0071006D">
        <w:rPr>
          <w:rFonts w:asciiTheme="majorHAnsi" w:hAnsiTheme="majorHAnsi" w:cstheme="majorHAnsi"/>
          <w:sz w:val="18"/>
          <w:szCs w:val="18"/>
        </w:rPr>
        <w:t xml:space="preserve"> </w:t>
      </w:r>
    </w:p>
  </w:footnote>
  <w:footnote w:id="62">
    <w:p w14:paraId="40274BB9" w14:textId="512BD55B"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Package of legislative amendments:</w:t>
      </w:r>
      <w:r w:rsidRPr="0071006D">
        <w:rPr>
          <w:rFonts w:asciiTheme="majorHAnsi" w:hAnsiTheme="majorHAnsi" w:cstheme="majorHAnsi"/>
          <w:sz w:val="18"/>
          <w:szCs w:val="18"/>
          <w:lang w:val="ka-GE"/>
        </w:rPr>
        <w:t xml:space="preserve"> </w:t>
      </w:r>
      <w:hyperlink r:id="rId32" w:anchor="law-drafting/20311" w:history="1">
        <w:r w:rsidRPr="0071006D">
          <w:rPr>
            <w:rStyle w:val="Hyperlink"/>
            <w:rFonts w:asciiTheme="majorHAnsi" w:hAnsiTheme="majorHAnsi" w:cstheme="majorHAnsi"/>
            <w:color w:val="auto"/>
            <w:sz w:val="18"/>
            <w:szCs w:val="18"/>
            <w:lang w:val="ka-GE"/>
          </w:rPr>
          <w:t>https://info.parliament.ge/#law-drafting/20311</w:t>
        </w:r>
      </w:hyperlink>
    </w:p>
  </w:footnote>
  <w:footnote w:id="63">
    <w:p w14:paraId="1C3B5B4C" w14:textId="327BEE6E"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Committee for the Prevention of Torture</w:t>
      </w:r>
      <w:r w:rsidRPr="0071006D">
        <w:rPr>
          <w:rFonts w:asciiTheme="majorHAnsi" w:hAnsiTheme="majorHAnsi" w:cstheme="majorHAnsi"/>
          <w:sz w:val="18"/>
          <w:szCs w:val="18"/>
          <w:lang w:val="ka-GE"/>
        </w:rPr>
        <w:t xml:space="preserve"> (CPT)</w:t>
      </w:r>
      <w:r w:rsidRPr="0071006D">
        <w:rPr>
          <w:rFonts w:asciiTheme="majorHAnsi" w:hAnsiTheme="majorHAnsi" w:cstheme="majorHAnsi"/>
          <w:sz w:val="18"/>
          <w:szCs w:val="18"/>
        </w:rPr>
        <w:t xml:space="preserve"> Report on the results of visit in Georgia in September, 2018. paras</w:t>
      </w:r>
      <w:r w:rsidRPr="0071006D">
        <w:rPr>
          <w:rFonts w:asciiTheme="majorHAnsi" w:hAnsiTheme="majorHAnsi" w:cstheme="majorHAnsi"/>
          <w:sz w:val="18"/>
          <w:szCs w:val="18"/>
          <w:lang w:val="ka-GE"/>
        </w:rPr>
        <w:t xml:space="preserve"> 13-15. </w:t>
      </w:r>
      <w:r w:rsidRPr="0071006D">
        <w:rPr>
          <w:rFonts w:asciiTheme="majorHAnsi" w:hAnsiTheme="majorHAnsi" w:cstheme="majorHAnsi"/>
          <w:i/>
          <w:sz w:val="18"/>
          <w:szCs w:val="18"/>
        </w:rPr>
        <w:t>available at:</w:t>
      </w:r>
      <w:r w:rsidRPr="0071006D">
        <w:rPr>
          <w:rFonts w:asciiTheme="majorHAnsi" w:hAnsiTheme="majorHAnsi" w:cstheme="majorHAnsi"/>
          <w:sz w:val="18"/>
          <w:szCs w:val="18"/>
          <w:lang w:val="ka-GE"/>
        </w:rPr>
        <w:t xml:space="preserve"> </w:t>
      </w:r>
      <w:hyperlink r:id="rId33" w:history="1">
        <w:r w:rsidRPr="0071006D">
          <w:rPr>
            <w:rStyle w:val="Hyperlink"/>
            <w:rFonts w:asciiTheme="majorHAnsi" w:hAnsiTheme="majorHAnsi" w:cstheme="majorHAnsi"/>
            <w:color w:val="auto"/>
            <w:sz w:val="18"/>
            <w:szCs w:val="18"/>
            <w:lang w:val="ka-GE"/>
          </w:rPr>
          <w:t>http://bit.ly/38p44kK</w:t>
        </w:r>
      </w:hyperlink>
      <w:r w:rsidRPr="0071006D">
        <w:rPr>
          <w:rFonts w:asciiTheme="majorHAnsi" w:hAnsiTheme="majorHAnsi" w:cstheme="majorHAnsi"/>
          <w:sz w:val="18"/>
          <w:szCs w:val="18"/>
          <w:lang w:val="ka-GE"/>
        </w:rPr>
        <w:t>,; Human Rights Watc</w:t>
      </w:r>
      <w:r w:rsidRPr="0071006D">
        <w:rPr>
          <w:rFonts w:asciiTheme="majorHAnsi" w:hAnsiTheme="majorHAnsi" w:cstheme="majorHAnsi"/>
          <w:sz w:val="18"/>
          <w:szCs w:val="18"/>
        </w:rPr>
        <w:t xml:space="preserve"> Report on Georgia, 2019, available at</w:t>
      </w:r>
      <w:r w:rsidRPr="0071006D">
        <w:rPr>
          <w:rFonts w:asciiTheme="majorHAnsi" w:hAnsiTheme="majorHAnsi" w:cstheme="majorHAnsi"/>
          <w:sz w:val="18"/>
          <w:szCs w:val="18"/>
          <w:lang w:val="ka-GE"/>
        </w:rPr>
        <w:t xml:space="preserve">: </w:t>
      </w:r>
      <w:r w:rsidRPr="0071006D">
        <w:fldChar w:fldCharType="begin"/>
      </w:r>
      <w:r w:rsidRPr="0071006D">
        <w:rPr>
          <w:rFonts w:asciiTheme="majorHAnsi" w:hAnsiTheme="majorHAnsi" w:cstheme="majorHAnsi"/>
          <w:sz w:val="18"/>
          <w:szCs w:val="18"/>
        </w:rPr>
        <w:instrText xml:space="preserve"> HYPERLINK "http://bit.ly/2Q4VOA7" </w:instrText>
      </w:r>
      <w:r w:rsidRPr="0071006D">
        <w:fldChar w:fldCharType="separate"/>
      </w:r>
      <w:r w:rsidRPr="0071006D">
        <w:rPr>
          <w:rStyle w:val="Hyperlink"/>
          <w:rFonts w:asciiTheme="majorHAnsi" w:hAnsiTheme="majorHAnsi" w:cstheme="majorHAnsi"/>
          <w:color w:val="auto"/>
          <w:sz w:val="18"/>
          <w:szCs w:val="18"/>
          <w:lang w:val="ka-GE"/>
        </w:rPr>
        <w:t>http://bit.ly/2Q4VOA7</w:t>
      </w:r>
      <w:r w:rsidRPr="0071006D">
        <w:rPr>
          <w:rStyle w:val="Hyperlink"/>
          <w:rFonts w:asciiTheme="majorHAnsi" w:hAnsiTheme="majorHAnsi" w:cstheme="majorHAnsi"/>
          <w:color w:val="auto"/>
          <w:sz w:val="18"/>
          <w:szCs w:val="18"/>
          <w:lang w:val="ka-GE"/>
        </w:rPr>
        <w:fldChar w:fldCharType="end"/>
      </w:r>
      <w:r w:rsidRPr="0071006D">
        <w:rPr>
          <w:rFonts w:asciiTheme="majorHAnsi" w:hAnsiTheme="majorHAnsi" w:cstheme="majorHAnsi"/>
          <w:sz w:val="18"/>
          <w:szCs w:val="18"/>
          <w:lang w:val="ka-GE"/>
        </w:rPr>
        <w:t xml:space="preserve">  Amnesty International</w:t>
      </w:r>
      <w:r w:rsidRPr="0071006D">
        <w:rPr>
          <w:rFonts w:asciiTheme="majorHAnsi" w:hAnsiTheme="majorHAnsi" w:cstheme="majorHAnsi"/>
          <w:sz w:val="18"/>
          <w:szCs w:val="18"/>
        </w:rPr>
        <w:t xml:space="preserve"> </w:t>
      </w:r>
      <w:r w:rsidRPr="0071006D">
        <w:rPr>
          <w:rFonts w:asciiTheme="majorHAnsi" w:hAnsiTheme="majorHAnsi" w:cstheme="majorHAnsi"/>
          <w:sz w:val="18"/>
          <w:szCs w:val="18"/>
          <w:lang w:val="ka-GE"/>
        </w:rPr>
        <w:t xml:space="preserve">2017-2018 </w:t>
      </w:r>
      <w:r w:rsidRPr="0071006D">
        <w:rPr>
          <w:rFonts w:asciiTheme="majorHAnsi" w:hAnsiTheme="majorHAnsi" w:cstheme="majorHAnsi"/>
          <w:sz w:val="18"/>
          <w:szCs w:val="18"/>
        </w:rPr>
        <w:t>Report on Georgia, Available at:</w:t>
      </w:r>
      <w:r w:rsidRPr="0071006D">
        <w:rPr>
          <w:rFonts w:asciiTheme="majorHAnsi" w:hAnsiTheme="majorHAnsi" w:cstheme="majorHAnsi"/>
          <w:sz w:val="18"/>
          <w:szCs w:val="18"/>
          <w:lang w:val="ka-GE"/>
        </w:rPr>
        <w:t xml:space="preserve"> </w:t>
      </w:r>
      <w:hyperlink r:id="rId34" w:history="1">
        <w:r w:rsidRPr="0071006D">
          <w:rPr>
            <w:rStyle w:val="Hyperlink"/>
            <w:rFonts w:asciiTheme="majorHAnsi" w:hAnsiTheme="majorHAnsi" w:cstheme="majorHAnsi"/>
            <w:color w:val="auto"/>
            <w:sz w:val="18"/>
            <w:szCs w:val="18"/>
            <w:lang w:val="ka-GE"/>
          </w:rPr>
          <w:t>http://bit.ly/2Ind9A0</w:t>
        </w:r>
      </w:hyperlink>
      <w:r w:rsidRPr="0071006D">
        <w:rPr>
          <w:rFonts w:asciiTheme="majorHAnsi" w:hAnsiTheme="majorHAnsi" w:cstheme="majorHAnsi"/>
          <w:sz w:val="18"/>
          <w:szCs w:val="18"/>
          <w:lang w:val="ka-GE"/>
        </w:rPr>
        <w:t xml:space="preserve"> </w:t>
      </w:r>
    </w:p>
  </w:footnote>
  <w:footnote w:id="64">
    <w:p w14:paraId="4CCC2710" w14:textId="14E2E0EE"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See completely at: </w:t>
      </w:r>
      <w:r w:rsidRPr="0071006D">
        <w:rPr>
          <w:rFonts w:asciiTheme="majorHAnsi" w:hAnsiTheme="majorHAnsi" w:cstheme="majorHAnsi"/>
          <w:sz w:val="18"/>
          <w:szCs w:val="18"/>
          <w:lang w:val="ka-GE"/>
        </w:rPr>
        <w:t xml:space="preserve"> </w:t>
      </w:r>
      <w:hyperlink r:id="rId35" w:history="1">
        <w:r w:rsidRPr="0071006D">
          <w:rPr>
            <w:rStyle w:val="Hyperlink"/>
            <w:rFonts w:asciiTheme="majorHAnsi" w:hAnsiTheme="majorHAnsi" w:cstheme="majorHAnsi"/>
            <w:color w:val="auto"/>
            <w:sz w:val="18"/>
            <w:szCs w:val="18"/>
            <w:lang w:val="ka-GE"/>
          </w:rPr>
          <w:t>https://bit.ly/3jImdRj</w:t>
        </w:r>
      </w:hyperlink>
      <w:r w:rsidRPr="0071006D">
        <w:rPr>
          <w:rFonts w:asciiTheme="majorHAnsi" w:hAnsiTheme="majorHAnsi" w:cstheme="majorHAnsi"/>
          <w:sz w:val="18"/>
          <w:szCs w:val="18"/>
          <w:lang w:val="ka-GE"/>
        </w:rPr>
        <w:t xml:space="preserve">, </w:t>
      </w:r>
    </w:p>
  </w:footnote>
  <w:footnote w:id="65">
    <w:p w14:paraId="4F037BE2" w14:textId="4FB6E5D0"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Pr>
          <w:rFonts w:asciiTheme="majorHAnsi" w:hAnsiTheme="majorHAnsi" w:cstheme="majorHAnsi"/>
          <w:sz w:val="18"/>
          <w:szCs w:val="18"/>
        </w:rPr>
        <w:t>PDO</w:t>
      </w:r>
      <w:r w:rsidRPr="0071006D">
        <w:rPr>
          <w:rFonts w:asciiTheme="majorHAnsi" w:hAnsiTheme="majorHAnsi" w:cstheme="majorHAnsi"/>
          <w:sz w:val="18"/>
          <w:szCs w:val="18"/>
        </w:rPr>
        <w:t xml:space="preserve"> Report on the Situation of Rights and Freedoms Protection in Georgia, 2019</w:t>
      </w:r>
      <w:r>
        <w:rPr>
          <w:rFonts w:asciiTheme="majorHAnsi" w:hAnsiTheme="majorHAnsi" w:cstheme="majorHAnsi"/>
          <w:sz w:val="18"/>
          <w:szCs w:val="18"/>
        </w:rPr>
        <w:t>.</w:t>
      </w:r>
    </w:p>
  </w:footnote>
  <w:footnote w:id="66">
    <w:p w14:paraId="53B47C98" w14:textId="1064ED4C"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iCs/>
          <w:sz w:val="18"/>
          <w:szCs w:val="18"/>
          <w:lang w:val="ka-GE"/>
        </w:rPr>
        <w:t>Ill-treatment Prevention in Police Work</w:t>
      </w:r>
      <w:r w:rsidRPr="0071006D">
        <w:rPr>
          <w:rFonts w:asciiTheme="majorHAnsi" w:hAnsiTheme="majorHAnsi" w:cstheme="majorHAnsi"/>
          <w:iCs/>
          <w:sz w:val="18"/>
          <w:szCs w:val="18"/>
        </w:rPr>
        <w:t xml:space="preserve">, EMC, </w:t>
      </w:r>
      <w:r w:rsidRPr="0071006D">
        <w:rPr>
          <w:rFonts w:asciiTheme="majorHAnsi" w:hAnsiTheme="majorHAnsi" w:cstheme="majorHAnsi"/>
          <w:sz w:val="18"/>
          <w:szCs w:val="18"/>
          <w:lang w:val="ka-GE"/>
        </w:rPr>
        <w:t xml:space="preserve">2019, </w:t>
      </w:r>
      <w:r w:rsidRPr="0071006D">
        <w:rPr>
          <w:rFonts w:asciiTheme="majorHAnsi" w:hAnsiTheme="majorHAnsi" w:cstheme="majorHAnsi"/>
          <w:iCs/>
          <w:sz w:val="18"/>
          <w:szCs w:val="18"/>
        </w:rPr>
        <w:t>available at:</w:t>
      </w:r>
      <w:r w:rsidRPr="0071006D">
        <w:rPr>
          <w:rFonts w:asciiTheme="majorHAnsi" w:hAnsiTheme="majorHAnsi" w:cstheme="majorHAnsi"/>
          <w:i/>
          <w:sz w:val="18"/>
          <w:szCs w:val="18"/>
          <w:lang w:val="ka-GE"/>
        </w:rPr>
        <w:t xml:space="preserve"> </w:t>
      </w:r>
      <w:hyperlink r:id="rId36" w:history="1">
        <w:r w:rsidRPr="0071006D">
          <w:rPr>
            <w:rStyle w:val="Hyperlink"/>
            <w:rFonts w:asciiTheme="majorHAnsi" w:hAnsiTheme="majorHAnsi" w:cstheme="majorHAnsi"/>
            <w:i/>
            <w:color w:val="auto"/>
            <w:sz w:val="18"/>
            <w:szCs w:val="18"/>
            <w:lang w:val="ka-GE"/>
          </w:rPr>
          <w:t>https://emc.org.ge/en/products/arasatanado-mopqrobis-preventsia-politsiis-sakmianobashi</w:t>
        </w:r>
      </w:hyperlink>
      <w:r w:rsidRPr="0071006D">
        <w:rPr>
          <w:rFonts w:asciiTheme="majorHAnsi" w:hAnsiTheme="majorHAnsi" w:cstheme="majorHAnsi"/>
          <w:i/>
          <w:sz w:val="18"/>
          <w:szCs w:val="18"/>
        </w:rPr>
        <w:t xml:space="preserve"> </w:t>
      </w:r>
    </w:p>
  </w:footnote>
  <w:footnote w:id="67">
    <w:p w14:paraId="4E1CB7D9" w14:textId="22C8AF87"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Human Rights Watch, World Report 2020, Georgia, Lack of Accountability for Law Enforcement Abuses, available: </w:t>
      </w:r>
      <w:hyperlink r:id="rId37" w:history="1">
        <w:r w:rsidRPr="0071006D">
          <w:rPr>
            <w:rFonts w:asciiTheme="majorHAnsi" w:hAnsiTheme="majorHAnsi" w:cstheme="majorHAnsi"/>
            <w:sz w:val="18"/>
            <w:szCs w:val="18"/>
          </w:rPr>
          <w:t>https://bit.ly/3hIUQob</w:t>
        </w:r>
      </w:hyperlink>
      <w:r w:rsidRPr="0071006D">
        <w:rPr>
          <w:rFonts w:asciiTheme="majorHAnsi" w:hAnsiTheme="majorHAnsi" w:cstheme="majorHAnsi"/>
          <w:sz w:val="18"/>
          <w:szCs w:val="18"/>
        </w:rPr>
        <w:t xml:space="preserve">   </w:t>
      </w:r>
    </w:p>
  </w:footnote>
  <w:footnote w:id="68">
    <w:p w14:paraId="3D451AAC" w14:textId="77777777" w:rsidR="000F4173" w:rsidRPr="0071006D" w:rsidRDefault="000F4173" w:rsidP="0071006D">
      <w:pPr>
        <w:pStyle w:val="FootnoteText"/>
        <w:rPr>
          <w:rFonts w:asciiTheme="majorHAnsi" w:hAnsiTheme="majorHAnsi" w:cstheme="majorHAnsi"/>
          <w:noProof/>
          <w:sz w:val="18"/>
          <w:szCs w:val="18"/>
        </w:rPr>
      </w:pPr>
      <w:r w:rsidRPr="0071006D">
        <w:rPr>
          <w:rStyle w:val="FootnoteReference"/>
          <w:rFonts w:asciiTheme="majorHAnsi" w:hAnsiTheme="majorHAnsi" w:cstheme="majorHAnsi"/>
          <w:noProof/>
          <w:sz w:val="18"/>
          <w:szCs w:val="18"/>
        </w:rPr>
        <w:footnoteRef/>
      </w:r>
      <w:r w:rsidRPr="0071006D">
        <w:rPr>
          <w:rFonts w:asciiTheme="majorHAnsi" w:hAnsiTheme="majorHAnsi" w:cstheme="majorHAnsi"/>
          <w:noProof/>
          <w:sz w:val="18"/>
          <w:szCs w:val="18"/>
        </w:rPr>
        <w:t xml:space="preserve"> Article 6(6) of the Law of Georgia on the State Inspector Service;</w:t>
      </w:r>
    </w:p>
  </w:footnote>
  <w:footnote w:id="69">
    <w:p w14:paraId="3EC5D780" w14:textId="506D5771" w:rsidR="000F4173" w:rsidRPr="0071006D" w:rsidRDefault="000F4173" w:rsidP="0071006D">
      <w:pPr>
        <w:pStyle w:val="FootnoteText"/>
        <w:jc w:val="both"/>
        <w:rPr>
          <w:rFonts w:asciiTheme="majorHAnsi" w:hAnsiTheme="majorHAnsi" w:cstheme="majorHAnsi"/>
          <w:noProof/>
          <w:sz w:val="18"/>
          <w:szCs w:val="18"/>
        </w:rPr>
      </w:pPr>
      <w:r w:rsidRPr="0071006D">
        <w:rPr>
          <w:rStyle w:val="FootnoteReference"/>
          <w:rFonts w:asciiTheme="majorHAnsi" w:hAnsiTheme="majorHAnsi" w:cstheme="majorHAnsi"/>
          <w:noProof/>
          <w:sz w:val="18"/>
          <w:szCs w:val="18"/>
        </w:rPr>
        <w:footnoteRef/>
      </w:r>
      <w:r w:rsidRPr="0071006D">
        <w:rPr>
          <w:rFonts w:asciiTheme="majorHAnsi" w:hAnsiTheme="majorHAnsi" w:cstheme="majorHAnsi"/>
          <w:noProof/>
          <w:sz w:val="18"/>
          <w:szCs w:val="18"/>
        </w:rPr>
        <w:t xml:space="preserve"> </w:t>
      </w:r>
      <w:r w:rsidRPr="0071006D">
        <w:rPr>
          <w:rFonts w:asciiTheme="majorHAnsi" w:hAnsiTheme="majorHAnsi" w:cstheme="majorHAnsi"/>
          <w:sz w:val="18"/>
          <w:szCs w:val="18"/>
        </w:rPr>
        <w:t>The law on State Inspector Service, Article 6(6).</w:t>
      </w:r>
      <w:r w:rsidRPr="0071006D">
        <w:rPr>
          <w:rFonts w:asciiTheme="majorHAnsi" w:hAnsiTheme="majorHAnsi" w:cstheme="majorHAnsi"/>
          <w:noProof/>
          <w:sz w:val="18"/>
          <w:szCs w:val="18"/>
        </w:rPr>
        <w:t xml:space="preserve"> </w:t>
      </w:r>
    </w:p>
  </w:footnote>
  <w:footnote w:id="70">
    <w:p w14:paraId="763A7217" w14:textId="4FF534C2"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Order N3 of General Prosecutor of August 23, 2019 "On Determining the Investigative and Territorial Investigative Subordination of Criminal Cases"</w:t>
      </w:r>
    </w:p>
  </w:footnote>
  <w:footnote w:id="71">
    <w:p w14:paraId="3B37C614" w14:textId="097B2426"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i/>
          <w:sz w:val="18"/>
          <w:szCs w:val="18"/>
        </w:rPr>
        <w:t xml:space="preserve"> </w:t>
      </w:r>
      <w:r w:rsidRPr="0071006D">
        <w:rPr>
          <w:rFonts w:asciiTheme="majorHAnsi" w:hAnsiTheme="majorHAnsi" w:cstheme="majorHAnsi"/>
          <w:iCs/>
          <w:sz w:val="18"/>
          <w:szCs w:val="18"/>
          <w:lang w:val="ka-GE"/>
        </w:rPr>
        <w:t>Ill-treatment Prevention in Police Work</w:t>
      </w:r>
      <w:r w:rsidRPr="0071006D">
        <w:rPr>
          <w:rFonts w:asciiTheme="majorHAnsi" w:hAnsiTheme="majorHAnsi" w:cstheme="majorHAnsi"/>
          <w:iCs/>
          <w:sz w:val="18"/>
          <w:szCs w:val="18"/>
        </w:rPr>
        <w:t xml:space="preserve">, 2019,  </w:t>
      </w:r>
      <w:proofErr w:type="spellStart"/>
      <w:r w:rsidRPr="0071006D">
        <w:rPr>
          <w:rFonts w:asciiTheme="majorHAnsi" w:hAnsiTheme="majorHAnsi" w:cstheme="majorHAnsi"/>
          <w:sz w:val="18"/>
          <w:szCs w:val="18"/>
        </w:rPr>
        <w:t>pg</w:t>
      </w:r>
      <w:proofErr w:type="spellEnd"/>
      <w:r>
        <w:rPr>
          <w:rFonts w:asciiTheme="majorHAnsi" w:hAnsiTheme="majorHAnsi" w:cstheme="majorHAnsi"/>
          <w:sz w:val="18"/>
          <w:szCs w:val="18"/>
        </w:rPr>
        <w:t xml:space="preserve">: </w:t>
      </w:r>
      <w:r w:rsidRPr="0071006D">
        <w:rPr>
          <w:rFonts w:asciiTheme="majorHAnsi" w:hAnsiTheme="majorHAnsi" w:cstheme="majorHAnsi"/>
          <w:sz w:val="18"/>
          <w:szCs w:val="18"/>
          <w:lang w:val="ka-GE"/>
        </w:rPr>
        <w:t>18</w:t>
      </w:r>
      <w:r w:rsidRPr="0071006D">
        <w:rPr>
          <w:rFonts w:asciiTheme="majorHAnsi" w:hAnsiTheme="majorHAnsi" w:cstheme="majorHAnsi"/>
          <w:sz w:val="18"/>
          <w:szCs w:val="18"/>
        </w:rPr>
        <w:t xml:space="preserve">. </w:t>
      </w:r>
    </w:p>
  </w:footnote>
  <w:footnote w:id="72">
    <w:p w14:paraId="65B6D27E" w14:textId="0F6836AC"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w:t>
      </w:r>
      <w:r w:rsidRPr="00256F01">
        <w:rPr>
          <w:rFonts w:asciiTheme="majorHAnsi" w:hAnsiTheme="majorHAnsi" w:cstheme="majorHAnsi"/>
          <w:iCs/>
          <w:sz w:val="18"/>
          <w:szCs w:val="18"/>
        </w:rPr>
        <w:t>Investigative System Analysis,</w:t>
      </w:r>
      <w:r w:rsidRPr="0024027F">
        <w:rPr>
          <w:rFonts w:asciiTheme="majorHAnsi" w:hAnsiTheme="majorHAnsi" w:cstheme="majorHAnsi"/>
          <w:iCs/>
          <w:sz w:val="18"/>
          <w:szCs w:val="18"/>
        </w:rPr>
        <w:t xml:space="preserve"> EMC</w:t>
      </w:r>
      <w:r w:rsidRPr="0071006D">
        <w:rPr>
          <w:rFonts w:asciiTheme="majorHAnsi" w:hAnsiTheme="majorHAnsi" w:cstheme="majorHAnsi"/>
          <w:sz w:val="18"/>
          <w:szCs w:val="18"/>
        </w:rPr>
        <w:t xml:space="preserve">, Tbilisi 2018, available: </w:t>
      </w:r>
      <w:hyperlink r:id="rId38" w:history="1">
        <w:r w:rsidRPr="0071006D">
          <w:rPr>
            <w:rStyle w:val="Hyperlink"/>
            <w:rFonts w:asciiTheme="majorHAnsi" w:hAnsiTheme="majorHAnsi" w:cstheme="majorHAnsi"/>
            <w:color w:val="auto"/>
            <w:sz w:val="18"/>
            <w:szCs w:val="18"/>
          </w:rPr>
          <w:t>https://bit.ly/302hd23</w:t>
        </w:r>
      </w:hyperlink>
      <w:r w:rsidRPr="0071006D">
        <w:rPr>
          <w:rFonts w:asciiTheme="majorHAnsi" w:hAnsiTheme="majorHAnsi" w:cstheme="majorHAnsi"/>
          <w:sz w:val="18"/>
          <w:szCs w:val="18"/>
        </w:rPr>
        <w:t xml:space="preserve">, </w:t>
      </w:r>
    </w:p>
  </w:footnote>
  <w:footnote w:id="73">
    <w:p w14:paraId="3149AF74" w14:textId="017CCB71"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w:t>
      </w:r>
      <w:r w:rsidRPr="0071006D">
        <w:rPr>
          <w:rFonts w:asciiTheme="majorHAnsi" w:hAnsiTheme="majorHAnsi" w:cstheme="majorHAnsi"/>
          <w:i/>
          <w:sz w:val="18"/>
          <w:szCs w:val="18"/>
        </w:rPr>
        <w:t xml:space="preserve">ibid. </w:t>
      </w:r>
      <w:r w:rsidRPr="0071006D">
        <w:rPr>
          <w:rFonts w:asciiTheme="majorHAnsi" w:hAnsiTheme="majorHAnsi" w:cstheme="majorHAnsi"/>
          <w:sz w:val="18"/>
          <w:szCs w:val="18"/>
        </w:rPr>
        <w:t xml:space="preserve"> </w:t>
      </w:r>
    </w:p>
  </w:footnote>
  <w:footnote w:id="74">
    <w:p w14:paraId="2AEB64F0" w14:textId="084196E7"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According to the joint statistics of </w:t>
      </w:r>
      <w:r>
        <w:rPr>
          <w:rFonts w:asciiTheme="majorHAnsi" w:hAnsiTheme="majorHAnsi" w:cstheme="majorHAnsi"/>
          <w:sz w:val="18"/>
          <w:szCs w:val="18"/>
        </w:rPr>
        <w:t>PDO</w:t>
      </w:r>
      <w:r w:rsidRPr="0071006D">
        <w:rPr>
          <w:rFonts w:asciiTheme="majorHAnsi" w:hAnsiTheme="majorHAnsi" w:cstheme="majorHAnsi"/>
          <w:sz w:val="18"/>
          <w:szCs w:val="18"/>
          <w:lang w:val="ka-GE"/>
        </w:rPr>
        <w:t xml:space="preserve"> and NGO sector, they referred to Prosecutor’s office on 50 cases from 2017 till April 2019, but criminal prosecution was started only in 1 case, in 1 case investigation was terminated and it still continues without any result in 48 cases. </w:t>
      </w:r>
      <w:r w:rsidRPr="0071006D">
        <w:rPr>
          <w:rFonts w:asciiTheme="majorHAnsi" w:hAnsiTheme="majorHAnsi" w:cstheme="majorHAnsi"/>
          <w:sz w:val="18"/>
          <w:szCs w:val="18"/>
        </w:rPr>
        <w:t>PDO on Situation of Human Rights and Freedoms in Georgia, 2018, available at:</w:t>
      </w:r>
      <w:r w:rsidRPr="0071006D">
        <w:rPr>
          <w:rFonts w:asciiTheme="majorHAnsi" w:hAnsiTheme="majorHAnsi" w:cstheme="majorHAnsi"/>
          <w:sz w:val="18"/>
          <w:szCs w:val="18"/>
          <w:lang w:val="ka-GE"/>
        </w:rPr>
        <w:t xml:space="preserve">  </w:t>
      </w:r>
      <w:hyperlink r:id="rId39" w:history="1">
        <w:r w:rsidRPr="0071006D">
          <w:rPr>
            <w:rStyle w:val="Hyperlink"/>
            <w:rFonts w:asciiTheme="majorHAnsi" w:hAnsiTheme="majorHAnsi" w:cstheme="majorHAnsi"/>
            <w:color w:val="auto"/>
            <w:sz w:val="18"/>
            <w:szCs w:val="18"/>
            <w:lang w:val="ka-GE"/>
          </w:rPr>
          <w:t>http://www.ombudsman.ge/res/docs/2019101108583612469.pdf</w:t>
        </w:r>
      </w:hyperlink>
      <w:r w:rsidRPr="0071006D">
        <w:rPr>
          <w:rStyle w:val="Hyperlink"/>
          <w:rFonts w:asciiTheme="majorHAnsi" w:hAnsiTheme="majorHAnsi" w:cstheme="majorHAnsi"/>
          <w:color w:val="auto"/>
          <w:sz w:val="18"/>
          <w:szCs w:val="18"/>
        </w:rPr>
        <w:t xml:space="preserve"> </w:t>
      </w:r>
    </w:p>
  </w:footnote>
  <w:footnote w:id="75">
    <w:p w14:paraId="4F4AB3AF" w14:textId="371B71CF"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PDO Parliamentary Report, 2019</w:t>
      </w:r>
      <w:r>
        <w:rPr>
          <w:rFonts w:asciiTheme="majorHAnsi" w:hAnsiTheme="majorHAnsi" w:cstheme="majorHAnsi"/>
          <w:sz w:val="18"/>
          <w:szCs w:val="18"/>
        </w:rPr>
        <w:t xml:space="preserve">. </w:t>
      </w:r>
    </w:p>
  </w:footnote>
  <w:footnote w:id="76">
    <w:p w14:paraId="3B8C138F" w14:textId="623B2C03"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GYLA report “Prevention of and Response to Incidents of Ill-Treatment”, </w:t>
      </w:r>
      <w:r w:rsidRPr="0071006D">
        <w:rPr>
          <w:rFonts w:asciiTheme="majorHAnsi" w:hAnsiTheme="majorHAnsi" w:cstheme="majorHAnsi"/>
          <w:sz w:val="18"/>
          <w:szCs w:val="18"/>
          <w:lang w:val="ka-GE"/>
        </w:rPr>
        <w:t xml:space="preserve">2019, </w:t>
      </w:r>
      <w:hyperlink r:id="rId40" w:history="1">
        <w:r w:rsidRPr="0071006D">
          <w:rPr>
            <w:rStyle w:val="Hyperlink"/>
            <w:rFonts w:asciiTheme="majorHAnsi" w:hAnsiTheme="majorHAnsi" w:cstheme="majorHAnsi"/>
            <w:color w:val="auto"/>
            <w:sz w:val="18"/>
            <w:szCs w:val="18"/>
            <w:lang w:val="ka-GE"/>
          </w:rPr>
          <w:t>https://gyla.ge/files/news/2006/Report.%20eng.pdf</w:t>
        </w:r>
      </w:hyperlink>
      <w:r w:rsidRPr="0071006D">
        <w:rPr>
          <w:rFonts w:asciiTheme="majorHAnsi" w:hAnsiTheme="majorHAnsi" w:cstheme="majorHAnsi"/>
          <w:sz w:val="18"/>
          <w:szCs w:val="18"/>
        </w:rPr>
        <w:t xml:space="preserve"> </w:t>
      </w:r>
    </w:p>
  </w:footnote>
  <w:footnote w:id="77">
    <w:p w14:paraId="07D71C82" w14:textId="507CA404"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GYLA report </w:t>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“Prevention</w:t>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and</w:t>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Forms</w:t>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of Torture and Ill-Treatment, </w:t>
      </w:r>
      <w:r w:rsidRPr="0071006D">
        <w:rPr>
          <w:rFonts w:asciiTheme="majorHAnsi" w:hAnsiTheme="majorHAnsi" w:cstheme="majorHAnsi"/>
          <w:sz w:val="18"/>
          <w:szCs w:val="18"/>
          <w:lang w:val="ka-GE"/>
        </w:rPr>
        <w:t xml:space="preserve">2020, </w:t>
      </w:r>
      <w:r w:rsidRPr="0071006D">
        <w:rPr>
          <w:rFonts w:asciiTheme="majorHAnsi" w:hAnsiTheme="majorHAnsi" w:cstheme="majorHAnsi"/>
          <w:sz w:val="18"/>
          <w:szCs w:val="18"/>
        </w:rPr>
        <w:t xml:space="preserve">Available at: </w:t>
      </w:r>
      <w:r w:rsidRPr="0071006D">
        <w:rPr>
          <w:rFonts w:asciiTheme="majorHAnsi" w:hAnsiTheme="majorHAnsi" w:cstheme="majorHAnsi"/>
          <w:sz w:val="18"/>
          <w:szCs w:val="18"/>
          <w:lang w:val="ka-GE"/>
        </w:rPr>
        <w:t xml:space="preserve"> </w:t>
      </w:r>
      <w:hyperlink r:id="rId41" w:history="1">
        <w:r w:rsidRPr="0071006D">
          <w:rPr>
            <w:rStyle w:val="Hyperlink"/>
            <w:rFonts w:asciiTheme="majorHAnsi" w:hAnsiTheme="majorHAnsi" w:cstheme="majorHAnsi"/>
            <w:color w:val="auto"/>
            <w:sz w:val="18"/>
            <w:szCs w:val="18"/>
            <w:lang w:val="ka-GE"/>
          </w:rPr>
          <w:t>https://bit.ly/2EcfL4M</w:t>
        </w:r>
      </w:hyperlink>
      <w:r w:rsidRPr="0071006D">
        <w:rPr>
          <w:rFonts w:asciiTheme="majorHAnsi" w:hAnsiTheme="majorHAnsi" w:cstheme="majorHAnsi"/>
          <w:sz w:val="18"/>
          <w:szCs w:val="18"/>
          <w:lang w:val="ka-GE"/>
        </w:rPr>
        <w:t xml:space="preserve"> </w:t>
      </w:r>
    </w:p>
  </w:footnote>
  <w:footnote w:id="78">
    <w:p w14:paraId="626D6C9C" w14:textId="288D1417"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GYLA statement The Events of June 20-21 are Uninvestigated, </w:t>
      </w:r>
      <w:r w:rsidRPr="0071006D">
        <w:rPr>
          <w:rFonts w:asciiTheme="majorHAnsi" w:hAnsiTheme="majorHAnsi" w:cstheme="majorHAnsi"/>
          <w:sz w:val="18"/>
          <w:szCs w:val="18"/>
          <w:lang w:val="ka-GE"/>
        </w:rPr>
        <w:t xml:space="preserve">2020, </w:t>
      </w:r>
      <w:r w:rsidRPr="0071006D">
        <w:rPr>
          <w:rFonts w:asciiTheme="majorHAnsi" w:hAnsiTheme="majorHAnsi" w:cstheme="majorHAnsi"/>
          <w:sz w:val="18"/>
          <w:szCs w:val="18"/>
        </w:rPr>
        <w:t xml:space="preserve">available at: </w:t>
      </w:r>
      <w:hyperlink r:id="rId42" w:anchor="sthash.bC8Mkz6V.dpbs" w:history="1">
        <w:r w:rsidRPr="0071006D">
          <w:rPr>
            <w:rStyle w:val="Hyperlink"/>
            <w:rFonts w:asciiTheme="majorHAnsi" w:hAnsiTheme="majorHAnsi" w:cstheme="majorHAnsi"/>
            <w:color w:val="auto"/>
            <w:sz w:val="18"/>
            <w:szCs w:val="18"/>
          </w:rPr>
          <w:t>https://gyla.ge/en/post/20-21-ivnisis-movlenebi-gamoudziebelia#sthash.bC8Mkz6V.dpbs</w:t>
        </w:r>
      </w:hyperlink>
      <w:r w:rsidRPr="0071006D">
        <w:rPr>
          <w:rFonts w:asciiTheme="majorHAnsi" w:hAnsiTheme="majorHAnsi" w:cstheme="majorHAnsi"/>
          <w:sz w:val="18"/>
          <w:szCs w:val="18"/>
        </w:rPr>
        <w:t xml:space="preserve"> </w:t>
      </w:r>
      <w:r w:rsidRPr="0071006D">
        <w:rPr>
          <w:rFonts w:asciiTheme="majorHAnsi" w:hAnsiTheme="majorHAnsi" w:cstheme="majorHAnsi"/>
          <w:sz w:val="18"/>
          <w:szCs w:val="18"/>
          <w:lang w:val="ka-GE"/>
        </w:rPr>
        <w:t xml:space="preserve"> </w:t>
      </w:r>
    </w:p>
  </w:footnote>
  <w:footnote w:id="79">
    <w:p w14:paraId="1AEC7E28" w14:textId="2D5F22AB"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GYLA report </w:t>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“Prevention</w:t>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and</w:t>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Forms</w:t>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of Torture and Ill-Treatment, </w:t>
      </w:r>
      <w:r w:rsidRPr="0071006D">
        <w:rPr>
          <w:rFonts w:asciiTheme="majorHAnsi" w:hAnsiTheme="majorHAnsi" w:cstheme="majorHAnsi"/>
          <w:sz w:val="18"/>
          <w:szCs w:val="18"/>
          <w:lang w:val="ka-GE"/>
        </w:rPr>
        <w:t xml:space="preserve">2020, </w:t>
      </w:r>
      <w:r w:rsidRPr="0071006D">
        <w:rPr>
          <w:rFonts w:asciiTheme="majorHAnsi" w:hAnsiTheme="majorHAnsi" w:cstheme="majorHAnsi"/>
          <w:sz w:val="18"/>
          <w:szCs w:val="18"/>
        </w:rPr>
        <w:t xml:space="preserve">Available at: </w:t>
      </w:r>
      <w:r w:rsidRPr="0071006D">
        <w:rPr>
          <w:rFonts w:asciiTheme="majorHAnsi" w:hAnsiTheme="majorHAnsi" w:cstheme="majorHAnsi"/>
          <w:sz w:val="18"/>
          <w:szCs w:val="18"/>
          <w:lang w:val="ka-GE"/>
        </w:rPr>
        <w:t xml:space="preserve"> </w:t>
      </w:r>
      <w:hyperlink r:id="rId43" w:history="1">
        <w:r w:rsidRPr="0071006D">
          <w:rPr>
            <w:rStyle w:val="Hyperlink"/>
            <w:rFonts w:asciiTheme="majorHAnsi" w:hAnsiTheme="majorHAnsi" w:cstheme="majorHAnsi"/>
            <w:color w:val="auto"/>
            <w:sz w:val="18"/>
            <w:szCs w:val="18"/>
            <w:lang w:val="ka-GE"/>
          </w:rPr>
          <w:t>https://bit.ly/2EcfL4M</w:t>
        </w:r>
      </w:hyperlink>
    </w:p>
  </w:footnote>
  <w:footnote w:id="80">
    <w:p w14:paraId="77C78193" w14:textId="2F89086C" w:rsidR="000F4173" w:rsidRPr="0071006D" w:rsidRDefault="000F4173" w:rsidP="0071006D">
      <w:pPr>
        <w:pStyle w:val="FootnoteText"/>
        <w:jc w:val="both"/>
        <w:rPr>
          <w:rFonts w:asciiTheme="majorHAnsi" w:hAnsiTheme="majorHAnsi" w:cstheme="majorHAnsi"/>
          <w:sz w:val="18"/>
          <w:szCs w:val="18"/>
          <w:u w:val="singl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GYLA report “Prevention of and Response to Incidents of Ill-Treatment”, </w:t>
      </w:r>
      <w:proofErr w:type="spellStart"/>
      <w:r w:rsidRPr="0071006D">
        <w:rPr>
          <w:rFonts w:asciiTheme="majorHAnsi" w:hAnsiTheme="majorHAnsi" w:cstheme="majorHAnsi"/>
          <w:sz w:val="18"/>
          <w:szCs w:val="18"/>
        </w:rPr>
        <w:t>pg</w:t>
      </w:r>
      <w:proofErr w:type="spellEnd"/>
      <w:r w:rsidRPr="0071006D">
        <w:rPr>
          <w:rFonts w:asciiTheme="majorHAnsi" w:hAnsiTheme="majorHAnsi" w:cstheme="majorHAnsi"/>
          <w:sz w:val="18"/>
          <w:szCs w:val="18"/>
        </w:rPr>
        <w:t xml:space="preserve">: </w:t>
      </w:r>
      <w:r w:rsidRPr="0071006D">
        <w:rPr>
          <w:rFonts w:asciiTheme="majorHAnsi" w:hAnsiTheme="majorHAnsi" w:cstheme="majorHAnsi"/>
          <w:sz w:val="18"/>
          <w:szCs w:val="18"/>
          <w:lang w:val="ka-GE"/>
        </w:rPr>
        <w:t>30, 31</w:t>
      </w:r>
      <w:r w:rsidRPr="0071006D">
        <w:rPr>
          <w:rFonts w:asciiTheme="majorHAnsi" w:hAnsiTheme="majorHAnsi" w:cstheme="majorHAnsi"/>
          <w:sz w:val="18"/>
          <w:szCs w:val="18"/>
        </w:rPr>
        <w:t xml:space="preserve">; PDO Report, 2018, </w:t>
      </w:r>
      <w:proofErr w:type="spellStart"/>
      <w:r w:rsidRPr="0071006D">
        <w:rPr>
          <w:rFonts w:asciiTheme="majorHAnsi" w:hAnsiTheme="majorHAnsi" w:cstheme="majorHAnsi"/>
          <w:sz w:val="18"/>
          <w:szCs w:val="18"/>
        </w:rPr>
        <w:t>pg</w:t>
      </w:r>
      <w:proofErr w:type="spellEnd"/>
      <w:r w:rsidRPr="0071006D">
        <w:rPr>
          <w:rFonts w:asciiTheme="majorHAnsi" w:hAnsiTheme="majorHAnsi" w:cstheme="majorHAnsi"/>
          <w:sz w:val="18"/>
          <w:szCs w:val="18"/>
        </w:rPr>
        <w:t xml:space="preserve">: 25, 63. </w:t>
      </w:r>
    </w:p>
  </w:footnote>
  <w:footnote w:id="81">
    <w:p w14:paraId="273AEEA2" w14:textId="2C5845A5"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Repression Beyond Borders: exiled Azerbaijanis in Georgia</w:t>
      </w:r>
      <w:r w:rsidRPr="0071006D">
        <w:rPr>
          <w:rFonts w:asciiTheme="majorHAnsi" w:hAnsiTheme="majorHAnsi" w:cstheme="majorHAnsi"/>
          <w:sz w:val="18"/>
          <w:szCs w:val="18"/>
        </w:rPr>
        <w:t xml:space="preserve">, EMC, 2017, available at: </w:t>
      </w:r>
      <w:hyperlink r:id="rId44" w:history="1">
        <w:r w:rsidRPr="0071006D">
          <w:rPr>
            <w:rStyle w:val="Hyperlink"/>
            <w:rFonts w:asciiTheme="majorHAnsi" w:hAnsiTheme="majorHAnsi" w:cstheme="majorHAnsi"/>
            <w:color w:val="auto"/>
            <w:sz w:val="18"/>
            <w:szCs w:val="18"/>
          </w:rPr>
          <w:t>https://emc.org.ge/en/products/represia-sazghvrebs-mighma-azerbaijanidan-devnili-mokalakeebi-sakartveloshi</w:t>
        </w:r>
      </w:hyperlink>
      <w:r w:rsidRPr="0071006D">
        <w:rPr>
          <w:rFonts w:asciiTheme="majorHAnsi" w:hAnsiTheme="majorHAnsi" w:cstheme="majorHAnsi"/>
          <w:sz w:val="18"/>
          <w:szCs w:val="18"/>
        </w:rPr>
        <w:t xml:space="preserve">; See also </w:t>
      </w:r>
      <w:r w:rsidRPr="0071006D">
        <w:rPr>
          <w:rFonts w:asciiTheme="majorHAnsi" w:hAnsiTheme="majorHAnsi" w:cstheme="majorHAnsi"/>
          <w:sz w:val="18"/>
          <w:szCs w:val="18"/>
          <w:lang w:val="ka-GE"/>
        </w:rPr>
        <w:t>The Review of the Cases of Azerbaijani Journalists and Activists</w:t>
      </w:r>
      <w:r w:rsidRPr="0071006D">
        <w:rPr>
          <w:rFonts w:asciiTheme="majorHAnsi" w:hAnsiTheme="majorHAnsi" w:cstheme="majorHAnsi"/>
          <w:sz w:val="18"/>
          <w:szCs w:val="18"/>
        </w:rPr>
        <w:t xml:space="preserve">, EMC, 2017, Available at: </w:t>
      </w:r>
      <w:hyperlink r:id="rId45" w:history="1">
        <w:r w:rsidRPr="0071006D">
          <w:rPr>
            <w:rStyle w:val="Hyperlink"/>
            <w:rFonts w:asciiTheme="majorHAnsi" w:hAnsiTheme="majorHAnsi" w:cstheme="majorHAnsi"/>
            <w:color w:val="auto"/>
            <w:sz w:val="18"/>
            <w:szCs w:val="18"/>
            <w:lang w:val="ka-GE"/>
          </w:rPr>
          <w:t>https://emc.org.ge/en/products/azerbaijaneli-zhurnalistebis-da-aktivistebis-sakmeebis-mimokhilva</w:t>
        </w:r>
      </w:hyperlink>
      <w:r w:rsidRPr="0071006D">
        <w:rPr>
          <w:rFonts w:asciiTheme="majorHAnsi" w:hAnsiTheme="majorHAnsi" w:cstheme="majorHAnsi"/>
          <w:sz w:val="18"/>
          <w:szCs w:val="18"/>
        </w:rPr>
        <w:t xml:space="preserve"> </w:t>
      </w:r>
    </w:p>
  </w:footnote>
  <w:footnote w:id="82">
    <w:p w14:paraId="766D6FD0" w14:textId="09257D56"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Human Rights Watch, 2018 World Report, </w:t>
      </w:r>
      <w:proofErr w:type="spellStart"/>
      <w:r w:rsidRPr="0071006D">
        <w:rPr>
          <w:rFonts w:asciiTheme="majorHAnsi" w:hAnsiTheme="majorHAnsi" w:cstheme="majorHAnsi"/>
          <w:sz w:val="18"/>
          <w:szCs w:val="18"/>
        </w:rPr>
        <w:t>pg</w:t>
      </w:r>
      <w:proofErr w:type="spellEnd"/>
      <w:r w:rsidRPr="0071006D">
        <w:rPr>
          <w:rFonts w:asciiTheme="majorHAnsi" w:hAnsiTheme="majorHAnsi" w:cstheme="majorHAnsi"/>
          <w:sz w:val="18"/>
          <w:szCs w:val="18"/>
          <w:lang w:val="ka-GE"/>
        </w:rPr>
        <w:t>.</w:t>
      </w:r>
      <w:r w:rsidRPr="0071006D">
        <w:rPr>
          <w:rFonts w:asciiTheme="majorHAnsi" w:hAnsiTheme="majorHAnsi" w:cstheme="majorHAnsi"/>
          <w:sz w:val="18"/>
          <w:szCs w:val="18"/>
        </w:rPr>
        <w:t xml:space="preserve"> 56. </w:t>
      </w:r>
      <w:hyperlink r:id="rId46" w:history="1">
        <w:r w:rsidRPr="0071006D">
          <w:rPr>
            <w:rStyle w:val="Hyperlink"/>
            <w:rFonts w:asciiTheme="majorHAnsi" w:hAnsiTheme="majorHAnsi" w:cstheme="majorHAnsi"/>
            <w:color w:val="auto"/>
            <w:sz w:val="18"/>
            <w:szCs w:val="18"/>
          </w:rPr>
          <w:t>https://www.hrw.org/sites/default/files/world_report_download/201801world_report_web.pdf</w:t>
        </w:r>
      </w:hyperlink>
      <w:r w:rsidRPr="0071006D">
        <w:rPr>
          <w:rFonts w:asciiTheme="majorHAnsi" w:hAnsiTheme="majorHAnsi" w:cstheme="majorHAnsi"/>
          <w:sz w:val="18"/>
          <w:szCs w:val="18"/>
        </w:rPr>
        <w:t xml:space="preserve"> </w:t>
      </w:r>
    </w:p>
  </w:footnote>
  <w:footnote w:id="83">
    <w:p w14:paraId="5F676CB5" w14:textId="77777777"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On the Sentencing of Afgan Mukhtarli</w:t>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https://www.state.gov/on-the-sentencing-of-afgan-mukhtarli/</w:t>
      </w:r>
      <w:r w:rsidRPr="0071006D">
        <w:rPr>
          <w:rFonts w:asciiTheme="majorHAnsi" w:hAnsiTheme="majorHAnsi" w:cstheme="majorHAnsi"/>
          <w:sz w:val="18"/>
          <w:szCs w:val="18"/>
          <w:lang w:val="ka-GE"/>
        </w:rPr>
        <w:t xml:space="preserve"> </w:t>
      </w:r>
    </w:p>
  </w:footnote>
  <w:footnote w:id="84">
    <w:p w14:paraId="1DC23632" w14:textId="0B3F6178"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The </w:t>
      </w:r>
      <w:r w:rsidRPr="0071006D">
        <w:rPr>
          <w:rFonts w:asciiTheme="majorHAnsi" w:hAnsiTheme="majorHAnsi" w:cstheme="majorHAnsi"/>
          <w:sz w:val="18"/>
          <w:szCs w:val="18"/>
          <w:lang w:val="ka-GE"/>
        </w:rPr>
        <w:t>statements of released Afgan Mukhtarli require immediate measures from Parliament and Prosecution</w:t>
      </w:r>
      <w:r w:rsidRPr="0071006D">
        <w:rPr>
          <w:rFonts w:asciiTheme="majorHAnsi" w:hAnsiTheme="majorHAnsi" w:cstheme="majorHAnsi"/>
          <w:sz w:val="18"/>
          <w:szCs w:val="18"/>
        </w:rPr>
        <w:t>, EMC, 2020, available at: https://emc.org.ge/en/products/emc-gatavisuflebuli-afgan-mukhtarlis-sajaro-gantskhadebebi-prokuraturis-da-parlamentis-mkhridan-dauqovnebel-reagirebas-moitkhovs</w:t>
      </w:r>
      <w:r w:rsidRPr="0071006D">
        <w:rPr>
          <w:rFonts w:asciiTheme="majorHAnsi" w:hAnsiTheme="majorHAnsi" w:cstheme="majorHAnsi"/>
          <w:sz w:val="18"/>
          <w:szCs w:val="18"/>
          <w:lang w:val="ka-GE"/>
        </w:rPr>
        <w:t xml:space="preserve"> </w:t>
      </w:r>
    </w:p>
  </w:footnote>
  <w:footnote w:id="85">
    <w:p w14:paraId="3AA34529" w14:textId="3B56730F"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Resolution N112</w:t>
      </w:r>
      <w:r w:rsidRPr="0071006D">
        <w:rPr>
          <w:rFonts w:asciiTheme="majorHAnsi" w:hAnsiTheme="majorHAnsi" w:cstheme="majorHAnsi"/>
          <w:sz w:val="18"/>
          <w:szCs w:val="18"/>
        </w:rPr>
        <w:t xml:space="preserve"> of 7 March, 2016</w:t>
      </w:r>
      <w:r w:rsidRPr="0071006D">
        <w:rPr>
          <w:rFonts w:asciiTheme="majorHAnsi" w:hAnsiTheme="majorHAnsi" w:cstheme="majorHAnsi"/>
          <w:sz w:val="18"/>
          <w:szCs w:val="18"/>
          <w:lang w:val="ka-GE"/>
        </w:rPr>
        <w:t xml:space="preserve"> of the Government of Georgia</w:t>
      </w:r>
      <w:r>
        <w:rPr>
          <w:rFonts w:asciiTheme="majorHAnsi" w:hAnsiTheme="majorHAnsi" w:cstheme="majorHAnsi"/>
          <w:sz w:val="18"/>
          <w:szCs w:val="18"/>
          <w:lang w:val="ka-GE"/>
        </w:rPr>
        <w:t>.</w:t>
      </w:r>
    </w:p>
  </w:footnote>
  <w:footnote w:id="86">
    <w:p w14:paraId="24A1143B" w14:textId="7E88D6C5"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2019 report of Labor Conditions Inspecting Department, pg:20. available at: </w:t>
      </w:r>
      <w:r w:rsidRPr="0071006D">
        <w:rPr>
          <w:rFonts w:asciiTheme="majorHAnsi" w:hAnsiTheme="majorHAnsi" w:cstheme="majorHAnsi"/>
          <w:sz w:val="18"/>
          <w:szCs w:val="18"/>
          <w:lang w:val="ka-GE"/>
        </w:rPr>
        <w:t xml:space="preserve"> </w:t>
      </w:r>
      <w:hyperlink r:id="rId47" w:history="1">
        <w:r w:rsidRPr="0071006D">
          <w:rPr>
            <w:rStyle w:val="Hyperlink"/>
            <w:rFonts w:asciiTheme="majorHAnsi" w:hAnsiTheme="majorHAnsi" w:cstheme="majorHAnsi"/>
            <w:color w:val="auto"/>
            <w:sz w:val="18"/>
            <w:szCs w:val="18"/>
            <w:lang w:val="ka-GE"/>
          </w:rPr>
          <w:t>https://www.moh.gov.ge/uploads/files/2019/Failebi/LCID_Geo_a4_1.pdf</w:t>
        </w:r>
      </w:hyperlink>
    </w:p>
  </w:footnote>
  <w:footnote w:id="87">
    <w:p w14:paraId="5291E935" w14:textId="30205B08"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US State Department Report on Trafficking In Persons , 20</w:t>
      </w:r>
      <w:r w:rsidRPr="0071006D">
        <w:rPr>
          <w:rFonts w:asciiTheme="majorHAnsi" w:hAnsiTheme="majorHAnsi" w:cstheme="majorHAnsi"/>
          <w:sz w:val="18"/>
          <w:szCs w:val="18"/>
          <w:vertAlign w:val="superscript"/>
        </w:rPr>
        <w:t>TH</w:t>
      </w:r>
      <w:r w:rsidRPr="0071006D">
        <w:rPr>
          <w:rFonts w:asciiTheme="majorHAnsi" w:hAnsiTheme="majorHAnsi" w:cstheme="majorHAnsi"/>
          <w:sz w:val="18"/>
          <w:szCs w:val="18"/>
        </w:rPr>
        <w:t xml:space="preserve"> Ed. 2020, </w:t>
      </w:r>
      <w:proofErr w:type="spellStart"/>
      <w:r w:rsidRPr="0071006D">
        <w:rPr>
          <w:rFonts w:asciiTheme="majorHAnsi" w:hAnsiTheme="majorHAnsi" w:cstheme="majorHAnsi"/>
          <w:sz w:val="18"/>
          <w:szCs w:val="18"/>
        </w:rPr>
        <w:t>pg</w:t>
      </w:r>
      <w:proofErr w:type="spellEnd"/>
      <w:r w:rsidRPr="0071006D">
        <w:rPr>
          <w:rFonts w:asciiTheme="majorHAnsi" w:hAnsiTheme="majorHAnsi" w:cstheme="majorHAnsi"/>
          <w:sz w:val="18"/>
          <w:szCs w:val="18"/>
        </w:rPr>
        <w:t xml:space="preserve"> 217, Available at: - </w:t>
      </w:r>
      <w:hyperlink r:id="rId48" w:history="1">
        <w:r w:rsidRPr="0071006D">
          <w:rPr>
            <w:rStyle w:val="Hyperlink"/>
            <w:rFonts w:asciiTheme="majorHAnsi" w:hAnsiTheme="majorHAnsi" w:cstheme="majorHAnsi"/>
            <w:color w:val="auto"/>
            <w:sz w:val="18"/>
            <w:szCs w:val="18"/>
          </w:rPr>
          <w:t>https://www.state.gov/wp-content/uploads/2020/06/2020-TIP-Report-Complete-062420-FINAL.pdf</w:t>
        </w:r>
      </w:hyperlink>
    </w:p>
  </w:footnote>
  <w:footnote w:id="88">
    <w:p w14:paraId="42AC84EC" w14:textId="14DFBE0A"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lang w:val="ka-GE"/>
        </w:rPr>
        <w:t xml:space="preserve">CRRC, </w:t>
      </w:r>
      <w:r w:rsidRPr="0071006D">
        <w:rPr>
          <w:rFonts w:asciiTheme="majorHAnsi" w:hAnsiTheme="majorHAnsi" w:cstheme="majorHAnsi"/>
          <w:sz w:val="18"/>
          <w:szCs w:val="18"/>
        </w:rPr>
        <w:t>Research on Sociological and Political Issues, 2019,</w:t>
      </w:r>
      <w:r w:rsidRPr="0071006D">
        <w:rPr>
          <w:rFonts w:asciiTheme="majorHAnsi" w:hAnsiTheme="majorHAnsi" w:cstheme="majorHAnsi"/>
          <w:sz w:val="18"/>
          <w:szCs w:val="18"/>
          <w:lang w:val="ka-GE"/>
        </w:rPr>
        <w:t xml:space="preserve"> </w:t>
      </w:r>
      <w:hyperlink r:id="rId49" w:history="1">
        <w:r w:rsidRPr="0071006D">
          <w:rPr>
            <w:rStyle w:val="Hyperlink"/>
            <w:rFonts w:asciiTheme="majorHAnsi" w:hAnsiTheme="majorHAnsi" w:cstheme="majorHAnsi"/>
            <w:color w:val="auto"/>
            <w:sz w:val="18"/>
            <w:szCs w:val="18"/>
          </w:rPr>
          <w:t>https://osgf.ge/en/new-sociological-poll-unfolds-the-new-picture-of-citizens-perceptions/</w:t>
        </w:r>
      </w:hyperlink>
      <w:r w:rsidRPr="0071006D">
        <w:rPr>
          <w:rFonts w:asciiTheme="majorHAnsi" w:hAnsiTheme="majorHAnsi" w:cstheme="majorHAnsi"/>
          <w:sz w:val="18"/>
          <w:szCs w:val="18"/>
          <w:lang w:val="ka-GE"/>
        </w:rPr>
        <w:t xml:space="preserve">; </w:t>
      </w:r>
      <w:proofErr w:type="spellStart"/>
      <w:r w:rsidRPr="0071006D">
        <w:rPr>
          <w:rFonts w:asciiTheme="majorHAnsi" w:hAnsiTheme="majorHAnsi" w:cstheme="majorHAnsi"/>
          <w:sz w:val="18"/>
          <w:szCs w:val="18"/>
        </w:rPr>
        <w:t>pg</w:t>
      </w:r>
      <w:proofErr w:type="spellEnd"/>
      <w:r w:rsidRPr="0071006D">
        <w:rPr>
          <w:rFonts w:asciiTheme="majorHAnsi" w:hAnsiTheme="majorHAnsi" w:cstheme="majorHAnsi"/>
          <w:sz w:val="18"/>
          <w:szCs w:val="18"/>
        </w:rPr>
        <w:t>:</w:t>
      </w:r>
      <w:r w:rsidRPr="0071006D">
        <w:rPr>
          <w:rFonts w:asciiTheme="majorHAnsi" w:hAnsiTheme="majorHAnsi" w:cstheme="majorHAnsi"/>
          <w:sz w:val="18"/>
          <w:szCs w:val="18"/>
          <w:lang w:val="ka-GE"/>
        </w:rPr>
        <w:t xml:space="preserve"> 30</w:t>
      </w:r>
    </w:p>
  </w:footnote>
  <w:footnote w:id="89">
    <w:p w14:paraId="4F27D780" w14:textId="50506EDE"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The Right to Adequate Housing - the Analysis of Basic Challenges</w:t>
      </w:r>
      <w:r w:rsidRPr="0071006D">
        <w:rPr>
          <w:rFonts w:asciiTheme="majorHAnsi" w:hAnsiTheme="majorHAnsi" w:cstheme="majorHAnsi"/>
          <w:sz w:val="18"/>
          <w:szCs w:val="18"/>
        </w:rPr>
        <w:t xml:space="preserve">, </w:t>
      </w:r>
      <w:r w:rsidRPr="0071006D">
        <w:rPr>
          <w:rFonts w:asciiTheme="majorHAnsi" w:hAnsiTheme="majorHAnsi" w:cstheme="majorHAnsi"/>
          <w:sz w:val="18"/>
          <w:szCs w:val="18"/>
          <w:lang w:val="ka-GE"/>
        </w:rPr>
        <w:t xml:space="preserve">EMC, 2018, </w:t>
      </w:r>
      <w:r w:rsidRPr="0071006D">
        <w:rPr>
          <w:rFonts w:asciiTheme="majorHAnsi" w:hAnsiTheme="majorHAnsi" w:cstheme="majorHAnsi"/>
          <w:sz w:val="18"/>
          <w:szCs w:val="18"/>
        </w:rPr>
        <w:t xml:space="preserve">pg. </w:t>
      </w:r>
      <w:r w:rsidRPr="0071006D">
        <w:rPr>
          <w:rFonts w:asciiTheme="majorHAnsi" w:hAnsiTheme="majorHAnsi" w:cstheme="majorHAnsi"/>
          <w:sz w:val="18"/>
          <w:szCs w:val="18"/>
          <w:lang w:val="ka-GE"/>
        </w:rPr>
        <w:t>153.</w:t>
      </w:r>
    </w:p>
  </w:footnote>
  <w:footnote w:id="90">
    <w:p w14:paraId="468338EB" w14:textId="7DE52859"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PDO report on human rights situation in Georgia, 2019, </w:t>
      </w:r>
      <w:proofErr w:type="spellStart"/>
      <w:r w:rsidRPr="0071006D">
        <w:rPr>
          <w:rFonts w:asciiTheme="majorHAnsi" w:hAnsiTheme="majorHAnsi" w:cstheme="majorHAnsi"/>
          <w:sz w:val="18"/>
          <w:szCs w:val="18"/>
        </w:rPr>
        <w:t>pg</w:t>
      </w:r>
      <w:proofErr w:type="spellEnd"/>
      <w:r w:rsidRPr="0071006D">
        <w:rPr>
          <w:rFonts w:asciiTheme="majorHAnsi" w:hAnsiTheme="majorHAnsi" w:cstheme="majorHAnsi"/>
          <w:sz w:val="18"/>
          <w:szCs w:val="18"/>
        </w:rPr>
        <w:t xml:space="preserve">: </w:t>
      </w:r>
      <w:r w:rsidRPr="0071006D">
        <w:rPr>
          <w:rFonts w:asciiTheme="majorHAnsi" w:hAnsiTheme="majorHAnsi" w:cstheme="majorHAnsi"/>
          <w:sz w:val="18"/>
          <w:szCs w:val="18"/>
          <w:lang w:val="ka-GE"/>
        </w:rPr>
        <w:t xml:space="preserve"> 359.</w:t>
      </w:r>
    </w:p>
  </w:footnote>
  <w:footnote w:id="91">
    <w:p w14:paraId="332B6D08" w14:textId="62A438FA"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PDO, Report of National Mechanism of Prevention, 2019, </w:t>
      </w:r>
      <w:proofErr w:type="spellStart"/>
      <w:r w:rsidRPr="0071006D">
        <w:rPr>
          <w:rFonts w:asciiTheme="majorHAnsi" w:hAnsiTheme="majorHAnsi" w:cstheme="majorHAnsi"/>
          <w:sz w:val="18"/>
          <w:szCs w:val="18"/>
        </w:rPr>
        <w:t>pg</w:t>
      </w:r>
      <w:proofErr w:type="spellEnd"/>
      <w:r w:rsidRPr="0071006D">
        <w:rPr>
          <w:rFonts w:asciiTheme="majorHAnsi" w:hAnsiTheme="majorHAnsi" w:cstheme="majorHAnsi"/>
          <w:sz w:val="18"/>
          <w:szCs w:val="18"/>
        </w:rPr>
        <w:t>:</w:t>
      </w:r>
      <w:r w:rsidRPr="0071006D">
        <w:rPr>
          <w:rFonts w:asciiTheme="majorHAnsi" w:hAnsiTheme="majorHAnsi" w:cstheme="majorHAnsi"/>
          <w:sz w:val="18"/>
          <w:szCs w:val="18"/>
          <w:lang w:val="ka-GE"/>
        </w:rPr>
        <w:t xml:space="preserve"> 126 – 130.</w:t>
      </w:r>
    </w:p>
  </w:footnote>
  <w:footnote w:id="92">
    <w:p w14:paraId="2402A7B2" w14:textId="6929A1AE"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PDO Report</w:t>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lang w:val="ka-GE"/>
        </w:rPr>
        <w:t xml:space="preserve">2019, </w:t>
      </w:r>
      <w:proofErr w:type="spellStart"/>
      <w:r w:rsidRPr="0071006D">
        <w:rPr>
          <w:rFonts w:asciiTheme="majorHAnsi" w:hAnsiTheme="majorHAnsi" w:cstheme="majorHAnsi"/>
          <w:sz w:val="18"/>
          <w:szCs w:val="18"/>
        </w:rPr>
        <w:t>pg</w:t>
      </w:r>
      <w:proofErr w:type="spellEnd"/>
      <w:r w:rsidRPr="0071006D">
        <w:rPr>
          <w:rFonts w:asciiTheme="majorHAnsi" w:hAnsiTheme="majorHAnsi" w:cstheme="majorHAnsi"/>
          <w:sz w:val="18"/>
          <w:szCs w:val="18"/>
          <w:lang w:val="ka-GE"/>
        </w:rPr>
        <w:t xml:space="preserve"> 360.</w:t>
      </w:r>
    </w:p>
  </w:footnote>
  <w:footnote w:id="93">
    <w:p w14:paraId="14E81EB3" w14:textId="688E1F42"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PWDS and Organizations react on the adoption of the Law on PWDS Rights, EMC, 2020. </w:t>
      </w:r>
      <w:r w:rsidRPr="0071006D">
        <w:rPr>
          <w:rFonts w:asciiTheme="majorHAnsi" w:hAnsiTheme="majorHAnsi" w:cstheme="majorHAnsi"/>
          <w:sz w:val="18"/>
          <w:szCs w:val="18"/>
          <w:lang w:val="ka-GE"/>
        </w:rPr>
        <w:t xml:space="preserve"> </w:t>
      </w:r>
      <w:hyperlink r:id="rId50" w:history="1">
        <w:r w:rsidRPr="0071006D">
          <w:rPr>
            <w:rStyle w:val="Hyperlink"/>
            <w:rFonts w:asciiTheme="majorHAnsi" w:hAnsiTheme="majorHAnsi" w:cstheme="majorHAnsi"/>
            <w:color w:val="auto"/>
            <w:sz w:val="18"/>
            <w:szCs w:val="18"/>
            <w:lang w:val="ka-GE"/>
          </w:rPr>
          <w:t>https://bit.ly/2PlYdWc</w:t>
        </w:r>
      </w:hyperlink>
      <w:r w:rsidRPr="0071006D">
        <w:rPr>
          <w:rFonts w:asciiTheme="majorHAnsi" w:hAnsiTheme="majorHAnsi" w:cstheme="majorHAnsi"/>
          <w:sz w:val="18"/>
          <w:szCs w:val="18"/>
          <w:lang w:val="ka-GE"/>
        </w:rPr>
        <w:t xml:space="preserve">. </w:t>
      </w:r>
    </w:p>
  </w:footnote>
  <w:footnote w:id="94">
    <w:p w14:paraId="33EEE4F3" w14:textId="2AEA8A2B"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lang w:val="ka-GE"/>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lang w:val="ka-GE"/>
        </w:rPr>
        <w:t xml:space="preserve">GCICC, </w:t>
      </w:r>
      <w:r w:rsidRPr="0071006D">
        <w:rPr>
          <w:rFonts w:asciiTheme="majorHAnsi" w:hAnsiTheme="majorHAnsi" w:cstheme="majorHAnsi"/>
          <w:iCs/>
          <w:sz w:val="18"/>
          <w:szCs w:val="18"/>
          <w:lang w:val="ka-GE"/>
        </w:rPr>
        <w:t xml:space="preserve">THE RUSSIAN FEDERATION CONTINUES COMMITTING GRAVE HUMAN RIGHTS VIOLATIONS OF CITIZENS </w:t>
      </w:r>
      <w:r w:rsidRPr="0071006D">
        <w:rPr>
          <w:rFonts w:asciiTheme="majorHAnsi" w:hAnsiTheme="majorHAnsi" w:cstheme="majorHAnsi"/>
          <w:iCs/>
          <w:sz w:val="18"/>
          <w:szCs w:val="18"/>
          <w:lang w:val="ka-GE"/>
        </w:rPr>
        <w:t>OF GEORGIA</w:t>
      </w:r>
      <w:r w:rsidRPr="0071006D">
        <w:rPr>
          <w:rFonts w:asciiTheme="majorHAnsi" w:hAnsiTheme="majorHAnsi" w:cstheme="majorHAnsi"/>
          <w:i/>
          <w:sz w:val="18"/>
          <w:szCs w:val="18"/>
          <w:lang w:val="ka-GE"/>
        </w:rPr>
        <w:t xml:space="preserve"> </w:t>
      </w:r>
      <w:r w:rsidRPr="0071006D">
        <w:rPr>
          <w:rFonts w:asciiTheme="majorHAnsi" w:hAnsiTheme="majorHAnsi" w:cstheme="majorHAnsi"/>
          <w:sz w:val="18"/>
          <w:szCs w:val="18"/>
          <w:lang w:val="ka-GE"/>
        </w:rPr>
        <w:t xml:space="preserve">21.07.2020, </w:t>
      </w:r>
      <w:r w:rsidRPr="0071006D">
        <w:fldChar w:fldCharType="begin"/>
      </w:r>
      <w:r w:rsidRPr="0071006D">
        <w:rPr>
          <w:rFonts w:asciiTheme="majorHAnsi" w:hAnsiTheme="majorHAnsi" w:cstheme="majorHAnsi"/>
          <w:sz w:val="18"/>
          <w:szCs w:val="18"/>
        </w:rPr>
        <w:instrText xml:space="preserve"> HYPERLINK "https://bit.ly/2BqHMV7" </w:instrText>
      </w:r>
      <w:r w:rsidRPr="0071006D">
        <w:fldChar w:fldCharType="separate"/>
      </w:r>
      <w:r w:rsidRPr="0071006D">
        <w:rPr>
          <w:rStyle w:val="Hyperlink"/>
          <w:rFonts w:asciiTheme="majorHAnsi" w:hAnsiTheme="majorHAnsi" w:cstheme="majorHAnsi"/>
          <w:color w:val="auto"/>
          <w:sz w:val="18"/>
          <w:szCs w:val="18"/>
          <w:lang w:val="ka-GE"/>
        </w:rPr>
        <w:t>https://bit.ly/2BqHMV7</w:t>
      </w:r>
      <w:r w:rsidRPr="0071006D">
        <w:rPr>
          <w:rStyle w:val="Hyperlink"/>
          <w:rFonts w:asciiTheme="majorHAnsi" w:hAnsiTheme="majorHAnsi" w:cstheme="majorHAnsi"/>
          <w:color w:val="auto"/>
          <w:sz w:val="18"/>
          <w:szCs w:val="18"/>
          <w:lang w:val="ka-GE"/>
        </w:rPr>
        <w:fldChar w:fldCharType="end"/>
      </w:r>
    </w:p>
  </w:footnote>
  <w:footnote w:id="95">
    <w:p w14:paraId="6ED200F6" w14:textId="4E7BD171"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lang w:val="ka-GE"/>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PDO repor</w:t>
      </w:r>
      <w:r>
        <w:rPr>
          <w:rFonts w:asciiTheme="majorHAnsi" w:hAnsiTheme="majorHAnsi" w:cstheme="majorHAnsi"/>
          <w:sz w:val="18"/>
          <w:szCs w:val="18"/>
        </w:rPr>
        <w:t>t</w:t>
      </w:r>
      <w:r w:rsidRPr="0071006D">
        <w:rPr>
          <w:rFonts w:asciiTheme="majorHAnsi" w:hAnsiTheme="majorHAnsi" w:cstheme="majorHAnsi"/>
          <w:sz w:val="18"/>
          <w:szCs w:val="18"/>
        </w:rPr>
        <w:t xml:space="preserve">, 2019. </w:t>
      </w:r>
    </w:p>
  </w:footnote>
  <w:footnote w:id="96">
    <w:p w14:paraId="097BD089" w14:textId="60A06C81"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lang w:val="ka-GE"/>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29 September, 2019 </w:t>
      </w:r>
      <w:r w:rsidRPr="0071006D">
        <w:rPr>
          <w:rFonts w:asciiTheme="majorHAnsi" w:eastAsia="Times New Roman" w:hAnsiTheme="majorHAnsi" w:cstheme="majorHAnsi"/>
          <w:sz w:val="18"/>
          <w:szCs w:val="18"/>
        </w:rPr>
        <w:t xml:space="preserve">Maia </w:t>
      </w:r>
      <w:proofErr w:type="spellStart"/>
      <w:r w:rsidRPr="0071006D">
        <w:rPr>
          <w:rFonts w:asciiTheme="majorHAnsi" w:eastAsia="Times New Roman" w:hAnsiTheme="majorHAnsi" w:cstheme="majorHAnsi"/>
          <w:sz w:val="18"/>
          <w:szCs w:val="18"/>
        </w:rPr>
        <w:t>Otinashvili</w:t>
      </w:r>
      <w:proofErr w:type="spellEnd"/>
      <w:r w:rsidRPr="0071006D">
        <w:rPr>
          <w:rFonts w:asciiTheme="majorHAnsi" w:eastAsia="Times New Roman" w:hAnsiTheme="majorHAnsi" w:cstheme="majorHAnsi"/>
          <w:sz w:val="18"/>
          <w:szCs w:val="18"/>
        </w:rPr>
        <w:t xml:space="preserve">, resident of village </w:t>
      </w:r>
      <w:proofErr w:type="spellStart"/>
      <w:r w:rsidRPr="0071006D">
        <w:rPr>
          <w:rFonts w:asciiTheme="majorHAnsi" w:eastAsia="Times New Roman" w:hAnsiTheme="majorHAnsi" w:cstheme="majorHAnsi"/>
          <w:sz w:val="18"/>
          <w:szCs w:val="18"/>
        </w:rPr>
        <w:t>Khurvalet</w:t>
      </w:r>
      <w:r>
        <w:rPr>
          <w:rFonts w:asciiTheme="majorHAnsi" w:eastAsia="Times New Roman" w:hAnsiTheme="majorHAnsi" w:cstheme="majorHAnsi"/>
          <w:sz w:val="18"/>
          <w:szCs w:val="18"/>
        </w:rPr>
        <w:t>i</w:t>
      </w:r>
      <w:proofErr w:type="spellEnd"/>
      <w:r w:rsidRPr="0071006D">
        <w:rPr>
          <w:rFonts w:asciiTheme="majorHAnsi" w:eastAsia="Times New Roman" w:hAnsiTheme="majorHAnsi" w:cstheme="majorHAnsi"/>
          <w:sz w:val="18"/>
          <w:szCs w:val="18"/>
        </w:rPr>
        <w:t xml:space="preserve"> was detained under criminal rule, 9 November, </w:t>
      </w:r>
      <w:r w:rsidRPr="0071006D">
        <w:rPr>
          <w:rFonts w:asciiTheme="majorHAnsi" w:eastAsia="Times New Roman" w:hAnsiTheme="majorHAnsi" w:cstheme="majorHAnsi"/>
          <w:sz w:val="18"/>
          <w:szCs w:val="18"/>
          <w:lang w:val="ka-GE"/>
        </w:rPr>
        <w:t xml:space="preserve">2019 </w:t>
      </w:r>
      <w:r w:rsidRPr="0071006D">
        <w:rPr>
          <w:rFonts w:asciiTheme="majorHAnsi" w:eastAsia="Times New Roman" w:hAnsiTheme="majorHAnsi" w:cstheme="majorHAnsi"/>
          <w:sz w:val="18"/>
          <w:szCs w:val="18"/>
        </w:rPr>
        <w:t xml:space="preserve">Doctor Vaja Gaprindashvili, 21 November, 2019 </w:t>
      </w:r>
      <w:proofErr w:type="spellStart"/>
      <w:r w:rsidRPr="0071006D">
        <w:rPr>
          <w:rFonts w:asciiTheme="majorHAnsi" w:eastAsia="Times New Roman" w:hAnsiTheme="majorHAnsi" w:cstheme="majorHAnsi"/>
          <w:sz w:val="18"/>
          <w:szCs w:val="18"/>
        </w:rPr>
        <w:t>Genadi</w:t>
      </w:r>
      <w:proofErr w:type="spellEnd"/>
      <w:r w:rsidRPr="0071006D">
        <w:rPr>
          <w:rFonts w:asciiTheme="majorHAnsi" w:eastAsia="Times New Roman" w:hAnsiTheme="majorHAnsi" w:cstheme="majorHAnsi"/>
          <w:sz w:val="18"/>
          <w:szCs w:val="18"/>
        </w:rPr>
        <w:t xml:space="preserve"> </w:t>
      </w:r>
      <w:proofErr w:type="spellStart"/>
      <w:r w:rsidRPr="0071006D">
        <w:rPr>
          <w:rFonts w:asciiTheme="majorHAnsi" w:eastAsia="Times New Roman" w:hAnsiTheme="majorHAnsi" w:cstheme="majorHAnsi"/>
          <w:sz w:val="18"/>
          <w:szCs w:val="18"/>
        </w:rPr>
        <w:t>Bestav</w:t>
      </w:r>
      <w:r>
        <w:rPr>
          <w:rFonts w:asciiTheme="majorHAnsi" w:eastAsia="Times New Roman" w:hAnsiTheme="majorHAnsi" w:cstheme="majorHAnsi"/>
          <w:sz w:val="18"/>
          <w:szCs w:val="18"/>
        </w:rPr>
        <w:t>i</w:t>
      </w:r>
      <w:proofErr w:type="spellEnd"/>
      <w:r w:rsidRPr="0071006D">
        <w:rPr>
          <w:rFonts w:asciiTheme="majorHAnsi" w:eastAsia="Times New Roman" w:hAnsiTheme="majorHAnsi" w:cstheme="majorHAnsi"/>
          <w:sz w:val="18"/>
          <w:szCs w:val="18"/>
        </w:rPr>
        <w:t xml:space="preserve">, resident of village </w:t>
      </w:r>
      <w:proofErr w:type="spellStart"/>
      <w:r w:rsidRPr="0071006D">
        <w:rPr>
          <w:rFonts w:asciiTheme="majorHAnsi" w:eastAsia="Times New Roman" w:hAnsiTheme="majorHAnsi" w:cstheme="majorHAnsi"/>
          <w:sz w:val="18"/>
          <w:szCs w:val="18"/>
        </w:rPr>
        <w:t>Zardiaantkari</w:t>
      </w:r>
      <w:proofErr w:type="spellEnd"/>
      <w:r w:rsidRPr="0071006D">
        <w:rPr>
          <w:rFonts w:asciiTheme="majorHAnsi" w:eastAsia="Times New Roman" w:hAnsiTheme="majorHAnsi" w:cstheme="majorHAnsi"/>
          <w:sz w:val="18"/>
          <w:szCs w:val="18"/>
        </w:rPr>
        <w:t xml:space="preserve">, 3 July, 2020 </w:t>
      </w:r>
      <w:proofErr w:type="spellStart"/>
      <w:r w:rsidRPr="0071006D">
        <w:rPr>
          <w:rFonts w:asciiTheme="majorHAnsi" w:eastAsia="Times New Roman" w:hAnsiTheme="majorHAnsi" w:cstheme="majorHAnsi"/>
          <w:sz w:val="18"/>
          <w:szCs w:val="18"/>
        </w:rPr>
        <w:t>Khvicha</w:t>
      </w:r>
      <w:proofErr w:type="spellEnd"/>
      <w:r w:rsidRPr="0071006D">
        <w:rPr>
          <w:rFonts w:asciiTheme="majorHAnsi" w:eastAsia="Times New Roman" w:hAnsiTheme="majorHAnsi" w:cstheme="majorHAnsi"/>
          <w:sz w:val="18"/>
          <w:szCs w:val="18"/>
        </w:rPr>
        <w:t xml:space="preserve"> </w:t>
      </w:r>
      <w:proofErr w:type="spellStart"/>
      <w:r w:rsidRPr="0071006D">
        <w:rPr>
          <w:rFonts w:asciiTheme="majorHAnsi" w:eastAsia="Times New Roman" w:hAnsiTheme="majorHAnsi" w:cstheme="majorHAnsi"/>
          <w:sz w:val="18"/>
          <w:szCs w:val="18"/>
        </w:rPr>
        <w:t>Mgebrishvili</w:t>
      </w:r>
      <w:proofErr w:type="spellEnd"/>
      <w:r w:rsidRPr="0071006D">
        <w:rPr>
          <w:rFonts w:asciiTheme="majorHAnsi" w:eastAsia="Times New Roman" w:hAnsiTheme="majorHAnsi" w:cstheme="majorHAnsi"/>
          <w:sz w:val="18"/>
          <w:szCs w:val="18"/>
        </w:rPr>
        <w:t xml:space="preserve">, </w:t>
      </w:r>
      <w:r w:rsidRPr="0071006D">
        <w:rPr>
          <w:rFonts w:asciiTheme="majorHAnsi" w:eastAsia="Times New Roman" w:hAnsiTheme="majorHAnsi" w:cstheme="majorHAnsi"/>
          <w:sz w:val="18"/>
          <w:szCs w:val="18"/>
          <w:lang w:val="ka-GE"/>
        </w:rPr>
        <w:t xml:space="preserve">11 </w:t>
      </w:r>
      <w:r w:rsidRPr="0071006D">
        <w:rPr>
          <w:rFonts w:asciiTheme="majorHAnsi" w:eastAsia="Times New Roman" w:hAnsiTheme="majorHAnsi" w:cstheme="majorHAnsi"/>
          <w:sz w:val="18"/>
          <w:szCs w:val="18"/>
        </w:rPr>
        <w:t xml:space="preserve">July, Zaza </w:t>
      </w:r>
      <w:proofErr w:type="spellStart"/>
      <w:r w:rsidRPr="0071006D">
        <w:rPr>
          <w:rFonts w:asciiTheme="majorHAnsi" w:eastAsia="Times New Roman" w:hAnsiTheme="majorHAnsi" w:cstheme="majorHAnsi"/>
          <w:sz w:val="18"/>
          <w:szCs w:val="18"/>
        </w:rPr>
        <w:t>Gakheladze</w:t>
      </w:r>
      <w:proofErr w:type="spellEnd"/>
      <w:r w:rsidRPr="0071006D">
        <w:rPr>
          <w:rFonts w:asciiTheme="majorHAnsi" w:eastAsia="Times New Roman" w:hAnsiTheme="majorHAnsi" w:cstheme="majorHAnsi"/>
          <w:sz w:val="18"/>
          <w:szCs w:val="18"/>
        </w:rPr>
        <w:t xml:space="preserve">. </w:t>
      </w:r>
    </w:p>
  </w:footnote>
  <w:footnote w:id="97">
    <w:p w14:paraId="74CAFE18" w14:textId="5D25A898"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See state report, para 205-206. </w:t>
      </w:r>
      <w:r w:rsidRPr="0071006D">
        <w:rPr>
          <w:rFonts w:asciiTheme="majorHAnsi" w:hAnsiTheme="majorHAnsi" w:cstheme="majorHAnsi"/>
          <w:sz w:val="18"/>
          <w:szCs w:val="18"/>
          <w:lang w:val="ka-GE"/>
        </w:rPr>
        <w:t xml:space="preserve"> </w:t>
      </w:r>
    </w:p>
  </w:footnote>
  <w:footnote w:id="98">
    <w:p w14:paraId="72FEDC35" w14:textId="2F0CB775"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EMC Responds to the Humanitarian Crisis in Akhalgori</w:t>
      </w:r>
      <w:r w:rsidRPr="0071006D">
        <w:rPr>
          <w:rFonts w:asciiTheme="majorHAnsi" w:hAnsiTheme="majorHAnsi" w:cstheme="majorHAnsi"/>
          <w:sz w:val="18"/>
          <w:szCs w:val="18"/>
        </w:rPr>
        <w:t>, EMC, 2019</w:t>
      </w:r>
      <w:r w:rsidRPr="0071006D">
        <w:rPr>
          <w:rFonts w:asciiTheme="majorHAnsi" w:hAnsiTheme="majorHAnsi" w:cstheme="majorHAnsi"/>
          <w:sz w:val="18"/>
          <w:szCs w:val="18"/>
          <w:lang w:val="ka-GE"/>
        </w:rPr>
        <w:t xml:space="preserve">  </w:t>
      </w:r>
      <w:hyperlink r:id="rId51" w:history="1">
        <w:r w:rsidRPr="0071006D">
          <w:rPr>
            <w:rStyle w:val="Hyperlink"/>
            <w:rFonts w:asciiTheme="majorHAnsi" w:hAnsiTheme="majorHAnsi" w:cstheme="majorHAnsi"/>
            <w:color w:val="auto"/>
            <w:sz w:val="18"/>
            <w:szCs w:val="18"/>
          </w:rPr>
          <w:t>https://emc.org.ge/en/products/emc-akhalgorshi-shekmnil-humanitarul-kriziss-ekhmianeba</w:t>
        </w:r>
      </w:hyperlink>
      <w:r w:rsidRPr="0071006D">
        <w:rPr>
          <w:rFonts w:asciiTheme="majorHAnsi" w:hAnsiTheme="majorHAnsi" w:cstheme="majorHAnsi"/>
          <w:sz w:val="18"/>
          <w:szCs w:val="18"/>
        </w:rPr>
        <w:t xml:space="preserve">; </w:t>
      </w:r>
    </w:p>
  </w:footnote>
  <w:footnote w:id="99">
    <w:p w14:paraId="52D5FB1F" w14:textId="528225CC"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The EU Monitoring Mission statement in connection with the case of Ms. Margo Martiashvili: </w:t>
      </w:r>
      <w:hyperlink r:id="rId52" w:history="1">
        <w:r w:rsidRPr="0071006D">
          <w:rPr>
            <w:rStyle w:val="Hyperlink"/>
            <w:rFonts w:asciiTheme="majorHAnsi" w:hAnsiTheme="majorHAnsi" w:cstheme="majorHAnsi"/>
            <w:color w:val="auto"/>
            <w:sz w:val="18"/>
            <w:szCs w:val="18"/>
          </w:rPr>
          <w:t>https://eumm.eu/en/press_and_public_information/press_releases/36659/</w:t>
        </w:r>
      </w:hyperlink>
    </w:p>
  </w:footnote>
  <w:footnote w:id="100">
    <w:p w14:paraId="222AB940" w14:textId="133028AE"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Georgian civic activist illegally detained in Russian-occupied region released - </w:t>
      </w:r>
      <w:hyperlink r:id="rId53" w:history="1">
        <w:r w:rsidRPr="0071006D">
          <w:rPr>
            <w:rStyle w:val="Hyperlink"/>
            <w:rFonts w:asciiTheme="majorHAnsi" w:hAnsiTheme="majorHAnsi" w:cstheme="majorHAnsi"/>
            <w:color w:val="auto"/>
            <w:sz w:val="18"/>
            <w:szCs w:val="18"/>
          </w:rPr>
          <w:t>https://agenda.ge/en/news/2017/1779</w:t>
        </w:r>
      </w:hyperlink>
      <w:r w:rsidRPr="0071006D">
        <w:rPr>
          <w:rFonts w:asciiTheme="majorHAnsi" w:hAnsiTheme="majorHAnsi" w:cstheme="majorHAnsi"/>
          <w:sz w:val="18"/>
          <w:szCs w:val="18"/>
        </w:rPr>
        <w:t xml:space="preserve"> </w:t>
      </w:r>
    </w:p>
  </w:footnote>
  <w:footnote w:id="101">
    <w:p w14:paraId="67FF26D6" w14:textId="6F6B4A08"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Assessment of Akhalgori activist Tamar Mearakishvili repression and persecution case, EMC, 2019, Available at:</w:t>
      </w:r>
      <w:r w:rsidRPr="0071006D">
        <w:rPr>
          <w:rFonts w:asciiTheme="majorHAnsi" w:hAnsiTheme="majorHAnsi" w:cstheme="majorHAnsi"/>
          <w:sz w:val="18"/>
          <w:szCs w:val="18"/>
          <w:lang w:val="ka-GE"/>
        </w:rPr>
        <w:t xml:space="preserve"> </w:t>
      </w:r>
      <w:hyperlink r:id="rId54" w:history="1">
        <w:r w:rsidRPr="0071006D">
          <w:rPr>
            <w:rStyle w:val="Hyperlink"/>
            <w:rFonts w:asciiTheme="majorHAnsi" w:hAnsiTheme="majorHAnsi" w:cstheme="majorHAnsi"/>
            <w:color w:val="auto"/>
            <w:sz w:val="18"/>
            <w:szCs w:val="18"/>
            <w:lang w:val="ka-GE"/>
          </w:rPr>
          <w:t>https://emc.org.ge/ka/products/emc-akhalgoreli-aktivistis-tamar-mearaqishvilis-tsinaaghmdeg-devnisa-da-shevitsroebis-sakmes-afasebs</w:t>
        </w:r>
      </w:hyperlink>
      <w:r w:rsidRPr="0071006D">
        <w:rPr>
          <w:rFonts w:asciiTheme="majorHAnsi" w:hAnsiTheme="majorHAnsi" w:cstheme="majorHAnsi"/>
          <w:sz w:val="18"/>
          <w:szCs w:val="18"/>
          <w:lang w:val="ka-GE"/>
        </w:rPr>
        <w:t xml:space="preserve"> </w:t>
      </w:r>
    </w:p>
  </w:footnote>
  <w:footnote w:id="102">
    <w:p w14:paraId="063D6ED2" w14:textId="3B9B8C15"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EMC </w:t>
      </w:r>
      <w:r w:rsidRPr="0071006D">
        <w:rPr>
          <w:rFonts w:asciiTheme="majorHAnsi" w:hAnsiTheme="majorHAnsi" w:cstheme="majorHAnsi"/>
          <w:sz w:val="18"/>
          <w:szCs w:val="18"/>
        </w:rPr>
        <w:t xml:space="preserve">reacts on the Ramzan </w:t>
      </w:r>
      <w:proofErr w:type="spellStart"/>
      <w:r w:rsidRPr="0071006D">
        <w:rPr>
          <w:rFonts w:asciiTheme="majorHAnsi" w:hAnsiTheme="majorHAnsi" w:cstheme="majorHAnsi"/>
          <w:sz w:val="18"/>
          <w:szCs w:val="18"/>
        </w:rPr>
        <w:t>Akhiadov</w:t>
      </w:r>
      <w:proofErr w:type="spellEnd"/>
      <w:r w:rsidRPr="0071006D">
        <w:rPr>
          <w:rFonts w:asciiTheme="majorHAnsi" w:hAnsiTheme="majorHAnsi" w:cstheme="majorHAnsi"/>
          <w:sz w:val="18"/>
          <w:szCs w:val="18"/>
        </w:rPr>
        <w:t xml:space="preserve"> extradition to Russian Federation, EMC, 2019, </w:t>
      </w:r>
      <w:hyperlink r:id="rId55" w:history="1">
        <w:r w:rsidRPr="0071006D">
          <w:rPr>
            <w:rStyle w:val="Hyperlink"/>
            <w:rFonts w:asciiTheme="majorHAnsi" w:hAnsiTheme="majorHAnsi" w:cstheme="majorHAnsi"/>
            <w:color w:val="auto"/>
            <w:sz w:val="18"/>
            <w:szCs w:val="18"/>
            <w:lang w:val="ka-GE"/>
          </w:rPr>
          <w:t>https://emc.org.ge/ka/products/emc-ramzan-akhiadovis-rusetis-federatsiashi-ekstradirebis-fakts-ekhmaureba</w:t>
        </w:r>
      </w:hyperlink>
      <w:r w:rsidRPr="0071006D">
        <w:rPr>
          <w:rFonts w:asciiTheme="majorHAnsi" w:hAnsiTheme="majorHAnsi" w:cstheme="majorHAnsi"/>
          <w:sz w:val="18"/>
          <w:szCs w:val="18"/>
          <w:lang w:val="ka-GE"/>
        </w:rPr>
        <w:t xml:space="preserve"> </w:t>
      </w:r>
    </w:p>
  </w:footnote>
  <w:footnote w:id="103">
    <w:p w14:paraId="4279EF0D" w14:textId="68B470B7"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w:t>
      </w:r>
      <w:proofErr w:type="spellStart"/>
      <w:r w:rsidRPr="0071006D">
        <w:rPr>
          <w:rFonts w:asciiTheme="majorHAnsi" w:hAnsiTheme="majorHAnsi" w:cstheme="majorHAnsi"/>
          <w:sz w:val="18"/>
          <w:szCs w:val="18"/>
        </w:rPr>
        <w:t>Shamaev</w:t>
      </w:r>
      <w:proofErr w:type="spellEnd"/>
      <w:r w:rsidRPr="0071006D">
        <w:rPr>
          <w:rFonts w:asciiTheme="majorHAnsi" w:hAnsiTheme="majorHAnsi" w:cstheme="majorHAnsi"/>
          <w:sz w:val="18"/>
          <w:szCs w:val="18"/>
        </w:rPr>
        <w:t xml:space="preserve"> and 12 other persons against Georgia and Russia, ECHR, no: 36378/02; 12.04.2005; §335</w:t>
      </w:r>
    </w:p>
  </w:footnote>
  <w:footnote w:id="104">
    <w:p w14:paraId="0E9C0DD5" w14:textId="512AC0EF"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MAGNITSKIY AND OTHERS v. RUSSIA; Applications nos. 32631/09 and 53799/12, 27.08.2019</w:t>
      </w:r>
      <w:r w:rsidRPr="0071006D">
        <w:rPr>
          <w:rFonts w:asciiTheme="majorHAnsi" w:hAnsiTheme="majorHAnsi" w:cstheme="majorHAnsi"/>
          <w:sz w:val="18"/>
          <w:szCs w:val="18"/>
          <w:lang w:val="ka-GE"/>
        </w:rPr>
        <w:t xml:space="preserve">. </w:t>
      </w:r>
    </w:p>
  </w:footnote>
  <w:footnote w:id="105">
    <w:p w14:paraId="57687E33" w14:textId="259A8BA3" w:rsidR="000F4173" w:rsidRPr="00256F01"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US State Department, RUSSIA 2018 HUMAN RIGHTS REPORT,</w:t>
      </w:r>
      <w:r w:rsidRPr="0071006D">
        <w:rPr>
          <w:rFonts w:asciiTheme="majorHAnsi" w:hAnsiTheme="majorHAnsi" w:cstheme="majorHAnsi"/>
          <w:sz w:val="18"/>
          <w:szCs w:val="18"/>
          <w:lang w:val="ka-GE"/>
        </w:rPr>
        <w:t xml:space="preserve"> </w:t>
      </w:r>
      <w:hyperlink r:id="rId56" w:history="1">
        <w:r w:rsidRPr="0071006D">
          <w:rPr>
            <w:rStyle w:val="Hyperlink"/>
            <w:rFonts w:asciiTheme="majorHAnsi" w:hAnsiTheme="majorHAnsi" w:cstheme="majorHAnsi"/>
            <w:color w:val="auto"/>
            <w:sz w:val="18"/>
            <w:szCs w:val="18"/>
            <w:lang w:val="ka-GE"/>
          </w:rPr>
          <w:t>https://www.state.gov/wp-content/uploads/2019/03/RUSSIA-2018-HUMAN-RIGHTS-REPORT.pdf</w:t>
        </w:r>
      </w:hyperlink>
      <w:r w:rsidRPr="0071006D">
        <w:rPr>
          <w:rFonts w:asciiTheme="majorHAnsi" w:hAnsiTheme="majorHAnsi" w:cstheme="majorHAnsi"/>
          <w:sz w:val="18"/>
          <w:szCs w:val="18"/>
          <w:lang w:val="ka-GE"/>
        </w:rPr>
        <w:t>.</w:t>
      </w:r>
      <w:r>
        <w:rPr>
          <w:rFonts w:asciiTheme="majorHAnsi" w:hAnsiTheme="majorHAnsi" w:cstheme="majorHAnsi"/>
          <w:sz w:val="18"/>
          <w:szCs w:val="18"/>
        </w:rPr>
        <w:t xml:space="preserve"> </w:t>
      </w:r>
      <w:proofErr w:type="spellStart"/>
      <w:r>
        <w:rPr>
          <w:rFonts w:asciiTheme="majorHAnsi" w:hAnsiTheme="majorHAnsi" w:cstheme="majorHAnsi"/>
          <w:sz w:val="18"/>
          <w:szCs w:val="18"/>
        </w:rPr>
        <w:t>pg</w:t>
      </w:r>
      <w:proofErr w:type="spellEnd"/>
      <w:r>
        <w:rPr>
          <w:rFonts w:asciiTheme="majorHAnsi" w:hAnsiTheme="majorHAnsi" w:cstheme="majorHAnsi"/>
          <w:sz w:val="18"/>
          <w:szCs w:val="18"/>
        </w:rPr>
        <w:t>:</w:t>
      </w:r>
      <w:r w:rsidRPr="0071006D">
        <w:rPr>
          <w:rFonts w:asciiTheme="majorHAnsi" w:hAnsiTheme="majorHAnsi" w:cstheme="majorHAnsi"/>
          <w:sz w:val="18"/>
          <w:szCs w:val="18"/>
          <w:lang w:val="ka-GE"/>
        </w:rPr>
        <w:t xml:space="preserve"> 8-10</w:t>
      </w:r>
      <w:r w:rsidRPr="0071006D">
        <w:rPr>
          <w:rFonts w:asciiTheme="majorHAnsi" w:hAnsiTheme="majorHAnsi" w:cstheme="majorHAnsi"/>
          <w:sz w:val="18"/>
          <w:szCs w:val="18"/>
        </w:rPr>
        <w:t xml:space="preserve">, See also </w:t>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Human Rights Watch - Russia, Events of 2018:</w:t>
      </w:r>
      <w:r w:rsidRPr="0071006D">
        <w:rPr>
          <w:rFonts w:asciiTheme="majorHAnsi" w:hAnsiTheme="majorHAnsi" w:cstheme="majorHAnsi"/>
          <w:sz w:val="18"/>
          <w:szCs w:val="18"/>
          <w:lang w:val="ka-GE"/>
        </w:rPr>
        <w:t xml:space="preserve"> </w:t>
      </w:r>
      <w:hyperlink r:id="rId57" w:history="1">
        <w:r w:rsidRPr="0071006D">
          <w:rPr>
            <w:rStyle w:val="Hyperlink"/>
            <w:rFonts w:asciiTheme="majorHAnsi" w:hAnsiTheme="majorHAnsi" w:cstheme="majorHAnsi"/>
            <w:color w:val="auto"/>
            <w:sz w:val="18"/>
            <w:szCs w:val="18"/>
            <w:lang w:val="ka-GE"/>
          </w:rPr>
          <w:t>https://www.hrw.org/world-report/2019/country-chapters/russia</w:t>
        </w:r>
      </w:hyperlink>
    </w:p>
  </w:footnote>
  <w:footnote w:id="106">
    <w:p w14:paraId="1C45CC12" w14:textId="05B51506" w:rsidR="000F4173" w:rsidRPr="0071006D" w:rsidRDefault="000F4173" w:rsidP="0071006D">
      <w:pPr>
        <w:pStyle w:val="FootnoteText"/>
        <w:jc w:val="both"/>
        <w:rPr>
          <w:rFonts w:asciiTheme="majorHAnsi" w:hAnsiTheme="majorHAnsi" w:cstheme="majorHAnsi"/>
          <w:noProof/>
          <w:sz w:val="18"/>
          <w:szCs w:val="18"/>
        </w:rPr>
      </w:pPr>
      <w:r w:rsidRPr="0071006D">
        <w:rPr>
          <w:rStyle w:val="FootnoteReference"/>
          <w:rFonts w:asciiTheme="majorHAnsi" w:hAnsiTheme="majorHAnsi" w:cstheme="majorHAnsi"/>
          <w:noProof/>
          <w:sz w:val="18"/>
          <w:szCs w:val="18"/>
        </w:rPr>
        <w:footnoteRef/>
      </w:r>
      <w:r w:rsidRPr="0071006D">
        <w:rPr>
          <w:rFonts w:asciiTheme="majorHAnsi" w:hAnsiTheme="majorHAnsi" w:cstheme="majorHAnsi"/>
          <w:noProof/>
          <w:sz w:val="18"/>
          <w:szCs w:val="18"/>
          <w:lang w:val="ka-GE"/>
        </w:rPr>
        <w:t xml:space="preserve"> Constitution of Georgia</w:t>
      </w:r>
      <w:r w:rsidRPr="0071006D">
        <w:rPr>
          <w:rFonts w:asciiTheme="majorHAnsi" w:hAnsiTheme="majorHAnsi" w:cstheme="majorHAnsi"/>
          <w:noProof/>
          <w:sz w:val="18"/>
          <w:szCs w:val="18"/>
        </w:rPr>
        <w:t>, Article 64(1)</w:t>
      </w:r>
      <w:r w:rsidRPr="0071006D">
        <w:rPr>
          <w:rFonts w:asciiTheme="majorHAnsi" w:hAnsiTheme="majorHAnsi" w:cstheme="majorHAnsi"/>
          <w:noProof/>
          <w:sz w:val="18"/>
          <w:szCs w:val="18"/>
          <w:lang w:val="ka-GE"/>
        </w:rPr>
        <w:t>. The High Council of Justice of Georgia consists of 15 members. 8 members of the High Council of Justice of Georgia, of which at least one member represents the court of each instance, shall be elected by the self-governing body of judges of the common courts of Georgia in accordance with the rules established by this Law, 5 members shall be elected by the Parliament of Georgia</w:t>
      </w:r>
      <w:r w:rsidRPr="0071006D">
        <w:rPr>
          <w:rFonts w:asciiTheme="majorHAnsi" w:hAnsiTheme="majorHAnsi" w:cstheme="majorHAnsi"/>
          <w:noProof/>
          <w:sz w:val="18"/>
          <w:szCs w:val="18"/>
        </w:rPr>
        <w:t xml:space="preserve">, and one member is appointed by the President of Georgia. </w:t>
      </w:r>
      <w:r w:rsidRPr="0071006D">
        <w:rPr>
          <w:rFonts w:asciiTheme="majorHAnsi" w:hAnsiTheme="majorHAnsi" w:cstheme="majorHAnsi"/>
          <w:noProof/>
          <w:sz w:val="18"/>
          <w:szCs w:val="18"/>
          <w:lang w:val="ka-GE"/>
        </w:rPr>
        <w:t>The Chairman of the Supreme Court is ex officio a member of the High Council of Justice of Georgia.</w:t>
      </w:r>
      <w:r w:rsidRPr="0071006D">
        <w:rPr>
          <w:rFonts w:asciiTheme="majorHAnsi" w:hAnsiTheme="majorHAnsi" w:cstheme="majorHAnsi"/>
          <w:noProof/>
          <w:sz w:val="18"/>
          <w:szCs w:val="18"/>
        </w:rPr>
        <w:t xml:space="preserve"> </w:t>
      </w:r>
    </w:p>
  </w:footnote>
  <w:footnote w:id="107">
    <w:p w14:paraId="3CB2889C" w14:textId="65C1EA79" w:rsidR="000F4173" w:rsidRPr="0071006D" w:rsidRDefault="000F4173" w:rsidP="0071006D">
      <w:pPr>
        <w:pStyle w:val="FootnoteText"/>
        <w:jc w:val="both"/>
        <w:rPr>
          <w:rFonts w:asciiTheme="majorHAnsi" w:hAnsiTheme="majorHAnsi" w:cstheme="majorHAnsi"/>
          <w:noProof/>
          <w:sz w:val="18"/>
          <w:szCs w:val="18"/>
          <w:lang w:val="ka-GE"/>
        </w:rPr>
      </w:pPr>
      <w:r w:rsidRPr="0071006D">
        <w:rPr>
          <w:rStyle w:val="FootnoteReference"/>
          <w:rFonts w:asciiTheme="majorHAnsi" w:hAnsiTheme="majorHAnsi" w:cstheme="majorHAnsi"/>
          <w:noProof/>
          <w:sz w:val="18"/>
          <w:szCs w:val="18"/>
        </w:rPr>
        <w:footnoteRef/>
      </w:r>
      <w:r w:rsidRPr="0071006D">
        <w:rPr>
          <w:rFonts w:asciiTheme="majorHAnsi" w:hAnsiTheme="majorHAnsi" w:cstheme="majorHAnsi"/>
          <w:noProof/>
          <w:sz w:val="18"/>
          <w:szCs w:val="18"/>
          <w:lang w:val="ka-GE"/>
        </w:rPr>
        <w:t xml:space="preserve"> Assessment of the Hearings of Supreme Court Judicial Candidates at the Parliament Legal Committee</w:t>
      </w:r>
      <w:r w:rsidRPr="0071006D">
        <w:rPr>
          <w:rFonts w:asciiTheme="majorHAnsi" w:hAnsiTheme="majorHAnsi" w:cstheme="majorHAnsi"/>
          <w:noProof/>
          <w:sz w:val="18"/>
          <w:szCs w:val="18"/>
        </w:rPr>
        <w:t xml:space="preserve">, Available at: </w:t>
      </w:r>
      <w:hyperlink r:id="rId58" w:history="1">
        <w:r w:rsidRPr="0071006D">
          <w:rPr>
            <w:rStyle w:val="Hyperlink"/>
            <w:rFonts w:asciiTheme="majorHAnsi" w:hAnsiTheme="majorHAnsi" w:cstheme="majorHAnsi"/>
            <w:noProof/>
            <w:color w:val="auto"/>
            <w:sz w:val="18"/>
            <w:szCs w:val="18"/>
            <w:lang w:val="ka-GE"/>
          </w:rPr>
          <w:t>http://bit.ly/2Qu56po</w:t>
        </w:r>
      </w:hyperlink>
      <w:r w:rsidRPr="0071006D">
        <w:rPr>
          <w:rFonts w:asciiTheme="majorHAnsi" w:hAnsiTheme="majorHAnsi" w:cstheme="majorHAnsi"/>
          <w:noProof/>
          <w:sz w:val="18"/>
          <w:szCs w:val="18"/>
          <w:lang w:val="ka-GE"/>
        </w:rPr>
        <w:t xml:space="preserve">, </w:t>
      </w:r>
    </w:p>
  </w:footnote>
  <w:footnote w:id="108">
    <w:p w14:paraId="282F99BF" w14:textId="461B2DFF" w:rsidR="000F4173" w:rsidRPr="0071006D" w:rsidRDefault="000F4173" w:rsidP="0071006D">
      <w:pPr>
        <w:pStyle w:val="FootnoteText"/>
        <w:jc w:val="both"/>
        <w:rPr>
          <w:rFonts w:asciiTheme="majorHAnsi" w:hAnsiTheme="majorHAnsi" w:cstheme="majorHAnsi"/>
          <w:noProof/>
          <w:sz w:val="18"/>
          <w:szCs w:val="18"/>
          <w:lang w:val="ka-GE"/>
        </w:rPr>
      </w:pPr>
      <w:r w:rsidRPr="0071006D">
        <w:rPr>
          <w:rStyle w:val="FootnoteReference"/>
          <w:rFonts w:asciiTheme="majorHAnsi" w:hAnsiTheme="majorHAnsi" w:cstheme="majorHAnsi"/>
          <w:noProof/>
          <w:sz w:val="18"/>
          <w:szCs w:val="18"/>
        </w:rPr>
        <w:footnoteRef/>
      </w:r>
      <w:r w:rsidRPr="0071006D">
        <w:rPr>
          <w:rFonts w:asciiTheme="majorHAnsi" w:hAnsiTheme="majorHAnsi" w:cstheme="majorHAnsi"/>
          <w:noProof/>
          <w:sz w:val="18"/>
          <w:szCs w:val="18"/>
          <w:lang w:val="ka-GE"/>
        </w:rPr>
        <w:t xml:space="preserve"> Office for Democratic Institutions and Human Rights, ODIHR Report, Second Report on the Nomination and Appointment of Supreme Court Judges in Georgia, June – December 2019, </w:t>
      </w:r>
      <w:r w:rsidRPr="0071006D">
        <w:rPr>
          <w:rFonts w:asciiTheme="majorHAnsi" w:hAnsiTheme="majorHAnsi" w:cstheme="majorHAnsi"/>
          <w:noProof/>
          <w:sz w:val="18"/>
          <w:szCs w:val="18"/>
        </w:rPr>
        <w:t>Available at:</w:t>
      </w:r>
      <w:r w:rsidRPr="0071006D">
        <w:rPr>
          <w:rFonts w:asciiTheme="majorHAnsi" w:hAnsiTheme="majorHAnsi" w:cstheme="majorHAnsi"/>
          <w:noProof/>
          <w:sz w:val="18"/>
          <w:szCs w:val="18"/>
          <w:lang w:val="ka-GE"/>
        </w:rPr>
        <w:t xml:space="preserve"> </w:t>
      </w:r>
      <w:hyperlink r:id="rId59" w:history="1">
        <w:r w:rsidRPr="0071006D">
          <w:rPr>
            <w:rStyle w:val="Hyperlink"/>
            <w:rFonts w:asciiTheme="majorHAnsi" w:hAnsiTheme="majorHAnsi" w:cstheme="majorHAnsi"/>
            <w:noProof/>
            <w:color w:val="auto"/>
            <w:sz w:val="18"/>
            <w:szCs w:val="18"/>
            <w:lang w:val="ka-GE"/>
          </w:rPr>
          <w:t>http://bit.ly/33tmwYx</w:t>
        </w:r>
      </w:hyperlink>
      <w:r w:rsidRPr="0071006D">
        <w:rPr>
          <w:rFonts w:asciiTheme="majorHAnsi" w:hAnsiTheme="majorHAnsi" w:cstheme="majorHAnsi"/>
          <w:noProof/>
          <w:sz w:val="18"/>
          <w:szCs w:val="18"/>
          <w:lang w:val="ka-GE"/>
        </w:rPr>
        <w:t>,</w:t>
      </w:r>
      <w:r w:rsidRPr="0071006D">
        <w:rPr>
          <w:rFonts w:asciiTheme="majorHAnsi" w:hAnsiTheme="majorHAnsi" w:cstheme="majorHAnsi"/>
          <w:noProof/>
          <w:sz w:val="18"/>
          <w:szCs w:val="18"/>
        </w:rPr>
        <w:t xml:space="preserve"> See Also</w:t>
      </w:r>
      <w:r w:rsidRPr="0071006D">
        <w:rPr>
          <w:rFonts w:asciiTheme="majorHAnsi" w:hAnsiTheme="majorHAnsi" w:cstheme="majorHAnsi"/>
          <w:noProof/>
          <w:sz w:val="18"/>
          <w:szCs w:val="18"/>
          <w:lang w:val="ka-GE"/>
        </w:rPr>
        <w:t xml:space="preserve">, Europian Commision, “Joint staff working socument Implementation Report on Georgia”, par.2.3 Justice, freedom and security, </w:t>
      </w:r>
      <w:r w:rsidRPr="0071006D">
        <w:rPr>
          <w:rFonts w:asciiTheme="majorHAnsi" w:hAnsiTheme="majorHAnsi" w:cstheme="majorHAnsi"/>
          <w:noProof/>
          <w:sz w:val="18"/>
          <w:szCs w:val="18"/>
        </w:rPr>
        <w:t>Available at:</w:t>
      </w:r>
      <w:r w:rsidRPr="0071006D">
        <w:rPr>
          <w:rFonts w:asciiTheme="majorHAnsi" w:hAnsiTheme="majorHAnsi" w:cstheme="majorHAnsi"/>
          <w:noProof/>
          <w:sz w:val="18"/>
          <w:szCs w:val="18"/>
          <w:lang w:val="ka-GE"/>
        </w:rPr>
        <w:t xml:space="preserve"> </w:t>
      </w:r>
      <w:hyperlink r:id="rId60" w:history="1">
        <w:r w:rsidRPr="0071006D">
          <w:rPr>
            <w:rStyle w:val="Hyperlink"/>
            <w:rFonts w:asciiTheme="majorHAnsi" w:hAnsiTheme="majorHAnsi" w:cstheme="majorHAnsi"/>
            <w:noProof/>
            <w:color w:val="auto"/>
            <w:sz w:val="18"/>
            <w:szCs w:val="18"/>
            <w:lang w:val="ka-GE"/>
          </w:rPr>
          <w:t>http://bit.ly/2UeDzJC</w:t>
        </w:r>
      </w:hyperlink>
      <w:r w:rsidRPr="0071006D">
        <w:rPr>
          <w:rFonts w:asciiTheme="majorHAnsi" w:hAnsiTheme="majorHAnsi" w:cstheme="majorHAnsi"/>
          <w:noProof/>
          <w:sz w:val="18"/>
          <w:szCs w:val="18"/>
          <w:lang w:val="ka-GE"/>
        </w:rPr>
        <w:t xml:space="preserve">, </w:t>
      </w:r>
    </w:p>
  </w:footnote>
  <w:footnote w:id="109">
    <w:p w14:paraId="4529FC65" w14:textId="2B10040D" w:rsidR="000F4173" w:rsidRPr="0071006D" w:rsidRDefault="000F4173" w:rsidP="0071006D">
      <w:pPr>
        <w:pStyle w:val="FootnoteText"/>
        <w:jc w:val="both"/>
        <w:rPr>
          <w:rFonts w:asciiTheme="majorHAnsi" w:hAnsiTheme="majorHAnsi" w:cstheme="majorHAnsi"/>
          <w:noProof/>
          <w:sz w:val="18"/>
          <w:szCs w:val="18"/>
          <w:lang w:val="ka-GE"/>
        </w:rPr>
      </w:pPr>
      <w:r w:rsidRPr="0071006D">
        <w:rPr>
          <w:rStyle w:val="FootnoteReference"/>
          <w:rFonts w:asciiTheme="majorHAnsi" w:hAnsiTheme="majorHAnsi" w:cstheme="majorHAnsi"/>
          <w:noProof/>
          <w:sz w:val="18"/>
          <w:szCs w:val="18"/>
        </w:rPr>
        <w:footnoteRef/>
      </w:r>
      <w:r w:rsidRPr="0071006D">
        <w:rPr>
          <w:rFonts w:asciiTheme="majorHAnsi" w:hAnsiTheme="majorHAnsi" w:cstheme="majorHAnsi"/>
          <w:noProof/>
          <w:sz w:val="18"/>
          <w:szCs w:val="18"/>
          <w:lang w:val="ka-GE"/>
        </w:rPr>
        <w:t xml:space="preserve"> P</w:t>
      </w:r>
      <w:r>
        <w:rPr>
          <w:rFonts w:asciiTheme="majorHAnsi" w:hAnsiTheme="majorHAnsi" w:cstheme="majorHAnsi"/>
          <w:noProof/>
          <w:sz w:val="18"/>
          <w:szCs w:val="18"/>
        </w:rPr>
        <w:t>DO</w:t>
      </w:r>
      <w:r w:rsidRPr="0071006D">
        <w:rPr>
          <w:rFonts w:asciiTheme="majorHAnsi" w:hAnsiTheme="majorHAnsi" w:cstheme="majorHAnsi"/>
          <w:noProof/>
          <w:sz w:val="18"/>
          <w:szCs w:val="18"/>
          <w:lang w:val="ka-GE"/>
        </w:rPr>
        <w:t xml:space="preserve"> Publishes Special Report on the Process of Selection of Supreme Court Judges</w:t>
      </w:r>
      <w:r w:rsidRPr="0071006D">
        <w:rPr>
          <w:rFonts w:asciiTheme="majorHAnsi" w:hAnsiTheme="majorHAnsi" w:cstheme="majorHAnsi"/>
          <w:noProof/>
          <w:sz w:val="18"/>
          <w:szCs w:val="18"/>
        </w:rPr>
        <w:t xml:space="preserve">, Availabel at: </w:t>
      </w:r>
      <w:hyperlink r:id="rId61" w:history="1">
        <w:r w:rsidRPr="0071006D">
          <w:rPr>
            <w:rStyle w:val="Hyperlink"/>
            <w:rFonts w:asciiTheme="majorHAnsi" w:hAnsiTheme="majorHAnsi" w:cstheme="majorHAnsi"/>
            <w:noProof/>
            <w:color w:val="auto"/>
            <w:sz w:val="18"/>
            <w:szCs w:val="18"/>
            <w:lang w:val="ka-GE"/>
          </w:rPr>
          <w:t>https://bit.ly/2Y6UHmz</w:t>
        </w:r>
      </w:hyperlink>
      <w:r w:rsidRPr="0071006D">
        <w:rPr>
          <w:rFonts w:asciiTheme="majorHAnsi" w:hAnsiTheme="majorHAnsi" w:cstheme="majorHAnsi"/>
          <w:noProof/>
          <w:sz w:val="18"/>
          <w:szCs w:val="18"/>
          <w:lang w:val="ka-GE"/>
        </w:rPr>
        <w:t xml:space="preserve">, </w:t>
      </w:r>
    </w:p>
  </w:footnote>
  <w:footnote w:id="110">
    <w:p w14:paraId="76C47785" w14:textId="1C3F1169"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lang w:val="ka-GE"/>
        </w:rPr>
        <w:t>Monitoring Report</w:t>
      </w:r>
      <w:r w:rsidRPr="0071006D">
        <w:rPr>
          <w:rFonts w:asciiTheme="majorHAnsi" w:hAnsiTheme="majorHAnsi" w:cstheme="majorHAnsi"/>
          <w:sz w:val="18"/>
          <w:szCs w:val="18"/>
        </w:rPr>
        <w:t xml:space="preserve"> </w:t>
      </w:r>
      <w:r w:rsidRPr="0071006D">
        <w:rPr>
          <w:rFonts w:asciiTheme="majorHAnsi" w:hAnsiTheme="majorHAnsi" w:cstheme="majorHAnsi"/>
          <w:sz w:val="18"/>
          <w:szCs w:val="18"/>
          <w:lang w:val="ka-GE"/>
        </w:rPr>
        <w:t>of the High Council</w:t>
      </w:r>
      <w:r w:rsidRPr="0071006D">
        <w:rPr>
          <w:rFonts w:asciiTheme="majorHAnsi" w:hAnsiTheme="majorHAnsi" w:cstheme="majorHAnsi"/>
          <w:sz w:val="18"/>
          <w:szCs w:val="18"/>
        </w:rPr>
        <w:t xml:space="preserve"> </w:t>
      </w:r>
      <w:r w:rsidRPr="0071006D">
        <w:rPr>
          <w:rFonts w:asciiTheme="majorHAnsi" w:hAnsiTheme="majorHAnsi" w:cstheme="majorHAnsi"/>
          <w:sz w:val="18"/>
          <w:szCs w:val="18"/>
          <w:lang w:val="ka-GE"/>
        </w:rPr>
        <w:t>of Justice №8,</w:t>
      </w:r>
      <w:r w:rsidRPr="0071006D">
        <w:rPr>
          <w:rFonts w:asciiTheme="majorHAnsi" w:hAnsiTheme="majorHAnsi" w:cstheme="majorHAnsi"/>
          <w:sz w:val="18"/>
          <w:szCs w:val="18"/>
        </w:rPr>
        <w:t xml:space="preserve"> GYLA, </w:t>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Available at</w:t>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fldChar w:fldCharType="begin"/>
      </w:r>
      <w:r w:rsidRPr="0071006D">
        <w:rPr>
          <w:rFonts w:asciiTheme="majorHAnsi" w:hAnsiTheme="majorHAnsi" w:cstheme="majorHAnsi"/>
          <w:sz w:val="18"/>
          <w:szCs w:val="18"/>
        </w:rPr>
        <w:instrText xml:space="preserve"> HYPERLINK "https://bit.ly/2X6HFFI" </w:instrText>
      </w:r>
      <w:r w:rsidRPr="0071006D">
        <w:rPr>
          <w:rFonts w:asciiTheme="majorHAnsi" w:hAnsiTheme="majorHAnsi" w:cstheme="majorHAnsi"/>
          <w:sz w:val="18"/>
          <w:szCs w:val="18"/>
        </w:rPr>
        <w:fldChar w:fldCharType="separate"/>
      </w:r>
      <w:r w:rsidRPr="0071006D">
        <w:rPr>
          <w:rFonts w:asciiTheme="majorHAnsi" w:hAnsiTheme="majorHAnsi" w:cstheme="majorHAnsi"/>
          <w:sz w:val="18"/>
          <w:szCs w:val="18"/>
          <w:lang w:val="ka-GE"/>
        </w:rPr>
        <w:t>https://bit.ly/2X6HFFI</w:t>
      </w:r>
      <w:r w:rsidRPr="0071006D">
        <w:rPr>
          <w:rFonts w:asciiTheme="majorHAnsi" w:hAnsiTheme="majorHAnsi" w:cstheme="majorHAnsi"/>
          <w:sz w:val="18"/>
          <w:szCs w:val="18"/>
          <w:lang w:val="ka-GE"/>
        </w:rPr>
        <w:fldChar w:fldCharType="end"/>
      </w:r>
      <w:r w:rsidRPr="0071006D">
        <w:rPr>
          <w:rFonts w:asciiTheme="majorHAnsi" w:hAnsiTheme="majorHAnsi" w:cstheme="majorHAnsi"/>
          <w:sz w:val="18"/>
          <w:szCs w:val="18"/>
        </w:rPr>
        <w:t xml:space="preserve">;  </w:t>
      </w:r>
    </w:p>
  </w:footnote>
  <w:footnote w:id="111">
    <w:p w14:paraId="6A2A186F" w14:textId="0E42C776"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Ibid.</w:t>
      </w:r>
    </w:p>
  </w:footnote>
  <w:footnote w:id="112">
    <w:p w14:paraId="6BF8428C" w14:textId="482B2BCE"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Ibid</w:t>
      </w:r>
      <w:r w:rsidRPr="0071006D">
        <w:rPr>
          <w:rFonts w:asciiTheme="majorHAnsi" w:hAnsiTheme="majorHAnsi" w:cstheme="majorHAnsi"/>
          <w:sz w:val="18"/>
          <w:szCs w:val="18"/>
          <w:lang w:val="ka-GE"/>
        </w:rPr>
        <w:t>.</w:t>
      </w:r>
    </w:p>
  </w:footnote>
  <w:footnote w:id="113">
    <w:p w14:paraId="2E1DE81A" w14:textId="1C9B18FA"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Ibid</w:t>
      </w:r>
      <w:r w:rsidRPr="0071006D">
        <w:rPr>
          <w:rFonts w:asciiTheme="majorHAnsi" w:hAnsiTheme="majorHAnsi" w:cstheme="majorHAnsi"/>
          <w:sz w:val="18"/>
          <w:szCs w:val="18"/>
          <w:lang w:val="ka-GE"/>
        </w:rPr>
        <w:t>.</w:t>
      </w:r>
    </w:p>
  </w:footnote>
  <w:footnote w:id="114">
    <w:p w14:paraId="4C5DEF02" w14:textId="4FBC3F30"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Ibid</w:t>
      </w:r>
      <w:r w:rsidRPr="0071006D">
        <w:rPr>
          <w:rFonts w:asciiTheme="majorHAnsi" w:hAnsiTheme="majorHAnsi" w:cstheme="majorHAnsi"/>
          <w:sz w:val="18"/>
          <w:szCs w:val="18"/>
          <w:lang w:val="ka-GE"/>
        </w:rPr>
        <w:t>.</w:t>
      </w:r>
    </w:p>
  </w:footnote>
  <w:footnote w:id="115">
    <w:p w14:paraId="4203DB7F" w14:textId="3E87DA3B" w:rsidR="000F4173" w:rsidRPr="0071006D" w:rsidRDefault="000F4173" w:rsidP="0071006D">
      <w:pPr>
        <w:pStyle w:val="FootnoteText"/>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ibid </w:t>
      </w:r>
    </w:p>
  </w:footnote>
  <w:footnote w:id="116">
    <w:p w14:paraId="4AA6F718" w14:textId="071915A1" w:rsidR="000F4173" w:rsidRPr="0071006D" w:rsidRDefault="000F4173" w:rsidP="0071006D">
      <w:pPr>
        <w:pStyle w:val="FootnoteText"/>
        <w:jc w:val="both"/>
        <w:rPr>
          <w:rFonts w:asciiTheme="majorHAnsi" w:hAnsiTheme="majorHAnsi" w:cstheme="majorHAnsi"/>
          <w:noProof/>
          <w:sz w:val="18"/>
          <w:szCs w:val="18"/>
          <w:lang w:val="ka-GE"/>
        </w:rPr>
      </w:pPr>
      <w:r w:rsidRPr="0071006D">
        <w:rPr>
          <w:rStyle w:val="FootnoteReference"/>
          <w:rFonts w:asciiTheme="majorHAnsi" w:hAnsiTheme="majorHAnsi" w:cstheme="majorHAnsi"/>
          <w:noProof/>
          <w:sz w:val="18"/>
          <w:szCs w:val="18"/>
        </w:rPr>
        <w:footnoteRef/>
      </w:r>
      <w:r w:rsidRPr="0071006D">
        <w:rPr>
          <w:rFonts w:asciiTheme="majorHAnsi" w:hAnsiTheme="majorHAnsi" w:cstheme="majorHAnsi"/>
          <w:noProof/>
          <w:sz w:val="18"/>
          <w:szCs w:val="18"/>
          <w:lang w:val="ka-GE"/>
        </w:rPr>
        <w:t xml:space="preserve"> </w:t>
      </w:r>
      <w:r w:rsidRPr="0071006D">
        <w:rPr>
          <w:rFonts w:asciiTheme="majorHAnsi" w:hAnsiTheme="majorHAnsi" w:cstheme="majorHAnsi"/>
          <w:noProof/>
          <w:sz w:val="18"/>
          <w:szCs w:val="18"/>
        </w:rPr>
        <w:t xml:space="preserve">The organic law on common cours, Article </w:t>
      </w:r>
      <w:r w:rsidRPr="0071006D">
        <w:rPr>
          <w:rFonts w:asciiTheme="majorHAnsi" w:hAnsiTheme="majorHAnsi" w:cstheme="majorHAnsi"/>
          <w:noProof/>
          <w:sz w:val="18"/>
          <w:szCs w:val="18"/>
          <w:lang w:val="ka-GE"/>
        </w:rPr>
        <w:t xml:space="preserve"> 51</w:t>
      </w:r>
      <w:r w:rsidRPr="0071006D">
        <w:rPr>
          <w:rFonts w:asciiTheme="majorHAnsi" w:hAnsiTheme="majorHAnsi" w:cstheme="majorHAnsi"/>
          <w:noProof/>
          <w:sz w:val="18"/>
          <w:szCs w:val="18"/>
          <w:vertAlign w:val="superscript"/>
          <w:lang w:val="ka-GE"/>
        </w:rPr>
        <w:t xml:space="preserve">1 </w:t>
      </w:r>
      <w:r w:rsidRPr="0071006D">
        <w:rPr>
          <w:rFonts w:asciiTheme="majorHAnsi" w:hAnsiTheme="majorHAnsi" w:cstheme="majorHAnsi"/>
          <w:noProof/>
          <w:sz w:val="18"/>
          <w:szCs w:val="18"/>
        </w:rPr>
        <w:t>(</w:t>
      </w:r>
      <w:r w:rsidRPr="0071006D">
        <w:rPr>
          <w:rFonts w:asciiTheme="majorHAnsi" w:hAnsiTheme="majorHAnsi" w:cstheme="majorHAnsi"/>
          <w:noProof/>
          <w:sz w:val="18"/>
          <w:szCs w:val="18"/>
          <w:lang w:val="ka-GE"/>
        </w:rPr>
        <w:t>1</w:t>
      </w:r>
      <w:r w:rsidRPr="0071006D">
        <w:rPr>
          <w:rFonts w:asciiTheme="majorHAnsi" w:hAnsiTheme="majorHAnsi" w:cstheme="majorHAnsi"/>
          <w:noProof/>
          <w:sz w:val="18"/>
          <w:szCs w:val="18"/>
        </w:rPr>
        <w:t>)</w:t>
      </w:r>
      <w:r w:rsidRPr="0071006D">
        <w:rPr>
          <w:rFonts w:asciiTheme="majorHAnsi" w:hAnsiTheme="majorHAnsi" w:cstheme="majorHAnsi"/>
          <w:noProof/>
          <w:sz w:val="18"/>
          <w:szCs w:val="18"/>
          <w:lang w:val="ka-GE"/>
        </w:rPr>
        <w:t>.</w:t>
      </w:r>
    </w:p>
  </w:footnote>
  <w:footnote w:id="117">
    <w:p w14:paraId="0262259F" w14:textId="5BE194DD" w:rsidR="000F4173" w:rsidRPr="0071006D" w:rsidRDefault="000F4173" w:rsidP="0071006D">
      <w:pPr>
        <w:pStyle w:val="FootnoteText"/>
        <w:jc w:val="both"/>
        <w:rPr>
          <w:rFonts w:asciiTheme="majorHAnsi" w:hAnsiTheme="majorHAnsi" w:cstheme="majorHAnsi"/>
          <w:noProof/>
          <w:sz w:val="18"/>
          <w:szCs w:val="18"/>
          <w:lang w:val="ka-GE"/>
        </w:rPr>
      </w:pPr>
      <w:r w:rsidRPr="0071006D">
        <w:rPr>
          <w:rStyle w:val="FootnoteReference"/>
          <w:rFonts w:asciiTheme="majorHAnsi" w:hAnsiTheme="majorHAnsi" w:cstheme="majorHAnsi"/>
          <w:noProof/>
          <w:sz w:val="18"/>
          <w:szCs w:val="18"/>
        </w:rPr>
        <w:footnoteRef/>
      </w:r>
      <w:r w:rsidRPr="0071006D">
        <w:rPr>
          <w:rFonts w:asciiTheme="majorHAnsi" w:hAnsiTheme="majorHAnsi" w:cstheme="majorHAnsi"/>
          <w:noProof/>
          <w:sz w:val="18"/>
          <w:szCs w:val="18"/>
          <w:lang w:val="ka-GE"/>
        </w:rPr>
        <w:t xml:space="preserve"> </w:t>
      </w:r>
      <w:r w:rsidRPr="0071006D">
        <w:rPr>
          <w:rFonts w:asciiTheme="majorHAnsi" w:hAnsiTheme="majorHAnsi" w:cstheme="majorHAnsi"/>
          <w:noProof/>
          <w:sz w:val="18"/>
          <w:szCs w:val="18"/>
        </w:rPr>
        <w:t>Ibid, Article</w:t>
      </w:r>
      <w:r w:rsidRPr="0071006D">
        <w:rPr>
          <w:rFonts w:asciiTheme="majorHAnsi" w:hAnsiTheme="majorHAnsi" w:cstheme="majorHAnsi"/>
          <w:noProof/>
          <w:sz w:val="18"/>
          <w:szCs w:val="18"/>
          <w:lang w:val="ka-GE"/>
        </w:rPr>
        <w:t xml:space="preserve"> 75</w:t>
      </w:r>
      <w:r w:rsidRPr="0071006D">
        <w:rPr>
          <w:rFonts w:asciiTheme="majorHAnsi" w:hAnsiTheme="majorHAnsi" w:cstheme="majorHAnsi"/>
          <w:noProof/>
          <w:sz w:val="18"/>
          <w:szCs w:val="18"/>
          <w:vertAlign w:val="superscript"/>
          <w:lang w:val="ka-GE"/>
        </w:rPr>
        <w:t xml:space="preserve">13 </w:t>
      </w:r>
      <w:r w:rsidRPr="0071006D">
        <w:rPr>
          <w:rFonts w:asciiTheme="majorHAnsi" w:hAnsiTheme="majorHAnsi" w:cstheme="majorHAnsi"/>
          <w:noProof/>
          <w:sz w:val="18"/>
          <w:szCs w:val="18"/>
        </w:rPr>
        <w:t>(</w:t>
      </w:r>
      <w:r w:rsidRPr="0071006D">
        <w:rPr>
          <w:rFonts w:asciiTheme="majorHAnsi" w:hAnsiTheme="majorHAnsi" w:cstheme="majorHAnsi"/>
          <w:noProof/>
          <w:sz w:val="18"/>
          <w:szCs w:val="18"/>
          <w:lang w:val="ka-GE"/>
        </w:rPr>
        <w:t>1</w:t>
      </w:r>
      <w:r w:rsidRPr="0071006D">
        <w:rPr>
          <w:rFonts w:asciiTheme="majorHAnsi" w:hAnsiTheme="majorHAnsi" w:cstheme="majorHAnsi"/>
          <w:noProof/>
          <w:sz w:val="18"/>
          <w:szCs w:val="18"/>
        </w:rPr>
        <w:t xml:space="preserve">); </w:t>
      </w:r>
    </w:p>
  </w:footnote>
  <w:footnote w:id="118">
    <w:p w14:paraId="0A49E655" w14:textId="0B2B2CEF" w:rsidR="000F4173" w:rsidRPr="0071006D" w:rsidRDefault="000F4173" w:rsidP="0071006D">
      <w:pPr>
        <w:pStyle w:val="FootnoteText"/>
        <w:jc w:val="both"/>
        <w:rPr>
          <w:rFonts w:asciiTheme="majorHAnsi" w:hAnsiTheme="majorHAnsi" w:cstheme="majorHAnsi"/>
          <w:noProof/>
          <w:sz w:val="18"/>
          <w:szCs w:val="18"/>
        </w:rPr>
      </w:pPr>
      <w:r w:rsidRPr="0071006D">
        <w:rPr>
          <w:rStyle w:val="FootnoteReference"/>
          <w:rFonts w:asciiTheme="majorHAnsi" w:hAnsiTheme="majorHAnsi" w:cstheme="majorHAnsi"/>
          <w:noProof/>
          <w:sz w:val="18"/>
          <w:szCs w:val="18"/>
        </w:rPr>
        <w:footnoteRef/>
      </w:r>
      <w:r w:rsidRPr="0071006D">
        <w:rPr>
          <w:rFonts w:asciiTheme="majorHAnsi" w:hAnsiTheme="majorHAnsi" w:cstheme="majorHAnsi"/>
          <w:noProof/>
          <w:sz w:val="18"/>
          <w:szCs w:val="18"/>
          <w:lang w:val="ka-GE"/>
        </w:rPr>
        <w:t xml:space="preserve"> </w:t>
      </w:r>
      <w:r w:rsidRPr="0071006D">
        <w:rPr>
          <w:rFonts w:asciiTheme="majorHAnsi" w:hAnsiTheme="majorHAnsi" w:cstheme="majorHAnsi"/>
          <w:noProof/>
          <w:sz w:val="18"/>
          <w:szCs w:val="18"/>
        </w:rPr>
        <w:t>ibid</w:t>
      </w:r>
    </w:p>
  </w:footnote>
  <w:footnote w:id="119">
    <w:p w14:paraId="50160CBE" w14:textId="145E9E94"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Monitoring Report</w:t>
      </w:r>
      <w:r w:rsidRPr="0071006D">
        <w:rPr>
          <w:rFonts w:asciiTheme="majorHAnsi" w:hAnsiTheme="majorHAnsi" w:cstheme="majorHAnsi"/>
          <w:sz w:val="18"/>
          <w:szCs w:val="18"/>
        </w:rPr>
        <w:t xml:space="preserve"> </w:t>
      </w:r>
      <w:r w:rsidRPr="0071006D">
        <w:rPr>
          <w:rFonts w:asciiTheme="majorHAnsi" w:hAnsiTheme="majorHAnsi" w:cstheme="majorHAnsi"/>
          <w:sz w:val="18"/>
          <w:szCs w:val="18"/>
          <w:lang w:val="ka-GE"/>
        </w:rPr>
        <w:t>of the High Council</w:t>
      </w:r>
      <w:r w:rsidRPr="0071006D">
        <w:rPr>
          <w:rFonts w:asciiTheme="majorHAnsi" w:hAnsiTheme="majorHAnsi" w:cstheme="majorHAnsi"/>
          <w:sz w:val="18"/>
          <w:szCs w:val="18"/>
        </w:rPr>
        <w:t xml:space="preserve"> </w:t>
      </w:r>
      <w:r w:rsidRPr="0071006D">
        <w:rPr>
          <w:rFonts w:asciiTheme="majorHAnsi" w:hAnsiTheme="majorHAnsi" w:cstheme="majorHAnsi"/>
          <w:sz w:val="18"/>
          <w:szCs w:val="18"/>
          <w:lang w:val="ka-GE"/>
        </w:rPr>
        <w:t>of Justice №8</w:t>
      </w:r>
      <w:r w:rsidRPr="0071006D">
        <w:rPr>
          <w:rFonts w:asciiTheme="majorHAnsi" w:hAnsiTheme="majorHAnsi" w:cstheme="majorHAnsi"/>
          <w:sz w:val="18"/>
          <w:szCs w:val="18"/>
        </w:rPr>
        <w:t xml:space="preserve">. </w:t>
      </w:r>
    </w:p>
  </w:footnote>
  <w:footnote w:id="120">
    <w:p w14:paraId="78F3B8E4" w14:textId="3F5C985B"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ibid.</w:t>
      </w:r>
    </w:p>
  </w:footnote>
  <w:footnote w:id="121">
    <w:p w14:paraId="64E8E032" w14:textId="63AD6F8C"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noProof/>
          <w:sz w:val="18"/>
          <w:szCs w:val="18"/>
        </w:rPr>
        <w:t xml:space="preserve">The organic law on common cours, Article </w:t>
      </w:r>
      <w:r w:rsidRPr="0071006D">
        <w:rPr>
          <w:rFonts w:asciiTheme="majorHAnsi" w:hAnsiTheme="majorHAnsi" w:cstheme="majorHAnsi"/>
          <w:noProof/>
          <w:sz w:val="18"/>
          <w:szCs w:val="18"/>
          <w:lang w:val="ka-GE"/>
        </w:rPr>
        <w:t xml:space="preserve"> </w:t>
      </w:r>
      <w:r w:rsidRPr="0071006D">
        <w:rPr>
          <w:rFonts w:asciiTheme="majorHAnsi" w:hAnsiTheme="majorHAnsi" w:cstheme="majorHAnsi"/>
          <w:sz w:val="18"/>
          <w:szCs w:val="18"/>
          <w:lang w:val="ka-GE"/>
        </w:rPr>
        <w:t>51</w:t>
      </w:r>
      <w:r w:rsidRPr="0071006D">
        <w:rPr>
          <w:rFonts w:asciiTheme="majorHAnsi" w:hAnsiTheme="majorHAnsi" w:cstheme="majorHAnsi"/>
          <w:sz w:val="18"/>
          <w:szCs w:val="18"/>
          <w:vertAlign w:val="superscript"/>
          <w:lang w:val="ka-GE"/>
        </w:rPr>
        <w:t xml:space="preserve">1 </w:t>
      </w:r>
      <w:r w:rsidRPr="0071006D">
        <w:rPr>
          <w:rFonts w:asciiTheme="majorHAnsi" w:hAnsiTheme="majorHAnsi" w:cstheme="majorHAnsi"/>
          <w:sz w:val="18"/>
          <w:szCs w:val="18"/>
        </w:rPr>
        <w:t>(</w:t>
      </w:r>
      <w:r w:rsidRPr="0071006D">
        <w:rPr>
          <w:rFonts w:asciiTheme="majorHAnsi" w:hAnsiTheme="majorHAnsi" w:cstheme="majorHAnsi"/>
          <w:sz w:val="18"/>
          <w:szCs w:val="18"/>
          <w:lang w:val="ka-GE"/>
        </w:rPr>
        <w:t>2</w:t>
      </w:r>
      <w:r w:rsidRPr="0071006D">
        <w:rPr>
          <w:rFonts w:asciiTheme="majorHAnsi" w:hAnsiTheme="majorHAnsi" w:cstheme="majorHAnsi"/>
          <w:sz w:val="18"/>
          <w:szCs w:val="18"/>
        </w:rPr>
        <w:t xml:space="preserve">). </w:t>
      </w:r>
    </w:p>
  </w:footnote>
  <w:footnote w:id="122">
    <w:p w14:paraId="4FE1575A" w14:textId="6C9406C0" w:rsidR="000F4173" w:rsidRPr="0071006D" w:rsidRDefault="000F4173" w:rsidP="0071006D">
      <w:pPr>
        <w:pStyle w:val="FootnoteText"/>
        <w:jc w:val="both"/>
        <w:rPr>
          <w:rFonts w:asciiTheme="majorHAnsi" w:hAnsiTheme="majorHAnsi" w:cstheme="majorHAnsi"/>
          <w:sz w:val="18"/>
          <w:szCs w:val="18"/>
          <w:lang w:val="ka-GE"/>
        </w:rPr>
      </w:pPr>
      <w:r w:rsidRPr="0071006D">
        <w:rPr>
          <w:rFonts w:asciiTheme="majorHAnsi" w:hAnsiTheme="majorHAnsi" w:cstheme="majorHAnsi"/>
          <w:sz w:val="18"/>
          <w:szCs w:val="18"/>
          <w:vertAlign w:val="superscript"/>
          <w:lang w:val="ka-GE"/>
        </w:rPr>
        <w:footnoteRef/>
      </w:r>
      <w:r w:rsidRPr="0071006D">
        <w:rPr>
          <w:rFonts w:asciiTheme="majorHAnsi" w:hAnsiTheme="majorHAnsi" w:cstheme="majorHAnsi"/>
          <w:sz w:val="18"/>
          <w:szCs w:val="18"/>
          <w:lang w:val="ka-GE"/>
        </w:rPr>
        <w:t xml:space="preserve"> Monitoring Report</w:t>
      </w:r>
      <w:r w:rsidRPr="0071006D">
        <w:rPr>
          <w:rFonts w:asciiTheme="majorHAnsi" w:hAnsiTheme="majorHAnsi" w:cstheme="majorHAnsi"/>
          <w:sz w:val="18"/>
          <w:szCs w:val="18"/>
        </w:rPr>
        <w:t xml:space="preserve"> </w:t>
      </w:r>
      <w:r w:rsidRPr="0071006D">
        <w:rPr>
          <w:rFonts w:asciiTheme="majorHAnsi" w:hAnsiTheme="majorHAnsi" w:cstheme="majorHAnsi"/>
          <w:sz w:val="18"/>
          <w:szCs w:val="18"/>
          <w:lang w:val="ka-GE"/>
        </w:rPr>
        <w:t>of the High Council</w:t>
      </w:r>
      <w:r w:rsidRPr="0071006D">
        <w:rPr>
          <w:rFonts w:asciiTheme="majorHAnsi" w:hAnsiTheme="majorHAnsi" w:cstheme="majorHAnsi"/>
          <w:sz w:val="18"/>
          <w:szCs w:val="18"/>
        </w:rPr>
        <w:t xml:space="preserve"> </w:t>
      </w:r>
      <w:r w:rsidRPr="0071006D">
        <w:rPr>
          <w:rFonts w:asciiTheme="majorHAnsi" w:hAnsiTheme="majorHAnsi" w:cstheme="majorHAnsi"/>
          <w:sz w:val="18"/>
          <w:szCs w:val="18"/>
          <w:lang w:val="ka-GE"/>
        </w:rPr>
        <w:t>of Justice №8</w:t>
      </w:r>
      <w:r w:rsidRPr="0071006D">
        <w:rPr>
          <w:rFonts w:asciiTheme="majorHAnsi" w:hAnsiTheme="majorHAnsi" w:cstheme="majorHAnsi"/>
          <w:sz w:val="18"/>
          <w:szCs w:val="18"/>
        </w:rPr>
        <w:t>.</w:t>
      </w:r>
    </w:p>
  </w:footnote>
  <w:footnote w:id="123">
    <w:p w14:paraId="3ABC47D1" w14:textId="047A0D82"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Citizens of Georgia I. </w:t>
      </w:r>
      <w:proofErr w:type="spellStart"/>
      <w:r w:rsidRPr="0071006D">
        <w:rPr>
          <w:rFonts w:asciiTheme="majorHAnsi" w:hAnsiTheme="majorHAnsi" w:cstheme="majorHAnsi"/>
          <w:sz w:val="18"/>
          <w:szCs w:val="18"/>
        </w:rPr>
        <w:t>Kemoklidze</w:t>
      </w:r>
      <w:proofErr w:type="spellEnd"/>
      <w:r w:rsidRPr="0071006D">
        <w:rPr>
          <w:rFonts w:asciiTheme="majorHAnsi" w:hAnsiTheme="majorHAnsi" w:cstheme="majorHAnsi"/>
          <w:sz w:val="18"/>
          <w:szCs w:val="18"/>
        </w:rPr>
        <w:t xml:space="preserve"> and D. </w:t>
      </w:r>
      <w:proofErr w:type="spellStart"/>
      <w:r w:rsidRPr="0071006D">
        <w:rPr>
          <w:rFonts w:asciiTheme="majorHAnsi" w:hAnsiTheme="majorHAnsi" w:cstheme="majorHAnsi"/>
          <w:sz w:val="18"/>
          <w:szCs w:val="18"/>
        </w:rPr>
        <w:t>Kharadze</w:t>
      </w:r>
      <w:proofErr w:type="spellEnd"/>
      <w:r w:rsidRPr="0071006D">
        <w:rPr>
          <w:rFonts w:asciiTheme="majorHAnsi" w:hAnsiTheme="majorHAnsi" w:cstheme="majorHAnsi"/>
          <w:sz w:val="18"/>
          <w:szCs w:val="18"/>
        </w:rPr>
        <w:t xml:space="preserve"> against Parliament of Georgia, Constitutional Court, Judgment, </w:t>
      </w:r>
      <w:r w:rsidRPr="0071006D">
        <w:rPr>
          <w:rFonts w:asciiTheme="majorHAnsi" w:hAnsiTheme="majorHAnsi" w:cstheme="majorHAnsi"/>
          <w:sz w:val="18"/>
          <w:szCs w:val="18"/>
          <w:lang w:val="ka-GE"/>
        </w:rPr>
        <w:t>2014, N 2/4/532,533.</w:t>
      </w:r>
      <w:r w:rsidRPr="0071006D">
        <w:rPr>
          <w:rFonts w:asciiTheme="majorHAnsi" w:hAnsiTheme="majorHAnsi" w:cstheme="majorHAnsi"/>
          <w:sz w:val="18"/>
          <w:szCs w:val="18"/>
        </w:rPr>
        <w:t xml:space="preserve"> </w:t>
      </w:r>
    </w:p>
  </w:footnote>
  <w:footnote w:id="124">
    <w:p w14:paraId="641BF317" w14:textId="4511F665"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Assessment of legal capacity reform and its implementation – legislation and practice analysis</w:t>
      </w:r>
      <w:r w:rsidRPr="0071006D">
        <w:rPr>
          <w:rFonts w:asciiTheme="majorHAnsi" w:hAnsiTheme="majorHAnsi" w:cstheme="majorHAnsi"/>
          <w:sz w:val="18"/>
          <w:szCs w:val="18"/>
          <w:lang w:val="ka-GE"/>
        </w:rPr>
        <w:t>, EMC, 2016</w:t>
      </w:r>
      <w:r w:rsidRPr="0071006D">
        <w:rPr>
          <w:rFonts w:asciiTheme="majorHAnsi" w:hAnsiTheme="majorHAnsi" w:cstheme="majorHAnsi"/>
          <w:sz w:val="18"/>
          <w:szCs w:val="18"/>
        </w:rPr>
        <w:t>, available at: https://emc.org.ge/ka/products/kvleva-kmedunarianobis-sistemis-reformisa-da-misi-implementatsiis-protsesis-shefaseba-kanonmdeblobisa-da-praktikis-analizi</w:t>
      </w:r>
      <w:r w:rsidRPr="0071006D">
        <w:rPr>
          <w:rFonts w:asciiTheme="majorHAnsi" w:hAnsiTheme="majorHAnsi" w:cstheme="majorHAnsi"/>
          <w:sz w:val="18"/>
          <w:szCs w:val="18"/>
          <w:lang w:val="ka-GE"/>
        </w:rPr>
        <w:t xml:space="preserve">. </w:t>
      </w:r>
    </w:p>
  </w:footnote>
  <w:footnote w:id="125">
    <w:p w14:paraId="1F49B537" w14:textId="4DB89FB9"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lang w:val="ka-GE"/>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ibid, </w:t>
      </w:r>
      <w:proofErr w:type="spellStart"/>
      <w:r w:rsidRPr="0071006D">
        <w:rPr>
          <w:rFonts w:asciiTheme="majorHAnsi" w:hAnsiTheme="majorHAnsi" w:cstheme="majorHAnsi"/>
          <w:sz w:val="18"/>
          <w:szCs w:val="18"/>
        </w:rPr>
        <w:t>pg</w:t>
      </w:r>
      <w:proofErr w:type="spellEnd"/>
      <w:r w:rsidRPr="0071006D">
        <w:rPr>
          <w:rFonts w:asciiTheme="majorHAnsi" w:hAnsiTheme="majorHAnsi" w:cstheme="majorHAnsi"/>
          <w:sz w:val="18"/>
          <w:szCs w:val="18"/>
          <w:lang w:val="ka-GE"/>
        </w:rPr>
        <w:t xml:space="preserve"> 45.</w:t>
      </w:r>
    </w:p>
  </w:footnote>
  <w:footnote w:id="126">
    <w:p w14:paraId="76A61C58" w14:textId="57C38407"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Rights to adequate housing</w:t>
      </w:r>
      <w:r w:rsidRPr="0071006D">
        <w:rPr>
          <w:rFonts w:asciiTheme="majorHAnsi" w:hAnsiTheme="majorHAnsi" w:cstheme="majorHAnsi"/>
          <w:sz w:val="18"/>
          <w:szCs w:val="18"/>
          <w:lang w:val="ka-GE"/>
        </w:rPr>
        <w:t xml:space="preserve"> – </w:t>
      </w:r>
      <w:r w:rsidRPr="0071006D">
        <w:rPr>
          <w:rFonts w:asciiTheme="majorHAnsi" w:hAnsiTheme="majorHAnsi" w:cstheme="majorHAnsi"/>
          <w:sz w:val="18"/>
          <w:szCs w:val="18"/>
        </w:rPr>
        <w:t xml:space="preserve">Analysis of key challenges, EMC, 2018, </w:t>
      </w:r>
      <w:proofErr w:type="spellStart"/>
      <w:r w:rsidRPr="0071006D">
        <w:rPr>
          <w:rFonts w:asciiTheme="majorHAnsi" w:hAnsiTheme="majorHAnsi" w:cstheme="majorHAnsi"/>
          <w:sz w:val="18"/>
          <w:szCs w:val="18"/>
        </w:rPr>
        <w:t>pg</w:t>
      </w:r>
      <w:proofErr w:type="spellEnd"/>
      <w:r w:rsidRPr="0071006D">
        <w:rPr>
          <w:rFonts w:asciiTheme="majorHAnsi" w:hAnsiTheme="majorHAnsi" w:cstheme="majorHAnsi"/>
          <w:sz w:val="18"/>
          <w:szCs w:val="18"/>
        </w:rPr>
        <w:t>:</w:t>
      </w:r>
      <w:r w:rsidRPr="0071006D">
        <w:rPr>
          <w:rFonts w:asciiTheme="majorHAnsi" w:hAnsiTheme="majorHAnsi" w:cstheme="majorHAnsi"/>
          <w:sz w:val="18"/>
          <w:szCs w:val="18"/>
          <w:lang w:val="ka-GE"/>
        </w:rPr>
        <w:t xml:space="preserve"> 82 – 101.</w:t>
      </w:r>
    </w:p>
  </w:footnote>
  <w:footnote w:id="127">
    <w:p w14:paraId="5D9A5DF8" w14:textId="5AC70CA3"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Correspondence with </w:t>
      </w:r>
      <w:r w:rsidRPr="0071006D">
        <w:rPr>
          <w:rFonts w:asciiTheme="majorHAnsi" w:hAnsiTheme="majorHAnsi" w:cstheme="majorHAnsi"/>
          <w:sz w:val="18"/>
          <w:szCs w:val="18"/>
          <w:lang w:val="en-GB"/>
        </w:rPr>
        <w:t xml:space="preserve">National Bureau of Enforcement </w:t>
      </w:r>
      <w:r w:rsidRPr="0071006D">
        <w:rPr>
          <w:rFonts w:asciiTheme="majorHAnsi" w:hAnsiTheme="majorHAnsi" w:cstheme="majorHAnsi"/>
          <w:sz w:val="18"/>
          <w:szCs w:val="18"/>
          <w:lang w:val="ka-GE"/>
        </w:rPr>
        <w:t>N 87316, 9.12.2019.</w:t>
      </w:r>
    </w:p>
  </w:footnote>
  <w:footnote w:id="128">
    <w:p w14:paraId="0613D2A2" w14:textId="2223C993"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Rights to adequate housing</w:t>
      </w:r>
      <w:r w:rsidRPr="0071006D">
        <w:rPr>
          <w:rFonts w:asciiTheme="majorHAnsi" w:hAnsiTheme="majorHAnsi" w:cstheme="majorHAnsi"/>
          <w:sz w:val="18"/>
          <w:szCs w:val="18"/>
          <w:lang w:val="ka-GE"/>
        </w:rPr>
        <w:t xml:space="preserve"> – </w:t>
      </w:r>
      <w:r w:rsidRPr="0071006D">
        <w:rPr>
          <w:rFonts w:asciiTheme="majorHAnsi" w:hAnsiTheme="majorHAnsi" w:cstheme="majorHAnsi"/>
          <w:sz w:val="18"/>
          <w:szCs w:val="18"/>
        </w:rPr>
        <w:t xml:space="preserve">Analysis of key challenges, </w:t>
      </w:r>
      <w:proofErr w:type="spellStart"/>
      <w:r w:rsidRPr="0071006D">
        <w:rPr>
          <w:rFonts w:asciiTheme="majorHAnsi" w:hAnsiTheme="majorHAnsi" w:cstheme="majorHAnsi"/>
          <w:sz w:val="18"/>
          <w:szCs w:val="18"/>
        </w:rPr>
        <w:t>pg</w:t>
      </w:r>
      <w:proofErr w:type="spellEnd"/>
      <w:r w:rsidRPr="0071006D">
        <w:rPr>
          <w:rFonts w:asciiTheme="majorHAnsi" w:hAnsiTheme="majorHAnsi" w:cstheme="majorHAnsi"/>
          <w:sz w:val="18"/>
          <w:szCs w:val="18"/>
        </w:rPr>
        <w:t xml:space="preserve">: </w:t>
      </w:r>
      <w:r w:rsidRPr="0071006D">
        <w:rPr>
          <w:rFonts w:asciiTheme="majorHAnsi" w:hAnsiTheme="majorHAnsi" w:cstheme="majorHAnsi"/>
          <w:sz w:val="18"/>
          <w:szCs w:val="18"/>
          <w:lang w:val="ka-GE"/>
        </w:rPr>
        <w:t xml:space="preserve"> 90 – 91. </w:t>
      </w:r>
    </w:p>
  </w:footnote>
  <w:footnote w:id="129">
    <w:p w14:paraId="418434AB" w14:textId="66EDFCC2"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ibid, </w:t>
      </w:r>
      <w:proofErr w:type="spellStart"/>
      <w:r w:rsidRPr="0071006D">
        <w:rPr>
          <w:rFonts w:asciiTheme="majorHAnsi" w:hAnsiTheme="majorHAnsi" w:cstheme="majorHAnsi"/>
          <w:sz w:val="18"/>
          <w:szCs w:val="18"/>
        </w:rPr>
        <w:t>pg</w:t>
      </w:r>
      <w:proofErr w:type="spellEnd"/>
      <w:r w:rsidRPr="0071006D">
        <w:rPr>
          <w:rFonts w:asciiTheme="majorHAnsi" w:hAnsiTheme="majorHAnsi" w:cstheme="majorHAnsi"/>
          <w:sz w:val="18"/>
          <w:szCs w:val="18"/>
          <w:lang w:val="ka-GE"/>
        </w:rPr>
        <w:t xml:space="preserve"> 89.</w:t>
      </w:r>
    </w:p>
  </w:footnote>
  <w:footnote w:id="130">
    <w:p w14:paraId="2623A0AC" w14:textId="56CE285F"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lang w:val="ka-GE"/>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lang w:val="ka-GE"/>
        </w:rPr>
        <w:t xml:space="preserve">Georgia </w:t>
      </w:r>
      <w:r w:rsidRPr="0071006D">
        <w:rPr>
          <w:rFonts w:asciiTheme="majorHAnsi" w:hAnsiTheme="majorHAnsi" w:cstheme="majorHAnsi"/>
          <w:sz w:val="18"/>
          <w:szCs w:val="18"/>
        </w:rPr>
        <w:t>in</w:t>
      </w:r>
      <w:r w:rsidRPr="0071006D">
        <w:rPr>
          <w:rFonts w:asciiTheme="majorHAnsi" w:hAnsiTheme="majorHAnsi" w:cstheme="majorHAnsi"/>
          <w:sz w:val="18"/>
          <w:szCs w:val="18"/>
          <w:lang w:val="ka-GE"/>
        </w:rPr>
        <w:t xml:space="preserve"> accordance with Annex I of the EU Association Agreement, Georgia is obliged to ensure compliance with its personal data protection legislation in accordance with EU Directive No. 95/46 / EC. Also with Council of Europe Convention 108 and its Additional Protocol, as well as with EU Framework Decision 27/2008/977 / JHA of 27 November 2008 and Recommendation No. R (87) 15 of the Committee of Ministers of the Council of Europe of 15 November 1987.</w:t>
      </w:r>
      <w:r w:rsidRPr="0071006D">
        <w:rPr>
          <w:rFonts w:asciiTheme="majorHAnsi" w:hAnsiTheme="majorHAnsi" w:cstheme="majorHAnsi"/>
          <w:sz w:val="18"/>
          <w:szCs w:val="18"/>
        </w:rPr>
        <w:t xml:space="preserve"> </w:t>
      </w:r>
    </w:p>
  </w:footnote>
  <w:footnote w:id="131">
    <w:p w14:paraId="3FD7A653" w14:textId="0A7F359A"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lang w:val="ka-GE"/>
        </w:rPr>
        <w:footnoteRef/>
      </w:r>
      <w:r w:rsidRPr="0071006D">
        <w:rPr>
          <w:rFonts w:asciiTheme="majorHAnsi" w:hAnsiTheme="majorHAnsi" w:cstheme="majorHAnsi"/>
          <w:sz w:val="18"/>
          <w:szCs w:val="18"/>
          <w:lang w:val="ka-GE"/>
        </w:rPr>
        <w:t xml:space="preserve"> GYLA submitted opinions on the new law on "Personal Data Protection" to the Parliament.</w:t>
      </w:r>
      <w:r w:rsidRPr="0071006D">
        <w:rPr>
          <w:rFonts w:asciiTheme="majorHAnsi" w:hAnsiTheme="majorHAnsi" w:cstheme="majorHAnsi"/>
          <w:sz w:val="18"/>
          <w:szCs w:val="18"/>
        </w:rPr>
        <w:t xml:space="preserve"> </w:t>
      </w:r>
      <w:r w:rsidRPr="0071006D">
        <w:rPr>
          <w:rFonts w:asciiTheme="majorHAnsi" w:hAnsiTheme="majorHAnsi" w:cstheme="majorHAnsi"/>
          <w:sz w:val="18"/>
          <w:szCs w:val="18"/>
          <w:lang w:val="ka-GE"/>
        </w:rPr>
        <w:t>2019</w:t>
      </w:r>
      <w:r w:rsidRPr="0071006D">
        <w:rPr>
          <w:rFonts w:asciiTheme="majorHAnsi" w:hAnsiTheme="majorHAnsi" w:cstheme="majorHAnsi"/>
          <w:sz w:val="18"/>
          <w:szCs w:val="18"/>
        </w:rPr>
        <w:t xml:space="preserve">, Available at: </w:t>
      </w:r>
      <w:hyperlink r:id="rId62" w:history="1">
        <w:r w:rsidRPr="0071006D">
          <w:rPr>
            <w:rStyle w:val="Hyperlink"/>
            <w:rFonts w:asciiTheme="majorHAnsi" w:hAnsiTheme="majorHAnsi" w:cstheme="majorHAnsi"/>
            <w:color w:val="auto"/>
            <w:sz w:val="18"/>
            <w:szCs w:val="18"/>
            <w:lang w:val="ka-GE"/>
          </w:rPr>
          <w:t>https://bit.ly/3hGwT0X</w:t>
        </w:r>
      </w:hyperlink>
      <w:r w:rsidRPr="0071006D">
        <w:rPr>
          <w:rFonts w:asciiTheme="majorHAnsi" w:hAnsiTheme="majorHAnsi" w:cstheme="majorHAnsi"/>
          <w:sz w:val="18"/>
          <w:szCs w:val="18"/>
          <w:lang w:val="ka-GE"/>
        </w:rPr>
        <w:t xml:space="preserve"> . </w:t>
      </w:r>
    </w:p>
  </w:footnote>
  <w:footnote w:id="132">
    <w:p w14:paraId="4F148EB3" w14:textId="5BA710AC"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lang w:val="ka-GE"/>
        </w:rPr>
        <w:footnoteRef/>
      </w:r>
      <w:r w:rsidRPr="0071006D">
        <w:rPr>
          <w:rFonts w:asciiTheme="majorHAnsi" w:hAnsiTheme="majorHAnsi" w:cstheme="majorHAnsi"/>
          <w:sz w:val="18"/>
          <w:szCs w:val="18"/>
          <w:lang w:val="ka-GE"/>
        </w:rPr>
        <w:t xml:space="preserve"> IRC, GYLA, EMC, </w:t>
      </w:r>
      <w:r w:rsidRPr="0071006D">
        <w:rPr>
          <w:rFonts w:asciiTheme="majorHAnsi" w:hAnsiTheme="majorHAnsi" w:cstheme="majorHAnsi"/>
          <w:sz w:val="18"/>
          <w:szCs w:val="18"/>
        </w:rPr>
        <w:t>and</w:t>
      </w:r>
      <w:r w:rsidRPr="0071006D">
        <w:rPr>
          <w:rFonts w:asciiTheme="majorHAnsi" w:hAnsiTheme="majorHAnsi" w:cstheme="majorHAnsi"/>
          <w:sz w:val="18"/>
          <w:szCs w:val="18"/>
          <w:lang w:val="ka-GE"/>
        </w:rPr>
        <w:t xml:space="preserve"> RIVG: </w:t>
      </w:r>
      <w:r w:rsidRPr="0071006D">
        <w:rPr>
          <w:rFonts w:asciiTheme="majorHAnsi" w:hAnsiTheme="majorHAnsi" w:cstheme="majorHAnsi"/>
          <w:sz w:val="18"/>
          <w:szCs w:val="18"/>
        </w:rPr>
        <w:t>We</w:t>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address</w:t>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the Parliament of Georgia to adopt the law on Personal Data Protection, </w:t>
      </w:r>
      <w:r w:rsidRPr="0071006D">
        <w:rPr>
          <w:rFonts w:asciiTheme="majorHAnsi" w:hAnsiTheme="majorHAnsi" w:cstheme="majorHAnsi"/>
          <w:sz w:val="18"/>
          <w:szCs w:val="18"/>
          <w:lang w:val="ka-GE"/>
        </w:rPr>
        <w:t>2020</w:t>
      </w:r>
      <w:r w:rsidRPr="0071006D">
        <w:rPr>
          <w:rFonts w:asciiTheme="majorHAnsi" w:hAnsiTheme="majorHAnsi" w:cstheme="majorHAnsi"/>
          <w:sz w:val="18"/>
          <w:szCs w:val="18"/>
        </w:rPr>
        <w:t>, available at:</w:t>
      </w:r>
      <w:r w:rsidRPr="0071006D">
        <w:rPr>
          <w:rFonts w:asciiTheme="majorHAnsi" w:hAnsiTheme="majorHAnsi" w:cstheme="majorHAnsi"/>
          <w:sz w:val="18"/>
          <w:szCs w:val="18"/>
          <w:lang w:val="ka-GE"/>
        </w:rPr>
        <w:t xml:space="preserve"> </w:t>
      </w:r>
      <w:hyperlink r:id="rId63" w:history="1">
        <w:r w:rsidRPr="0071006D">
          <w:rPr>
            <w:rStyle w:val="Hyperlink"/>
            <w:rFonts w:asciiTheme="majorHAnsi" w:hAnsiTheme="majorHAnsi" w:cstheme="majorHAnsi"/>
            <w:sz w:val="18"/>
            <w:szCs w:val="18"/>
            <w:lang w:val="ka-GE"/>
          </w:rPr>
          <w:t>https://bit.ly/341LsIT</w:t>
        </w:r>
      </w:hyperlink>
      <w:r w:rsidRPr="0071006D">
        <w:rPr>
          <w:rFonts w:asciiTheme="majorHAnsi" w:hAnsiTheme="majorHAnsi" w:cstheme="majorHAnsi"/>
          <w:sz w:val="18"/>
          <w:szCs w:val="18"/>
          <w:lang w:val="ka-GE"/>
        </w:rPr>
        <w:t>.</w:t>
      </w:r>
      <w:r w:rsidRPr="0071006D">
        <w:rPr>
          <w:rFonts w:asciiTheme="majorHAnsi" w:hAnsiTheme="majorHAnsi" w:cstheme="majorHAnsi"/>
          <w:sz w:val="18"/>
          <w:szCs w:val="18"/>
        </w:rPr>
        <w:t xml:space="preserve"> </w:t>
      </w:r>
    </w:p>
  </w:footnote>
  <w:footnote w:id="133">
    <w:p w14:paraId="62B34CFB" w14:textId="65FB2646"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lang w:val="ka-GE"/>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State Inspector Report,</w:t>
      </w:r>
      <w:r w:rsidRPr="0071006D">
        <w:rPr>
          <w:rFonts w:asciiTheme="majorHAnsi" w:hAnsiTheme="majorHAnsi" w:cstheme="majorHAnsi"/>
          <w:sz w:val="18"/>
          <w:szCs w:val="18"/>
          <w:lang w:val="ka-GE"/>
        </w:rPr>
        <w:t xml:space="preserve"> 2019</w:t>
      </w:r>
      <w:r w:rsidRPr="0071006D">
        <w:rPr>
          <w:rFonts w:asciiTheme="majorHAnsi" w:hAnsiTheme="majorHAnsi" w:cstheme="majorHAnsi"/>
          <w:sz w:val="18"/>
          <w:szCs w:val="18"/>
        </w:rPr>
        <w:t xml:space="preserve">, Available at: </w:t>
      </w:r>
      <w:hyperlink r:id="rId64" w:history="1">
        <w:r w:rsidRPr="0071006D">
          <w:rPr>
            <w:rStyle w:val="Hyperlink"/>
            <w:rFonts w:asciiTheme="majorHAnsi" w:hAnsiTheme="majorHAnsi" w:cstheme="majorHAnsi"/>
            <w:color w:val="auto"/>
            <w:sz w:val="18"/>
            <w:szCs w:val="18"/>
            <w:lang w:val="ka-GE"/>
          </w:rPr>
          <w:t>https://bit.ly/3g7vkbP</w:t>
        </w:r>
      </w:hyperlink>
    </w:p>
  </w:footnote>
  <w:footnote w:id="134">
    <w:p w14:paraId="139D1EDD" w14:textId="1873DCE0"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GYLA: A</w:t>
      </w:r>
      <w:r>
        <w:rPr>
          <w:rFonts w:asciiTheme="majorHAnsi" w:hAnsiTheme="majorHAnsi" w:cstheme="majorHAnsi"/>
          <w:sz w:val="18"/>
          <w:szCs w:val="18"/>
        </w:rPr>
        <w:t xml:space="preserve">mendments to be introduced to law “On information Security” allow the state to control masses, </w:t>
      </w:r>
      <w:r w:rsidRPr="0071006D">
        <w:rPr>
          <w:rFonts w:asciiTheme="majorHAnsi" w:hAnsiTheme="majorHAnsi" w:cstheme="majorHAnsi"/>
          <w:sz w:val="18"/>
          <w:szCs w:val="18"/>
          <w:lang w:val="ka-GE"/>
        </w:rPr>
        <w:t>2020</w:t>
      </w:r>
      <w:r w:rsidRPr="0071006D">
        <w:rPr>
          <w:rFonts w:asciiTheme="majorHAnsi" w:hAnsiTheme="majorHAnsi" w:cstheme="majorHAnsi"/>
          <w:sz w:val="18"/>
          <w:szCs w:val="18"/>
        </w:rPr>
        <w:t>,</w:t>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available at:</w:t>
      </w:r>
      <w:r w:rsidRPr="0071006D">
        <w:rPr>
          <w:rFonts w:asciiTheme="majorHAnsi" w:hAnsiTheme="majorHAnsi" w:cstheme="majorHAnsi"/>
          <w:sz w:val="18"/>
          <w:szCs w:val="18"/>
          <w:lang w:val="ka-GE"/>
        </w:rPr>
        <w:t>https://bit.ly/341LsIT.</w:t>
      </w:r>
    </w:p>
  </w:footnote>
  <w:footnote w:id="135">
    <w:p w14:paraId="0DB5CA6C" w14:textId="2FED47DB"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proofErr w:type="spellStart"/>
      <w:r w:rsidRPr="0071006D">
        <w:rPr>
          <w:rFonts w:asciiTheme="majorHAnsi" w:hAnsiTheme="majorHAnsi" w:cstheme="majorHAnsi"/>
          <w:sz w:val="18"/>
          <w:szCs w:val="18"/>
        </w:rPr>
        <w:t>Avtandil</w:t>
      </w:r>
      <w:proofErr w:type="spellEnd"/>
      <w:r w:rsidRPr="0071006D">
        <w:rPr>
          <w:rFonts w:asciiTheme="majorHAnsi" w:hAnsiTheme="majorHAnsi" w:cstheme="majorHAnsi"/>
          <w:sz w:val="18"/>
          <w:szCs w:val="18"/>
        </w:rPr>
        <w:t xml:space="preserve"> </w:t>
      </w:r>
      <w:proofErr w:type="spellStart"/>
      <w:r w:rsidRPr="0071006D">
        <w:rPr>
          <w:rFonts w:asciiTheme="majorHAnsi" w:hAnsiTheme="majorHAnsi" w:cstheme="majorHAnsi"/>
          <w:sz w:val="18"/>
          <w:szCs w:val="18"/>
        </w:rPr>
        <w:t>Beridze</w:t>
      </w:r>
      <w:proofErr w:type="spellEnd"/>
      <w:r w:rsidRPr="0071006D">
        <w:rPr>
          <w:rFonts w:asciiTheme="majorHAnsi" w:hAnsiTheme="majorHAnsi" w:cstheme="majorHAnsi"/>
          <w:sz w:val="18"/>
          <w:szCs w:val="18"/>
        </w:rPr>
        <w:t>, and other</w:t>
      </w:r>
      <w:r>
        <w:rPr>
          <w:rFonts w:asciiTheme="majorHAnsi" w:hAnsiTheme="majorHAnsi" w:cstheme="majorHAnsi"/>
          <w:sz w:val="18"/>
          <w:szCs w:val="18"/>
        </w:rPr>
        <w:t>s</w:t>
      </w:r>
      <w:r w:rsidRPr="0071006D">
        <w:rPr>
          <w:rFonts w:asciiTheme="majorHAnsi" w:hAnsiTheme="majorHAnsi" w:cstheme="majorHAnsi"/>
          <w:sz w:val="18"/>
          <w:szCs w:val="18"/>
        </w:rPr>
        <w:t xml:space="preserve"> against Parliament of Georgia, Available at</w:t>
      </w:r>
      <w:r w:rsidRPr="0071006D">
        <w:rPr>
          <w:rFonts w:asciiTheme="majorHAnsi" w:hAnsiTheme="majorHAnsi" w:cstheme="majorHAnsi"/>
          <w:sz w:val="18"/>
          <w:szCs w:val="18"/>
          <w:lang w:val="ka-GE"/>
        </w:rPr>
        <w:t xml:space="preserve">: </w:t>
      </w:r>
      <w:hyperlink r:id="rId65" w:history="1">
        <w:r w:rsidRPr="0071006D">
          <w:rPr>
            <w:rStyle w:val="Hyperlink"/>
            <w:rFonts w:asciiTheme="majorHAnsi" w:hAnsiTheme="majorHAnsi" w:cstheme="majorHAnsi"/>
            <w:color w:val="auto"/>
            <w:sz w:val="18"/>
            <w:szCs w:val="18"/>
            <w:lang w:val="ka-GE"/>
          </w:rPr>
          <w:t>https://constcourt.ge/ka/judicial-acts?legal=1957</w:t>
        </w:r>
      </w:hyperlink>
      <w:r w:rsidRPr="0071006D">
        <w:rPr>
          <w:rStyle w:val="Hyperlink"/>
          <w:rFonts w:asciiTheme="majorHAnsi" w:hAnsiTheme="majorHAnsi" w:cstheme="majorHAnsi"/>
          <w:color w:val="auto"/>
          <w:sz w:val="18"/>
          <w:szCs w:val="18"/>
          <w:lang w:val="ka-GE"/>
        </w:rPr>
        <w:t xml:space="preserve"> </w:t>
      </w:r>
      <w:r w:rsidRPr="0071006D">
        <w:rPr>
          <w:rFonts w:asciiTheme="majorHAnsi" w:hAnsiTheme="majorHAnsi" w:cstheme="majorHAnsi"/>
          <w:sz w:val="18"/>
          <w:szCs w:val="18"/>
          <w:lang w:val="ka-GE"/>
        </w:rPr>
        <w:t xml:space="preserve">. </w:t>
      </w:r>
    </w:p>
  </w:footnote>
  <w:footnote w:id="136">
    <w:p w14:paraId="12234550" w14:textId="2970D7A9"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OSGF: </w:t>
      </w:r>
      <w:r w:rsidRPr="0071006D">
        <w:rPr>
          <w:rFonts w:asciiTheme="majorHAnsi" w:hAnsiTheme="majorHAnsi" w:cstheme="majorHAnsi"/>
          <w:sz w:val="18"/>
          <w:szCs w:val="18"/>
          <w:lang w:val="ka-GE"/>
        </w:rPr>
        <w:t>Draft Law on Information Security and Associated Risks. 2020</w:t>
      </w:r>
      <w:r w:rsidRPr="0071006D">
        <w:rPr>
          <w:rFonts w:asciiTheme="majorHAnsi" w:hAnsiTheme="majorHAnsi" w:cstheme="majorHAnsi"/>
          <w:sz w:val="18"/>
          <w:szCs w:val="18"/>
        </w:rPr>
        <w:t>, available at:</w:t>
      </w:r>
      <w:r w:rsidRPr="0071006D">
        <w:rPr>
          <w:rFonts w:asciiTheme="majorHAnsi" w:hAnsiTheme="majorHAnsi" w:cstheme="majorHAnsi"/>
          <w:sz w:val="18"/>
          <w:szCs w:val="18"/>
          <w:lang w:val="ka-GE"/>
        </w:rPr>
        <w:t xml:space="preserve"> </w:t>
      </w:r>
      <w:hyperlink r:id="rId66" w:history="1">
        <w:r w:rsidRPr="0071006D">
          <w:rPr>
            <w:rStyle w:val="Hyperlink"/>
            <w:rFonts w:asciiTheme="majorHAnsi" w:hAnsiTheme="majorHAnsi" w:cstheme="majorHAnsi"/>
            <w:color w:val="auto"/>
            <w:sz w:val="18"/>
            <w:szCs w:val="18"/>
            <w:lang w:val="ka-GE"/>
          </w:rPr>
          <w:t>https://osgf.ge/en/draft-law-on-information-security-and-associated-risks/</w:t>
        </w:r>
      </w:hyperlink>
      <w:r w:rsidRPr="0071006D">
        <w:rPr>
          <w:rFonts w:asciiTheme="majorHAnsi" w:hAnsiTheme="majorHAnsi" w:cstheme="majorHAnsi"/>
          <w:sz w:val="18"/>
          <w:szCs w:val="18"/>
        </w:rPr>
        <w:t xml:space="preserve">; </w:t>
      </w:r>
    </w:p>
  </w:footnote>
  <w:footnote w:id="137">
    <w:p w14:paraId="2FADC7AD" w14:textId="2C9373FE"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Freedom of Religion–Critique of Discriminatory and Non-secular state policy</w:t>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Part 2, EMC, 2016, available at: </w:t>
      </w:r>
      <w:hyperlink r:id="rId67" w:history="1">
        <w:r w:rsidRPr="0071006D">
          <w:rPr>
            <w:rStyle w:val="Hyperlink"/>
            <w:rFonts w:asciiTheme="majorHAnsi" w:hAnsiTheme="majorHAnsi" w:cstheme="majorHAnsi"/>
            <w:color w:val="auto"/>
            <w:sz w:val="18"/>
            <w:szCs w:val="18"/>
          </w:rPr>
          <w:t>https://emc.org.ge/en/products/kvleva-religiis-tavisufleba-sakhelmtsifos-diskriminatsiuli-da-arasekularuli-politikis-kritika</w:t>
        </w:r>
      </w:hyperlink>
    </w:p>
  </w:footnote>
  <w:footnote w:id="138">
    <w:p w14:paraId="364609C7" w14:textId="3CB2ABE0" w:rsidR="000F4173" w:rsidRPr="0071006D" w:rsidRDefault="000F4173" w:rsidP="00DC6E2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000F46CE">
        <w:rPr>
          <w:rFonts w:asciiTheme="majorHAnsi" w:hAnsiTheme="majorHAnsi" w:cstheme="majorHAnsi"/>
          <w:sz w:val="18"/>
          <w:szCs w:val="18"/>
        </w:rPr>
        <w:t xml:space="preserve">ibid, </w:t>
      </w:r>
      <w:r w:rsidRPr="0071006D">
        <w:rPr>
          <w:rFonts w:asciiTheme="majorHAnsi" w:hAnsiTheme="majorHAnsi" w:cstheme="majorHAnsi"/>
          <w:sz w:val="18"/>
          <w:szCs w:val="18"/>
        </w:rPr>
        <w:t xml:space="preserve">Part 1. </w:t>
      </w:r>
    </w:p>
  </w:footnote>
  <w:footnote w:id="139">
    <w:p w14:paraId="6DDC24C7" w14:textId="3DAE6290"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 The assessment of the Strategy for the Development of Religious Policy of the State of Georgia</w:t>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available at: </w:t>
      </w:r>
      <w:hyperlink r:id="rId68" w:history="1">
        <w:r w:rsidRPr="0071006D">
          <w:rPr>
            <w:rStyle w:val="Hyperlink"/>
            <w:rFonts w:asciiTheme="majorHAnsi" w:hAnsiTheme="majorHAnsi" w:cstheme="majorHAnsi"/>
            <w:color w:val="auto"/>
            <w:sz w:val="18"/>
            <w:szCs w:val="18"/>
          </w:rPr>
          <w:t>https://emc.org.ge/en/products/sakartvelos-sakhelmtsifos-religiuri-politikis-ganvitarebis-strategiis-shefaseba</w:t>
        </w:r>
      </w:hyperlink>
      <w:r w:rsidRPr="0071006D">
        <w:rPr>
          <w:rFonts w:asciiTheme="majorHAnsi" w:hAnsiTheme="majorHAnsi" w:cstheme="majorHAnsi"/>
          <w:sz w:val="18"/>
          <w:szCs w:val="18"/>
        </w:rPr>
        <w:t xml:space="preserve"> </w:t>
      </w:r>
    </w:p>
  </w:footnote>
  <w:footnote w:id="140">
    <w:p w14:paraId="6147D1A9" w14:textId="77777777" w:rsidR="000F4173" w:rsidRPr="0071006D" w:rsidRDefault="000F4173" w:rsidP="00DC6E2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Freedom of Religion – Critique of Discriminatory and Non-secular state policy</w:t>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Part 4. </w:t>
      </w:r>
    </w:p>
  </w:footnote>
  <w:footnote w:id="141">
    <w:p w14:paraId="46D25E1A" w14:textId="1FAE1550"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000F46CE">
        <w:rPr>
          <w:rFonts w:asciiTheme="majorHAnsi" w:hAnsiTheme="majorHAnsi" w:cstheme="majorHAnsi"/>
          <w:sz w:val="18"/>
          <w:szCs w:val="18"/>
        </w:rPr>
        <w:t xml:space="preserve">ibid, </w:t>
      </w:r>
      <w:r w:rsidRPr="0071006D">
        <w:rPr>
          <w:rFonts w:asciiTheme="majorHAnsi" w:hAnsiTheme="majorHAnsi" w:cstheme="majorHAnsi"/>
          <w:sz w:val="18"/>
          <w:szCs w:val="18"/>
        </w:rPr>
        <w:t xml:space="preserve">Part 2. </w:t>
      </w:r>
    </w:p>
  </w:footnote>
  <w:footnote w:id="142">
    <w:p w14:paraId="13AABBB5" w14:textId="77777777"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Study</w:t>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of</w:t>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Religious</w:t>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Discrimination</w:t>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and</w:t>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Constitutional</w:t>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Secularism</w:t>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in</w:t>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Georgia</w:t>
      </w:r>
      <w:r w:rsidRPr="0071006D">
        <w:rPr>
          <w:rFonts w:asciiTheme="majorHAnsi" w:hAnsiTheme="majorHAnsi" w:cstheme="majorHAnsi"/>
          <w:sz w:val="18"/>
          <w:szCs w:val="18"/>
          <w:lang w:val="ka-GE"/>
        </w:rPr>
        <w:t xml:space="preserve">, Part 3, TDI, 2014, available at: </w:t>
      </w:r>
      <w:hyperlink r:id="rId69" w:history="1">
        <w:r w:rsidRPr="0071006D">
          <w:rPr>
            <w:rStyle w:val="Hyperlink"/>
            <w:rFonts w:asciiTheme="majorHAnsi" w:hAnsiTheme="majorHAnsi" w:cstheme="majorHAnsi"/>
            <w:color w:val="auto"/>
            <w:sz w:val="18"/>
            <w:szCs w:val="18"/>
            <w:lang w:val="ka-GE"/>
          </w:rPr>
          <w:t>https://tdi.ge/sites/default/files/study_of_religious_discrimination_and_constitutional_secularism_tdi.pdf</w:t>
        </w:r>
      </w:hyperlink>
    </w:p>
  </w:footnote>
  <w:footnote w:id="143">
    <w:p w14:paraId="376AD311" w14:textId="22308B72"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Freedom of Religion – Critique of Discriminatory and Non-secular state policy</w:t>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Part 2.</w:t>
      </w:r>
    </w:p>
  </w:footnote>
  <w:footnote w:id="144">
    <w:p w14:paraId="6648BB7A" w14:textId="56159230"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ibid. </w:t>
      </w:r>
    </w:p>
  </w:footnote>
  <w:footnote w:id="145">
    <w:p w14:paraId="08CE8D60" w14:textId="77777777"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EMC: According to the Forest Code, it will be unconstitutional to transfer forest resources to the church only, </w:t>
      </w:r>
      <w:hyperlink r:id="rId70" w:history="1">
        <w:r w:rsidRPr="0071006D">
          <w:rPr>
            <w:rStyle w:val="Hyperlink"/>
            <w:rFonts w:asciiTheme="majorHAnsi" w:hAnsiTheme="majorHAnsi" w:cstheme="majorHAnsi"/>
            <w:color w:val="auto"/>
            <w:sz w:val="18"/>
            <w:szCs w:val="18"/>
            <w:lang w:val="ka-GE"/>
          </w:rPr>
          <w:t>https://emc.org.ge/ka/products/emc-tqis-kodeksit-mkholod-eklesiistvis-tqis-resursebis-gadatsema-arakonstitutsiuri-ikneba</w:t>
        </w:r>
      </w:hyperlink>
      <w:r w:rsidRPr="0071006D">
        <w:rPr>
          <w:rFonts w:asciiTheme="majorHAnsi" w:hAnsiTheme="majorHAnsi" w:cstheme="majorHAnsi"/>
          <w:sz w:val="18"/>
          <w:szCs w:val="18"/>
          <w:lang w:val="ka-GE"/>
        </w:rPr>
        <w:t xml:space="preserve"> </w:t>
      </w:r>
    </w:p>
  </w:footnote>
  <w:footnote w:id="146">
    <w:p w14:paraId="49CFE3D4" w14:textId="77777777" w:rsidR="000F4173" w:rsidRPr="0071006D" w:rsidRDefault="000F4173" w:rsidP="00DC6E2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Assessment of the Needs of Religious Organizations in Georgia, TDI, 2014, available at: </w:t>
      </w:r>
      <w:hyperlink r:id="rId71" w:history="1">
        <w:r w:rsidRPr="0071006D">
          <w:rPr>
            <w:rStyle w:val="Hyperlink"/>
            <w:rFonts w:asciiTheme="majorHAnsi" w:hAnsiTheme="majorHAnsi" w:cstheme="majorHAnsi"/>
            <w:color w:val="auto"/>
            <w:sz w:val="18"/>
            <w:szCs w:val="18"/>
          </w:rPr>
          <w:t>https://tdi.ge/sites/default/files/assessment_of_the_needs_of_religious_organizations_in_georgia_tdi.pdf</w:t>
        </w:r>
      </w:hyperlink>
      <w:r w:rsidRPr="0071006D">
        <w:rPr>
          <w:rFonts w:asciiTheme="majorHAnsi" w:hAnsiTheme="majorHAnsi" w:cstheme="majorHAnsi"/>
          <w:sz w:val="18"/>
          <w:szCs w:val="18"/>
        </w:rPr>
        <w:t xml:space="preserve"> </w:t>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See above, See Also US State Department 2019 Report on International Freedom of Religion, pg. 8.</w:t>
      </w:r>
    </w:p>
  </w:footnote>
  <w:footnote w:id="147">
    <w:p w14:paraId="0639991C" w14:textId="6BD73B0D"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Religion in public schools , EMC, 2015, available at: </w:t>
      </w:r>
      <w:hyperlink r:id="rId72" w:history="1">
        <w:r w:rsidRPr="0071006D">
          <w:rPr>
            <w:rStyle w:val="Hyperlink"/>
            <w:rFonts w:asciiTheme="majorHAnsi" w:hAnsiTheme="majorHAnsi" w:cstheme="majorHAnsi"/>
            <w:color w:val="auto"/>
            <w:sz w:val="18"/>
            <w:szCs w:val="18"/>
          </w:rPr>
          <w:t>https://emc.org.ge/en/products/religia-sajaro-skolebshi</w:t>
        </w:r>
      </w:hyperlink>
      <w:r w:rsidRPr="0071006D">
        <w:rPr>
          <w:rFonts w:asciiTheme="majorHAnsi" w:hAnsiTheme="majorHAnsi" w:cstheme="majorHAnsi"/>
          <w:sz w:val="18"/>
          <w:szCs w:val="18"/>
        </w:rPr>
        <w:t xml:space="preserve"> also, Religious and Ethnic Diversity in School Textbooks of Georgian Literature, History and Civic Education(9th -12th Grades), TDI, 2016, available at: </w:t>
      </w:r>
      <w:hyperlink r:id="rId73" w:history="1">
        <w:r w:rsidRPr="0071006D">
          <w:rPr>
            <w:rStyle w:val="Hyperlink"/>
            <w:rFonts w:asciiTheme="majorHAnsi" w:hAnsiTheme="majorHAnsi" w:cstheme="majorHAnsi"/>
            <w:color w:val="auto"/>
            <w:sz w:val="18"/>
            <w:szCs w:val="18"/>
          </w:rPr>
          <w:t>https://tdi.ge/sites/default/files/analysis_of_textbooks_tdi_eng.pdf</w:t>
        </w:r>
      </w:hyperlink>
      <w:r>
        <w:rPr>
          <w:rStyle w:val="Hyperlink"/>
          <w:rFonts w:asciiTheme="majorHAnsi" w:hAnsiTheme="majorHAnsi" w:cstheme="majorHAnsi"/>
          <w:color w:val="auto"/>
          <w:sz w:val="18"/>
          <w:szCs w:val="18"/>
        </w:rPr>
        <w:t xml:space="preserve">; </w:t>
      </w:r>
      <w:r w:rsidRPr="0071006D">
        <w:rPr>
          <w:rFonts w:asciiTheme="majorHAnsi" w:hAnsiTheme="majorHAnsi" w:cstheme="majorHAnsi"/>
          <w:sz w:val="18"/>
          <w:szCs w:val="18"/>
        </w:rPr>
        <w:t xml:space="preserve">EMC reacts on the case of religious indoctrination in public schools in the Highlands of Adjara, 2019, available at: </w:t>
      </w:r>
      <w:hyperlink r:id="rId74" w:history="1">
        <w:r w:rsidRPr="0071006D">
          <w:rPr>
            <w:rStyle w:val="Hyperlink"/>
            <w:rFonts w:asciiTheme="majorHAnsi" w:hAnsiTheme="majorHAnsi" w:cstheme="majorHAnsi"/>
            <w:color w:val="auto"/>
            <w:sz w:val="18"/>
            <w:szCs w:val="18"/>
          </w:rPr>
          <w:t>https://emc.org.ge/en/products/emc-maghamltian-acharashi-sajaro-skolebis-religiuri-indoktrinatsiis-fakts-ekhmianeba</w:t>
        </w:r>
      </w:hyperlink>
      <w:r>
        <w:rPr>
          <w:rStyle w:val="Hyperlink"/>
          <w:rFonts w:asciiTheme="majorHAnsi" w:hAnsiTheme="majorHAnsi" w:cstheme="majorHAnsi"/>
          <w:color w:val="auto"/>
          <w:sz w:val="18"/>
          <w:szCs w:val="18"/>
        </w:rPr>
        <w:t xml:space="preserve"> </w:t>
      </w:r>
    </w:p>
  </w:footnote>
  <w:footnote w:id="148">
    <w:p w14:paraId="21BC964F" w14:textId="042BAE1C"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GYLA </w:t>
      </w:r>
      <w:r w:rsidRPr="0071006D">
        <w:rPr>
          <w:rFonts w:asciiTheme="majorHAnsi" w:hAnsiTheme="majorHAnsi" w:cstheme="majorHAnsi"/>
          <w:sz w:val="18"/>
          <w:szCs w:val="18"/>
        </w:rPr>
        <w:t xml:space="preserve">Report on the events of 20-21 One, Beyond the Lost Eye. </w:t>
      </w:r>
      <w:r w:rsidRPr="0071006D">
        <w:rPr>
          <w:rFonts w:asciiTheme="majorHAnsi" w:hAnsiTheme="majorHAnsi" w:cstheme="majorHAnsi"/>
          <w:sz w:val="18"/>
          <w:szCs w:val="18"/>
          <w:lang w:val="ka-GE"/>
        </w:rPr>
        <w:t xml:space="preserve">2019, </w:t>
      </w:r>
      <w:proofErr w:type="spellStart"/>
      <w:r w:rsidRPr="0071006D">
        <w:rPr>
          <w:rFonts w:asciiTheme="majorHAnsi" w:hAnsiTheme="majorHAnsi" w:cstheme="majorHAnsi"/>
          <w:sz w:val="18"/>
          <w:szCs w:val="18"/>
        </w:rPr>
        <w:t>pg</w:t>
      </w:r>
      <w:proofErr w:type="spellEnd"/>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51</w:t>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available at:</w:t>
      </w:r>
      <w:r w:rsidRPr="0071006D">
        <w:rPr>
          <w:rFonts w:asciiTheme="majorHAnsi" w:hAnsiTheme="majorHAnsi" w:cstheme="majorHAnsi"/>
          <w:sz w:val="18"/>
          <w:szCs w:val="18"/>
          <w:lang w:val="ka-GE"/>
        </w:rPr>
        <w:t xml:space="preserve"> </w:t>
      </w:r>
      <w:hyperlink r:id="rId75" w:history="1">
        <w:r w:rsidRPr="0071006D">
          <w:rPr>
            <w:rStyle w:val="Hyperlink"/>
            <w:rFonts w:asciiTheme="majorHAnsi" w:hAnsiTheme="majorHAnsi" w:cstheme="majorHAnsi"/>
            <w:sz w:val="18"/>
            <w:szCs w:val="18"/>
            <w:lang w:val="ka-GE"/>
          </w:rPr>
          <w:t>https://bit.ly/2DMQnCZ</w:t>
        </w:r>
      </w:hyperlink>
      <w:r w:rsidRPr="0071006D">
        <w:rPr>
          <w:rFonts w:asciiTheme="majorHAnsi" w:hAnsiTheme="majorHAnsi" w:cstheme="majorHAnsi"/>
          <w:sz w:val="18"/>
          <w:szCs w:val="18"/>
        </w:rPr>
        <w:t xml:space="preserve"> </w:t>
      </w:r>
    </w:p>
  </w:footnote>
  <w:footnote w:id="149">
    <w:p w14:paraId="5ADF0D92" w14:textId="2A25109A"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ibid, </w:t>
      </w:r>
      <w:proofErr w:type="spellStart"/>
      <w:r w:rsidRPr="0071006D">
        <w:rPr>
          <w:rFonts w:asciiTheme="majorHAnsi" w:hAnsiTheme="majorHAnsi" w:cstheme="majorHAnsi"/>
          <w:sz w:val="18"/>
          <w:szCs w:val="18"/>
        </w:rPr>
        <w:t>pg</w:t>
      </w:r>
      <w:proofErr w:type="spellEnd"/>
      <w:r w:rsidRPr="0071006D">
        <w:rPr>
          <w:rFonts w:asciiTheme="majorHAnsi" w:hAnsiTheme="majorHAnsi" w:cstheme="majorHAnsi"/>
          <w:sz w:val="18"/>
          <w:szCs w:val="18"/>
        </w:rPr>
        <w:t>:</w:t>
      </w:r>
      <w:r w:rsidRPr="0071006D">
        <w:rPr>
          <w:rFonts w:asciiTheme="majorHAnsi" w:hAnsiTheme="majorHAnsi" w:cstheme="majorHAnsi"/>
          <w:sz w:val="18"/>
          <w:szCs w:val="18"/>
          <w:lang w:val="ka-GE"/>
        </w:rPr>
        <w:t xml:space="preserve"> 61-69.</w:t>
      </w:r>
    </w:p>
  </w:footnote>
  <w:footnote w:id="150">
    <w:p w14:paraId="3A186EB5" w14:textId="4CA0831A"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Media Advocacy Coalition Calls on the Prosecutor’s Office to investigate Rustavi 2 case to its logical end, </w:t>
      </w:r>
      <w:r w:rsidRPr="0071006D">
        <w:rPr>
          <w:rFonts w:asciiTheme="majorHAnsi" w:hAnsiTheme="majorHAnsi" w:cstheme="majorHAnsi"/>
          <w:sz w:val="18"/>
          <w:szCs w:val="18"/>
          <w:lang w:val="ka-GE"/>
        </w:rPr>
        <w:t>2019</w:t>
      </w:r>
      <w:r w:rsidRPr="0071006D">
        <w:rPr>
          <w:rFonts w:asciiTheme="majorHAnsi" w:hAnsiTheme="majorHAnsi" w:cstheme="majorHAnsi"/>
          <w:sz w:val="18"/>
          <w:szCs w:val="18"/>
        </w:rPr>
        <w:t>, Available at:</w:t>
      </w:r>
      <w:r w:rsidRPr="0071006D">
        <w:rPr>
          <w:rFonts w:asciiTheme="majorHAnsi" w:hAnsiTheme="majorHAnsi" w:cstheme="majorHAnsi"/>
          <w:sz w:val="18"/>
          <w:szCs w:val="18"/>
          <w:lang w:val="ka-GE"/>
        </w:rPr>
        <w:t xml:space="preserve"> </w:t>
      </w:r>
      <w:hyperlink r:id="rId76" w:history="1">
        <w:r w:rsidRPr="0071006D">
          <w:rPr>
            <w:rStyle w:val="Hyperlink"/>
            <w:rFonts w:asciiTheme="majorHAnsi" w:hAnsiTheme="majorHAnsi" w:cstheme="majorHAnsi"/>
            <w:sz w:val="18"/>
            <w:szCs w:val="18"/>
            <w:lang w:val="ka-GE"/>
          </w:rPr>
          <w:t>https://bit.ly/2E4ZCho</w:t>
        </w:r>
      </w:hyperlink>
      <w:r w:rsidRPr="0071006D">
        <w:rPr>
          <w:rFonts w:asciiTheme="majorHAnsi" w:hAnsiTheme="majorHAnsi" w:cstheme="majorHAnsi"/>
          <w:sz w:val="18"/>
          <w:szCs w:val="18"/>
        </w:rPr>
        <w:t xml:space="preserve"> </w:t>
      </w:r>
    </w:p>
  </w:footnote>
  <w:footnote w:id="151">
    <w:p w14:paraId="565BF955" w14:textId="1E1A55E8"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Two years from forced disappearance of Afgan Mukhtarli and unfinished investigation, 2019, available at: </w:t>
      </w:r>
      <w:hyperlink r:id="rId77" w:anchor="sthash.gQvj9gQu.dpbs" w:history="1">
        <w:r w:rsidRPr="0071006D">
          <w:rPr>
            <w:rStyle w:val="Hyperlink"/>
            <w:rFonts w:asciiTheme="majorHAnsi" w:hAnsiTheme="majorHAnsi" w:cstheme="majorHAnsi"/>
            <w:color w:val="auto"/>
            <w:sz w:val="18"/>
            <w:szCs w:val="18"/>
          </w:rPr>
          <w:t>https://gyla.ge/en/post/ori-tseli-afgan-mukhtarlis-savaraudo-gatacebidan-da-dausrulebeli-gamodzieba#sthash.gQvj9gQu.dpbs</w:t>
        </w:r>
      </w:hyperlink>
      <w:r w:rsidRPr="0071006D">
        <w:rPr>
          <w:rFonts w:asciiTheme="majorHAnsi" w:hAnsiTheme="majorHAnsi" w:cstheme="majorHAnsi"/>
          <w:sz w:val="18"/>
          <w:szCs w:val="18"/>
        </w:rPr>
        <w:t xml:space="preserve"> </w:t>
      </w:r>
    </w:p>
  </w:footnote>
  <w:footnote w:id="152">
    <w:p w14:paraId="21791B15" w14:textId="64B06368"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Presidential Election (28 Octomber-28 November, 2018) OSCE/ODIHR, </w:t>
      </w:r>
      <w:proofErr w:type="spellStart"/>
      <w:r w:rsidRPr="0071006D">
        <w:rPr>
          <w:rFonts w:asciiTheme="majorHAnsi" w:hAnsiTheme="majorHAnsi" w:cstheme="majorHAnsi"/>
          <w:sz w:val="18"/>
          <w:szCs w:val="18"/>
        </w:rPr>
        <w:t>pg</w:t>
      </w:r>
      <w:proofErr w:type="spellEnd"/>
      <w:r w:rsidRPr="0071006D">
        <w:rPr>
          <w:rFonts w:asciiTheme="majorHAnsi" w:hAnsiTheme="majorHAnsi" w:cstheme="majorHAnsi"/>
          <w:sz w:val="18"/>
          <w:szCs w:val="18"/>
        </w:rPr>
        <w:t xml:space="preserve"> 35. Available at: </w:t>
      </w:r>
      <w:hyperlink r:id="rId78" w:history="1">
        <w:r w:rsidRPr="0071006D">
          <w:rPr>
            <w:rStyle w:val="Hyperlink"/>
            <w:rFonts w:asciiTheme="majorHAnsi" w:hAnsiTheme="majorHAnsi" w:cstheme="majorHAnsi"/>
            <w:color w:val="auto"/>
            <w:sz w:val="18"/>
            <w:szCs w:val="18"/>
          </w:rPr>
          <w:t>https://www.osce.org/files/f/documents/9/4/412724_2.pdf</w:t>
        </w:r>
      </w:hyperlink>
      <w:r w:rsidRPr="0071006D">
        <w:rPr>
          <w:rFonts w:asciiTheme="majorHAnsi" w:hAnsiTheme="majorHAnsi" w:cstheme="majorHAnsi"/>
          <w:sz w:val="18"/>
          <w:szCs w:val="18"/>
        </w:rPr>
        <w:t xml:space="preserve"> </w:t>
      </w:r>
    </w:p>
  </w:footnote>
  <w:footnote w:id="153">
    <w:p w14:paraId="3E10A901" w14:textId="0594D354"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What happened at Adjara Broadcaster</w:t>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GYLA and Georgian Charter of Journalistic Ethics, 2020, </w:t>
      </w:r>
      <w:proofErr w:type="spellStart"/>
      <w:r w:rsidRPr="0071006D">
        <w:rPr>
          <w:rFonts w:asciiTheme="majorHAnsi" w:hAnsiTheme="majorHAnsi" w:cstheme="majorHAnsi"/>
          <w:sz w:val="18"/>
          <w:szCs w:val="18"/>
        </w:rPr>
        <w:t>pg</w:t>
      </w:r>
      <w:proofErr w:type="spellEnd"/>
      <w:r w:rsidRPr="0071006D">
        <w:rPr>
          <w:rFonts w:asciiTheme="majorHAnsi" w:hAnsiTheme="majorHAnsi" w:cstheme="majorHAnsi"/>
          <w:sz w:val="18"/>
          <w:szCs w:val="18"/>
        </w:rPr>
        <w:t>:</w:t>
      </w:r>
      <w:r w:rsidRPr="0071006D">
        <w:rPr>
          <w:rFonts w:asciiTheme="majorHAnsi" w:hAnsiTheme="majorHAnsi" w:cstheme="majorHAnsi"/>
          <w:sz w:val="18"/>
          <w:szCs w:val="18"/>
          <w:lang w:val="ka-GE"/>
        </w:rPr>
        <w:t xml:space="preserve">9-12. </w:t>
      </w:r>
      <w:r w:rsidRPr="0071006D">
        <w:rPr>
          <w:rFonts w:asciiTheme="majorHAnsi" w:hAnsiTheme="majorHAnsi" w:cstheme="majorHAnsi"/>
          <w:sz w:val="18"/>
          <w:szCs w:val="18"/>
        </w:rPr>
        <w:t xml:space="preserve">available at: </w:t>
      </w:r>
      <w:r w:rsidRPr="0071006D">
        <w:rPr>
          <w:rFonts w:asciiTheme="majorHAnsi" w:hAnsiTheme="majorHAnsi" w:cstheme="majorHAnsi"/>
          <w:sz w:val="18"/>
          <w:szCs w:val="18"/>
          <w:lang w:val="ka-GE"/>
        </w:rPr>
        <w:t xml:space="preserve"> </w:t>
      </w:r>
      <w:hyperlink r:id="rId79" w:history="1">
        <w:r w:rsidRPr="0071006D">
          <w:rPr>
            <w:rStyle w:val="Hyperlink"/>
            <w:rFonts w:asciiTheme="majorHAnsi" w:hAnsiTheme="majorHAnsi" w:cstheme="majorHAnsi"/>
            <w:color w:val="auto"/>
            <w:sz w:val="18"/>
            <w:szCs w:val="18"/>
            <w:lang w:val="ka-GE"/>
          </w:rPr>
          <w:t>https://bit.ly/32V5rZc</w:t>
        </w:r>
      </w:hyperlink>
      <w:r w:rsidRPr="0071006D">
        <w:rPr>
          <w:rFonts w:asciiTheme="majorHAnsi" w:hAnsiTheme="majorHAnsi" w:cstheme="majorHAnsi"/>
          <w:sz w:val="18"/>
          <w:szCs w:val="18"/>
          <w:lang w:val="ka-GE"/>
        </w:rPr>
        <w:t xml:space="preserve"> .</w:t>
      </w:r>
    </w:p>
  </w:footnote>
  <w:footnote w:id="154">
    <w:p w14:paraId="203063EE" w14:textId="2D324344"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ibid, </w:t>
      </w:r>
      <w:proofErr w:type="spellStart"/>
      <w:r w:rsidRPr="0071006D">
        <w:rPr>
          <w:rFonts w:asciiTheme="majorHAnsi" w:hAnsiTheme="majorHAnsi" w:cstheme="majorHAnsi"/>
          <w:sz w:val="18"/>
          <w:szCs w:val="18"/>
        </w:rPr>
        <w:t>pg</w:t>
      </w:r>
      <w:proofErr w:type="spellEnd"/>
      <w:r w:rsidRPr="0071006D">
        <w:rPr>
          <w:rFonts w:asciiTheme="majorHAnsi" w:hAnsiTheme="majorHAnsi" w:cstheme="majorHAnsi"/>
          <w:sz w:val="18"/>
          <w:szCs w:val="18"/>
        </w:rPr>
        <w:t xml:space="preserve">: </w:t>
      </w:r>
      <w:r w:rsidRPr="0071006D">
        <w:rPr>
          <w:rFonts w:asciiTheme="majorHAnsi" w:hAnsiTheme="majorHAnsi" w:cstheme="majorHAnsi"/>
          <w:sz w:val="18"/>
          <w:szCs w:val="18"/>
          <w:lang w:val="ka-GE"/>
        </w:rPr>
        <w:t>13.</w:t>
      </w:r>
    </w:p>
  </w:footnote>
  <w:footnote w:id="155">
    <w:p w14:paraId="10608CE2" w14:textId="44D25CF4"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The report of Adjara Broadcaster</w:t>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Georgian Charter of Journalistic Ethics, </w:t>
      </w:r>
      <w:r w:rsidRPr="0071006D">
        <w:rPr>
          <w:rFonts w:asciiTheme="majorHAnsi" w:hAnsiTheme="majorHAnsi" w:cstheme="majorHAnsi"/>
          <w:sz w:val="18"/>
          <w:szCs w:val="18"/>
          <w:lang w:val="ka-GE"/>
        </w:rPr>
        <w:t>2020</w:t>
      </w:r>
      <w:r w:rsidRPr="0071006D">
        <w:rPr>
          <w:rFonts w:asciiTheme="majorHAnsi" w:hAnsiTheme="majorHAnsi" w:cstheme="majorHAnsi"/>
          <w:sz w:val="18"/>
          <w:szCs w:val="18"/>
        </w:rPr>
        <w:t xml:space="preserve">, </w:t>
      </w:r>
      <w:proofErr w:type="spellStart"/>
      <w:r w:rsidRPr="0071006D">
        <w:rPr>
          <w:rFonts w:asciiTheme="majorHAnsi" w:hAnsiTheme="majorHAnsi" w:cstheme="majorHAnsi"/>
          <w:sz w:val="18"/>
          <w:szCs w:val="18"/>
        </w:rPr>
        <w:t>pg</w:t>
      </w:r>
      <w:proofErr w:type="spellEnd"/>
      <w:r w:rsidRPr="0071006D">
        <w:rPr>
          <w:rFonts w:asciiTheme="majorHAnsi" w:hAnsiTheme="majorHAnsi" w:cstheme="majorHAnsi"/>
          <w:sz w:val="18"/>
          <w:szCs w:val="18"/>
        </w:rPr>
        <w:t xml:space="preserve"> 2. Available at: </w:t>
      </w:r>
      <w:r w:rsidRPr="0071006D">
        <w:rPr>
          <w:rFonts w:asciiTheme="majorHAnsi" w:hAnsiTheme="majorHAnsi" w:cstheme="majorHAnsi"/>
          <w:sz w:val="18"/>
          <w:szCs w:val="18"/>
          <w:lang w:val="ka-GE"/>
        </w:rPr>
        <w:t xml:space="preserve"> </w:t>
      </w:r>
      <w:hyperlink r:id="rId80" w:history="1">
        <w:r w:rsidRPr="0071006D">
          <w:rPr>
            <w:rStyle w:val="Hyperlink"/>
            <w:rFonts w:asciiTheme="majorHAnsi" w:hAnsiTheme="majorHAnsi" w:cstheme="majorHAnsi"/>
            <w:color w:val="auto"/>
            <w:sz w:val="18"/>
            <w:szCs w:val="18"/>
            <w:lang w:val="ka-GE"/>
          </w:rPr>
          <w:t>https://bit.ly/30PsOAV</w:t>
        </w:r>
      </w:hyperlink>
      <w:r>
        <w:rPr>
          <w:rFonts w:asciiTheme="majorHAnsi" w:hAnsiTheme="majorHAnsi" w:cstheme="majorHAnsi"/>
          <w:sz w:val="18"/>
          <w:szCs w:val="18"/>
        </w:rPr>
        <w:t xml:space="preserve">; </w:t>
      </w:r>
      <w:r w:rsidRPr="0071006D">
        <w:rPr>
          <w:rFonts w:asciiTheme="majorHAnsi" w:hAnsiTheme="majorHAnsi" w:cstheme="majorHAnsi"/>
          <w:sz w:val="18"/>
          <w:szCs w:val="18"/>
        </w:rPr>
        <w:t xml:space="preserve">PDO report, 2019, </w:t>
      </w:r>
      <w:proofErr w:type="spellStart"/>
      <w:r w:rsidRPr="0071006D">
        <w:rPr>
          <w:rFonts w:asciiTheme="majorHAnsi" w:hAnsiTheme="majorHAnsi" w:cstheme="majorHAnsi"/>
          <w:sz w:val="18"/>
          <w:szCs w:val="18"/>
        </w:rPr>
        <w:t>pg</w:t>
      </w:r>
      <w:proofErr w:type="spellEnd"/>
      <w:r w:rsidRPr="0071006D">
        <w:rPr>
          <w:rFonts w:asciiTheme="majorHAnsi" w:hAnsiTheme="majorHAnsi" w:cstheme="majorHAnsi"/>
          <w:sz w:val="18"/>
          <w:szCs w:val="18"/>
        </w:rPr>
        <w:t xml:space="preserve"> : </w:t>
      </w:r>
      <w:r w:rsidRPr="0071006D">
        <w:rPr>
          <w:rFonts w:asciiTheme="majorHAnsi" w:hAnsiTheme="majorHAnsi" w:cstheme="majorHAnsi"/>
          <w:sz w:val="18"/>
          <w:szCs w:val="18"/>
          <w:lang w:val="ka-GE"/>
        </w:rPr>
        <w:t>224</w:t>
      </w:r>
      <w:r>
        <w:rPr>
          <w:rFonts w:asciiTheme="majorHAnsi" w:hAnsiTheme="majorHAnsi" w:cstheme="majorHAnsi"/>
          <w:sz w:val="18"/>
          <w:szCs w:val="18"/>
        </w:rPr>
        <w:t>.</w:t>
      </w:r>
    </w:p>
  </w:footnote>
  <w:footnote w:id="156">
    <w:p w14:paraId="48D1135F" w14:textId="0203C11C"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w:t>
      </w:r>
      <w:r w:rsidRPr="0071006D">
        <w:rPr>
          <w:rFonts w:asciiTheme="majorHAnsi" w:hAnsiTheme="majorHAnsi" w:cstheme="majorHAnsi"/>
          <w:sz w:val="18"/>
          <w:szCs w:val="18"/>
          <w:lang w:val="ka-GE"/>
        </w:rPr>
        <w:t xml:space="preserve"> Georgian TV channel’s deputy director resigns under pressure: </w:t>
      </w:r>
      <w:hyperlink r:id="rId81" w:history="1">
        <w:r w:rsidRPr="0071006D">
          <w:rPr>
            <w:rStyle w:val="Hyperlink"/>
            <w:rFonts w:asciiTheme="majorHAnsi" w:hAnsiTheme="majorHAnsi" w:cstheme="majorHAnsi"/>
            <w:color w:val="auto"/>
            <w:sz w:val="18"/>
            <w:szCs w:val="18"/>
          </w:rPr>
          <w:t>https://rsf.org/en/news/georgian-tv-channels-deputy-director-resigns-under-pressure?fbclid=IwAR2Sy1h9vdfhLjf7ww1Kyl8j2bQ7KCYycGBPK0SSnszTUVE9H7s9qtap3PA</w:t>
        </w:r>
      </w:hyperlink>
    </w:p>
  </w:footnote>
  <w:footnote w:id="157">
    <w:p w14:paraId="17E0FD34" w14:textId="2D773B8F"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Human Rights and other public organizations collectively address to the International organizations concerning the alarming processes in the Adjara Public Broadcaster</w:t>
      </w:r>
      <w:r w:rsidRPr="0071006D">
        <w:rPr>
          <w:rFonts w:asciiTheme="majorHAnsi" w:hAnsiTheme="majorHAnsi" w:cstheme="majorHAnsi"/>
          <w:sz w:val="18"/>
          <w:szCs w:val="18"/>
        </w:rPr>
        <w:t xml:space="preserve">, 2020, </w:t>
      </w:r>
      <w:hyperlink r:id="rId82" w:history="1">
        <w:r w:rsidRPr="0071006D">
          <w:rPr>
            <w:rStyle w:val="Hyperlink"/>
            <w:rFonts w:asciiTheme="majorHAnsi" w:hAnsiTheme="majorHAnsi" w:cstheme="majorHAnsi"/>
            <w:color w:val="auto"/>
            <w:sz w:val="18"/>
            <w:szCs w:val="18"/>
          </w:rPr>
          <w:t>https://emc.org.ge/en/products/sazogadoebrivi-organizatsiebi-acharis-mautsqebelshi-mimdinare-sagangasho-protsesebze-saertashoriso-organizatsiebs-kolektiurad-mimartaven</w:t>
        </w:r>
      </w:hyperlink>
      <w:r w:rsidRPr="0071006D">
        <w:rPr>
          <w:rFonts w:asciiTheme="majorHAnsi" w:hAnsiTheme="majorHAnsi" w:cstheme="majorHAnsi"/>
          <w:sz w:val="18"/>
          <w:szCs w:val="18"/>
        </w:rPr>
        <w:t xml:space="preserve"> </w:t>
      </w:r>
    </w:p>
  </w:footnote>
  <w:footnote w:id="158">
    <w:p w14:paraId="149CACC7" w14:textId="76250A28"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Marneuli and Bolnisi shut down</w:t>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Quarantine:</w:t>
      </w:r>
      <w:r w:rsidRPr="0071006D">
        <w:rPr>
          <w:rFonts w:asciiTheme="majorHAnsi" w:hAnsiTheme="majorHAnsi" w:cstheme="majorHAnsi"/>
          <w:sz w:val="18"/>
          <w:szCs w:val="18"/>
          <w:lang w:val="ka-GE"/>
        </w:rPr>
        <w:t xml:space="preserve"> </w:t>
      </w:r>
      <w:hyperlink r:id="rId83" w:history="1">
        <w:r w:rsidRPr="0071006D">
          <w:rPr>
            <w:rStyle w:val="Hyperlink"/>
            <w:rFonts w:asciiTheme="majorHAnsi" w:hAnsiTheme="majorHAnsi" w:cstheme="majorHAnsi"/>
            <w:color w:val="auto"/>
            <w:sz w:val="18"/>
            <w:szCs w:val="18"/>
            <w:lang w:val="ka-GE"/>
          </w:rPr>
          <w:t>https://netgazeti.ge/news/436606/</w:t>
        </w:r>
      </w:hyperlink>
      <w:r w:rsidRPr="0071006D">
        <w:rPr>
          <w:rFonts w:asciiTheme="majorHAnsi" w:hAnsiTheme="majorHAnsi" w:cstheme="majorHAnsi"/>
          <w:sz w:val="18"/>
          <w:szCs w:val="18"/>
          <w:lang w:val="ka-GE"/>
        </w:rPr>
        <w:t xml:space="preserve">  </w:t>
      </w:r>
    </w:p>
  </w:footnote>
  <w:footnote w:id="159">
    <w:p w14:paraId="0B8A4894" w14:textId="59E4B057"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Solidarity Platform asks for the resignation of Zaza Abashidze:</w:t>
      </w:r>
      <w:r w:rsidRPr="0071006D">
        <w:rPr>
          <w:rFonts w:asciiTheme="majorHAnsi" w:hAnsiTheme="majorHAnsi" w:cstheme="majorHAnsi"/>
          <w:sz w:val="18"/>
          <w:szCs w:val="18"/>
          <w:lang w:val="ka-GE"/>
        </w:rPr>
        <w:t xml:space="preserve"> </w:t>
      </w:r>
      <w:hyperlink r:id="rId84" w:history="1">
        <w:r w:rsidRPr="0071006D">
          <w:rPr>
            <w:rStyle w:val="Hyperlink"/>
            <w:rFonts w:asciiTheme="majorHAnsi" w:hAnsiTheme="majorHAnsi" w:cstheme="majorHAnsi"/>
            <w:color w:val="auto"/>
            <w:sz w:val="18"/>
            <w:szCs w:val="18"/>
            <w:lang w:val="ka-GE"/>
          </w:rPr>
          <w:t>https://formulanews.ge/News/27853</w:t>
        </w:r>
      </w:hyperlink>
      <w:r w:rsidRPr="0071006D">
        <w:rPr>
          <w:rFonts w:asciiTheme="majorHAnsi" w:hAnsiTheme="majorHAnsi" w:cstheme="majorHAnsi"/>
          <w:sz w:val="18"/>
          <w:szCs w:val="18"/>
          <w:lang w:val="ka-GE"/>
        </w:rPr>
        <w:t xml:space="preserve"> </w:t>
      </w:r>
    </w:p>
  </w:footnote>
  <w:footnote w:id="160">
    <w:p w14:paraId="0F782A95" w14:textId="5544D4AE"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EMC responds to the ongoing investigation at State Security Service and examination of Tamta </w:t>
      </w:r>
      <w:proofErr w:type="spellStart"/>
      <w:r w:rsidRPr="0071006D">
        <w:rPr>
          <w:rFonts w:asciiTheme="majorHAnsi" w:hAnsiTheme="majorHAnsi" w:cstheme="majorHAnsi"/>
          <w:sz w:val="18"/>
          <w:szCs w:val="18"/>
        </w:rPr>
        <w:t>Mikeladze</w:t>
      </w:r>
      <w:proofErr w:type="spellEnd"/>
      <w:r w:rsidRPr="0071006D">
        <w:rPr>
          <w:rFonts w:asciiTheme="majorHAnsi" w:hAnsiTheme="majorHAnsi" w:cstheme="majorHAnsi"/>
          <w:sz w:val="18"/>
          <w:szCs w:val="18"/>
        </w:rPr>
        <w:t>, EMC, 2020: available at:</w:t>
      </w:r>
      <w:hyperlink r:id="rId85" w:history="1">
        <w:r w:rsidRPr="00256F01">
          <w:rPr>
            <w:rStyle w:val="Hyperlink"/>
            <w:rFonts w:asciiTheme="majorHAnsi" w:hAnsiTheme="majorHAnsi" w:cstheme="majorHAnsi"/>
            <w:sz w:val="18"/>
            <w:szCs w:val="18"/>
            <w:lang w:val="ka-GE"/>
          </w:rPr>
          <w:t>https://emc.org.ge/ka/products/emc-sus-shi-mimdinare-gamodziebasa-da-tamta-mikeladzis-gamokitkhvis-protsess-ekhmianeba</w:t>
        </w:r>
      </w:hyperlink>
      <w:r w:rsidRPr="0071006D">
        <w:rPr>
          <w:rFonts w:asciiTheme="majorHAnsi" w:hAnsiTheme="majorHAnsi" w:cstheme="majorHAnsi"/>
          <w:sz w:val="18"/>
          <w:szCs w:val="18"/>
          <w:lang w:val="ka-GE"/>
        </w:rPr>
        <w:t xml:space="preserve"> </w:t>
      </w:r>
    </w:p>
  </w:footnote>
  <w:footnote w:id="161">
    <w:p w14:paraId="396DA030" w14:textId="6389A5D3"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Ibid. </w:t>
      </w:r>
      <w:r w:rsidRPr="0071006D">
        <w:rPr>
          <w:rFonts w:asciiTheme="majorHAnsi" w:hAnsiTheme="majorHAnsi" w:cstheme="majorHAnsi"/>
          <w:sz w:val="18"/>
          <w:szCs w:val="18"/>
          <w:lang w:val="ka-GE"/>
        </w:rPr>
        <w:t xml:space="preserve"> </w:t>
      </w:r>
    </w:p>
  </w:footnote>
  <w:footnote w:id="162">
    <w:p w14:paraId="38383B78" w14:textId="044EFF24" w:rsidR="000F4173" w:rsidRPr="0071006D" w:rsidRDefault="000F4173" w:rsidP="0071006D">
      <w:pPr>
        <w:pStyle w:val="FootnoteText"/>
        <w:jc w:val="both"/>
        <w:rPr>
          <w:rFonts w:asciiTheme="majorHAnsi" w:hAnsiTheme="majorHAnsi" w:cstheme="majorHAnsi"/>
          <w:sz w:val="18"/>
          <w:szCs w:val="18"/>
        </w:rPr>
      </w:pPr>
      <w:r w:rsidRPr="0071006D">
        <w:rPr>
          <w:rFonts w:asciiTheme="majorHAnsi" w:hAnsiTheme="majorHAnsi" w:cstheme="majorHAnsi"/>
          <w:sz w:val="18"/>
          <w:szCs w:val="18"/>
          <w:vertAlign w:val="superscript"/>
          <w:lang w:val="ka-GE"/>
        </w:rPr>
        <w:footnoteRef/>
      </w:r>
      <w:r w:rsidRPr="0071006D">
        <w:rPr>
          <w:rFonts w:asciiTheme="majorHAnsi" w:hAnsiTheme="majorHAnsi" w:cstheme="majorHAnsi"/>
          <w:sz w:val="18"/>
          <w:szCs w:val="18"/>
        </w:rPr>
        <w:t xml:space="preserve"> </w:t>
      </w:r>
      <w:r>
        <w:rPr>
          <w:rFonts w:asciiTheme="majorHAnsi" w:hAnsiTheme="majorHAnsi" w:cstheme="majorHAnsi"/>
          <w:sz w:val="18"/>
          <w:szCs w:val="18"/>
        </w:rPr>
        <w:t>PDO</w:t>
      </w:r>
      <w:r w:rsidRPr="0071006D">
        <w:rPr>
          <w:rFonts w:asciiTheme="majorHAnsi" w:hAnsiTheme="majorHAnsi" w:cstheme="majorHAnsi"/>
          <w:sz w:val="18"/>
          <w:szCs w:val="18"/>
        </w:rPr>
        <w:t xml:space="preserve"> Responds to the Events Developed on Rustaveli Avenue on June 20-21, Available at: </w:t>
      </w:r>
      <w:hyperlink r:id="rId86" w:history="1">
        <w:r w:rsidRPr="0071006D">
          <w:rPr>
            <w:rStyle w:val="Hyperlink"/>
            <w:rFonts w:asciiTheme="majorHAnsi" w:hAnsiTheme="majorHAnsi" w:cstheme="majorHAnsi"/>
            <w:sz w:val="18"/>
            <w:szCs w:val="18"/>
          </w:rPr>
          <w:t>https://bit.ly/341kdhz</w:t>
        </w:r>
      </w:hyperlink>
      <w:r w:rsidRPr="0071006D">
        <w:rPr>
          <w:rFonts w:asciiTheme="majorHAnsi" w:hAnsiTheme="majorHAnsi" w:cstheme="majorHAnsi"/>
          <w:sz w:val="18"/>
          <w:szCs w:val="18"/>
          <w:lang w:val="ka-GE"/>
        </w:rPr>
        <w:t>;</w:t>
      </w:r>
      <w:r w:rsidRPr="0071006D">
        <w:rPr>
          <w:rFonts w:asciiTheme="majorHAnsi" w:hAnsiTheme="majorHAnsi" w:cstheme="majorHAnsi"/>
          <w:sz w:val="18"/>
          <w:szCs w:val="18"/>
        </w:rPr>
        <w:t xml:space="preserve"> </w:t>
      </w:r>
    </w:p>
  </w:footnote>
  <w:footnote w:id="163">
    <w:p w14:paraId="604E2E1A" w14:textId="55C4E68D" w:rsidR="000F4173" w:rsidRPr="0071006D" w:rsidRDefault="000F4173" w:rsidP="0071006D">
      <w:pPr>
        <w:pStyle w:val="FootnoteText"/>
        <w:jc w:val="both"/>
        <w:rPr>
          <w:rFonts w:asciiTheme="majorHAnsi" w:hAnsiTheme="majorHAnsi" w:cstheme="majorHAnsi"/>
          <w:sz w:val="18"/>
          <w:szCs w:val="18"/>
          <w:lang w:val="ka-GE"/>
        </w:rPr>
      </w:pPr>
      <w:r w:rsidRPr="0071006D">
        <w:rPr>
          <w:rFonts w:asciiTheme="majorHAnsi" w:hAnsiTheme="majorHAnsi" w:cstheme="majorHAnsi"/>
          <w:sz w:val="18"/>
          <w:szCs w:val="18"/>
          <w:vertAlign w:val="superscript"/>
          <w:lang w:val="ka-GE"/>
        </w:rPr>
        <w:footnoteRef/>
      </w:r>
      <w:r w:rsidRPr="0071006D">
        <w:rPr>
          <w:rFonts w:asciiTheme="majorHAnsi" w:hAnsiTheme="majorHAnsi" w:cstheme="majorHAnsi"/>
          <w:sz w:val="18"/>
          <w:szCs w:val="18"/>
        </w:rPr>
        <w:t xml:space="preserve"> Statement of Non-governmental organizations on the 20 June events, 2019, </w:t>
      </w:r>
      <w:hyperlink r:id="rId87" w:history="1">
        <w:r w:rsidRPr="0071006D">
          <w:rPr>
            <w:rStyle w:val="Hyperlink"/>
            <w:rFonts w:asciiTheme="majorHAnsi" w:hAnsiTheme="majorHAnsi" w:cstheme="majorHAnsi"/>
            <w:color w:val="auto"/>
            <w:sz w:val="18"/>
            <w:szCs w:val="18"/>
          </w:rPr>
          <w:t>https://emc.org.ge/en/products/arasamtavrobo-organizatsiebis-gantskhadeba-20-ivniss-ganvitarebul-movlenebze</w:t>
        </w:r>
      </w:hyperlink>
      <w:r w:rsidRPr="0071006D">
        <w:rPr>
          <w:rFonts w:asciiTheme="majorHAnsi" w:hAnsiTheme="majorHAnsi" w:cstheme="majorHAnsi"/>
          <w:sz w:val="18"/>
          <w:szCs w:val="18"/>
        </w:rPr>
        <w:t xml:space="preserve">; </w:t>
      </w:r>
      <w:r w:rsidRPr="0071006D">
        <w:rPr>
          <w:rFonts w:asciiTheme="majorHAnsi" w:hAnsiTheme="majorHAnsi" w:cstheme="majorHAnsi"/>
          <w:sz w:val="18"/>
          <w:szCs w:val="18"/>
          <w:lang w:val="ka-GE"/>
        </w:rPr>
        <w:t>Events of 20 June: Dispersal of the Rally and Related Practices of Human Rights Violation (Initial Legal Assessment)</w:t>
      </w:r>
      <w:r w:rsidRPr="0071006D">
        <w:rPr>
          <w:rFonts w:asciiTheme="majorHAnsi" w:hAnsiTheme="majorHAnsi" w:cstheme="majorHAnsi"/>
          <w:sz w:val="18"/>
          <w:szCs w:val="18"/>
        </w:rPr>
        <w:t xml:space="preserve">, EMC, 2019, </w:t>
      </w:r>
      <w:hyperlink r:id="rId88" w:history="1">
        <w:r w:rsidRPr="0071006D">
          <w:rPr>
            <w:rStyle w:val="Hyperlink"/>
            <w:rFonts w:asciiTheme="majorHAnsi" w:hAnsiTheme="majorHAnsi" w:cstheme="majorHAnsi"/>
            <w:color w:val="auto"/>
            <w:sz w:val="18"/>
            <w:szCs w:val="18"/>
          </w:rPr>
          <w:t>https://emc.org.ge/en/products/20-ivnisis-movlenebi-aktsiis-dashla-da-damianis-uflebebis-darghvevis-dziritadi-praktika-pirveladi-samartlebrivi-shefaseba</w:t>
        </w:r>
      </w:hyperlink>
      <w:r w:rsidRPr="0071006D">
        <w:rPr>
          <w:rFonts w:asciiTheme="majorHAnsi" w:hAnsiTheme="majorHAnsi" w:cstheme="majorHAnsi"/>
          <w:sz w:val="18"/>
          <w:szCs w:val="18"/>
        </w:rPr>
        <w:t>; GYLA report “Beyond Lost Eye”</w:t>
      </w:r>
      <w:r>
        <w:rPr>
          <w:rFonts w:asciiTheme="majorHAnsi" w:hAnsiTheme="majorHAnsi" w:cstheme="majorHAnsi"/>
          <w:sz w:val="18"/>
          <w:szCs w:val="18"/>
        </w:rPr>
        <w:t>.</w:t>
      </w:r>
    </w:p>
  </w:footnote>
  <w:footnote w:id="164">
    <w:p w14:paraId="324B8E89" w14:textId="3DBCE1EA"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Amnesty International: Georgia- Authorities Must Guarantee Freedom of Peaceful  Assembly </w:t>
      </w:r>
      <w:hyperlink r:id="rId89" w:history="1">
        <w:r w:rsidRPr="0071006D">
          <w:rPr>
            <w:rStyle w:val="Hyperlink"/>
            <w:rFonts w:asciiTheme="majorHAnsi" w:hAnsiTheme="majorHAnsi" w:cstheme="majorHAnsi"/>
            <w:color w:val="auto"/>
            <w:sz w:val="18"/>
            <w:szCs w:val="18"/>
            <w:lang w:val="ka-GE"/>
          </w:rPr>
          <w:t>https://bit.ly/30QaXcA</w:t>
        </w:r>
      </w:hyperlink>
      <w:r w:rsidRPr="0071006D">
        <w:rPr>
          <w:rFonts w:asciiTheme="majorHAnsi" w:hAnsiTheme="majorHAnsi" w:cstheme="majorHAnsi"/>
          <w:sz w:val="18"/>
          <w:szCs w:val="18"/>
          <w:lang w:val="ka-GE"/>
        </w:rPr>
        <w:t xml:space="preserve"> Human Rights Watch</w:t>
      </w:r>
      <w:r w:rsidRPr="0071006D">
        <w:rPr>
          <w:rFonts w:asciiTheme="majorHAnsi" w:hAnsiTheme="majorHAnsi" w:cstheme="majorHAnsi"/>
          <w:sz w:val="18"/>
          <w:szCs w:val="18"/>
        </w:rPr>
        <w:t xml:space="preserve">, Georgia-Events of 2019, Available at: </w:t>
      </w:r>
      <w:hyperlink r:id="rId90" w:history="1">
        <w:r w:rsidRPr="0071006D">
          <w:rPr>
            <w:rStyle w:val="Hyperlink"/>
            <w:rFonts w:asciiTheme="majorHAnsi" w:hAnsiTheme="majorHAnsi" w:cstheme="majorHAnsi"/>
            <w:color w:val="auto"/>
            <w:sz w:val="18"/>
            <w:szCs w:val="18"/>
            <w:lang w:val="ka-GE"/>
          </w:rPr>
          <w:t>https://bit.ly/2t0tV3M</w:t>
        </w:r>
      </w:hyperlink>
      <w:r w:rsidRPr="0071006D">
        <w:rPr>
          <w:rFonts w:asciiTheme="majorHAnsi" w:hAnsiTheme="majorHAnsi" w:cstheme="majorHAnsi"/>
          <w:sz w:val="18"/>
          <w:szCs w:val="18"/>
          <w:lang w:val="ka-GE"/>
        </w:rPr>
        <w:t xml:space="preserve"> </w:t>
      </w:r>
    </w:p>
  </w:footnote>
  <w:footnote w:id="165">
    <w:p w14:paraId="21D2ED59" w14:textId="421FEB42"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See PDO report 2019.</w:t>
      </w:r>
      <w:r w:rsidRPr="0071006D">
        <w:rPr>
          <w:rFonts w:asciiTheme="majorHAnsi" w:hAnsiTheme="majorHAnsi" w:cstheme="majorHAnsi"/>
          <w:sz w:val="18"/>
          <w:szCs w:val="18"/>
          <w:lang w:val="ka-GE"/>
        </w:rPr>
        <w:t xml:space="preserve"> </w:t>
      </w:r>
    </w:p>
  </w:footnote>
  <w:footnote w:id="166">
    <w:p w14:paraId="33E8225C" w14:textId="09E85973"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One year after 20-21 June events,</w:t>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lang w:val="ka-GE"/>
        </w:rPr>
        <w:t xml:space="preserve">EMC, 2020, </w:t>
      </w:r>
      <w:proofErr w:type="spellStart"/>
      <w:r w:rsidRPr="0071006D">
        <w:rPr>
          <w:rFonts w:asciiTheme="majorHAnsi" w:hAnsiTheme="majorHAnsi" w:cstheme="majorHAnsi"/>
          <w:sz w:val="18"/>
          <w:szCs w:val="18"/>
        </w:rPr>
        <w:t>pg</w:t>
      </w:r>
      <w:proofErr w:type="spellEnd"/>
      <w:r w:rsidRPr="0071006D">
        <w:rPr>
          <w:rFonts w:asciiTheme="majorHAnsi" w:hAnsiTheme="majorHAnsi" w:cstheme="majorHAnsi"/>
          <w:sz w:val="18"/>
          <w:szCs w:val="18"/>
        </w:rPr>
        <w:t xml:space="preserve">: </w:t>
      </w:r>
      <w:r w:rsidRPr="0071006D">
        <w:rPr>
          <w:rFonts w:asciiTheme="majorHAnsi" w:hAnsiTheme="majorHAnsi" w:cstheme="majorHAnsi"/>
          <w:sz w:val="18"/>
          <w:szCs w:val="18"/>
          <w:lang w:val="ka-GE"/>
        </w:rPr>
        <w:t xml:space="preserve">2-4, </w:t>
      </w:r>
      <w:r w:rsidRPr="0071006D">
        <w:rPr>
          <w:rFonts w:asciiTheme="majorHAnsi" w:hAnsiTheme="majorHAnsi" w:cstheme="majorHAnsi"/>
          <w:iCs/>
          <w:sz w:val="18"/>
          <w:szCs w:val="18"/>
        </w:rPr>
        <w:t>Available at:</w:t>
      </w:r>
      <w:r w:rsidRPr="0071006D">
        <w:rPr>
          <w:rFonts w:asciiTheme="majorHAnsi" w:hAnsiTheme="majorHAnsi" w:cstheme="majorHAnsi"/>
          <w:sz w:val="18"/>
          <w:szCs w:val="18"/>
          <w:lang w:val="ka-GE"/>
        </w:rPr>
        <w:t xml:space="preserve"> </w:t>
      </w:r>
      <w:hyperlink r:id="rId91" w:history="1">
        <w:r w:rsidRPr="0071006D">
          <w:rPr>
            <w:rStyle w:val="Hyperlink"/>
            <w:rFonts w:asciiTheme="majorHAnsi" w:hAnsiTheme="majorHAnsi" w:cstheme="majorHAnsi"/>
            <w:color w:val="auto"/>
            <w:sz w:val="18"/>
            <w:szCs w:val="18"/>
            <w:lang w:val="ka-GE"/>
          </w:rPr>
          <w:t>https://bit.ly/3031UpL</w:t>
        </w:r>
      </w:hyperlink>
      <w:r w:rsidRPr="0071006D">
        <w:rPr>
          <w:rFonts w:asciiTheme="majorHAnsi" w:hAnsiTheme="majorHAnsi" w:cstheme="majorHAnsi"/>
          <w:sz w:val="18"/>
          <w:szCs w:val="18"/>
          <w:lang w:val="ka-GE"/>
        </w:rPr>
        <w:t xml:space="preserve"> </w:t>
      </w:r>
    </w:p>
  </w:footnote>
  <w:footnote w:id="167">
    <w:p w14:paraId="6B7AF1A5" w14:textId="62ECEB2F"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Ibid, </w:t>
      </w:r>
      <w:proofErr w:type="spellStart"/>
      <w:r w:rsidRPr="0071006D">
        <w:rPr>
          <w:rFonts w:asciiTheme="majorHAnsi" w:hAnsiTheme="majorHAnsi" w:cstheme="majorHAnsi"/>
          <w:sz w:val="18"/>
          <w:szCs w:val="18"/>
        </w:rPr>
        <w:t>pg</w:t>
      </w:r>
      <w:proofErr w:type="spellEnd"/>
      <w:r w:rsidRPr="0071006D">
        <w:rPr>
          <w:rFonts w:asciiTheme="majorHAnsi" w:hAnsiTheme="majorHAnsi" w:cstheme="majorHAnsi"/>
          <w:sz w:val="18"/>
          <w:szCs w:val="18"/>
          <w:lang w:val="ka-GE"/>
        </w:rPr>
        <w:t xml:space="preserve"> 4-8.</w:t>
      </w:r>
    </w:p>
  </w:footnote>
  <w:footnote w:id="168">
    <w:p w14:paraId="6695390E" w14:textId="2232B7D0"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Assessment of Events on 26 November,</w:t>
      </w:r>
      <w:r w:rsidRPr="0071006D">
        <w:rPr>
          <w:rFonts w:asciiTheme="majorHAnsi" w:hAnsiTheme="majorHAnsi" w:cstheme="majorHAnsi"/>
          <w:sz w:val="18"/>
          <w:szCs w:val="18"/>
          <w:lang w:val="ka-GE"/>
        </w:rPr>
        <w:t xml:space="preserve"> EMC, </w:t>
      </w:r>
      <w:r w:rsidRPr="0071006D">
        <w:rPr>
          <w:rFonts w:asciiTheme="majorHAnsi" w:hAnsiTheme="majorHAnsi" w:cstheme="majorHAnsi"/>
          <w:iCs/>
          <w:sz w:val="18"/>
          <w:szCs w:val="18"/>
        </w:rPr>
        <w:t>Available at:</w:t>
      </w:r>
      <w:r w:rsidRPr="0071006D">
        <w:rPr>
          <w:rFonts w:asciiTheme="majorHAnsi" w:hAnsiTheme="majorHAnsi" w:cstheme="majorHAnsi"/>
          <w:sz w:val="18"/>
          <w:szCs w:val="18"/>
          <w:lang w:val="ka-GE"/>
        </w:rPr>
        <w:t xml:space="preserve"> </w:t>
      </w:r>
      <w:hyperlink r:id="rId92" w:history="1">
        <w:r w:rsidRPr="0071006D">
          <w:rPr>
            <w:rStyle w:val="Hyperlink"/>
            <w:rFonts w:asciiTheme="majorHAnsi" w:hAnsiTheme="majorHAnsi" w:cstheme="majorHAnsi"/>
            <w:color w:val="auto"/>
            <w:sz w:val="18"/>
            <w:szCs w:val="18"/>
            <w:lang w:val="ka-GE"/>
          </w:rPr>
          <w:t>https://bit.ly/2E9Ryfi</w:t>
        </w:r>
      </w:hyperlink>
      <w:r w:rsidRPr="0071006D">
        <w:rPr>
          <w:rFonts w:asciiTheme="majorHAnsi" w:hAnsiTheme="majorHAnsi" w:cstheme="majorHAnsi"/>
          <w:sz w:val="18"/>
          <w:szCs w:val="18"/>
          <w:lang w:val="ka-GE"/>
        </w:rPr>
        <w:t xml:space="preserve">  0</w:t>
      </w:r>
    </w:p>
  </w:footnote>
  <w:footnote w:id="169">
    <w:p w14:paraId="05BAC081" w14:textId="2418C092"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See note N</w:t>
      </w:r>
      <w:r w:rsidRPr="0071006D">
        <w:rPr>
          <w:rFonts w:asciiTheme="majorHAnsi" w:hAnsiTheme="majorHAnsi" w:cstheme="majorHAnsi"/>
          <w:sz w:val="18"/>
          <w:szCs w:val="18"/>
        </w:rPr>
        <w:fldChar w:fldCharType="begin"/>
      </w:r>
      <w:r w:rsidRPr="0071006D">
        <w:rPr>
          <w:rFonts w:asciiTheme="majorHAnsi" w:hAnsiTheme="majorHAnsi" w:cstheme="majorHAnsi"/>
          <w:sz w:val="18"/>
          <w:szCs w:val="18"/>
        </w:rPr>
        <w:instrText xml:space="preserve"> NOTEREF _Ref48250950 \p \h  \* MERGEFORMAT </w:instrText>
      </w:r>
      <w:r w:rsidRPr="0071006D">
        <w:rPr>
          <w:rFonts w:asciiTheme="majorHAnsi" w:hAnsiTheme="majorHAnsi" w:cstheme="majorHAnsi"/>
          <w:sz w:val="18"/>
          <w:szCs w:val="18"/>
        </w:rPr>
      </w:r>
      <w:r w:rsidRPr="0071006D">
        <w:rPr>
          <w:rFonts w:asciiTheme="majorHAnsi" w:hAnsiTheme="majorHAnsi" w:cstheme="majorHAnsi"/>
          <w:sz w:val="18"/>
          <w:szCs w:val="18"/>
        </w:rPr>
        <w:fldChar w:fldCharType="separate"/>
      </w:r>
      <w:r w:rsidRPr="0071006D">
        <w:rPr>
          <w:rFonts w:asciiTheme="majorHAnsi" w:hAnsiTheme="majorHAnsi" w:cstheme="majorHAnsi"/>
          <w:sz w:val="18"/>
          <w:szCs w:val="18"/>
        </w:rPr>
        <w:t>186</w:t>
      </w:r>
      <w:r w:rsidRPr="0071006D">
        <w:rPr>
          <w:rFonts w:asciiTheme="majorHAnsi" w:hAnsiTheme="majorHAnsi" w:cstheme="majorHAnsi"/>
          <w:sz w:val="18"/>
          <w:szCs w:val="18"/>
        </w:rPr>
        <w:fldChar w:fldCharType="end"/>
      </w:r>
      <w:r w:rsidRPr="0071006D">
        <w:rPr>
          <w:rFonts w:asciiTheme="majorHAnsi" w:hAnsiTheme="majorHAnsi" w:cstheme="majorHAnsi"/>
          <w:sz w:val="18"/>
          <w:szCs w:val="18"/>
        </w:rPr>
        <w:t xml:space="preserve"> and N</w:t>
      </w:r>
      <w:r w:rsidRPr="0071006D">
        <w:rPr>
          <w:rFonts w:asciiTheme="majorHAnsi" w:hAnsiTheme="majorHAnsi" w:cstheme="majorHAnsi"/>
          <w:sz w:val="18"/>
          <w:szCs w:val="18"/>
        </w:rPr>
        <w:fldChar w:fldCharType="begin"/>
      </w:r>
      <w:r w:rsidRPr="0071006D">
        <w:rPr>
          <w:rFonts w:asciiTheme="majorHAnsi" w:hAnsiTheme="majorHAnsi" w:cstheme="majorHAnsi"/>
          <w:sz w:val="18"/>
          <w:szCs w:val="18"/>
        </w:rPr>
        <w:instrText xml:space="preserve"> NOTEREF _Ref48250965 \p \h  \* MERGEFORMAT </w:instrText>
      </w:r>
      <w:r w:rsidRPr="0071006D">
        <w:rPr>
          <w:rFonts w:asciiTheme="majorHAnsi" w:hAnsiTheme="majorHAnsi" w:cstheme="majorHAnsi"/>
          <w:sz w:val="18"/>
          <w:szCs w:val="18"/>
        </w:rPr>
      </w:r>
      <w:r w:rsidRPr="0071006D">
        <w:rPr>
          <w:rFonts w:asciiTheme="majorHAnsi" w:hAnsiTheme="majorHAnsi" w:cstheme="majorHAnsi"/>
          <w:sz w:val="18"/>
          <w:szCs w:val="18"/>
        </w:rPr>
        <w:fldChar w:fldCharType="separate"/>
      </w:r>
      <w:r w:rsidRPr="0071006D">
        <w:rPr>
          <w:rFonts w:asciiTheme="majorHAnsi" w:hAnsiTheme="majorHAnsi" w:cstheme="majorHAnsi"/>
          <w:sz w:val="18"/>
          <w:szCs w:val="18"/>
        </w:rPr>
        <w:t>188</w:t>
      </w:r>
      <w:r w:rsidRPr="0071006D">
        <w:rPr>
          <w:rFonts w:asciiTheme="majorHAnsi" w:hAnsiTheme="majorHAnsi" w:cstheme="majorHAnsi"/>
          <w:sz w:val="18"/>
          <w:szCs w:val="18"/>
        </w:rPr>
        <w:fldChar w:fldCharType="end"/>
      </w:r>
      <w:r w:rsidRPr="0071006D">
        <w:rPr>
          <w:rFonts w:asciiTheme="majorHAnsi" w:hAnsiTheme="majorHAnsi" w:cstheme="majorHAnsi"/>
          <w:sz w:val="18"/>
          <w:szCs w:val="18"/>
        </w:rPr>
        <w:t>.</w:t>
      </w:r>
      <w:r w:rsidRPr="0071006D">
        <w:rPr>
          <w:rFonts w:asciiTheme="majorHAnsi" w:hAnsiTheme="majorHAnsi" w:cstheme="majorHAnsi"/>
          <w:sz w:val="18"/>
          <w:szCs w:val="18"/>
          <w:lang w:val="ka-GE"/>
        </w:rPr>
        <w:t xml:space="preserve"> </w:t>
      </w:r>
    </w:p>
  </w:footnote>
  <w:footnote w:id="170">
    <w:p w14:paraId="6877D659" w14:textId="552C9374"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PDO report on right to peaceful assembly, Available at:</w:t>
      </w:r>
      <w:r w:rsidRPr="0071006D">
        <w:rPr>
          <w:rFonts w:asciiTheme="majorHAnsi" w:hAnsiTheme="majorHAnsi" w:cstheme="majorHAnsi"/>
          <w:sz w:val="18"/>
          <w:szCs w:val="18"/>
          <w:lang w:val="ka-GE"/>
        </w:rPr>
        <w:t xml:space="preserve"> </w:t>
      </w:r>
      <w:hyperlink r:id="rId93" w:history="1">
        <w:r w:rsidRPr="0071006D">
          <w:rPr>
            <w:rStyle w:val="Hyperlink"/>
            <w:rFonts w:asciiTheme="majorHAnsi" w:hAnsiTheme="majorHAnsi" w:cstheme="majorHAnsi"/>
            <w:color w:val="auto"/>
            <w:sz w:val="18"/>
            <w:szCs w:val="18"/>
            <w:lang w:val="ka-GE"/>
          </w:rPr>
          <w:t>https://bit.ly/3hG9mgM</w:t>
        </w:r>
      </w:hyperlink>
      <w:r w:rsidRPr="0071006D">
        <w:rPr>
          <w:rFonts w:asciiTheme="majorHAnsi" w:hAnsiTheme="majorHAnsi" w:cstheme="majorHAnsi"/>
          <w:sz w:val="18"/>
          <w:szCs w:val="18"/>
          <w:lang w:val="ka-GE"/>
        </w:rPr>
        <w:t>.</w:t>
      </w:r>
    </w:p>
  </w:footnote>
  <w:footnote w:id="171">
    <w:p w14:paraId="6778220E" w14:textId="4D27CCDE"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Final Opinion On The Amendments To The Law On Assembly And Manifestations Of Georgia</w:t>
      </w:r>
      <w:r>
        <w:rPr>
          <w:rFonts w:asciiTheme="majorHAnsi" w:hAnsiTheme="majorHAnsi" w:cstheme="majorHAnsi"/>
          <w:sz w:val="18"/>
          <w:szCs w:val="18"/>
        </w:rPr>
        <w:t xml:space="preserve">, </w:t>
      </w:r>
      <w:r w:rsidRPr="0071006D">
        <w:rPr>
          <w:rFonts w:asciiTheme="majorHAnsi" w:hAnsiTheme="majorHAnsi" w:cstheme="majorHAnsi"/>
          <w:sz w:val="18"/>
          <w:szCs w:val="18"/>
        </w:rPr>
        <w:t>Venice Commission</w:t>
      </w:r>
      <w:r>
        <w:rPr>
          <w:rFonts w:asciiTheme="majorHAnsi" w:hAnsiTheme="majorHAnsi" w:cstheme="majorHAnsi"/>
          <w:sz w:val="18"/>
          <w:szCs w:val="18"/>
        </w:rPr>
        <w:t xml:space="preserve">, </w:t>
      </w:r>
      <w:r w:rsidRPr="0071006D">
        <w:rPr>
          <w:rFonts w:asciiTheme="majorHAnsi" w:hAnsiTheme="majorHAnsi" w:cstheme="majorHAnsi"/>
          <w:sz w:val="18"/>
          <w:szCs w:val="18"/>
        </w:rPr>
        <w:t xml:space="preserve">Opinion no.547/2009, 17 October 2011; Available at: </w:t>
      </w:r>
      <w:hyperlink r:id="rId94" w:history="1">
        <w:r w:rsidRPr="0071006D">
          <w:rPr>
            <w:rStyle w:val="Hyperlink"/>
            <w:rFonts w:asciiTheme="majorHAnsi" w:hAnsiTheme="majorHAnsi" w:cstheme="majorHAnsi"/>
            <w:color w:val="auto"/>
            <w:sz w:val="18"/>
            <w:szCs w:val="18"/>
          </w:rPr>
          <w:t>https://www.venice.coe.int/webforms/documents/default.aspx?pdffile=CDL-AD(2011)029-e</w:t>
        </w:r>
      </w:hyperlink>
      <w:r w:rsidRPr="0071006D">
        <w:rPr>
          <w:rFonts w:asciiTheme="majorHAnsi" w:hAnsiTheme="majorHAnsi" w:cstheme="majorHAnsi"/>
          <w:sz w:val="18"/>
          <w:szCs w:val="18"/>
        </w:rPr>
        <w:t xml:space="preserve"> </w:t>
      </w:r>
    </w:p>
  </w:footnote>
  <w:footnote w:id="172">
    <w:p w14:paraId="06BF6C06" w14:textId="77777777"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w:t>
      </w:r>
      <w:r w:rsidRPr="0071006D">
        <w:rPr>
          <w:rFonts w:asciiTheme="majorHAnsi" w:hAnsiTheme="majorHAnsi" w:cstheme="majorHAnsi"/>
          <w:iCs/>
          <w:sz w:val="18"/>
          <w:szCs w:val="18"/>
        </w:rPr>
        <w:t>May 12 Events (A large-scale police operation in Tbilisi night clubs</w:t>
      </w:r>
      <w:r w:rsidRPr="0071006D">
        <w:rPr>
          <w:rFonts w:asciiTheme="majorHAnsi" w:hAnsiTheme="majorHAnsi" w:cstheme="majorHAnsi"/>
          <w:sz w:val="18"/>
          <w:szCs w:val="18"/>
        </w:rPr>
        <w:t xml:space="preserve">, GYLA and EMC, 2018, Available at: </w:t>
      </w:r>
      <w:hyperlink r:id="rId95" w:history="1">
        <w:r w:rsidRPr="0071006D">
          <w:rPr>
            <w:rStyle w:val="Hyperlink"/>
            <w:rFonts w:asciiTheme="majorHAnsi" w:hAnsiTheme="majorHAnsi" w:cstheme="majorHAnsi"/>
            <w:color w:val="auto"/>
            <w:sz w:val="18"/>
            <w:szCs w:val="18"/>
          </w:rPr>
          <w:t>https://emc.org.ge/en/products/12-maisi-masshtaburi-sapolitsio-operatsia-tbilisis-klubebshi</w:t>
        </w:r>
      </w:hyperlink>
      <w:r w:rsidRPr="0071006D">
        <w:rPr>
          <w:rFonts w:asciiTheme="majorHAnsi" w:hAnsiTheme="majorHAnsi" w:cstheme="majorHAnsi"/>
          <w:sz w:val="18"/>
          <w:szCs w:val="18"/>
        </w:rPr>
        <w:t xml:space="preserve"> </w:t>
      </w:r>
    </w:p>
  </w:footnote>
  <w:footnote w:id="173">
    <w:p w14:paraId="16C5CDAF" w14:textId="33ADDACF"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proofErr w:type="spellStart"/>
      <w:r w:rsidRPr="0071006D">
        <w:rPr>
          <w:rFonts w:asciiTheme="majorHAnsi" w:hAnsiTheme="majorHAnsi" w:cstheme="majorHAnsi"/>
          <w:sz w:val="18"/>
          <w:szCs w:val="18"/>
        </w:rPr>
        <w:t>Jalaghania</w:t>
      </w:r>
      <w:proofErr w:type="spellEnd"/>
      <w:r w:rsidRPr="0071006D">
        <w:rPr>
          <w:rFonts w:asciiTheme="majorHAnsi" w:hAnsiTheme="majorHAnsi" w:cstheme="majorHAnsi"/>
          <w:sz w:val="18"/>
          <w:szCs w:val="18"/>
        </w:rPr>
        <w:t xml:space="preserve">. L. LGBTI rights in Georgia, EMC, 2015. </w:t>
      </w:r>
    </w:p>
  </w:footnote>
  <w:footnote w:id="174">
    <w:p w14:paraId="5499CB52" w14:textId="2F77228F"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Case of Identoba and Others v. Georgia (Application no. 73235/12) 12 may 2015, para. 100, see: </w:t>
      </w:r>
      <w:hyperlink r:id="rId96" w:history="1">
        <w:r w:rsidRPr="0071006D">
          <w:rPr>
            <w:rStyle w:val="Hyperlink"/>
            <w:rFonts w:asciiTheme="majorHAnsi" w:hAnsiTheme="majorHAnsi" w:cstheme="majorHAnsi"/>
            <w:color w:val="auto"/>
            <w:sz w:val="18"/>
            <w:szCs w:val="18"/>
            <w:lang w:val="ka-GE"/>
          </w:rPr>
          <w:t>http://hudoc.echr.coe.int/eng?i=001-154400</w:t>
        </w:r>
      </w:hyperlink>
      <w:r w:rsidRPr="0071006D">
        <w:rPr>
          <w:rFonts w:asciiTheme="majorHAnsi" w:hAnsiTheme="majorHAnsi" w:cstheme="majorHAnsi"/>
          <w:sz w:val="18"/>
          <w:szCs w:val="18"/>
          <w:lang w:val="ka-GE"/>
        </w:rPr>
        <w:t xml:space="preserve"> </w:t>
      </w:r>
    </w:p>
  </w:footnote>
  <w:footnote w:id="175">
    <w:p w14:paraId="5B91E6AC" w14:textId="6D0826A8"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Except for 2017, when LGBTQ community organizations met with the Chancellery of the Government of Georgia, within the framework of providing high quality protection by the law enforcement system, with limited time and space, which can not be considered as an example of protection of freedom of assembly.</w:t>
      </w:r>
    </w:p>
  </w:footnote>
  <w:footnote w:id="176">
    <w:p w14:paraId="54EB34B8" w14:textId="32D59FF1"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Coalition for Equality, The Right to Non-Discrimination in Practice for Various Groups in Georgia – 2019, see: </w:t>
      </w:r>
      <w:hyperlink r:id="rId97" w:history="1">
        <w:r w:rsidRPr="0071006D">
          <w:rPr>
            <w:rStyle w:val="Hyperlink"/>
            <w:rFonts w:asciiTheme="majorHAnsi" w:hAnsiTheme="majorHAnsi" w:cstheme="majorHAnsi"/>
            <w:color w:val="auto"/>
            <w:sz w:val="18"/>
            <w:szCs w:val="18"/>
            <w:lang w:val="ka-GE"/>
          </w:rPr>
          <w:t>http://equalitycoalition.ge/article/51</w:t>
        </w:r>
      </w:hyperlink>
      <w:r w:rsidRPr="0071006D">
        <w:rPr>
          <w:rFonts w:asciiTheme="majorHAnsi" w:hAnsiTheme="majorHAnsi" w:cstheme="majorHAnsi"/>
          <w:sz w:val="18"/>
          <w:szCs w:val="18"/>
          <w:lang w:val="ka-GE"/>
        </w:rPr>
        <w:t xml:space="preserve"> </w:t>
      </w:r>
    </w:p>
  </w:footnote>
  <w:footnote w:id="177">
    <w:p w14:paraId="074B3957" w14:textId="7DCD8456"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Pr>
          <w:rFonts w:asciiTheme="majorHAnsi" w:hAnsiTheme="majorHAnsi" w:cstheme="majorHAnsi"/>
          <w:sz w:val="18"/>
          <w:szCs w:val="18"/>
        </w:rPr>
        <w:t>MIA</w:t>
      </w:r>
      <w:r w:rsidRPr="0071006D">
        <w:rPr>
          <w:rFonts w:asciiTheme="majorHAnsi" w:hAnsiTheme="majorHAnsi" w:cstheme="majorHAnsi"/>
          <w:sz w:val="18"/>
          <w:szCs w:val="18"/>
        </w:rPr>
        <w:t xml:space="preserve"> offered to organized March of Dignity in the closed space – at night club or at football stadium for their security reasons, which was an unproportionable alternative. S</w:t>
      </w:r>
      <w:r w:rsidRPr="0071006D">
        <w:rPr>
          <w:rFonts w:asciiTheme="majorHAnsi" w:hAnsiTheme="majorHAnsi" w:cstheme="majorHAnsi"/>
          <w:sz w:val="18"/>
          <w:szCs w:val="18"/>
          <w:lang w:val="ka-GE"/>
        </w:rPr>
        <w:t xml:space="preserve">ee: </w:t>
      </w:r>
      <w:hyperlink r:id="rId98" w:history="1">
        <w:r w:rsidRPr="0071006D">
          <w:rPr>
            <w:rStyle w:val="Hyperlink"/>
            <w:rFonts w:asciiTheme="majorHAnsi" w:hAnsiTheme="majorHAnsi" w:cstheme="majorHAnsi"/>
            <w:color w:val="auto"/>
            <w:sz w:val="18"/>
            <w:szCs w:val="18"/>
            <w:lang w:val="ka-GE"/>
          </w:rPr>
          <w:t>https://netgazeti.ge/news/368709/</w:t>
        </w:r>
      </w:hyperlink>
      <w:r w:rsidRPr="0071006D">
        <w:rPr>
          <w:rStyle w:val="Hyperlink"/>
          <w:rFonts w:asciiTheme="majorHAnsi" w:hAnsiTheme="majorHAnsi" w:cstheme="majorHAnsi"/>
          <w:color w:val="auto"/>
          <w:sz w:val="18"/>
          <w:szCs w:val="18"/>
          <w:lang w:val="ka-GE"/>
        </w:rPr>
        <w:t xml:space="preserve"> </w:t>
      </w:r>
      <w:r w:rsidRPr="0071006D">
        <w:rPr>
          <w:rFonts w:asciiTheme="majorHAnsi" w:hAnsiTheme="majorHAnsi" w:cstheme="majorHAnsi"/>
          <w:sz w:val="18"/>
          <w:szCs w:val="18"/>
          <w:lang w:val="ka-GE"/>
        </w:rPr>
        <w:t xml:space="preserve">Also, See: </w:t>
      </w:r>
      <w:r w:rsidRPr="0071006D">
        <w:rPr>
          <w:rFonts w:asciiTheme="majorHAnsi" w:hAnsiTheme="majorHAnsi" w:cstheme="majorHAnsi"/>
          <w:sz w:val="18"/>
          <w:szCs w:val="18"/>
        </w:rPr>
        <w:t xml:space="preserve">Police Statement: </w:t>
      </w:r>
      <w:hyperlink r:id="rId99" w:history="1">
        <w:r w:rsidRPr="0071006D">
          <w:rPr>
            <w:rStyle w:val="Hyperlink"/>
            <w:rFonts w:asciiTheme="majorHAnsi" w:hAnsiTheme="majorHAnsi" w:cstheme="majorHAnsi"/>
            <w:color w:val="auto"/>
            <w:sz w:val="18"/>
            <w:szCs w:val="18"/>
            <w:lang w:val="ka-GE"/>
          </w:rPr>
          <w:t>https://police.ge/en/shinagan-saqmeta-saministros-gantskhadeba/12775</w:t>
        </w:r>
      </w:hyperlink>
      <w:r w:rsidRPr="0071006D">
        <w:rPr>
          <w:rStyle w:val="Hyperlink"/>
          <w:rFonts w:asciiTheme="majorHAnsi" w:hAnsiTheme="majorHAnsi" w:cstheme="majorHAnsi"/>
          <w:color w:val="auto"/>
          <w:sz w:val="18"/>
          <w:szCs w:val="18"/>
          <w:lang w:val="ka-GE"/>
        </w:rPr>
        <w:t xml:space="preserve">  </w:t>
      </w:r>
    </w:p>
  </w:footnote>
  <w:footnote w:id="178">
    <w:p w14:paraId="126B00F9" w14:textId="27700425"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See: Georgian Patriarchate: we demand not to allow organization of Gay-Pride. </w:t>
      </w:r>
      <w:hyperlink r:id="rId100" w:history="1">
        <w:r w:rsidRPr="0071006D">
          <w:rPr>
            <w:rStyle w:val="Hyperlink"/>
            <w:rFonts w:asciiTheme="majorHAnsi" w:hAnsiTheme="majorHAnsi" w:cstheme="majorHAnsi"/>
            <w:color w:val="auto"/>
            <w:sz w:val="18"/>
            <w:szCs w:val="18"/>
          </w:rPr>
          <w:t>http://tbl.ge/3rm1</w:t>
        </w:r>
      </w:hyperlink>
      <w:r w:rsidRPr="0071006D">
        <w:rPr>
          <w:rFonts w:asciiTheme="majorHAnsi" w:hAnsiTheme="majorHAnsi" w:cstheme="majorHAnsi"/>
          <w:sz w:val="18"/>
          <w:szCs w:val="18"/>
        </w:rPr>
        <w:t xml:space="preserve"> </w:t>
      </w:r>
    </w:p>
  </w:footnote>
  <w:footnote w:id="179">
    <w:p w14:paraId="5E9430B3" w14:textId="77777777"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See: </w:t>
      </w:r>
      <w:hyperlink r:id="rId101" w:history="1">
        <w:r w:rsidRPr="0071006D">
          <w:rPr>
            <w:rStyle w:val="Hyperlink"/>
            <w:rFonts w:asciiTheme="majorHAnsi" w:hAnsiTheme="majorHAnsi" w:cstheme="majorHAnsi"/>
            <w:color w:val="auto"/>
            <w:sz w:val="18"/>
            <w:szCs w:val="18"/>
          </w:rPr>
          <w:t>https://oc-media.org/tbilisi-pride-cancelled-after-location-leaks-online/</w:t>
        </w:r>
      </w:hyperlink>
    </w:p>
  </w:footnote>
  <w:footnote w:id="180">
    <w:p w14:paraId="761D3717" w14:textId="296125CE"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See: </w:t>
      </w:r>
      <w:hyperlink r:id="rId102" w:history="1">
        <w:r w:rsidRPr="0071006D">
          <w:rPr>
            <w:rStyle w:val="Hyperlink"/>
            <w:rFonts w:asciiTheme="majorHAnsi" w:hAnsiTheme="majorHAnsi" w:cstheme="majorHAnsi"/>
            <w:color w:val="auto"/>
            <w:sz w:val="18"/>
            <w:szCs w:val="18"/>
          </w:rPr>
          <w:t>https://imedinews.ge/ge/dzalovnebi/108905/shssm-lgbtqpraidis-tsinaagmdeglegionissheqmnis-shesakheb-levan-vasadzis-gantskhadebisshemdeg-gamodzieba-daitsko</w:t>
        </w:r>
      </w:hyperlink>
      <w:r w:rsidRPr="0071006D">
        <w:rPr>
          <w:rFonts w:asciiTheme="majorHAnsi" w:hAnsiTheme="majorHAnsi" w:cstheme="majorHAnsi"/>
          <w:sz w:val="18"/>
          <w:szCs w:val="18"/>
        </w:rPr>
        <w:t xml:space="preserve"> </w:t>
      </w:r>
    </w:p>
  </w:footnote>
  <w:footnote w:id="181">
    <w:p w14:paraId="1E5E8B03" w14:textId="77777777"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Georgia 2019 Human Rights Report - </w:t>
      </w:r>
      <w:hyperlink r:id="rId103" w:history="1">
        <w:r w:rsidRPr="0071006D">
          <w:rPr>
            <w:rStyle w:val="Hyperlink"/>
            <w:rFonts w:asciiTheme="majorHAnsi" w:hAnsiTheme="majorHAnsi" w:cstheme="majorHAnsi"/>
            <w:color w:val="auto"/>
            <w:sz w:val="18"/>
            <w:szCs w:val="18"/>
          </w:rPr>
          <w:t>https://www.state.gov/wp-content/uploads/2020/03/GEORGIA-2019-HUMAN-RIGHTS-REPORT.pdf</w:t>
        </w:r>
      </w:hyperlink>
    </w:p>
  </w:footnote>
  <w:footnote w:id="182">
    <w:p w14:paraId="2C07B0F5" w14:textId="1D4CE104"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ASSOCIATION </w:t>
      </w:r>
      <w:r>
        <w:rPr>
          <w:rFonts w:asciiTheme="majorHAnsi" w:hAnsiTheme="majorHAnsi" w:cstheme="majorHAnsi"/>
          <w:sz w:val="18"/>
          <w:szCs w:val="18"/>
        </w:rPr>
        <w:t>Agreement</w:t>
      </w:r>
      <w:r w:rsidRPr="0071006D">
        <w:rPr>
          <w:rFonts w:asciiTheme="majorHAnsi" w:hAnsiTheme="majorHAnsi" w:cstheme="majorHAnsi"/>
          <w:sz w:val="18"/>
          <w:szCs w:val="18"/>
        </w:rPr>
        <w:t xml:space="preserve"> BETWEEN THE EUROPEAN UNION AND GEOGIA 2017-2020 - </w:t>
      </w:r>
      <w:hyperlink r:id="rId104" w:history="1">
        <w:r w:rsidRPr="0071006D">
          <w:rPr>
            <w:rStyle w:val="Hyperlink"/>
            <w:rFonts w:asciiTheme="majorHAnsi" w:hAnsiTheme="majorHAnsi" w:cstheme="majorHAnsi"/>
            <w:color w:val="auto"/>
            <w:sz w:val="18"/>
            <w:szCs w:val="18"/>
          </w:rPr>
          <w:t>http://www.parliament.ge/uploads/other/78/78447.pdf</w:t>
        </w:r>
      </w:hyperlink>
      <w:r w:rsidRPr="0071006D">
        <w:rPr>
          <w:rFonts w:asciiTheme="majorHAnsi" w:hAnsiTheme="majorHAnsi" w:cstheme="majorHAnsi"/>
          <w:sz w:val="18"/>
          <w:szCs w:val="18"/>
        </w:rPr>
        <w:t xml:space="preserve"> - </w:t>
      </w:r>
      <w:r w:rsidRPr="0071006D">
        <w:rPr>
          <w:rFonts w:ascii="Sylfaen" w:hAnsi="Sylfaen" w:cs="Sylfaen"/>
          <w:sz w:val="18"/>
          <w:szCs w:val="18"/>
          <w:lang w:val="ka-GE"/>
        </w:rPr>
        <w:t>გვ</w:t>
      </w:r>
      <w:r w:rsidRPr="0071006D">
        <w:rPr>
          <w:rFonts w:asciiTheme="majorHAnsi" w:hAnsiTheme="majorHAnsi" w:cstheme="majorHAnsi"/>
          <w:sz w:val="18"/>
          <w:szCs w:val="18"/>
          <w:lang w:val="ka-GE"/>
        </w:rPr>
        <w:t>.22</w:t>
      </w:r>
    </w:p>
  </w:footnote>
  <w:footnote w:id="183">
    <w:p w14:paraId="2057D8E0" w14:textId="35AAC715"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lang w:val="ka-GE"/>
        </w:rPr>
        <w:t xml:space="preserve">Election Observation Mission of May 19, 2019, Monitorig Report of Pre-Election Environment, Election Day and Post-Election Period, GYLA, </w:t>
      </w:r>
      <w:proofErr w:type="spellStart"/>
      <w:r w:rsidRPr="0071006D">
        <w:rPr>
          <w:rFonts w:asciiTheme="majorHAnsi" w:hAnsiTheme="majorHAnsi" w:cstheme="majorHAnsi"/>
          <w:sz w:val="18"/>
          <w:szCs w:val="18"/>
        </w:rPr>
        <w:t>pg</w:t>
      </w:r>
      <w:proofErr w:type="spellEnd"/>
      <w:r w:rsidRPr="0071006D">
        <w:rPr>
          <w:rFonts w:asciiTheme="majorHAnsi" w:hAnsiTheme="majorHAnsi" w:cstheme="majorHAnsi"/>
          <w:sz w:val="18"/>
          <w:szCs w:val="18"/>
        </w:rPr>
        <w:t>:</w:t>
      </w:r>
      <w:r w:rsidRPr="0071006D">
        <w:rPr>
          <w:rFonts w:asciiTheme="majorHAnsi" w:hAnsiTheme="majorHAnsi" w:cstheme="majorHAnsi"/>
          <w:sz w:val="18"/>
          <w:szCs w:val="18"/>
          <w:lang w:val="ka-GE"/>
        </w:rPr>
        <w:t xml:space="preserve"> 4</w:t>
      </w:r>
      <w:r w:rsidRPr="0071006D">
        <w:rPr>
          <w:rFonts w:asciiTheme="majorHAnsi" w:hAnsiTheme="majorHAnsi" w:cstheme="majorHAnsi"/>
          <w:sz w:val="18"/>
          <w:szCs w:val="18"/>
        </w:rPr>
        <w:t xml:space="preserve">; </w:t>
      </w:r>
    </w:p>
  </w:footnote>
  <w:footnote w:id="184">
    <w:p w14:paraId="6527C338" w14:textId="332F1377"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International Election Observation Mission, Georgia, Parliamentary Elections, Second Round, 30 October 2016 Statement of Preliminary Findings and Conclusions, </w:t>
      </w:r>
      <w:proofErr w:type="spellStart"/>
      <w:r w:rsidRPr="0071006D">
        <w:rPr>
          <w:rFonts w:asciiTheme="majorHAnsi" w:hAnsiTheme="majorHAnsi" w:cstheme="majorHAnsi"/>
          <w:sz w:val="18"/>
          <w:szCs w:val="18"/>
        </w:rPr>
        <w:t>pg</w:t>
      </w:r>
      <w:proofErr w:type="spellEnd"/>
      <w:r w:rsidRPr="0071006D">
        <w:rPr>
          <w:rFonts w:asciiTheme="majorHAnsi" w:hAnsiTheme="majorHAnsi" w:cstheme="majorHAnsi"/>
          <w:sz w:val="18"/>
          <w:szCs w:val="18"/>
        </w:rPr>
        <w:t xml:space="preserve"> 2</w:t>
      </w:r>
    </w:p>
  </w:footnote>
  <w:footnote w:id="185">
    <w:p w14:paraId="41791DE0" w14:textId="62B30ACD"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Georgia Presidential Election, 28 October and 28 November 2018, ODIHR Election Observation Mission Final Report, </w:t>
      </w:r>
      <w:proofErr w:type="spellStart"/>
      <w:r w:rsidRPr="0071006D">
        <w:rPr>
          <w:rFonts w:asciiTheme="majorHAnsi" w:hAnsiTheme="majorHAnsi" w:cstheme="majorHAnsi"/>
          <w:sz w:val="18"/>
          <w:szCs w:val="18"/>
        </w:rPr>
        <w:t>pg</w:t>
      </w:r>
      <w:proofErr w:type="spellEnd"/>
      <w:r w:rsidRPr="0071006D">
        <w:rPr>
          <w:rFonts w:asciiTheme="majorHAnsi" w:hAnsiTheme="majorHAnsi" w:cstheme="majorHAnsi"/>
          <w:sz w:val="18"/>
          <w:szCs w:val="18"/>
        </w:rPr>
        <w:t xml:space="preserve"> 2. </w:t>
      </w:r>
    </w:p>
  </w:footnote>
  <w:footnote w:id="186">
    <w:p w14:paraId="5E7BEEBE" w14:textId="00A53DF7"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lang w:val="ka-GE"/>
        </w:rPr>
        <w:t xml:space="preserve">Ibid, </w:t>
      </w:r>
      <w:proofErr w:type="spellStart"/>
      <w:r w:rsidRPr="0071006D">
        <w:rPr>
          <w:rFonts w:asciiTheme="majorHAnsi" w:hAnsiTheme="majorHAnsi" w:cstheme="majorHAnsi"/>
          <w:sz w:val="18"/>
          <w:szCs w:val="18"/>
        </w:rPr>
        <w:t>pg</w:t>
      </w:r>
      <w:proofErr w:type="spellEnd"/>
      <w:r w:rsidRPr="0071006D">
        <w:rPr>
          <w:rFonts w:asciiTheme="majorHAnsi" w:hAnsiTheme="majorHAnsi" w:cstheme="majorHAnsi"/>
          <w:sz w:val="18"/>
          <w:szCs w:val="18"/>
          <w:lang w:val="ka-GE"/>
        </w:rPr>
        <w:t xml:space="preserve"> 3.</w:t>
      </w:r>
    </w:p>
  </w:footnote>
  <w:footnote w:id="187">
    <w:p w14:paraId="5E68B50A" w14:textId="6461C038"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International Election Observation Mission, Georgia, Presidential Election, 28 October 2018 Statement of Preliminary Findings and Conclusions, pg.2  </w:t>
      </w:r>
    </w:p>
  </w:footnote>
  <w:footnote w:id="188">
    <w:p w14:paraId="71F619DF" w14:textId="5BA84E7A" w:rsidR="000F4173" w:rsidRPr="0071006D" w:rsidRDefault="000F4173" w:rsidP="0071006D">
      <w:pPr>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Elections Code, Article 12. </w:t>
      </w:r>
    </w:p>
  </w:footnote>
  <w:footnote w:id="189">
    <w:p w14:paraId="094B66AB" w14:textId="35BE5265"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Elections Code, Article </w:t>
      </w:r>
      <w:r w:rsidRPr="0071006D">
        <w:rPr>
          <w:rFonts w:asciiTheme="majorHAnsi" w:hAnsiTheme="majorHAnsi" w:cstheme="majorHAnsi"/>
          <w:sz w:val="18"/>
          <w:szCs w:val="18"/>
          <w:lang w:val="ka-GE"/>
        </w:rPr>
        <w:t xml:space="preserve"> 45</w:t>
      </w:r>
      <w:r w:rsidRPr="0071006D">
        <w:rPr>
          <w:rFonts w:asciiTheme="majorHAnsi" w:hAnsiTheme="majorHAnsi" w:cstheme="majorHAnsi"/>
          <w:sz w:val="18"/>
          <w:szCs w:val="18"/>
        </w:rPr>
        <w:t xml:space="preserve"> (</w:t>
      </w:r>
      <w:r w:rsidRPr="0071006D">
        <w:rPr>
          <w:rFonts w:asciiTheme="majorHAnsi" w:hAnsiTheme="majorHAnsi" w:cstheme="majorHAnsi"/>
          <w:sz w:val="18"/>
          <w:szCs w:val="18"/>
          <w:lang w:val="ka-GE"/>
        </w:rPr>
        <w:t>11</w:t>
      </w:r>
      <w:r w:rsidRPr="0071006D">
        <w:rPr>
          <w:rFonts w:asciiTheme="majorHAnsi" w:hAnsiTheme="majorHAnsi" w:cstheme="majorHAnsi"/>
          <w:sz w:val="18"/>
          <w:szCs w:val="18"/>
        </w:rPr>
        <w:t>)</w:t>
      </w:r>
      <w:r w:rsidRPr="0071006D">
        <w:rPr>
          <w:rFonts w:asciiTheme="majorHAnsi" w:hAnsiTheme="majorHAnsi" w:cstheme="majorHAnsi"/>
          <w:sz w:val="18"/>
          <w:szCs w:val="18"/>
          <w:lang w:val="ka-GE"/>
        </w:rPr>
        <w:t xml:space="preserve">. </w:t>
      </w:r>
    </w:p>
  </w:footnote>
  <w:footnote w:id="190">
    <w:p w14:paraId="2CAE5BE7" w14:textId="26A91C29"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Campaign Silence, ACE, The Electoral Knowledge Network, November 15. 2006, </w:t>
      </w:r>
      <w:r w:rsidRPr="0071006D">
        <w:rPr>
          <w:rFonts w:asciiTheme="majorHAnsi" w:hAnsiTheme="majorHAnsi" w:cstheme="majorHAnsi"/>
          <w:sz w:val="18"/>
          <w:szCs w:val="18"/>
        </w:rPr>
        <w:t>Available at:</w:t>
      </w:r>
      <w:r w:rsidRPr="0071006D">
        <w:rPr>
          <w:rFonts w:asciiTheme="majorHAnsi" w:hAnsiTheme="majorHAnsi" w:cstheme="majorHAnsi"/>
          <w:sz w:val="18"/>
          <w:szCs w:val="18"/>
          <w:lang w:val="ka-GE"/>
        </w:rPr>
        <w:t xml:space="preserve"> http://aceproject.org/electoral-advice/archive/ questions/replies/699408090</w:t>
      </w:r>
      <w:r w:rsidRPr="0071006D">
        <w:rPr>
          <w:rFonts w:asciiTheme="majorHAnsi" w:hAnsiTheme="majorHAnsi" w:cstheme="majorHAnsi"/>
          <w:sz w:val="18"/>
          <w:szCs w:val="18"/>
        </w:rPr>
        <w:t xml:space="preserve"> </w:t>
      </w:r>
      <w:r w:rsidRPr="0071006D">
        <w:rPr>
          <w:rFonts w:asciiTheme="majorHAnsi" w:hAnsiTheme="majorHAnsi" w:cstheme="majorHAnsi"/>
          <w:sz w:val="18"/>
          <w:szCs w:val="18"/>
          <w:lang w:val="ka-GE"/>
        </w:rPr>
        <w:t xml:space="preserve"> </w:t>
      </w:r>
    </w:p>
  </w:footnote>
  <w:footnote w:id="191">
    <w:p w14:paraId="75DE5EAC" w14:textId="77777777" w:rsidR="000F4173" w:rsidRPr="0071006D" w:rsidRDefault="000F4173" w:rsidP="00813F3B">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Ethnic Minority Consultation Mechanisms – Reality in Georgia and International Experience, </w:t>
      </w:r>
      <w:r w:rsidRPr="0071006D">
        <w:rPr>
          <w:rFonts w:asciiTheme="majorHAnsi" w:hAnsiTheme="majorHAnsi" w:cstheme="majorHAnsi"/>
          <w:sz w:val="18"/>
          <w:szCs w:val="18"/>
          <w:lang w:val="ka-GE"/>
        </w:rPr>
        <w:t xml:space="preserve">EMC, 2020: </w:t>
      </w:r>
      <w:hyperlink r:id="rId105" w:history="1">
        <w:r w:rsidRPr="0071006D">
          <w:rPr>
            <w:rStyle w:val="Hyperlink"/>
            <w:rFonts w:asciiTheme="majorHAnsi" w:hAnsiTheme="majorHAnsi" w:cstheme="majorHAnsi"/>
            <w:color w:val="auto"/>
            <w:sz w:val="18"/>
            <w:szCs w:val="18"/>
            <w:lang w:val="ka-GE"/>
          </w:rPr>
          <w:t>https://emc.org.ge/ka/products/etnikuri-umtsiresobebis-sakonsultatsio-mekanizmebi-realoba-sakartveloshi-da-saertashoriso-gamotsdileba</w:t>
        </w:r>
      </w:hyperlink>
      <w:r w:rsidRPr="0071006D">
        <w:rPr>
          <w:rFonts w:asciiTheme="majorHAnsi" w:hAnsiTheme="majorHAnsi" w:cstheme="majorHAnsi"/>
          <w:sz w:val="18"/>
          <w:szCs w:val="18"/>
        </w:rPr>
        <w:t xml:space="preserve"> </w:t>
      </w:r>
      <w:r w:rsidRPr="0071006D">
        <w:rPr>
          <w:rFonts w:asciiTheme="majorHAnsi" w:hAnsiTheme="majorHAnsi" w:cstheme="majorHAnsi"/>
          <w:sz w:val="18"/>
          <w:szCs w:val="18"/>
          <w:lang w:val="ka-GE"/>
        </w:rPr>
        <w:t xml:space="preserve"> </w:t>
      </w:r>
    </w:p>
  </w:footnote>
  <w:footnote w:id="192">
    <w:p w14:paraId="68A67D01" w14:textId="1E86979A"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Institute of Social Studies and Analysis (ISSA), Ethnic Minority Representation in Political lives, 2019, pg 77.</w:t>
      </w:r>
      <w:r w:rsidRPr="0071006D">
        <w:rPr>
          <w:rFonts w:asciiTheme="majorHAnsi" w:hAnsiTheme="majorHAnsi" w:cstheme="majorHAnsi"/>
          <w:sz w:val="18"/>
          <w:szCs w:val="18"/>
        </w:rPr>
        <w:t xml:space="preserve"> </w:t>
      </w:r>
    </w:p>
  </w:footnote>
  <w:footnote w:id="193">
    <w:p w14:paraId="56168F91" w14:textId="75AD9DED"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Ibid</w:t>
      </w:r>
      <w:r w:rsidRPr="0071006D">
        <w:rPr>
          <w:rFonts w:asciiTheme="majorHAnsi" w:hAnsiTheme="majorHAnsi" w:cstheme="majorHAnsi"/>
          <w:sz w:val="18"/>
          <w:szCs w:val="18"/>
          <w:lang w:val="ka-GE"/>
        </w:rPr>
        <w:t xml:space="preserve"> </w:t>
      </w:r>
    </w:p>
  </w:footnote>
  <w:footnote w:id="194">
    <w:p w14:paraId="1962F2F6" w14:textId="77777777"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Highest level of state language knowledge is among ethnic kists-22.11 point out of 25, Ossetians – 21.67, Armenians – 10.56 and Azerbaijanis 9.67.</w:t>
      </w:r>
      <w:r w:rsidRPr="0071006D">
        <w:rPr>
          <w:rFonts w:asciiTheme="majorHAnsi" w:hAnsiTheme="majorHAnsi" w:cstheme="majorHAnsi"/>
          <w:sz w:val="18"/>
          <w:szCs w:val="18"/>
        </w:rPr>
        <w:t xml:space="preserve"> </w:t>
      </w:r>
    </w:p>
  </w:footnote>
  <w:footnote w:id="195">
    <w:p w14:paraId="3A8E7F59" w14:textId="7E45F27B"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EMC Calls for Marneuli municipality to create translation services on minority languages, 2019, available at: </w:t>
      </w:r>
      <w:hyperlink r:id="rId106" w:history="1">
        <w:r w:rsidRPr="0071006D">
          <w:rPr>
            <w:rStyle w:val="Hyperlink"/>
            <w:rFonts w:asciiTheme="majorHAnsi" w:hAnsiTheme="majorHAnsi" w:cstheme="majorHAnsi"/>
            <w:color w:val="auto"/>
            <w:sz w:val="18"/>
            <w:szCs w:val="18"/>
            <w:lang w:val="ka-GE"/>
          </w:rPr>
          <w:t>https://emc.org.ge/ka/products/emc-moutsodebs-marneulis-munitsipalitets-shekmnas-umtsiresobis-enaze-targmnis-resursebi</w:t>
        </w:r>
      </w:hyperlink>
      <w:r w:rsidRPr="0071006D">
        <w:rPr>
          <w:rFonts w:asciiTheme="majorHAnsi" w:hAnsiTheme="majorHAnsi" w:cstheme="majorHAnsi"/>
          <w:sz w:val="18"/>
          <w:szCs w:val="18"/>
          <w:lang w:val="ka-GE"/>
        </w:rPr>
        <w:t xml:space="preserve"> </w:t>
      </w:r>
    </w:p>
  </w:footnote>
  <w:footnote w:id="196">
    <w:p w14:paraId="47B91308" w14:textId="540962F2"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w:t>
      </w:r>
      <w:r w:rsidRPr="0071006D">
        <w:rPr>
          <w:rFonts w:asciiTheme="majorHAnsi" w:hAnsiTheme="majorHAnsi" w:cstheme="majorHAnsi"/>
          <w:sz w:val="18"/>
          <w:szCs w:val="18"/>
          <w:lang w:val="ka-GE"/>
        </w:rPr>
        <w:t xml:space="preserve">Tabatadze and Gorgadze, Research on one-year language preparation program, 2016, available at: </w:t>
      </w:r>
      <w:hyperlink r:id="rId107" w:history="1">
        <w:r w:rsidRPr="0071006D">
          <w:rPr>
            <w:rStyle w:val="Hyperlink"/>
            <w:rFonts w:asciiTheme="majorHAnsi" w:hAnsiTheme="majorHAnsi" w:cstheme="majorHAnsi"/>
            <w:color w:val="auto"/>
            <w:sz w:val="18"/>
            <w:szCs w:val="18"/>
            <w:lang w:val="ka-GE"/>
          </w:rPr>
          <w:t>https://www.cciir.ge/images/pdf/CCIIR%20research%20document.pdf</w:t>
        </w:r>
      </w:hyperlink>
      <w:r w:rsidRPr="0071006D">
        <w:rPr>
          <w:rFonts w:asciiTheme="majorHAnsi" w:hAnsiTheme="majorHAnsi" w:cstheme="majorHAnsi"/>
          <w:sz w:val="18"/>
          <w:szCs w:val="18"/>
        </w:rPr>
        <w:t xml:space="preserve">, </w:t>
      </w:r>
      <w:r w:rsidRPr="0071006D">
        <w:rPr>
          <w:rFonts w:asciiTheme="majorHAnsi" w:hAnsiTheme="majorHAnsi" w:cstheme="majorHAnsi"/>
          <w:sz w:val="18"/>
          <w:szCs w:val="18"/>
          <w:lang w:val="ka-GE"/>
        </w:rPr>
        <w:t xml:space="preserve"> see pg 28: the percentage of school exam fails in the regions: highest numbers in the regions where minorities live (the results of non-Georgian schools): Samtskhe Javakheti (38,6%) and Kvemo Kartli (47.4%), comparing to the lowest number in Tbilisi 9.6%.</w:t>
      </w:r>
    </w:p>
  </w:footnote>
  <w:footnote w:id="197">
    <w:p w14:paraId="1E6FFBE1" w14:textId="71B39D1A"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CCIR, Policy Paper on Equal opportunities of minority school teachers, 2015. pg. 8-9-available at: </w:t>
      </w:r>
      <w:hyperlink r:id="rId108" w:history="1">
        <w:r w:rsidRPr="0071006D">
          <w:rPr>
            <w:rStyle w:val="Hyperlink"/>
            <w:rFonts w:asciiTheme="majorHAnsi" w:hAnsiTheme="majorHAnsi" w:cstheme="majorHAnsi"/>
            <w:color w:val="auto"/>
            <w:sz w:val="18"/>
            <w:szCs w:val="18"/>
            <w:lang w:val="ka-GE"/>
          </w:rPr>
          <w:t>https://cciir.ge/images/pdf/axali%20dokumenti.pdf?fbclid=IwAR2LclaCChCYpTV3oYgQO6XcLj1MPkQtRSH7ySsUH96cv8djNq6sVLLXmr4</w:t>
        </w:r>
      </w:hyperlink>
      <w:r w:rsidRPr="0071006D">
        <w:rPr>
          <w:rFonts w:asciiTheme="majorHAnsi" w:hAnsiTheme="majorHAnsi" w:cstheme="majorHAnsi"/>
          <w:sz w:val="18"/>
          <w:szCs w:val="18"/>
        </w:rPr>
        <w:t xml:space="preserve"> </w:t>
      </w:r>
    </w:p>
  </w:footnote>
  <w:footnote w:id="198">
    <w:p w14:paraId="0815C032" w14:textId="0AD100BC"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Public Defender’s 2018 report, pg 137-138. The report indicates that number of early marriages in 2017 was 835, The number of registered minor mothers in 2018 was 715 and minor fathers 23.</w:t>
      </w:r>
    </w:p>
  </w:footnote>
  <w:footnote w:id="199">
    <w:p w14:paraId="31165E9A" w14:textId="3DD7080D"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Citizenship and Secondary citizenship, Infrastructure, rights restriction, institutional and informal practices, </w:t>
      </w:r>
      <w:r w:rsidRPr="0071006D">
        <w:rPr>
          <w:rFonts w:asciiTheme="majorHAnsi" w:hAnsiTheme="majorHAnsi" w:cstheme="majorHAnsi"/>
          <w:sz w:val="18"/>
          <w:szCs w:val="18"/>
          <w:lang w:val="ka-GE"/>
        </w:rPr>
        <w:t xml:space="preserve">EMC, 2020. </w:t>
      </w:r>
      <w:hyperlink r:id="rId109" w:history="1">
        <w:r w:rsidRPr="0071006D">
          <w:rPr>
            <w:rStyle w:val="Hyperlink"/>
            <w:rFonts w:asciiTheme="majorHAnsi" w:hAnsiTheme="majorHAnsi" w:cstheme="majorHAnsi"/>
            <w:color w:val="auto"/>
            <w:sz w:val="18"/>
            <w:szCs w:val="18"/>
            <w:lang w:val="ka-GE"/>
          </w:rPr>
          <w:t>https://emc.org.ge/ka/products/mokalakeoba-da-meorekhariskhovani-mokalakeoba-uflebebis-shezghudva-infrastruktura-institutsiuri-da-araformaluri-praktikebi</w:t>
        </w:r>
      </w:hyperlink>
      <w:r w:rsidRPr="0071006D">
        <w:rPr>
          <w:rFonts w:asciiTheme="majorHAnsi" w:hAnsiTheme="majorHAnsi" w:cstheme="majorHAnsi"/>
          <w:sz w:val="18"/>
          <w:szCs w:val="18"/>
          <w:lang w:val="ka-GE"/>
        </w:rPr>
        <w:t xml:space="preserve"> </w:t>
      </w:r>
    </w:p>
  </w:footnote>
  <w:footnote w:id="200">
    <w:p w14:paraId="62B31197" w14:textId="4C9E1F51"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EMC </w:t>
      </w:r>
      <w:r w:rsidRPr="0071006D">
        <w:rPr>
          <w:rFonts w:asciiTheme="majorHAnsi" w:hAnsiTheme="majorHAnsi" w:cstheme="majorHAnsi"/>
          <w:sz w:val="18"/>
          <w:szCs w:val="18"/>
        </w:rPr>
        <w:t>calls for the government to create water supplies for the villages left without water to prevent virus expansion.</w:t>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available at: </w:t>
      </w:r>
      <w:hyperlink r:id="rId110" w:history="1">
        <w:r w:rsidRPr="0071006D">
          <w:rPr>
            <w:rStyle w:val="Hyperlink"/>
            <w:rFonts w:asciiTheme="majorHAnsi" w:hAnsiTheme="majorHAnsi" w:cstheme="majorHAnsi"/>
            <w:color w:val="auto"/>
            <w:sz w:val="18"/>
            <w:szCs w:val="18"/>
            <w:lang w:val="ka-GE"/>
          </w:rPr>
          <w:t>https://emc.org.ge/ka/products/emc-moutsodebs-khelisuflebas-virusis-preventsiistvis-uzrunvelqos-tsqlis-gareshe-darchenili-soflebis-momarageba</w:t>
        </w:r>
      </w:hyperlink>
      <w:r w:rsidRPr="0071006D">
        <w:rPr>
          <w:rFonts w:asciiTheme="majorHAnsi" w:hAnsiTheme="majorHAnsi" w:cstheme="majorHAnsi"/>
          <w:sz w:val="18"/>
          <w:szCs w:val="18"/>
          <w:lang w:val="ka-GE"/>
        </w:rPr>
        <w:t xml:space="preserve"> </w:t>
      </w:r>
    </w:p>
  </w:footnote>
  <w:footnote w:id="201">
    <w:p w14:paraId="0E3CC9CB" w14:textId="521F4C7B"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EMC research on the formation of the Pankisi Gorge as the political epicenter in the context of historical circumstances, power configurations, and dominant discourses - “Under the Security Gaze: History, Politics, and Religion in the Pankisi Gorge”, available at </w:t>
      </w:r>
      <w:hyperlink r:id="rId111" w:history="1">
        <w:r w:rsidRPr="0071006D">
          <w:rPr>
            <w:rStyle w:val="Hyperlink"/>
            <w:rFonts w:asciiTheme="majorHAnsi" w:hAnsiTheme="majorHAnsi" w:cstheme="majorHAnsi"/>
            <w:color w:val="auto"/>
            <w:sz w:val="18"/>
            <w:szCs w:val="18"/>
            <w:lang w:val="ka-GE"/>
          </w:rPr>
          <w:t>https://emc.org.ge/en/products/usafrtkhoebis-mzeris-kvesh-istoria-politika-da-religia-pankisis-kheobashi</w:t>
        </w:r>
      </w:hyperlink>
      <w:r w:rsidRPr="0071006D">
        <w:rPr>
          <w:rFonts w:asciiTheme="majorHAnsi" w:hAnsiTheme="majorHAnsi" w:cstheme="majorHAnsi"/>
          <w:sz w:val="18"/>
          <w:szCs w:val="18"/>
        </w:rPr>
        <w:t xml:space="preserve"> </w:t>
      </w:r>
    </w:p>
  </w:footnote>
  <w:footnote w:id="202">
    <w:p w14:paraId="20E57C70" w14:textId="154A4204"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Human Rights Organization's response to the use of police forces in Pankisi Gorge: </w:t>
      </w:r>
      <w:hyperlink r:id="rId112" w:history="1">
        <w:r w:rsidRPr="0071006D">
          <w:rPr>
            <w:rStyle w:val="Hyperlink"/>
            <w:rFonts w:asciiTheme="majorHAnsi" w:hAnsiTheme="majorHAnsi" w:cstheme="majorHAnsi"/>
            <w:color w:val="auto"/>
            <w:sz w:val="18"/>
            <w:szCs w:val="18"/>
            <w:lang w:val="ka-GE"/>
          </w:rPr>
          <w:t>https://emc.org.ge/en/products/adamianis-uflebebze-momushave-organizatsiebi-ekhmianebian-pankisis-kheobashi-sapolitsio-dzalis-gamoqenebas</w:t>
        </w:r>
      </w:hyperlink>
      <w:r w:rsidRPr="0071006D">
        <w:rPr>
          <w:rFonts w:asciiTheme="majorHAnsi" w:hAnsiTheme="majorHAnsi" w:cstheme="majorHAnsi"/>
          <w:sz w:val="18"/>
          <w:szCs w:val="18"/>
        </w:rPr>
        <w:t xml:space="preserve">; </w:t>
      </w:r>
      <w:r w:rsidRPr="0071006D">
        <w:rPr>
          <w:rFonts w:asciiTheme="majorHAnsi" w:hAnsiTheme="majorHAnsi" w:cstheme="majorHAnsi"/>
          <w:sz w:val="18"/>
          <w:szCs w:val="18"/>
          <w:lang w:val="ka-GE"/>
        </w:rPr>
        <w:t xml:space="preserve"> </w:t>
      </w:r>
    </w:p>
  </w:footnote>
  <w:footnote w:id="203">
    <w:p w14:paraId="773E4296" w14:textId="0836690B"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EMC </w:t>
      </w:r>
      <w:r w:rsidRPr="0071006D">
        <w:rPr>
          <w:rFonts w:asciiTheme="majorHAnsi" w:hAnsiTheme="majorHAnsi" w:cstheme="majorHAnsi"/>
          <w:sz w:val="18"/>
          <w:szCs w:val="18"/>
        </w:rPr>
        <w:t>asks from police to strengthen human rights oriented work in Bolnisi and Marneuli</w:t>
      </w:r>
      <w:r w:rsidRPr="0071006D">
        <w:rPr>
          <w:rFonts w:asciiTheme="majorHAnsi" w:hAnsiTheme="majorHAnsi" w:cstheme="majorHAnsi"/>
          <w:sz w:val="18"/>
          <w:szCs w:val="18"/>
          <w:lang w:val="ka-GE"/>
        </w:rPr>
        <w:t xml:space="preserve">, 2020, </w:t>
      </w:r>
      <w:hyperlink r:id="rId113" w:history="1">
        <w:r w:rsidRPr="0071006D">
          <w:rPr>
            <w:rStyle w:val="Hyperlink"/>
            <w:rFonts w:asciiTheme="majorHAnsi" w:hAnsiTheme="majorHAnsi" w:cstheme="majorHAnsi"/>
            <w:color w:val="auto"/>
            <w:sz w:val="18"/>
            <w:szCs w:val="18"/>
            <w:lang w:val="ka-GE"/>
          </w:rPr>
          <w:t>https://emc.org.ge/ka/products/emc-bolnissa-da-marneulshi-politsias-temze-da-adamianis-uflebebze-orientirenuli-mushaobis-gadzlierebisken-moutsodebs</w:t>
        </w:r>
      </w:hyperlink>
      <w:r w:rsidRPr="0071006D">
        <w:rPr>
          <w:rFonts w:asciiTheme="majorHAnsi" w:hAnsiTheme="majorHAnsi" w:cstheme="majorHAnsi"/>
          <w:sz w:val="18"/>
          <w:szCs w:val="18"/>
          <w:lang w:val="ka-GE"/>
        </w:rPr>
        <w:t xml:space="preserve"> </w:t>
      </w:r>
    </w:p>
  </w:footnote>
  <w:footnote w:id="204">
    <w:p w14:paraId="161B05A3" w14:textId="6B0937B2"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proofErr w:type="spellStart"/>
      <w:r w:rsidRPr="0071006D">
        <w:rPr>
          <w:rFonts w:asciiTheme="majorHAnsi" w:hAnsiTheme="majorHAnsi" w:cstheme="majorHAnsi"/>
          <w:sz w:val="18"/>
          <w:szCs w:val="18"/>
        </w:rPr>
        <w:t>Dmanisoba</w:t>
      </w:r>
      <w:proofErr w:type="spellEnd"/>
      <w:r w:rsidRPr="0071006D">
        <w:rPr>
          <w:rFonts w:asciiTheme="majorHAnsi" w:hAnsiTheme="majorHAnsi" w:cstheme="majorHAnsi"/>
          <w:sz w:val="18"/>
          <w:szCs w:val="18"/>
        </w:rPr>
        <w:t xml:space="preserve">, the re-written celebration, EMC, </w:t>
      </w:r>
      <w:r w:rsidRPr="0071006D">
        <w:rPr>
          <w:rFonts w:asciiTheme="majorHAnsi" w:hAnsiTheme="majorHAnsi" w:cstheme="majorHAnsi"/>
          <w:sz w:val="18"/>
          <w:szCs w:val="18"/>
          <w:lang w:val="ka-GE"/>
        </w:rPr>
        <w:t xml:space="preserve">2019.  </w:t>
      </w:r>
      <w:hyperlink r:id="rId114" w:history="1">
        <w:r w:rsidRPr="0071006D">
          <w:rPr>
            <w:rStyle w:val="Hyperlink"/>
            <w:rFonts w:asciiTheme="majorHAnsi" w:hAnsiTheme="majorHAnsi" w:cstheme="majorHAnsi"/>
            <w:color w:val="auto"/>
            <w:sz w:val="18"/>
            <w:szCs w:val="18"/>
            <w:lang w:val="ka-GE"/>
          </w:rPr>
          <w:t>https://emc.org.ge/ka/products/dmanisoba-gadatserili-dghesastsauli-da-kulturuli-dominatsiis-mekanizmi</w:t>
        </w:r>
      </w:hyperlink>
      <w:r w:rsidRPr="0071006D">
        <w:rPr>
          <w:rFonts w:asciiTheme="majorHAnsi" w:hAnsiTheme="majorHAnsi" w:cstheme="majorHAnsi"/>
          <w:sz w:val="18"/>
          <w:szCs w:val="18"/>
          <w:lang w:val="ka-GE"/>
        </w:rPr>
        <w:t xml:space="preserve"> </w:t>
      </w:r>
    </w:p>
  </w:footnote>
  <w:footnote w:id="205">
    <w:p w14:paraId="314F1CDA" w14:textId="4CC64857"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EMC, Assessment of Marneuli Culture Center activities, 2019, at:  </w:t>
      </w:r>
      <w:hyperlink r:id="rId115" w:history="1">
        <w:r w:rsidRPr="0071006D">
          <w:rPr>
            <w:rStyle w:val="Hyperlink"/>
            <w:rFonts w:asciiTheme="majorHAnsi" w:hAnsiTheme="majorHAnsi" w:cstheme="majorHAnsi"/>
            <w:color w:val="auto"/>
            <w:sz w:val="18"/>
            <w:szCs w:val="18"/>
          </w:rPr>
          <w:t>https://emc.org.ge/ka/products/marneulis-kulturis-tsentris-politikis-shefaseba</w:t>
        </w:r>
      </w:hyperlink>
      <w:r w:rsidRPr="0071006D">
        <w:rPr>
          <w:rFonts w:asciiTheme="majorHAnsi" w:hAnsiTheme="majorHAnsi" w:cstheme="majorHAnsi"/>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A03FC"/>
    <w:multiLevelType w:val="hybridMultilevel"/>
    <w:tmpl w:val="5168628C"/>
    <w:lvl w:ilvl="0" w:tplc="6D200822">
      <w:start w:val="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6F19AC"/>
    <w:multiLevelType w:val="hybridMultilevel"/>
    <w:tmpl w:val="39B2E9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57C11"/>
    <w:multiLevelType w:val="hybridMultilevel"/>
    <w:tmpl w:val="D2EAF7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C95A69"/>
    <w:multiLevelType w:val="hybridMultilevel"/>
    <w:tmpl w:val="8842D660"/>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B773A2"/>
    <w:multiLevelType w:val="hybridMultilevel"/>
    <w:tmpl w:val="E07C9CE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8F11E6"/>
    <w:multiLevelType w:val="hybridMultilevel"/>
    <w:tmpl w:val="8D44D8B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FA66DF"/>
    <w:multiLevelType w:val="hybridMultilevel"/>
    <w:tmpl w:val="C622BC66"/>
    <w:lvl w:ilvl="0" w:tplc="3B86D37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65AF3"/>
    <w:multiLevelType w:val="hybridMultilevel"/>
    <w:tmpl w:val="B7F0E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9E5355"/>
    <w:multiLevelType w:val="hybridMultilevel"/>
    <w:tmpl w:val="19E857E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BD65B5"/>
    <w:multiLevelType w:val="hybridMultilevel"/>
    <w:tmpl w:val="14B2476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FD684F"/>
    <w:multiLevelType w:val="hybridMultilevel"/>
    <w:tmpl w:val="B788560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643664"/>
    <w:multiLevelType w:val="hybridMultilevel"/>
    <w:tmpl w:val="B5E46A8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0957F7"/>
    <w:multiLevelType w:val="hybridMultilevel"/>
    <w:tmpl w:val="AEBE294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274DE8"/>
    <w:multiLevelType w:val="hybridMultilevel"/>
    <w:tmpl w:val="E6701A2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4382DD9"/>
    <w:multiLevelType w:val="hybridMultilevel"/>
    <w:tmpl w:val="2702E56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9B160B"/>
    <w:multiLevelType w:val="hybridMultilevel"/>
    <w:tmpl w:val="1DD038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65D0A03"/>
    <w:multiLevelType w:val="hybridMultilevel"/>
    <w:tmpl w:val="B7F0E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516C0C"/>
    <w:multiLevelType w:val="hybridMultilevel"/>
    <w:tmpl w:val="CA5A80A8"/>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3206CE"/>
    <w:multiLevelType w:val="hybridMultilevel"/>
    <w:tmpl w:val="0DA4A958"/>
    <w:lvl w:ilvl="0" w:tplc="8640B4F0">
      <w:numFmt w:val="bullet"/>
      <w:lvlText w:val="-"/>
      <w:lvlJc w:val="left"/>
      <w:pPr>
        <w:ind w:left="360" w:hanging="360"/>
      </w:pPr>
      <w:rPr>
        <w:rFonts w:ascii="Sylfaen" w:eastAsia="Calibri" w:hAnsi="Sylfae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AE42846"/>
    <w:multiLevelType w:val="hybridMultilevel"/>
    <w:tmpl w:val="60C0395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B38328F"/>
    <w:multiLevelType w:val="hybridMultilevel"/>
    <w:tmpl w:val="1B54E96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F7714D6"/>
    <w:multiLevelType w:val="hybridMultilevel"/>
    <w:tmpl w:val="3454C1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4450680"/>
    <w:multiLevelType w:val="multilevel"/>
    <w:tmpl w:val="3A6A46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3F600B8D"/>
    <w:multiLevelType w:val="hybridMultilevel"/>
    <w:tmpl w:val="9E42CF5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2D4714C"/>
    <w:multiLevelType w:val="hybridMultilevel"/>
    <w:tmpl w:val="9A620B2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44A1C69"/>
    <w:multiLevelType w:val="hybridMultilevel"/>
    <w:tmpl w:val="3CB697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C84307"/>
    <w:multiLevelType w:val="hybridMultilevel"/>
    <w:tmpl w:val="6E96127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5A6A7C"/>
    <w:multiLevelType w:val="hybridMultilevel"/>
    <w:tmpl w:val="B79422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05C76AE"/>
    <w:multiLevelType w:val="hybridMultilevel"/>
    <w:tmpl w:val="5F548D5E"/>
    <w:lvl w:ilvl="0" w:tplc="52D41888">
      <w:start w:val="14"/>
      <w:numFmt w:val="bullet"/>
      <w:lvlText w:val="-"/>
      <w:lvlJc w:val="left"/>
      <w:pPr>
        <w:ind w:left="360" w:hanging="360"/>
      </w:pPr>
      <w:rPr>
        <w:rFonts w:ascii="Sylfaen" w:eastAsia="Times New Roman" w:hAnsi="Sylfaen"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2750122"/>
    <w:multiLevelType w:val="hybridMultilevel"/>
    <w:tmpl w:val="34D8C0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49E54F4"/>
    <w:multiLevelType w:val="hybridMultilevel"/>
    <w:tmpl w:val="32AC64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4D20BE2"/>
    <w:multiLevelType w:val="hybridMultilevel"/>
    <w:tmpl w:val="39060D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5836E6"/>
    <w:multiLevelType w:val="hybridMultilevel"/>
    <w:tmpl w:val="AF6AE9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7C25178"/>
    <w:multiLevelType w:val="hybridMultilevel"/>
    <w:tmpl w:val="0218C2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7E212D2"/>
    <w:multiLevelType w:val="hybridMultilevel"/>
    <w:tmpl w:val="7DF0E3A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9CF7F41"/>
    <w:multiLevelType w:val="hybridMultilevel"/>
    <w:tmpl w:val="54E2BB0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AFE6BCD"/>
    <w:multiLevelType w:val="hybridMultilevel"/>
    <w:tmpl w:val="FB045B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B7E178F"/>
    <w:multiLevelType w:val="hybridMultilevel"/>
    <w:tmpl w:val="FE28FEE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EEC3198"/>
    <w:multiLevelType w:val="hybridMultilevel"/>
    <w:tmpl w:val="5704B3BE"/>
    <w:lvl w:ilvl="0" w:tplc="982AF3B6">
      <w:start w:val="2019"/>
      <w:numFmt w:val="bullet"/>
      <w:lvlText w:val="-"/>
      <w:lvlJc w:val="left"/>
      <w:pPr>
        <w:ind w:left="720" w:hanging="360"/>
      </w:pPr>
      <w:rPr>
        <w:rFonts w:ascii="Sylfaen" w:eastAsia="Times New Roman" w:hAnsi="Sylfaen"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946409"/>
    <w:multiLevelType w:val="hybridMultilevel"/>
    <w:tmpl w:val="F710C1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441340B"/>
    <w:multiLevelType w:val="hybridMultilevel"/>
    <w:tmpl w:val="775443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68B75F7"/>
    <w:multiLevelType w:val="hybridMultilevel"/>
    <w:tmpl w:val="D180A1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36"/>
  </w:num>
  <w:num w:numId="3">
    <w:abstractNumId w:val="33"/>
  </w:num>
  <w:num w:numId="4">
    <w:abstractNumId w:val="20"/>
  </w:num>
  <w:num w:numId="5">
    <w:abstractNumId w:val="4"/>
  </w:num>
  <w:num w:numId="6">
    <w:abstractNumId w:val="15"/>
  </w:num>
  <w:num w:numId="7">
    <w:abstractNumId w:val="37"/>
  </w:num>
  <w:num w:numId="8">
    <w:abstractNumId w:val="39"/>
  </w:num>
  <w:num w:numId="9">
    <w:abstractNumId w:val="35"/>
  </w:num>
  <w:num w:numId="10">
    <w:abstractNumId w:val="34"/>
  </w:num>
  <w:num w:numId="11">
    <w:abstractNumId w:val="18"/>
  </w:num>
  <w:num w:numId="12">
    <w:abstractNumId w:val="41"/>
  </w:num>
  <w:num w:numId="13">
    <w:abstractNumId w:val="13"/>
  </w:num>
  <w:num w:numId="14">
    <w:abstractNumId w:val="7"/>
  </w:num>
  <w:num w:numId="15">
    <w:abstractNumId w:val="6"/>
  </w:num>
  <w:num w:numId="16">
    <w:abstractNumId w:val="25"/>
  </w:num>
  <w:num w:numId="17">
    <w:abstractNumId w:val="9"/>
  </w:num>
  <w:num w:numId="18">
    <w:abstractNumId w:val="3"/>
  </w:num>
  <w:num w:numId="19">
    <w:abstractNumId w:val="17"/>
  </w:num>
  <w:num w:numId="20">
    <w:abstractNumId w:val="40"/>
  </w:num>
  <w:num w:numId="21">
    <w:abstractNumId w:val="1"/>
  </w:num>
  <w:num w:numId="22">
    <w:abstractNumId w:val="19"/>
  </w:num>
  <w:num w:numId="23">
    <w:abstractNumId w:val="27"/>
  </w:num>
  <w:num w:numId="24">
    <w:abstractNumId w:val="32"/>
  </w:num>
  <w:num w:numId="25">
    <w:abstractNumId w:val="11"/>
  </w:num>
  <w:num w:numId="26">
    <w:abstractNumId w:val="38"/>
  </w:num>
  <w:num w:numId="27">
    <w:abstractNumId w:val="28"/>
  </w:num>
  <w:num w:numId="28">
    <w:abstractNumId w:val="22"/>
  </w:num>
  <w:num w:numId="29">
    <w:abstractNumId w:val="31"/>
  </w:num>
  <w:num w:numId="30">
    <w:abstractNumId w:val="26"/>
  </w:num>
  <w:num w:numId="31">
    <w:abstractNumId w:val="23"/>
  </w:num>
  <w:num w:numId="32">
    <w:abstractNumId w:val="5"/>
  </w:num>
  <w:num w:numId="33">
    <w:abstractNumId w:val="8"/>
  </w:num>
  <w:num w:numId="34">
    <w:abstractNumId w:val="14"/>
  </w:num>
  <w:num w:numId="35">
    <w:abstractNumId w:val="10"/>
  </w:num>
  <w:num w:numId="36">
    <w:abstractNumId w:val="12"/>
  </w:num>
  <w:num w:numId="37">
    <w:abstractNumId w:val="24"/>
  </w:num>
  <w:num w:numId="38">
    <w:abstractNumId w:val="2"/>
  </w:num>
  <w:num w:numId="39">
    <w:abstractNumId w:val="30"/>
  </w:num>
  <w:num w:numId="40">
    <w:abstractNumId w:val="29"/>
  </w:num>
  <w:num w:numId="41">
    <w:abstractNumId w:val="0"/>
  </w:num>
  <w:num w:numId="42">
    <w:abstractNumId w:val="1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766"/>
    <w:rsid w:val="00000118"/>
    <w:rsid w:val="000005D1"/>
    <w:rsid w:val="000051FD"/>
    <w:rsid w:val="000055F2"/>
    <w:rsid w:val="0000601B"/>
    <w:rsid w:val="0000645C"/>
    <w:rsid w:val="00010818"/>
    <w:rsid w:val="00013ACD"/>
    <w:rsid w:val="000159D3"/>
    <w:rsid w:val="000204C6"/>
    <w:rsid w:val="00021568"/>
    <w:rsid w:val="0002652B"/>
    <w:rsid w:val="0002799A"/>
    <w:rsid w:val="0003180B"/>
    <w:rsid w:val="00032493"/>
    <w:rsid w:val="00032E5C"/>
    <w:rsid w:val="00035940"/>
    <w:rsid w:val="00035EFD"/>
    <w:rsid w:val="00035F04"/>
    <w:rsid w:val="00044920"/>
    <w:rsid w:val="00052B48"/>
    <w:rsid w:val="00053AD3"/>
    <w:rsid w:val="00055BE4"/>
    <w:rsid w:val="000567EA"/>
    <w:rsid w:val="00057557"/>
    <w:rsid w:val="00062512"/>
    <w:rsid w:val="000642CC"/>
    <w:rsid w:val="000647B9"/>
    <w:rsid w:val="00064C8B"/>
    <w:rsid w:val="00064EEC"/>
    <w:rsid w:val="000727C9"/>
    <w:rsid w:val="00081EE2"/>
    <w:rsid w:val="00081F6C"/>
    <w:rsid w:val="00083106"/>
    <w:rsid w:val="00083846"/>
    <w:rsid w:val="00085E60"/>
    <w:rsid w:val="00087589"/>
    <w:rsid w:val="00087FE3"/>
    <w:rsid w:val="00091158"/>
    <w:rsid w:val="00092C74"/>
    <w:rsid w:val="00095BB1"/>
    <w:rsid w:val="000A0C72"/>
    <w:rsid w:val="000A4CA7"/>
    <w:rsid w:val="000A5BB9"/>
    <w:rsid w:val="000A659B"/>
    <w:rsid w:val="000B43AF"/>
    <w:rsid w:val="000B6DA9"/>
    <w:rsid w:val="000C18ED"/>
    <w:rsid w:val="000C1EC4"/>
    <w:rsid w:val="000C4C8A"/>
    <w:rsid w:val="000C6D0E"/>
    <w:rsid w:val="000D37F6"/>
    <w:rsid w:val="000D4940"/>
    <w:rsid w:val="000D4EDC"/>
    <w:rsid w:val="000E431C"/>
    <w:rsid w:val="000F27D7"/>
    <w:rsid w:val="000F4173"/>
    <w:rsid w:val="000F46CE"/>
    <w:rsid w:val="00114022"/>
    <w:rsid w:val="00117390"/>
    <w:rsid w:val="00120D0F"/>
    <w:rsid w:val="00136C1A"/>
    <w:rsid w:val="00137BC0"/>
    <w:rsid w:val="00137D52"/>
    <w:rsid w:val="00150AC1"/>
    <w:rsid w:val="00153366"/>
    <w:rsid w:val="0015381E"/>
    <w:rsid w:val="00157C28"/>
    <w:rsid w:val="001648B9"/>
    <w:rsid w:val="001653FD"/>
    <w:rsid w:val="00166974"/>
    <w:rsid w:val="00167AB7"/>
    <w:rsid w:val="00175623"/>
    <w:rsid w:val="00176DDD"/>
    <w:rsid w:val="00177C90"/>
    <w:rsid w:val="001877B5"/>
    <w:rsid w:val="00193E80"/>
    <w:rsid w:val="001A0289"/>
    <w:rsid w:val="001A29B1"/>
    <w:rsid w:val="001A5EB0"/>
    <w:rsid w:val="001A6ED6"/>
    <w:rsid w:val="001B1361"/>
    <w:rsid w:val="001B38F1"/>
    <w:rsid w:val="001B5B18"/>
    <w:rsid w:val="001B7B1B"/>
    <w:rsid w:val="001C1023"/>
    <w:rsid w:val="001C2525"/>
    <w:rsid w:val="001C2D65"/>
    <w:rsid w:val="001C66B2"/>
    <w:rsid w:val="001C750F"/>
    <w:rsid w:val="001D29BD"/>
    <w:rsid w:val="001D2B66"/>
    <w:rsid w:val="001D72ED"/>
    <w:rsid w:val="001E3CB5"/>
    <w:rsid w:val="001E462B"/>
    <w:rsid w:val="001E4D4A"/>
    <w:rsid w:val="001E7218"/>
    <w:rsid w:val="001E7AC6"/>
    <w:rsid w:val="001F23E3"/>
    <w:rsid w:val="001F2FEF"/>
    <w:rsid w:val="001F4554"/>
    <w:rsid w:val="0020263C"/>
    <w:rsid w:val="00205766"/>
    <w:rsid w:val="00210394"/>
    <w:rsid w:val="002122C8"/>
    <w:rsid w:val="0022025E"/>
    <w:rsid w:val="00220FD9"/>
    <w:rsid w:val="00221F3E"/>
    <w:rsid w:val="00222E8B"/>
    <w:rsid w:val="0022556D"/>
    <w:rsid w:val="002259AD"/>
    <w:rsid w:val="002266C2"/>
    <w:rsid w:val="002274A7"/>
    <w:rsid w:val="00233413"/>
    <w:rsid w:val="0023502D"/>
    <w:rsid w:val="0024027F"/>
    <w:rsid w:val="00241FA7"/>
    <w:rsid w:val="002460DB"/>
    <w:rsid w:val="00247338"/>
    <w:rsid w:val="00253412"/>
    <w:rsid w:val="00256F01"/>
    <w:rsid w:val="002634AA"/>
    <w:rsid w:val="00263CDA"/>
    <w:rsid w:val="00263E38"/>
    <w:rsid w:val="002647E8"/>
    <w:rsid w:val="002665F3"/>
    <w:rsid w:val="00273B96"/>
    <w:rsid w:val="00275173"/>
    <w:rsid w:val="00280296"/>
    <w:rsid w:val="00280A65"/>
    <w:rsid w:val="00291BDA"/>
    <w:rsid w:val="002926F0"/>
    <w:rsid w:val="00292846"/>
    <w:rsid w:val="00294ACF"/>
    <w:rsid w:val="002959AD"/>
    <w:rsid w:val="00297130"/>
    <w:rsid w:val="002A0A58"/>
    <w:rsid w:val="002A3A13"/>
    <w:rsid w:val="002A7AC6"/>
    <w:rsid w:val="002B0E7A"/>
    <w:rsid w:val="002B10A5"/>
    <w:rsid w:val="002B4140"/>
    <w:rsid w:val="002C171F"/>
    <w:rsid w:val="002C36DB"/>
    <w:rsid w:val="002C3D32"/>
    <w:rsid w:val="002C5043"/>
    <w:rsid w:val="002D5DC1"/>
    <w:rsid w:val="002D6B09"/>
    <w:rsid w:val="002E49B4"/>
    <w:rsid w:val="002F3281"/>
    <w:rsid w:val="002F3B5B"/>
    <w:rsid w:val="0030120F"/>
    <w:rsid w:val="00301C22"/>
    <w:rsid w:val="00305269"/>
    <w:rsid w:val="00305BDB"/>
    <w:rsid w:val="003071A0"/>
    <w:rsid w:val="00314C09"/>
    <w:rsid w:val="00317ADC"/>
    <w:rsid w:val="00317E04"/>
    <w:rsid w:val="0032771A"/>
    <w:rsid w:val="0033671C"/>
    <w:rsid w:val="00340700"/>
    <w:rsid w:val="00340E64"/>
    <w:rsid w:val="003477EB"/>
    <w:rsid w:val="0035221B"/>
    <w:rsid w:val="003533F0"/>
    <w:rsid w:val="0035401A"/>
    <w:rsid w:val="00355B46"/>
    <w:rsid w:val="003605F2"/>
    <w:rsid w:val="00361A4D"/>
    <w:rsid w:val="00365628"/>
    <w:rsid w:val="003661BC"/>
    <w:rsid w:val="00366767"/>
    <w:rsid w:val="00366AFF"/>
    <w:rsid w:val="003752FD"/>
    <w:rsid w:val="00381840"/>
    <w:rsid w:val="003864AC"/>
    <w:rsid w:val="00387068"/>
    <w:rsid w:val="003879D0"/>
    <w:rsid w:val="00394862"/>
    <w:rsid w:val="003966E1"/>
    <w:rsid w:val="003A07B4"/>
    <w:rsid w:val="003A668A"/>
    <w:rsid w:val="003A79BA"/>
    <w:rsid w:val="003B2C29"/>
    <w:rsid w:val="003B481F"/>
    <w:rsid w:val="003B68C5"/>
    <w:rsid w:val="003C3BE9"/>
    <w:rsid w:val="003D0AD8"/>
    <w:rsid w:val="003D3E17"/>
    <w:rsid w:val="003D6429"/>
    <w:rsid w:val="003E0673"/>
    <w:rsid w:val="003E4E1F"/>
    <w:rsid w:val="003E6A73"/>
    <w:rsid w:val="003F4441"/>
    <w:rsid w:val="003F4B4D"/>
    <w:rsid w:val="003F66BA"/>
    <w:rsid w:val="003F7745"/>
    <w:rsid w:val="004051AA"/>
    <w:rsid w:val="00405660"/>
    <w:rsid w:val="0041275F"/>
    <w:rsid w:val="00416B41"/>
    <w:rsid w:val="00416D2B"/>
    <w:rsid w:val="00417A56"/>
    <w:rsid w:val="00424D31"/>
    <w:rsid w:val="00425AE5"/>
    <w:rsid w:val="00427A2B"/>
    <w:rsid w:val="00427AC4"/>
    <w:rsid w:val="00430E56"/>
    <w:rsid w:val="004318CD"/>
    <w:rsid w:val="00437044"/>
    <w:rsid w:val="004428A9"/>
    <w:rsid w:val="00445A3D"/>
    <w:rsid w:val="00457DC5"/>
    <w:rsid w:val="004712D2"/>
    <w:rsid w:val="00472555"/>
    <w:rsid w:val="00476222"/>
    <w:rsid w:val="00476F56"/>
    <w:rsid w:val="00477BC8"/>
    <w:rsid w:val="00482A56"/>
    <w:rsid w:val="00484FF5"/>
    <w:rsid w:val="00490125"/>
    <w:rsid w:val="00494692"/>
    <w:rsid w:val="00497802"/>
    <w:rsid w:val="004A1DC4"/>
    <w:rsid w:val="004A2AC8"/>
    <w:rsid w:val="004A4D4E"/>
    <w:rsid w:val="004A55BB"/>
    <w:rsid w:val="004B0800"/>
    <w:rsid w:val="004B164F"/>
    <w:rsid w:val="004B17B7"/>
    <w:rsid w:val="004B4077"/>
    <w:rsid w:val="004C58A9"/>
    <w:rsid w:val="004C5AAD"/>
    <w:rsid w:val="004C60DE"/>
    <w:rsid w:val="004C667D"/>
    <w:rsid w:val="004D1FF9"/>
    <w:rsid w:val="004D5D48"/>
    <w:rsid w:val="004D6548"/>
    <w:rsid w:val="004D7BEA"/>
    <w:rsid w:val="004E2D12"/>
    <w:rsid w:val="004E5DD9"/>
    <w:rsid w:val="004F340E"/>
    <w:rsid w:val="004F42C0"/>
    <w:rsid w:val="004F4CD0"/>
    <w:rsid w:val="004F7071"/>
    <w:rsid w:val="0050166D"/>
    <w:rsid w:val="0050331A"/>
    <w:rsid w:val="00503733"/>
    <w:rsid w:val="0050531B"/>
    <w:rsid w:val="00507BCD"/>
    <w:rsid w:val="00514D77"/>
    <w:rsid w:val="00514E49"/>
    <w:rsid w:val="00516AEE"/>
    <w:rsid w:val="005216DD"/>
    <w:rsid w:val="00521CB3"/>
    <w:rsid w:val="00522998"/>
    <w:rsid w:val="0053018F"/>
    <w:rsid w:val="00534B6B"/>
    <w:rsid w:val="005414FE"/>
    <w:rsid w:val="00541C6F"/>
    <w:rsid w:val="0054621F"/>
    <w:rsid w:val="005467ED"/>
    <w:rsid w:val="00547DF0"/>
    <w:rsid w:val="00551C4C"/>
    <w:rsid w:val="00551EDC"/>
    <w:rsid w:val="00560CBB"/>
    <w:rsid w:val="00562D76"/>
    <w:rsid w:val="005641EA"/>
    <w:rsid w:val="005713A9"/>
    <w:rsid w:val="00573595"/>
    <w:rsid w:val="00574ABA"/>
    <w:rsid w:val="005838CC"/>
    <w:rsid w:val="00593B48"/>
    <w:rsid w:val="005A1951"/>
    <w:rsid w:val="005A3045"/>
    <w:rsid w:val="005A3CE4"/>
    <w:rsid w:val="005A4BA3"/>
    <w:rsid w:val="005B5FFB"/>
    <w:rsid w:val="005B741E"/>
    <w:rsid w:val="005C1EA8"/>
    <w:rsid w:val="005C1EFB"/>
    <w:rsid w:val="005C3EDD"/>
    <w:rsid w:val="005D0CDA"/>
    <w:rsid w:val="005D1084"/>
    <w:rsid w:val="005D2405"/>
    <w:rsid w:val="005D426A"/>
    <w:rsid w:val="005D7889"/>
    <w:rsid w:val="005E4544"/>
    <w:rsid w:val="005F4613"/>
    <w:rsid w:val="005F5BB2"/>
    <w:rsid w:val="00600D43"/>
    <w:rsid w:val="006012CE"/>
    <w:rsid w:val="00605993"/>
    <w:rsid w:val="0061029F"/>
    <w:rsid w:val="00610C16"/>
    <w:rsid w:val="00612B00"/>
    <w:rsid w:val="0061499B"/>
    <w:rsid w:val="00623873"/>
    <w:rsid w:val="00630E4B"/>
    <w:rsid w:val="00631CC2"/>
    <w:rsid w:val="006331BA"/>
    <w:rsid w:val="00633521"/>
    <w:rsid w:val="00636398"/>
    <w:rsid w:val="0063748F"/>
    <w:rsid w:val="006500CA"/>
    <w:rsid w:val="00651EC7"/>
    <w:rsid w:val="006619C5"/>
    <w:rsid w:val="00662C66"/>
    <w:rsid w:val="006634D5"/>
    <w:rsid w:val="00664558"/>
    <w:rsid w:val="006653E2"/>
    <w:rsid w:val="00675596"/>
    <w:rsid w:val="00685AC2"/>
    <w:rsid w:val="006875AA"/>
    <w:rsid w:val="00690010"/>
    <w:rsid w:val="00693E46"/>
    <w:rsid w:val="00693F60"/>
    <w:rsid w:val="006A09A1"/>
    <w:rsid w:val="006A4F12"/>
    <w:rsid w:val="006A54B3"/>
    <w:rsid w:val="006A68A1"/>
    <w:rsid w:val="006A7D0D"/>
    <w:rsid w:val="006B008B"/>
    <w:rsid w:val="006B62D8"/>
    <w:rsid w:val="006B796F"/>
    <w:rsid w:val="006C0B4C"/>
    <w:rsid w:val="006C1F77"/>
    <w:rsid w:val="006C2656"/>
    <w:rsid w:val="006C6C6F"/>
    <w:rsid w:val="006C743C"/>
    <w:rsid w:val="006C7B08"/>
    <w:rsid w:val="006D0DF3"/>
    <w:rsid w:val="006D1489"/>
    <w:rsid w:val="006D4451"/>
    <w:rsid w:val="006E0C6B"/>
    <w:rsid w:val="006E26B9"/>
    <w:rsid w:val="006E2ED1"/>
    <w:rsid w:val="006E3209"/>
    <w:rsid w:val="006E6A3B"/>
    <w:rsid w:val="006F1F62"/>
    <w:rsid w:val="006F2548"/>
    <w:rsid w:val="006F3DA3"/>
    <w:rsid w:val="006F74FB"/>
    <w:rsid w:val="006F7C0F"/>
    <w:rsid w:val="006F7ED1"/>
    <w:rsid w:val="007012E8"/>
    <w:rsid w:val="00703E03"/>
    <w:rsid w:val="00705703"/>
    <w:rsid w:val="0071006D"/>
    <w:rsid w:val="00715D56"/>
    <w:rsid w:val="00715ECA"/>
    <w:rsid w:val="007164FA"/>
    <w:rsid w:val="0072047F"/>
    <w:rsid w:val="00724C7B"/>
    <w:rsid w:val="0072505B"/>
    <w:rsid w:val="00725B13"/>
    <w:rsid w:val="00726155"/>
    <w:rsid w:val="00727323"/>
    <w:rsid w:val="0074025F"/>
    <w:rsid w:val="0074212B"/>
    <w:rsid w:val="00743418"/>
    <w:rsid w:val="00747D33"/>
    <w:rsid w:val="00761FD2"/>
    <w:rsid w:val="007710F4"/>
    <w:rsid w:val="007758D0"/>
    <w:rsid w:val="00777BC0"/>
    <w:rsid w:val="00780D5B"/>
    <w:rsid w:val="00781675"/>
    <w:rsid w:val="00781748"/>
    <w:rsid w:val="007818F9"/>
    <w:rsid w:val="00784AE9"/>
    <w:rsid w:val="007859F1"/>
    <w:rsid w:val="007918A6"/>
    <w:rsid w:val="00793FC4"/>
    <w:rsid w:val="00796270"/>
    <w:rsid w:val="007A0608"/>
    <w:rsid w:val="007A19AB"/>
    <w:rsid w:val="007A1EE0"/>
    <w:rsid w:val="007A5438"/>
    <w:rsid w:val="007A647A"/>
    <w:rsid w:val="007B0D30"/>
    <w:rsid w:val="007B122C"/>
    <w:rsid w:val="007C5207"/>
    <w:rsid w:val="007C6E99"/>
    <w:rsid w:val="007C7404"/>
    <w:rsid w:val="007D16E6"/>
    <w:rsid w:val="007D476A"/>
    <w:rsid w:val="007D4EBF"/>
    <w:rsid w:val="007E03CF"/>
    <w:rsid w:val="007E05AC"/>
    <w:rsid w:val="007F2A10"/>
    <w:rsid w:val="007F2F51"/>
    <w:rsid w:val="007F343D"/>
    <w:rsid w:val="0080370D"/>
    <w:rsid w:val="00806399"/>
    <w:rsid w:val="008070AA"/>
    <w:rsid w:val="00810401"/>
    <w:rsid w:val="0081116E"/>
    <w:rsid w:val="00813F3B"/>
    <w:rsid w:val="00816116"/>
    <w:rsid w:val="008212F9"/>
    <w:rsid w:val="00821F82"/>
    <w:rsid w:val="00831E5F"/>
    <w:rsid w:val="00831EF2"/>
    <w:rsid w:val="00832860"/>
    <w:rsid w:val="00832C03"/>
    <w:rsid w:val="00837118"/>
    <w:rsid w:val="0083763F"/>
    <w:rsid w:val="00837F27"/>
    <w:rsid w:val="00844C1E"/>
    <w:rsid w:val="00844DD6"/>
    <w:rsid w:val="0085084C"/>
    <w:rsid w:val="00857E14"/>
    <w:rsid w:val="008648A5"/>
    <w:rsid w:val="00866097"/>
    <w:rsid w:val="00871AD1"/>
    <w:rsid w:val="0087397A"/>
    <w:rsid w:val="0087412F"/>
    <w:rsid w:val="00875C55"/>
    <w:rsid w:val="008762A8"/>
    <w:rsid w:val="00876B7F"/>
    <w:rsid w:val="00882889"/>
    <w:rsid w:val="00891F31"/>
    <w:rsid w:val="0089301C"/>
    <w:rsid w:val="008A0F91"/>
    <w:rsid w:val="008A70BA"/>
    <w:rsid w:val="008A7488"/>
    <w:rsid w:val="008B0C6D"/>
    <w:rsid w:val="008C2B51"/>
    <w:rsid w:val="008C7687"/>
    <w:rsid w:val="008D1DD5"/>
    <w:rsid w:val="008D28AB"/>
    <w:rsid w:val="008D40D6"/>
    <w:rsid w:val="008D6001"/>
    <w:rsid w:val="008D61B6"/>
    <w:rsid w:val="008D6526"/>
    <w:rsid w:val="008E2B0C"/>
    <w:rsid w:val="008E45DD"/>
    <w:rsid w:val="008E6E89"/>
    <w:rsid w:val="008F3B34"/>
    <w:rsid w:val="008F44ED"/>
    <w:rsid w:val="009023EF"/>
    <w:rsid w:val="00905D09"/>
    <w:rsid w:val="009131A4"/>
    <w:rsid w:val="009165C2"/>
    <w:rsid w:val="00916F30"/>
    <w:rsid w:val="0091796A"/>
    <w:rsid w:val="00920686"/>
    <w:rsid w:val="00923082"/>
    <w:rsid w:val="00923B93"/>
    <w:rsid w:val="00924ED0"/>
    <w:rsid w:val="009339F6"/>
    <w:rsid w:val="0093740D"/>
    <w:rsid w:val="009411C4"/>
    <w:rsid w:val="0094173D"/>
    <w:rsid w:val="00943857"/>
    <w:rsid w:val="009470BC"/>
    <w:rsid w:val="009530E0"/>
    <w:rsid w:val="00956AAE"/>
    <w:rsid w:val="009575D0"/>
    <w:rsid w:val="00961910"/>
    <w:rsid w:val="00962BAD"/>
    <w:rsid w:val="00962CBE"/>
    <w:rsid w:val="009638AA"/>
    <w:rsid w:val="00964509"/>
    <w:rsid w:val="00964549"/>
    <w:rsid w:val="00965D5A"/>
    <w:rsid w:val="00970472"/>
    <w:rsid w:val="00972A2A"/>
    <w:rsid w:val="009776E1"/>
    <w:rsid w:val="00981B8E"/>
    <w:rsid w:val="00981F30"/>
    <w:rsid w:val="009827EB"/>
    <w:rsid w:val="00982826"/>
    <w:rsid w:val="0098372D"/>
    <w:rsid w:val="0098574A"/>
    <w:rsid w:val="00985C2C"/>
    <w:rsid w:val="00987EE4"/>
    <w:rsid w:val="009928B0"/>
    <w:rsid w:val="00993BD4"/>
    <w:rsid w:val="009966C3"/>
    <w:rsid w:val="00996B7A"/>
    <w:rsid w:val="009A2C7F"/>
    <w:rsid w:val="009A5F4F"/>
    <w:rsid w:val="009A7AE2"/>
    <w:rsid w:val="009B5404"/>
    <w:rsid w:val="009C03B6"/>
    <w:rsid w:val="009C3374"/>
    <w:rsid w:val="009C5088"/>
    <w:rsid w:val="009C7214"/>
    <w:rsid w:val="009D1247"/>
    <w:rsid w:val="009D2D2A"/>
    <w:rsid w:val="009D35F4"/>
    <w:rsid w:val="009D5910"/>
    <w:rsid w:val="009D61FB"/>
    <w:rsid w:val="009D6BC9"/>
    <w:rsid w:val="009E0068"/>
    <w:rsid w:val="009E75CE"/>
    <w:rsid w:val="009F3BB5"/>
    <w:rsid w:val="009F3C1B"/>
    <w:rsid w:val="009F7BEC"/>
    <w:rsid w:val="00A016C2"/>
    <w:rsid w:val="00A06920"/>
    <w:rsid w:val="00A1474A"/>
    <w:rsid w:val="00A20A19"/>
    <w:rsid w:val="00A235A2"/>
    <w:rsid w:val="00A23D19"/>
    <w:rsid w:val="00A26068"/>
    <w:rsid w:val="00A31FC9"/>
    <w:rsid w:val="00A3384C"/>
    <w:rsid w:val="00A33CAA"/>
    <w:rsid w:val="00A43EF6"/>
    <w:rsid w:val="00A445A9"/>
    <w:rsid w:val="00A4592D"/>
    <w:rsid w:val="00A47044"/>
    <w:rsid w:val="00A47EE8"/>
    <w:rsid w:val="00A516DF"/>
    <w:rsid w:val="00A543DF"/>
    <w:rsid w:val="00A56F1E"/>
    <w:rsid w:val="00A6041A"/>
    <w:rsid w:val="00A6157D"/>
    <w:rsid w:val="00A64207"/>
    <w:rsid w:val="00A648B0"/>
    <w:rsid w:val="00A67369"/>
    <w:rsid w:val="00A67A82"/>
    <w:rsid w:val="00A7660C"/>
    <w:rsid w:val="00A77BAD"/>
    <w:rsid w:val="00A85A39"/>
    <w:rsid w:val="00A85CA1"/>
    <w:rsid w:val="00A926E0"/>
    <w:rsid w:val="00A92A99"/>
    <w:rsid w:val="00AA0496"/>
    <w:rsid w:val="00AA2572"/>
    <w:rsid w:val="00AA3319"/>
    <w:rsid w:val="00AA6344"/>
    <w:rsid w:val="00AB183B"/>
    <w:rsid w:val="00AB34E7"/>
    <w:rsid w:val="00AB63D1"/>
    <w:rsid w:val="00AB7B71"/>
    <w:rsid w:val="00AC213A"/>
    <w:rsid w:val="00AC3BA9"/>
    <w:rsid w:val="00AC5420"/>
    <w:rsid w:val="00AC7680"/>
    <w:rsid w:val="00AC7ACF"/>
    <w:rsid w:val="00AD48FA"/>
    <w:rsid w:val="00AD7BFA"/>
    <w:rsid w:val="00AE1501"/>
    <w:rsid w:val="00AE2BB0"/>
    <w:rsid w:val="00AE2F32"/>
    <w:rsid w:val="00AE752D"/>
    <w:rsid w:val="00AE7F9A"/>
    <w:rsid w:val="00AF1A58"/>
    <w:rsid w:val="00AF5D5B"/>
    <w:rsid w:val="00AF6CED"/>
    <w:rsid w:val="00AF75C4"/>
    <w:rsid w:val="00B00F2D"/>
    <w:rsid w:val="00B0291E"/>
    <w:rsid w:val="00B02E57"/>
    <w:rsid w:val="00B050D1"/>
    <w:rsid w:val="00B0797D"/>
    <w:rsid w:val="00B107D0"/>
    <w:rsid w:val="00B11947"/>
    <w:rsid w:val="00B11A31"/>
    <w:rsid w:val="00B11B68"/>
    <w:rsid w:val="00B12FEA"/>
    <w:rsid w:val="00B141D9"/>
    <w:rsid w:val="00B20DE4"/>
    <w:rsid w:val="00B21A33"/>
    <w:rsid w:val="00B25B59"/>
    <w:rsid w:val="00B260BA"/>
    <w:rsid w:val="00B3216C"/>
    <w:rsid w:val="00B35C91"/>
    <w:rsid w:val="00B36F72"/>
    <w:rsid w:val="00B37812"/>
    <w:rsid w:val="00B37E7F"/>
    <w:rsid w:val="00B41FE0"/>
    <w:rsid w:val="00B4321F"/>
    <w:rsid w:val="00B46A39"/>
    <w:rsid w:val="00B50FA8"/>
    <w:rsid w:val="00B608D4"/>
    <w:rsid w:val="00B61C40"/>
    <w:rsid w:val="00B6240D"/>
    <w:rsid w:val="00B64D65"/>
    <w:rsid w:val="00B6526D"/>
    <w:rsid w:val="00B655B8"/>
    <w:rsid w:val="00B665AD"/>
    <w:rsid w:val="00B73A5F"/>
    <w:rsid w:val="00B7474C"/>
    <w:rsid w:val="00B7734B"/>
    <w:rsid w:val="00B806EB"/>
    <w:rsid w:val="00B81A18"/>
    <w:rsid w:val="00B81FA8"/>
    <w:rsid w:val="00B87F85"/>
    <w:rsid w:val="00B93947"/>
    <w:rsid w:val="00B94823"/>
    <w:rsid w:val="00B954B8"/>
    <w:rsid w:val="00BA0200"/>
    <w:rsid w:val="00BA1AC9"/>
    <w:rsid w:val="00BA25C2"/>
    <w:rsid w:val="00BB32A4"/>
    <w:rsid w:val="00BB60F8"/>
    <w:rsid w:val="00BB7829"/>
    <w:rsid w:val="00BC0F88"/>
    <w:rsid w:val="00BC266A"/>
    <w:rsid w:val="00BC7342"/>
    <w:rsid w:val="00BD23E2"/>
    <w:rsid w:val="00BE09B6"/>
    <w:rsid w:val="00BF0196"/>
    <w:rsid w:val="00BF172D"/>
    <w:rsid w:val="00BF3BB1"/>
    <w:rsid w:val="00BF4B4D"/>
    <w:rsid w:val="00C02247"/>
    <w:rsid w:val="00C105C6"/>
    <w:rsid w:val="00C10653"/>
    <w:rsid w:val="00C16CF9"/>
    <w:rsid w:val="00C20740"/>
    <w:rsid w:val="00C20E9D"/>
    <w:rsid w:val="00C21B85"/>
    <w:rsid w:val="00C262F0"/>
    <w:rsid w:val="00C32645"/>
    <w:rsid w:val="00C33170"/>
    <w:rsid w:val="00C34A74"/>
    <w:rsid w:val="00C46970"/>
    <w:rsid w:val="00C47355"/>
    <w:rsid w:val="00C50E35"/>
    <w:rsid w:val="00C521B3"/>
    <w:rsid w:val="00C56861"/>
    <w:rsid w:val="00C6146E"/>
    <w:rsid w:val="00C6174F"/>
    <w:rsid w:val="00C623F6"/>
    <w:rsid w:val="00C6549B"/>
    <w:rsid w:val="00C66773"/>
    <w:rsid w:val="00C72D39"/>
    <w:rsid w:val="00C83EF4"/>
    <w:rsid w:val="00C91BFC"/>
    <w:rsid w:val="00C933B5"/>
    <w:rsid w:val="00C97CD8"/>
    <w:rsid w:val="00CA5A7B"/>
    <w:rsid w:val="00CB0933"/>
    <w:rsid w:val="00CB1574"/>
    <w:rsid w:val="00CB6EB5"/>
    <w:rsid w:val="00CB7669"/>
    <w:rsid w:val="00CC0D1A"/>
    <w:rsid w:val="00CC71E9"/>
    <w:rsid w:val="00CC7EF1"/>
    <w:rsid w:val="00CD1BA9"/>
    <w:rsid w:val="00CD1E3A"/>
    <w:rsid w:val="00CD49BE"/>
    <w:rsid w:val="00CE25F1"/>
    <w:rsid w:val="00CE3F44"/>
    <w:rsid w:val="00CE78A4"/>
    <w:rsid w:val="00CF424D"/>
    <w:rsid w:val="00CF4680"/>
    <w:rsid w:val="00D00499"/>
    <w:rsid w:val="00D03CF1"/>
    <w:rsid w:val="00D046D1"/>
    <w:rsid w:val="00D10504"/>
    <w:rsid w:val="00D11173"/>
    <w:rsid w:val="00D14EF9"/>
    <w:rsid w:val="00D155B2"/>
    <w:rsid w:val="00D211C3"/>
    <w:rsid w:val="00D22018"/>
    <w:rsid w:val="00D22372"/>
    <w:rsid w:val="00D23C47"/>
    <w:rsid w:val="00D27A14"/>
    <w:rsid w:val="00D301E1"/>
    <w:rsid w:val="00D32881"/>
    <w:rsid w:val="00D37936"/>
    <w:rsid w:val="00D4229E"/>
    <w:rsid w:val="00D43C21"/>
    <w:rsid w:val="00D64FB1"/>
    <w:rsid w:val="00D658D6"/>
    <w:rsid w:val="00D6698F"/>
    <w:rsid w:val="00D72030"/>
    <w:rsid w:val="00D756DC"/>
    <w:rsid w:val="00D76570"/>
    <w:rsid w:val="00D81C59"/>
    <w:rsid w:val="00D83814"/>
    <w:rsid w:val="00D8644B"/>
    <w:rsid w:val="00D87A99"/>
    <w:rsid w:val="00D90141"/>
    <w:rsid w:val="00D9392B"/>
    <w:rsid w:val="00D96456"/>
    <w:rsid w:val="00DA267F"/>
    <w:rsid w:val="00DA340F"/>
    <w:rsid w:val="00DA4092"/>
    <w:rsid w:val="00DA5693"/>
    <w:rsid w:val="00DB0253"/>
    <w:rsid w:val="00DB0432"/>
    <w:rsid w:val="00DB4CE3"/>
    <w:rsid w:val="00DB6724"/>
    <w:rsid w:val="00DB6BEA"/>
    <w:rsid w:val="00DC6E2D"/>
    <w:rsid w:val="00DD14F3"/>
    <w:rsid w:val="00DD5311"/>
    <w:rsid w:val="00DD65EB"/>
    <w:rsid w:val="00DE1DBE"/>
    <w:rsid w:val="00DE2C73"/>
    <w:rsid w:val="00DE7405"/>
    <w:rsid w:val="00DF45DD"/>
    <w:rsid w:val="00E01A20"/>
    <w:rsid w:val="00E04BFC"/>
    <w:rsid w:val="00E07B31"/>
    <w:rsid w:val="00E111BA"/>
    <w:rsid w:val="00E210AB"/>
    <w:rsid w:val="00E21151"/>
    <w:rsid w:val="00E22143"/>
    <w:rsid w:val="00E221FB"/>
    <w:rsid w:val="00E255C8"/>
    <w:rsid w:val="00E269B1"/>
    <w:rsid w:val="00E278D0"/>
    <w:rsid w:val="00E27FD2"/>
    <w:rsid w:val="00E33ABD"/>
    <w:rsid w:val="00E33D19"/>
    <w:rsid w:val="00E34228"/>
    <w:rsid w:val="00E37326"/>
    <w:rsid w:val="00E375FD"/>
    <w:rsid w:val="00E50DBF"/>
    <w:rsid w:val="00E51117"/>
    <w:rsid w:val="00E51340"/>
    <w:rsid w:val="00E53688"/>
    <w:rsid w:val="00E55C71"/>
    <w:rsid w:val="00E57A00"/>
    <w:rsid w:val="00E62D0D"/>
    <w:rsid w:val="00E6716C"/>
    <w:rsid w:val="00E719DF"/>
    <w:rsid w:val="00E74D1F"/>
    <w:rsid w:val="00E76065"/>
    <w:rsid w:val="00E772DB"/>
    <w:rsid w:val="00E77D35"/>
    <w:rsid w:val="00E77D7C"/>
    <w:rsid w:val="00E8242E"/>
    <w:rsid w:val="00E85600"/>
    <w:rsid w:val="00E90EB0"/>
    <w:rsid w:val="00E972C2"/>
    <w:rsid w:val="00E97E91"/>
    <w:rsid w:val="00EA16FC"/>
    <w:rsid w:val="00EA3E1E"/>
    <w:rsid w:val="00EA63B0"/>
    <w:rsid w:val="00EB00B8"/>
    <w:rsid w:val="00EB1CFE"/>
    <w:rsid w:val="00EB2A3A"/>
    <w:rsid w:val="00EB6D5B"/>
    <w:rsid w:val="00EC3E3A"/>
    <w:rsid w:val="00EC7E1D"/>
    <w:rsid w:val="00ED1680"/>
    <w:rsid w:val="00ED1CE8"/>
    <w:rsid w:val="00ED6524"/>
    <w:rsid w:val="00ED66F2"/>
    <w:rsid w:val="00ED6C87"/>
    <w:rsid w:val="00ED7756"/>
    <w:rsid w:val="00ED79BE"/>
    <w:rsid w:val="00EE317F"/>
    <w:rsid w:val="00EE533B"/>
    <w:rsid w:val="00EE6F44"/>
    <w:rsid w:val="00EF4136"/>
    <w:rsid w:val="00EF535B"/>
    <w:rsid w:val="00EF5BCA"/>
    <w:rsid w:val="00F03CD0"/>
    <w:rsid w:val="00F074E4"/>
    <w:rsid w:val="00F12A83"/>
    <w:rsid w:val="00F1355C"/>
    <w:rsid w:val="00F152A5"/>
    <w:rsid w:val="00F169A5"/>
    <w:rsid w:val="00F16F47"/>
    <w:rsid w:val="00F2125E"/>
    <w:rsid w:val="00F323AB"/>
    <w:rsid w:val="00F35463"/>
    <w:rsid w:val="00F37734"/>
    <w:rsid w:val="00F45E6E"/>
    <w:rsid w:val="00F6667F"/>
    <w:rsid w:val="00F74EA9"/>
    <w:rsid w:val="00F80225"/>
    <w:rsid w:val="00F81B19"/>
    <w:rsid w:val="00F8256D"/>
    <w:rsid w:val="00F84E02"/>
    <w:rsid w:val="00F865E6"/>
    <w:rsid w:val="00F86E43"/>
    <w:rsid w:val="00F93ED2"/>
    <w:rsid w:val="00F95449"/>
    <w:rsid w:val="00F9643E"/>
    <w:rsid w:val="00F9696F"/>
    <w:rsid w:val="00FA4C7B"/>
    <w:rsid w:val="00FA71B7"/>
    <w:rsid w:val="00FB3A91"/>
    <w:rsid w:val="00FB498A"/>
    <w:rsid w:val="00FB7BF0"/>
    <w:rsid w:val="00FE1099"/>
    <w:rsid w:val="00FE4DCA"/>
    <w:rsid w:val="00FE63F7"/>
    <w:rsid w:val="00FE6AE9"/>
    <w:rsid w:val="00FF31EB"/>
    <w:rsid w:val="00FF3429"/>
    <w:rsid w:val="00FF6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03DB5"/>
  <w15:chartTrackingRefBased/>
  <w15:docId w15:val="{7F9DE278-22A2-B148-835A-480346AD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79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D79B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15EC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37F6"/>
    <w:rPr>
      <w:color w:val="0000FF"/>
      <w:u w:val="single"/>
    </w:rPr>
  </w:style>
  <w:style w:type="paragraph" w:styleId="FootnoteText">
    <w:name w:val="footnote text"/>
    <w:aliases w:val="????? ?????? ????,Текст сноски Знак,Footnote,Footnote Text Char1,Footnote Text Char Char,Footnote Text Char1 Char Char,Footnote Text Char Char Char Char,Footnote Text Char Char1 Char,Char Char,5_G,Footnote Text Char Char1,Char Char Char,FA"/>
    <w:basedOn w:val="Normal"/>
    <w:link w:val="FootnoteTextChar"/>
    <w:uiPriority w:val="99"/>
    <w:unhideWhenUsed/>
    <w:qFormat/>
    <w:rsid w:val="00D27A14"/>
    <w:rPr>
      <w:sz w:val="20"/>
      <w:szCs w:val="20"/>
    </w:rPr>
  </w:style>
  <w:style w:type="character" w:customStyle="1" w:styleId="FootnoteTextChar">
    <w:name w:val="Footnote Text Char"/>
    <w:aliases w:val="????? ?????? ???? Char,Текст сноски Знак Char,Footnote Char,Footnote Text Char1 Char,Footnote Text Char Char Char,Footnote Text Char1 Char Char Char,Footnote Text Char Char Char Char Char,Footnote Text Char Char1 Char Char,5_G Char"/>
    <w:basedOn w:val="DefaultParagraphFont"/>
    <w:link w:val="FootnoteText"/>
    <w:uiPriority w:val="99"/>
    <w:rsid w:val="00D27A14"/>
    <w:rPr>
      <w:sz w:val="20"/>
      <w:szCs w:val="20"/>
    </w:rPr>
  </w:style>
  <w:style w:type="character" w:styleId="FootnoteReference">
    <w:name w:val="footnote reference"/>
    <w:aliases w:val="callout,Footnotes refss,Footnote number,4_G,Heading 2 Char1,Heading 2 Char1 Char Char Char,Heading 2 Char Char Char Char Char,Heading 2 Char1 Char Char Char Char Char,Heading 2 Char Char Char Char Char Char Char,ftref,Ref"/>
    <w:basedOn w:val="DefaultParagraphFont"/>
    <w:link w:val="4GCharCharChar"/>
    <w:uiPriority w:val="99"/>
    <w:unhideWhenUsed/>
    <w:qFormat/>
    <w:rsid w:val="00D27A14"/>
    <w:rPr>
      <w:vertAlign w:val="superscript"/>
    </w:rPr>
  </w:style>
  <w:style w:type="character" w:styleId="CommentReference">
    <w:name w:val="annotation reference"/>
    <w:basedOn w:val="DefaultParagraphFont"/>
    <w:uiPriority w:val="99"/>
    <w:semiHidden/>
    <w:unhideWhenUsed/>
    <w:rsid w:val="00CC0D1A"/>
    <w:rPr>
      <w:sz w:val="16"/>
      <w:szCs w:val="16"/>
    </w:rPr>
  </w:style>
  <w:style w:type="paragraph" w:styleId="CommentText">
    <w:name w:val="annotation text"/>
    <w:basedOn w:val="Normal"/>
    <w:link w:val="CommentTextChar"/>
    <w:uiPriority w:val="99"/>
    <w:semiHidden/>
    <w:unhideWhenUsed/>
    <w:rsid w:val="00CC0D1A"/>
    <w:rPr>
      <w:sz w:val="20"/>
      <w:szCs w:val="20"/>
    </w:rPr>
  </w:style>
  <w:style w:type="character" w:customStyle="1" w:styleId="CommentTextChar">
    <w:name w:val="Comment Text Char"/>
    <w:basedOn w:val="DefaultParagraphFont"/>
    <w:link w:val="CommentText"/>
    <w:uiPriority w:val="99"/>
    <w:semiHidden/>
    <w:rsid w:val="00CC0D1A"/>
    <w:rPr>
      <w:sz w:val="20"/>
      <w:szCs w:val="20"/>
    </w:rPr>
  </w:style>
  <w:style w:type="paragraph" w:styleId="CommentSubject">
    <w:name w:val="annotation subject"/>
    <w:basedOn w:val="CommentText"/>
    <w:next w:val="CommentText"/>
    <w:link w:val="CommentSubjectChar"/>
    <w:uiPriority w:val="99"/>
    <w:semiHidden/>
    <w:unhideWhenUsed/>
    <w:rsid w:val="00CC0D1A"/>
    <w:rPr>
      <w:b/>
      <w:bCs/>
    </w:rPr>
  </w:style>
  <w:style w:type="character" w:customStyle="1" w:styleId="CommentSubjectChar">
    <w:name w:val="Comment Subject Char"/>
    <w:basedOn w:val="CommentTextChar"/>
    <w:link w:val="CommentSubject"/>
    <w:uiPriority w:val="99"/>
    <w:semiHidden/>
    <w:rsid w:val="00CC0D1A"/>
    <w:rPr>
      <w:b/>
      <w:bCs/>
      <w:sz w:val="20"/>
      <w:szCs w:val="20"/>
    </w:rPr>
  </w:style>
  <w:style w:type="paragraph" w:styleId="BalloonText">
    <w:name w:val="Balloon Text"/>
    <w:basedOn w:val="Normal"/>
    <w:link w:val="BalloonTextChar"/>
    <w:uiPriority w:val="99"/>
    <w:semiHidden/>
    <w:unhideWhenUsed/>
    <w:rsid w:val="00CC0D1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0D1A"/>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280296"/>
    <w:rPr>
      <w:color w:val="605E5C"/>
      <w:shd w:val="clear" w:color="auto" w:fill="E1DFDD"/>
    </w:rPr>
  </w:style>
  <w:style w:type="paragraph" w:styleId="ListParagraph">
    <w:name w:val="List Paragraph"/>
    <w:basedOn w:val="Normal"/>
    <w:uiPriority w:val="34"/>
    <w:qFormat/>
    <w:rsid w:val="00962CBE"/>
    <w:pPr>
      <w:ind w:left="720"/>
      <w:contextualSpacing/>
    </w:pPr>
  </w:style>
  <w:style w:type="character" w:styleId="FollowedHyperlink">
    <w:name w:val="FollowedHyperlink"/>
    <w:basedOn w:val="DefaultParagraphFont"/>
    <w:uiPriority w:val="99"/>
    <w:semiHidden/>
    <w:unhideWhenUsed/>
    <w:rsid w:val="00472555"/>
    <w:rPr>
      <w:color w:val="954F72" w:themeColor="followedHyperlink"/>
      <w:u w:val="single"/>
    </w:rPr>
  </w:style>
  <w:style w:type="paragraph" w:styleId="NormalWeb">
    <w:name w:val="Normal (Web)"/>
    <w:basedOn w:val="Normal"/>
    <w:uiPriority w:val="99"/>
    <w:unhideWhenUsed/>
    <w:rsid w:val="003605F2"/>
    <w:pPr>
      <w:spacing w:before="100" w:beforeAutospacing="1" w:after="100" w:afterAutospacing="1"/>
    </w:pPr>
    <w:rPr>
      <w:rFonts w:ascii="Times New Roman" w:eastAsia="Times New Roman" w:hAnsi="Times New Roman" w:cs="Times New Roman"/>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AF1A58"/>
    <w:pPr>
      <w:spacing w:after="160" w:line="240" w:lineRule="exact"/>
      <w:jc w:val="both"/>
    </w:pPr>
    <w:rPr>
      <w:vertAlign w:val="superscript"/>
    </w:rPr>
  </w:style>
  <w:style w:type="paragraph" w:customStyle="1" w:styleId="Default">
    <w:name w:val="Default"/>
    <w:rsid w:val="00AF1A58"/>
    <w:pPr>
      <w:autoSpaceDE w:val="0"/>
      <w:autoSpaceDN w:val="0"/>
      <w:adjustRightInd w:val="0"/>
    </w:pPr>
    <w:rPr>
      <w:rFonts w:ascii="Sylfaen" w:hAnsi="Sylfaen" w:cs="Sylfaen"/>
      <w:color w:val="000000"/>
    </w:rPr>
  </w:style>
  <w:style w:type="character" w:customStyle="1" w:styleId="s6b621b36">
    <w:name w:val="s6b621b36"/>
    <w:basedOn w:val="DefaultParagraphFont"/>
    <w:rsid w:val="00AF1A58"/>
  </w:style>
  <w:style w:type="character" w:styleId="Strong">
    <w:name w:val="Strong"/>
    <w:uiPriority w:val="22"/>
    <w:qFormat/>
    <w:rsid w:val="00087FE3"/>
    <w:rPr>
      <w:b/>
      <w:bCs/>
    </w:rPr>
  </w:style>
  <w:style w:type="character" w:customStyle="1" w:styleId="Heading1Char">
    <w:name w:val="Heading 1 Char"/>
    <w:basedOn w:val="DefaultParagraphFont"/>
    <w:link w:val="Heading1"/>
    <w:uiPriority w:val="9"/>
    <w:rsid w:val="00ED79B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D79BE"/>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D4229E"/>
    <w:pPr>
      <w:spacing w:before="480" w:line="276" w:lineRule="auto"/>
      <w:outlineLvl w:val="9"/>
    </w:pPr>
    <w:rPr>
      <w:b/>
      <w:bCs/>
      <w:sz w:val="28"/>
      <w:szCs w:val="28"/>
    </w:rPr>
  </w:style>
  <w:style w:type="paragraph" w:styleId="TOC1">
    <w:name w:val="toc 1"/>
    <w:basedOn w:val="Normal"/>
    <w:next w:val="Normal"/>
    <w:autoRedefine/>
    <w:uiPriority w:val="39"/>
    <w:unhideWhenUsed/>
    <w:rsid w:val="00D4229E"/>
    <w:pPr>
      <w:spacing w:before="120" w:after="120"/>
    </w:pPr>
    <w:rPr>
      <w:rFonts w:cstheme="minorHAnsi"/>
      <w:b/>
      <w:bCs/>
      <w:caps/>
      <w:sz w:val="20"/>
      <w:szCs w:val="20"/>
    </w:rPr>
  </w:style>
  <w:style w:type="paragraph" w:styleId="TOC2">
    <w:name w:val="toc 2"/>
    <w:basedOn w:val="Normal"/>
    <w:next w:val="Normal"/>
    <w:autoRedefine/>
    <w:uiPriority w:val="39"/>
    <w:unhideWhenUsed/>
    <w:rsid w:val="00D4229E"/>
    <w:pPr>
      <w:ind w:left="240"/>
    </w:pPr>
    <w:rPr>
      <w:rFonts w:cstheme="minorHAnsi"/>
      <w:smallCaps/>
      <w:sz w:val="20"/>
      <w:szCs w:val="20"/>
    </w:rPr>
  </w:style>
  <w:style w:type="paragraph" w:styleId="TOC3">
    <w:name w:val="toc 3"/>
    <w:basedOn w:val="Normal"/>
    <w:next w:val="Normal"/>
    <w:autoRedefine/>
    <w:uiPriority w:val="39"/>
    <w:unhideWhenUsed/>
    <w:rsid w:val="00D4229E"/>
    <w:pPr>
      <w:ind w:left="480"/>
    </w:pPr>
    <w:rPr>
      <w:rFonts w:cstheme="minorHAnsi"/>
      <w:i/>
      <w:iCs/>
      <w:sz w:val="20"/>
      <w:szCs w:val="20"/>
    </w:rPr>
  </w:style>
  <w:style w:type="paragraph" w:styleId="TOC4">
    <w:name w:val="toc 4"/>
    <w:basedOn w:val="Normal"/>
    <w:next w:val="Normal"/>
    <w:autoRedefine/>
    <w:uiPriority w:val="39"/>
    <w:unhideWhenUsed/>
    <w:rsid w:val="00D4229E"/>
    <w:pPr>
      <w:ind w:left="720"/>
    </w:pPr>
    <w:rPr>
      <w:rFonts w:cstheme="minorHAnsi"/>
      <w:sz w:val="18"/>
      <w:szCs w:val="18"/>
    </w:rPr>
  </w:style>
  <w:style w:type="paragraph" w:styleId="TOC5">
    <w:name w:val="toc 5"/>
    <w:basedOn w:val="Normal"/>
    <w:next w:val="Normal"/>
    <w:autoRedefine/>
    <w:uiPriority w:val="39"/>
    <w:unhideWhenUsed/>
    <w:rsid w:val="00D4229E"/>
    <w:pPr>
      <w:ind w:left="960"/>
    </w:pPr>
    <w:rPr>
      <w:rFonts w:cstheme="minorHAnsi"/>
      <w:sz w:val="18"/>
      <w:szCs w:val="18"/>
    </w:rPr>
  </w:style>
  <w:style w:type="paragraph" w:styleId="TOC6">
    <w:name w:val="toc 6"/>
    <w:basedOn w:val="Normal"/>
    <w:next w:val="Normal"/>
    <w:autoRedefine/>
    <w:uiPriority w:val="39"/>
    <w:unhideWhenUsed/>
    <w:rsid w:val="00D4229E"/>
    <w:pPr>
      <w:ind w:left="1200"/>
    </w:pPr>
    <w:rPr>
      <w:rFonts w:cstheme="minorHAnsi"/>
      <w:sz w:val="18"/>
      <w:szCs w:val="18"/>
    </w:rPr>
  </w:style>
  <w:style w:type="paragraph" w:styleId="TOC7">
    <w:name w:val="toc 7"/>
    <w:basedOn w:val="Normal"/>
    <w:next w:val="Normal"/>
    <w:autoRedefine/>
    <w:uiPriority w:val="39"/>
    <w:unhideWhenUsed/>
    <w:rsid w:val="00D4229E"/>
    <w:pPr>
      <w:ind w:left="1440"/>
    </w:pPr>
    <w:rPr>
      <w:rFonts w:cstheme="minorHAnsi"/>
      <w:sz w:val="18"/>
      <w:szCs w:val="18"/>
    </w:rPr>
  </w:style>
  <w:style w:type="paragraph" w:styleId="TOC8">
    <w:name w:val="toc 8"/>
    <w:basedOn w:val="Normal"/>
    <w:next w:val="Normal"/>
    <w:autoRedefine/>
    <w:uiPriority w:val="39"/>
    <w:unhideWhenUsed/>
    <w:rsid w:val="00D4229E"/>
    <w:pPr>
      <w:ind w:left="1680"/>
    </w:pPr>
    <w:rPr>
      <w:rFonts w:cstheme="minorHAnsi"/>
      <w:sz w:val="18"/>
      <w:szCs w:val="18"/>
    </w:rPr>
  </w:style>
  <w:style w:type="paragraph" w:styleId="TOC9">
    <w:name w:val="toc 9"/>
    <w:basedOn w:val="Normal"/>
    <w:next w:val="Normal"/>
    <w:autoRedefine/>
    <w:uiPriority w:val="39"/>
    <w:unhideWhenUsed/>
    <w:rsid w:val="00D4229E"/>
    <w:pPr>
      <w:ind w:left="1920"/>
    </w:pPr>
    <w:rPr>
      <w:rFonts w:cstheme="minorHAnsi"/>
      <w:sz w:val="18"/>
      <w:szCs w:val="18"/>
    </w:rPr>
  </w:style>
  <w:style w:type="paragraph" w:styleId="Footer">
    <w:name w:val="footer"/>
    <w:basedOn w:val="Normal"/>
    <w:link w:val="FooterChar"/>
    <w:uiPriority w:val="99"/>
    <w:unhideWhenUsed/>
    <w:rsid w:val="006F3DA3"/>
    <w:pPr>
      <w:tabs>
        <w:tab w:val="center" w:pos="4680"/>
        <w:tab w:val="right" w:pos="9360"/>
      </w:tabs>
    </w:pPr>
  </w:style>
  <w:style w:type="character" w:customStyle="1" w:styleId="FooterChar">
    <w:name w:val="Footer Char"/>
    <w:basedOn w:val="DefaultParagraphFont"/>
    <w:link w:val="Footer"/>
    <w:uiPriority w:val="99"/>
    <w:rsid w:val="006F3DA3"/>
  </w:style>
  <w:style w:type="character" w:styleId="PageNumber">
    <w:name w:val="page number"/>
    <w:basedOn w:val="DefaultParagraphFont"/>
    <w:uiPriority w:val="99"/>
    <w:semiHidden/>
    <w:unhideWhenUsed/>
    <w:rsid w:val="006F3DA3"/>
  </w:style>
  <w:style w:type="character" w:customStyle="1" w:styleId="UnresolvedMention2">
    <w:name w:val="Unresolved Mention2"/>
    <w:basedOn w:val="DefaultParagraphFont"/>
    <w:uiPriority w:val="99"/>
    <w:semiHidden/>
    <w:unhideWhenUsed/>
    <w:rsid w:val="005641EA"/>
    <w:rPr>
      <w:color w:val="605E5C"/>
      <w:shd w:val="clear" w:color="auto" w:fill="E1DFDD"/>
    </w:rPr>
  </w:style>
  <w:style w:type="character" w:customStyle="1" w:styleId="Heading3Char">
    <w:name w:val="Heading 3 Char"/>
    <w:basedOn w:val="DefaultParagraphFont"/>
    <w:link w:val="Heading3"/>
    <w:uiPriority w:val="9"/>
    <w:semiHidden/>
    <w:rsid w:val="00715ECA"/>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semiHidden/>
    <w:unhideWhenUsed/>
    <w:rsid w:val="007100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0619">
      <w:bodyDiv w:val="1"/>
      <w:marLeft w:val="0"/>
      <w:marRight w:val="0"/>
      <w:marTop w:val="0"/>
      <w:marBottom w:val="0"/>
      <w:divBdr>
        <w:top w:val="none" w:sz="0" w:space="0" w:color="auto"/>
        <w:left w:val="none" w:sz="0" w:space="0" w:color="auto"/>
        <w:bottom w:val="none" w:sz="0" w:space="0" w:color="auto"/>
        <w:right w:val="none" w:sz="0" w:space="0" w:color="auto"/>
      </w:divBdr>
    </w:div>
    <w:div w:id="8726428">
      <w:bodyDiv w:val="1"/>
      <w:marLeft w:val="0"/>
      <w:marRight w:val="0"/>
      <w:marTop w:val="0"/>
      <w:marBottom w:val="0"/>
      <w:divBdr>
        <w:top w:val="none" w:sz="0" w:space="0" w:color="auto"/>
        <w:left w:val="none" w:sz="0" w:space="0" w:color="auto"/>
        <w:bottom w:val="none" w:sz="0" w:space="0" w:color="auto"/>
        <w:right w:val="none" w:sz="0" w:space="0" w:color="auto"/>
      </w:divBdr>
    </w:div>
    <w:div w:id="13042244">
      <w:bodyDiv w:val="1"/>
      <w:marLeft w:val="0"/>
      <w:marRight w:val="0"/>
      <w:marTop w:val="0"/>
      <w:marBottom w:val="0"/>
      <w:divBdr>
        <w:top w:val="none" w:sz="0" w:space="0" w:color="auto"/>
        <w:left w:val="none" w:sz="0" w:space="0" w:color="auto"/>
        <w:bottom w:val="none" w:sz="0" w:space="0" w:color="auto"/>
        <w:right w:val="none" w:sz="0" w:space="0" w:color="auto"/>
      </w:divBdr>
    </w:div>
    <w:div w:id="26680465">
      <w:bodyDiv w:val="1"/>
      <w:marLeft w:val="0"/>
      <w:marRight w:val="0"/>
      <w:marTop w:val="0"/>
      <w:marBottom w:val="0"/>
      <w:divBdr>
        <w:top w:val="none" w:sz="0" w:space="0" w:color="auto"/>
        <w:left w:val="none" w:sz="0" w:space="0" w:color="auto"/>
        <w:bottom w:val="none" w:sz="0" w:space="0" w:color="auto"/>
        <w:right w:val="none" w:sz="0" w:space="0" w:color="auto"/>
      </w:divBdr>
    </w:div>
    <w:div w:id="26831382">
      <w:bodyDiv w:val="1"/>
      <w:marLeft w:val="0"/>
      <w:marRight w:val="0"/>
      <w:marTop w:val="0"/>
      <w:marBottom w:val="0"/>
      <w:divBdr>
        <w:top w:val="none" w:sz="0" w:space="0" w:color="auto"/>
        <w:left w:val="none" w:sz="0" w:space="0" w:color="auto"/>
        <w:bottom w:val="none" w:sz="0" w:space="0" w:color="auto"/>
        <w:right w:val="none" w:sz="0" w:space="0" w:color="auto"/>
      </w:divBdr>
    </w:div>
    <w:div w:id="40374037">
      <w:bodyDiv w:val="1"/>
      <w:marLeft w:val="0"/>
      <w:marRight w:val="0"/>
      <w:marTop w:val="0"/>
      <w:marBottom w:val="0"/>
      <w:divBdr>
        <w:top w:val="none" w:sz="0" w:space="0" w:color="auto"/>
        <w:left w:val="none" w:sz="0" w:space="0" w:color="auto"/>
        <w:bottom w:val="none" w:sz="0" w:space="0" w:color="auto"/>
        <w:right w:val="none" w:sz="0" w:space="0" w:color="auto"/>
      </w:divBdr>
    </w:div>
    <w:div w:id="55402046">
      <w:bodyDiv w:val="1"/>
      <w:marLeft w:val="0"/>
      <w:marRight w:val="0"/>
      <w:marTop w:val="0"/>
      <w:marBottom w:val="0"/>
      <w:divBdr>
        <w:top w:val="none" w:sz="0" w:space="0" w:color="auto"/>
        <w:left w:val="none" w:sz="0" w:space="0" w:color="auto"/>
        <w:bottom w:val="none" w:sz="0" w:space="0" w:color="auto"/>
        <w:right w:val="none" w:sz="0" w:space="0" w:color="auto"/>
      </w:divBdr>
    </w:div>
    <w:div w:id="58673763">
      <w:bodyDiv w:val="1"/>
      <w:marLeft w:val="0"/>
      <w:marRight w:val="0"/>
      <w:marTop w:val="0"/>
      <w:marBottom w:val="0"/>
      <w:divBdr>
        <w:top w:val="none" w:sz="0" w:space="0" w:color="auto"/>
        <w:left w:val="none" w:sz="0" w:space="0" w:color="auto"/>
        <w:bottom w:val="none" w:sz="0" w:space="0" w:color="auto"/>
        <w:right w:val="none" w:sz="0" w:space="0" w:color="auto"/>
      </w:divBdr>
    </w:div>
    <w:div w:id="62341455">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8599229">
      <w:bodyDiv w:val="1"/>
      <w:marLeft w:val="0"/>
      <w:marRight w:val="0"/>
      <w:marTop w:val="0"/>
      <w:marBottom w:val="0"/>
      <w:divBdr>
        <w:top w:val="none" w:sz="0" w:space="0" w:color="auto"/>
        <w:left w:val="none" w:sz="0" w:space="0" w:color="auto"/>
        <w:bottom w:val="none" w:sz="0" w:space="0" w:color="auto"/>
        <w:right w:val="none" w:sz="0" w:space="0" w:color="auto"/>
      </w:divBdr>
    </w:div>
    <w:div w:id="94444559">
      <w:bodyDiv w:val="1"/>
      <w:marLeft w:val="0"/>
      <w:marRight w:val="0"/>
      <w:marTop w:val="0"/>
      <w:marBottom w:val="0"/>
      <w:divBdr>
        <w:top w:val="none" w:sz="0" w:space="0" w:color="auto"/>
        <w:left w:val="none" w:sz="0" w:space="0" w:color="auto"/>
        <w:bottom w:val="none" w:sz="0" w:space="0" w:color="auto"/>
        <w:right w:val="none" w:sz="0" w:space="0" w:color="auto"/>
      </w:divBdr>
    </w:div>
    <w:div w:id="96483924">
      <w:bodyDiv w:val="1"/>
      <w:marLeft w:val="0"/>
      <w:marRight w:val="0"/>
      <w:marTop w:val="0"/>
      <w:marBottom w:val="0"/>
      <w:divBdr>
        <w:top w:val="none" w:sz="0" w:space="0" w:color="auto"/>
        <w:left w:val="none" w:sz="0" w:space="0" w:color="auto"/>
        <w:bottom w:val="none" w:sz="0" w:space="0" w:color="auto"/>
        <w:right w:val="none" w:sz="0" w:space="0" w:color="auto"/>
      </w:divBdr>
      <w:divsChild>
        <w:div w:id="798956639">
          <w:marLeft w:val="0"/>
          <w:marRight w:val="0"/>
          <w:marTop w:val="0"/>
          <w:marBottom w:val="0"/>
          <w:divBdr>
            <w:top w:val="none" w:sz="0" w:space="0" w:color="auto"/>
            <w:left w:val="none" w:sz="0" w:space="0" w:color="auto"/>
            <w:bottom w:val="none" w:sz="0" w:space="0" w:color="auto"/>
            <w:right w:val="none" w:sz="0" w:space="0" w:color="auto"/>
          </w:divBdr>
        </w:div>
      </w:divsChild>
    </w:div>
    <w:div w:id="101149555">
      <w:bodyDiv w:val="1"/>
      <w:marLeft w:val="0"/>
      <w:marRight w:val="0"/>
      <w:marTop w:val="0"/>
      <w:marBottom w:val="0"/>
      <w:divBdr>
        <w:top w:val="none" w:sz="0" w:space="0" w:color="auto"/>
        <w:left w:val="none" w:sz="0" w:space="0" w:color="auto"/>
        <w:bottom w:val="none" w:sz="0" w:space="0" w:color="auto"/>
        <w:right w:val="none" w:sz="0" w:space="0" w:color="auto"/>
      </w:divBdr>
    </w:div>
    <w:div w:id="104152484">
      <w:bodyDiv w:val="1"/>
      <w:marLeft w:val="0"/>
      <w:marRight w:val="0"/>
      <w:marTop w:val="0"/>
      <w:marBottom w:val="0"/>
      <w:divBdr>
        <w:top w:val="none" w:sz="0" w:space="0" w:color="auto"/>
        <w:left w:val="none" w:sz="0" w:space="0" w:color="auto"/>
        <w:bottom w:val="none" w:sz="0" w:space="0" w:color="auto"/>
        <w:right w:val="none" w:sz="0" w:space="0" w:color="auto"/>
      </w:divBdr>
    </w:div>
    <w:div w:id="120267594">
      <w:bodyDiv w:val="1"/>
      <w:marLeft w:val="0"/>
      <w:marRight w:val="0"/>
      <w:marTop w:val="0"/>
      <w:marBottom w:val="0"/>
      <w:divBdr>
        <w:top w:val="none" w:sz="0" w:space="0" w:color="auto"/>
        <w:left w:val="none" w:sz="0" w:space="0" w:color="auto"/>
        <w:bottom w:val="none" w:sz="0" w:space="0" w:color="auto"/>
        <w:right w:val="none" w:sz="0" w:space="0" w:color="auto"/>
      </w:divBdr>
    </w:div>
    <w:div w:id="125248271">
      <w:bodyDiv w:val="1"/>
      <w:marLeft w:val="0"/>
      <w:marRight w:val="0"/>
      <w:marTop w:val="0"/>
      <w:marBottom w:val="0"/>
      <w:divBdr>
        <w:top w:val="none" w:sz="0" w:space="0" w:color="auto"/>
        <w:left w:val="none" w:sz="0" w:space="0" w:color="auto"/>
        <w:bottom w:val="none" w:sz="0" w:space="0" w:color="auto"/>
        <w:right w:val="none" w:sz="0" w:space="0" w:color="auto"/>
      </w:divBdr>
    </w:div>
    <w:div w:id="132649668">
      <w:bodyDiv w:val="1"/>
      <w:marLeft w:val="0"/>
      <w:marRight w:val="0"/>
      <w:marTop w:val="0"/>
      <w:marBottom w:val="0"/>
      <w:divBdr>
        <w:top w:val="none" w:sz="0" w:space="0" w:color="auto"/>
        <w:left w:val="none" w:sz="0" w:space="0" w:color="auto"/>
        <w:bottom w:val="none" w:sz="0" w:space="0" w:color="auto"/>
        <w:right w:val="none" w:sz="0" w:space="0" w:color="auto"/>
      </w:divBdr>
    </w:div>
    <w:div w:id="187447001">
      <w:bodyDiv w:val="1"/>
      <w:marLeft w:val="0"/>
      <w:marRight w:val="0"/>
      <w:marTop w:val="0"/>
      <w:marBottom w:val="0"/>
      <w:divBdr>
        <w:top w:val="none" w:sz="0" w:space="0" w:color="auto"/>
        <w:left w:val="none" w:sz="0" w:space="0" w:color="auto"/>
        <w:bottom w:val="none" w:sz="0" w:space="0" w:color="auto"/>
        <w:right w:val="none" w:sz="0" w:space="0" w:color="auto"/>
      </w:divBdr>
    </w:div>
    <w:div w:id="194781280">
      <w:bodyDiv w:val="1"/>
      <w:marLeft w:val="0"/>
      <w:marRight w:val="0"/>
      <w:marTop w:val="0"/>
      <w:marBottom w:val="0"/>
      <w:divBdr>
        <w:top w:val="none" w:sz="0" w:space="0" w:color="auto"/>
        <w:left w:val="none" w:sz="0" w:space="0" w:color="auto"/>
        <w:bottom w:val="none" w:sz="0" w:space="0" w:color="auto"/>
        <w:right w:val="none" w:sz="0" w:space="0" w:color="auto"/>
      </w:divBdr>
    </w:div>
    <w:div w:id="196553682">
      <w:bodyDiv w:val="1"/>
      <w:marLeft w:val="0"/>
      <w:marRight w:val="0"/>
      <w:marTop w:val="0"/>
      <w:marBottom w:val="0"/>
      <w:divBdr>
        <w:top w:val="none" w:sz="0" w:space="0" w:color="auto"/>
        <w:left w:val="none" w:sz="0" w:space="0" w:color="auto"/>
        <w:bottom w:val="none" w:sz="0" w:space="0" w:color="auto"/>
        <w:right w:val="none" w:sz="0" w:space="0" w:color="auto"/>
      </w:divBdr>
    </w:div>
    <w:div w:id="201213248">
      <w:bodyDiv w:val="1"/>
      <w:marLeft w:val="0"/>
      <w:marRight w:val="0"/>
      <w:marTop w:val="0"/>
      <w:marBottom w:val="0"/>
      <w:divBdr>
        <w:top w:val="none" w:sz="0" w:space="0" w:color="auto"/>
        <w:left w:val="none" w:sz="0" w:space="0" w:color="auto"/>
        <w:bottom w:val="none" w:sz="0" w:space="0" w:color="auto"/>
        <w:right w:val="none" w:sz="0" w:space="0" w:color="auto"/>
      </w:divBdr>
    </w:div>
    <w:div w:id="203367643">
      <w:bodyDiv w:val="1"/>
      <w:marLeft w:val="0"/>
      <w:marRight w:val="0"/>
      <w:marTop w:val="0"/>
      <w:marBottom w:val="0"/>
      <w:divBdr>
        <w:top w:val="none" w:sz="0" w:space="0" w:color="auto"/>
        <w:left w:val="none" w:sz="0" w:space="0" w:color="auto"/>
        <w:bottom w:val="none" w:sz="0" w:space="0" w:color="auto"/>
        <w:right w:val="none" w:sz="0" w:space="0" w:color="auto"/>
      </w:divBdr>
    </w:div>
    <w:div w:id="206962747">
      <w:bodyDiv w:val="1"/>
      <w:marLeft w:val="0"/>
      <w:marRight w:val="0"/>
      <w:marTop w:val="0"/>
      <w:marBottom w:val="0"/>
      <w:divBdr>
        <w:top w:val="none" w:sz="0" w:space="0" w:color="auto"/>
        <w:left w:val="none" w:sz="0" w:space="0" w:color="auto"/>
        <w:bottom w:val="none" w:sz="0" w:space="0" w:color="auto"/>
        <w:right w:val="none" w:sz="0" w:space="0" w:color="auto"/>
      </w:divBdr>
    </w:div>
    <w:div w:id="210046612">
      <w:bodyDiv w:val="1"/>
      <w:marLeft w:val="0"/>
      <w:marRight w:val="0"/>
      <w:marTop w:val="0"/>
      <w:marBottom w:val="0"/>
      <w:divBdr>
        <w:top w:val="none" w:sz="0" w:space="0" w:color="auto"/>
        <w:left w:val="none" w:sz="0" w:space="0" w:color="auto"/>
        <w:bottom w:val="none" w:sz="0" w:space="0" w:color="auto"/>
        <w:right w:val="none" w:sz="0" w:space="0" w:color="auto"/>
      </w:divBdr>
    </w:div>
    <w:div w:id="218909266">
      <w:bodyDiv w:val="1"/>
      <w:marLeft w:val="0"/>
      <w:marRight w:val="0"/>
      <w:marTop w:val="0"/>
      <w:marBottom w:val="0"/>
      <w:divBdr>
        <w:top w:val="none" w:sz="0" w:space="0" w:color="auto"/>
        <w:left w:val="none" w:sz="0" w:space="0" w:color="auto"/>
        <w:bottom w:val="none" w:sz="0" w:space="0" w:color="auto"/>
        <w:right w:val="none" w:sz="0" w:space="0" w:color="auto"/>
      </w:divBdr>
    </w:div>
    <w:div w:id="222955564">
      <w:bodyDiv w:val="1"/>
      <w:marLeft w:val="0"/>
      <w:marRight w:val="0"/>
      <w:marTop w:val="0"/>
      <w:marBottom w:val="0"/>
      <w:divBdr>
        <w:top w:val="none" w:sz="0" w:space="0" w:color="auto"/>
        <w:left w:val="none" w:sz="0" w:space="0" w:color="auto"/>
        <w:bottom w:val="none" w:sz="0" w:space="0" w:color="auto"/>
        <w:right w:val="none" w:sz="0" w:space="0" w:color="auto"/>
      </w:divBdr>
    </w:div>
    <w:div w:id="229732969">
      <w:bodyDiv w:val="1"/>
      <w:marLeft w:val="0"/>
      <w:marRight w:val="0"/>
      <w:marTop w:val="0"/>
      <w:marBottom w:val="0"/>
      <w:divBdr>
        <w:top w:val="none" w:sz="0" w:space="0" w:color="auto"/>
        <w:left w:val="none" w:sz="0" w:space="0" w:color="auto"/>
        <w:bottom w:val="none" w:sz="0" w:space="0" w:color="auto"/>
        <w:right w:val="none" w:sz="0" w:space="0" w:color="auto"/>
      </w:divBdr>
    </w:div>
    <w:div w:id="237522568">
      <w:bodyDiv w:val="1"/>
      <w:marLeft w:val="0"/>
      <w:marRight w:val="0"/>
      <w:marTop w:val="0"/>
      <w:marBottom w:val="0"/>
      <w:divBdr>
        <w:top w:val="none" w:sz="0" w:space="0" w:color="auto"/>
        <w:left w:val="none" w:sz="0" w:space="0" w:color="auto"/>
        <w:bottom w:val="none" w:sz="0" w:space="0" w:color="auto"/>
        <w:right w:val="none" w:sz="0" w:space="0" w:color="auto"/>
      </w:divBdr>
    </w:div>
    <w:div w:id="241915578">
      <w:bodyDiv w:val="1"/>
      <w:marLeft w:val="0"/>
      <w:marRight w:val="0"/>
      <w:marTop w:val="0"/>
      <w:marBottom w:val="0"/>
      <w:divBdr>
        <w:top w:val="none" w:sz="0" w:space="0" w:color="auto"/>
        <w:left w:val="none" w:sz="0" w:space="0" w:color="auto"/>
        <w:bottom w:val="none" w:sz="0" w:space="0" w:color="auto"/>
        <w:right w:val="none" w:sz="0" w:space="0" w:color="auto"/>
      </w:divBdr>
    </w:div>
    <w:div w:id="248929215">
      <w:bodyDiv w:val="1"/>
      <w:marLeft w:val="0"/>
      <w:marRight w:val="0"/>
      <w:marTop w:val="0"/>
      <w:marBottom w:val="0"/>
      <w:divBdr>
        <w:top w:val="none" w:sz="0" w:space="0" w:color="auto"/>
        <w:left w:val="none" w:sz="0" w:space="0" w:color="auto"/>
        <w:bottom w:val="none" w:sz="0" w:space="0" w:color="auto"/>
        <w:right w:val="none" w:sz="0" w:space="0" w:color="auto"/>
      </w:divBdr>
    </w:div>
    <w:div w:id="252596127">
      <w:bodyDiv w:val="1"/>
      <w:marLeft w:val="0"/>
      <w:marRight w:val="0"/>
      <w:marTop w:val="0"/>
      <w:marBottom w:val="0"/>
      <w:divBdr>
        <w:top w:val="none" w:sz="0" w:space="0" w:color="auto"/>
        <w:left w:val="none" w:sz="0" w:space="0" w:color="auto"/>
        <w:bottom w:val="none" w:sz="0" w:space="0" w:color="auto"/>
        <w:right w:val="none" w:sz="0" w:space="0" w:color="auto"/>
      </w:divBdr>
    </w:div>
    <w:div w:id="270554461">
      <w:bodyDiv w:val="1"/>
      <w:marLeft w:val="0"/>
      <w:marRight w:val="0"/>
      <w:marTop w:val="0"/>
      <w:marBottom w:val="0"/>
      <w:divBdr>
        <w:top w:val="none" w:sz="0" w:space="0" w:color="auto"/>
        <w:left w:val="none" w:sz="0" w:space="0" w:color="auto"/>
        <w:bottom w:val="none" w:sz="0" w:space="0" w:color="auto"/>
        <w:right w:val="none" w:sz="0" w:space="0" w:color="auto"/>
      </w:divBdr>
    </w:div>
    <w:div w:id="275063777">
      <w:bodyDiv w:val="1"/>
      <w:marLeft w:val="0"/>
      <w:marRight w:val="0"/>
      <w:marTop w:val="0"/>
      <w:marBottom w:val="0"/>
      <w:divBdr>
        <w:top w:val="none" w:sz="0" w:space="0" w:color="auto"/>
        <w:left w:val="none" w:sz="0" w:space="0" w:color="auto"/>
        <w:bottom w:val="none" w:sz="0" w:space="0" w:color="auto"/>
        <w:right w:val="none" w:sz="0" w:space="0" w:color="auto"/>
      </w:divBdr>
    </w:div>
    <w:div w:id="282729879">
      <w:bodyDiv w:val="1"/>
      <w:marLeft w:val="0"/>
      <w:marRight w:val="0"/>
      <w:marTop w:val="0"/>
      <w:marBottom w:val="0"/>
      <w:divBdr>
        <w:top w:val="none" w:sz="0" w:space="0" w:color="auto"/>
        <w:left w:val="none" w:sz="0" w:space="0" w:color="auto"/>
        <w:bottom w:val="none" w:sz="0" w:space="0" w:color="auto"/>
        <w:right w:val="none" w:sz="0" w:space="0" w:color="auto"/>
      </w:divBdr>
      <w:divsChild>
        <w:div w:id="1609583582">
          <w:marLeft w:val="0"/>
          <w:marRight w:val="0"/>
          <w:marTop w:val="0"/>
          <w:marBottom w:val="0"/>
          <w:divBdr>
            <w:top w:val="none" w:sz="0" w:space="0" w:color="auto"/>
            <w:left w:val="none" w:sz="0" w:space="0" w:color="auto"/>
            <w:bottom w:val="none" w:sz="0" w:space="0" w:color="auto"/>
            <w:right w:val="none" w:sz="0" w:space="0" w:color="auto"/>
          </w:divBdr>
        </w:div>
      </w:divsChild>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91637673">
      <w:bodyDiv w:val="1"/>
      <w:marLeft w:val="0"/>
      <w:marRight w:val="0"/>
      <w:marTop w:val="0"/>
      <w:marBottom w:val="0"/>
      <w:divBdr>
        <w:top w:val="none" w:sz="0" w:space="0" w:color="auto"/>
        <w:left w:val="none" w:sz="0" w:space="0" w:color="auto"/>
        <w:bottom w:val="none" w:sz="0" w:space="0" w:color="auto"/>
        <w:right w:val="none" w:sz="0" w:space="0" w:color="auto"/>
      </w:divBdr>
      <w:divsChild>
        <w:div w:id="1789856659">
          <w:marLeft w:val="0"/>
          <w:marRight w:val="0"/>
          <w:marTop w:val="0"/>
          <w:marBottom w:val="0"/>
          <w:divBdr>
            <w:top w:val="none" w:sz="0" w:space="0" w:color="auto"/>
            <w:left w:val="none" w:sz="0" w:space="0" w:color="auto"/>
            <w:bottom w:val="none" w:sz="0" w:space="0" w:color="auto"/>
            <w:right w:val="none" w:sz="0" w:space="0" w:color="auto"/>
          </w:divBdr>
        </w:div>
      </w:divsChild>
    </w:div>
    <w:div w:id="295448292">
      <w:bodyDiv w:val="1"/>
      <w:marLeft w:val="0"/>
      <w:marRight w:val="0"/>
      <w:marTop w:val="0"/>
      <w:marBottom w:val="0"/>
      <w:divBdr>
        <w:top w:val="none" w:sz="0" w:space="0" w:color="auto"/>
        <w:left w:val="none" w:sz="0" w:space="0" w:color="auto"/>
        <w:bottom w:val="none" w:sz="0" w:space="0" w:color="auto"/>
        <w:right w:val="none" w:sz="0" w:space="0" w:color="auto"/>
      </w:divBdr>
    </w:div>
    <w:div w:id="304622690">
      <w:bodyDiv w:val="1"/>
      <w:marLeft w:val="0"/>
      <w:marRight w:val="0"/>
      <w:marTop w:val="0"/>
      <w:marBottom w:val="0"/>
      <w:divBdr>
        <w:top w:val="none" w:sz="0" w:space="0" w:color="auto"/>
        <w:left w:val="none" w:sz="0" w:space="0" w:color="auto"/>
        <w:bottom w:val="none" w:sz="0" w:space="0" w:color="auto"/>
        <w:right w:val="none" w:sz="0" w:space="0" w:color="auto"/>
      </w:divBdr>
    </w:div>
    <w:div w:id="329799373">
      <w:bodyDiv w:val="1"/>
      <w:marLeft w:val="0"/>
      <w:marRight w:val="0"/>
      <w:marTop w:val="0"/>
      <w:marBottom w:val="0"/>
      <w:divBdr>
        <w:top w:val="none" w:sz="0" w:space="0" w:color="auto"/>
        <w:left w:val="none" w:sz="0" w:space="0" w:color="auto"/>
        <w:bottom w:val="none" w:sz="0" w:space="0" w:color="auto"/>
        <w:right w:val="none" w:sz="0" w:space="0" w:color="auto"/>
      </w:divBdr>
    </w:div>
    <w:div w:id="339702653">
      <w:bodyDiv w:val="1"/>
      <w:marLeft w:val="0"/>
      <w:marRight w:val="0"/>
      <w:marTop w:val="0"/>
      <w:marBottom w:val="0"/>
      <w:divBdr>
        <w:top w:val="none" w:sz="0" w:space="0" w:color="auto"/>
        <w:left w:val="none" w:sz="0" w:space="0" w:color="auto"/>
        <w:bottom w:val="none" w:sz="0" w:space="0" w:color="auto"/>
        <w:right w:val="none" w:sz="0" w:space="0" w:color="auto"/>
      </w:divBdr>
      <w:divsChild>
        <w:div w:id="2088380689">
          <w:marLeft w:val="0"/>
          <w:marRight w:val="0"/>
          <w:marTop w:val="0"/>
          <w:marBottom w:val="0"/>
          <w:divBdr>
            <w:top w:val="none" w:sz="0" w:space="0" w:color="auto"/>
            <w:left w:val="none" w:sz="0" w:space="0" w:color="auto"/>
            <w:bottom w:val="none" w:sz="0" w:space="0" w:color="auto"/>
            <w:right w:val="none" w:sz="0" w:space="0" w:color="auto"/>
          </w:divBdr>
        </w:div>
      </w:divsChild>
    </w:div>
    <w:div w:id="363872522">
      <w:bodyDiv w:val="1"/>
      <w:marLeft w:val="0"/>
      <w:marRight w:val="0"/>
      <w:marTop w:val="0"/>
      <w:marBottom w:val="0"/>
      <w:divBdr>
        <w:top w:val="none" w:sz="0" w:space="0" w:color="auto"/>
        <w:left w:val="none" w:sz="0" w:space="0" w:color="auto"/>
        <w:bottom w:val="none" w:sz="0" w:space="0" w:color="auto"/>
        <w:right w:val="none" w:sz="0" w:space="0" w:color="auto"/>
      </w:divBdr>
    </w:div>
    <w:div w:id="370957305">
      <w:bodyDiv w:val="1"/>
      <w:marLeft w:val="0"/>
      <w:marRight w:val="0"/>
      <w:marTop w:val="0"/>
      <w:marBottom w:val="0"/>
      <w:divBdr>
        <w:top w:val="none" w:sz="0" w:space="0" w:color="auto"/>
        <w:left w:val="none" w:sz="0" w:space="0" w:color="auto"/>
        <w:bottom w:val="none" w:sz="0" w:space="0" w:color="auto"/>
        <w:right w:val="none" w:sz="0" w:space="0" w:color="auto"/>
      </w:divBdr>
    </w:div>
    <w:div w:id="379327802">
      <w:bodyDiv w:val="1"/>
      <w:marLeft w:val="0"/>
      <w:marRight w:val="0"/>
      <w:marTop w:val="0"/>
      <w:marBottom w:val="0"/>
      <w:divBdr>
        <w:top w:val="none" w:sz="0" w:space="0" w:color="auto"/>
        <w:left w:val="none" w:sz="0" w:space="0" w:color="auto"/>
        <w:bottom w:val="none" w:sz="0" w:space="0" w:color="auto"/>
        <w:right w:val="none" w:sz="0" w:space="0" w:color="auto"/>
      </w:divBdr>
    </w:div>
    <w:div w:id="379978654">
      <w:bodyDiv w:val="1"/>
      <w:marLeft w:val="0"/>
      <w:marRight w:val="0"/>
      <w:marTop w:val="0"/>
      <w:marBottom w:val="0"/>
      <w:divBdr>
        <w:top w:val="none" w:sz="0" w:space="0" w:color="auto"/>
        <w:left w:val="none" w:sz="0" w:space="0" w:color="auto"/>
        <w:bottom w:val="none" w:sz="0" w:space="0" w:color="auto"/>
        <w:right w:val="none" w:sz="0" w:space="0" w:color="auto"/>
      </w:divBdr>
    </w:div>
    <w:div w:id="384377176">
      <w:bodyDiv w:val="1"/>
      <w:marLeft w:val="0"/>
      <w:marRight w:val="0"/>
      <w:marTop w:val="0"/>
      <w:marBottom w:val="0"/>
      <w:divBdr>
        <w:top w:val="none" w:sz="0" w:space="0" w:color="auto"/>
        <w:left w:val="none" w:sz="0" w:space="0" w:color="auto"/>
        <w:bottom w:val="none" w:sz="0" w:space="0" w:color="auto"/>
        <w:right w:val="none" w:sz="0" w:space="0" w:color="auto"/>
      </w:divBdr>
    </w:div>
    <w:div w:id="390540042">
      <w:bodyDiv w:val="1"/>
      <w:marLeft w:val="0"/>
      <w:marRight w:val="0"/>
      <w:marTop w:val="0"/>
      <w:marBottom w:val="0"/>
      <w:divBdr>
        <w:top w:val="none" w:sz="0" w:space="0" w:color="auto"/>
        <w:left w:val="none" w:sz="0" w:space="0" w:color="auto"/>
        <w:bottom w:val="none" w:sz="0" w:space="0" w:color="auto"/>
        <w:right w:val="none" w:sz="0" w:space="0" w:color="auto"/>
      </w:divBdr>
    </w:div>
    <w:div w:id="396251303">
      <w:bodyDiv w:val="1"/>
      <w:marLeft w:val="0"/>
      <w:marRight w:val="0"/>
      <w:marTop w:val="0"/>
      <w:marBottom w:val="0"/>
      <w:divBdr>
        <w:top w:val="none" w:sz="0" w:space="0" w:color="auto"/>
        <w:left w:val="none" w:sz="0" w:space="0" w:color="auto"/>
        <w:bottom w:val="none" w:sz="0" w:space="0" w:color="auto"/>
        <w:right w:val="none" w:sz="0" w:space="0" w:color="auto"/>
      </w:divBdr>
    </w:div>
    <w:div w:id="402996889">
      <w:bodyDiv w:val="1"/>
      <w:marLeft w:val="0"/>
      <w:marRight w:val="0"/>
      <w:marTop w:val="0"/>
      <w:marBottom w:val="0"/>
      <w:divBdr>
        <w:top w:val="none" w:sz="0" w:space="0" w:color="auto"/>
        <w:left w:val="none" w:sz="0" w:space="0" w:color="auto"/>
        <w:bottom w:val="none" w:sz="0" w:space="0" w:color="auto"/>
        <w:right w:val="none" w:sz="0" w:space="0" w:color="auto"/>
      </w:divBdr>
      <w:divsChild>
        <w:div w:id="360476657">
          <w:marLeft w:val="0"/>
          <w:marRight w:val="0"/>
          <w:marTop w:val="0"/>
          <w:marBottom w:val="0"/>
          <w:divBdr>
            <w:top w:val="none" w:sz="0" w:space="0" w:color="auto"/>
            <w:left w:val="none" w:sz="0" w:space="0" w:color="auto"/>
            <w:bottom w:val="none" w:sz="0" w:space="0" w:color="auto"/>
            <w:right w:val="none" w:sz="0" w:space="0" w:color="auto"/>
          </w:divBdr>
        </w:div>
      </w:divsChild>
    </w:div>
    <w:div w:id="403072392">
      <w:bodyDiv w:val="1"/>
      <w:marLeft w:val="0"/>
      <w:marRight w:val="0"/>
      <w:marTop w:val="0"/>
      <w:marBottom w:val="0"/>
      <w:divBdr>
        <w:top w:val="none" w:sz="0" w:space="0" w:color="auto"/>
        <w:left w:val="none" w:sz="0" w:space="0" w:color="auto"/>
        <w:bottom w:val="none" w:sz="0" w:space="0" w:color="auto"/>
        <w:right w:val="none" w:sz="0" w:space="0" w:color="auto"/>
      </w:divBdr>
    </w:div>
    <w:div w:id="409892192">
      <w:bodyDiv w:val="1"/>
      <w:marLeft w:val="0"/>
      <w:marRight w:val="0"/>
      <w:marTop w:val="0"/>
      <w:marBottom w:val="0"/>
      <w:divBdr>
        <w:top w:val="none" w:sz="0" w:space="0" w:color="auto"/>
        <w:left w:val="none" w:sz="0" w:space="0" w:color="auto"/>
        <w:bottom w:val="none" w:sz="0" w:space="0" w:color="auto"/>
        <w:right w:val="none" w:sz="0" w:space="0" w:color="auto"/>
      </w:divBdr>
      <w:divsChild>
        <w:div w:id="1579051843">
          <w:marLeft w:val="0"/>
          <w:marRight w:val="0"/>
          <w:marTop w:val="0"/>
          <w:marBottom w:val="0"/>
          <w:divBdr>
            <w:top w:val="none" w:sz="0" w:space="0" w:color="auto"/>
            <w:left w:val="none" w:sz="0" w:space="0" w:color="auto"/>
            <w:bottom w:val="none" w:sz="0" w:space="0" w:color="auto"/>
            <w:right w:val="none" w:sz="0" w:space="0" w:color="auto"/>
          </w:divBdr>
        </w:div>
      </w:divsChild>
    </w:div>
    <w:div w:id="438374829">
      <w:bodyDiv w:val="1"/>
      <w:marLeft w:val="0"/>
      <w:marRight w:val="0"/>
      <w:marTop w:val="0"/>
      <w:marBottom w:val="0"/>
      <w:divBdr>
        <w:top w:val="none" w:sz="0" w:space="0" w:color="auto"/>
        <w:left w:val="none" w:sz="0" w:space="0" w:color="auto"/>
        <w:bottom w:val="none" w:sz="0" w:space="0" w:color="auto"/>
        <w:right w:val="none" w:sz="0" w:space="0" w:color="auto"/>
      </w:divBdr>
    </w:div>
    <w:div w:id="453983311">
      <w:bodyDiv w:val="1"/>
      <w:marLeft w:val="0"/>
      <w:marRight w:val="0"/>
      <w:marTop w:val="0"/>
      <w:marBottom w:val="0"/>
      <w:divBdr>
        <w:top w:val="none" w:sz="0" w:space="0" w:color="auto"/>
        <w:left w:val="none" w:sz="0" w:space="0" w:color="auto"/>
        <w:bottom w:val="none" w:sz="0" w:space="0" w:color="auto"/>
        <w:right w:val="none" w:sz="0" w:space="0" w:color="auto"/>
      </w:divBdr>
    </w:div>
    <w:div w:id="455683263">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9444864">
      <w:bodyDiv w:val="1"/>
      <w:marLeft w:val="0"/>
      <w:marRight w:val="0"/>
      <w:marTop w:val="0"/>
      <w:marBottom w:val="0"/>
      <w:divBdr>
        <w:top w:val="none" w:sz="0" w:space="0" w:color="auto"/>
        <w:left w:val="none" w:sz="0" w:space="0" w:color="auto"/>
        <w:bottom w:val="none" w:sz="0" w:space="0" w:color="auto"/>
        <w:right w:val="none" w:sz="0" w:space="0" w:color="auto"/>
      </w:divBdr>
    </w:div>
    <w:div w:id="480922146">
      <w:bodyDiv w:val="1"/>
      <w:marLeft w:val="0"/>
      <w:marRight w:val="0"/>
      <w:marTop w:val="0"/>
      <w:marBottom w:val="0"/>
      <w:divBdr>
        <w:top w:val="none" w:sz="0" w:space="0" w:color="auto"/>
        <w:left w:val="none" w:sz="0" w:space="0" w:color="auto"/>
        <w:bottom w:val="none" w:sz="0" w:space="0" w:color="auto"/>
        <w:right w:val="none" w:sz="0" w:space="0" w:color="auto"/>
      </w:divBdr>
    </w:div>
    <w:div w:id="503740200">
      <w:bodyDiv w:val="1"/>
      <w:marLeft w:val="0"/>
      <w:marRight w:val="0"/>
      <w:marTop w:val="0"/>
      <w:marBottom w:val="0"/>
      <w:divBdr>
        <w:top w:val="none" w:sz="0" w:space="0" w:color="auto"/>
        <w:left w:val="none" w:sz="0" w:space="0" w:color="auto"/>
        <w:bottom w:val="none" w:sz="0" w:space="0" w:color="auto"/>
        <w:right w:val="none" w:sz="0" w:space="0" w:color="auto"/>
      </w:divBdr>
    </w:div>
    <w:div w:id="506140013">
      <w:bodyDiv w:val="1"/>
      <w:marLeft w:val="0"/>
      <w:marRight w:val="0"/>
      <w:marTop w:val="0"/>
      <w:marBottom w:val="0"/>
      <w:divBdr>
        <w:top w:val="none" w:sz="0" w:space="0" w:color="auto"/>
        <w:left w:val="none" w:sz="0" w:space="0" w:color="auto"/>
        <w:bottom w:val="none" w:sz="0" w:space="0" w:color="auto"/>
        <w:right w:val="none" w:sz="0" w:space="0" w:color="auto"/>
      </w:divBdr>
    </w:div>
    <w:div w:id="516769232">
      <w:bodyDiv w:val="1"/>
      <w:marLeft w:val="0"/>
      <w:marRight w:val="0"/>
      <w:marTop w:val="0"/>
      <w:marBottom w:val="0"/>
      <w:divBdr>
        <w:top w:val="none" w:sz="0" w:space="0" w:color="auto"/>
        <w:left w:val="none" w:sz="0" w:space="0" w:color="auto"/>
        <w:bottom w:val="none" w:sz="0" w:space="0" w:color="auto"/>
        <w:right w:val="none" w:sz="0" w:space="0" w:color="auto"/>
      </w:divBdr>
    </w:div>
    <w:div w:id="528907837">
      <w:bodyDiv w:val="1"/>
      <w:marLeft w:val="0"/>
      <w:marRight w:val="0"/>
      <w:marTop w:val="0"/>
      <w:marBottom w:val="0"/>
      <w:divBdr>
        <w:top w:val="none" w:sz="0" w:space="0" w:color="auto"/>
        <w:left w:val="none" w:sz="0" w:space="0" w:color="auto"/>
        <w:bottom w:val="none" w:sz="0" w:space="0" w:color="auto"/>
        <w:right w:val="none" w:sz="0" w:space="0" w:color="auto"/>
      </w:divBdr>
    </w:div>
    <w:div w:id="531387225">
      <w:bodyDiv w:val="1"/>
      <w:marLeft w:val="0"/>
      <w:marRight w:val="0"/>
      <w:marTop w:val="0"/>
      <w:marBottom w:val="0"/>
      <w:divBdr>
        <w:top w:val="none" w:sz="0" w:space="0" w:color="auto"/>
        <w:left w:val="none" w:sz="0" w:space="0" w:color="auto"/>
        <w:bottom w:val="none" w:sz="0" w:space="0" w:color="auto"/>
        <w:right w:val="none" w:sz="0" w:space="0" w:color="auto"/>
      </w:divBdr>
    </w:div>
    <w:div w:id="531504696">
      <w:bodyDiv w:val="1"/>
      <w:marLeft w:val="0"/>
      <w:marRight w:val="0"/>
      <w:marTop w:val="0"/>
      <w:marBottom w:val="0"/>
      <w:divBdr>
        <w:top w:val="none" w:sz="0" w:space="0" w:color="auto"/>
        <w:left w:val="none" w:sz="0" w:space="0" w:color="auto"/>
        <w:bottom w:val="none" w:sz="0" w:space="0" w:color="auto"/>
        <w:right w:val="none" w:sz="0" w:space="0" w:color="auto"/>
      </w:divBdr>
      <w:divsChild>
        <w:div w:id="1986155016">
          <w:marLeft w:val="0"/>
          <w:marRight w:val="0"/>
          <w:marTop w:val="0"/>
          <w:marBottom w:val="0"/>
          <w:divBdr>
            <w:top w:val="none" w:sz="0" w:space="0" w:color="auto"/>
            <w:left w:val="none" w:sz="0" w:space="0" w:color="auto"/>
            <w:bottom w:val="none" w:sz="0" w:space="0" w:color="auto"/>
            <w:right w:val="none" w:sz="0" w:space="0" w:color="auto"/>
          </w:divBdr>
        </w:div>
      </w:divsChild>
    </w:div>
    <w:div w:id="548078999">
      <w:bodyDiv w:val="1"/>
      <w:marLeft w:val="0"/>
      <w:marRight w:val="0"/>
      <w:marTop w:val="0"/>
      <w:marBottom w:val="0"/>
      <w:divBdr>
        <w:top w:val="none" w:sz="0" w:space="0" w:color="auto"/>
        <w:left w:val="none" w:sz="0" w:space="0" w:color="auto"/>
        <w:bottom w:val="none" w:sz="0" w:space="0" w:color="auto"/>
        <w:right w:val="none" w:sz="0" w:space="0" w:color="auto"/>
      </w:divBdr>
      <w:divsChild>
        <w:div w:id="58407547">
          <w:marLeft w:val="0"/>
          <w:marRight w:val="0"/>
          <w:marTop w:val="0"/>
          <w:marBottom w:val="0"/>
          <w:divBdr>
            <w:top w:val="none" w:sz="0" w:space="0" w:color="auto"/>
            <w:left w:val="none" w:sz="0" w:space="0" w:color="auto"/>
            <w:bottom w:val="none" w:sz="0" w:space="0" w:color="auto"/>
            <w:right w:val="none" w:sz="0" w:space="0" w:color="auto"/>
          </w:divBdr>
        </w:div>
      </w:divsChild>
    </w:div>
    <w:div w:id="562179324">
      <w:bodyDiv w:val="1"/>
      <w:marLeft w:val="0"/>
      <w:marRight w:val="0"/>
      <w:marTop w:val="0"/>
      <w:marBottom w:val="0"/>
      <w:divBdr>
        <w:top w:val="none" w:sz="0" w:space="0" w:color="auto"/>
        <w:left w:val="none" w:sz="0" w:space="0" w:color="auto"/>
        <w:bottom w:val="none" w:sz="0" w:space="0" w:color="auto"/>
        <w:right w:val="none" w:sz="0" w:space="0" w:color="auto"/>
      </w:divBdr>
      <w:divsChild>
        <w:div w:id="1908953181">
          <w:marLeft w:val="0"/>
          <w:marRight w:val="0"/>
          <w:marTop w:val="0"/>
          <w:marBottom w:val="0"/>
          <w:divBdr>
            <w:top w:val="none" w:sz="0" w:space="0" w:color="auto"/>
            <w:left w:val="none" w:sz="0" w:space="0" w:color="auto"/>
            <w:bottom w:val="none" w:sz="0" w:space="0" w:color="auto"/>
            <w:right w:val="none" w:sz="0" w:space="0" w:color="auto"/>
          </w:divBdr>
        </w:div>
      </w:divsChild>
    </w:div>
    <w:div w:id="562763301">
      <w:bodyDiv w:val="1"/>
      <w:marLeft w:val="0"/>
      <w:marRight w:val="0"/>
      <w:marTop w:val="0"/>
      <w:marBottom w:val="0"/>
      <w:divBdr>
        <w:top w:val="none" w:sz="0" w:space="0" w:color="auto"/>
        <w:left w:val="none" w:sz="0" w:space="0" w:color="auto"/>
        <w:bottom w:val="none" w:sz="0" w:space="0" w:color="auto"/>
        <w:right w:val="none" w:sz="0" w:space="0" w:color="auto"/>
      </w:divBdr>
    </w:div>
    <w:div w:id="565839695">
      <w:bodyDiv w:val="1"/>
      <w:marLeft w:val="0"/>
      <w:marRight w:val="0"/>
      <w:marTop w:val="0"/>
      <w:marBottom w:val="0"/>
      <w:divBdr>
        <w:top w:val="none" w:sz="0" w:space="0" w:color="auto"/>
        <w:left w:val="none" w:sz="0" w:space="0" w:color="auto"/>
        <w:bottom w:val="none" w:sz="0" w:space="0" w:color="auto"/>
        <w:right w:val="none" w:sz="0" w:space="0" w:color="auto"/>
      </w:divBdr>
    </w:div>
    <w:div w:id="571426925">
      <w:bodyDiv w:val="1"/>
      <w:marLeft w:val="0"/>
      <w:marRight w:val="0"/>
      <w:marTop w:val="0"/>
      <w:marBottom w:val="0"/>
      <w:divBdr>
        <w:top w:val="none" w:sz="0" w:space="0" w:color="auto"/>
        <w:left w:val="none" w:sz="0" w:space="0" w:color="auto"/>
        <w:bottom w:val="none" w:sz="0" w:space="0" w:color="auto"/>
        <w:right w:val="none" w:sz="0" w:space="0" w:color="auto"/>
      </w:divBdr>
    </w:div>
    <w:div w:id="572862734">
      <w:bodyDiv w:val="1"/>
      <w:marLeft w:val="0"/>
      <w:marRight w:val="0"/>
      <w:marTop w:val="0"/>
      <w:marBottom w:val="0"/>
      <w:divBdr>
        <w:top w:val="none" w:sz="0" w:space="0" w:color="auto"/>
        <w:left w:val="none" w:sz="0" w:space="0" w:color="auto"/>
        <w:bottom w:val="none" w:sz="0" w:space="0" w:color="auto"/>
        <w:right w:val="none" w:sz="0" w:space="0" w:color="auto"/>
      </w:divBdr>
    </w:div>
    <w:div w:id="586185838">
      <w:bodyDiv w:val="1"/>
      <w:marLeft w:val="0"/>
      <w:marRight w:val="0"/>
      <w:marTop w:val="0"/>
      <w:marBottom w:val="0"/>
      <w:divBdr>
        <w:top w:val="none" w:sz="0" w:space="0" w:color="auto"/>
        <w:left w:val="none" w:sz="0" w:space="0" w:color="auto"/>
        <w:bottom w:val="none" w:sz="0" w:space="0" w:color="auto"/>
        <w:right w:val="none" w:sz="0" w:space="0" w:color="auto"/>
      </w:divBdr>
    </w:div>
    <w:div w:id="590434333">
      <w:bodyDiv w:val="1"/>
      <w:marLeft w:val="0"/>
      <w:marRight w:val="0"/>
      <w:marTop w:val="0"/>
      <w:marBottom w:val="0"/>
      <w:divBdr>
        <w:top w:val="none" w:sz="0" w:space="0" w:color="auto"/>
        <w:left w:val="none" w:sz="0" w:space="0" w:color="auto"/>
        <w:bottom w:val="none" w:sz="0" w:space="0" w:color="auto"/>
        <w:right w:val="none" w:sz="0" w:space="0" w:color="auto"/>
      </w:divBdr>
    </w:div>
    <w:div w:id="604385604">
      <w:bodyDiv w:val="1"/>
      <w:marLeft w:val="0"/>
      <w:marRight w:val="0"/>
      <w:marTop w:val="0"/>
      <w:marBottom w:val="0"/>
      <w:divBdr>
        <w:top w:val="none" w:sz="0" w:space="0" w:color="auto"/>
        <w:left w:val="none" w:sz="0" w:space="0" w:color="auto"/>
        <w:bottom w:val="none" w:sz="0" w:space="0" w:color="auto"/>
        <w:right w:val="none" w:sz="0" w:space="0" w:color="auto"/>
      </w:divBdr>
    </w:div>
    <w:div w:id="604968006">
      <w:bodyDiv w:val="1"/>
      <w:marLeft w:val="0"/>
      <w:marRight w:val="0"/>
      <w:marTop w:val="0"/>
      <w:marBottom w:val="0"/>
      <w:divBdr>
        <w:top w:val="none" w:sz="0" w:space="0" w:color="auto"/>
        <w:left w:val="none" w:sz="0" w:space="0" w:color="auto"/>
        <w:bottom w:val="none" w:sz="0" w:space="0" w:color="auto"/>
        <w:right w:val="none" w:sz="0" w:space="0" w:color="auto"/>
      </w:divBdr>
    </w:div>
    <w:div w:id="611592262">
      <w:bodyDiv w:val="1"/>
      <w:marLeft w:val="0"/>
      <w:marRight w:val="0"/>
      <w:marTop w:val="0"/>
      <w:marBottom w:val="0"/>
      <w:divBdr>
        <w:top w:val="none" w:sz="0" w:space="0" w:color="auto"/>
        <w:left w:val="none" w:sz="0" w:space="0" w:color="auto"/>
        <w:bottom w:val="none" w:sz="0" w:space="0" w:color="auto"/>
        <w:right w:val="none" w:sz="0" w:space="0" w:color="auto"/>
      </w:divBdr>
    </w:div>
    <w:div w:id="621964427">
      <w:bodyDiv w:val="1"/>
      <w:marLeft w:val="0"/>
      <w:marRight w:val="0"/>
      <w:marTop w:val="0"/>
      <w:marBottom w:val="0"/>
      <w:divBdr>
        <w:top w:val="none" w:sz="0" w:space="0" w:color="auto"/>
        <w:left w:val="none" w:sz="0" w:space="0" w:color="auto"/>
        <w:bottom w:val="none" w:sz="0" w:space="0" w:color="auto"/>
        <w:right w:val="none" w:sz="0" w:space="0" w:color="auto"/>
      </w:divBdr>
    </w:div>
    <w:div w:id="632911101">
      <w:bodyDiv w:val="1"/>
      <w:marLeft w:val="0"/>
      <w:marRight w:val="0"/>
      <w:marTop w:val="0"/>
      <w:marBottom w:val="0"/>
      <w:divBdr>
        <w:top w:val="none" w:sz="0" w:space="0" w:color="auto"/>
        <w:left w:val="none" w:sz="0" w:space="0" w:color="auto"/>
        <w:bottom w:val="none" w:sz="0" w:space="0" w:color="auto"/>
        <w:right w:val="none" w:sz="0" w:space="0" w:color="auto"/>
      </w:divBdr>
      <w:divsChild>
        <w:div w:id="154152694">
          <w:marLeft w:val="0"/>
          <w:marRight w:val="0"/>
          <w:marTop w:val="0"/>
          <w:marBottom w:val="0"/>
          <w:divBdr>
            <w:top w:val="none" w:sz="0" w:space="0" w:color="auto"/>
            <w:left w:val="none" w:sz="0" w:space="0" w:color="auto"/>
            <w:bottom w:val="none" w:sz="0" w:space="0" w:color="auto"/>
            <w:right w:val="none" w:sz="0" w:space="0" w:color="auto"/>
          </w:divBdr>
        </w:div>
      </w:divsChild>
    </w:div>
    <w:div w:id="641934534">
      <w:bodyDiv w:val="1"/>
      <w:marLeft w:val="0"/>
      <w:marRight w:val="0"/>
      <w:marTop w:val="0"/>
      <w:marBottom w:val="0"/>
      <w:divBdr>
        <w:top w:val="none" w:sz="0" w:space="0" w:color="auto"/>
        <w:left w:val="none" w:sz="0" w:space="0" w:color="auto"/>
        <w:bottom w:val="none" w:sz="0" w:space="0" w:color="auto"/>
        <w:right w:val="none" w:sz="0" w:space="0" w:color="auto"/>
      </w:divBdr>
    </w:div>
    <w:div w:id="644748035">
      <w:bodyDiv w:val="1"/>
      <w:marLeft w:val="0"/>
      <w:marRight w:val="0"/>
      <w:marTop w:val="0"/>
      <w:marBottom w:val="0"/>
      <w:divBdr>
        <w:top w:val="none" w:sz="0" w:space="0" w:color="auto"/>
        <w:left w:val="none" w:sz="0" w:space="0" w:color="auto"/>
        <w:bottom w:val="none" w:sz="0" w:space="0" w:color="auto"/>
        <w:right w:val="none" w:sz="0" w:space="0" w:color="auto"/>
      </w:divBdr>
    </w:div>
    <w:div w:id="653484134">
      <w:bodyDiv w:val="1"/>
      <w:marLeft w:val="0"/>
      <w:marRight w:val="0"/>
      <w:marTop w:val="0"/>
      <w:marBottom w:val="0"/>
      <w:divBdr>
        <w:top w:val="none" w:sz="0" w:space="0" w:color="auto"/>
        <w:left w:val="none" w:sz="0" w:space="0" w:color="auto"/>
        <w:bottom w:val="none" w:sz="0" w:space="0" w:color="auto"/>
        <w:right w:val="none" w:sz="0" w:space="0" w:color="auto"/>
      </w:divBdr>
    </w:div>
    <w:div w:id="675811404">
      <w:bodyDiv w:val="1"/>
      <w:marLeft w:val="0"/>
      <w:marRight w:val="0"/>
      <w:marTop w:val="0"/>
      <w:marBottom w:val="0"/>
      <w:divBdr>
        <w:top w:val="none" w:sz="0" w:space="0" w:color="auto"/>
        <w:left w:val="none" w:sz="0" w:space="0" w:color="auto"/>
        <w:bottom w:val="none" w:sz="0" w:space="0" w:color="auto"/>
        <w:right w:val="none" w:sz="0" w:space="0" w:color="auto"/>
      </w:divBdr>
    </w:div>
    <w:div w:id="680355847">
      <w:bodyDiv w:val="1"/>
      <w:marLeft w:val="0"/>
      <w:marRight w:val="0"/>
      <w:marTop w:val="0"/>
      <w:marBottom w:val="0"/>
      <w:divBdr>
        <w:top w:val="none" w:sz="0" w:space="0" w:color="auto"/>
        <w:left w:val="none" w:sz="0" w:space="0" w:color="auto"/>
        <w:bottom w:val="none" w:sz="0" w:space="0" w:color="auto"/>
        <w:right w:val="none" w:sz="0" w:space="0" w:color="auto"/>
      </w:divBdr>
    </w:div>
    <w:div w:id="690029057">
      <w:bodyDiv w:val="1"/>
      <w:marLeft w:val="0"/>
      <w:marRight w:val="0"/>
      <w:marTop w:val="0"/>
      <w:marBottom w:val="0"/>
      <w:divBdr>
        <w:top w:val="none" w:sz="0" w:space="0" w:color="auto"/>
        <w:left w:val="none" w:sz="0" w:space="0" w:color="auto"/>
        <w:bottom w:val="none" w:sz="0" w:space="0" w:color="auto"/>
        <w:right w:val="none" w:sz="0" w:space="0" w:color="auto"/>
      </w:divBdr>
    </w:div>
    <w:div w:id="709108103">
      <w:bodyDiv w:val="1"/>
      <w:marLeft w:val="0"/>
      <w:marRight w:val="0"/>
      <w:marTop w:val="0"/>
      <w:marBottom w:val="0"/>
      <w:divBdr>
        <w:top w:val="none" w:sz="0" w:space="0" w:color="auto"/>
        <w:left w:val="none" w:sz="0" w:space="0" w:color="auto"/>
        <w:bottom w:val="none" w:sz="0" w:space="0" w:color="auto"/>
        <w:right w:val="none" w:sz="0" w:space="0" w:color="auto"/>
      </w:divBdr>
    </w:div>
    <w:div w:id="712926582">
      <w:bodyDiv w:val="1"/>
      <w:marLeft w:val="0"/>
      <w:marRight w:val="0"/>
      <w:marTop w:val="0"/>
      <w:marBottom w:val="0"/>
      <w:divBdr>
        <w:top w:val="none" w:sz="0" w:space="0" w:color="auto"/>
        <w:left w:val="none" w:sz="0" w:space="0" w:color="auto"/>
        <w:bottom w:val="none" w:sz="0" w:space="0" w:color="auto"/>
        <w:right w:val="none" w:sz="0" w:space="0" w:color="auto"/>
      </w:divBdr>
    </w:div>
    <w:div w:id="720329902">
      <w:bodyDiv w:val="1"/>
      <w:marLeft w:val="0"/>
      <w:marRight w:val="0"/>
      <w:marTop w:val="0"/>
      <w:marBottom w:val="0"/>
      <w:divBdr>
        <w:top w:val="none" w:sz="0" w:space="0" w:color="auto"/>
        <w:left w:val="none" w:sz="0" w:space="0" w:color="auto"/>
        <w:bottom w:val="none" w:sz="0" w:space="0" w:color="auto"/>
        <w:right w:val="none" w:sz="0" w:space="0" w:color="auto"/>
      </w:divBdr>
    </w:div>
    <w:div w:id="731736383">
      <w:bodyDiv w:val="1"/>
      <w:marLeft w:val="0"/>
      <w:marRight w:val="0"/>
      <w:marTop w:val="0"/>
      <w:marBottom w:val="0"/>
      <w:divBdr>
        <w:top w:val="none" w:sz="0" w:space="0" w:color="auto"/>
        <w:left w:val="none" w:sz="0" w:space="0" w:color="auto"/>
        <w:bottom w:val="none" w:sz="0" w:space="0" w:color="auto"/>
        <w:right w:val="none" w:sz="0" w:space="0" w:color="auto"/>
      </w:divBdr>
    </w:div>
    <w:div w:id="739985404">
      <w:bodyDiv w:val="1"/>
      <w:marLeft w:val="0"/>
      <w:marRight w:val="0"/>
      <w:marTop w:val="0"/>
      <w:marBottom w:val="0"/>
      <w:divBdr>
        <w:top w:val="none" w:sz="0" w:space="0" w:color="auto"/>
        <w:left w:val="none" w:sz="0" w:space="0" w:color="auto"/>
        <w:bottom w:val="none" w:sz="0" w:space="0" w:color="auto"/>
        <w:right w:val="none" w:sz="0" w:space="0" w:color="auto"/>
      </w:divBdr>
    </w:div>
    <w:div w:id="752431385">
      <w:bodyDiv w:val="1"/>
      <w:marLeft w:val="0"/>
      <w:marRight w:val="0"/>
      <w:marTop w:val="0"/>
      <w:marBottom w:val="0"/>
      <w:divBdr>
        <w:top w:val="none" w:sz="0" w:space="0" w:color="auto"/>
        <w:left w:val="none" w:sz="0" w:space="0" w:color="auto"/>
        <w:bottom w:val="none" w:sz="0" w:space="0" w:color="auto"/>
        <w:right w:val="none" w:sz="0" w:space="0" w:color="auto"/>
      </w:divBdr>
    </w:div>
    <w:div w:id="756052735">
      <w:bodyDiv w:val="1"/>
      <w:marLeft w:val="0"/>
      <w:marRight w:val="0"/>
      <w:marTop w:val="0"/>
      <w:marBottom w:val="0"/>
      <w:divBdr>
        <w:top w:val="none" w:sz="0" w:space="0" w:color="auto"/>
        <w:left w:val="none" w:sz="0" w:space="0" w:color="auto"/>
        <w:bottom w:val="none" w:sz="0" w:space="0" w:color="auto"/>
        <w:right w:val="none" w:sz="0" w:space="0" w:color="auto"/>
      </w:divBdr>
    </w:div>
    <w:div w:id="779835617">
      <w:bodyDiv w:val="1"/>
      <w:marLeft w:val="0"/>
      <w:marRight w:val="0"/>
      <w:marTop w:val="0"/>
      <w:marBottom w:val="0"/>
      <w:divBdr>
        <w:top w:val="none" w:sz="0" w:space="0" w:color="auto"/>
        <w:left w:val="none" w:sz="0" w:space="0" w:color="auto"/>
        <w:bottom w:val="none" w:sz="0" w:space="0" w:color="auto"/>
        <w:right w:val="none" w:sz="0" w:space="0" w:color="auto"/>
      </w:divBdr>
    </w:div>
    <w:div w:id="797457017">
      <w:bodyDiv w:val="1"/>
      <w:marLeft w:val="0"/>
      <w:marRight w:val="0"/>
      <w:marTop w:val="0"/>
      <w:marBottom w:val="0"/>
      <w:divBdr>
        <w:top w:val="none" w:sz="0" w:space="0" w:color="auto"/>
        <w:left w:val="none" w:sz="0" w:space="0" w:color="auto"/>
        <w:bottom w:val="none" w:sz="0" w:space="0" w:color="auto"/>
        <w:right w:val="none" w:sz="0" w:space="0" w:color="auto"/>
      </w:divBdr>
    </w:div>
    <w:div w:id="803621679">
      <w:bodyDiv w:val="1"/>
      <w:marLeft w:val="0"/>
      <w:marRight w:val="0"/>
      <w:marTop w:val="0"/>
      <w:marBottom w:val="0"/>
      <w:divBdr>
        <w:top w:val="none" w:sz="0" w:space="0" w:color="auto"/>
        <w:left w:val="none" w:sz="0" w:space="0" w:color="auto"/>
        <w:bottom w:val="none" w:sz="0" w:space="0" w:color="auto"/>
        <w:right w:val="none" w:sz="0" w:space="0" w:color="auto"/>
      </w:divBdr>
      <w:divsChild>
        <w:div w:id="1927306104">
          <w:marLeft w:val="0"/>
          <w:marRight w:val="0"/>
          <w:marTop w:val="0"/>
          <w:marBottom w:val="0"/>
          <w:divBdr>
            <w:top w:val="none" w:sz="0" w:space="0" w:color="auto"/>
            <w:left w:val="none" w:sz="0" w:space="0" w:color="auto"/>
            <w:bottom w:val="none" w:sz="0" w:space="0" w:color="auto"/>
            <w:right w:val="none" w:sz="0" w:space="0" w:color="auto"/>
          </w:divBdr>
          <w:divsChild>
            <w:div w:id="1490747558">
              <w:marLeft w:val="0"/>
              <w:marRight w:val="0"/>
              <w:marTop w:val="0"/>
              <w:marBottom w:val="0"/>
              <w:divBdr>
                <w:top w:val="none" w:sz="0" w:space="0" w:color="auto"/>
                <w:left w:val="none" w:sz="0" w:space="0" w:color="auto"/>
                <w:bottom w:val="none" w:sz="0" w:space="0" w:color="auto"/>
                <w:right w:val="none" w:sz="0" w:space="0" w:color="auto"/>
              </w:divBdr>
              <w:divsChild>
                <w:div w:id="467014720">
                  <w:marLeft w:val="0"/>
                  <w:marRight w:val="0"/>
                  <w:marTop w:val="0"/>
                  <w:marBottom w:val="0"/>
                  <w:divBdr>
                    <w:top w:val="none" w:sz="0" w:space="0" w:color="auto"/>
                    <w:left w:val="none" w:sz="0" w:space="0" w:color="auto"/>
                    <w:bottom w:val="none" w:sz="0" w:space="0" w:color="auto"/>
                    <w:right w:val="none" w:sz="0" w:space="0" w:color="auto"/>
                  </w:divBdr>
                  <w:divsChild>
                    <w:div w:id="687104581">
                      <w:marLeft w:val="0"/>
                      <w:marRight w:val="0"/>
                      <w:marTop w:val="0"/>
                      <w:marBottom w:val="0"/>
                      <w:divBdr>
                        <w:top w:val="none" w:sz="0" w:space="0" w:color="auto"/>
                        <w:left w:val="none" w:sz="0" w:space="0" w:color="auto"/>
                        <w:bottom w:val="none" w:sz="0" w:space="0" w:color="auto"/>
                        <w:right w:val="none" w:sz="0" w:space="0" w:color="auto"/>
                      </w:divBdr>
                      <w:divsChild>
                        <w:div w:id="5172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73209">
      <w:bodyDiv w:val="1"/>
      <w:marLeft w:val="0"/>
      <w:marRight w:val="0"/>
      <w:marTop w:val="0"/>
      <w:marBottom w:val="0"/>
      <w:divBdr>
        <w:top w:val="none" w:sz="0" w:space="0" w:color="auto"/>
        <w:left w:val="none" w:sz="0" w:space="0" w:color="auto"/>
        <w:bottom w:val="none" w:sz="0" w:space="0" w:color="auto"/>
        <w:right w:val="none" w:sz="0" w:space="0" w:color="auto"/>
      </w:divBdr>
    </w:div>
    <w:div w:id="834803461">
      <w:bodyDiv w:val="1"/>
      <w:marLeft w:val="0"/>
      <w:marRight w:val="0"/>
      <w:marTop w:val="0"/>
      <w:marBottom w:val="0"/>
      <w:divBdr>
        <w:top w:val="none" w:sz="0" w:space="0" w:color="auto"/>
        <w:left w:val="none" w:sz="0" w:space="0" w:color="auto"/>
        <w:bottom w:val="none" w:sz="0" w:space="0" w:color="auto"/>
        <w:right w:val="none" w:sz="0" w:space="0" w:color="auto"/>
      </w:divBdr>
    </w:div>
    <w:div w:id="863440789">
      <w:bodyDiv w:val="1"/>
      <w:marLeft w:val="0"/>
      <w:marRight w:val="0"/>
      <w:marTop w:val="0"/>
      <w:marBottom w:val="0"/>
      <w:divBdr>
        <w:top w:val="none" w:sz="0" w:space="0" w:color="auto"/>
        <w:left w:val="none" w:sz="0" w:space="0" w:color="auto"/>
        <w:bottom w:val="none" w:sz="0" w:space="0" w:color="auto"/>
        <w:right w:val="none" w:sz="0" w:space="0" w:color="auto"/>
      </w:divBdr>
    </w:div>
    <w:div w:id="879049075">
      <w:bodyDiv w:val="1"/>
      <w:marLeft w:val="0"/>
      <w:marRight w:val="0"/>
      <w:marTop w:val="0"/>
      <w:marBottom w:val="0"/>
      <w:divBdr>
        <w:top w:val="none" w:sz="0" w:space="0" w:color="auto"/>
        <w:left w:val="none" w:sz="0" w:space="0" w:color="auto"/>
        <w:bottom w:val="none" w:sz="0" w:space="0" w:color="auto"/>
        <w:right w:val="none" w:sz="0" w:space="0" w:color="auto"/>
      </w:divBdr>
    </w:div>
    <w:div w:id="879198167">
      <w:bodyDiv w:val="1"/>
      <w:marLeft w:val="0"/>
      <w:marRight w:val="0"/>
      <w:marTop w:val="0"/>
      <w:marBottom w:val="0"/>
      <w:divBdr>
        <w:top w:val="none" w:sz="0" w:space="0" w:color="auto"/>
        <w:left w:val="none" w:sz="0" w:space="0" w:color="auto"/>
        <w:bottom w:val="none" w:sz="0" w:space="0" w:color="auto"/>
        <w:right w:val="none" w:sz="0" w:space="0" w:color="auto"/>
      </w:divBdr>
      <w:divsChild>
        <w:div w:id="850411572">
          <w:marLeft w:val="0"/>
          <w:marRight w:val="0"/>
          <w:marTop w:val="0"/>
          <w:marBottom w:val="0"/>
          <w:divBdr>
            <w:top w:val="none" w:sz="0" w:space="0" w:color="auto"/>
            <w:left w:val="none" w:sz="0" w:space="0" w:color="auto"/>
            <w:bottom w:val="none" w:sz="0" w:space="0" w:color="auto"/>
            <w:right w:val="none" w:sz="0" w:space="0" w:color="auto"/>
          </w:divBdr>
        </w:div>
      </w:divsChild>
    </w:div>
    <w:div w:id="883440951">
      <w:bodyDiv w:val="1"/>
      <w:marLeft w:val="0"/>
      <w:marRight w:val="0"/>
      <w:marTop w:val="0"/>
      <w:marBottom w:val="0"/>
      <w:divBdr>
        <w:top w:val="none" w:sz="0" w:space="0" w:color="auto"/>
        <w:left w:val="none" w:sz="0" w:space="0" w:color="auto"/>
        <w:bottom w:val="none" w:sz="0" w:space="0" w:color="auto"/>
        <w:right w:val="none" w:sz="0" w:space="0" w:color="auto"/>
      </w:divBdr>
    </w:div>
    <w:div w:id="891766352">
      <w:bodyDiv w:val="1"/>
      <w:marLeft w:val="0"/>
      <w:marRight w:val="0"/>
      <w:marTop w:val="0"/>
      <w:marBottom w:val="0"/>
      <w:divBdr>
        <w:top w:val="none" w:sz="0" w:space="0" w:color="auto"/>
        <w:left w:val="none" w:sz="0" w:space="0" w:color="auto"/>
        <w:bottom w:val="none" w:sz="0" w:space="0" w:color="auto"/>
        <w:right w:val="none" w:sz="0" w:space="0" w:color="auto"/>
      </w:divBdr>
    </w:div>
    <w:div w:id="892691233">
      <w:bodyDiv w:val="1"/>
      <w:marLeft w:val="0"/>
      <w:marRight w:val="0"/>
      <w:marTop w:val="0"/>
      <w:marBottom w:val="0"/>
      <w:divBdr>
        <w:top w:val="none" w:sz="0" w:space="0" w:color="auto"/>
        <w:left w:val="none" w:sz="0" w:space="0" w:color="auto"/>
        <w:bottom w:val="none" w:sz="0" w:space="0" w:color="auto"/>
        <w:right w:val="none" w:sz="0" w:space="0" w:color="auto"/>
      </w:divBdr>
    </w:div>
    <w:div w:id="941188228">
      <w:bodyDiv w:val="1"/>
      <w:marLeft w:val="0"/>
      <w:marRight w:val="0"/>
      <w:marTop w:val="0"/>
      <w:marBottom w:val="0"/>
      <w:divBdr>
        <w:top w:val="none" w:sz="0" w:space="0" w:color="auto"/>
        <w:left w:val="none" w:sz="0" w:space="0" w:color="auto"/>
        <w:bottom w:val="none" w:sz="0" w:space="0" w:color="auto"/>
        <w:right w:val="none" w:sz="0" w:space="0" w:color="auto"/>
      </w:divBdr>
    </w:div>
    <w:div w:id="955451794">
      <w:bodyDiv w:val="1"/>
      <w:marLeft w:val="0"/>
      <w:marRight w:val="0"/>
      <w:marTop w:val="0"/>
      <w:marBottom w:val="0"/>
      <w:divBdr>
        <w:top w:val="none" w:sz="0" w:space="0" w:color="auto"/>
        <w:left w:val="none" w:sz="0" w:space="0" w:color="auto"/>
        <w:bottom w:val="none" w:sz="0" w:space="0" w:color="auto"/>
        <w:right w:val="none" w:sz="0" w:space="0" w:color="auto"/>
      </w:divBdr>
    </w:div>
    <w:div w:id="957180606">
      <w:bodyDiv w:val="1"/>
      <w:marLeft w:val="0"/>
      <w:marRight w:val="0"/>
      <w:marTop w:val="0"/>
      <w:marBottom w:val="0"/>
      <w:divBdr>
        <w:top w:val="none" w:sz="0" w:space="0" w:color="auto"/>
        <w:left w:val="none" w:sz="0" w:space="0" w:color="auto"/>
        <w:bottom w:val="none" w:sz="0" w:space="0" w:color="auto"/>
        <w:right w:val="none" w:sz="0" w:space="0" w:color="auto"/>
      </w:divBdr>
    </w:div>
    <w:div w:id="958296433">
      <w:bodyDiv w:val="1"/>
      <w:marLeft w:val="0"/>
      <w:marRight w:val="0"/>
      <w:marTop w:val="0"/>
      <w:marBottom w:val="0"/>
      <w:divBdr>
        <w:top w:val="none" w:sz="0" w:space="0" w:color="auto"/>
        <w:left w:val="none" w:sz="0" w:space="0" w:color="auto"/>
        <w:bottom w:val="none" w:sz="0" w:space="0" w:color="auto"/>
        <w:right w:val="none" w:sz="0" w:space="0" w:color="auto"/>
      </w:divBdr>
      <w:divsChild>
        <w:div w:id="97144045">
          <w:marLeft w:val="0"/>
          <w:marRight w:val="0"/>
          <w:marTop w:val="0"/>
          <w:marBottom w:val="0"/>
          <w:divBdr>
            <w:top w:val="none" w:sz="0" w:space="0" w:color="auto"/>
            <w:left w:val="none" w:sz="0" w:space="0" w:color="auto"/>
            <w:bottom w:val="none" w:sz="0" w:space="0" w:color="auto"/>
            <w:right w:val="none" w:sz="0" w:space="0" w:color="auto"/>
          </w:divBdr>
        </w:div>
      </w:divsChild>
    </w:div>
    <w:div w:id="964046517">
      <w:bodyDiv w:val="1"/>
      <w:marLeft w:val="0"/>
      <w:marRight w:val="0"/>
      <w:marTop w:val="0"/>
      <w:marBottom w:val="0"/>
      <w:divBdr>
        <w:top w:val="none" w:sz="0" w:space="0" w:color="auto"/>
        <w:left w:val="none" w:sz="0" w:space="0" w:color="auto"/>
        <w:bottom w:val="none" w:sz="0" w:space="0" w:color="auto"/>
        <w:right w:val="none" w:sz="0" w:space="0" w:color="auto"/>
      </w:divBdr>
    </w:div>
    <w:div w:id="964313769">
      <w:bodyDiv w:val="1"/>
      <w:marLeft w:val="0"/>
      <w:marRight w:val="0"/>
      <w:marTop w:val="0"/>
      <w:marBottom w:val="0"/>
      <w:divBdr>
        <w:top w:val="none" w:sz="0" w:space="0" w:color="auto"/>
        <w:left w:val="none" w:sz="0" w:space="0" w:color="auto"/>
        <w:bottom w:val="none" w:sz="0" w:space="0" w:color="auto"/>
        <w:right w:val="none" w:sz="0" w:space="0" w:color="auto"/>
      </w:divBdr>
    </w:div>
    <w:div w:id="978414069">
      <w:bodyDiv w:val="1"/>
      <w:marLeft w:val="0"/>
      <w:marRight w:val="0"/>
      <w:marTop w:val="0"/>
      <w:marBottom w:val="0"/>
      <w:divBdr>
        <w:top w:val="none" w:sz="0" w:space="0" w:color="auto"/>
        <w:left w:val="none" w:sz="0" w:space="0" w:color="auto"/>
        <w:bottom w:val="none" w:sz="0" w:space="0" w:color="auto"/>
        <w:right w:val="none" w:sz="0" w:space="0" w:color="auto"/>
      </w:divBdr>
    </w:div>
    <w:div w:id="990871012">
      <w:bodyDiv w:val="1"/>
      <w:marLeft w:val="0"/>
      <w:marRight w:val="0"/>
      <w:marTop w:val="0"/>
      <w:marBottom w:val="0"/>
      <w:divBdr>
        <w:top w:val="none" w:sz="0" w:space="0" w:color="auto"/>
        <w:left w:val="none" w:sz="0" w:space="0" w:color="auto"/>
        <w:bottom w:val="none" w:sz="0" w:space="0" w:color="auto"/>
        <w:right w:val="none" w:sz="0" w:space="0" w:color="auto"/>
      </w:divBdr>
    </w:div>
    <w:div w:id="996802787">
      <w:bodyDiv w:val="1"/>
      <w:marLeft w:val="0"/>
      <w:marRight w:val="0"/>
      <w:marTop w:val="0"/>
      <w:marBottom w:val="0"/>
      <w:divBdr>
        <w:top w:val="none" w:sz="0" w:space="0" w:color="auto"/>
        <w:left w:val="none" w:sz="0" w:space="0" w:color="auto"/>
        <w:bottom w:val="none" w:sz="0" w:space="0" w:color="auto"/>
        <w:right w:val="none" w:sz="0" w:space="0" w:color="auto"/>
      </w:divBdr>
    </w:div>
    <w:div w:id="1012492734">
      <w:bodyDiv w:val="1"/>
      <w:marLeft w:val="0"/>
      <w:marRight w:val="0"/>
      <w:marTop w:val="0"/>
      <w:marBottom w:val="0"/>
      <w:divBdr>
        <w:top w:val="none" w:sz="0" w:space="0" w:color="auto"/>
        <w:left w:val="none" w:sz="0" w:space="0" w:color="auto"/>
        <w:bottom w:val="none" w:sz="0" w:space="0" w:color="auto"/>
        <w:right w:val="none" w:sz="0" w:space="0" w:color="auto"/>
      </w:divBdr>
    </w:div>
    <w:div w:id="1015308255">
      <w:bodyDiv w:val="1"/>
      <w:marLeft w:val="0"/>
      <w:marRight w:val="0"/>
      <w:marTop w:val="0"/>
      <w:marBottom w:val="0"/>
      <w:divBdr>
        <w:top w:val="none" w:sz="0" w:space="0" w:color="auto"/>
        <w:left w:val="none" w:sz="0" w:space="0" w:color="auto"/>
        <w:bottom w:val="none" w:sz="0" w:space="0" w:color="auto"/>
        <w:right w:val="none" w:sz="0" w:space="0" w:color="auto"/>
      </w:divBdr>
    </w:div>
    <w:div w:id="1025132291">
      <w:bodyDiv w:val="1"/>
      <w:marLeft w:val="0"/>
      <w:marRight w:val="0"/>
      <w:marTop w:val="0"/>
      <w:marBottom w:val="0"/>
      <w:divBdr>
        <w:top w:val="none" w:sz="0" w:space="0" w:color="auto"/>
        <w:left w:val="none" w:sz="0" w:space="0" w:color="auto"/>
        <w:bottom w:val="none" w:sz="0" w:space="0" w:color="auto"/>
        <w:right w:val="none" w:sz="0" w:space="0" w:color="auto"/>
      </w:divBdr>
    </w:div>
    <w:div w:id="1026447071">
      <w:bodyDiv w:val="1"/>
      <w:marLeft w:val="0"/>
      <w:marRight w:val="0"/>
      <w:marTop w:val="0"/>
      <w:marBottom w:val="0"/>
      <w:divBdr>
        <w:top w:val="none" w:sz="0" w:space="0" w:color="auto"/>
        <w:left w:val="none" w:sz="0" w:space="0" w:color="auto"/>
        <w:bottom w:val="none" w:sz="0" w:space="0" w:color="auto"/>
        <w:right w:val="none" w:sz="0" w:space="0" w:color="auto"/>
      </w:divBdr>
    </w:div>
    <w:div w:id="1033388102">
      <w:bodyDiv w:val="1"/>
      <w:marLeft w:val="0"/>
      <w:marRight w:val="0"/>
      <w:marTop w:val="0"/>
      <w:marBottom w:val="0"/>
      <w:divBdr>
        <w:top w:val="none" w:sz="0" w:space="0" w:color="auto"/>
        <w:left w:val="none" w:sz="0" w:space="0" w:color="auto"/>
        <w:bottom w:val="none" w:sz="0" w:space="0" w:color="auto"/>
        <w:right w:val="none" w:sz="0" w:space="0" w:color="auto"/>
      </w:divBdr>
      <w:divsChild>
        <w:div w:id="1327174522">
          <w:marLeft w:val="0"/>
          <w:marRight w:val="0"/>
          <w:marTop w:val="0"/>
          <w:marBottom w:val="0"/>
          <w:divBdr>
            <w:top w:val="none" w:sz="0" w:space="0" w:color="auto"/>
            <w:left w:val="none" w:sz="0" w:space="0" w:color="auto"/>
            <w:bottom w:val="none" w:sz="0" w:space="0" w:color="auto"/>
            <w:right w:val="none" w:sz="0" w:space="0" w:color="auto"/>
          </w:divBdr>
        </w:div>
      </w:divsChild>
    </w:div>
    <w:div w:id="1036808725">
      <w:bodyDiv w:val="1"/>
      <w:marLeft w:val="0"/>
      <w:marRight w:val="0"/>
      <w:marTop w:val="0"/>
      <w:marBottom w:val="0"/>
      <w:divBdr>
        <w:top w:val="none" w:sz="0" w:space="0" w:color="auto"/>
        <w:left w:val="none" w:sz="0" w:space="0" w:color="auto"/>
        <w:bottom w:val="none" w:sz="0" w:space="0" w:color="auto"/>
        <w:right w:val="none" w:sz="0" w:space="0" w:color="auto"/>
      </w:divBdr>
      <w:divsChild>
        <w:div w:id="1958026754">
          <w:marLeft w:val="0"/>
          <w:marRight w:val="0"/>
          <w:marTop w:val="0"/>
          <w:marBottom w:val="0"/>
          <w:divBdr>
            <w:top w:val="none" w:sz="0" w:space="0" w:color="auto"/>
            <w:left w:val="none" w:sz="0" w:space="0" w:color="auto"/>
            <w:bottom w:val="none" w:sz="0" w:space="0" w:color="auto"/>
            <w:right w:val="none" w:sz="0" w:space="0" w:color="auto"/>
          </w:divBdr>
        </w:div>
      </w:divsChild>
    </w:div>
    <w:div w:id="1044719675">
      <w:bodyDiv w:val="1"/>
      <w:marLeft w:val="0"/>
      <w:marRight w:val="0"/>
      <w:marTop w:val="0"/>
      <w:marBottom w:val="0"/>
      <w:divBdr>
        <w:top w:val="none" w:sz="0" w:space="0" w:color="auto"/>
        <w:left w:val="none" w:sz="0" w:space="0" w:color="auto"/>
        <w:bottom w:val="none" w:sz="0" w:space="0" w:color="auto"/>
        <w:right w:val="none" w:sz="0" w:space="0" w:color="auto"/>
      </w:divBdr>
    </w:div>
    <w:div w:id="1049109302">
      <w:bodyDiv w:val="1"/>
      <w:marLeft w:val="0"/>
      <w:marRight w:val="0"/>
      <w:marTop w:val="0"/>
      <w:marBottom w:val="0"/>
      <w:divBdr>
        <w:top w:val="none" w:sz="0" w:space="0" w:color="auto"/>
        <w:left w:val="none" w:sz="0" w:space="0" w:color="auto"/>
        <w:bottom w:val="none" w:sz="0" w:space="0" w:color="auto"/>
        <w:right w:val="none" w:sz="0" w:space="0" w:color="auto"/>
      </w:divBdr>
    </w:div>
    <w:div w:id="1050956205">
      <w:bodyDiv w:val="1"/>
      <w:marLeft w:val="0"/>
      <w:marRight w:val="0"/>
      <w:marTop w:val="0"/>
      <w:marBottom w:val="0"/>
      <w:divBdr>
        <w:top w:val="none" w:sz="0" w:space="0" w:color="auto"/>
        <w:left w:val="none" w:sz="0" w:space="0" w:color="auto"/>
        <w:bottom w:val="none" w:sz="0" w:space="0" w:color="auto"/>
        <w:right w:val="none" w:sz="0" w:space="0" w:color="auto"/>
      </w:divBdr>
      <w:divsChild>
        <w:div w:id="437995186">
          <w:marLeft w:val="0"/>
          <w:marRight w:val="0"/>
          <w:marTop w:val="0"/>
          <w:marBottom w:val="0"/>
          <w:divBdr>
            <w:top w:val="none" w:sz="0" w:space="0" w:color="auto"/>
            <w:left w:val="none" w:sz="0" w:space="0" w:color="auto"/>
            <w:bottom w:val="none" w:sz="0" w:space="0" w:color="auto"/>
            <w:right w:val="none" w:sz="0" w:space="0" w:color="auto"/>
          </w:divBdr>
        </w:div>
      </w:divsChild>
    </w:div>
    <w:div w:id="1057246486">
      <w:bodyDiv w:val="1"/>
      <w:marLeft w:val="0"/>
      <w:marRight w:val="0"/>
      <w:marTop w:val="0"/>
      <w:marBottom w:val="0"/>
      <w:divBdr>
        <w:top w:val="none" w:sz="0" w:space="0" w:color="auto"/>
        <w:left w:val="none" w:sz="0" w:space="0" w:color="auto"/>
        <w:bottom w:val="none" w:sz="0" w:space="0" w:color="auto"/>
        <w:right w:val="none" w:sz="0" w:space="0" w:color="auto"/>
      </w:divBdr>
    </w:div>
    <w:div w:id="1074277343">
      <w:bodyDiv w:val="1"/>
      <w:marLeft w:val="0"/>
      <w:marRight w:val="0"/>
      <w:marTop w:val="0"/>
      <w:marBottom w:val="0"/>
      <w:divBdr>
        <w:top w:val="none" w:sz="0" w:space="0" w:color="auto"/>
        <w:left w:val="none" w:sz="0" w:space="0" w:color="auto"/>
        <w:bottom w:val="none" w:sz="0" w:space="0" w:color="auto"/>
        <w:right w:val="none" w:sz="0" w:space="0" w:color="auto"/>
      </w:divBdr>
    </w:div>
    <w:div w:id="1076786026">
      <w:bodyDiv w:val="1"/>
      <w:marLeft w:val="0"/>
      <w:marRight w:val="0"/>
      <w:marTop w:val="0"/>
      <w:marBottom w:val="0"/>
      <w:divBdr>
        <w:top w:val="none" w:sz="0" w:space="0" w:color="auto"/>
        <w:left w:val="none" w:sz="0" w:space="0" w:color="auto"/>
        <w:bottom w:val="none" w:sz="0" w:space="0" w:color="auto"/>
        <w:right w:val="none" w:sz="0" w:space="0" w:color="auto"/>
      </w:divBdr>
    </w:div>
    <w:div w:id="1106387900">
      <w:bodyDiv w:val="1"/>
      <w:marLeft w:val="0"/>
      <w:marRight w:val="0"/>
      <w:marTop w:val="0"/>
      <w:marBottom w:val="0"/>
      <w:divBdr>
        <w:top w:val="none" w:sz="0" w:space="0" w:color="auto"/>
        <w:left w:val="none" w:sz="0" w:space="0" w:color="auto"/>
        <w:bottom w:val="none" w:sz="0" w:space="0" w:color="auto"/>
        <w:right w:val="none" w:sz="0" w:space="0" w:color="auto"/>
      </w:divBdr>
    </w:div>
    <w:div w:id="1132090469">
      <w:bodyDiv w:val="1"/>
      <w:marLeft w:val="0"/>
      <w:marRight w:val="0"/>
      <w:marTop w:val="0"/>
      <w:marBottom w:val="0"/>
      <w:divBdr>
        <w:top w:val="none" w:sz="0" w:space="0" w:color="auto"/>
        <w:left w:val="none" w:sz="0" w:space="0" w:color="auto"/>
        <w:bottom w:val="none" w:sz="0" w:space="0" w:color="auto"/>
        <w:right w:val="none" w:sz="0" w:space="0" w:color="auto"/>
      </w:divBdr>
    </w:div>
    <w:div w:id="1135568107">
      <w:bodyDiv w:val="1"/>
      <w:marLeft w:val="0"/>
      <w:marRight w:val="0"/>
      <w:marTop w:val="0"/>
      <w:marBottom w:val="0"/>
      <w:divBdr>
        <w:top w:val="none" w:sz="0" w:space="0" w:color="auto"/>
        <w:left w:val="none" w:sz="0" w:space="0" w:color="auto"/>
        <w:bottom w:val="none" w:sz="0" w:space="0" w:color="auto"/>
        <w:right w:val="none" w:sz="0" w:space="0" w:color="auto"/>
      </w:divBdr>
    </w:div>
    <w:div w:id="1137724810">
      <w:bodyDiv w:val="1"/>
      <w:marLeft w:val="0"/>
      <w:marRight w:val="0"/>
      <w:marTop w:val="0"/>
      <w:marBottom w:val="0"/>
      <w:divBdr>
        <w:top w:val="none" w:sz="0" w:space="0" w:color="auto"/>
        <w:left w:val="none" w:sz="0" w:space="0" w:color="auto"/>
        <w:bottom w:val="none" w:sz="0" w:space="0" w:color="auto"/>
        <w:right w:val="none" w:sz="0" w:space="0" w:color="auto"/>
      </w:divBdr>
    </w:div>
    <w:div w:id="1138451054">
      <w:bodyDiv w:val="1"/>
      <w:marLeft w:val="0"/>
      <w:marRight w:val="0"/>
      <w:marTop w:val="0"/>
      <w:marBottom w:val="0"/>
      <w:divBdr>
        <w:top w:val="none" w:sz="0" w:space="0" w:color="auto"/>
        <w:left w:val="none" w:sz="0" w:space="0" w:color="auto"/>
        <w:bottom w:val="none" w:sz="0" w:space="0" w:color="auto"/>
        <w:right w:val="none" w:sz="0" w:space="0" w:color="auto"/>
      </w:divBdr>
    </w:div>
    <w:div w:id="1145929612">
      <w:bodyDiv w:val="1"/>
      <w:marLeft w:val="0"/>
      <w:marRight w:val="0"/>
      <w:marTop w:val="0"/>
      <w:marBottom w:val="0"/>
      <w:divBdr>
        <w:top w:val="none" w:sz="0" w:space="0" w:color="auto"/>
        <w:left w:val="none" w:sz="0" w:space="0" w:color="auto"/>
        <w:bottom w:val="none" w:sz="0" w:space="0" w:color="auto"/>
        <w:right w:val="none" w:sz="0" w:space="0" w:color="auto"/>
      </w:divBdr>
    </w:div>
    <w:div w:id="1147168912">
      <w:bodyDiv w:val="1"/>
      <w:marLeft w:val="0"/>
      <w:marRight w:val="0"/>
      <w:marTop w:val="0"/>
      <w:marBottom w:val="0"/>
      <w:divBdr>
        <w:top w:val="none" w:sz="0" w:space="0" w:color="auto"/>
        <w:left w:val="none" w:sz="0" w:space="0" w:color="auto"/>
        <w:bottom w:val="none" w:sz="0" w:space="0" w:color="auto"/>
        <w:right w:val="none" w:sz="0" w:space="0" w:color="auto"/>
      </w:divBdr>
    </w:div>
    <w:div w:id="1148546530">
      <w:bodyDiv w:val="1"/>
      <w:marLeft w:val="0"/>
      <w:marRight w:val="0"/>
      <w:marTop w:val="0"/>
      <w:marBottom w:val="0"/>
      <w:divBdr>
        <w:top w:val="none" w:sz="0" w:space="0" w:color="auto"/>
        <w:left w:val="none" w:sz="0" w:space="0" w:color="auto"/>
        <w:bottom w:val="none" w:sz="0" w:space="0" w:color="auto"/>
        <w:right w:val="none" w:sz="0" w:space="0" w:color="auto"/>
      </w:divBdr>
      <w:divsChild>
        <w:div w:id="1189413129">
          <w:marLeft w:val="0"/>
          <w:marRight w:val="0"/>
          <w:marTop w:val="0"/>
          <w:marBottom w:val="0"/>
          <w:divBdr>
            <w:top w:val="none" w:sz="0" w:space="0" w:color="auto"/>
            <w:left w:val="none" w:sz="0" w:space="0" w:color="auto"/>
            <w:bottom w:val="none" w:sz="0" w:space="0" w:color="auto"/>
            <w:right w:val="none" w:sz="0" w:space="0" w:color="auto"/>
          </w:divBdr>
        </w:div>
      </w:divsChild>
    </w:div>
    <w:div w:id="1149327883">
      <w:bodyDiv w:val="1"/>
      <w:marLeft w:val="0"/>
      <w:marRight w:val="0"/>
      <w:marTop w:val="0"/>
      <w:marBottom w:val="0"/>
      <w:divBdr>
        <w:top w:val="none" w:sz="0" w:space="0" w:color="auto"/>
        <w:left w:val="none" w:sz="0" w:space="0" w:color="auto"/>
        <w:bottom w:val="none" w:sz="0" w:space="0" w:color="auto"/>
        <w:right w:val="none" w:sz="0" w:space="0" w:color="auto"/>
      </w:divBdr>
    </w:div>
    <w:div w:id="1171414197">
      <w:bodyDiv w:val="1"/>
      <w:marLeft w:val="0"/>
      <w:marRight w:val="0"/>
      <w:marTop w:val="0"/>
      <w:marBottom w:val="0"/>
      <w:divBdr>
        <w:top w:val="none" w:sz="0" w:space="0" w:color="auto"/>
        <w:left w:val="none" w:sz="0" w:space="0" w:color="auto"/>
        <w:bottom w:val="none" w:sz="0" w:space="0" w:color="auto"/>
        <w:right w:val="none" w:sz="0" w:space="0" w:color="auto"/>
      </w:divBdr>
    </w:div>
    <w:div w:id="1195461087">
      <w:bodyDiv w:val="1"/>
      <w:marLeft w:val="0"/>
      <w:marRight w:val="0"/>
      <w:marTop w:val="0"/>
      <w:marBottom w:val="0"/>
      <w:divBdr>
        <w:top w:val="none" w:sz="0" w:space="0" w:color="auto"/>
        <w:left w:val="none" w:sz="0" w:space="0" w:color="auto"/>
        <w:bottom w:val="none" w:sz="0" w:space="0" w:color="auto"/>
        <w:right w:val="none" w:sz="0" w:space="0" w:color="auto"/>
      </w:divBdr>
    </w:div>
    <w:div w:id="1198355170">
      <w:bodyDiv w:val="1"/>
      <w:marLeft w:val="0"/>
      <w:marRight w:val="0"/>
      <w:marTop w:val="0"/>
      <w:marBottom w:val="0"/>
      <w:divBdr>
        <w:top w:val="none" w:sz="0" w:space="0" w:color="auto"/>
        <w:left w:val="none" w:sz="0" w:space="0" w:color="auto"/>
        <w:bottom w:val="none" w:sz="0" w:space="0" w:color="auto"/>
        <w:right w:val="none" w:sz="0" w:space="0" w:color="auto"/>
      </w:divBdr>
    </w:div>
    <w:div w:id="1203790643">
      <w:bodyDiv w:val="1"/>
      <w:marLeft w:val="0"/>
      <w:marRight w:val="0"/>
      <w:marTop w:val="0"/>
      <w:marBottom w:val="0"/>
      <w:divBdr>
        <w:top w:val="none" w:sz="0" w:space="0" w:color="auto"/>
        <w:left w:val="none" w:sz="0" w:space="0" w:color="auto"/>
        <w:bottom w:val="none" w:sz="0" w:space="0" w:color="auto"/>
        <w:right w:val="none" w:sz="0" w:space="0" w:color="auto"/>
      </w:divBdr>
    </w:div>
    <w:div w:id="1207646952">
      <w:bodyDiv w:val="1"/>
      <w:marLeft w:val="0"/>
      <w:marRight w:val="0"/>
      <w:marTop w:val="0"/>
      <w:marBottom w:val="0"/>
      <w:divBdr>
        <w:top w:val="none" w:sz="0" w:space="0" w:color="auto"/>
        <w:left w:val="none" w:sz="0" w:space="0" w:color="auto"/>
        <w:bottom w:val="none" w:sz="0" w:space="0" w:color="auto"/>
        <w:right w:val="none" w:sz="0" w:space="0" w:color="auto"/>
      </w:divBdr>
    </w:div>
    <w:div w:id="1215115155">
      <w:bodyDiv w:val="1"/>
      <w:marLeft w:val="0"/>
      <w:marRight w:val="0"/>
      <w:marTop w:val="0"/>
      <w:marBottom w:val="0"/>
      <w:divBdr>
        <w:top w:val="none" w:sz="0" w:space="0" w:color="auto"/>
        <w:left w:val="none" w:sz="0" w:space="0" w:color="auto"/>
        <w:bottom w:val="none" w:sz="0" w:space="0" w:color="auto"/>
        <w:right w:val="none" w:sz="0" w:space="0" w:color="auto"/>
      </w:divBdr>
    </w:div>
    <w:div w:id="1215695480">
      <w:bodyDiv w:val="1"/>
      <w:marLeft w:val="0"/>
      <w:marRight w:val="0"/>
      <w:marTop w:val="0"/>
      <w:marBottom w:val="0"/>
      <w:divBdr>
        <w:top w:val="none" w:sz="0" w:space="0" w:color="auto"/>
        <w:left w:val="none" w:sz="0" w:space="0" w:color="auto"/>
        <w:bottom w:val="none" w:sz="0" w:space="0" w:color="auto"/>
        <w:right w:val="none" w:sz="0" w:space="0" w:color="auto"/>
      </w:divBdr>
    </w:div>
    <w:div w:id="1237126261">
      <w:bodyDiv w:val="1"/>
      <w:marLeft w:val="0"/>
      <w:marRight w:val="0"/>
      <w:marTop w:val="0"/>
      <w:marBottom w:val="0"/>
      <w:divBdr>
        <w:top w:val="none" w:sz="0" w:space="0" w:color="auto"/>
        <w:left w:val="none" w:sz="0" w:space="0" w:color="auto"/>
        <w:bottom w:val="none" w:sz="0" w:space="0" w:color="auto"/>
        <w:right w:val="none" w:sz="0" w:space="0" w:color="auto"/>
      </w:divBdr>
    </w:div>
    <w:div w:id="1259943645">
      <w:bodyDiv w:val="1"/>
      <w:marLeft w:val="0"/>
      <w:marRight w:val="0"/>
      <w:marTop w:val="0"/>
      <w:marBottom w:val="0"/>
      <w:divBdr>
        <w:top w:val="none" w:sz="0" w:space="0" w:color="auto"/>
        <w:left w:val="none" w:sz="0" w:space="0" w:color="auto"/>
        <w:bottom w:val="none" w:sz="0" w:space="0" w:color="auto"/>
        <w:right w:val="none" w:sz="0" w:space="0" w:color="auto"/>
      </w:divBdr>
    </w:div>
    <w:div w:id="1259950885">
      <w:bodyDiv w:val="1"/>
      <w:marLeft w:val="0"/>
      <w:marRight w:val="0"/>
      <w:marTop w:val="0"/>
      <w:marBottom w:val="0"/>
      <w:divBdr>
        <w:top w:val="none" w:sz="0" w:space="0" w:color="auto"/>
        <w:left w:val="none" w:sz="0" w:space="0" w:color="auto"/>
        <w:bottom w:val="none" w:sz="0" w:space="0" w:color="auto"/>
        <w:right w:val="none" w:sz="0" w:space="0" w:color="auto"/>
      </w:divBdr>
    </w:div>
    <w:div w:id="1263296872">
      <w:bodyDiv w:val="1"/>
      <w:marLeft w:val="0"/>
      <w:marRight w:val="0"/>
      <w:marTop w:val="0"/>
      <w:marBottom w:val="0"/>
      <w:divBdr>
        <w:top w:val="none" w:sz="0" w:space="0" w:color="auto"/>
        <w:left w:val="none" w:sz="0" w:space="0" w:color="auto"/>
        <w:bottom w:val="none" w:sz="0" w:space="0" w:color="auto"/>
        <w:right w:val="none" w:sz="0" w:space="0" w:color="auto"/>
      </w:divBdr>
    </w:div>
    <w:div w:id="1264798095">
      <w:bodyDiv w:val="1"/>
      <w:marLeft w:val="0"/>
      <w:marRight w:val="0"/>
      <w:marTop w:val="0"/>
      <w:marBottom w:val="0"/>
      <w:divBdr>
        <w:top w:val="none" w:sz="0" w:space="0" w:color="auto"/>
        <w:left w:val="none" w:sz="0" w:space="0" w:color="auto"/>
        <w:bottom w:val="none" w:sz="0" w:space="0" w:color="auto"/>
        <w:right w:val="none" w:sz="0" w:space="0" w:color="auto"/>
      </w:divBdr>
    </w:div>
    <w:div w:id="1268461029">
      <w:bodyDiv w:val="1"/>
      <w:marLeft w:val="0"/>
      <w:marRight w:val="0"/>
      <w:marTop w:val="0"/>
      <w:marBottom w:val="0"/>
      <w:divBdr>
        <w:top w:val="none" w:sz="0" w:space="0" w:color="auto"/>
        <w:left w:val="none" w:sz="0" w:space="0" w:color="auto"/>
        <w:bottom w:val="none" w:sz="0" w:space="0" w:color="auto"/>
        <w:right w:val="none" w:sz="0" w:space="0" w:color="auto"/>
      </w:divBdr>
    </w:div>
    <w:div w:id="1276207414">
      <w:bodyDiv w:val="1"/>
      <w:marLeft w:val="0"/>
      <w:marRight w:val="0"/>
      <w:marTop w:val="0"/>
      <w:marBottom w:val="0"/>
      <w:divBdr>
        <w:top w:val="none" w:sz="0" w:space="0" w:color="auto"/>
        <w:left w:val="none" w:sz="0" w:space="0" w:color="auto"/>
        <w:bottom w:val="none" w:sz="0" w:space="0" w:color="auto"/>
        <w:right w:val="none" w:sz="0" w:space="0" w:color="auto"/>
      </w:divBdr>
    </w:div>
    <w:div w:id="1279413965">
      <w:bodyDiv w:val="1"/>
      <w:marLeft w:val="0"/>
      <w:marRight w:val="0"/>
      <w:marTop w:val="0"/>
      <w:marBottom w:val="0"/>
      <w:divBdr>
        <w:top w:val="none" w:sz="0" w:space="0" w:color="auto"/>
        <w:left w:val="none" w:sz="0" w:space="0" w:color="auto"/>
        <w:bottom w:val="none" w:sz="0" w:space="0" w:color="auto"/>
        <w:right w:val="none" w:sz="0" w:space="0" w:color="auto"/>
      </w:divBdr>
    </w:div>
    <w:div w:id="1279607733">
      <w:bodyDiv w:val="1"/>
      <w:marLeft w:val="0"/>
      <w:marRight w:val="0"/>
      <w:marTop w:val="0"/>
      <w:marBottom w:val="0"/>
      <w:divBdr>
        <w:top w:val="none" w:sz="0" w:space="0" w:color="auto"/>
        <w:left w:val="none" w:sz="0" w:space="0" w:color="auto"/>
        <w:bottom w:val="none" w:sz="0" w:space="0" w:color="auto"/>
        <w:right w:val="none" w:sz="0" w:space="0" w:color="auto"/>
      </w:divBdr>
    </w:div>
    <w:div w:id="1319532424">
      <w:bodyDiv w:val="1"/>
      <w:marLeft w:val="0"/>
      <w:marRight w:val="0"/>
      <w:marTop w:val="0"/>
      <w:marBottom w:val="0"/>
      <w:divBdr>
        <w:top w:val="none" w:sz="0" w:space="0" w:color="auto"/>
        <w:left w:val="none" w:sz="0" w:space="0" w:color="auto"/>
        <w:bottom w:val="none" w:sz="0" w:space="0" w:color="auto"/>
        <w:right w:val="none" w:sz="0" w:space="0" w:color="auto"/>
      </w:divBdr>
    </w:div>
    <w:div w:id="1322351348">
      <w:bodyDiv w:val="1"/>
      <w:marLeft w:val="0"/>
      <w:marRight w:val="0"/>
      <w:marTop w:val="0"/>
      <w:marBottom w:val="0"/>
      <w:divBdr>
        <w:top w:val="none" w:sz="0" w:space="0" w:color="auto"/>
        <w:left w:val="none" w:sz="0" w:space="0" w:color="auto"/>
        <w:bottom w:val="none" w:sz="0" w:space="0" w:color="auto"/>
        <w:right w:val="none" w:sz="0" w:space="0" w:color="auto"/>
      </w:divBdr>
    </w:div>
    <w:div w:id="1326786425">
      <w:bodyDiv w:val="1"/>
      <w:marLeft w:val="0"/>
      <w:marRight w:val="0"/>
      <w:marTop w:val="0"/>
      <w:marBottom w:val="0"/>
      <w:divBdr>
        <w:top w:val="none" w:sz="0" w:space="0" w:color="auto"/>
        <w:left w:val="none" w:sz="0" w:space="0" w:color="auto"/>
        <w:bottom w:val="none" w:sz="0" w:space="0" w:color="auto"/>
        <w:right w:val="none" w:sz="0" w:space="0" w:color="auto"/>
      </w:divBdr>
    </w:div>
    <w:div w:id="1328093843">
      <w:bodyDiv w:val="1"/>
      <w:marLeft w:val="0"/>
      <w:marRight w:val="0"/>
      <w:marTop w:val="0"/>
      <w:marBottom w:val="0"/>
      <w:divBdr>
        <w:top w:val="none" w:sz="0" w:space="0" w:color="auto"/>
        <w:left w:val="none" w:sz="0" w:space="0" w:color="auto"/>
        <w:bottom w:val="none" w:sz="0" w:space="0" w:color="auto"/>
        <w:right w:val="none" w:sz="0" w:space="0" w:color="auto"/>
      </w:divBdr>
    </w:div>
    <w:div w:id="1351570548">
      <w:bodyDiv w:val="1"/>
      <w:marLeft w:val="0"/>
      <w:marRight w:val="0"/>
      <w:marTop w:val="0"/>
      <w:marBottom w:val="0"/>
      <w:divBdr>
        <w:top w:val="none" w:sz="0" w:space="0" w:color="auto"/>
        <w:left w:val="none" w:sz="0" w:space="0" w:color="auto"/>
        <w:bottom w:val="none" w:sz="0" w:space="0" w:color="auto"/>
        <w:right w:val="none" w:sz="0" w:space="0" w:color="auto"/>
      </w:divBdr>
    </w:div>
    <w:div w:id="1353143046">
      <w:bodyDiv w:val="1"/>
      <w:marLeft w:val="0"/>
      <w:marRight w:val="0"/>
      <w:marTop w:val="0"/>
      <w:marBottom w:val="0"/>
      <w:divBdr>
        <w:top w:val="none" w:sz="0" w:space="0" w:color="auto"/>
        <w:left w:val="none" w:sz="0" w:space="0" w:color="auto"/>
        <w:bottom w:val="none" w:sz="0" w:space="0" w:color="auto"/>
        <w:right w:val="none" w:sz="0" w:space="0" w:color="auto"/>
      </w:divBdr>
    </w:div>
    <w:div w:id="1368719625">
      <w:bodyDiv w:val="1"/>
      <w:marLeft w:val="0"/>
      <w:marRight w:val="0"/>
      <w:marTop w:val="0"/>
      <w:marBottom w:val="0"/>
      <w:divBdr>
        <w:top w:val="none" w:sz="0" w:space="0" w:color="auto"/>
        <w:left w:val="none" w:sz="0" w:space="0" w:color="auto"/>
        <w:bottom w:val="none" w:sz="0" w:space="0" w:color="auto"/>
        <w:right w:val="none" w:sz="0" w:space="0" w:color="auto"/>
      </w:divBdr>
    </w:div>
    <w:div w:id="1376587752">
      <w:bodyDiv w:val="1"/>
      <w:marLeft w:val="0"/>
      <w:marRight w:val="0"/>
      <w:marTop w:val="0"/>
      <w:marBottom w:val="0"/>
      <w:divBdr>
        <w:top w:val="none" w:sz="0" w:space="0" w:color="auto"/>
        <w:left w:val="none" w:sz="0" w:space="0" w:color="auto"/>
        <w:bottom w:val="none" w:sz="0" w:space="0" w:color="auto"/>
        <w:right w:val="none" w:sz="0" w:space="0" w:color="auto"/>
      </w:divBdr>
    </w:div>
    <w:div w:id="1380670902">
      <w:bodyDiv w:val="1"/>
      <w:marLeft w:val="0"/>
      <w:marRight w:val="0"/>
      <w:marTop w:val="0"/>
      <w:marBottom w:val="0"/>
      <w:divBdr>
        <w:top w:val="none" w:sz="0" w:space="0" w:color="auto"/>
        <w:left w:val="none" w:sz="0" w:space="0" w:color="auto"/>
        <w:bottom w:val="none" w:sz="0" w:space="0" w:color="auto"/>
        <w:right w:val="none" w:sz="0" w:space="0" w:color="auto"/>
      </w:divBdr>
    </w:div>
    <w:div w:id="1381516593">
      <w:bodyDiv w:val="1"/>
      <w:marLeft w:val="0"/>
      <w:marRight w:val="0"/>
      <w:marTop w:val="0"/>
      <w:marBottom w:val="0"/>
      <w:divBdr>
        <w:top w:val="none" w:sz="0" w:space="0" w:color="auto"/>
        <w:left w:val="none" w:sz="0" w:space="0" w:color="auto"/>
        <w:bottom w:val="none" w:sz="0" w:space="0" w:color="auto"/>
        <w:right w:val="none" w:sz="0" w:space="0" w:color="auto"/>
      </w:divBdr>
    </w:div>
    <w:div w:id="1385567277">
      <w:bodyDiv w:val="1"/>
      <w:marLeft w:val="0"/>
      <w:marRight w:val="0"/>
      <w:marTop w:val="0"/>
      <w:marBottom w:val="0"/>
      <w:divBdr>
        <w:top w:val="none" w:sz="0" w:space="0" w:color="auto"/>
        <w:left w:val="none" w:sz="0" w:space="0" w:color="auto"/>
        <w:bottom w:val="none" w:sz="0" w:space="0" w:color="auto"/>
        <w:right w:val="none" w:sz="0" w:space="0" w:color="auto"/>
      </w:divBdr>
    </w:div>
    <w:div w:id="1398936730">
      <w:bodyDiv w:val="1"/>
      <w:marLeft w:val="0"/>
      <w:marRight w:val="0"/>
      <w:marTop w:val="0"/>
      <w:marBottom w:val="0"/>
      <w:divBdr>
        <w:top w:val="none" w:sz="0" w:space="0" w:color="auto"/>
        <w:left w:val="none" w:sz="0" w:space="0" w:color="auto"/>
        <w:bottom w:val="none" w:sz="0" w:space="0" w:color="auto"/>
        <w:right w:val="none" w:sz="0" w:space="0" w:color="auto"/>
      </w:divBdr>
    </w:div>
    <w:div w:id="1401950936">
      <w:bodyDiv w:val="1"/>
      <w:marLeft w:val="0"/>
      <w:marRight w:val="0"/>
      <w:marTop w:val="0"/>
      <w:marBottom w:val="0"/>
      <w:divBdr>
        <w:top w:val="none" w:sz="0" w:space="0" w:color="auto"/>
        <w:left w:val="none" w:sz="0" w:space="0" w:color="auto"/>
        <w:bottom w:val="none" w:sz="0" w:space="0" w:color="auto"/>
        <w:right w:val="none" w:sz="0" w:space="0" w:color="auto"/>
      </w:divBdr>
    </w:div>
    <w:div w:id="1404334943">
      <w:bodyDiv w:val="1"/>
      <w:marLeft w:val="0"/>
      <w:marRight w:val="0"/>
      <w:marTop w:val="0"/>
      <w:marBottom w:val="0"/>
      <w:divBdr>
        <w:top w:val="none" w:sz="0" w:space="0" w:color="auto"/>
        <w:left w:val="none" w:sz="0" w:space="0" w:color="auto"/>
        <w:bottom w:val="none" w:sz="0" w:space="0" w:color="auto"/>
        <w:right w:val="none" w:sz="0" w:space="0" w:color="auto"/>
      </w:divBdr>
    </w:div>
    <w:div w:id="1411349473">
      <w:bodyDiv w:val="1"/>
      <w:marLeft w:val="0"/>
      <w:marRight w:val="0"/>
      <w:marTop w:val="0"/>
      <w:marBottom w:val="0"/>
      <w:divBdr>
        <w:top w:val="none" w:sz="0" w:space="0" w:color="auto"/>
        <w:left w:val="none" w:sz="0" w:space="0" w:color="auto"/>
        <w:bottom w:val="none" w:sz="0" w:space="0" w:color="auto"/>
        <w:right w:val="none" w:sz="0" w:space="0" w:color="auto"/>
      </w:divBdr>
    </w:div>
    <w:div w:id="1426344322">
      <w:bodyDiv w:val="1"/>
      <w:marLeft w:val="0"/>
      <w:marRight w:val="0"/>
      <w:marTop w:val="0"/>
      <w:marBottom w:val="0"/>
      <w:divBdr>
        <w:top w:val="none" w:sz="0" w:space="0" w:color="auto"/>
        <w:left w:val="none" w:sz="0" w:space="0" w:color="auto"/>
        <w:bottom w:val="none" w:sz="0" w:space="0" w:color="auto"/>
        <w:right w:val="none" w:sz="0" w:space="0" w:color="auto"/>
      </w:divBdr>
    </w:div>
    <w:div w:id="1427068444">
      <w:bodyDiv w:val="1"/>
      <w:marLeft w:val="0"/>
      <w:marRight w:val="0"/>
      <w:marTop w:val="0"/>
      <w:marBottom w:val="0"/>
      <w:divBdr>
        <w:top w:val="none" w:sz="0" w:space="0" w:color="auto"/>
        <w:left w:val="none" w:sz="0" w:space="0" w:color="auto"/>
        <w:bottom w:val="none" w:sz="0" w:space="0" w:color="auto"/>
        <w:right w:val="none" w:sz="0" w:space="0" w:color="auto"/>
      </w:divBdr>
    </w:div>
    <w:div w:id="1428499399">
      <w:bodyDiv w:val="1"/>
      <w:marLeft w:val="0"/>
      <w:marRight w:val="0"/>
      <w:marTop w:val="0"/>
      <w:marBottom w:val="0"/>
      <w:divBdr>
        <w:top w:val="none" w:sz="0" w:space="0" w:color="auto"/>
        <w:left w:val="none" w:sz="0" w:space="0" w:color="auto"/>
        <w:bottom w:val="none" w:sz="0" w:space="0" w:color="auto"/>
        <w:right w:val="none" w:sz="0" w:space="0" w:color="auto"/>
      </w:divBdr>
    </w:div>
    <w:div w:id="1429472398">
      <w:bodyDiv w:val="1"/>
      <w:marLeft w:val="0"/>
      <w:marRight w:val="0"/>
      <w:marTop w:val="0"/>
      <w:marBottom w:val="0"/>
      <w:divBdr>
        <w:top w:val="none" w:sz="0" w:space="0" w:color="auto"/>
        <w:left w:val="none" w:sz="0" w:space="0" w:color="auto"/>
        <w:bottom w:val="none" w:sz="0" w:space="0" w:color="auto"/>
        <w:right w:val="none" w:sz="0" w:space="0" w:color="auto"/>
      </w:divBdr>
    </w:div>
    <w:div w:id="1437366220">
      <w:bodyDiv w:val="1"/>
      <w:marLeft w:val="0"/>
      <w:marRight w:val="0"/>
      <w:marTop w:val="0"/>
      <w:marBottom w:val="0"/>
      <w:divBdr>
        <w:top w:val="none" w:sz="0" w:space="0" w:color="auto"/>
        <w:left w:val="none" w:sz="0" w:space="0" w:color="auto"/>
        <w:bottom w:val="none" w:sz="0" w:space="0" w:color="auto"/>
        <w:right w:val="none" w:sz="0" w:space="0" w:color="auto"/>
      </w:divBdr>
    </w:div>
    <w:div w:id="1439255394">
      <w:bodyDiv w:val="1"/>
      <w:marLeft w:val="0"/>
      <w:marRight w:val="0"/>
      <w:marTop w:val="0"/>
      <w:marBottom w:val="0"/>
      <w:divBdr>
        <w:top w:val="none" w:sz="0" w:space="0" w:color="auto"/>
        <w:left w:val="none" w:sz="0" w:space="0" w:color="auto"/>
        <w:bottom w:val="none" w:sz="0" w:space="0" w:color="auto"/>
        <w:right w:val="none" w:sz="0" w:space="0" w:color="auto"/>
      </w:divBdr>
    </w:div>
    <w:div w:id="1439911356">
      <w:bodyDiv w:val="1"/>
      <w:marLeft w:val="0"/>
      <w:marRight w:val="0"/>
      <w:marTop w:val="0"/>
      <w:marBottom w:val="0"/>
      <w:divBdr>
        <w:top w:val="none" w:sz="0" w:space="0" w:color="auto"/>
        <w:left w:val="none" w:sz="0" w:space="0" w:color="auto"/>
        <w:bottom w:val="none" w:sz="0" w:space="0" w:color="auto"/>
        <w:right w:val="none" w:sz="0" w:space="0" w:color="auto"/>
      </w:divBdr>
    </w:div>
    <w:div w:id="1443768927">
      <w:bodyDiv w:val="1"/>
      <w:marLeft w:val="0"/>
      <w:marRight w:val="0"/>
      <w:marTop w:val="0"/>
      <w:marBottom w:val="0"/>
      <w:divBdr>
        <w:top w:val="none" w:sz="0" w:space="0" w:color="auto"/>
        <w:left w:val="none" w:sz="0" w:space="0" w:color="auto"/>
        <w:bottom w:val="none" w:sz="0" w:space="0" w:color="auto"/>
        <w:right w:val="none" w:sz="0" w:space="0" w:color="auto"/>
      </w:divBdr>
    </w:div>
    <w:div w:id="1453674719">
      <w:bodyDiv w:val="1"/>
      <w:marLeft w:val="0"/>
      <w:marRight w:val="0"/>
      <w:marTop w:val="0"/>
      <w:marBottom w:val="0"/>
      <w:divBdr>
        <w:top w:val="none" w:sz="0" w:space="0" w:color="auto"/>
        <w:left w:val="none" w:sz="0" w:space="0" w:color="auto"/>
        <w:bottom w:val="none" w:sz="0" w:space="0" w:color="auto"/>
        <w:right w:val="none" w:sz="0" w:space="0" w:color="auto"/>
      </w:divBdr>
    </w:div>
    <w:div w:id="1466511065">
      <w:bodyDiv w:val="1"/>
      <w:marLeft w:val="0"/>
      <w:marRight w:val="0"/>
      <w:marTop w:val="0"/>
      <w:marBottom w:val="0"/>
      <w:divBdr>
        <w:top w:val="none" w:sz="0" w:space="0" w:color="auto"/>
        <w:left w:val="none" w:sz="0" w:space="0" w:color="auto"/>
        <w:bottom w:val="none" w:sz="0" w:space="0" w:color="auto"/>
        <w:right w:val="none" w:sz="0" w:space="0" w:color="auto"/>
      </w:divBdr>
    </w:div>
    <w:div w:id="1486703846">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344774">
      <w:bodyDiv w:val="1"/>
      <w:marLeft w:val="0"/>
      <w:marRight w:val="0"/>
      <w:marTop w:val="0"/>
      <w:marBottom w:val="0"/>
      <w:divBdr>
        <w:top w:val="none" w:sz="0" w:space="0" w:color="auto"/>
        <w:left w:val="none" w:sz="0" w:space="0" w:color="auto"/>
        <w:bottom w:val="none" w:sz="0" w:space="0" w:color="auto"/>
        <w:right w:val="none" w:sz="0" w:space="0" w:color="auto"/>
      </w:divBdr>
    </w:div>
    <w:div w:id="1501239053">
      <w:bodyDiv w:val="1"/>
      <w:marLeft w:val="0"/>
      <w:marRight w:val="0"/>
      <w:marTop w:val="0"/>
      <w:marBottom w:val="0"/>
      <w:divBdr>
        <w:top w:val="none" w:sz="0" w:space="0" w:color="auto"/>
        <w:left w:val="none" w:sz="0" w:space="0" w:color="auto"/>
        <w:bottom w:val="none" w:sz="0" w:space="0" w:color="auto"/>
        <w:right w:val="none" w:sz="0" w:space="0" w:color="auto"/>
      </w:divBdr>
    </w:div>
    <w:div w:id="1511603171">
      <w:bodyDiv w:val="1"/>
      <w:marLeft w:val="0"/>
      <w:marRight w:val="0"/>
      <w:marTop w:val="0"/>
      <w:marBottom w:val="0"/>
      <w:divBdr>
        <w:top w:val="none" w:sz="0" w:space="0" w:color="auto"/>
        <w:left w:val="none" w:sz="0" w:space="0" w:color="auto"/>
        <w:bottom w:val="none" w:sz="0" w:space="0" w:color="auto"/>
        <w:right w:val="none" w:sz="0" w:space="0" w:color="auto"/>
      </w:divBdr>
    </w:div>
    <w:div w:id="1514369978">
      <w:bodyDiv w:val="1"/>
      <w:marLeft w:val="0"/>
      <w:marRight w:val="0"/>
      <w:marTop w:val="0"/>
      <w:marBottom w:val="0"/>
      <w:divBdr>
        <w:top w:val="none" w:sz="0" w:space="0" w:color="auto"/>
        <w:left w:val="none" w:sz="0" w:space="0" w:color="auto"/>
        <w:bottom w:val="none" w:sz="0" w:space="0" w:color="auto"/>
        <w:right w:val="none" w:sz="0" w:space="0" w:color="auto"/>
      </w:divBdr>
    </w:div>
    <w:div w:id="1518814862">
      <w:bodyDiv w:val="1"/>
      <w:marLeft w:val="0"/>
      <w:marRight w:val="0"/>
      <w:marTop w:val="0"/>
      <w:marBottom w:val="0"/>
      <w:divBdr>
        <w:top w:val="none" w:sz="0" w:space="0" w:color="auto"/>
        <w:left w:val="none" w:sz="0" w:space="0" w:color="auto"/>
        <w:bottom w:val="none" w:sz="0" w:space="0" w:color="auto"/>
        <w:right w:val="none" w:sz="0" w:space="0" w:color="auto"/>
      </w:divBdr>
    </w:div>
    <w:div w:id="1523281522">
      <w:bodyDiv w:val="1"/>
      <w:marLeft w:val="0"/>
      <w:marRight w:val="0"/>
      <w:marTop w:val="0"/>
      <w:marBottom w:val="0"/>
      <w:divBdr>
        <w:top w:val="none" w:sz="0" w:space="0" w:color="auto"/>
        <w:left w:val="none" w:sz="0" w:space="0" w:color="auto"/>
        <w:bottom w:val="none" w:sz="0" w:space="0" w:color="auto"/>
        <w:right w:val="none" w:sz="0" w:space="0" w:color="auto"/>
      </w:divBdr>
    </w:div>
    <w:div w:id="1524441011">
      <w:bodyDiv w:val="1"/>
      <w:marLeft w:val="0"/>
      <w:marRight w:val="0"/>
      <w:marTop w:val="0"/>
      <w:marBottom w:val="0"/>
      <w:divBdr>
        <w:top w:val="none" w:sz="0" w:space="0" w:color="auto"/>
        <w:left w:val="none" w:sz="0" w:space="0" w:color="auto"/>
        <w:bottom w:val="none" w:sz="0" w:space="0" w:color="auto"/>
        <w:right w:val="none" w:sz="0" w:space="0" w:color="auto"/>
      </w:divBdr>
    </w:div>
    <w:div w:id="1534536388">
      <w:bodyDiv w:val="1"/>
      <w:marLeft w:val="0"/>
      <w:marRight w:val="0"/>
      <w:marTop w:val="0"/>
      <w:marBottom w:val="0"/>
      <w:divBdr>
        <w:top w:val="none" w:sz="0" w:space="0" w:color="auto"/>
        <w:left w:val="none" w:sz="0" w:space="0" w:color="auto"/>
        <w:bottom w:val="none" w:sz="0" w:space="0" w:color="auto"/>
        <w:right w:val="none" w:sz="0" w:space="0" w:color="auto"/>
      </w:divBdr>
    </w:div>
    <w:div w:id="1541355752">
      <w:bodyDiv w:val="1"/>
      <w:marLeft w:val="0"/>
      <w:marRight w:val="0"/>
      <w:marTop w:val="0"/>
      <w:marBottom w:val="0"/>
      <w:divBdr>
        <w:top w:val="none" w:sz="0" w:space="0" w:color="auto"/>
        <w:left w:val="none" w:sz="0" w:space="0" w:color="auto"/>
        <w:bottom w:val="none" w:sz="0" w:space="0" w:color="auto"/>
        <w:right w:val="none" w:sz="0" w:space="0" w:color="auto"/>
      </w:divBdr>
    </w:div>
    <w:div w:id="1548293011">
      <w:bodyDiv w:val="1"/>
      <w:marLeft w:val="0"/>
      <w:marRight w:val="0"/>
      <w:marTop w:val="0"/>
      <w:marBottom w:val="0"/>
      <w:divBdr>
        <w:top w:val="none" w:sz="0" w:space="0" w:color="auto"/>
        <w:left w:val="none" w:sz="0" w:space="0" w:color="auto"/>
        <w:bottom w:val="none" w:sz="0" w:space="0" w:color="auto"/>
        <w:right w:val="none" w:sz="0" w:space="0" w:color="auto"/>
      </w:divBdr>
    </w:div>
    <w:div w:id="1550147586">
      <w:bodyDiv w:val="1"/>
      <w:marLeft w:val="0"/>
      <w:marRight w:val="0"/>
      <w:marTop w:val="0"/>
      <w:marBottom w:val="0"/>
      <w:divBdr>
        <w:top w:val="none" w:sz="0" w:space="0" w:color="auto"/>
        <w:left w:val="none" w:sz="0" w:space="0" w:color="auto"/>
        <w:bottom w:val="none" w:sz="0" w:space="0" w:color="auto"/>
        <w:right w:val="none" w:sz="0" w:space="0" w:color="auto"/>
      </w:divBdr>
    </w:div>
    <w:div w:id="1554807639">
      <w:bodyDiv w:val="1"/>
      <w:marLeft w:val="0"/>
      <w:marRight w:val="0"/>
      <w:marTop w:val="0"/>
      <w:marBottom w:val="0"/>
      <w:divBdr>
        <w:top w:val="none" w:sz="0" w:space="0" w:color="auto"/>
        <w:left w:val="none" w:sz="0" w:space="0" w:color="auto"/>
        <w:bottom w:val="none" w:sz="0" w:space="0" w:color="auto"/>
        <w:right w:val="none" w:sz="0" w:space="0" w:color="auto"/>
      </w:divBdr>
    </w:div>
    <w:div w:id="1560357146">
      <w:bodyDiv w:val="1"/>
      <w:marLeft w:val="0"/>
      <w:marRight w:val="0"/>
      <w:marTop w:val="0"/>
      <w:marBottom w:val="0"/>
      <w:divBdr>
        <w:top w:val="none" w:sz="0" w:space="0" w:color="auto"/>
        <w:left w:val="none" w:sz="0" w:space="0" w:color="auto"/>
        <w:bottom w:val="none" w:sz="0" w:space="0" w:color="auto"/>
        <w:right w:val="none" w:sz="0" w:space="0" w:color="auto"/>
      </w:divBdr>
    </w:div>
    <w:div w:id="1560943433">
      <w:bodyDiv w:val="1"/>
      <w:marLeft w:val="0"/>
      <w:marRight w:val="0"/>
      <w:marTop w:val="0"/>
      <w:marBottom w:val="0"/>
      <w:divBdr>
        <w:top w:val="none" w:sz="0" w:space="0" w:color="auto"/>
        <w:left w:val="none" w:sz="0" w:space="0" w:color="auto"/>
        <w:bottom w:val="none" w:sz="0" w:space="0" w:color="auto"/>
        <w:right w:val="none" w:sz="0" w:space="0" w:color="auto"/>
      </w:divBdr>
      <w:divsChild>
        <w:div w:id="1368872011">
          <w:marLeft w:val="0"/>
          <w:marRight w:val="0"/>
          <w:marTop w:val="0"/>
          <w:marBottom w:val="0"/>
          <w:divBdr>
            <w:top w:val="none" w:sz="0" w:space="0" w:color="auto"/>
            <w:left w:val="none" w:sz="0" w:space="0" w:color="auto"/>
            <w:bottom w:val="none" w:sz="0" w:space="0" w:color="auto"/>
            <w:right w:val="none" w:sz="0" w:space="0" w:color="auto"/>
          </w:divBdr>
        </w:div>
      </w:divsChild>
    </w:div>
    <w:div w:id="1579513750">
      <w:bodyDiv w:val="1"/>
      <w:marLeft w:val="0"/>
      <w:marRight w:val="0"/>
      <w:marTop w:val="0"/>
      <w:marBottom w:val="0"/>
      <w:divBdr>
        <w:top w:val="none" w:sz="0" w:space="0" w:color="auto"/>
        <w:left w:val="none" w:sz="0" w:space="0" w:color="auto"/>
        <w:bottom w:val="none" w:sz="0" w:space="0" w:color="auto"/>
        <w:right w:val="none" w:sz="0" w:space="0" w:color="auto"/>
      </w:divBdr>
    </w:div>
    <w:div w:id="1582451996">
      <w:bodyDiv w:val="1"/>
      <w:marLeft w:val="0"/>
      <w:marRight w:val="0"/>
      <w:marTop w:val="0"/>
      <w:marBottom w:val="0"/>
      <w:divBdr>
        <w:top w:val="none" w:sz="0" w:space="0" w:color="auto"/>
        <w:left w:val="none" w:sz="0" w:space="0" w:color="auto"/>
        <w:bottom w:val="none" w:sz="0" w:space="0" w:color="auto"/>
        <w:right w:val="none" w:sz="0" w:space="0" w:color="auto"/>
      </w:divBdr>
    </w:div>
    <w:div w:id="1594315838">
      <w:bodyDiv w:val="1"/>
      <w:marLeft w:val="0"/>
      <w:marRight w:val="0"/>
      <w:marTop w:val="0"/>
      <w:marBottom w:val="0"/>
      <w:divBdr>
        <w:top w:val="none" w:sz="0" w:space="0" w:color="auto"/>
        <w:left w:val="none" w:sz="0" w:space="0" w:color="auto"/>
        <w:bottom w:val="none" w:sz="0" w:space="0" w:color="auto"/>
        <w:right w:val="none" w:sz="0" w:space="0" w:color="auto"/>
      </w:divBdr>
    </w:div>
    <w:div w:id="1596670109">
      <w:bodyDiv w:val="1"/>
      <w:marLeft w:val="0"/>
      <w:marRight w:val="0"/>
      <w:marTop w:val="0"/>
      <w:marBottom w:val="0"/>
      <w:divBdr>
        <w:top w:val="none" w:sz="0" w:space="0" w:color="auto"/>
        <w:left w:val="none" w:sz="0" w:space="0" w:color="auto"/>
        <w:bottom w:val="none" w:sz="0" w:space="0" w:color="auto"/>
        <w:right w:val="none" w:sz="0" w:space="0" w:color="auto"/>
      </w:divBdr>
    </w:div>
    <w:div w:id="1607156950">
      <w:bodyDiv w:val="1"/>
      <w:marLeft w:val="0"/>
      <w:marRight w:val="0"/>
      <w:marTop w:val="0"/>
      <w:marBottom w:val="0"/>
      <w:divBdr>
        <w:top w:val="none" w:sz="0" w:space="0" w:color="auto"/>
        <w:left w:val="none" w:sz="0" w:space="0" w:color="auto"/>
        <w:bottom w:val="none" w:sz="0" w:space="0" w:color="auto"/>
        <w:right w:val="none" w:sz="0" w:space="0" w:color="auto"/>
      </w:divBdr>
      <w:divsChild>
        <w:div w:id="915285998">
          <w:marLeft w:val="0"/>
          <w:marRight w:val="0"/>
          <w:marTop w:val="0"/>
          <w:marBottom w:val="0"/>
          <w:divBdr>
            <w:top w:val="none" w:sz="0" w:space="0" w:color="auto"/>
            <w:left w:val="none" w:sz="0" w:space="0" w:color="auto"/>
            <w:bottom w:val="none" w:sz="0" w:space="0" w:color="auto"/>
            <w:right w:val="none" w:sz="0" w:space="0" w:color="auto"/>
          </w:divBdr>
        </w:div>
      </w:divsChild>
    </w:div>
    <w:div w:id="1617103702">
      <w:bodyDiv w:val="1"/>
      <w:marLeft w:val="0"/>
      <w:marRight w:val="0"/>
      <w:marTop w:val="0"/>
      <w:marBottom w:val="0"/>
      <w:divBdr>
        <w:top w:val="none" w:sz="0" w:space="0" w:color="auto"/>
        <w:left w:val="none" w:sz="0" w:space="0" w:color="auto"/>
        <w:bottom w:val="none" w:sz="0" w:space="0" w:color="auto"/>
        <w:right w:val="none" w:sz="0" w:space="0" w:color="auto"/>
      </w:divBdr>
    </w:div>
    <w:div w:id="1617953101">
      <w:bodyDiv w:val="1"/>
      <w:marLeft w:val="0"/>
      <w:marRight w:val="0"/>
      <w:marTop w:val="0"/>
      <w:marBottom w:val="0"/>
      <w:divBdr>
        <w:top w:val="none" w:sz="0" w:space="0" w:color="auto"/>
        <w:left w:val="none" w:sz="0" w:space="0" w:color="auto"/>
        <w:bottom w:val="none" w:sz="0" w:space="0" w:color="auto"/>
        <w:right w:val="none" w:sz="0" w:space="0" w:color="auto"/>
      </w:divBdr>
    </w:div>
    <w:div w:id="1645431514">
      <w:bodyDiv w:val="1"/>
      <w:marLeft w:val="0"/>
      <w:marRight w:val="0"/>
      <w:marTop w:val="0"/>
      <w:marBottom w:val="0"/>
      <w:divBdr>
        <w:top w:val="none" w:sz="0" w:space="0" w:color="auto"/>
        <w:left w:val="none" w:sz="0" w:space="0" w:color="auto"/>
        <w:bottom w:val="none" w:sz="0" w:space="0" w:color="auto"/>
        <w:right w:val="none" w:sz="0" w:space="0" w:color="auto"/>
      </w:divBdr>
    </w:div>
    <w:div w:id="1651670456">
      <w:bodyDiv w:val="1"/>
      <w:marLeft w:val="0"/>
      <w:marRight w:val="0"/>
      <w:marTop w:val="0"/>
      <w:marBottom w:val="0"/>
      <w:divBdr>
        <w:top w:val="none" w:sz="0" w:space="0" w:color="auto"/>
        <w:left w:val="none" w:sz="0" w:space="0" w:color="auto"/>
        <w:bottom w:val="none" w:sz="0" w:space="0" w:color="auto"/>
        <w:right w:val="none" w:sz="0" w:space="0" w:color="auto"/>
      </w:divBdr>
    </w:div>
    <w:div w:id="1672874161">
      <w:bodyDiv w:val="1"/>
      <w:marLeft w:val="0"/>
      <w:marRight w:val="0"/>
      <w:marTop w:val="0"/>
      <w:marBottom w:val="0"/>
      <w:divBdr>
        <w:top w:val="none" w:sz="0" w:space="0" w:color="auto"/>
        <w:left w:val="none" w:sz="0" w:space="0" w:color="auto"/>
        <w:bottom w:val="none" w:sz="0" w:space="0" w:color="auto"/>
        <w:right w:val="none" w:sz="0" w:space="0" w:color="auto"/>
      </w:divBdr>
    </w:div>
    <w:div w:id="1683119468">
      <w:bodyDiv w:val="1"/>
      <w:marLeft w:val="0"/>
      <w:marRight w:val="0"/>
      <w:marTop w:val="0"/>
      <w:marBottom w:val="0"/>
      <w:divBdr>
        <w:top w:val="none" w:sz="0" w:space="0" w:color="auto"/>
        <w:left w:val="none" w:sz="0" w:space="0" w:color="auto"/>
        <w:bottom w:val="none" w:sz="0" w:space="0" w:color="auto"/>
        <w:right w:val="none" w:sz="0" w:space="0" w:color="auto"/>
      </w:divBdr>
    </w:div>
    <w:div w:id="1690988413">
      <w:bodyDiv w:val="1"/>
      <w:marLeft w:val="0"/>
      <w:marRight w:val="0"/>
      <w:marTop w:val="0"/>
      <w:marBottom w:val="0"/>
      <w:divBdr>
        <w:top w:val="none" w:sz="0" w:space="0" w:color="auto"/>
        <w:left w:val="none" w:sz="0" w:space="0" w:color="auto"/>
        <w:bottom w:val="none" w:sz="0" w:space="0" w:color="auto"/>
        <w:right w:val="none" w:sz="0" w:space="0" w:color="auto"/>
      </w:divBdr>
    </w:div>
    <w:div w:id="1712727335">
      <w:bodyDiv w:val="1"/>
      <w:marLeft w:val="0"/>
      <w:marRight w:val="0"/>
      <w:marTop w:val="0"/>
      <w:marBottom w:val="0"/>
      <w:divBdr>
        <w:top w:val="none" w:sz="0" w:space="0" w:color="auto"/>
        <w:left w:val="none" w:sz="0" w:space="0" w:color="auto"/>
        <w:bottom w:val="none" w:sz="0" w:space="0" w:color="auto"/>
        <w:right w:val="none" w:sz="0" w:space="0" w:color="auto"/>
      </w:divBdr>
    </w:div>
    <w:div w:id="1718092216">
      <w:bodyDiv w:val="1"/>
      <w:marLeft w:val="0"/>
      <w:marRight w:val="0"/>
      <w:marTop w:val="0"/>
      <w:marBottom w:val="0"/>
      <w:divBdr>
        <w:top w:val="none" w:sz="0" w:space="0" w:color="auto"/>
        <w:left w:val="none" w:sz="0" w:space="0" w:color="auto"/>
        <w:bottom w:val="none" w:sz="0" w:space="0" w:color="auto"/>
        <w:right w:val="none" w:sz="0" w:space="0" w:color="auto"/>
      </w:divBdr>
    </w:div>
    <w:div w:id="1723598449">
      <w:bodyDiv w:val="1"/>
      <w:marLeft w:val="0"/>
      <w:marRight w:val="0"/>
      <w:marTop w:val="0"/>
      <w:marBottom w:val="0"/>
      <w:divBdr>
        <w:top w:val="none" w:sz="0" w:space="0" w:color="auto"/>
        <w:left w:val="none" w:sz="0" w:space="0" w:color="auto"/>
        <w:bottom w:val="none" w:sz="0" w:space="0" w:color="auto"/>
        <w:right w:val="none" w:sz="0" w:space="0" w:color="auto"/>
      </w:divBdr>
    </w:div>
    <w:div w:id="1756393562">
      <w:bodyDiv w:val="1"/>
      <w:marLeft w:val="0"/>
      <w:marRight w:val="0"/>
      <w:marTop w:val="0"/>
      <w:marBottom w:val="0"/>
      <w:divBdr>
        <w:top w:val="none" w:sz="0" w:space="0" w:color="auto"/>
        <w:left w:val="none" w:sz="0" w:space="0" w:color="auto"/>
        <w:bottom w:val="none" w:sz="0" w:space="0" w:color="auto"/>
        <w:right w:val="none" w:sz="0" w:space="0" w:color="auto"/>
      </w:divBdr>
    </w:div>
    <w:div w:id="1762868833">
      <w:bodyDiv w:val="1"/>
      <w:marLeft w:val="0"/>
      <w:marRight w:val="0"/>
      <w:marTop w:val="0"/>
      <w:marBottom w:val="0"/>
      <w:divBdr>
        <w:top w:val="none" w:sz="0" w:space="0" w:color="auto"/>
        <w:left w:val="none" w:sz="0" w:space="0" w:color="auto"/>
        <w:bottom w:val="none" w:sz="0" w:space="0" w:color="auto"/>
        <w:right w:val="none" w:sz="0" w:space="0" w:color="auto"/>
      </w:divBdr>
    </w:div>
    <w:div w:id="1764763216">
      <w:bodyDiv w:val="1"/>
      <w:marLeft w:val="0"/>
      <w:marRight w:val="0"/>
      <w:marTop w:val="0"/>
      <w:marBottom w:val="0"/>
      <w:divBdr>
        <w:top w:val="none" w:sz="0" w:space="0" w:color="auto"/>
        <w:left w:val="none" w:sz="0" w:space="0" w:color="auto"/>
        <w:bottom w:val="none" w:sz="0" w:space="0" w:color="auto"/>
        <w:right w:val="none" w:sz="0" w:space="0" w:color="auto"/>
      </w:divBdr>
    </w:div>
    <w:div w:id="1788624883">
      <w:bodyDiv w:val="1"/>
      <w:marLeft w:val="0"/>
      <w:marRight w:val="0"/>
      <w:marTop w:val="0"/>
      <w:marBottom w:val="0"/>
      <w:divBdr>
        <w:top w:val="none" w:sz="0" w:space="0" w:color="auto"/>
        <w:left w:val="none" w:sz="0" w:space="0" w:color="auto"/>
        <w:bottom w:val="none" w:sz="0" w:space="0" w:color="auto"/>
        <w:right w:val="none" w:sz="0" w:space="0" w:color="auto"/>
      </w:divBdr>
    </w:div>
    <w:div w:id="1802074653">
      <w:bodyDiv w:val="1"/>
      <w:marLeft w:val="0"/>
      <w:marRight w:val="0"/>
      <w:marTop w:val="0"/>
      <w:marBottom w:val="0"/>
      <w:divBdr>
        <w:top w:val="none" w:sz="0" w:space="0" w:color="auto"/>
        <w:left w:val="none" w:sz="0" w:space="0" w:color="auto"/>
        <w:bottom w:val="none" w:sz="0" w:space="0" w:color="auto"/>
        <w:right w:val="none" w:sz="0" w:space="0" w:color="auto"/>
      </w:divBdr>
    </w:div>
    <w:div w:id="1805736206">
      <w:bodyDiv w:val="1"/>
      <w:marLeft w:val="0"/>
      <w:marRight w:val="0"/>
      <w:marTop w:val="0"/>
      <w:marBottom w:val="0"/>
      <w:divBdr>
        <w:top w:val="none" w:sz="0" w:space="0" w:color="auto"/>
        <w:left w:val="none" w:sz="0" w:space="0" w:color="auto"/>
        <w:bottom w:val="none" w:sz="0" w:space="0" w:color="auto"/>
        <w:right w:val="none" w:sz="0" w:space="0" w:color="auto"/>
      </w:divBdr>
    </w:div>
    <w:div w:id="1813936839">
      <w:bodyDiv w:val="1"/>
      <w:marLeft w:val="0"/>
      <w:marRight w:val="0"/>
      <w:marTop w:val="0"/>
      <w:marBottom w:val="0"/>
      <w:divBdr>
        <w:top w:val="none" w:sz="0" w:space="0" w:color="auto"/>
        <w:left w:val="none" w:sz="0" w:space="0" w:color="auto"/>
        <w:bottom w:val="none" w:sz="0" w:space="0" w:color="auto"/>
        <w:right w:val="none" w:sz="0" w:space="0" w:color="auto"/>
      </w:divBdr>
    </w:div>
    <w:div w:id="1814829232">
      <w:bodyDiv w:val="1"/>
      <w:marLeft w:val="0"/>
      <w:marRight w:val="0"/>
      <w:marTop w:val="0"/>
      <w:marBottom w:val="0"/>
      <w:divBdr>
        <w:top w:val="none" w:sz="0" w:space="0" w:color="auto"/>
        <w:left w:val="none" w:sz="0" w:space="0" w:color="auto"/>
        <w:bottom w:val="none" w:sz="0" w:space="0" w:color="auto"/>
        <w:right w:val="none" w:sz="0" w:space="0" w:color="auto"/>
      </w:divBdr>
    </w:div>
    <w:div w:id="1815297951">
      <w:bodyDiv w:val="1"/>
      <w:marLeft w:val="0"/>
      <w:marRight w:val="0"/>
      <w:marTop w:val="0"/>
      <w:marBottom w:val="0"/>
      <w:divBdr>
        <w:top w:val="none" w:sz="0" w:space="0" w:color="auto"/>
        <w:left w:val="none" w:sz="0" w:space="0" w:color="auto"/>
        <w:bottom w:val="none" w:sz="0" w:space="0" w:color="auto"/>
        <w:right w:val="none" w:sz="0" w:space="0" w:color="auto"/>
      </w:divBdr>
    </w:div>
    <w:div w:id="1819303123">
      <w:bodyDiv w:val="1"/>
      <w:marLeft w:val="0"/>
      <w:marRight w:val="0"/>
      <w:marTop w:val="0"/>
      <w:marBottom w:val="0"/>
      <w:divBdr>
        <w:top w:val="none" w:sz="0" w:space="0" w:color="auto"/>
        <w:left w:val="none" w:sz="0" w:space="0" w:color="auto"/>
        <w:bottom w:val="none" w:sz="0" w:space="0" w:color="auto"/>
        <w:right w:val="none" w:sz="0" w:space="0" w:color="auto"/>
      </w:divBdr>
    </w:div>
    <w:div w:id="1823619894">
      <w:bodyDiv w:val="1"/>
      <w:marLeft w:val="0"/>
      <w:marRight w:val="0"/>
      <w:marTop w:val="0"/>
      <w:marBottom w:val="0"/>
      <w:divBdr>
        <w:top w:val="none" w:sz="0" w:space="0" w:color="auto"/>
        <w:left w:val="none" w:sz="0" w:space="0" w:color="auto"/>
        <w:bottom w:val="none" w:sz="0" w:space="0" w:color="auto"/>
        <w:right w:val="none" w:sz="0" w:space="0" w:color="auto"/>
      </w:divBdr>
    </w:div>
    <w:div w:id="1824472191">
      <w:bodyDiv w:val="1"/>
      <w:marLeft w:val="0"/>
      <w:marRight w:val="0"/>
      <w:marTop w:val="0"/>
      <w:marBottom w:val="0"/>
      <w:divBdr>
        <w:top w:val="none" w:sz="0" w:space="0" w:color="auto"/>
        <w:left w:val="none" w:sz="0" w:space="0" w:color="auto"/>
        <w:bottom w:val="none" w:sz="0" w:space="0" w:color="auto"/>
        <w:right w:val="none" w:sz="0" w:space="0" w:color="auto"/>
      </w:divBdr>
    </w:div>
    <w:div w:id="1825270208">
      <w:bodyDiv w:val="1"/>
      <w:marLeft w:val="0"/>
      <w:marRight w:val="0"/>
      <w:marTop w:val="0"/>
      <w:marBottom w:val="0"/>
      <w:divBdr>
        <w:top w:val="none" w:sz="0" w:space="0" w:color="auto"/>
        <w:left w:val="none" w:sz="0" w:space="0" w:color="auto"/>
        <w:bottom w:val="none" w:sz="0" w:space="0" w:color="auto"/>
        <w:right w:val="none" w:sz="0" w:space="0" w:color="auto"/>
      </w:divBdr>
    </w:div>
    <w:div w:id="1836066952">
      <w:bodyDiv w:val="1"/>
      <w:marLeft w:val="0"/>
      <w:marRight w:val="0"/>
      <w:marTop w:val="0"/>
      <w:marBottom w:val="0"/>
      <w:divBdr>
        <w:top w:val="none" w:sz="0" w:space="0" w:color="auto"/>
        <w:left w:val="none" w:sz="0" w:space="0" w:color="auto"/>
        <w:bottom w:val="none" w:sz="0" w:space="0" w:color="auto"/>
        <w:right w:val="none" w:sz="0" w:space="0" w:color="auto"/>
      </w:divBdr>
    </w:div>
    <w:div w:id="1840343610">
      <w:bodyDiv w:val="1"/>
      <w:marLeft w:val="0"/>
      <w:marRight w:val="0"/>
      <w:marTop w:val="0"/>
      <w:marBottom w:val="0"/>
      <w:divBdr>
        <w:top w:val="none" w:sz="0" w:space="0" w:color="auto"/>
        <w:left w:val="none" w:sz="0" w:space="0" w:color="auto"/>
        <w:bottom w:val="none" w:sz="0" w:space="0" w:color="auto"/>
        <w:right w:val="none" w:sz="0" w:space="0" w:color="auto"/>
      </w:divBdr>
    </w:div>
    <w:div w:id="1860965338">
      <w:bodyDiv w:val="1"/>
      <w:marLeft w:val="0"/>
      <w:marRight w:val="0"/>
      <w:marTop w:val="0"/>
      <w:marBottom w:val="0"/>
      <w:divBdr>
        <w:top w:val="none" w:sz="0" w:space="0" w:color="auto"/>
        <w:left w:val="none" w:sz="0" w:space="0" w:color="auto"/>
        <w:bottom w:val="none" w:sz="0" w:space="0" w:color="auto"/>
        <w:right w:val="none" w:sz="0" w:space="0" w:color="auto"/>
      </w:divBdr>
    </w:div>
    <w:div w:id="1866090759">
      <w:bodyDiv w:val="1"/>
      <w:marLeft w:val="0"/>
      <w:marRight w:val="0"/>
      <w:marTop w:val="0"/>
      <w:marBottom w:val="0"/>
      <w:divBdr>
        <w:top w:val="none" w:sz="0" w:space="0" w:color="auto"/>
        <w:left w:val="none" w:sz="0" w:space="0" w:color="auto"/>
        <w:bottom w:val="none" w:sz="0" w:space="0" w:color="auto"/>
        <w:right w:val="none" w:sz="0" w:space="0" w:color="auto"/>
      </w:divBdr>
    </w:div>
    <w:div w:id="1898857607">
      <w:bodyDiv w:val="1"/>
      <w:marLeft w:val="0"/>
      <w:marRight w:val="0"/>
      <w:marTop w:val="0"/>
      <w:marBottom w:val="0"/>
      <w:divBdr>
        <w:top w:val="none" w:sz="0" w:space="0" w:color="auto"/>
        <w:left w:val="none" w:sz="0" w:space="0" w:color="auto"/>
        <w:bottom w:val="none" w:sz="0" w:space="0" w:color="auto"/>
        <w:right w:val="none" w:sz="0" w:space="0" w:color="auto"/>
      </w:divBdr>
    </w:div>
    <w:div w:id="1910993178">
      <w:bodyDiv w:val="1"/>
      <w:marLeft w:val="0"/>
      <w:marRight w:val="0"/>
      <w:marTop w:val="0"/>
      <w:marBottom w:val="0"/>
      <w:divBdr>
        <w:top w:val="none" w:sz="0" w:space="0" w:color="auto"/>
        <w:left w:val="none" w:sz="0" w:space="0" w:color="auto"/>
        <w:bottom w:val="none" w:sz="0" w:space="0" w:color="auto"/>
        <w:right w:val="none" w:sz="0" w:space="0" w:color="auto"/>
      </w:divBdr>
    </w:div>
    <w:div w:id="1912233646">
      <w:bodyDiv w:val="1"/>
      <w:marLeft w:val="0"/>
      <w:marRight w:val="0"/>
      <w:marTop w:val="0"/>
      <w:marBottom w:val="0"/>
      <w:divBdr>
        <w:top w:val="none" w:sz="0" w:space="0" w:color="auto"/>
        <w:left w:val="none" w:sz="0" w:space="0" w:color="auto"/>
        <w:bottom w:val="none" w:sz="0" w:space="0" w:color="auto"/>
        <w:right w:val="none" w:sz="0" w:space="0" w:color="auto"/>
      </w:divBdr>
      <w:divsChild>
        <w:div w:id="961419375">
          <w:marLeft w:val="0"/>
          <w:marRight w:val="0"/>
          <w:marTop w:val="0"/>
          <w:marBottom w:val="0"/>
          <w:divBdr>
            <w:top w:val="none" w:sz="0" w:space="0" w:color="auto"/>
            <w:left w:val="none" w:sz="0" w:space="0" w:color="auto"/>
            <w:bottom w:val="none" w:sz="0" w:space="0" w:color="auto"/>
            <w:right w:val="none" w:sz="0" w:space="0" w:color="auto"/>
          </w:divBdr>
        </w:div>
      </w:divsChild>
    </w:div>
    <w:div w:id="1918323261">
      <w:bodyDiv w:val="1"/>
      <w:marLeft w:val="0"/>
      <w:marRight w:val="0"/>
      <w:marTop w:val="0"/>
      <w:marBottom w:val="0"/>
      <w:divBdr>
        <w:top w:val="none" w:sz="0" w:space="0" w:color="auto"/>
        <w:left w:val="none" w:sz="0" w:space="0" w:color="auto"/>
        <w:bottom w:val="none" w:sz="0" w:space="0" w:color="auto"/>
        <w:right w:val="none" w:sz="0" w:space="0" w:color="auto"/>
      </w:divBdr>
    </w:div>
    <w:div w:id="1941840489">
      <w:bodyDiv w:val="1"/>
      <w:marLeft w:val="0"/>
      <w:marRight w:val="0"/>
      <w:marTop w:val="0"/>
      <w:marBottom w:val="0"/>
      <w:divBdr>
        <w:top w:val="none" w:sz="0" w:space="0" w:color="auto"/>
        <w:left w:val="none" w:sz="0" w:space="0" w:color="auto"/>
        <w:bottom w:val="none" w:sz="0" w:space="0" w:color="auto"/>
        <w:right w:val="none" w:sz="0" w:space="0" w:color="auto"/>
      </w:divBdr>
    </w:div>
    <w:div w:id="1945185066">
      <w:bodyDiv w:val="1"/>
      <w:marLeft w:val="0"/>
      <w:marRight w:val="0"/>
      <w:marTop w:val="0"/>
      <w:marBottom w:val="0"/>
      <w:divBdr>
        <w:top w:val="none" w:sz="0" w:space="0" w:color="auto"/>
        <w:left w:val="none" w:sz="0" w:space="0" w:color="auto"/>
        <w:bottom w:val="none" w:sz="0" w:space="0" w:color="auto"/>
        <w:right w:val="none" w:sz="0" w:space="0" w:color="auto"/>
      </w:divBdr>
    </w:div>
    <w:div w:id="1958439561">
      <w:bodyDiv w:val="1"/>
      <w:marLeft w:val="0"/>
      <w:marRight w:val="0"/>
      <w:marTop w:val="0"/>
      <w:marBottom w:val="0"/>
      <w:divBdr>
        <w:top w:val="none" w:sz="0" w:space="0" w:color="auto"/>
        <w:left w:val="none" w:sz="0" w:space="0" w:color="auto"/>
        <w:bottom w:val="none" w:sz="0" w:space="0" w:color="auto"/>
        <w:right w:val="none" w:sz="0" w:space="0" w:color="auto"/>
      </w:divBdr>
    </w:div>
    <w:div w:id="1960139514">
      <w:bodyDiv w:val="1"/>
      <w:marLeft w:val="0"/>
      <w:marRight w:val="0"/>
      <w:marTop w:val="0"/>
      <w:marBottom w:val="0"/>
      <w:divBdr>
        <w:top w:val="none" w:sz="0" w:space="0" w:color="auto"/>
        <w:left w:val="none" w:sz="0" w:space="0" w:color="auto"/>
        <w:bottom w:val="none" w:sz="0" w:space="0" w:color="auto"/>
        <w:right w:val="none" w:sz="0" w:space="0" w:color="auto"/>
      </w:divBdr>
    </w:div>
    <w:div w:id="1960840867">
      <w:bodyDiv w:val="1"/>
      <w:marLeft w:val="0"/>
      <w:marRight w:val="0"/>
      <w:marTop w:val="0"/>
      <w:marBottom w:val="0"/>
      <w:divBdr>
        <w:top w:val="none" w:sz="0" w:space="0" w:color="auto"/>
        <w:left w:val="none" w:sz="0" w:space="0" w:color="auto"/>
        <w:bottom w:val="none" w:sz="0" w:space="0" w:color="auto"/>
        <w:right w:val="none" w:sz="0" w:space="0" w:color="auto"/>
      </w:divBdr>
    </w:div>
    <w:div w:id="1973364437">
      <w:bodyDiv w:val="1"/>
      <w:marLeft w:val="0"/>
      <w:marRight w:val="0"/>
      <w:marTop w:val="0"/>
      <w:marBottom w:val="0"/>
      <w:divBdr>
        <w:top w:val="none" w:sz="0" w:space="0" w:color="auto"/>
        <w:left w:val="none" w:sz="0" w:space="0" w:color="auto"/>
        <w:bottom w:val="none" w:sz="0" w:space="0" w:color="auto"/>
        <w:right w:val="none" w:sz="0" w:space="0" w:color="auto"/>
      </w:divBdr>
    </w:div>
    <w:div w:id="1977685435">
      <w:bodyDiv w:val="1"/>
      <w:marLeft w:val="0"/>
      <w:marRight w:val="0"/>
      <w:marTop w:val="0"/>
      <w:marBottom w:val="0"/>
      <w:divBdr>
        <w:top w:val="none" w:sz="0" w:space="0" w:color="auto"/>
        <w:left w:val="none" w:sz="0" w:space="0" w:color="auto"/>
        <w:bottom w:val="none" w:sz="0" w:space="0" w:color="auto"/>
        <w:right w:val="none" w:sz="0" w:space="0" w:color="auto"/>
      </w:divBdr>
    </w:div>
    <w:div w:id="1986813279">
      <w:bodyDiv w:val="1"/>
      <w:marLeft w:val="0"/>
      <w:marRight w:val="0"/>
      <w:marTop w:val="0"/>
      <w:marBottom w:val="0"/>
      <w:divBdr>
        <w:top w:val="none" w:sz="0" w:space="0" w:color="auto"/>
        <w:left w:val="none" w:sz="0" w:space="0" w:color="auto"/>
        <w:bottom w:val="none" w:sz="0" w:space="0" w:color="auto"/>
        <w:right w:val="none" w:sz="0" w:space="0" w:color="auto"/>
      </w:divBdr>
    </w:div>
    <w:div w:id="1988779003">
      <w:bodyDiv w:val="1"/>
      <w:marLeft w:val="0"/>
      <w:marRight w:val="0"/>
      <w:marTop w:val="0"/>
      <w:marBottom w:val="0"/>
      <w:divBdr>
        <w:top w:val="none" w:sz="0" w:space="0" w:color="auto"/>
        <w:left w:val="none" w:sz="0" w:space="0" w:color="auto"/>
        <w:bottom w:val="none" w:sz="0" w:space="0" w:color="auto"/>
        <w:right w:val="none" w:sz="0" w:space="0" w:color="auto"/>
      </w:divBdr>
    </w:div>
    <w:div w:id="1989049537">
      <w:bodyDiv w:val="1"/>
      <w:marLeft w:val="0"/>
      <w:marRight w:val="0"/>
      <w:marTop w:val="0"/>
      <w:marBottom w:val="0"/>
      <w:divBdr>
        <w:top w:val="none" w:sz="0" w:space="0" w:color="auto"/>
        <w:left w:val="none" w:sz="0" w:space="0" w:color="auto"/>
        <w:bottom w:val="none" w:sz="0" w:space="0" w:color="auto"/>
        <w:right w:val="none" w:sz="0" w:space="0" w:color="auto"/>
      </w:divBdr>
    </w:div>
    <w:div w:id="1992638304">
      <w:bodyDiv w:val="1"/>
      <w:marLeft w:val="0"/>
      <w:marRight w:val="0"/>
      <w:marTop w:val="0"/>
      <w:marBottom w:val="0"/>
      <w:divBdr>
        <w:top w:val="none" w:sz="0" w:space="0" w:color="auto"/>
        <w:left w:val="none" w:sz="0" w:space="0" w:color="auto"/>
        <w:bottom w:val="none" w:sz="0" w:space="0" w:color="auto"/>
        <w:right w:val="none" w:sz="0" w:space="0" w:color="auto"/>
      </w:divBdr>
    </w:div>
    <w:div w:id="2001107581">
      <w:bodyDiv w:val="1"/>
      <w:marLeft w:val="0"/>
      <w:marRight w:val="0"/>
      <w:marTop w:val="0"/>
      <w:marBottom w:val="0"/>
      <w:divBdr>
        <w:top w:val="none" w:sz="0" w:space="0" w:color="auto"/>
        <w:left w:val="none" w:sz="0" w:space="0" w:color="auto"/>
        <w:bottom w:val="none" w:sz="0" w:space="0" w:color="auto"/>
        <w:right w:val="none" w:sz="0" w:space="0" w:color="auto"/>
      </w:divBdr>
    </w:div>
    <w:div w:id="2001618607">
      <w:bodyDiv w:val="1"/>
      <w:marLeft w:val="0"/>
      <w:marRight w:val="0"/>
      <w:marTop w:val="0"/>
      <w:marBottom w:val="0"/>
      <w:divBdr>
        <w:top w:val="none" w:sz="0" w:space="0" w:color="auto"/>
        <w:left w:val="none" w:sz="0" w:space="0" w:color="auto"/>
        <w:bottom w:val="none" w:sz="0" w:space="0" w:color="auto"/>
        <w:right w:val="none" w:sz="0" w:space="0" w:color="auto"/>
      </w:divBdr>
      <w:divsChild>
        <w:div w:id="417606292">
          <w:marLeft w:val="0"/>
          <w:marRight w:val="0"/>
          <w:marTop w:val="0"/>
          <w:marBottom w:val="0"/>
          <w:divBdr>
            <w:top w:val="none" w:sz="0" w:space="0" w:color="auto"/>
            <w:left w:val="none" w:sz="0" w:space="0" w:color="auto"/>
            <w:bottom w:val="none" w:sz="0" w:space="0" w:color="auto"/>
            <w:right w:val="none" w:sz="0" w:space="0" w:color="auto"/>
          </w:divBdr>
          <w:divsChild>
            <w:div w:id="809635561">
              <w:marLeft w:val="0"/>
              <w:marRight w:val="0"/>
              <w:marTop w:val="0"/>
              <w:marBottom w:val="0"/>
              <w:divBdr>
                <w:top w:val="none" w:sz="0" w:space="0" w:color="auto"/>
                <w:left w:val="none" w:sz="0" w:space="0" w:color="auto"/>
                <w:bottom w:val="none" w:sz="0" w:space="0" w:color="auto"/>
                <w:right w:val="none" w:sz="0" w:space="0" w:color="auto"/>
              </w:divBdr>
              <w:divsChild>
                <w:div w:id="2035840757">
                  <w:marLeft w:val="0"/>
                  <w:marRight w:val="0"/>
                  <w:marTop w:val="0"/>
                  <w:marBottom w:val="0"/>
                  <w:divBdr>
                    <w:top w:val="none" w:sz="0" w:space="0" w:color="auto"/>
                    <w:left w:val="none" w:sz="0" w:space="0" w:color="auto"/>
                    <w:bottom w:val="none" w:sz="0" w:space="0" w:color="auto"/>
                    <w:right w:val="none" w:sz="0" w:space="0" w:color="auto"/>
                  </w:divBdr>
                  <w:divsChild>
                    <w:div w:id="850071212">
                      <w:marLeft w:val="0"/>
                      <w:marRight w:val="0"/>
                      <w:marTop w:val="0"/>
                      <w:marBottom w:val="0"/>
                      <w:divBdr>
                        <w:top w:val="none" w:sz="0" w:space="0" w:color="auto"/>
                        <w:left w:val="none" w:sz="0" w:space="0" w:color="auto"/>
                        <w:bottom w:val="none" w:sz="0" w:space="0" w:color="auto"/>
                        <w:right w:val="none" w:sz="0" w:space="0" w:color="auto"/>
                      </w:divBdr>
                      <w:divsChild>
                        <w:div w:id="11228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132440">
      <w:bodyDiv w:val="1"/>
      <w:marLeft w:val="0"/>
      <w:marRight w:val="0"/>
      <w:marTop w:val="0"/>
      <w:marBottom w:val="0"/>
      <w:divBdr>
        <w:top w:val="none" w:sz="0" w:space="0" w:color="auto"/>
        <w:left w:val="none" w:sz="0" w:space="0" w:color="auto"/>
        <w:bottom w:val="none" w:sz="0" w:space="0" w:color="auto"/>
        <w:right w:val="none" w:sz="0" w:space="0" w:color="auto"/>
      </w:divBdr>
    </w:div>
    <w:div w:id="2011563983">
      <w:bodyDiv w:val="1"/>
      <w:marLeft w:val="0"/>
      <w:marRight w:val="0"/>
      <w:marTop w:val="0"/>
      <w:marBottom w:val="0"/>
      <w:divBdr>
        <w:top w:val="none" w:sz="0" w:space="0" w:color="auto"/>
        <w:left w:val="none" w:sz="0" w:space="0" w:color="auto"/>
        <w:bottom w:val="none" w:sz="0" w:space="0" w:color="auto"/>
        <w:right w:val="none" w:sz="0" w:space="0" w:color="auto"/>
      </w:divBdr>
    </w:div>
    <w:div w:id="2013605019">
      <w:bodyDiv w:val="1"/>
      <w:marLeft w:val="0"/>
      <w:marRight w:val="0"/>
      <w:marTop w:val="0"/>
      <w:marBottom w:val="0"/>
      <w:divBdr>
        <w:top w:val="none" w:sz="0" w:space="0" w:color="auto"/>
        <w:left w:val="none" w:sz="0" w:space="0" w:color="auto"/>
        <w:bottom w:val="none" w:sz="0" w:space="0" w:color="auto"/>
        <w:right w:val="none" w:sz="0" w:space="0" w:color="auto"/>
      </w:divBdr>
      <w:divsChild>
        <w:div w:id="1202867519">
          <w:marLeft w:val="0"/>
          <w:marRight w:val="0"/>
          <w:marTop w:val="0"/>
          <w:marBottom w:val="0"/>
          <w:divBdr>
            <w:top w:val="none" w:sz="0" w:space="0" w:color="auto"/>
            <w:left w:val="none" w:sz="0" w:space="0" w:color="auto"/>
            <w:bottom w:val="none" w:sz="0" w:space="0" w:color="auto"/>
            <w:right w:val="none" w:sz="0" w:space="0" w:color="auto"/>
          </w:divBdr>
        </w:div>
      </w:divsChild>
    </w:div>
    <w:div w:id="2039819314">
      <w:bodyDiv w:val="1"/>
      <w:marLeft w:val="0"/>
      <w:marRight w:val="0"/>
      <w:marTop w:val="0"/>
      <w:marBottom w:val="0"/>
      <w:divBdr>
        <w:top w:val="none" w:sz="0" w:space="0" w:color="auto"/>
        <w:left w:val="none" w:sz="0" w:space="0" w:color="auto"/>
        <w:bottom w:val="none" w:sz="0" w:space="0" w:color="auto"/>
        <w:right w:val="none" w:sz="0" w:space="0" w:color="auto"/>
      </w:divBdr>
    </w:div>
    <w:div w:id="2048985779">
      <w:bodyDiv w:val="1"/>
      <w:marLeft w:val="0"/>
      <w:marRight w:val="0"/>
      <w:marTop w:val="0"/>
      <w:marBottom w:val="0"/>
      <w:divBdr>
        <w:top w:val="none" w:sz="0" w:space="0" w:color="auto"/>
        <w:left w:val="none" w:sz="0" w:space="0" w:color="auto"/>
        <w:bottom w:val="none" w:sz="0" w:space="0" w:color="auto"/>
        <w:right w:val="none" w:sz="0" w:space="0" w:color="auto"/>
      </w:divBdr>
    </w:div>
    <w:div w:id="2053386849">
      <w:bodyDiv w:val="1"/>
      <w:marLeft w:val="0"/>
      <w:marRight w:val="0"/>
      <w:marTop w:val="0"/>
      <w:marBottom w:val="0"/>
      <w:divBdr>
        <w:top w:val="none" w:sz="0" w:space="0" w:color="auto"/>
        <w:left w:val="none" w:sz="0" w:space="0" w:color="auto"/>
        <w:bottom w:val="none" w:sz="0" w:space="0" w:color="auto"/>
        <w:right w:val="none" w:sz="0" w:space="0" w:color="auto"/>
      </w:divBdr>
    </w:div>
    <w:div w:id="2060013681">
      <w:bodyDiv w:val="1"/>
      <w:marLeft w:val="0"/>
      <w:marRight w:val="0"/>
      <w:marTop w:val="0"/>
      <w:marBottom w:val="0"/>
      <w:divBdr>
        <w:top w:val="none" w:sz="0" w:space="0" w:color="auto"/>
        <w:left w:val="none" w:sz="0" w:space="0" w:color="auto"/>
        <w:bottom w:val="none" w:sz="0" w:space="0" w:color="auto"/>
        <w:right w:val="none" w:sz="0" w:space="0" w:color="auto"/>
      </w:divBdr>
    </w:div>
    <w:div w:id="2063019766">
      <w:bodyDiv w:val="1"/>
      <w:marLeft w:val="0"/>
      <w:marRight w:val="0"/>
      <w:marTop w:val="0"/>
      <w:marBottom w:val="0"/>
      <w:divBdr>
        <w:top w:val="none" w:sz="0" w:space="0" w:color="auto"/>
        <w:left w:val="none" w:sz="0" w:space="0" w:color="auto"/>
        <w:bottom w:val="none" w:sz="0" w:space="0" w:color="auto"/>
        <w:right w:val="none" w:sz="0" w:space="0" w:color="auto"/>
      </w:divBdr>
    </w:div>
    <w:div w:id="2068720316">
      <w:bodyDiv w:val="1"/>
      <w:marLeft w:val="0"/>
      <w:marRight w:val="0"/>
      <w:marTop w:val="0"/>
      <w:marBottom w:val="0"/>
      <w:divBdr>
        <w:top w:val="none" w:sz="0" w:space="0" w:color="auto"/>
        <w:left w:val="none" w:sz="0" w:space="0" w:color="auto"/>
        <w:bottom w:val="none" w:sz="0" w:space="0" w:color="auto"/>
        <w:right w:val="none" w:sz="0" w:space="0" w:color="auto"/>
      </w:divBdr>
      <w:divsChild>
        <w:div w:id="1561672131">
          <w:marLeft w:val="0"/>
          <w:marRight w:val="0"/>
          <w:marTop w:val="0"/>
          <w:marBottom w:val="0"/>
          <w:divBdr>
            <w:top w:val="none" w:sz="0" w:space="0" w:color="auto"/>
            <w:left w:val="none" w:sz="0" w:space="0" w:color="auto"/>
            <w:bottom w:val="none" w:sz="0" w:space="0" w:color="auto"/>
            <w:right w:val="none" w:sz="0" w:space="0" w:color="auto"/>
          </w:divBdr>
        </w:div>
      </w:divsChild>
    </w:div>
    <w:div w:id="2085567694">
      <w:bodyDiv w:val="1"/>
      <w:marLeft w:val="0"/>
      <w:marRight w:val="0"/>
      <w:marTop w:val="0"/>
      <w:marBottom w:val="0"/>
      <w:divBdr>
        <w:top w:val="none" w:sz="0" w:space="0" w:color="auto"/>
        <w:left w:val="none" w:sz="0" w:space="0" w:color="auto"/>
        <w:bottom w:val="none" w:sz="0" w:space="0" w:color="auto"/>
        <w:right w:val="none" w:sz="0" w:space="0" w:color="auto"/>
      </w:divBdr>
      <w:divsChild>
        <w:div w:id="693458843">
          <w:marLeft w:val="0"/>
          <w:marRight w:val="0"/>
          <w:marTop w:val="0"/>
          <w:marBottom w:val="0"/>
          <w:divBdr>
            <w:top w:val="none" w:sz="0" w:space="0" w:color="auto"/>
            <w:left w:val="none" w:sz="0" w:space="0" w:color="auto"/>
            <w:bottom w:val="none" w:sz="0" w:space="0" w:color="auto"/>
            <w:right w:val="none" w:sz="0" w:space="0" w:color="auto"/>
          </w:divBdr>
        </w:div>
      </w:divsChild>
    </w:div>
    <w:div w:id="2104766540">
      <w:bodyDiv w:val="1"/>
      <w:marLeft w:val="0"/>
      <w:marRight w:val="0"/>
      <w:marTop w:val="0"/>
      <w:marBottom w:val="0"/>
      <w:divBdr>
        <w:top w:val="none" w:sz="0" w:space="0" w:color="auto"/>
        <w:left w:val="none" w:sz="0" w:space="0" w:color="auto"/>
        <w:bottom w:val="none" w:sz="0" w:space="0" w:color="auto"/>
        <w:right w:val="none" w:sz="0" w:space="0" w:color="auto"/>
      </w:divBdr>
    </w:div>
    <w:div w:id="2127310039">
      <w:bodyDiv w:val="1"/>
      <w:marLeft w:val="0"/>
      <w:marRight w:val="0"/>
      <w:marTop w:val="0"/>
      <w:marBottom w:val="0"/>
      <w:divBdr>
        <w:top w:val="none" w:sz="0" w:space="0" w:color="auto"/>
        <w:left w:val="none" w:sz="0" w:space="0" w:color="auto"/>
        <w:bottom w:val="none" w:sz="0" w:space="0" w:color="auto"/>
        <w:right w:val="none" w:sz="0" w:space="0" w:color="auto"/>
      </w:divBdr>
    </w:div>
    <w:div w:id="214500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kartvelishvili@gyla.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eo.phiranishvili@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6" Type="http://schemas.openxmlformats.org/officeDocument/2006/relationships/hyperlink" Target="https://emc.org.ge/en/products/temirlan-machalikashvilis-tsinaaaghmdeg-mimdinare-gamodziebis-kritikuli-shefaseba" TargetMode="External"/><Relationship Id="rId21" Type="http://schemas.openxmlformats.org/officeDocument/2006/relationships/hyperlink" Target="https://women.ge/ka/news/newsfeed/226/" TargetMode="External"/><Relationship Id="rId42" Type="http://schemas.openxmlformats.org/officeDocument/2006/relationships/hyperlink" Target="https://gyla.ge/en/post/20-21-ivnisis-movlenebi-gamoudziebelia" TargetMode="External"/><Relationship Id="rId47" Type="http://schemas.openxmlformats.org/officeDocument/2006/relationships/hyperlink" Target="https://www.moh.gov.ge/uploads/files/2019/Failebi/LCID_Geo_a4_1.pdf" TargetMode="External"/><Relationship Id="rId63" Type="http://schemas.openxmlformats.org/officeDocument/2006/relationships/hyperlink" Target="https://bit.ly/341LsIT" TargetMode="External"/><Relationship Id="rId68" Type="http://schemas.openxmlformats.org/officeDocument/2006/relationships/hyperlink" Target="https://emc.org.ge/en/products/sakartvelos-sakhelmtsifos-religiuri-politikis-ganvitarebis-strategiis-shefaseba" TargetMode="External"/><Relationship Id="rId84" Type="http://schemas.openxmlformats.org/officeDocument/2006/relationships/hyperlink" Target="https://formulanews.ge/News/27853" TargetMode="External"/><Relationship Id="rId89" Type="http://schemas.openxmlformats.org/officeDocument/2006/relationships/hyperlink" Target="https://bit.ly/30QaXcA" TargetMode="External"/><Relationship Id="rId112" Type="http://schemas.openxmlformats.org/officeDocument/2006/relationships/hyperlink" Target="https://emc.org.ge/en/products/adamianis-uflebebze-momushave-organizatsiebi-ekhmianebian-pankisis-kheobashi-sapolitsio-dzalis-gamoqenebas" TargetMode="External"/><Relationship Id="rId16" Type="http://schemas.openxmlformats.org/officeDocument/2006/relationships/hyperlink" Target="https://info.parliament.ge/" TargetMode="External"/><Relationship Id="rId107" Type="http://schemas.openxmlformats.org/officeDocument/2006/relationships/hyperlink" Target="https://www.cciir.ge/images/pdf/CCIIR%20research%20document.pdf" TargetMode="External"/><Relationship Id="rId11" Type="http://schemas.openxmlformats.org/officeDocument/2006/relationships/hyperlink" Target="https://bit.ly/2OR8OZW" TargetMode="External"/><Relationship Id="rId32" Type="http://schemas.openxmlformats.org/officeDocument/2006/relationships/hyperlink" Target="https://info.parliament.ge/" TargetMode="External"/><Relationship Id="rId37" Type="http://schemas.openxmlformats.org/officeDocument/2006/relationships/hyperlink" Target="https://bit.ly/3hIUQob" TargetMode="External"/><Relationship Id="rId53" Type="http://schemas.openxmlformats.org/officeDocument/2006/relationships/hyperlink" Target="https://agenda.ge/en/news/2017/1779" TargetMode="External"/><Relationship Id="rId58" Type="http://schemas.openxmlformats.org/officeDocument/2006/relationships/hyperlink" Target="http://bit.ly/2Qu56po" TargetMode="External"/><Relationship Id="rId74" Type="http://schemas.openxmlformats.org/officeDocument/2006/relationships/hyperlink" Target="https://emc.org.ge/en/products/emc-maghamltian-acharashi-sajaro-skolebis-religiuri-indoktrinatsiis-fakts-ekhmianeba" TargetMode="External"/><Relationship Id="rId79" Type="http://schemas.openxmlformats.org/officeDocument/2006/relationships/hyperlink" Target="https://bit.ly/32V5rZc" TargetMode="External"/><Relationship Id="rId102" Type="http://schemas.openxmlformats.org/officeDocument/2006/relationships/hyperlink" Target="https://imedinews.ge/ge/dzalovnebi/108905/shssm-lgbtqpraidis-tsinaagmdeglegionissheqmnis-shesakheb-levan-vasadzis-gantskhadebisshemdeg-gamodzieba-daitsko" TargetMode="External"/><Relationship Id="rId5" Type="http://schemas.openxmlformats.org/officeDocument/2006/relationships/hyperlink" Target="https://www.icc-cpi.int/CourtRecords/CR2015_21221.PDF" TargetMode="External"/><Relationship Id="rId90" Type="http://schemas.openxmlformats.org/officeDocument/2006/relationships/hyperlink" Target="https://bit.ly/2t0tV3M" TargetMode="External"/><Relationship Id="rId95" Type="http://schemas.openxmlformats.org/officeDocument/2006/relationships/hyperlink" Target="https://emc.org.ge/en/products/12-maisi-masshtaburi-sapolitsio-operatsia-tbilisis-klubebshi" TargetMode="External"/><Relationship Id="rId22" Type="http://schemas.openxmlformats.org/officeDocument/2006/relationships/hyperlink" Target="https://oc-media.org/georgian-ultraconservative-groups-vow-to-prevent-queer-romance-film-premier/" TargetMode="External"/><Relationship Id="rId27" Type="http://schemas.openxmlformats.org/officeDocument/2006/relationships/hyperlink" Target="https://emc.org.ge/en/products/emc-m-temirlan-machalikashvilis-sakmeze-evrosasamartlos-mimarta" TargetMode="External"/><Relationship Id="rId43" Type="http://schemas.openxmlformats.org/officeDocument/2006/relationships/hyperlink" Target="https://bit.ly/2EcfL4M" TargetMode="External"/><Relationship Id="rId48" Type="http://schemas.openxmlformats.org/officeDocument/2006/relationships/hyperlink" Target="https://www.state.gov/wp-content/uploads/2020/06/2020-TIP-Report-Complete-062420-FINAL.pdf" TargetMode="External"/><Relationship Id="rId64" Type="http://schemas.openxmlformats.org/officeDocument/2006/relationships/hyperlink" Target="https://bit.ly/3g7vkbP" TargetMode="External"/><Relationship Id="rId69" Type="http://schemas.openxmlformats.org/officeDocument/2006/relationships/hyperlink" Target="https://tdi.ge/sites/default/files/study_of_religious_discrimination_and_constitutional_secularism_tdi.pdf" TargetMode="External"/><Relationship Id="rId113" Type="http://schemas.openxmlformats.org/officeDocument/2006/relationships/hyperlink" Target="https://emc.org.ge/ka/products/emc-bolnissa-da-marneulshi-politsias-temze-da-adamianis-uflebebze-orientirenuli-mushaobis-gadzlierebisken-moutsodebs" TargetMode="External"/><Relationship Id="rId80" Type="http://schemas.openxmlformats.org/officeDocument/2006/relationships/hyperlink" Target="https://bit.ly/30PsOAV" TargetMode="External"/><Relationship Id="rId85" Type="http://schemas.openxmlformats.org/officeDocument/2006/relationships/hyperlink" Target="https://emc.org.ge/ka/products/emc-sus-shi-mimdinare-gamodziebasa-da-tamta-mikeladzis-gamokitkhvis-protsess-ekhmianeba" TargetMode="External"/><Relationship Id="rId12" Type="http://schemas.openxmlformats.org/officeDocument/2006/relationships/hyperlink" Target="https://bit.ly/3aoNdB6" TargetMode="External"/><Relationship Id="rId17" Type="http://schemas.openxmlformats.org/officeDocument/2006/relationships/hyperlink" Target="https://bit.ly/32TPlz3" TargetMode="External"/><Relationship Id="rId33" Type="http://schemas.openxmlformats.org/officeDocument/2006/relationships/hyperlink" Target="http://bit.ly/38p44kK" TargetMode="External"/><Relationship Id="rId38" Type="http://schemas.openxmlformats.org/officeDocument/2006/relationships/hyperlink" Target="https://bit.ly/302hd23" TargetMode="External"/><Relationship Id="rId59" Type="http://schemas.openxmlformats.org/officeDocument/2006/relationships/hyperlink" Target="http://bit.ly/33tmwYx" TargetMode="External"/><Relationship Id="rId103" Type="http://schemas.openxmlformats.org/officeDocument/2006/relationships/hyperlink" Target="https://www.state.gov/wp-content/uploads/2020/03/GEORGIA-2019-HUMAN-RIGHTS-REPORT.pdf" TargetMode="External"/><Relationship Id="rId108" Type="http://schemas.openxmlformats.org/officeDocument/2006/relationships/hyperlink" Target="https://cciir.ge/images/pdf/axali%20dokumenti.pdf?fbclid=IwAR2LclaCChCYpTV3oYgQO6XcLj1MPkQtRSH7ySsUH96cv8djNq6sVLLXmr4" TargetMode="External"/><Relationship Id="rId54" Type="http://schemas.openxmlformats.org/officeDocument/2006/relationships/hyperlink" Target="https://emc.org.ge/ka/products/emc-akhalgoreli-aktivistis-tamar-mearaqishvilis-tsinaaghmdeg-devnisa-da-shevitsroebis-sakmes-afasebs" TargetMode="External"/><Relationship Id="rId70" Type="http://schemas.openxmlformats.org/officeDocument/2006/relationships/hyperlink" Target="https://emc.org.ge/ka/products/emc-tqis-kodeksit-mkholod-eklesiistvis-tqis-resursebis-gadatsema-arakonstitutsiuri-ikneba" TargetMode="External"/><Relationship Id="rId75" Type="http://schemas.openxmlformats.org/officeDocument/2006/relationships/hyperlink" Target="https://bit.ly/2DMQnCZ" TargetMode="External"/><Relationship Id="rId91" Type="http://schemas.openxmlformats.org/officeDocument/2006/relationships/hyperlink" Target="https://bit.ly/3031UpL" TargetMode="External"/><Relationship Id="rId96" Type="http://schemas.openxmlformats.org/officeDocument/2006/relationships/hyperlink" Target="http://hudoc.echr.coe.int/eng?i=001-154400" TargetMode="External"/><Relationship Id="rId1" Type="http://schemas.openxmlformats.org/officeDocument/2006/relationships/hyperlink" Target="https://bit.ly/2CO7x2y" TargetMode="External"/><Relationship Id="rId6" Type="http://schemas.openxmlformats.org/officeDocument/2006/relationships/hyperlink" Target="https://bit.ly/3g3IWnD;%20" TargetMode="External"/><Relationship Id="rId15" Type="http://schemas.openxmlformats.org/officeDocument/2006/relationships/hyperlink" Target="http://www.coalition.ge/index.php?article_id=123&amp;clang=1" TargetMode="External"/><Relationship Id="rId23" Type="http://schemas.openxmlformats.org/officeDocument/2006/relationships/hyperlink" Target="https://bit.ly/2DUpSaO" TargetMode="External"/><Relationship Id="rId28" Type="http://schemas.openxmlformats.org/officeDocument/2006/relationships/hyperlink" Target="https://emc.org.ge/en/products/usafrtkhoebis-mzeris-kvesh-istoria-politika-da-religia-pankisis-kheobashi" TargetMode="External"/><Relationship Id="rId36" Type="http://schemas.openxmlformats.org/officeDocument/2006/relationships/hyperlink" Target="https://emc.org.ge/en/products/arasatanado-mopqrobis-preventsia-politsiis-sakmianobashi" TargetMode="External"/><Relationship Id="rId49" Type="http://schemas.openxmlformats.org/officeDocument/2006/relationships/hyperlink" Target="https://osgf.ge/en/new-sociological-poll-unfolds-the-new-picture-of-citizens-perceptions/" TargetMode="External"/><Relationship Id="rId57" Type="http://schemas.openxmlformats.org/officeDocument/2006/relationships/hyperlink" Target="https://www.hrw.org/world-report/2019/country-chapters/russia" TargetMode="External"/><Relationship Id="rId106" Type="http://schemas.openxmlformats.org/officeDocument/2006/relationships/hyperlink" Target="https://emc.org.ge/ka/products/emc-moutsodebs-marneulis-munitsipalitets-shekmnas-umtsiresobis-enaze-targmnis-resursebi" TargetMode="External"/><Relationship Id="rId114" Type="http://schemas.openxmlformats.org/officeDocument/2006/relationships/hyperlink" Target="https://emc.org.ge/ka/products/dmanisoba-gadatserili-dghesastsauli-da-kulturuli-dominatsiis-mekanizmi" TargetMode="External"/><Relationship Id="rId10" Type="http://schemas.openxmlformats.org/officeDocument/2006/relationships/hyperlink" Target="https://goo.gl/ocENXL" TargetMode="External"/><Relationship Id="rId31" Type="http://schemas.openxmlformats.org/officeDocument/2006/relationships/hyperlink" Target="https://www.moh.gov.ge/uploads/files/2019/Failebi/LCID_Geo_a4_1.pdf" TargetMode="External"/><Relationship Id="rId44" Type="http://schemas.openxmlformats.org/officeDocument/2006/relationships/hyperlink" Target="https://emc.org.ge/en/products/represia-sazghvrebs-mighma-azerbaijanidan-devnili-mokalakeebi-sakartveloshi" TargetMode="External"/><Relationship Id="rId52" Type="http://schemas.openxmlformats.org/officeDocument/2006/relationships/hyperlink" Target="https://eumm.eu/en/press_and_public_information/press_releases/36659/" TargetMode="External"/><Relationship Id="rId60" Type="http://schemas.openxmlformats.org/officeDocument/2006/relationships/hyperlink" Target="http://bit.ly/2UeDzJC" TargetMode="External"/><Relationship Id="rId65" Type="http://schemas.openxmlformats.org/officeDocument/2006/relationships/hyperlink" Target="https://constcourt.ge/ka/judicial-acts?legal=1957" TargetMode="External"/><Relationship Id="rId73" Type="http://schemas.openxmlformats.org/officeDocument/2006/relationships/hyperlink" Target="https://tdi.ge/sites/default/files/analysis_of_textbooks_tdi_eng.pdf" TargetMode="External"/><Relationship Id="rId78" Type="http://schemas.openxmlformats.org/officeDocument/2006/relationships/hyperlink" Target="https://www.osce.org/files/f/documents/9/4/412724_2.pdf" TargetMode="External"/><Relationship Id="rId81" Type="http://schemas.openxmlformats.org/officeDocument/2006/relationships/hyperlink" Target="https://rsf.org/en/news/georgian-tv-channels-deputy-director-resigns-under-pressure?fbclid=IwAR2Sy1h9vdfhLjf7ww1Kyl8j2bQ7KCYycGBPK0SSnszTUVE9H7s9qtap3PA" TargetMode="External"/><Relationship Id="rId86" Type="http://schemas.openxmlformats.org/officeDocument/2006/relationships/hyperlink" Target="https://bit.ly/341kdhz" TargetMode="External"/><Relationship Id="rId94" Type="http://schemas.openxmlformats.org/officeDocument/2006/relationships/hyperlink" Target="https://www.venice.coe.int/webforms/documents/default.aspx?pdffile=CDL-AD(2011)029-e" TargetMode="External"/><Relationship Id="rId99" Type="http://schemas.openxmlformats.org/officeDocument/2006/relationships/hyperlink" Target="https://police.ge/en/shinagan-saqmeta-saministros-gantskhadeba/12775" TargetMode="External"/><Relationship Id="rId101" Type="http://schemas.openxmlformats.org/officeDocument/2006/relationships/hyperlink" Target="https://oc-media.org/tbilisi-pride-cancelled-after-location-leaks-online/" TargetMode="External"/><Relationship Id="rId4" Type="http://schemas.openxmlformats.org/officeDocument/2006/relationships/hyperlink" Target="https://www.icc-cpi.int/CourtRecords/CR2016_00608.PDF" TargetMode="External"/><Relationship Id="rId9" Type="http://schemas.openxmlformats.org/officeDocument/2006/relationships/hyperlink" Target="https://emc.org.ge/2016/09/07/emc-130/" TargetMode="External"/><Relationship Id="rId13" Type="http://schemas.openxmlformats.org/officeDocument/2006/relationships/hyperlink" Target="https://bit.ly/2E1SzpV" TargetMode="External"/><Relationship Id="rId18" Type="http://schemas.openxmlformats.org/officeDocument/2006/relationships/hyperlink" Target="http://www.ombudsman.ge/res/docs/2020052512261337628.pdf" TargetMode="External"/><Relationship Id="rId39" Type="http://schemas.openxmlformats.org/officeDocument/2006/relationships/hyperlink" Target="http://www.ombudsman.ge/res/docs/2019101108583612469.pdf" TargetMode="External"/><Relationship Id="rId109" Type="http://schemas.openxmlformats.org/officeDocument/2006/relationships/hyperlink" Target="https://emc.org.ge/ka/products/mokalakeoba-da-meorekhariskhovani-mokalakeoba-uflebebis-shezghudva-infrastruktura-institutsiuri-da-araformaluri-praktikebi" TargetMode="External"/><Relationship Id="rId34" Type="http://schemas.openxmlformats.org/officeDocument/2006/relationships/hyperlink" Target="http://bit.ly/2Ind9A0" TargetMode="External"/><Relationship Id="rId50" Type="http://schemas.openxmlformats.org/officeDocument/2006/relationships/hyperlink" Target="https://bit.ly/2PlYdWc" TargetMode="External"/><Relationship Id="rId55" Type="http://schemas.openxmlformats.org/officeDocument/2006/relationships/hyperlink" Target="https://emc.org.ge/ka/products/emc-ramzan-akhiadovis-rusetis-federatsiashi-ekstradirebis-fakts-ekhmaureba" TargetMode="External"/><Relationship Id="rId76" Type="http://schemas.openxmlformats.org/officeDocument/2006/relationships/hyperlink" Target="https://bit.ly/2E4ZCho" TargetMode="External"/><Relationship Id="rId97" Type="http://schemas.openxmlformats.org/officeDocument/2006/relationships/hyperlink" Target="http://equalitycoalition.ge/article/51" TargetMode="External"/><Relationship Id="rId104" Type="http://schemas.openxmlformats.org/officeDocument/2006/relationships/hyperlink" Target="http://www.parliament.ge/uploads/other/78/78447.pdf" TargetMode="External"/><Relationship Id="rId7" Type="http://schemas.openxmlformats.org/officeDocument/2006/relationships/hyperlink" Target="https://www.hrw.org/sites/default/files/reports/georgia0112ForUpload.pdf" TargetMode="External"/><Relationship Id="rId71" Type="http://schemas.openxmlformats.org/officeDocument/2006/relationships/hyperlink" Target="https://tdi.ge/sites/default/files/assessment_of_the_needs_of_religious_organizations_in_georgia_tdi.pdf" TargetMode="External"/><Relationship Id="rId92" Type="http://schemas.openxmlformats.org/officeDocument/2006/relationships/hyperlink" Target="https://bit.ly/2E9Ryfi" TargetMode="External"/><Relationship Id="rId2" Type="http://schemas.openxmlformats.org/officeDocument/2006/relationships/hyperlink" Target="https://bit.ly/2CO7x2y" TargetMode="External"/><Relationship Id="rId29" Type="http://schemas.openxmlformats.org/officeDocument/2006/relationships/hyperlink" Target="https://emc.org.ge/en/products/usafrtkhoebis-samsakhuris-reforma-sakartveloshi-shedegebi-da-gamotsvevebi" TargetMode="External"/><Relationship Id="rId24" Type="http://schemas.openxmlformats.org/officeDocument/2006/relationships/hyperlink" Target="https://bit.ly/2WTV0kR" TargetMode="External"/><Relationship Id="rId40" Type="http://schemas.openxmlformats.org/officeDocument/2006/relationships/hyperlink" Target="https://gyla.ge/files/news/2006/Report.%20eng.pdf" TargetMode="External"/><Relationship Id="rId45" Type="http://schemas.openxmlformats.org/officeDocument/2006/relationships/hyperlink" Target="https://emc.org.ge/en/products/azerbaijaneli-zhurnalistebis-da-aktivistebis-sakmeebis-mimokhilva" TargetMode="External"/><Relationship Id="rId66" Type="http://schemas.openxmlformats.org/officeDocument/2006/relationships/hyperlink" Target="https://osgf.ge/en/draft-law-on-information-security-and-associated-risks/" TargetMode="External"/><Relationship Id="rId87" Type="http://schemas.openxmlformats.org/officeDocument/2006/relationships/hyperlink" Target="https://emc.org.ge/en/products/arasamtavrobo-organizatsiebis-gantskhadeba-20-ivniss-ganvitarebul-movlenebze" TargetMode="External"/><Relationship Id="rId110" Type="http://schemas.openxmlformats.org/officeDocument/2006/relationships/hyperlink" Target="https://emc.org.ge/ka/products/emc-moutsodebs-khelisuflebas-virusis-preventsiistvis-uzrunvelqos-tsqlis-gareshe-darchenili-soflebis-momarageba" TargetMode="External"/><Relationship Id="rId115" Type="http://schemas.openxmlformats.org/officeDocument/2006/relationships/hyperlink" Target="https://emc.org.ge/ka/products/marneulis-kulturis-tsentris-politikis-shefaseba" TargetMode="External"/><Relationship Id="rId61" Type="http://schemas.openxmlformats.org/officeDocument/2006/relationships/hyperlink" Target="https://bit.ly/2Y6UHmz" TargetMode="External"/><Relationship Id="rId82" Type="http://schemas.openxmlformats.org/officeDocument/2006/relationships/hyperlink" Target="https://emc.org.ge/en/products/sazogadoebrivi-organizatsiebi-acharis-mautsqebelshi-mimdinare-sagangasho-protsesebze-saertashoriso-organizatsiebs-kolektiurad-mimartaven" TargetMode="External"/><Relationship Id="rId19" Type="http://schemas.openxmlformats.org/officeDocument/2006/relationships/hyperlink" Target="http://www.ombudsman.ge/res/docs/2020040215365449134.pdf" TargetMode="External"/><Relationship Id="rId14" Type="http://schemas.openxmlformats.org/officeDocument/2006/relationships/hyperlink" Target="https://info.police.ge/page?id=283&amp;parent_id=233" TargetMode="External"/><Relationship Id="rId30" Type="http://schemas.openxmlformats.org/officeDocument/2006/relationships/hyperlink" Target="https://eeas.europa.eu/sites/eeas/files/1_en_jswd_georgia.pdf" TargetMode="External"/><Relationship Id="rId35" Type="http://schemas.openxmlformats.org/officeDocument/2006/relationships/hyperlink" Target="https://bit.ly/3jImdRj" TargetMode="External"/><Relationship Id="rId56" Type="http://schemas.openxmlformats.org/officeDocument/2006/relationships/hyperlink" Target="https://www.state.gov/wp-content/uploads/2019/03/RUSSIA-2018-HUMAN-RIGHTS-REPORT.pdf" TargetMode="External"/><Relationship Id="rId77" Type="http://schemas.openxmlformats.org/officeDocument/2006/relationships/hyperlink" Target="https://gyla.ge/en/post/ori-tseli-afgan-mukhtarlis-savaraudo-gatacebidan-da-dausrulebeli-gamodzieba" TargetMode="External"/><Relationship Id="rId100" Type="http://schemas.openxmlformats.org/officeDocument/2006/relationships/hyperlink" Target="http://tbl.ge/3rm1" TargetMode="External"/><Relationship Id="rId105" Type="http://schemas.openxmlformats.org/officeDocument/2006/relationships/hyperlink" Target="https://emc.org.ge/ka/products/etnikuri-umtsiresobebis-sakonsultatsio-mekanizmebi-realoba-sakartveloshi-da-saertashoriso-gamotsdileba" TargetMode="External"/><Relationship Id="rId8" Type="http://schemas.openxmlformats.org/officeDocument/2006/relationships/hyperlink" Target="https://goo.gl/nKDmpz" TargetMode="External"/><Relationship Id="rId51" Type="http://schemas.openxmlformats.org/officeDocument/2006/relationships/hyperlink" Target="https://emc.org.ge/en/products/emc-akhalgorshi-shekmnil-humanitarul-kriziss-ekhmianeba" TargetMode="External"/><Relationship Id="rId72" Type="http://schemas.openxmlformats.org/officeDocument/2006/relationships/hyperlink" Target="https://emc.org.ge/en/products/religia-sajaro-skolebshi" TargetMode="External"/><Relationship Id="rId93" Type="http://schemas.openxmlformats.org/officeDocument/2006/relationships/hyperlink" Target="https://bit.ly/3hG9mgM" TargetMode="External"/><Relationship Id="rId98" Type="http://schemas.openxmlformats.org/officeDocument/2006/relationships/hyperlink" Target="https://netgazeti.ge/news/368709/" TargetMode="External"/><Relationship Id="rId3" Type="http://schemas.openxmlformats.org/officeDocument/2006/relationships/hyperlink" Target="http://ombudsman.ge/res/docs/2020070314085795380.pdf" TargetMode="External"/><Relationship Id="rId25" Type="http://schemas.openxmlformats.org/officeDocument/2006/relationships/hyperlink" Target="https://www.ge.undp.org/content/georgia/en/home/library/democratic_governance/gender-equality-in-georgia.html" TargetMode="External"/><Relationship Id="rId46" Type="http://schemas.openxmlformats.org/officeDocument/2006/relationships/hyperlink" Target="https://www.hrw.org/sites/default/files/world_report_download/201801world_report_web.pdf" TargetMode="External"/><Relationship Id="rId67" Type="http://schemas.openxmlformats.org/officeDocument/2006/relationships/hyperlink" Target="https://emc.org.ge/en/products/kvleva-religiis-tavisufleba-sakhelmtsifos-diskriminatsiuli-da-arasekularuli-politikis-kritika" TargetMode="External"/><Relationship Id="rId20" Type="http://schemas.openxmlformats.org/officeDocument/2006/relationships/hyperlink" Target="https://bit.ly/3gUFYmO" TargetMode="External"/><Relationship Id="rId41" Type="http://schemas.openxmlformats.org/officeDocument/2006/relationships/hyperlink" Target="https://bit.ly/2EcfL4M" TargetMode="External"/><Relationship Id="rId62" Type="http://schemas.openxmlformats.org/officeDocument/2006/relationships/hyperlink" Target="https://bit.ly/3hGwT0X" TargetMode="External"/><Relationship Id="rId83" Type="http://schemas.openxmlformats.org/officeDocument/2006/relationships/hyperlink" Target="https://netgazeti.ge/news/436606/" TargetMode="External"/><Relationship Id="rId88" Type="http://schemas.openxmlformats.org/officeDocument/2006/relationships/hyperlink" Target="https://emc.org.ge/en/products/20-ivnisis-movlenebi-aktsiis-dashla-da-damianis-uflebebis-darghvevis-dziritadi-praktika-pirveladi-samartlebrivi-shefaseba" TargetMode="External"/><Relationship Id="rId111" Type="http://schemas.openxmlformats.org/officeDocument/2006/relationships/hyperlink" Target="https://emc.org.ge/en/products/usafrtkhoebis-mzeris-kvesh-istoria-politika-da-religia-pankisis-kheobas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3673440-847B-1940-A9E0-B7DC158959AB}">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657f88d28f339ed93a05a5add6c5dac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F643CE-1B73-4A86-8394-6F121692F268}">
  <ds:schemaRefs>
    <ds:schemaRef ds:uri="http://schemas.openxmlformats.org/officeDocument/2006/bibliography"/>
  </ds:schemaRefs>
</ds:datastoreItem>
</file>

<file path=customXml/itemProps2.xml><?xml version="1.0" encoding="utf-8"?>
<ds:datastoreItem xmlns:ds="http://schemas.openxmlformats.org/officeDocument/2006/customXml" ds:itemID="{FC0498F6-411F-4414-8F78-87CDBF7875DC}"/>
</file>

<file path=customXml/itemProps3.xml><?xml version="1.0" encoding="utf-8"?>
<ds:datastoreItem xmlns:ds="http://schemas.openxmlformats.org/officeDocument/2006/customXml" ds:itemID="{6D835DEC-A8AB-4793-A9A9-FE4C3412799A}"/>
</file>

<file path=customXml/itemProps4.xml><?xml version="1.0" encoding="utf-8"?>
<ds:datastoreItem xmlns:ds="http://schemas.openxmlformats.org/officeDocument/2006/customXml" ds:itemID="{459CEC94-7A09-4756-8F85-6A6EE58BCDCC}"/>
</file>

<file path=docProps/app.xml><?xml version="1.0" encoding="utf-8"?>
<Properties xmlns="http://schemas.openxmlformats.org/officeDocument/2006/extended-properties" xmlns:vt="http://schemas.openxmlformats.org/officeDocument/2006/docPropsVTypes">
  <Template>Normal.dotm</Template>
  <TotalTime>733</TotalTime>
  <Pages>37</Pages>
  <Words>14481</Words>
  <Characters>82545</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 Piranishvili</dc:creator>
  <cp:keywords/>
  <dc:description/>
  <cp:lastModifiedBy>Teo Piranishvili</cp:lastModifiedBy>
  <cp:revision>21</cp:revision>
  <cp:lastPrinted>2020-08-10T21:24:00Z</cp:lastPrinted>
  <dcterms:created xsi:type="dcterms:W3CDTF">2020-08-15T20:56:00Z</dcterms:created>
  <dcterms:modified xsi:type="dcterms:W3CDTF">2020-08-17T10:31:00Z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documentId_9640</vt:lpwstr>
  </property>
  <property fmtid="{D5CDD505-2E9C-101B-9397-08002B2CF9AE}" pid="3" name="ContentTypeId">
    <vt:lpwstr>0x0101001095AF07E9D52746B60E2F270CE938D2</vt:lpwstr>
  </property>
</Properties>
</file>