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E1A6D8" w14:textId="77777777" w:rsidR="00A5000B" w:rsidRPr="008B2158" w:rsidRDefault="007504E7" w:rsidP="00552CB7">
      <w:pPr>
        <w:pStyle w:val="RTFrontcovermaintitle"/>
        <w:rPr>
          <w:lang w:val="en-US"/>
        </w:rPr>
      </w:pPr>
      <w:r w:rsidRPr="00D77E1B">
        <w:rPr>
          <w:rStyle w:val="PageNumber"/>
          <w:sz w:val="56"/>
          <w:szCs w:val="56"/>
          <w:lang w:eastAsia="en-US"/>
        </w:rPr>
        <w:drawing>
          <wp:anchor distT="0" distB="144145" distL="114300" distR="114300" simplePos="0" relativeHeight="251660288" behindDoc="0" locked="1" layoutInCell="1" allowOverlap="1" wp14:anchorId="2E10F657" wp14:editId="5BC735AE">
            <wp:simplePos x="0" y="0"/>
            <wp:positionH relativeFrom="margin">
              <wp:posOffset>1887855</wp:posOffset>
            </wp:positionH>
            <wp:positionV relativeFrom="margin">
              <wp:posOffset>-60325</wp:posOffset>
            </wp:positionV>
            <wp:extent cx="2686050" cy="4524375"/>
            <wp:effectExtent l="0" t="0" r="0" b="9525"/>
            <wp:wrapNone/>
            <wp:docPr id="4" name="Placeholder" descr="A picture containing weatherva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portcover300.jpg"/>
                    <pic:cNvPicPr/>
                  </pic:nvPicPr>
                  <pic:blipFill>
                    <a:blip r:embed="rId8">
                      <a:extLst>
                        <a:ext uri="{28A0092B-C50C-407E-A947-70E740481C1C}">
                          <a14:useLocalDpi xmlns:a14="http://schemas.microsoft.com/office/drawing/2010/main" val="0"/>
                        </a:ext>
                      </a:extLst>
                    </a:blip>
                    <a:stretch>
                      <a:fillRect/>
                    </a:stretch>
                  </pic:blipFill>
                  <pic:spPr>
                    <a:xfrm>
                      <a:off x="0" y="0"/>
                      <a:ext cx="2686050" cy="45243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00A5000B" w:rsidRPr="008B2158">
        <w:rPr>
          <w:lang w:val="en-US"/>
        </w:rPr>
        <w:t> </w:t>
      </w:r>
      <w:r>
        <w:rPr>
          <w:lang w:val="en-US"/>
        </w:rPr>
        <w:t>perú</w:t>
      </w:r>
      <w:r w:rsidR="00A5000B" w:rsidRPr="008B2158">
        <w:rPr>
          <w:lang w:val="en-US"/>
        </w:rPr>
        <w:t> </w:t>
      </w:r>
    </w:p>
    <w:p w14:paraId="2BCA9106" w14:textId="77777777" w:rsidR="007504E7" w:rsidRDefault="007504E7" w:rsidP="007504E7">
      <w:pPr>
        <w:pStyle w:val="RTMissionStatement"/>
        <w:rPr>
          <w:caps/>
          <w:lang w:bidi="es-ES"/>
        </w:rPr>
      </w:pPr>
      <w:r w:rsidRPr="007504E7">
        <w:rPr>
          <w:caps/>
          <w:lang w:bidi="es-ES"/>
        </w:rPr>
        <w:t>INFORME AL COMITÉ PARA LA ELIMINACIÓN DE LA DISCRIMINACIÓN CONTRA LA MUJER</w:t>
      </w:r>
    </w:p>
    <w:p w14:paraId="152A63E1" w14:textId="77777777" w:rsidR="007504E7" w:rsidRPr="007504E7" w:rsidRDefault="007504E7" w:rsidP="007504E7">
      <w:pPr>
        <w:pStyle w:val="AIBodyText"/>
        <w:spacing w:before="120" w:line="240" w:lineRule="auto"/>
        <w:rPr>
          <w:rFonts w:ascii="Amnesty Trade Gothic Bold Conde" w:hAnsi="Amnesty Trade Gothic Bold Conde"/>
          <w:b/>
          <w:bCs/>
          <w:caps/>
          <w:sz w:val="32"/>
          <w:szCs w:val="32"/>
          <w:lang w:bidi="es-ES"/>
        </w:rPr>
      </w:pPr>
      <w:r w:rsidRPr="00707DE0">
        <w:rPr>
          <w:rFonts w:ascii="Amnesty Trade Gothic Bold Conde" w:hAnsi="Amnesty Trade Gothic Bold Conde"/>
          <w:b/>
          <w:bCs/>
          <w:caps/>
          <w:sz w:val="32"/>
          <w:szCs w:val="32"/>
          <w:lang w:bidi="es-ES"/>
        </w:rPr>
        <w:t>78º GRUPO DE TRABAJO, 13-17 DE JULIO 2020, LISTA DE CUESTIONES</w:t>
      </w:r>
    </w:p>
    <w:p w14:paraId="16467A45" w14:textId="780AC6A5" w:rsidR="001D035C" w:rsidRDefault="001D035C" w:rsidP="001D035C">
      <w:pPr>
        <w:pStyle w:val="RTMissionStatement"/>
        <w:rPr>
          <w:rStyle w:val="RTHighlightedtext"/>
          <w:highlight w:val="yellow"/>
        </w:rPr>
      </w:pPr>
      <w:r>
        <w:rPr>
          <w:rStyle w:val="RTHighlightedtext"/>
        </w:rPr>
        <w:lastRenderedPageBreak/>
        <w:t> </w:t>
      </w:r>
      <w:r>
        <w:rPr>
          <w:rStyle w:val="RTHighlightedtext"/>
          <w:highlight w:val="yellow"/>
        </w:rPr>
        <w:t xml:space="preserve">Amnistía Internacional es un movimiento global de más de </w:t>
      </w:r>
      <w:r>
        <w:rPr>
          <w:rStyle w:val="RTHighlightedtext"/>
          <w:highlight w:val="yellow"/>
        </w:rPr>
        <w:br/>
        <w:t xml:space="preserve"> 7 millones de personas que trabajan en favor del respeto y  </w:t>
      </w:r>
      <w:r>
        <w:rPr>
          <w:rStyle w:val="RTHighlightedtext"/>
          <w:highlight w:val="yellow"/>
        </w:rPr>
        <w:br/>
        <w:t> la protección de los derechos humanos. </w:t>
      </w:r>
    </w:p>
    <w:p w14:paraId="28CD6024" w14:textId="77777777" w:rsidR="001D035C" w:rsidRDefault="001D035C" w:rsidP="001D035C">
      <w:pPr>
        <w:pStyle w:val="RTMissionStatement"/>
        <w:rPr>
          <w:rStyle w:val="RTHighlightedtext"/>
          <w:highlight w:val="yellow"/>
        </w:rPr>
      </w:pPr>
      <w:r>
        <w:rPr>
          <w:rStyle w:val="RTHighlightedtext"/>
          <w:highlight w:val="yellow"/>
        </w:rPr>
        <w:t xml:space="preserve"> Nuestra visión es la de un mundo en el que todas las  </w:t>
      </w:r>
      <w:r>
        <w:rPr>
          <w:rStyle w:val="RTHighlightedtext"/>
          <w:highlight w:val="yellow"/>
        </w:rPr>
        <w:br/>
        <w:t> personas disfrutan de todos los derechos humanos </w:t>
      </w:r>
      <w:r>
        <w:rPr>
          <w:rStyle w:val="RTHighlightedtext"/>
          <w:highlight w:val="yellow"/>
        </w:rPr>
        <w:br/>
        <w:t xml:space="preserve"> proclamados en la Declaración Universal de Derechos </w:t>
      </w:r>
      <w:r>
        <w:rPr>
          <w:rStyle w:val="RTHighlightedtext"/>
          <w:highlight w:val="yellow"/>
        </w:rPr>
        <w:br/>
        <w:t xml:space="preserve"> Humanos y en otras normas internacionales. </w:t>
      </w:r>
    </w:p>
    <w:p w14:paraId="69EE0BF5" w14:textId="77777777" w:rsidR="001D035C" w:rsidRDefault="001D035C" w:rsidP="001D035C">
      <w:pPr>
        <w:pStyle w:val="RTMissionStatement"/>
        <w:rPr>
          <w:rStyle w:val="RTHighlightedtext"/>
        </w:rPr>
      </w:pPr>
      <w:r>
        <w:rPr>
          <w:rStyle w:val="RTHighlightedtext"/>
          <w:highlight w:val="yellow"/>
        </w:rPr>
        <w:t xml:space="preserve"> Somos independientes de todo gobierno, ideología política,  </w:t>
      </w:r>
      <w:r>
        <w:rPr>
          <w:rStyle w:val="RTHighlightedtext"/>
          <w:highlight w:val="yellow"/>
        </w:rPr>
        <w:br/>
        <w:t> interés económico y credo religioso. Nuestro trabajo se </w:t>
      </w:r>
      <w:r>
        <w:rPr>
          <w:rStyle w:val="RTHighlightedtext"/>
          <w:highlight w:val="yellow"/>
        </w:rPr>
        <w:br/>
        <w:t xml:space="preserve"> financia principalmente con las contribuciones de nuestra </w:t>
      </w:r>
      <w:r>
        <w:rPr>
          <w:rStyle w:val="RTHighlightedtext"/>
          <w:highlight w:val="yellow"/>
        </w:rPr>
        <w:br/>
        <w:t xml:space="preserve"> membresía y con donativos.</w:t>
      </w:r>
      <w:r>
        <w:rPr>
          <w:rStyle w:val="RTHighlightedtext"/>
        </w:rPr>
        <w:t> </w:t>
      </w:r>
    </w:p>
    <w:p w14:paraId="6C4DAFC3" w14:textId="77777777" w:rsidR="001079FA" w:rsidRPr="008B2158" w:rsidRDefault="001079FA" w:rsidP="001079FA">
      <w:pPr>
        <w:rPr>
          <w:lang w:eastAsia="en-GB"/>
        </w:rPr>
      </w:pPr>
    </w:p>
    <w:p w14:paraId="7B5CAC0B" w14:textId="77777777" w:rsidR="001079FA" w:rsidRPr="008B2158" w:rsidRDefault="001079FA" w:rsidP="001079FA">
      <w:pPr>
        <w:rPr>
          <w:lang w:eastAsia="en-GB"/>
        </w:rPr>
      </w:pPr>
    </w:p>
    <w:p w14:paraId="2D412AE4" w14:textId="77777777" w:rsidR="001079FA" w:rsidRPr="008B2158" w:rsidRDefault="001079FA" w:rsidP="001079FA">
      <w:pPr>
        <w:rPr>
          <w:lang w:eastAsia="en-GB"/>
        </w:rPr>
      </w:pPr>
    </w:p>
    <w:p w14:paraId="38174146" w14:textId="77777777" w:rsidR="001079FA" w:rsidRPr="008B2158" w:rsidRDefault="001079FA" w:rsidP="001079FA">
      <w:pPr>
        <w:rPr>
          <w:lang w:eastAsia="en-GB"/>
        </w:rPr>
      </w:pPr>
    </w:p>
    <w:p w14:paraId="6F2FE91A" w14:textId="77777777" w:rsidR="001079FA" w:rsidRPr="008B2158" w:rsidRDefault="001079FA" w:rsidP="001079FA">
      <w:pPr>
        <w:rPr>
          <w:lang w:eastAsia="en-GB"/>
        </w:rPr>
      </w:pPr>
    </w:p>
    <w:p w14:paraId="1C0E8003" w14:textId="77777777" w:rsidR="001079FA" w:rsidRPr="008B2158" w:rsidRDefault="001079FA" w:rsidP="001079FA">
      <w:pPr>
        <w:rPr>
          <w:lang w:eastAsia="en-GB"/>
        </w:rPr>
      </w:pPr>
    </w:p>
    <w:p w14:paraId="7351A66A" w14:textId="77777777" w:rsidR="001079FA" w:rsidRPr="008B2158" w:rsidRDefault="001079FA" w:rsidP="001079FA">
      <w:pPr>
        <w:rPr>
          <w:lang w:eastAsia="en-GB"/>
        </w:rPr>
      </w:pPr>
    </w:p>
    <w:p w14:paraId="1E6A1A9C" w14:textId="77777777" w:rsidR="001079FA" w:rsidRPr="008B2158" w:rsidRDefault="001079FA" w:rsidP="001079FA">
      <w:pPr>
        <w:rPr>
          <w:lang w:eastAsia="en-GB"/>
        </w:rPr>
      </w:pPr>
    </w:p>
    <w:p w14:paraId="678B8DF0" w14:textId="77777777" w:rsidR="001079FA" w:rsidRPr="008B2158" w:rsidRDefault="001079FA" w:rsidP="001079FA">
      <w:pPr>
        <w:rPr>
          <w:lang w:eastAsia="en-GB"/>
        </w:rPr>
      </w:pPr>
    </w:p>
    <w:p w14:paraId="6FD12406" w14:textId="77777777" w:rsidR="001079FA" w:rsidRPr="008B2158" w:rsidRDefault="001079FA" w:rsidP="001079FA">
      <w:pPr>
        <w:rPr>
          <w:lang w:eastAsia="en-GB"/>
        </w:rPr>
      </w:pPr>
    </w:p>
    <w:p w14:paraId="455FF357" w14:textId="77777777" w:rsidR="001079FA" w:rsidRPr="008B2158" w:rsidRDefault="001079FA" w:rsidP="001079FA">
      <w:pPr>
        <w:rPr>
          <w:lang w:eastAsia="en-GB"/>
        </w:rPr>
      </w:pPr>
    </w:p>
    <w:p w14:paraId="0D071F82" w14:textId="77777777" w:rsidR="001079FA" w:rsidRPr="008B2158" w:rsidRDefault="001079FA" w:rsidP="001079FA">
      <w:pPr>
        <w:rPr>
          <w:lang w:eastAsia="en-GB"/>
        </w:rPr>
      </w:pPr>
    </w:p>
    <w:p w14:paraId="65507BF7" w14:textId="77777777" w:rsidR="00290B00" w:rsidRPr="008B2158" w:rsidRDefault="00290B00" w:rsidP="001079FA">
      <w:pPr>
        <w:rPr>
          <w:lang w:eastAsia="en-GB"/>
        </w:rPr>
        <w:sectPr w:rsidR="00290B00" w:rsidRPr="008B2158" w:rsidSect="00290B00">
          <w:footerReference w:type="default" r:id="rId9"/>
          <w:footerReference w:type="first" r:id="rId10"/>
          <w:pgSz w:w="11900" w:h="16840"/>
          <w:pgMar w:top="1474" w:right="794" w:bottom="1418" w:left="794" w:header="709" w:footer="851" w:gutter="0"/>
          <w:cols w:space="708"/>
          <w:titlePg/>
          <w:docGrid w:linePitch="360"/>
        </w:sectPr>
      </w:pPr>
    </w:p>
    <w:p w14:paraId="5BB0A658" w14:textId="77777777" w:rsidR="006C7C34" w:rsidRDefault="009800D2" w:rsidP="003C08D2">
      <w:pPr>
        <w:pStyle w:val="RTTitle-NonTOC"/>
      </w:pPr>
      <w:r>
        <w:lastRenderedPageBreak/>
        <w:t>índice</w:t>
      </w:r>
    </w:p>
    <w:p w14:paraId="1A31A43D" w14:textId="3BF20A1D" w:rsidR="00756651" w:rsidRDefault="009A1DE3">
      <w:pPr>
        <w:pStyle w:val="TOC1"/>
        <w:rPr>
          <w:rFonts w:asciiTheme="minorHAnsi" w:hAnsiTheme="minorHAnsi" w:cstheme="minorBidi"/>
          <w:b w:val="0"/>
          <w:bCs w:val="0"/>
          <w:caps w:val="0"/>
          <w:noProof/>
          <w:color w:val="auto"/>
          <w:sz w:val="24"/>
          <w:szCs w:val="24"/>
          <w:lang w:val="en-DE" w:eastAsia="en-GB"/>
        </w:rPr>
      </w:pPr>
      <w:r>
        <w:rPr>
          <w:bCs w:val="0"/>
        </w:rPr>
        <w:fldChar w:fldCharType="begin"/>
      </w:r>
      <w:r>
        <w:rPr>
          <w:bCs w:val="0"/>
        </w:rPr>
        <w:instrText xml:space="preserve"> TOC \o "1-5" \h \z \u </w:instrText>
      </w:r>
      <w:r>
        <w:rPr>
          <w:bCs w:val="0"/>
        </w:rPr>
        <w:fldChar w:fldCharType="separate"/>
      </w:r>
      <w:hyperlink w:anchor="_Toc43114419" w:history="1">
        <w:r w:rsidR="00756651" w:rsidRPr="00C62D0F">
          <w:rPr>
            <w:rStyle w:val="Hyperlink"/>
            <w:noProof/>
          </w:rPr>
          <w:t>1. Introducción</w:t>
        </w:r>
        <w:r w:rsidR="00756651">
          <w:rPr>
            <w:noProof/>
            <w:webHidden/>
          </w:rPr>
          <w:tab/>
        </w:r>
        <w:r w:rsidR="00756651">
          <w:rPr>
            <w:noProof/>
            <w:webHidden/>
          </w:rPr>
          <w:fldChar w:fldCharType="begin"/>
        </w:r>
        <w:r w:rsidR="00756651">
          <w:rPr>
            <w:noProof/>
            <w:webHidden/>
          </w:rPr>
          <w:instrText xml:space="preserve"> PAGEREF _Toc43114419 \h </w:instrText>
        </w:r>
        <w:r w:rsidR="00756651">
          <w:rPr>
            <w:noProof/>
            <w:webHidden/>
          </w:rPr>
        </w:r>
        <w:r w:rsidR="00756651">
          <w:rPr>
            <w:noProof/>
            <w:webHidden/>
          </w:rPr>
          <w:fldChar w:fldCharType="separate"/>
        </w:r>
        <w:r w:rsidR="00756651">
          <w:rPr>
            <w:noProof/>
            <w:webHidden/>
          </w:rPr>
          <w:t>4</w:t>
        </w:r>
        <w:r w:rsidR="00756651">
          <w:rPr>
            <w:noProof/>
            <w:webHidden/>
          </w:rPr>
          <w:fldChar w:fldCharType="end"/>
        </w:r>
      </w:hyperlink>
    </w:p>
    <w:p w14:paraId="7D767C57" w14:textId="19F970BE" w:rsidR="00756651" w:rsidRDefault="00756651">
      <w:pPr>
        <w:pStyle w:val="TOC1"/>
        <w:rPr>
          <w:rFonts w:asciiTheme="minorHAnsi" w:hAnsiTheme="minorHAnsi" w:cstheme="minorBidi"/>
          <w:b w:val="0"/>
          <w:bCs w:val="0"/>
          <w:caps w:val="0"/>
          <w:noProof/>
          <w:color w:val="auto"/>
          <w:sz w:val="24"/>
          <w:szCs w:val="24"/>
          <w:lang w:val="en-DE" w:eastAsia="en-GB"/>
        </w:rPr>
      </w:pPr>
      <w:hyperlink w:anchor="_Toc43114420" w:history="1">
        <w:r w:rsidRPr="00C62D0F">
          <w:rPr>
            <w:rStyle w:val="Hyperlink"/>
            <w:noProof/>
            <w:bdr w:val="none" w:sz="0" w:space="0" w:color="auto" w:frame="1"/>
          </w:rPr>
          <w:t>2. Despenalización del aborto en casos de violación</w:t>
        </w:r>
        <w:r>
          <w:rPr>
            <w:noProof/>
            <w:webHidden/>
          </w:rPr>
          <w:tab/>
        </w:r>
        <w:r>
          <w:rPr>
            <w:noProof/>
            <w:webHidden/>
          </w:rPr>
          <w:fldChar w:fldCharType="begin"/>
        </w:r>
        <w:r>
          <w:rPr>
            <w:noProof/>
            <w:webHidden/>
          </w:rPr>
          <w:instrText xml:space="preserve"> PAGEREF _Toc43114420 \h </w:instrText>
        </w:r>
        <w:r>
          <w:rPr>
            <w:noProof/>
            <w:webHidden/>
          </w:rPr>
        </w:r>
        <w:r>
          <w:rPr>
            <w:noProof/>
            <w:webHidden/>
          </w:rPr>
          <w:fldChar w:fldCharType="separate"/>
        </w:r>
        <w:r>
          <w:rPr>
            <w:noProof/>
            <w:webHidden/>
          </w:rPr>
          <w:t>4</w:t>
        </w:r>
        <w:r>
          <w:rPr>
            <w:noProof/>
            <w:webHidden/>
          </w:rPr>
          <w:fldChar w:fldCharType="end"/>
        </w:r>
      </w:hyperlink>
    </w:p>
    <w:p w14:paraId="458D210C" w14:textId="15B84D57" w:rsidR="00756651" w:rsidRDefault="00756651">
      <w:pPr>
        <w:pStyle w:val="TOC1"/>
        <w:rPr>
          <w:rFonts w:asciiTheme="minorHAnsi" w:hAnsiTheme="minorHAnsi" w:cstheme="minorBidi"/>
          <w:b w:val="0"/>
          <w:bCs w:val="0"/>
          <w:caps w:val="0"/>
          <w:noProof/>
          <w:color w:val="auto"/>
          <w:sz w:val="24"/>
          <w:szCs w:val="24"/>
          <w:lang w:val="en-DE" w:eastAsia="en-GB"/>
        </w:rPr>
      </w:pPr>
      <w:hyperlink w:anchor="_Toc43114421" w:history="1">
        <w:r w:rsidRPr="00C62D0F">
          <w:rPr>
            <w:rStyle w:val="Hyperlink"/>
            <w:noProof/>
            <w:bdr w:val="none" w:sz="0" w:space="0" w:color="auto" w:frame="1"/>
          </w:rPr>
          <w:t>3. Investigación y condena a perpetradores en casos de violencia a mujeres</w:t>
        </w:r>
        <w:r>
          <w:rPr>
            <w:noProof/>
            <w:webHidden/>
          </w:rPr>
          <w:tab/>
        </w:r>
        <w:r>
          <w:rPr>
            <w:noProof/>
            <w:webHidden/>
          </w:rPr>
          <w:fldChar w:fldCharType="begin"/>
        </w:r>
        <w:r>
          <w:rPr>
            <w:noProof/>
            <w:webHidden/>
          </w:rPr>
          <w:instrText xml:space="preserve"> PAGEREF _Toc43114421 \h </w:instrText>
        </w:r>
        <w:r>
          <w:rPr>
            <w:noProof/>
            <w:webHidden/>
          </w:rPr>
        </w:r>
        <w:r>
          <w:rPr>
            <w:noProof/>
            <w:webHidden/>
          </w:rPr>
          <w:fldChar w:fldCharType="separate"/>
        </w:r>
        <w:r>
          <w:rPr>
            <w:noProof/>
            <w:webHidden/>
          </w:rPr>
          <w:t>4</w:t>
        </w:r>
        <w:r>
          <w:rPr>
            <w:noProof/>
            <w:webHidden/>
          </w:rPr>
          <w:fldChar w:fldCharType="end"/>
        </w:r>
      </w:hyperlink>
    </w:p>
    <w:p w14:paraId="5239A48C" w14:textId="0147EBB4" w:rsidR="00756651" w:rsidRDefault="00756651">
      <w:pPr>
        <w:pStyle w:val="TOC1"/>
        <w:rPr>
          <w:rFonts w:asciiTheme="minorHAnsi" w:hAnsiTheme="minorHAnsi" w:cstheme="minorBidi"/>
          <w:b w:val="0"/>
          <w:bCs w:val="0"/>
          <w:caps w:val="0"/>
          <w:noProof/>
          <w:color w:val="auto"/>
          <w:sz w:val="24"/>
          <w:szCs w:val="24"/>
          <w:lang w:val="en-DE" w:eastAsia="en-GB"/>
        </w:rPr>
      </w:pPr>
      <w:hyperlink w:anchor="_Toc43114422" w:history="1">
        <w:r w:rsidRPr="00C62D0F">
          <w:rPr>
            <w:rStyle w:val="Hyperlink"/>
            <w:noProof/>
            <w:bdr w:val="none" w:sz="0" w:space="0" w:color="auto" w:frame="1"/>
          </w:rPr>
          <w:t>4. Inclusión del enfoque de igualdad de género en las políticas públicas e implementación de la educación sexual integral</w:t>
        </w:r>
        <w:r>
          <w:rPr>
            <w:noProof/>
            <w:webHidden/>
          </w:rPr>
          <w:tab/>
        </w:r>
        <w:r>
          <w:rPr>
            <w:noProof/>
            <w:webHidden/>
          </w:rPr>
          <w:fldChar w:fldCharType="begin"/>
        </w:r>
        <w:r>
          <w:rPr>
            <w:noProof/>
            <w:webHidden/>
          </w:rPr>
          <w:instrText xml:space="preserve"> PAGEREF _Toc43114422 \h </w:instrText>
        </w:r>
        <w:r>
          <w:rPr>
            <w:noProof/>
            <w:webHidden/>
          </w:rPr>
        </w:r>
        <w:r>
          <w:rPr>
            <w:noProof/>
            <w:webHidden/>
          </w:rPr>
          <w:fldChar w:fldCharType="separate"/>
        </w:r>
        <w:r>
          <w:rPr>
            <w:noProof/>
            <w:webHidden/>
          </w:rPr>
          <w:t>5</w:t>
        </w:r>
        <w:r>
          <w:rPr>
            <w:noProof/>
            <w:webHidden/>
          </w:rPr>
          <w:fldChar w:fldCharType="end"/>
        </w:r>
      </w:hyperlink>
    </w:p>
    <w:p w14:paraId="086A6AE0" w14:textId="56888683" w:rsidR="00756651" w:rsidRDefault="00756651">
      <w:pPr>
        <w:pStyle w:val="TOC1"/>
        <w:rPr>
          <w:rFonts w:asciiTheme="minorHAnsi" w:hAnsiTheme="minorHAnsi" w:cstheme="minorBidi"/>
          <w:b w:val="0"/>
          <w:bCs w:val="0"/>
          <w:caps w:val="0"/>
          <w:noProof/>
          <w:color w:val="auto"/>
          <w:sz w:val="24"/>
          <w:szCs w:val="24"/>
          <w:lang w:val="en-DE" w:eastAsia="en-GB"/>
        </w:rPr>
      </w:pPr>
      <w:hyperlink w:anchor="_Toc43114423" w:history="1">
        <w:r w:rsidRPr="00C62D0F">
          <w:rPr>
            <w:rStyle w:val="Hyperlink"/>
            <w:rFonts w:ascii="Calibri" w:hAnsi="Calibri"/>
            <w:noProof/>
          </w:rPr>
          <w:t>5.</w:t>
        </w:r>
        <w:r w:rsidRPr="00C62D0F">
          <w:rPr>
            <w:rStyle w:val="Hyperlink"/>
            <w:noProof/>
            <w:bdr w:val="none" w:sz="0" w:space="0" w:color="auto" w:frame="1"/>
          </w:rPr>
          <w:t xml:space="preserve"> Discriminación y desprotección de mujeres defensoras de derechos humanos</w:t>
        </w:r>
        <w:r>
          <w:rPr>
            <w:noProof/>
            <w:webHidden/>
          </w:rPr>
          <w:tab/>
        </w:r>
        <w:r>
          <w:rPr>
            <w:noProof/>
            <w:webHidden/>
          </w:rPr>
          <w:fldChar w:fldCharType="begin"/>
        </w:r>
        <w:r>
          <w:rPr>
            <w:noProof/>
            <w:webHidden/>
          </w:rPr>
          <w:instrText xml:space="preserve"> PAGEREF _Toc43114423 \h </w:instrText>
        </w:r>
        <w:r>
          <w:rPr>
            <w:noProof/>
            <w:webHidden/>
          </w:rPr>
        </w:r>
        <w:r>
          <w:rPr>
            <w:noProof/>
            <w:webHidden/>
          </w:rPr>
          <w:fldChar w:fldCharType="separate"/>
        </w:r>
        <w:r>
          <w:rPr>
            <w:noProof/>
            <w:webHidden/>
          </w:rPr>
          <w:t>5</w:t>
        </w:r>
        <w:r>
          <w:rPr>
            <w:noProof/>
            <w:webHidden/>
          </w:rPr>
          <w:fldChar w:fldCharType="end"/>
        </w:r>
      </w:hyperlink>
    </w:p>
    <w:p w14:paraId="7592C8F2" w14:textId="51C55C4B" w:rsidR="00756651" w:rsidRDefault="00756651">
      <w:pPr>
        <w:pStyle w:val="TOC1"/>
        <w:rPr>
          <w:rFonts w:asciiTheme="minorHAnsi" w:hAnsiTheme="minorHAnsi" w:cstheme="minorBidi"/>
          <w:b w:val="0"/>
          <w:bCs w:val="0"/>
          <w:caps w:val="0"/>
          <w:noProof/>
          <w:color w:val="auto"/>
          <w:sz w:val="24"/>
          <w:szCs w:val="24"/>
          <w:lang w:val="en-DE" w:eastAsia="en-GB"/>
        </w:rPr>
      </w:pPr>
      <w:hyperlink w:anchor="_Toc43114424" w:history="1">
        <w:r w:rsidRPr="00C62D0F">
          <w:rPr>
            <w:rStyle w:val="Hyperlink"/>
            <w:rFonts w:ascii="Calibri" w:hAnsi="Calibri"/>
            <w:noProof/>
          </w:rPr>
          <w:t>6.</w:t>
        </w:r>
        <w:r w:rsidRPr="00C62D0F">
          <w:rPr>
            <w:rStyle w:val="Hyperlink"/>
            <w:noProof/>
            <w:bdr w:val="none" w:sz="0" w:space="0" w:color="auto" w:frame="1"/>
          </w:rPr>
          <w:t xml:space="preserve"> Falta de recursos suficientes a las políticas, estrategias y planes nacionales sobre la igualdad de género en todos los sectores del gasto público</w:t>
        </w:r>
        <w:r>
          <w:rPr>
            <w:noProof/>
            <w:webHidden/>
          </w:rPr>
          <w:tab/>
        </w:r>
        <w:r>
          <w:rPr>
            <w:noProof/>
            <w:webHidden/>
          </w:rPr>
          <w:fldChar w:fldCharType="begin"/>
        </w:r>
        <w:r>
          <w:rPr>
            <w:noProof/>
            <w:webHidden/>
          </w:rPr>
          <w:instrText xml:space="preserve"> PAGEREF _Toc43114424 \h </w:instrText>
        </w:r>
        <w:r>
          <w:rPr>
            <w:noProof/>
            <w:webHidden/>
          </w:rPr>
        </w:r>
        <w:r>
          <w:rPr>
            <w:noProof/>
            <w:webHidden/>
          </w:rPr>
          <w:fldChar w:fldCharType="separate"/>
        </w:r>
        <w:r>
          <w:rPr>
            <w:noProof/>
            <w:webHidden/>
          </w:rPr>
          <w:t>6</w:t>
        </w:r>
        <w:r>
          <w:rPr>
            <w:noProof/>
            <w:webHidden/>
          </w:rPr>
          <w:fldChar w:fldCharType="end"/>
        </w:r>
      </w:hyperlink>
    </w:p>
    <w:p w14:paraId="1B33E740" w14:textId="093FD927" w:rsidR="00756651" w:rsidRDefault="00756651">
      <w:pPr>
        <w:pStyle w:val="TOC1"/>
        <w:rPr>
          <w:rFonts w:asciiTheme="minorHAnsi" w:hAnsiTheme="minorHAnsi" w:cstheme="minorBidi"/>
          <w:b w:val="0"/>
          <w:bCs w:val="0"/>
          <w:caps w:val="0"/>
          <w:noProof/>
          <w:color w:val="auto"/>
          <w:sz w:val="24"/>
          <w:szCs w:val="24"/>
          <w:lang w:val="en-DE" w:eastAsia="en-GB"/>
        </w:rPr>
      </w:pPr>
      <w:hyperlink w:anchor="_Toc43114425" w:history="1">
        <w:r w:rsidRPr="00C62D0F">
          <w:rPr>
            <w:rStyle w:val="Hyperlink"/>
            <w:noProof/>
            <w:bdr w:val="none" w:sz="0" w:space="0" w:color="auto" w:frame="1"/>
          </w:rPr>
          <w:t>7. Justicia y reparación para mujeres víctimas de esterilizaciones forzadas</w:t>
        </w:r>
        <w:r>
          <w:rPr>
            <w:noProof/>
            <w:webHidden/>
          </w:rPr>
          <w:tab/>
        </w:r>
        <w:r>
          <w:rPr>
            <w:noProof/>
            <w:webHidden/>
          </w:rPr>
          <w:fldChar w:fldCharType="begin"/>
        </w:r>
        <w:r>
          <w:rPr>
            <w:noProof/>
            <w:webHidden/>
          </w:rPr>
          <w:instrText xml:space="preserve"> PAGEREF _Toc43114425 \h </w:instrText>
        </w:r>
        <w:r>
          <w:rPr>
            <w:noProof/>
            <w:webHidden/>
          </w:rPr>
        </w:r>
        <w:r>
          <w:rPr>
            <w:noProof/>
            <w:webHidden/>
          </w:rPr>
          <w:fldChar w:fldCharType="separate"/>
        </w:r>
        <w:r>
          <w:rPr>
            <w:noProof/>
            <w:webHidden/>
          </w:rPr>
          <w:t>6</w:t>
        </w:r>
        <w:r>
          <w:rPr>
            <w:noProof/>
            <w:webHidden/>
          </w:rPr>
          <w:fldChar w:fldCharType="end"/>
        </w:r>
      </w:hyperlink>
    </w:p>
    <w:p w14:paraId="313B3521" w14:textId="43E66C04" w:rsidR="00756651" w:rsidRDefault="00756651">
      <w:pPr>
        <w:pStyle w:val="TOC1"/>
        <w:rPr>
          <w:rFonts w:asciiTheme="minorHAnsi" w:hAnsiTheme="minorHAnsi" w:cstheme="minorBidi"/>
          <w:b w:val="0"/>
          <w:bCs w:val="0"/>
          <w:caps w:val="0"/>
          <w:noProof/>
          <w:color w:val="auto"/>
          <w:sz w:val="24"/>
          <w:szCs w:val="24"/>
          <w:lang w:val="en-DE" w:eastAsia="en-GB"/>
        </w:rPr>
      </w:pPr>
      <w:hyperlink w:anchor="_Toc43114426" w:history="1">
        <w:r w:rsidRPr="00C62D0F">
          <w:rPr>
            <w:rStyle w:val="Hyperlink"/>
            <w:noProof/>
            <w:bdr w:val="none" w:sz="0" w:space="0" w:color="auto" w:frame="1"/>
          </w:rPr>
          <w:t>8. Protección y atención de las mujeres refugiadas y migrantes ante la violencia basada en género</w:t>
        </w:r>
        <w:r>
          <w:rPr>
            <w:noProof/>
            <w:webHidden/>
          </w:rPr>
          <w:tab/>
        </w:r>
        <w:r>
          <w:rPr>
            <w:noProof/>
            <w:webHidden/>
          </w:rPr>
          <w:fldChar w:fldCharType="begin"/>
        </w:r>
        <w:r>
          <w:rPr>
            <w:noProof/>
            <w:webHidden/>
          </w:rPr>
          <w:instrText xml:space="preserve"> PAGEREF _Toc43114426 \h </w:instrText>
        </w:r>
        <w:r>
          <w:rPr>
            <w:noProof/>
            <w:webHidden/>
          </w:rPr>
        </w:r>
        <w:r>
          <w:rPr>
            <w:noProof/>
            <w:webHidden/>
          </w:rPr>
          <w:fldChar w:fldCharType="separate"/>
        </w:r>
        <w:r>
          <w:rPr>
            <w:noProof/>
            <w:webHidden/>
          </w:rPr>
          <w:t>7</w:t>
        </w:r>
        <w:r>
          <w:rPr>
            <w:noProof/>
            <w:webHidden/>
          </w:rPr>
          <w:fldChar w:fldCharType="end"/>
        </w:r>
      </w:hyperlink>
    </w:p>
    <w:p w14:paraId="4771F347" w14:textId="556BB0A2" w:rsidR="00756651" w:rsidRDefault="00756651">
      <w:pPr>
        <w:pStyle w:val="TOC1"/>
        <w:rPr>
          <w:rFonts w:asciiTheme="minorHAnsi" w:hAnsiTheme="minorHAnsi" w:cstheme="minorBidi"/>
          <w:b w:val="0"/>
          <w:bCs w:val="0"/>
          <w:caps w:val="0"/>
          <w:noProof/>
          <w:color w:val="auto"/>
          <w:sz w:val="24"/>
          <w:szCs w:val="24"/>
          <w:lang w:val="en-DE" w:eastAsia="en-GB"/>
        </w:rPr>
      </w:pPr>
      <w:hyperlink w:anchor="_Toc43114427" w:history="1">
        <w:r w:rsidRPr="00C62D0F">
          <w:rPr>
            <w:rStyle w:val="Hyperlink"/>
            <w:noProof/>
            <w:bdr w:val="none" w:sz="0" w:space="0" w:color="auto" w:frame="1"/>
          </w:rPr>
          <w:t>9. Derecho a la identidad de las mujeres transgénero</w:t>
        </w:r>
        <w:r>
          <w:rPr>
            <w:noProof/>
            <w:webHidden/>
          </w:rPr>
          <w:tab/>
        </w:r>
        <w:r>
          <w:rPr>
            <w:noProof/>
            <w:webHidden/>
          </w:rPr>
          <w:fldChar w:fldCharType="begin"/>
        </w:r>
        <w:r>
          <w:rPr>
            <w:noProof/>
            <w:webHidden/>
          </w:rPr>
          <w:instrText xml:space="preserve"> PAGEREF _Toc43114427 \h </w:instrText>
        </w:r>
        <w:r>
          <w:rPr>
            <w:noProof/>
            <w:webHidden/>
          </w:rPr>
        </w:r>
        <w:r>
          <w:rPr>
            <w:noProof/>
            <w:webHidden/>
          </w:rPr>
          <w:fldChar w:fldCharType="separate"/>
        </w:r>
        <w:r>
          <w:rPr>
            <w:noProof/>
            <w:webHidden/>
          </w:rPr>
          <w:t>7</w:t>
        </w:r>
        <w:r>
          <w:rPr>
            <w:noProof/>
            <w:webHidden/>
          </w:rPr>
          <w:fldChar w:fldCharType="end"/>
        </w:r>
      </w:hyperlink>
    </w:p>
    <w:p w14:paraId="798EBEC9" w14:textId="36B305F2" w:rsidR="00756651" w:rsidRDefault="00756651">
      <w:pPr>
        <w:pStyle w:val="TOC1"/>
        <w:rPr>
          <w:rFonts w:asciiTheme="minorHAnsi" w:hAnsiTheme="minorHAnsi" w:cstheme="minorBidi"/>
          <w:b w:val="0"/>
          <w:bCs w:val="0"/>
          <w:caps w:val="0"/>
          <w:noProof/>
          <w:color w:val="auto"/>
          <w:sz w:val="24"/>
          <w:szCs w:val="24"/>
          <w:lang w:val="en-DE" w:eastAsia="en-GB"/>
        </w:rPr>
      </w:pPr>
      <w:hyperlink w:anchor="_Toc43114428" w:history="1">
        <w:r w:rsidRPr="00C62D0F">
          <w:rPr>
            <w:rStyle w:val="Hyperlink"/>
            <w:noProof/>
            <w:bdr w:val="none" w:sz="0" w:space="0" w:color="auto" w:frame="1"/>
          </w:rPr>
          <w:t>Anexo 1- Bibliografía</w:t>
        </w:r>
        <w:r>
          <w:rPr>
            <w:noProof/>
            <w:webHidden/>
          </w:rPr>
          <w:tab/>
        </w:r>
        <w:r>
          <w:rPr>
            <w:noProof/>
            <w:webHidden/>
          </w:rPr>
          <w:fldChar w:fldCharType="begin"/>
        </w:r>
        <w:r>
          <w:rPr>
            <w:noProof/>
            <w:webHidden/>
          </w:rPr>
          <w:instrText xml:space="preserve"> PAGEREF _Toc43114428 \h </w:instrText>
        </w:r>
        <w:r>
          <w:rPr>
            <w:noProof/>
            <w:webHidden/>
          </w:rPr>
        </w:r>
        <w:r>
          <w:rPr>
            <w:noProof/>
            <w:webHidden/>
          </w:rPr>
          <w:fldChar w:fldCharType="separate"/>
        </w:r>
        <w:r>
          <w:rPr>
            <w:noProof/>
            <w:webHidden/>
          </w:rPr>
          <w:t>8</w:t>
        </w:r>
        <w:r>
          <w:rPr>
            <w:noProof/>
            <w:webHidden/>
          </w:rPr>
          <w:fldChar w:fldCharType="end"/>
        </w:r>
      </w:hyperlink>
    </w:p>
    <w:p w14:paraId="15B0A57C" w14:textId="743A169C" w:rsidR="0033667F" w:rsidRDefault="009A1DE3" w:rsidP="009C2FA4">
      <w:pPr>
        <w:pStyle w:val="TOC3"/>
        <w:rPr>
          <w:bCs/>
          <w:color w:val="auto"/>
          <w:sz w:val="22"/>
          <w:szCs w:val="22"/>
        </w:rPr>
      </w:pPr>
      <w:r>
        <w:rPr>
          <w:bCs/>
          <w:color w:val="auto"/>
          <w:sz w:val="22"/>
          <w:szCs w:val="22"/>
        </w:rPr>
        <w:fldChar w:fldCharType="end"/>
      </w:r>
    </w:p>
    <w:p w14:paraId="34C9388D" w14:textId="77777777" w:rsidR="009C2FA4" w:rsidRDefault="009C2FA4" w:rsidP="009C2FA4">
      <w:pPr>
        <w:sectPr w:rsidR="009C2FA4" w:rsidSect="00E64E6F">
          <w:headerReference w:type="default" r:id="rId11"/>
          <w:footerReference w:type="default" r:id="rId12"/>
          <w:pgSz w:w="11900" w:h="16840"/>
          <w:pgMar w:top="1474" w:right="1814" w:bottom="1985" w:left="1814" w:header="709" w:footer="851" w:gutter="0"/>
          <w:cols w:space="708"/>
          <w:docGrid w:linePitch="360"/>
        </w:sectPr>
      </w:pPr>
    </w:p>
    <w:p w14:paraId="268B3D09" w14:textId="77777777" w:rsidR="00704D0D" w:rsidRDefault="00704D0D" w:rsidP="008151B8">
      <w:pPr>
        <w:pStyle w:val="RTTitlenumbered"/>
      </w:pPr>
      <w:bookmarkStart w:id="0" w:name="_Toc453761685"/>
      <w:bookmarkStart w:id="1" w:name="_Toc453763743"/>
      <w:bookmarkStart w:id="2" w:name="_Toc492287977"/>
      <w:bookmarkStart w:id="3" w:name="_Toc43114419"/>
      <w:r w:rsidRPr="008151B8">
        <w:lastRenderedPageBreak/>
        <w:t>Introducción</w:t>
      </w:r>
      <w:bookmarkEnd w:id="0"/>
      <w:bookmarkEnd w:id="1"/>
      <w:bookmarkEnd w:id="2"/>
      <w:bookmarkEnd w:id="3"/>
    </w:p>
    <w:p w14:paraId="46B14482" w14:textId="77777777" w:rsidR="007504E7" w:rsidRPr="00D77E1B" w:rsidRDefault="007504E7" w:rsidP="00FA01E1">
      <w:pPr>
        <w:pStyle w:val="RTBodyText"/>
        <w:rPr>
          <w:bdr w:val="none" w:sz="0" w:space="0" w:color="auto" w:frame="1"/>
          <w:lang w:eastAsia="es-PE"/>
        </w:rPr>
      </w:pPr>
      <w:r w:rsidRPr="00D77E1B">
        <w:rPr>
          <w:bdr w:val="none" w:sz="0" w:space="0" w:color="auto" w:frame="1"/>
          <w:lang w:eastAsia="es-PE"/>
        </w:rPr>
        <w:t xml:space="preserve">Amnistía Internacional provee la siguiente información al Comité para la Eliminación de la Discriminación contra la Mujer (CEDAW, por sus siglas en inglés) ante la adopción de la lista de cuestiones durante la reunión </w:t>
      </w:r>
      <w:r>
        <w:rPr>
          <w:bdr w:val="none" w:sz="0" w:space="0" w:color="auto" w:frame="1"/>
          <w:lang w:eastAsia="es-PE"/>
        </w:rPr>
        <w:t xml:space="preserve">de la 78ª sesión del Grupo de Trabajo </w:t>
      </w:r>
      <w:r w:rsidRPr="00D77E1B">
        <w:rPr>
          <w:bdr w:val="none" w:sz="0" w:space="0" w:color="auto" w:frame="1"/>
          <w:lang w:eastAsia="es-PE"/>
        </w:rPr>
        <w:t>en julio 2020.</w:t>
      </w:r>
    </w:p>
    <w:p w14:paraId="199DF896" w14:textId="77777777" w:rsidR="007504E7" w:rsidRPr="00D77E1B" w:rsidRDefault="007504E7" w:rsidP="00FA01E1">
      <w:pPr>
        <w:pStyle w:val="RTBodyText"/>
        <w:rPr>
          <w:bdr w:val="none" w:sz="0" w:space="0" w:color="auto" w:frame="1"/>
          <w:lang w:eastAsia="es-PE"/>
        </w:rPr>
      </w:pPr>
      <w:r w:rsidRPr="00D77E1B">
        <w:rPr>
          <w:bdr w:val="none" w:sz="0" w:space="0" w:color="auto" w:frame="1"/>
          <w:lang w:eastAsia="es-PE"/>
        </w:rPr>
        <w:t>Este informe se enfoca en las preocupaciones con relación a la despenalización del aborto en casos de violación, investigaciones en casos de violencia contra mujeres, igualdad de género en las políticas públicas e implementación de la educación sexual integral, discriminación y desprotección de mujeres defensoras de derechos humanos, la falta de recursos suficientes a las políticas, estrategias y planes nacionales sobre la igualdad de género en todos los sectores del gasto público, justicia y reparación para mujeres víctimas de esterilizaciones forzadas, protección y atención de las mujeres refugiadas y migrantes ante la violencia basada en género, y el derecho a la identidad de las mujeres transgénero.</w:t>
      </w:r>
    </w:p>
    <w:p w14:paraId="5C563F4C" w14:textId="77777777" w:rsidR="007504E7" w:rsidRPr="00D77E1B" w:rsidRDefault="007504E7" w:rsidP="00FA01E1">
      <w:pPr>
        <w:pStyle w:val="RTBodyText"/>
        <w:rPr>
          <w:bdr w:val="none" w:sz="0" w:space="0" w:color="auto" w:frame="1"/>
          <w:lang w:eastAsia="es-PE"/>
        </w:rPr>
      </w:pPr>
      <w:r w:rsidRPr="00D77E1B">
        <w:rPr>
          <w:bdr w:val="none" w:sz="0" w:space="0" w:color="auto" w:frame="1"/>
          <w:lang w:eastAsia="es-PE"/>
        </w:rPr>
        <w:t xml:space="preserve">En Anexo 1 se encuentra la bibliografía, con una lista de publicaciones elaboradas por Amnistía Internacional y documentos de otras instituciones que puedan ser de interés. </w:t>
      </w:r>
    </w:p>
    <w:p w14:paraId="73C73846" w14:textId="77777777" w:rsidR="007504E7" w:rsidRPr="00D77E1B" w:rsidRDefault="007504E7" w:rsidP="007504E7">
      <w:pPr>
        <w:pStyle w:val="AIBodyText"/>
        <w:rPr>
          <w:bdr w:val="none" w:sz="0" w:space="0" w:color="auto" w:frame="1"/>
          <w:lang w:eastAsia="es-PE"/>
        </w:rPr>
      </w:pPr>
    </w:p>
    <w:p w14:paraId="3CC6C453" w14:textId="77777777" w:rsidR="007504E7" w:rsidRPr="00D77E1B" w:rsidRDefault="007504E7" w:rsidP="007504E7">
      <w:pPr>
        <w:pStyle w:val="RTTitlenumbered"/>
        <w:rPr>
          <w:bdr w:val="none" w:sz="0" w:space="0" w:color="auto" w:frame="1"/>
        </w:rPr>
      </w:pPr>
      <w:bookmarkStart w:id="4" w:name="_Toc43110672"/>
      <w:bookmarkStart w:id="5" w:name="_Toc43110791"/>
      <w:bookmarkStart w:id="6" w:name="_Toc43110836"/>
      <w:bookmarkStart w:id="7" w:name="_Toc43110969"/>
      <w:bookmarkStart w:id="8" w:name="_Toc43111436"/>
      <w:bookmarkStart w:id="9" w:name="_Toc43114420"/>
      <w:r w:rsidRPr="00D77E1B">
        <w:rPr>
          <w:bdr w:val="none" w:sz="0" w:space="0" w:color="auto" w:frame="1"/>
        </w:rPr>
        <w:t>Despenalización del aborto en casos de violación</w:t>
      </w:r>
      <w:bookmarkEnd w:id="4"/>
      <w:bookmarkEnd w:id="5"/>
      <w:bookmarkEnd w:id="6"/>
      <w:bookmarkEnd w:id="7"/>
      <w:bookmarkEnd w:id="8"/>
      <w:bookmarkEnd w:id="9"/>
    </w:p>
    <w:p w14:paraId="30667766" w14:textId="77777777" w:rsidR="007504E7" w:rsidRPr="00D77E1B" w:rsidRDefault="007504E7" w:rsidP="00FA01E1">
      <w:pPr>
        <w:pStyle w:val="RTBodyText"/>
        <w:rPr>
          <w:bdr w:val="none" w:sz="0" w:space="0" w:color="auto" w:frame="1"/>
          <w:lang w:eastAsia="es-PE"/>
        </w:rPr>
      </w:pPr>
      <w:r w:rsidRPr="00D77E1B">
        <w:rPr>
          <w:bdr w:val="none" w:sz="0" w:space="0" w:color="auto" w:frame="1"/>
          <w:lang w:eastAsia="es-PE"/>
        </w:rPr>
        <w:t xml:space="preserve">Miles de niñas, jóvenes y mujeres víctimas de violencia sexual se ven forzadas a ser madres ante la negación de servicios para acceder a un aborto seguro y legal. Al negarles la atención médica para poner fin a estos embarazos no deseados, sufren consecuencias físicas, emocionales y sociales. Ya se cuenta con un caso de litigio que genera jurisprudencia vinculante: en el caso L.C. (Promsex, 2018), el Comité CEDAW determinó que el Estado peruano es internacionalmente responsable por haber vulnerado los artículos 1, 2 (c) (f), 3, 5 y 12 de la Convención CEDAW. La penalización del aborto en todos los casos que no apliquen al aborto terapéutico, criminaliza a mujeres y proveedores de salud, y genera una barrera de acceso, esto se da incluso en los casos en que la niña o la mujer es violada, y la obliga a hacer una justificación por causal salud para estos casos, lo que es un proceso largo y engorroso que muy pocas veces logra ser concretado. La Guía Nacional de Aborto Terapeútico debe incluir la atención a víctimas de violencia sexual (con mayor énfasis en las niñas) como un tema de riesgo a la salud y la vida. Este sería un paso previo importante para ir generando una corriente de opinión favorable hacia el logro de la despenalización del aborto en todos los casos. </w:t>
      </w:r>
    </w:p>
    <w:p w14:paraId="65FF5653" w14:textId="77777777" w:rsidR="007504E7" w:rsidRPr="00D77E1B" w:rsidRDefault="007504E7" w:rsidP="007504E7">
      <w:pPr>
        <w:pStyle w:val="AIBodyText"/>
        <w:rPr>
          <w:bdr w:val="none" w:sz="0" w:space="0" w:color="auto" w:frame="1"/>
          <w:lang w:eastAsia="es-PE"/>
        </w:rPr>
      </w:pPr>
    </w:p>
    <w:p w14:paraId="0F9F98EE" w14:textId="77777777" w:rsidR="007504E7" w:rsidRPr="00D77E1B" w:rsidRDefault="007504E7" w:rsidP="007504E7">
      <w:pPr>
        <w:pStyle w:val="RTTitlenumbered"/>
        <w:rPr>
          <w:bdr w:val="none" w:sz="0" w:space="0" w:color="auto" w:frame="1"/>
        </w:rPr>
      </w:pPr>
      <w:bookmarkStart w:id="10" w:name="_Toc43110673"/>
      <w:bookmarkStart w:id="11" w:name="_Toc43110792"/>
      <w:bookmarkStart w:id="12" w:name="_Toc43110837"/>
      <w:bookmarkStart w:id="13" w:name="_Toc43110970"/>
      <w:bookmarkStart w:id="14" w:name="_Toc43111437"/>
      <w:bookmarkStart w:id="15" w:name="_Toc43114421"/>
      <w:r w:rsidRPr="00D77E1B">
        <w:rPr>
          <w:bdr w:val="none" w:sz="0" w:space="0" w:color="auto" w:frame="1"/>
        </w:rPr>
        <w:t>Investigación y condena a perpetradores en casos de violencia a mujeres</w:t>
      </w:r>
      <w:bookmarkEnd w:id="10"/>
      <w:bookmarkEnd w:id="11"/>
      <w:bookmarkEnd w:id="12"/>
      <w:bookmarkEnd w:id="13"/>
      <w:bookmarkEnd w:id="14"/>
      <w:bookmarkEnd w:id="15"/>
      <w:r w:rsidRPr="00D77E1B">
        <w:rPr>
          <w:bdr w:val="none" w:sz="0" w:space="0" w:color="auto" w:frame="1"/>
        </w:rPr>
        <w:t xml:space="preserve"> </w:t>
      </w:r>
    </w:p>
    <w:p w14:paraId="78BA8FB7" w14:textId="77777777" w:rsidR="007504E7" w:rsidRPr="00D77E1B" w:rsidRDefault="007504E7" w:rsidP="00FA01E1">
      <w:pPr>
        <w:pStyle w:val="RTBodyText"/>
        <w:rPr>
          <w:bdr w:val="none" w:sz="0" w:space="0" w:color="auto" w:frame="1"/>
          <w:lang w:eastAsia="es-PE"/>
        </w:rPr>
      </w:pPr>
      <w:r w:rsidRPr="00D77E1B">
        <w:rPr>
          <w:bdr w:val="none" w:sz="0" w:space="0" w:color="auto" w:frame="1"/>
          <w:lang w:eastAsia="es-PE"/>
        </w:rPr>
        <w:t xml:space="preserve">En 2019, 166 mujeres fueron víctimas de feminicidio en Perú, según la Defensoría del Pueblo. Sumado a ello, miles de niñas son acosadas en las escuelas o abusadas sexualmente en sus hogares. Muchas mujeres sufren acoso en las calles, son hostigadas en sus trabajos o los servicios públicos y sufren violencia también </w:t>
      </w:r>
      <w:r w:rsidRPr="00D77E1B">
        <w:rPr>
          <w:bdr w:val="none" w:sz="0" w:space="0" w:color="auto" w:frame="1"/>
          <w:lang w:eastAsia="es-PE"/>
        </w:rPr>
        <w:lastRenderedPageBreak/>
        <w:t>en sus hogares. Los cambios legislativos – hasta el presente, no han sido suficientes para poner fin a la violencia basada en el género y, por ello, es indispensable garantizar mayor y mejor acceso de las niñas y mujeres a la justicia. Para ello se debe mejorar el sistema de investigación criminal y la protección a las mujeres afectadas por violencia, en especial de aquellas que han sido víctimas de desaparición forzada. También se debe mejorar las pericias forenses, y el procedimiento judicial, así como sancionar adecuadamente a los funcionarios/as que no emplearon la debida diligencia requerida en esos procedimientos.</w:t>
      </w:r>
    </w:p>
    <w:p w14:paraId="28285498" w14:textId="77777777" w:rsidR="007504E7" w:rsidRPr="00D77E1B" w:rsidRDefault="007504E7" w:rsidP="007504E7">
      <w:pPr>
        <w:pStyle w:val="AIBodyText"/>
        <w:rPr>
          <w:bdr w:val="none" w:sz="0" w:space="0" w:color="auto" w:frame="1"/>
          <w:lang w:eastAsia="es-PE"/>
        </w:rPr>
      </w:pPr>
    </w:p>
    <w:p w14:paraId="2E422176" w14:textId="77777777" w:rsidR="007504E7" w:rsidRPr="00D77E1B" w:rsidRDefault="007504E7" w:rsidP="007504E7">
      <w:pPr>
        <w:pStyle w:val="RTTitlenumbered"/>
        <w:rPr>
          <w:bdr w:val="none" w:sz="0" w:space="0" w:color="auto" w:frame="1"/>
        </w:rPr>
      </w:pPr>
      <w:bookmarkStart w:id="16" w:name="_Toc43110674"/>
      <w:bookmarkStart w:id="17" w:name="_Toc43110793"/>
      <w:bookmarkStart w:id="18" w:name="_Toc43110838"/>
      <w:bookmarkStart w:id="19" w:name="_Toc43110971"/>
      <w:bookmarkStart w:id="20" w:name="_Toc43111438"/>
      <w:bookmarkStart w:id="21" w:name="_Toc43114422"/>
      <w:r w:rsidRPr="00D77E1B">
        <w:rPr>
          <w:bdr w:val="none" w:sz="0" w:space="0" w:color="auto" w:frame="1"/>
        </w:rPr>
        <w:t>Inclusión del enfoque de igualdad de género en las políticas públicas e implementación de la educación sexual integral</w:t>
      </w:r>
      <w:bookmarkEnd w:id="16"/>
      <w:bookmarkEnd w:id="17"/>
      <w:bookmarkEnd w:id="18"/>
      <w:bookmarkEnd w:id="19"/>
      <w:bookmarkEnd w:id="20"/>
      <w:bookmarkEnd w:id="21"/>
    </w:p>
    <w:p w14:paraId="3A0A8854" w14:textId="1303D8FB" w:rsidR="007504E7" w:rsidRDefault="007504E7" w:rsidP="00FA01E1">
      <w:pPr>
        <w:pStyle w:val="RTBodyText"/>
        <w:rPr>
          <w:bdr w:val="none" w:sz="0" w:space="0" w:color="auto" w:frame="1"/>
          <w:lang w:eastAsia="es-PE"/>
        </w:rPr>
      </w:pPr>
      <w:r w:rsidRPr="00D77E1B">
        <w:rPr>
          <w:bdr w:val="none" w:sz="0" w:space="0" w:color="auto" w:frame="1"/>
          <w:lang w:eastAsia="es-PE"/>
        </w:rPr>
        <w:t>Con el objetivo de modificar las prácticas, conductas y factores estructurales que alimentan y permiten el ejercicio de la violencia contra niñas y mujeres, es necesario garantizar la inclusión del enfoque de igualdad de género de manera transversal en todas las políticas públicas, en particular en las políticas educativas, a fin de que el sistema escolar pueda estar preparado para corregir visiones y actitudes machistas. Asimismo, se debe garantizar la implementación de una educación sexual integral en las escuelas, asegurando el acceso a la información sobre salud sexual y reproductiva, derechos sexuales y reproductivos, igualdad de género y consentimiento, que permita a las y los adolescentes tomar decisiones de manera autónoma.</w:t>
      </w:r>
    </w:p>
    <w:p w14:paraId="15A7D434" w14:textId="77777777" w:rsidR="00C315C3" w:rsidRPr="00D77E1B" w:rsidRDefault="00C315C3" w:rsidP="007504E7">
      <w:pPr>
        <w:pStyle w:val="AIBodyText"/>
        <w:rPr>
          <w:bdr w:val="none" w:sz="0" w:space="0" w:color="auto" w:frame="1"/>
          <w:lang w:eastAsia="es-PE"/>
        </w:rPr>
      </w:pPr>
    </w:p>
    <w:p w14:paraId="411CDDE6" w14:textId="77777777" w:rsidR="007504E7" w:rsidRPr="00D77E1B" w:rsidRDefault="007504E7" w:rsidP="007504E7">
      <w:pPr>
        <w:pStyle w:val="RTTitlenumbered"/>
        <w:rPr>
          <w:rFonts w:ascii="Calibri" w:hAnsi="Calibri"/>
        </w:rPr>
      </w:pPr>
      <w:bookmarkStart w:id="22" w:name="_Toc43110675"/>
      <w:bookmarkStart w:id="23" w:name="_Toc43110794"/>
      <w:bookmarkStart w:id="24" w:name="_Toc43110839"/>
      <w:bookmarkStart w:id="25" w:name="_Toc43110972"/>
      <w:bookmarkStart w:id="26" w:name="_Toc43111439"/>
      <w:bookmarkStart w:id="27" w:name="_Toc43114423"/>
      <w:r w:rsidRPr="00D77E1B">
        <w:rPr>
          <w:bdr w:val="none" w:sz="0" w:space="0" w:color="auto" w:frame="1"/>
        </w:rPr>
        <w:t>Discriminación y desprotección de mujeres defensoras de derechos humanos</w:t>
      </w:r>
      <w:bookmarkEnd w:id="22"/>
      <w:bookmarkEnd w:id="23"/>
      <w:bookmarkEnd w:id="24"/>
      <w:bookmarkEnd w:id="25"/>
      <w:bookmarkEnd w:id="26"/>
      <w:bookmarkEnd w:id="27"/>
    </w:p>
    <w:p w14:paraId="0B79A32A" w14:textId="77777777" w:rsidR="007504E7" w:rsidRPr="00D77E1B" w:rsidRDefault="007504E7" w:rsidP="00FA01E1">
      <w:pPr>
        <w:pStyle w:val="RTBodyText"/>
        <w:rPr>
          <w:bdr w:val="none" w:sz="0" w:space="0" w:color="auto" w:frame="1"/>
          <w:lang w:eastAsia="es-PE"/>
        </w:rPr>
      </w:pPr>
      <w:r w:rsidRPr="00D77E1B">
        <w:rPr>
          <w:bdr w:val="none" w:sz="0" w:space="0" w:color="auto" w:frame="1"/>
          <w:lang w:eastAsia="es-PE"/>
        </w:rPr>
        <w:t>Las defensoras de derechos humanos están expuestas a riesgos y actos de violencia debido a su género y a los temas que defienden, como por ejemplo poner fin a la violencia contra las mujeres y las niñas, o promover que las personas tengan autonomía sobre sus derechos sexuales y reproductivos. Ellas se enfrentan a las brechas de desigualdad de género, a las múltiples y simultáneas formas de exclusión y marginación que pueden incluir discriminación y violencia por género, identidad de género, orientación sexual, etnia, raza y clase. Además, en algunos casos enfrentan a sus pares masculinos, que pueden cuestionar su legitimidad como defensoras de derechos humanos. Mujeres de comunidades de los Andes y la Amazonía se han unido para defender la salud de las familias y personas afectadas por la contaminación de metales tóxicos, y han formado la Plataforma Nacional de Afectados y Afectadas por Metales Tóxicos</w:t>
      </w:r>
      <w:r w:rsidRPr="00D77E1B">
        <w:rPr>
          <w:b/>
          <w:bCs/>
          <w:bdr w:val="none" w:sz="0" w:space="0" w:color="auto" w:frame="1"/>
          <w:lang w:eastAsia="es-PE"/>
        </w:rPr>
        <w:t>.</w:t>
      </w:r>
      <w:r w:rsidRPr="00D77E1B">
        <w:rPr>
          <w:bdr w:val="none" w:sz="0" w:space="0" w:color="auto" w:frame="1"/>
          <w:lang w:eastAsia="es-PE"/>
        </w:rPr>
        <w:t xml:space="preserve"> El Estado peruano tiene compromisos específicos para con quienes defienden los derechos humanos, en base a la Declaración sobre los Defensores y Defensoras de los Derechos Humanos, y en 2019 el Ministerio de Justicia aprobó el protocolo para garantizar la protección de personas defensoras de derechos humanos.</w:t>
      </w:r>
      <w:r w:rsidRPr="00D77E1B">
        <w:t xml:space="preserve"> </w:t>
      </w:r>
      <w:r w:rsidRPr="00D77E1B">
        <w:rPr>
          <w:bdr w:val="none" w:sz="0" w:space="0" w:color="auto" w:frame="1"/>
          <w:lang w:eastAsia="es-PE"/>
        </w:rPr>
        <w:t xml:space="preserve">Aun así, sigue sin cumplir con su deber de proteger a estas personas defensoras y promoverles un contexto de seguridad. </w:t>
      </w:r>
    </w:p>
    <w:p w14:paraId="5475373B" w14:textId="77777777" w:rsidR="007504E7" w:rsidRPr="00D77E1B" w:rsidRDefault="007504E7" w:rsidP="007504E7">
      <w:pPr>
        <w:pStyle w:val="AIBodyText"/>
        <w:rPr>
          <w:bdr w:val="none" w:sz="0" w:space="0" w:color="auto" w:frame="1"/>
          <w:lang w:eastAsia="es-PE"/>
        </w:rPr>
      </w:pPr>
    </w:p>
    <w:p w14:paraId="2FD4BC62" w14:textId="77777777" w:rsidR="007504E7" w:rsidRPr="00D77E1B" w:rsidRDefault="007504E7" w:rsidP="007504E7">
      <w:pPr>
        <w:pStyle w:val="RTTitlenumbered"/>
        <w:rPr>
          <w:rFonts w:ascii="Calibri" w:hAnsi="Calibri"/>
        </w:rPr>
      </w:pPr>
      <w:bookmarkStart w:id="28" w:name="_Toc43110676"/>
      <w:bookmarkStart w:id="29" w:name="_Toc43110795"/>
      <w:bookmarkStart w:id="30" w:name="_Toc43110840"/>
      <w:bookmarkStart w:id="31" w:name="_Toc43110973"/>
      <w:bookmarkStart w:id="32" w:name="_Toc43111440"/>
      <w:bookmarkStart w:id="33" w:name="_Toc43114424"/>
      <w:r w:rsidRPr="00D77E1B">
        <w:rPr>
          <w:bdr w:val="none" w:sz="0" w:space="0" w:color="auto" w:frame="1"/>
        </w:rPr>
        <w:lastRenderedPageBreak/>
        <w:t>Falta de recursos suficientes a las políticas, estrategias y planes nacionales sobre la igualdad de género en todos los sectores del gasto público</w:t>
      </w:r>
      <w:bookmarkEnd w:id="28"/>
      <w:bookmarkEnd w:id="29"/>
      <w:bookmarkEnd w:id="30"/>
      <w:bookmarkEnd w:id="31"/>
      <w:bookmarkEnd w:id="32"/>
      <w:bookmarkEnd w:id="33"/>
    </w:p>
    <w:p w14:paraId="0F4BCF4D" w14:textId="77777777" w:rsidR="007504E7" w:rsidRPr="00D77E1B" w:rsidRDefault="007504E7" w:rsidP="00FA01E1">
      <w:pPr>
        <w:pStyle w:val="RTBodyText"/>
        <w:rPr>
          <w:bdr w:val="none" w:sz="0" w:space="0" w:color="auto" w:frame="1"/>
          <w:lang w:eastAsia="es-PE"/>
        </w:rPr>
      </w:pPr>
      <w:r w:rsidRPr="00D77E1B">
        <w:rPr>
          <w:bdr w:val="none" w:sz="0" w:space="0" w:color="auto" w:frame="1"/>
          <w:lang w:eastAsia="es-PE"/>
        </w:rPr>
        <w:t xml:space="preserve">La falta de fondos se ha considerado históricamente como uno de los mayores impedimentos para lograr la igualdad de género y asegurar su sostenibilidad. Por ello, para eliminar la disparidad entre los géneros es esencial que se cuente con financiación suficiente y efectiva. El Estado peruano tiene pendiente la elaboración de presupuestos sensibles al género, que le permita contar con un sistema exhaustivo para hacer seguimiento de las asignaciones para igualdad de género y poner los datos a disposición pública. Haciendo públicas estas asignaciones, los gobiernos se comprometen a alcanzar niveles más altos de transparencia y rendición de cuentas en la toma de decisiones presupuestarias.  </w:t>
      </w:r>
    </w:p>
    <w:p w14:paraId="6A5C6C53" w14:textId="77777777" w:rsidR="007504E7" w:rsidRPr="00D77E1B" w:rsidRDefault="007504E7" w:rsidP="007504E7">
      <w:pPr>
        <w:pStyle w:val="AIBodyText"/>
        <w:rPr>
          <w:bdr w:val="none" w:sz="0" w:space="0" w:color="auto" w:frame="1"/>
          <w:lang w:eastAsia="es-PE"/>
        </w:rPr>
      </w:pPr>
    </w:p>
    <w:p w14:paraId="76B4A48F" w14:textId="77777777" w:rsidR="007504E7" w:rsidRPr="00D77E1B" w:rsidRDefault="007504E7" w:rsidP="007504E7">
      <w:pPr>
        <w:pStyle w:val="RTTitlenumbered"/>
        <w:rPr>
          <w:bdr w:val="none" w:sz="0" w:space="0" w:color="auto" w:frame="1"/>
        </w:rPr>
      </w:pPr>
      <w:bookmarkStart w:id="34" w:name="_Toc43110677"/>
      <w:bookmarkStart w:id="35" w:name="_Toc43110796"/>
      <w:bookmarkStart w:id="36" w:name="_Toc43110841"/>
      <w:bookmarkStart w:id="37" w:name="_Toc43110974"/>
      <w:bookmarkStart w:id="38" w:name="_Toc43111441"/>
      <w:bookmarkStart w:id="39" w:name="_Toc43114425"/>
      <w:r w:rsidRPr="00D77E1B">
        <w:rPr>
          <w:bdr w:val="none" w:sz="0" w:space="0" w:color="auto" w:frame="1"/>
        </w:rPr>
        <w:t>Justicia y reparación para mujeres víctimas de esterilizaciones forzadas</w:t>
      </w:r>
      <w:bookmarkEnd w:id="34"/>
      <w:bookmarkEnd w:id="35"/>
      <w:bookmarkEnd w:id="36"/>
      <w:bookmarkEnd w:id="37"/>
      <w:bookmarkEnd w:id="38"/>
      <w:bookmarkEnd w:id="39"/>
    </w:p>
    <w:p w14:paraId="0B19FE2F" w14:textId="75A80841" w:rsidR="007504E7" w:rsidRDefault="007504E7" w:rsidP="00FA01E1">
      <w:pPr>
        <w:pStyle w:val="RTBodyText"/>
        <w:rPr>
          <w:bdr w:val="none" w:sz="0" w:space="0" w:color="auto" w:frame="1"/>
          <w:lang w:eastAsia="es-PE"/>
        </w:rPr>
      </w:pPr>
      <w:r w:rsidRPr="00D77E1B">
        <w:rPr>
          <w:bdr w:val="none" w:sz="0" w:space="0" w:color="auto" w:frame="1"/>
          <w:lang w:eastAsia="es-PE"/>
        </w:rPr>
        <w:t>Durante los años noventa, aproximadamente 200.000 mujeres peruanas, en su mayoría indígenas, campesinas de bajos recursos y quechua hablantes, fueron esterilizadas en un programa de planeación familiar. Existen sólidos indicios de que el personal médico recibía presiones para alcanzar cuotas de esterilización y que, en la mayoría de casos, las mujeres no dieron su consentimiento libre e informado. Muchas no recibieron los cuidados posoperatorios adecuados, a consecuencia de lo cual sufrieron problemas de salud y 18 de ellas murieron. De acuerdo con normas internacionales, que son de obligatorio cumplimiento para el Estado peruano, la esterilización forzada viola los derechos a la integridad corporal, la salud, la intimidad, la vida familiar (incluido el derecho a decidir el número y espaciamiento de los hijos), así como el derecho a la no discriminación. En algunos casos puede constituir tortura y/o trato cruel, inhumano o degradante, e incluso puede constituir también un crimen de lesa humanidad. Aunque el gobierno peruano creó el registro de víctimas de esterilización forzada, las víctimas todavía no han recibido reparación integral y falta aún llevar ante la justicia a todas las personas sospechosas de responsabilidad penal de esas graves violaciones a los derechos humanos. El proceso judicial sobre este caso aún continúa abierto en los tribunales</w:t>
      </w:r>
      <w:r w:rsidRPr="00D77E1B">
        <w:rPr>
          <w:rFonts w:ascii="Calibri" w:hAnsi="Calibri"/>
          <w:shd w:val="clear" w:color="auto" w:fill="FFFFFF"/>
        </w:rPr>
        <w:t xml:space="preserve"> </w:t>
      </w:r>
      <w:r w:rsidRPr="00D77E1B">
        <w:rPr>
          <w:bdr w:val="none" w:sz="0" w:space="0" w:color="auto" w:frame="1"/>
          <w:lang w:eastAsia="es-PE"/>
        </w:rPr>
        <w:t xml:space="preserve">peruanos, en la Corte Superior de Justicia de Lima. </w:t>
      </w:r>
    </w:p>
    <w:p w14:paraId="4A519E2C" w14:textId="77777777" w:rsidR="00FA01E1" w:rsidRPr="00D77E1B" w:rsidRDefault="00FA01E1" w:rsidP="00FA01E1">
      <w:pPr>
        <w:pStyle w:val="RTBodyText"/>
        <w:rPr>
          <w:bdr w:val="none" w:sz="0" w:space="0" w:color="auto" w:frame="1"/>
          <w:lang w:eastAsia="es-PE"/>
        </w:rPr>
      </w:pPr>
    </w:p>
    <w:p w14:paraId="4A61DC08" w14:textId="77777777" w:rsidR="007504E7" w:rsidRPr="00D77E1B" w:rsidRDefault="007504E7" w:rsidP="007504E7">
      <w:pPr>
        <w:pStyle w:val="RTTitlenumbered"/>
        <w:rPr>
          <w:bdr w:val="none" w:sz="0" w:space="0" w:color="auto" w:frame="1"/>
        </w:rPr>
      </w:pPr>
      <w:bookmarkStart w:id="40" w:name="_Toc43110678"/>
      <w:bookmarkStart w:id="41" w:name="_Toc43110797"/>
      <w:bookmarkStart w:id="42" w:name="_Toc43110842"/>
      <w:bookmarkStart w:id="43" w:name="_Toc43110975"/>
      <w:bookmarkStart w:id="44" w:name="_Toc43111442"/>
      <w:bookmarkStart w:id="45" w:name="_Toc43114426"/>
      <w:r w:rsidRPr="00D77E1B">
        <w:rPr>
          <w:bdr w:val="none" w:sz="0" w:space="0" w:color="auto" w:frame="1"/>
        </w:rPr>
        <w:lastRenderedPageBreak/>
        <w:t>Protección y atención de las mujeres refugiadas y migrantes ante la violencia basada en género</w:t>
      </w:r>
      <w:bookmarkEnd w:id="40"/>
      <w:bookmarkEnd w:id="41"/>
      <w:bookmarkEnd w:id="42"/>
      <w:bookmarkEnd w:id="43"/>
      <w:bookmarkEnd w:id="44"/>
      <w:bookmarkEnd w:id="45"/>
    </w:p>
    <w:p w14:paraId="2742F78C" w14:textId="77777777" w:rsidR="007504E7" w:rsidRPr="00D77E1B" w:rsidRDefault="007504E7" w:rsidP="00FA01E1">
      <w:pPr>
        <w:pStyle w:val="RTBodyText"/>
        <w:rPr>
          <w:bdr w:val="none" w:sz="0" w:space="0" w:color="auto" w:frame="1"/>
          <w:lang w:eastAsia="es-PE"/>
        </w:rPr>
      </w:pPr>
      <w:r w:rsidRPr="00D77E1B">
        <w:rPr>
          <w:bdr w:val="none" w:sz="0" w:space="0" w:color="auto" w:frame="1"/>
          <w:lang w:eastAsia="es-PE"/>
        </w:rPr>
        <w:t>Millones de personas venezolanas se han visto en la necesidad de huir de su país debido a la grave crisis humanitaria y de derechos humanos que ahí se vive.</w:t>
      </w:r>
      <w:r w:rsidRPr="00D77E1B">
        <w:t xml:space="preserve"> </w:t>
      </w:r>
      <w:r w:rsidRPr="00D77E1B">
        <w:rPr>
          <w:bdr w:val="none" w:sz="0" w:space="0" w:color="auto" w:frame="1"/>
          <w:lang w:eastAsia="es-PE"/>
        </w:rPr>
        <w:t xml:space="preserve">En este contexto, las mujeres venezolanas en el Perú, así como las refugiadas y migrantes provenientes de otros países, se encuentran en una situación de mayor vulnerabilidad ante la violencia basada en género, pues no conocen los mecanismos de atención y denuncia, y muchas veces temen denunciar por no contar con papeles migratorios en orden. Frente a ello, el Estado peruano debe promover que las mujeres refugiadas puedan acceder a la protección internacional y tengan acceso a derechos que les permitan llevar una vida digna y segura. </w:t>
      </w:r>
    </w:p>
    <w:p w14:paraId="4F1F8B21" w14:textId="77777777" w:rsidR="007504E7" w:rsidRPr="00D77E1B" w:rsidRDefault="007504E7" w:rsidP="007504E7">
      <w:pPr>
        <w:pStyle w:val="AIBodyText"/>
        <w:rPr>
          <w:bdr w:val="none" w:sz="0" w:space="0" w:color="auto" w:frame="1"/>
          <w:lang w:eastAsia="es-PE"/>
        </w:rPr>
      </w:pPr>
    </w:p>
    <w:p w14:paraId="08293F97" w14:textId="77777777" w:rsidR="007504E7" w:rsidRPr="00D77E1B" w:rsidRDefault="007504E7" w:rsidP="007504E7">
      <w:pPr>
        <w:pStyle w:val="RTTitlenumbered"/>
        <w:rPr>
          <w:bdr w:val="none" w:sz="0" w:space="0" w:color="auto" w:frame="1"/>
        </w:rPr>
      </w:pPr>
      <w:bookmarkStart w:id="46" w:name="_Toc43110679"/>
      <w:bookmarkStart w:id="47" w:name="_Toc43110798"/>
      <w:bookmarkStart w:id="48" w:name="_Toc43110843"/>
      <w:bookmarkStart w:id="49" w:name="_Toc43110976"/>
      <w:bookmarkStart w:id="50" w:name="_Toc43111443"/>
      <w:bookmarkStart w:id="51" w:name="_Toc43114427"/>
      <w:r w:rsidRPr="00D77E1B">
        <w:rPr>
          <w:bdr w:val="none" w:sz="0" w:space="0" w:color="auto" w:frame="1"/>
        </w:rPr>
        <w:t>Derecho a la identidad de las mujeres transgénero</w:t>
      </w:r>
      <w:bookmarkEnd w:id="46"/>
      <w:bookmarkEnd w:id="47"/>
      <w:bookmarkEnd w:id="48"/>
      <w:bookmarkEnd w:id="49"/>
      <w:bookmarkEnd w:id="50"/>
      <w:bookmarkEnd w:id="51"/>
    </w:p>
    <w:p w14:paraId="31794C16" w14:textId="77777777" w:rsidR="007504E7" w:rsidRDefault="007504E7" w:rsidP="00FA01E1">
      <w:pPr>
        <w:pStyle w:val="RTBodyText"/>
        <w:rPr>
          <w:bdr w:val="none" w:sz="0" w:space="0" w:color="auto" w:frame="1"/>
          <w:lang w:eastAsia="es-PE"/>
        </w:rPr>
      </w:pPr>
      <w:r w:rsidRPr="00D77E1B">
        <w:rPr>
          <w:bdr w:val="none" w:sz="0" w:space="0" w:color="auto" w:frame="1"/>
          <w:lang w:eastAsia="es-PE"/>
        </w:rPr>
        <w:t>En Perú, la población transgénero no cuenta con un documento de identidad que refleje la identidad que se han reasignado. Entre otras cosas, la falta de reconocimiento de su identidad les niega posibilidades de trabajo: el 64% de la población trans en el Perú se dedica al trabajo sexual (UPCH, 2010). La CIDH (2017) subrayó que en las Américas “[l]as personas trans enfrentan altas tasas de exclusión de las oportunidades de generación de ingresos y programas de bienestar social que frecuentemente las relega al desempleo y hace que estas recurran al trabajo sexual, enfrentan una falta crónica de acceso a los servicios educativos y de salud, oportunidades laborales y vivienda adecuada, por lo que sufren de empobrecimiento severo la mayor parte de sus vidas”. El Estado Peruano debe garantizar plenamente el derecho a la identidad de las personas transgénero en el Perú, así como diseñar e implementar políticas adecuadas hacia el reconocimiento y satisfacción de sus necesidades, para que logren el verdadero goce de sus derechos humanos.</w:t>
      </w:r>
    </w:p>
    <w:p w14:paraId="1568C5BB" w14:textId="77777777" w:rsidR="007504E7" w:rsidRDefault="007504E7" w:rsidP="007504E7">
      <w:pPr>
        <w:pStyle w:val="AIHeadingnonumbers"/>
        <w:rPr>
          <w:bCs/>
          <w:bdr w:val="none" w:sz="0" w:space="0" w:color="auto" w:frame="1"/>
          <w:lang w:eastAsia="es-PE"/>
        </w:rPr>
      </w:pPr>
      <w:r>
        <w:rPr>
          <w:bCs/>
          <w:bdr w:val="none" w:sz="0" w:space="0" w:color="auto" w:frame="1"/>
          <w:lang w:eastAsia="es-PE"/>
        </w:rPr>
        <w:br w:type="page"/>
      </w:r>
    </w:p>
    <w:p w14:paraId="6F765353" w14:textId="77777777" w:rsidR="007504E7" w:rsidRPr="00D77E1B" w:rsidRDefault="007504E7" w:rsidP="009C2FA4">
      <w:pPr>
        <w:pStyle w:val="RTTitlenumbered"/>
        <w:numPr>
          <w:ilvl w:val="0"/>
          <w:numId w:val="0"/>
        </w:numPr>
        <w:rPr>
          <w:bdr w:val="none" w:sz="0" w:space="0" w:color="auto" w:frame="1"/>
        </w:rPr>
      </w:pPr>
      <w:bookmarkStart w:id="52" w:name="_Toc43110680"/>
      <w:bookmarkStart w:id="53" w:name="_Toc43110799"/>
      <w:bookmarkStart w:id="54" w:name="_Toc43110844"/>
      <w:bookmarkStart w:id="55" w:name="_Toc43110977"/>
      <w:bookmarkStart w:id="56" w:name="_Toc43111444"/>
      <w:bookmarkStart w:id="57" w:name="_Toc43114428"/>
      <w:r w:rsidRPr="00D77E1B">
        <w:rPr>
          <w:bdr w:val="none" w:sz="0" w:space="0" w:color="auto" w:frame="1"/>
        </w:rPr>
        <w:lastRenderedPageBreak/>
        <w:t>Anexo 1- Bibliografía</w:t>
      </w:r>
      <w:bookmarkEnd w:id="52"/>
      <w:bookmarkEnd w:id="53"/>
      <w:bookmarkEnd w:id="54"/>
      <w:bookmarkEnd w:id="55"/>
      <w:bookmarkEnd w:id="56"/>
      <w:bookmarkEnd w:id="57"/>
    </w:p>
    <w:p w14:paraId="2967806E" w14:textId="77777777" w:rsidR="007504E7" w:rsidRPr="00D77E1B" w:rsidRDefault="007504E7" w:rsidP="007504E7">
      <w:pPr>
        <w:pStyle w:val="AIBodyText"/>
        <w:rPr>
          <w:lang w:eastAsia="es-PE"/>
        </w:rPr>
      </w:pPr>
    </w:p>
    <w:p w14:paraId="02B6B762" w14:textId="77777777" w:rsidR="007504E7" w:rsidRPr="00D77E1B" w:rsidRDefault="007504E7" w:rsidP="007504E7">
      <w:pPr>
        <w:pStyle w:val="AIBodyText"/>
        <w:rPr>
          <w:rFonts w:ascii="Amnesty Trade Gothic Light" w:hAnsi="Amnesty Trade Gothic Light"/>
          <w:bdr w:val="none" w:sz="0" w:space="0" w:color="auto" w:frame="1"/>
          <w:lang w:eastAsia="es-PE"/>
        </w:rPr>
      </w:pPr>
      <w:r w:rsidRPr="00D77E1B">
        <w:rPr>
          <w:rFonts w:ascii="Amnesty Trade Gothic Light" w:hAnsi="Amnesty Trade Gothic Light"/>
          <w:b/>
          <w:bCs/>
          <w:bdr w:val="none" w:sz="0" w:space="0" w:color="auto" w:frame="1"/>
          <w:lang w:eastAsia="es-PE"/>
        </w:rPr>
        <w:t>L.C. vs. Perú. Memoria del litigio. La disputa jurídica por el derecho al acceso al aborto legal de las niñas víctimas de violación sexual (Promsex, 2018):</w:t>
      </w:r>
      <w:r w:rsidRPr="00D77E1B">
        <w:rPr>
          <w:rFonts w:ascii="Amnesty Trade Gothic Light" w:hAnsi="Amnesty Trade Gothic Light"/>
          <w:bdr w:val="none" w:sz="0" w:space="0" w:color="auto" w:frame="1"/>
          <w:lang w:eastAsia="es-PE"/>
        </w:rPr>
        <w:t xml:space="preserve"> </w:t>
      </w:r>
      <w:hyperlink r:id="rId13" w:history="1">
        <w:r w:rsidRPr="00D77E1B">
          <w:rPr>
            <w:rStyle w:val="Hyperlink"/>
            <w:rFonts w:ascii="Amnesty Trade Gothic Light" w:hAnsi="Amnesty Trade Gothic Light" w:cs="Calibri"/>
            <w:bdr w:val="none" w:sz="0" w:space="0" w:color="auto" w:frame="1"/>
            <w:lang w:eastAsia="es-PE"/>
          </w:rPr>
          <w:t>https://promsex.org/publicaciones/l-c-vs-peru-memoria-del-litigio/</w:t>
        </w:r>
      </w:hyperlink>
    </w:p>
    <w:p w14:paraId="36A5DFA7" w14:textId="77777777" w:rsidR="007504E7" w:rsidRPr="00D77E1B" w:rsidRDefault="007504E7" w:rsidP="007504E7">
      <w:pPr>
        <w:pStyle w:val="AIBodyText"/>
        <w:rPr>
          <w:rFonts w:ascii="Amnesty Trade Gothic Light" w:hAnsi="Amnesty Trade Gothic Light"/>
          <w:bdr w:val="none" w:sz="0" w:space="0" w:color="auto" w:frame="1"/>
          <w:lang w:eastAsia="es-PE"/>
        </w:rPr>
      </w:pPr>
      <w:r w:rsidRPr="00D77E1B">
        <w:rPr>
          <w:rFonts w:ascii="Amnesty Trade Gothic Light" w:hAnsi="Amnesty Trade Gothic Light"/>
          <w:b/>
          <w:bCs/>
          <w:bdr w:val="none" w:sz="0" w:space="0" w:color="auto" w:frame="1"/>
          <w:lang w:eastAsia="es-PE"/>
        </w:rPr>
        <w:t xml:space="preserve">Perú: Brechas de género 2017. Avances hacia la igualdad de mujeres y hombres (INEI, 2017): </w:t>
      </w:r>
      <w:hyperlink r:id="rId14" w:history="1">
        <w:r w:rsidRPr="00D77E1B">
          <w:rPr>
            <w:rStyle w:val="Hyperlink"/>
            <w:rFonts w:ascii="Amnesty Trade Gothic Light" w:hAnsi="Amnesty Trade Gothic Light" w:cs="Calibri"/>
            <w:bdr w:val="none" w:sz="0" w:space="0" w:color="auto" w:frame="1"/>
            <w:lang w:eastAsia="es-PE"/>
          </w:rPr>
          <w:t>https://www.inei.gob.pe/media/MenuRecursivo/publicaciones_digitales/Est/Lib1444/libro.pdf</w:t>
        </w:r>
      </w:hyperlink>
    </w:p>
    <w:p w14:paraId="1481D43A" w14:textId="77777777" w:rsidR="007504E7" w:rsidRPr="00D77E1B" w:rsidRDefault="007504E7" w:rsidP="007504E7">
      <w:pPr>
        <w:pStyle w:val="AIBodyText"/>
        <w:rPr>
          <w:rFonts w:ascii="Amnesty Trade Gothic Light" w:hAnsi="Amnesty Trade Gothic Light"/>
          <w:bdr w:val="none" w:sz="0" w:space="0" w:color="auto" w:frame="1"/>
          <w:lang w:eastAsia="es-PE"/>
        </w:rPr>
      </w:pPr>
      <w:r w:rsidRPr="00D77E1B">
        <w:rPr>
          <w:rFonts w:ascii="Amnesty Trade Gothic Light" w:hAnsi="Amnesty Trade Gothic Light"/>
          <w:b/>
          <w:bCs/>
          <w:bdr w:val="none" w:sz="0" w:space="0" w:color="auto" w:frame="1"/>
          <w:lang w:eastAsia="es-PE"/>
        </w:rPr>
        <w:t xml:space="preserve">El Estado como aparato reproductor de violencia contra las mujeres (AI, 2016): </w:t>
      </w:r>
      <w:hyperlink r:id="rId15" w:history="1">
        <w:r w:rsidRPr="00D77E1B">
          <w:rPr>
            <w:rStyle w:val="Hyperlink"/>
            <w:rFonts w:ascii="Amnesty Trade Gothic Light" w:hAnsi="Amnesty Trade Gothic Light" w:cs="Calibri"/>
            <w:bdr w:val="none" w:sz="0" w:space="0" w:color="auto" w:frame="1"/>
            <w:lang w:eastAsia="es-PE"/>
          </w:rPr>
          <w:t>https://www.amnesty.org/download/Documents/AMR0133882016SPANISH.PDF</w:t>
        </w:r>
      </w:hyperlink>
      <w:r w:rsidRPr="00D77E1B">
        <w:rPr>
          <w:rFonts w:ascii="Amnesty Trade Gothic Light" w:hAnsi="Amnesty Trade Gothic Light"/>
          <w:bdr w:val="none" w:sz="0" w:space="0" w:color="auto" w:frame="1"/>
          <w:lang w:eastAsia="es-PE"/>
        </w:rPr>
        <w:t xml:space="preserve"> </w:t>
      </w:r>
    </w:p>
    <w:p w14:paraId="53B77548" w14:textId="77777777" w:rsidR="007504E7" w:rsidRPr="00D77E1B" w:rsidRDefault="007504E7" w:rsidP="007504E7">
      <w:pPr>
        <w:pStyle w:val="AIBodyText"/>
        <w:rPr>
          <w:rFonts w:ascii="Amnesty Trade Gothic Light" w:hAnsi="Amnesty Trade Gothic Light"/>
          <w:bdr w:val="none" w:sz="0" w:space="0" w:color="auto" w:frame="1"/>
          <w:lang w:eastAsia="es-PE"/>
        </w:rPr>
      </w:pPr>
      <w:r w:rsidRPr="00D77E1B">
        <w:rPr>
          <w:rFonts w:ascii="Amnesty Trade Gothic Light" w:hAnsi="Amnesty Trade Gothic Light"/>
          <w:b/>
          <w:bCs/>
          <w:bdr w:val="none" w:sz="0" w:space="0" w:color="auto" w:frame="1"/>
          <w:lang w:eastAsia="es-PE"/>
        </w:rPr>
        <w:t xml:space="preserve">Ataques letales pero prevenibles: Asesinatos y desapariciones de quienes defienden los derechos humanos (AI, 2017): </w:t>
      </w:r>
      <w:hyperlink r:id="rId16" w:history="1">
        <w:r w:rsidRPr="00D77E1B">
          <w:rPr>
            <w:rStyle w:val="Hyperlink"/>
            <w:rFonts w:ascii="Amnesty Trade Gothic Light" w:hAnsi="Amnesty Trade Gothic Light" w:cs="Calibri"/>
            <w:bdr w:val="none" w:sz="0" w:space="0" w:color="auto" w:frame="1"/>
            <w:lang w:eastAsia="es-PE"/>
          </w:rPr>
          <w:t>https://www.amnesty.org/en/documents/act30/7270/2017/es/</w:t>
        </w:r>
      </w:hyperlink>
    </w:p>
    <w:p w14:paraId="401B3E8C" w14:textId="77777777" w:rsidR="007504E7" w:rsidRPr="00D77E1B" w:rsidRDefault="007504E7" w:rsidP="007504E7">
      <w:pPr>
        <w:pStyle w:val="AIBodyText"/>
        <w:rPr>
          <w:rFonts w:ascii="Amnesty Trade Gothic Light" w:hAnsi="Amnesty Trade Gothic Light"/>
          <w:bdr w:val="none" w:sz="0" w:space="0" w:color="auto" w:frame="1"/>
          <w:lang w:eastAsia="es-PE"/>
        </w:rPr>
      </w:pPr>
      <w:r w:rsidRPr="00D77E1B">
        <w:rPr>
          <w:rFonts w:ascii="Amnesty Trade Gothic Light" w:hAnsi="Amnesty Trade Gothic Light"/>
          <w:b/>
          <w:bCs/>
          <w:bdr w:val="none" w:sz="0" w:space="0" w:color="auto" w:frame="1"/>
          <w:lang w:eastAsia="es-PE"/>
        </w:rPr>
        <w:t>Defensoras y defensores de los derechos humanos bajo amenaza: la reduc</w:t>
      </w:r>
      <w:r w:rsidRPr="00D77E1B">
        <w:rPr>
          <w:rFonts w:ascii="Amnesty Trade Gothic Light" w:hAnsi="Amnesty Trade Gothic Light"/>
          <w:b/>
          <w:bCs/>
          <w:bdr w:val="none" w:sz="0" w:space="0" w:color="auto" w:frame="1"/>
          <w:lang w:eastAsia="es-PE"/>
        </w:rPr>
        <w:softHyphen/>
        <w:t>ción del espacio para la sociedad civil (AI, 2017):</w:t>
      </w:r>
      <w:r w:rsidRPr="00D77E1B">
        <w:rPr>
          <w:rFonts w:ascii="Amnesty Trade Gothic Light" w:hAnsi="Amnesty Trade Gothic Light"/>
          <w:bdr w:val="none" w:sz="0" w:space="0" w:color="auto" w:frame="1"/>
          <w:lang w:eastAsia="es-PE"/>
        </w:rPr>
        <w:t xml:space="preserve"> </w:t>
      </w:r>
      <w:hyperlink r:id="rId17" w:history="1">
        <w:r w:rsidRPr="00D77E1B">
          <w:rPr>
            <w:rStyle w:val="Hyperlink"/>
            <w:rFonts w:ascii="Amnesty Trade Gothic Light" w:hAnsi="Amnesty Trade Gothic Light" w:cs="Calibri"/>
            <w:bdr w:val="none" w:sz="0" w:space="0" w:color="auto" w:frame="1"/>
            <w:lang w:eastAsia="es-PE"/>
          </w:rPr>
          <w:t>https://www.amnesty.org/en/documents/act30/6011/2017/es/</w:t>
        </w:r>
      </w:hyperlink>
    </w:p>
    <w:p w14:paraId="703B5035" w14:textId="77777777" w:rsidR="007504E7" w:rsidRPr="00D77E1B" w:rsidRDefault="007504E7" w:rsidP="007504E7">
      <w:pPr>
        <w:pStyle w:val="AIBodyText"/>
        <w:rPr>
          <w:rFonts w:ascii="Amnesty Trade Gothic Light" w:hAnsi="Amnesty Trade Gothic Light"/>
          <w:bdr w:val="none" w:sz="0" w:space="0" w:color="auto" w:frame="1"/>
          <w:lang w:eastAsia="es-PE"/>
        </w:rPr>
      </w:pPr>
      <w:r w:rsidRPr="00D77E1B">
        <w:rPr>
          <w:rFonts w:ascii="Amnesty Trade Gothic Light" w:hAnsi="Amnesty Trade Gothic Light"/>
          <w:b/>
          <w:bCs/>
          <w:bdr w:val="none" w:sz="0" w:space="0" w:color="auto" w:frame="1"/>
          <w:lang w:eastAsia="es-PE"/>
        </w:rPr>
        <w:t>Perú: mujeres se unen contra la contaminación por metales tóxicos (AI, 2020):</w:t>
      </w:r>
      <w:r w:rsidRPr="00D77E1B">
        <w:rPr>
          <w:rFonts w:ascii="Amnesty Trade Gothic Light" w:hAnsi="Amnesty Trade Gothic Light"/>
          <w:bdr w:val="none" w:sz="0" w:space="0" w:color="auto" w:frame="1"/>
          <w:lang w:eastAsia="es-PE"/>
        </w:rPr>
        <w:t xml:space="preserve"> </w:t>
      </w:r>
      <w:hyperlink r:id="rId18" w:history="1">
        <w:r w:rsidRPr="00D77E1B">
          <w:rPr>
            <w:rStyle w:val="Hyperlink"/>
            <w:rFonts w:ascii="Amnesty Trade Gothic Light" w:hAnsi="Amnesty Trade Gothic Light" w:cs="Calibri"/>
            <w:bdr w:val="none" w:sz="0" w:space="0" w:color="auto" w:frame="1"/>
            <w:lang w:eastAsia="es-PE"/>
          </w:rPr>
          <w:t>https://amnistia.org.pe/noticia/mujeres-contaminacion-metales-toxicos/</w:t>
        </w:r>
      </w:hyperlink>
    </w:p>
    <w:p w14:paraId="2E80E8CE" w14:textId="77777777" w:rsidR="007504E7" w:rsidRPr="00D77E1B" w:rsidRDefault="007504E7" w:rsidP="007504E7">
      <w:pPr>
        <w:pStyle w:val="AIBodyText"/>
        <w:rPr>
          <w:rFonts w:ascii="Amnesty Trade Gothic Light" w:hAnsi="Amnesty Trade Gothic Light"/>
          <w:bdr w:val="none" w:sz="0" w:space="0" w:color="auto" w:frame="1"/>
          <w:lang w:eastAsia="es-PE"/>
        </w:rPr>
      </w:pPr>
      <w:r w:rsidRPr="00D77E1B">
        <w:rPr>
          <w:rFonts w:ascii="Amnesty Trade Gothic Light" w:hAnsi="Amnesty Trade Gothic Light"/>
          <w:b/>
          <w:bCs/>
          <w:bdr w:val="none" w:sz="0" w:space="0" w:color="auto" w:frame="1"/>
          <w:lang w:eastAsia="es-PE"/>
        </w:rPr>
        <w:t xml:space="preserve">Acción urgente. Vuelven a negar justicia a más de 2,000 mujeres (AI, 2016): </w:t>
      </w:r>
      <w:hyperlink r:id="rId19" w:history="1">
        <w:r w:rsidRPr="00D77E1B">
          <w:rPr>
            <w:rStyle w:val="Hyperlink"/>
            <w:rFonts w:ascii="Amnesty Trade Gothic Light" w:hAnsi="Amnesty Trade Gothic Light" w:cs="Calibri"/>
            <w:bdr w:val="none" w:sz="0" w:space="0" w:color="auto" w:frame="1"/>
            <w:lang w:eastAsia="es-PE"/>
          </w:rPr>
          <w:t>https://www.amnesty.org/download/Documents/AMR4646232016SPANISH.pdf</w:t>
        </w:r>
      </w:hyperlink>
      <w:r w:rsidRPr="00D77E1B">
        <w:rPr>
          <w:rFonts w:ascii="Amnesty Trade Gothic Light" w:hAnsi="Amnesty Trade Gothic Light"/>
          <w:bdr w:val="none" w:sz="0" w:space="0" w:color="auto" w:frame="1"/>
          <w:lang w:eastAsia="es-PE"/>
        </w:rPr>
        <w:t xml:space="preserve"> </w:t>
      </w:r>
    </w:p>
    <w:p w14:paraId="227001E0" w14:textId="77777777" w:rsidR="007504E7" w:rsidRPr="00D77E1B" w:rsidRDefault="007504E7" w:rsidP="007504E7">
      <w:pPr>
        <w:pStyle w:val="AIBodyText"/>
        <w:rPr>
          <w:rFonts w:ascii="Amnesty Trade Gothic Light" w:hAnsi="Amnesty Trade Gothic Light"/>
          <w:bdr w:val="none" w:sz="0" w:space="0" w:color="auto" w:frame="1"/>
          <w:lang w:eastAsia="es-PE"/>
        </w:rPr>
      </w:pPr>
      <w:r w:rsidRPr="00D77E1B">
        <w:rPr>
          <w:rFonts w:ascii="Amnesty Trade Gothic Light" w:hAnsi="Amnesty Trade Gothic Light"/>
          <w:b/>
          <w:bCs/>
          <w:bdr w:val="none" w:sz="0" w:space="0" w:color="auto" w:frame="1"/>
          <w:lang w:eastAsia="es-PE"/>
        </w:rPr>
        <w:t xml:space="preserve">La situación de los derechos humanos en las Américas: Informe Anual (AI, 2019): </w:t>
      </w:r>
      <w:hyperlink r:id="rId20" w:history="1">
        <w:r w:rsidRPr="00D77E1B">
          <w:rPr>
            <w:rStyle w:val="Hyperlink"/>
            <w:rFonts w:ascii="Amnesty Trade Gothic Light" w:hAnsi="Amnesty Trade Gothic Light" w:cs="Calibri"/>
            <w:bdr w:val="none" w:sz="0" w:space="0" w:color="auto" w:frame="1"/>
            <w:lang w:eastAsia="es-PE"/>
          </w:rPr>
          <w:t>https://www.amnesty.org/es/documents/amr01/1353/2020/es/</w:t>
        </w:r>
      </w:hyperlink>
    </w:p>
    <w:p w14:paraId="3E04BC73" w14:textId="77777777" w:rsidR="007504E7" w:rsidRPr="00D77E1B" w:rsidRDefault="007504E7" w:rsidP="007504E7">
      <w:pPr>
        <w:pStyle w:val="AIBodyText"/>
        <w:rPr>
          <w:rFonts w:ascii="Amnesty Trade Gothic Light" w:hAnsi="Amnesty Trade Gothic Light"/>
          <w:bdr w:val="none" w:sz="0" w:space="0" w:color="auto" w:frame="1"/>
          <w:lang w:eastAsia="es-PE"/>
        </w:rPr>
      </w:pPr>
      <w:r w:rsidRPr="00D77E1B">
        <w:rPr>
          <w:rFonts w:ascii="Amnesty Trade Gothic Light" w:hAnsi="Amnesty Trade Gothic Light"/>
          <w:b/>
          <w:bCs/>
          <w:bdr w:val="none" w:sz="0" w:space="0" w:color="auto" w:frame="1"/>
          <w:lang w:eastAsia="es-PE"/>
        </w:rPr>
        <w:t xml:space="preserve">Buscando refugio. Perú da la espalda a quienes huyen de Venezuela (AI, 2020): </w:t>
      </w:r>
      <w:hyperlink r:id="rId21" w:history="1">
        <w:r w:rsidRPr="00D77E1B">
          <w:rPr>
            <w:rStyle w:val="Hyperlink"/>
            <w:rFonts w:ascii="Amnesty Trade Gothic Light" w:hAnsi="Amnesty Trade Gothic Light" w:cs="Calibri"/>
            <w:bdr w:val="none" w:sz="0" w:space="0" w:color="auto" w:frame="1"/>
            <w:lang w:eastAsia="es-PE"/>
          </w:rPr>
          <w:t>https://www.amnesty.org/es/documents/amr46/1675/2020/es/</w:t>
        </w:r>
      </w:hyperlink>
    </w:p>
    <w:p w14:paraId="56BE6BF5" w14:textId="77777777" w:rsidR="007504E7" w:rsidRPr="00D77E1B" w:rsidRDefault="007504E7" w:rsidP="007504E7">
      <w:pPr>
        <w:pStyle w:val="AIBodyText"/>
        <w:rPr>
          <w:rFonts w:ascii="Amnesty Trade Gothic Light" w:hAnsi="Amnesty Trade Gothic Light"/>
          <w:bdr w:val="none" w:sz="0" w:space="0" w:color="auto" w:frame="1"/>
          <w:lang w:eastAsia="es-PE"/>
        </w:rPr>
      </w:pPr>
      <w:r w:rsidRPr="00D77E1B">
        <w:rPr>
          <w:rFonts w:ascii="Amnesty Trade Gothic Light" w:hAnsi="Amnesty Trade Gothic Light"/>
          <w:b/>
          <w:bCs/>
          <w:bdr w:val="none" w:sz="0" w:space="0" w:color="auto" w:frame="1"/>
          <w:lang w:eastAsia="es-PE"/>
        </w:rPr>
        <w:t xml:space="preserve">Informe sobre la situación de la identidad de género de las personas trans en el Perú (MINJUS, 2019): </w:t>
      </w:r>
      <w:hyperlink r:id="rId22" w:history="1">
        <w:r w:rsidRPr="00D77E1B">
          <w:rPr>
            <w:rStyle w:val="Hyperlink"/>
            <w:rFonts w:ascii="Amnesty Trade Gothic Light" w:hAnsi="Amnesty Trade Gothic Light" w:cs="Calibri"/>
            <w:bdr w:val="none" w:sz="0" w:space="0" w:color="auto" w:frame="1"/>
            <w:lang w:eastAsia="es-PE"/>
          </w:rPr>
          <w:t>https://www.gob.pe/institucion/minjus/informes-publicaciones/266215-informe-sobre-la-situacion-de-la-identidad-de-genero-de-las-personas-trans-en-el-peru</w:t>
        </w:r>
      </w:hyperlink>
    </w:p>
    <w:p w14:paraId="62406A39" w14:textId="77777777" w:rsidR="007504E7" w:rsidRPr="00D77E1B" w:rsidRDefault="007504E7" w:rsidP="007504E7">
      <w:pPr>
        <w:pStyle w:val="AIBodyText"/>
        <w:rPr>
          <w:rFonts w:ascii="Amnesty Trade Gothic Light" w:hAnsi="Amnesty Trade Gothic Light"/>
          <w:bdr w:val="none" w:sz="0" w:space="0" w:color="auto" w:frame="1"/>
          <w:lang w:eastAsia="es-PE"/>
        </w:rPr>
      </w:pPr>
      <w:r w:rsidRPr="00D77E1B">
        <w:rPr>
          <w:rFonts w:ascii="Amnesty Trade Gothic Light" w:hAnsi="Amnesty Trade Gothic Light"/>
          <w:b/>
          <w:bCs/>
          <w:bdr w:val="none" w:sz="0" w:space="0" w:color="auto" w:frame="1"/>
          <w:lang w:eastAsia="es-PE"/>
        </w:rPr>
        <w:t xml:space="preserve">A dos años del Informe Defensorial N°175. Estado actual de las personas LGBTI (Defensoría del Pueblo, 2018): </w:t>
      </w:r>
      <w:hyperlink r:id="rId23" w:history="1">
        <w:r w:rsidRPr="00D77E1B">
          <w:rPr>
            <w:rStyle w:val="Hyperlink"/>
            <w:rFonts w:ascii="Amnesty Trade Gothic Light" w:hAnsi="Amnesty Trade Gothic Light" w:cs="Calibri"/>
            <w:bdr w:val="none" w:sz="0" w:space="0" w:color="auto" w:frame="1"/>
            <w:lang w:eastAsia="es-PE"/>
          </w:rPr>
          <w:t>https://www.defensoria.gob.pe/wp-content/uploads/2018/12/Informe-Defensorial-N%C2%B0-007-2018-DPADHPD-%E2%80%9CA-2-a%C3%B1os-del-Informe-Defensorial-N%C2%B0-175.-Estado-actual-de-los-derechos-de-las-personas-LGBTI%E2%80%9D.pdf</w:t>
        </w:r>
      </w:hyperlink>
    </w:p>
    <w:p w14:paraId="5C37ECD7" w14:textId="77777777" w:rsidR="007504E7" w:rsidRPr="00D77E1B" w:rsidRDefault="007504E7" w:rsidP="007504E7">
      <w:pPr>
        <w:pStyle w:val="AIBodyText"/>
        <w:rPr>
          <w:rFonts w:ascii="Amnesty Trade Gothic Light" w:hAnsi="Amnesty Trade Gothic Light"/>
          <w:bdr w:val="none" w:sz="0" w:space="0" w:color="auto" w:frame="1"/>
          <w:lang w:eastAsia="es-PE"/>
        </w:rPr>
      </w:pPr>
      <w:r w:rsidRPr="00D77E1B">
        <w:rPr>
          <w:rFonts w:ascii="Amnesty Trade Gothic Light" w:hAnsi="Amnesty Trade Gothic Light"/>
          <w:b/>
          <w:bCs/>
          <w:bdr w:val="none" w:sz="0" w:space="0" w:color="auto" w:frame="1"/>
          <w:lang w:eastAsia="es-PE"/>
        </w:rPr>
        <w:t xml:space="preserve">La situación de las personas trans en el Perú: aspectos sociales y epidemiológicos (UPCH, 2010): </w:t>
      </w:r>
      <w:hyperlink r:id="rId24" w:history="1">
        <w:r w:rsidRPr="00D77E1B">
          <w:rPr>
            <w:rStyle w:val="Hyperlink"/>
            <w:rFonts w:ascii="Amnesty Trade Gothic Light" w:hAnsi="Amnesty Trade Gothic Light"/>
            <w:bdr w:val="none" w:sz="0" w:space="0" w:color="auto" w:frame="1"/>
            <w:lang w:eastAsia="es-PE"/>
          </w:rPr>
          <w:t>https://www.researchgate.net/publication/245180632_La_Situacion_de_las_Personas_Trans_en_el_Peru_Aspectos_Sociales_y_Epidemiologicos</w:t>
        </w:r>
      </w:hyperlink>
      <w:r w:rsidRPr="00D77E1B">
        <w:rPr>
          <w:rFonts w:ascii="Amnesty Trade Gothic Light" w:hAnsi="Amnesty Trade Gothic Light"/>
          <w:bdr w:val="none" w:sz="0" w:space="0" w:color="auto" w:frame="1"/>
          <w:lang w:eastAsia="es-PE"/>
        </w:rPr>
        <w:t xml:space="preserve"> </w:t>
      </w:r>
    </w:p>
    <w:p w14:paraId="6885CFAA" w14:textId="77777777" w:rsidR="007504E7" w:rsidRPr="00FA01E1" w:rsidRDefault="007504E7" w:rsidP="00FA01E1">
      <w:pPr>
        <w:pStyle w:val="RTBodyText"/>
      </w:pPr>
    </w:p>
    <w:p w14:paraId="707CAB9C" w14:textId="77777777" w:rsidR="000C4DE6" w:rsidRDefault="000C4DE6" w:rsidP="007504E7">
      <w:pPr>
        <w:pStyle w:val="RTTitlenumbered"/>
        <w:numPr>
          <w:ilvl w:val="0"/>
          <w:numId w:val="0"/>
        </w:numPr>
      </w:pPr>
    </w:p>
    <w:p w14:paraId="79D06D5D" w14:textId="11A62957" w:rsidR="007504E7" w:rsidRPr="00FA01E1" w:rsidRDefault="007504E7" w:rsidP="00FA01E1">
      <w:pPr>
        <w:pStyle w:val="RTBodyText"/>
        <w:sectPr w:rsidR="007504E7" w:rsidRPr="00FA01E1" w:rsidSect="00E64E6F">
          <w:footerReference w:type="default" r:id="rId25"/>
          <w:pgSz w:w="11900" w:h="16840"/>
          <w:pgMar w:top="1474" w:right="1814" w:bottom="1985" w:left="1814" w:header="709" w:footer="851" w:gutter="0"/>
          <w:cols w:space="708"/>
          <w:docGrid w:linePitch="360"/>
        </w:sectPr>
      </w:pPr>
    </w:p>
    <w:tbl>
      <w:tblPr>
        <w:tblStyle w:val="TableGrid"/>
        <w:tblW w:w="8132" w:type="dxa"/>
        <w:tblInd w:w="1216" w:type="dxa"/>
        <w:tblBorders>
          <w:top w:val="none" w:sz="0" w:space="0" w:color="auto"/>
          <w:left w:val="single" w:sz="48" w:space="0" w:color="FFFF00" w:themeColor="accent1"/>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132"/>
      </w:tblGrid>
      <w:tr w:rsidR="009A517C" w14:paraId="4B2128D4" w14:textId="77777777" w:rsidTr="00943638">
        <w:trPr>
          <w:trHeight w:val="4317"/>
        </w:trPr>
        <w:tc>
          <w:tcPr>
            <w:tcW w:w="8132" w:type="dxa"/>
          </w:tcPr>
          <w:p w14:paraId="4C0085FD" w14:textId="77777777" w:rsidR="009A517C" w:rsidRPr="00943638" w:rsidRDefault="006C6AF7" w:rsidP="00943638">
            <w:pPr>
              <w:pStyle w:val="RTStatement"/>
              <w:spacing w:line="760" w:lineRule="exact"/>
              <w:rPr>
                <w:spacing w:val="-20"/>
                <w:sz w:val="80"/>
                <w:szCs w:val="100"/>
              </w:rPr>
            </w:pPr>
            <w:r>
              <w:rPr>
                <w:sz w:val="80"/>
                <w:szCs w:val="100"/>
              </w:rPr>
              <w:lastRenderedPageBreak/>
              <w:t xml:space="preserve">Amnistía Internacional es un movimiento global de derechos humanos. </w:t>
            </w:r>
            <w:r>
              <w:rPr>
                <w:sz w:val="80"/>
                <w:szCs w:val="100"/>
              </w:rPr>
              <w:br/>
              <w:t xml:space="preserve">Las injusticias que afectan a una sola persona nos afectan </w:t>
            </w:r>
            <w:r w:rsidR="001D035C">
              <w:rPr>
                <w:sz w:val="80"/>
                <w:szCs w:val="100"/>
              </w:rPr>
              <w:br/>
            </w:r>
            <w:r>
              <w:rPr>
                <w:sz w:val="80"/>
                <w:szCs w:val="100"/>
              </w:rPr>
              <w:t>a todas las demás.</w:t>
            </w:r>
          </w:p>
        </w:tc>
      </w:tr>
    </w:tbl>
    <w:p w14:paraId="522838C3" w14:textId="77777777" w:rsidR="00186842" w:rsidRPr="00FA01E1" w:rsidRDefault="00186842" w:rsidP="00FA01E1">
      <w:pPr>
        <w:pStyle w:val="RTBodyText"/>
      </w:pPr>
    </w:p>
    <w:p w14:paraId="6C167252" w14:textId="77777777" w:rsidR="00186842" w:rsidRPr="00F176CA" w:rsidRDefault="00E748ED" w:rsidP="00F176CA">
      <w:r>
        <w:br w:type="page"/>
      </w:r>
    </w:p>
    <w:p w14:paraId="342C99B1" w14:textId="77777777" w:rsidR="00186842" w:rsidRPr="009A517C" w:rsidRDefault="00FF33F9" w:rsidP="00F176CA">
      <w:pPr>
        <w:pStyle w:val="RTHighlightedHeading"/>
      </w:pPr>
      <w:r w:rsidRPr="00FF33F9">
        <w:rPr>
          <w:rStyle w:val="RTHighlightedtext"/>
          <w:noProof/>
          <w:lang w:val="en-GB" w:eastAsia="en-GB"/>
        </w:rPr>
        <w:lastRenderedPageBreak/>
        <mc:AlternateContent>
          <mc:Choice Requires="wps">
            <w:drawing>
              <wp:anchor distT="45720" distB="45720" distL="114300" distR="114300" simplePos="0" relativeHeight="251642368" behindDoc="0" locked="0" layoutInCell="1" allowOverlap="1" wp14:anchorId="04633865" wp14:editId="6961A212">
                <wp:simplePos x="0" y="0"/>
                <wp:positionH relativeFrom="column">
                  <wp:posOffset>0</wp:posOffset>
                </wp:positionH>
                <wp:positionV relativeFrom="paragraph">
                  <wp:posOffset>480060</wp:posOffset>
                </wp:positionV>
                <wp:extent cx="5168900" cy="7305675"/>
                <wp:effectExtent l="0" t="0" r="127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7305675"/>
                        </a:xfrm>
                        <a:prstGeom prst="rect">
                          <a:avLst/>
                        </a:prstGeom>
                        <a:solidFill>
                          <a:srgbClr val="FFFFFF"/>
                        </a:solidFill>
                        <a:ln w="9525">
                          <a:solidFill>
                            <a:schemeClr val="bg1"/>
                          </a:solidFill>
                          <a:miter lim="800000"/>
                          <a:headEnd/>
                          <a:tailEnd/>
                        </a:ln>
                      </wps:spPr>
                      <wps:txbx>
                        <w:txbxContent>
                          <w:p w14:paraId="08D2D27E" w14:textId="77777777" w:rsidR="008F39BD" w:rsidRPr="00E127FC" w:rsidRDefault="008F39BD" w:rsidP="001D035C">
                            <w:pPr>
                              <w:pStyle w:val="RTBodyText"/>
                              <w:spacing w:before="120" w:after="60" w:line="288" w:lineRule="auto"/>
                              <w:rPr>
                                <w:rStyle w:val="RTHighlightedtext"/>
                                <w:rFonts w:ascii="Amnesty Trade Gothic Cn" w:hAnsi="Amnesty Trade Gothic Cn"/>
                                <w:b/>
                                <w:bCs/>
                                <w:caps/>
                                <w:sz w:val="56"/>
                                <w:szCs w:val="56"/>
                              </w:rPr>
                            </w:pPr>
                            <w:r>
                              <w:rPr>
                                <w:rStyle w:val="RTHighlightedtext"/>
                                <w:rFonts w:ascii="Amnesty Trade Gothic Cn" w:hAnsi="Amnesty Trade Gothic Cn"/>
                                <w:b/>
                                <w:bCs/>
                                <w:caps/>
                                <w:sz w:val="56"/>
                                <w:szCs w:val="56"/>
                              </w:rPr>
                              <w:t> </w:t>
                            </w:r>
                            <w:r w:rsidR="007504E7">
                              <w:rPr>
                                <w:rStyle w:val="RTHighlightedtext"/>
                                <w:rFonts w:ascii="Amnesty Trade Gothic Cn" w:hAnsi="Amnesty Trade Gothic Cn"/>
                                <w:b/>
                                <w:bCs/>
                                <w:caps/>
                                <w:sz w:val="56"/>
                                <w:szCs w:val="56"/>
                              </w:rPr>
                              <w:t>perú</w:t>
                            </w:r>
                          </w:p>
                          <w:p w14:paraId="1AE1E027" w14:textId="77777777" w:rsidR="007504E7" w:rsidRPr="00C315C3" w:rsidRDefault="007504E7" w:rsidP="00C315C3">
                            <w:pPr>
                              <w:pStyle w:val="RTBackcoversubheading"/>
                              <w:spacing w:before="0" w:after="120" w:line="240" w:lineRule="auto"/>
                              <w:rPr>
                                <w:bCs w:val="0"/>
                                <w:lang w:val="es-PE"/>
                              </w:rPr>
                            </w:pPr>
                            <w:r w:rsidRPr="00C315C3">
                              <w:rPr>
                                <w:bCs w:val="0"/>
                                <w:lang w:val="es-MX"/>
                              </w:rPr>
                              <w:t xml:space="preserve">INFORME AL COMITÉ </w:t>
                            </w:r>
                            <w:r w:rsidRPr="00C315C3">
                              <w:rPr>
                                <w:bCs w:val="0"/>
                                <w:lang w:val="es-PE"/>
                              </w:rPr>
                              <w:t>PARA LA ELIMINACIÓN DE LA DISCRIMINACIÓN CONTRA LA MUJER</w:t>
                            </w:r>
                          </w:p>
                          <w:p w14:paraId="6660EA5E" w14:textId="77777777" w:rsidR="007504E7" w:rsidRPr="00C315C3" w:rsidRDefault="007504E7" w:rsidP="00C315C3">
                            <w:pPr>
                              <w:pStyle w:val="RTBackcoversubheading"/>
                              <w:spacing w:before="0" w:after="120" w:line="240" w:lineRule="auto"/>
                              <w:rPr>
                                <w:bCs w:val="0"/>
                                <w:lang w:val="es-PE"/>
                              </w:rPr>
                            </w:pPr>
                            <w:r w:rsidRPr="00C315C3">
                              <w:rPr>
                                <w:bCs w:val="0"/>
                                <w:lang w:val="es-PE"/>
                              </w:rPr>
                              <w:t>78º GRUPO DE TRABAJO, 13-17 DE JULIO 2020, LISTA DE CUESTIONES</w:t>
                            </w:r>
                          </w:p>
                          <w:p w14:paraId="2F0C0CD0" w14:textId="77777777" w:rsidR="00B726DB" w:rsidRDefault="00667962" w:rsidP="007504E7">
                            <w:pPr>
                              <w:rPr>
                                <w:rFonts w:asciiTheme="minorHAnsi" w:hAnsiTheme="minorHAnsi"/>
                                <w:sz w:val="24"/>
                                <w:szCs w:val="24"/>
                                <w:lang w:bidi="es-ES"/>
                              </w:rPr>
                            </w:pPr>
                            <w:r w:rsidRPr="007504E7">
                              <w:rPr>
                                <w:rFonts w:asciiTheme="minorHAnsi" w:hAnsiTheme="minorHAnsi"/>
                                <w:sz w:val="24"/>
                                <w:szCs w:val="24"/>
                                <w:lang w:bidi="es-ES"/>
                              </w:rPr>
                              <w:t xml:space="preserve">Amnistía Internacional provee la siguiente información al Comité para la Eliminación de la Discriminación contra la Mujer (CEDAW, por sus siglas en inglés) ante la adopción de la lista de cuestiones durante la reunión </w:t>
                            </w:r>
                            <w:r w:rsidR="007504E7" w:rsidRPr="007504E7">
                              <w:rPr>
                                <w:rFonts w:asciiTheme="minorHAnsi" w:hAnsiTheme="minorHAnsi"/>
                                <w:sz w:val="24"/>
                                <w:szCs w:val="24"/>
                                <w:lang w:bidi="es-ES"/>
                              </w:rPr>
                              <w:t xml:space="preserve">de la 78ª sesión del Grupo de Trabajo </w:t>
                            </w:r>
                            <w:r w:rsidRPr="007504E7">
                              <w:rPr>
                                <w:rFonts w:asciiTheme="minorHAnsi" w:hAnsiTheme="minorHAnsi"/>
                                <w:sz w:val="24"/>
                                <w:szCs w:val="24"/>
                                <w:lang w:bidi="es-ES"/>
                              </w:rPr>
                              <w:t>en julio 2020.</w:t>
                            </w:r>
                          </w:p>
                          <w:p w14:paraId="7C545A48" w14:textId="77777777" w:rsidR="00B726DB" w:rsidRPr="007504E7" w:rsidRDefault="00756651" w:rsidP="007504E7">
                            <w:pPr>
                              <w:rPr>
                                <w:rFonts w:asciiTheme="minorHAnsi" w:hAnsiTheme="minorHAnsi"/>
                                <w:sz w:val="24"/>
                                <w:szCs w:val="24"/>
                                <w:lang w:bidi="es-ES"/>
                              </w:rPr>
                            </w:pPr>
                          </w:p>
                          <w:p w14:paraId="4B186A60" w14:textId="77777777" w:rsidR="00B726DB" w:rsidRDefault="00667962" w:rsidP="007504E7">
                            <w:pPr>
                              <w:rPr>
                                <w:rFonts w:asciiTheme="minorHAnsi" w:hAnsiTheme="minorHAnsi"/>
                                <w:sz w:val="24"/>
                                <w:szCs w:val="24"/>
                                <w:lang w:bidi="es-ES"/>
                              </w:rPr>
                            </w:pPr>
                            <w:r w:rsidRPr="007504E7">
                              <w:rPr>
                                <w:rFonts w:asciiTheme="minorHAnsi" w:hAnsiTheme="minorHAnsi"/>
                                <w:sz w:val="24"/>
                                <w:szCs w:val="24"/>
                                <w:lang w:bidi="es-ES"/>
                              </w:rPr>
                              <w:t xml:space="preserve">Este informe se enfoca en las preocupaciones con relación a la </w:t>
                            </w:r>
                            <w:r w:rsidR="007504E7" w:rsidRPr="007504E7">
                              <w:rPr>
                                <w:rFonts w:asciiTheme="minorHAnsi" w:hAnsiTheme="minorHAnsi"/>
                                <w:sz w:val="24"/>
                                <w:szCs w:val="24"/>
                                <w:lang w:bidi="es-ES"/>
                              </w:rPr>
                              <w:t>despenalización</w:t>
                            </w:r>
                            <w:r w:rsidRPr="007504E7">
                              <w:rPr>
                                <w:rFonts w:asciiTheme="minorHAnsi" w:hAnsiTheme="minorHAnsi"/>
                                <w:sz w:val="24"/>
                                <w:szCs w:val="24"/>
                                <w:lang w:bidi="es-ES"/>
                              </w:rPr>
                              <w:t xml:space="preserve"> del aborto en casos de </w:t>
                            </w:r>
                            <w:r w:rsidR="007504E7" w:rsidRPr="007504E7">
                              <w:rPr>
                                <w:rFonts w:asciiTheme="minorHAnsi" w:hAnsiTheme="minorHAnsi"/>
                                <w:sz w:val="24"/>
                                <w:szCs w:val="24"/>
                                <w:lang w:bidi="es-ES"/>
                              </w:rPr>
                              <w:t>violación</w:t>
                            </w:r>
                            <w:r w:rsidRPr="007504E7">
                              <w:rPr>
                                <w:rFonts w:asciiTheme="minorHAnsi" w:hAnsiTheme="minorHAnsi"/>
                                <w:sz w:val="24"/>
                                <w:szCs w:val="24"/>
                                <w:lang w:bidi="es-ES"/>
                              </w:rPr>
                              <w:t>, investigaciones en casos de violencia contra mujeres, igualdad de género en las políticas públicas e implementación de la educación sexual integral, discriminación y desprotección de mujeres defensoras de derechos humanos, la falta de recursos suficientes a las políticas, estrategias y planes nacionales sobre la igualdad de género en todos los sectores del gasto público, justicia y reparación para mujeres víctimas de esterilizaciones forzadas, protección y atención de las mujeres refugiadas y migrantes ante la violencia basada en género, y el derecho a la identidad de las mujeres transgénero.</w:t>
                            </w:r>
                          </w:p>
                          <w:p w14:paraId="02B5C636" w14:textId="77777777" w:rsidR="00B726DB" w:rsidRPr="007504E7" w:rsidRDefault="00756651" w:rsidP="007504E7">
                            <w:pPr>
                              <w:rPr>
                                <w:rFonts w:asciiTheme="minorHAnsi" w:hAnsiTheme="minorHAnsi"/>
                                <w:sz w:val="24"/>
                                <w:szCs w:val="24"/>
                                <w:lang w:bidi="es-ES"/>
                              </w:rPr>
                            </w:pPr>
                          </w:p>
                          <w:p w14:paraId="1281B739" w14:textId="77777777" w:rsidR="007504E7" w:rsidRPr="007504E7" w:rsidRDefault="00667962" w:rsidP="007504E7">
                            <w:pPr>
                              <w:rPr>
                                <w:rFonts w:asciiTheme="minorHAnsi" w:hAnsiTheme="minorHAnsi"/>
                                <w:sz w:val="24"/>
                                <w:szCs w:val="24"/>
                                <w:lang w:bidi="es-ES"/>
                              </w:rPr>
                            </w:pPr>
                            <w:r w:rsidRPr="007504E7">
                              <w:rPr>
                                <w:rFonts w:asciiTheme="minorHAnsi" w:hAnsiTheme="minorHAnsi"/>
                                <w:sz w:val="24"/>
                                <w:szCs w:val="24"/>
                                <w:lang w:bidi="es-ES"/>
                              </w:rPr>
                              <w:t xml:space="preserve">En Anexo 1 se encuentra la bibliografía, con una lista de publicaciones elaboradas por Amnistía Internacional y documentos de otras instituciones que puedan ser de interés. </w:t>
                            </w:r>
                          </w:p>
                          <w:p w14:paraId="155EC2A1" w14:textId="77777777" w:rsidR="008F39BD" w:rsidRDefault="008F39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33865" id="_x0000_t202" coordsize="21600,21600" o:spt="202" path="m,l,21600r21600,l21600,xe">
                <v:stroke joinstyle="miter"/>
                <v:path gradientshapeok="t" o:connecttype="rect"/>
              </v:shapetype>
              <v:shape id="Text Box 2" o:spid="_x0000_s1026" type="#_x0000_t202" style="position:absolute;margin-left:0;margin-top:37.8pt;width:407pt;height:575.2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" strokecolor="white [3212]">
                <v:textbox>
                  <w:txbxContent>
                    <w:p w14:paraId="08D2D27E" w14:textId="77777777" w:rsidR="008F39BD" w:rsidRPr="00E127FC" w:rsidRDefault="008F39BD" w:rsidP="001D035C">
                      <w:pPr>
                        <w:pStyle w:val="RTBodyText"/>
                        <w:spacing w:before="120" w:after="60" w:line="288" w:lineRule="auto"/>
                        <w:rPr>
                          <w:rStyle w:val="RTHighlightedtext"/>
                          <w:rFonts w:ascii="Amnesty Trade Gothic Cn" w:hAnsi="Amnesty Trade Gothic Cn"/>
                          <w:b/>
                          <w:bCs/>
                          <w:caps/>
                          <w:sz w:val="56"/>
                          <w:szCs w:val="56"/>
                        </w:rPr>
                      </w:pPr>
                      <w:r>
                        <w:rPr>
                          <w:rStyle w:val="RTHighlightedtext"/>
                          <w:rFonts w:ascii="Amnesty Trade Gothic Cn" w:hAnsi="Amnesty Trade Gothic Cn"/>
                          <w:b/>
                          <w:bCs/>
                          <w:caps/>
                          <w:sz w:val="56"/>
                          <w:szCs w:val="56"/>
                        </w:rPr>
                        <w:t> </w:t>
                      </w:r>
                      <w:r w:rsidR="007504E7">
                        <w:rPr>
                          <w:rStyle w:val="RTHighlightedtext"/>
                          <w:rFonts w:ascii="Amnesty Trade Gothic Cn" w:hAnsi="Amnesty Trade Gothic Cn"/>
                          <w:b/>
                          <w:bCs/>
                          <w:caps/>
                          <w:sz w:val="56"/>
                          <w:szCs w:val="56"/>
                        </w:rPr>
                        <w:t>perú</w:t>
                      </w:r>
                    </w:p>
                    <w:p w14:paraId="1AE1E027" w14:textId="77777777" w:rsidR="007504E7" w:rsidRPr="00C315C3" w:rsidRDefault="007504E7" w:rsidP="00C315C3">
                      <w:pPr>
                        <w:pStyle w:val="RTBackcoversubheading"/>
                        <w:spacing w:before="0" w:after="120" w:line="240" w:lineRule="auto"/>
                        <w:rPr>
                          <w:bCs w:val="0"/>
                          <w:lang w:val="es-PE"/>
                        </w:rPr>
                      </w:pPr>
                      <w:r w:rsidRPr="00C315C3">
                        <w:rPr>
                          <w:bCs w:val="0"/>
                          <w:lang w:val="es-MX"/>
                        </w:rPr>
                        <w:t xml:space="preserve">INFORME AL COMITÉ </w:t>
                      </w:r>
                      <w:r w:rsidRPr="00C315C3">
                        <w:rPr>
                          <w:bCs w:val="0"/>
                          <w:lang w:val="es-PE"/>
                        </w:rPr>
                        <w:t>PARA LA ELIMINACIÓN DE LA DISCRIMINACIÓN CONTRA LA MUJER</w:t>
                      </w:r>
                    </w:p>
                    <w:p w14:paraId="6660EA5E" w14:textId="77777777" w:rsidR="007504E7" w:rsidRPr="00C315C3" w:rsidRDefault="007504E7" w:rsidP="00C315C3">
                      <w:pPr>
                        <w:pStyle w:val="RTBackcoversubheading"/>
                        <w:spacing w:before="0" w:after="120" w:line="240" w:lineRule="auto"/>
                        <w:rPr>
                          <w:bCs w:val="0"/>
                          <w:lang w:val="es-PE"/>
                        </w:rPr>
                      </w:pPr>
                      <w:r w:rsidRPr="00C315C3">
                        <w:rPr>
                          <w:bCs w:val="0"/>
                          <w:lang w:val="es-PE"/>
                        </w:rPr>
                        <w:t>78º GRUPO DE TRABAJO, 13-17 DE JULIO 2020, LISTA DE CUESTIONES</w:t>
                      </w:r>
                    </w:p>
                    <w:p w14:paraId="2F0C0CD0" w14:textId="77777777" w:rsidR="00B726DB" w:rsidRDefault="00667962" w:rsidP="007504E7">
                      <w:pPr>
                        <w:rPr>
                          <w:rFonts w:asciiTheme="minorHAnsi" w:hAnsiTheme="minorHAnsi"/>
                          <w:sz w:val="24"/>
                          <w:szCs w:val="24"/>
                          <w:lang w:bidi="es-ES"/>
                        </w:rPr>
                      </w:pPr>
                      <w:r w:rsidRPr="007504E7">
                        <w:rPr>
                          <w:rFonts w:asciiTheme="minorHAnsi" w:hAnsiTheme="minorHAnsi"/>
                          <w:sz w:val="24"/>
                          <w:szCs w:val="24"/>
                          <w:lang w:bidi="es-ES"/>
                        </w:rPr>
                        <w:t xml:space="preserve">Amnistía Internacional provee la siguiente información al Comité para la Eliminación de la Discriminación contra la Mujer (CEDAW, por sus siglas en inglés) ante la adopción de la lista de cuestiones durante la reunión </w:t>
                      </w:r>
                      <w:r w:rsidR="007504E7" w:rsidRPr="007504E7">
                        <w:rPr>
                          <w:rFonts w:asciiTheme="minorHAnsi" w:hAnsiTheme="minorHAnsi"/>
                          <w:sz w:val="24"/>
                          <w:szCs w:val="24"/>
                          <w:lang w:bidi="es-ES"/>
                        </w:rPr>
                        <w:t xml:space="preserve">de la 78ª sesión del Grupo de Trabajo </w:t>
                      </w:r>
                      <w:r w:rsidRPr="007504E7">
                        <w:rPr>
                          <w:rFonts w:asciiTheme="minorHAnsi" w:hAnsiTheme="minorHAnsi"/>
                          <w:sz w:val="24"/>
                          <w:szCs w:val="24"/>
                          <w:lang w:bidi="es-ES"/>
                        </w:rPr>
                        <w:t>en julio 2020.</w:t>
                      </w:r>
                    </w:p>
                    <w:p w14:paraId="7C545A48" w14:textId="77777777" w:rsidR="00B726DB" w:rsidRPr="007504E7" w:rsidRDefault="00756651" w:rsidP="007504E7">
                      <w:pPr>
                        <w:rPr>
                          <w:rFonts w:asciiTheme="minorHAnsi" w:hAnsiTheme="minorHAnsi"/>
                          <w:sz w:val="24"/>
                          <w:szCs w:val="24"/>
                          <w:lang w:bidi="es-ES"/>
                        </w:rPr>
                      </w:pPr>
                    </w:p>
                    <w:p w14:paraId="4B186A60" w14:textId="77777777" w:rsidR="00B726DB" w:rsidRDefault="00667962" w:rsidP="007504E7">
                      <w:pPr>
                        <w:rPr>
                          <w:rFonts w:asciiTheme="minorHAnsi" w:hAnsiTheme="minorHAnsi"/>
                          <w:sz w:val="24"/>
                          <w:szCs w:val="24"/>
                          <w:lang w:bidi="es-ES"/>
                        </w:rPr>
                      </w:pPr>
                      <w:r w:rsidRPr="007504E7">
                        <w:rPr>
                          <w:rFonts w:asciiTheme="minorHAnsi" w:hAnsiTheme="minorHAnsi"/>
                          <w:sz w:val="24"/>
                          <w:szCs w:val="24"/>
                          <w:lang w:bidi="es-ES"/>
                        </w:rPr>
                        <w:t xml:space="preserve">Este informe se enfoca en las preocupaciones con relación a la </w:t>
                      </w:r>
                      <w:r w:rsidR="007504E7" w:rsidRPr="007504E7">
                        <w:rPr>
                          <w:rFonts w:asciiTheme="minorHAnsi" w:hAnsiTheme="minorHAnsi"/>
                          <w:sz w:val="24"/>
                          <w:szCs w:val="24"/>
                          <w:lang w:bidi="es-ES"/>
                        </w:rPr>
                        <w:t>despenalización</w:t>
                      </w:r>
                      <w:r w:rsidRPr="007504E7">
                        <w:rPr>
                          <w:rFonts w:asciiTheme="minorHAnsi" w:hAnsiTheme="minorHAnsi"/>
                          <w:sz w:val="24"/>
                          <w:szCs w:val="24"/>
                          <w:lang w:bidi="es-ES"/>
                        </w:rPr>
                        <w:t xml:space="preserve"> del aborto en casos de </w:t>
                      </w:r>
                      <w:r w:rsidR="007504E7" w:rsidRPr="007504E7">
                        <w:rPr>
                          <w:rFonts w:asciiTheme="minorHAnsi" w:hAnsiTheme="minorHAnsi"/>
                          <w:sz w:val="24"/>
                          <w:szCs w:val="24"/>
                          <w:lang w:bidi="es-ES"/>
                        </w:rPr>
                        <w:t>violación</w:t>
                      </w:r>
                      <w:r w:rsidRPr="007504E7">
                        <w:rPr>
                          <w:rFonts w:asciiTheme="minorHAnsi" w:hAnsiTheme="minorHAnsi"/>
                          <w:sz w:val="24"/>
                          <w:szCs w:val="24"/>
                          <w:lang w:bidi="es-ES"/>
                        </w:rPr>
                        <w:t>, investigaciones en casos de violencia contra mujeres, igualdad de género en las políticas públicas e implementación de la educación sexual integral, discriminación y desprotección de mujeres defensoras de derechos humanos, la falta de recursos suficientes a las políticas, estrategias y planes nacionales sobre la igualdad de género en todos los sectores del gasto público, justicia y reparación para mujeres víctimas de esterilizaciones forzadas, protección y atención de las mujeres refugiadas y migrantes ante la violencia basada en género, y el derecho a la identidad de las mujeres transgénero.</w:t>
                      </w:r>
                    </w:p>
                    <w:p w14:paraId="02B5C636" w14:textId="77777777" w:rsidR="00B726DB" w:rsidRPr="007504E7" w:rsidRDefault="00756651" w:rsidP="007504E7">
                      <w:pPr>
                        <w:rPr>
                          <w:rFonts w:asciiTheme="minorHAnsi" w:hAnsiTheme="minorHAnsi"/>
                          <w:sz w:val="24"/>
                          <w:szCs w:val="24"/>
                          <w:lang w:bidi="es-ES"/>
                        </w:rPr>
                      </w:pPr>
                    </w:p>
                    <w:p w14:paraId="1281B739" w14:textId="77777777" w:rsidR="007504E7" w:rsidRPr="007504E7" w:rsidRDefault="00667962" w:rsidP="007504E7">
                      <w:pPr>
                        <w:rPr>
                          <w:rFonts w:asciiTheme="minorHAnsi" w:hAnsiTheme="minorHAnsi"/>
                          <w:sz w:val="24"/>
                          <w:szCs w:val="24"/>
                          <w:lang w:bidi="es-ES"/>
                        </w:rPr>
                      </w:pPr>
                      <w:r w:rsidRPr="007504E7">
                        <w:rPr>
                          <w:rFonts w:asciiTheme="minorHAnsi" w:hAnsiTheme="minorHAnsi"/>
                          <w:sz w:val="24"/>
                          <w:szCs w:val="24"/>
                          <w:lang w:bidi="es-ES"/>
                        </w:rPr>
                        <w:t xml:space="preserve">En Anexo 1 se encuentra la bibliografía, con una lista de publicaciones elaboradas por Amnistía Internacional y documentos de otras instituciones que puedan ser de interés. </w:t>
                      </w:r>
                    </w:p>
                    <w:p w14:paraId="155EC2A1" w14:textId="77777777" w:rsidR="008F39BD" w:rsidRDefault="008F39BD"/>
                  </w:txbxContent>
                </v:textbox>
                <w10:wrap type="square"/>
              </v:shape>
            </w:pict>
          </mc:Fallback>
        </mc:AlternateContent>
      </w:r>
    </w:p>
    <w:sectPr w:rsidR="00186842" w:rsidRPr="009A517C" w:rsidSect="009A517C">
      <w:footerReference w:type="default" r:id="rId26"/>
      <w:footerReference w:type="first" r:id="rId27"/>
      <w:pgSz w:w="11900" w:h="16840"/>
      <w:pgMar w:top="1474" w:right="794" w:bottom="2041" w:left="794"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A729D7" w14:textId="77777777" w:rsidR="007504E7" w:rsidRDefault="007504E7" w:rsidP="00AE5E82">
      <w:r>
        <w:separator/>
      </w:r>
    </w:p>
  </w:endnote>
  <w:endnote w:type="continuationSeparator" w:id="0">
    <w:p w14:paraId="6DD21630" w14:textId="77777777" w:rsidR="007504E7" w:rsidRDefault="007504E7" w:rsidP="00AE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Amnesty Trade Gothic Light">
    <w:panose1 w:val="020B0403040303020004"/>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mnesty Trade Gothic Light Obl">
    <w:altName w:val="Segoe Script"/>
    <w:panose1 w:val="020B0403040303090004"/>
    <w:charset w:val="4D"/>
    <w:family w:val="swiss"/>
    <w:pitch w:val="variable"/>
    <w:sig w:usb0="800000AF" w:usb1="5000204A" w:usb2="00000000" w:usb3="00000000" w:csb0="0000009B" w:csb1="00000000"/>
  </w:font>
  <w:font w:name="Amnesty Trade Gothic Cn">
    <w:altName w:val="Calibri"/>
    <w:panose1 w:val="020B0506040303020004"/>
    <w:charset w:val="4D"/>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inionPro-Regular">
    <w:altName w:val="Minion Pro"/>
    <w:panose1 w:val="02040503050201020203"/>
    <w:charset w:val="4D"/>
    <w:family w:val="auto"/>
    <w:notTrueType/>
    <w:pitch w:val="default"/>
    <w:sig w:usb0="00000003" w:usb1="00000000" w:usb2="00000000" w:usb3="00000000" w:csb0="00000001" w:csb1="00000000"/>
  </w:font>
  <w:font w:name="AmnestyTradeGothic-Light">
    <w:altName w:val="Amnesty Trade Gothic Light"/>
    <w:panose1 w:val="020B0403040303020004"/>
    <w:charset w:val="00"/>
    <w:family w:val="auto"/>
    <w:notTrueType/>
    <w:pitch w:val="default"/>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Amnesty Trade Gothic">
    <w:altName w:val="Calibri"/>
    <w:panose1 w:val="020B0503040303020004"/>
    <w:charset w:val="4D"/>
    <w:family w:val="swiss"/>
    <w:pitch w:val="variable"/>
    <w:sig w:usb0="800000AF" w:usb1="5000204A" w:usb2="00000000" w:usb3="00000000" w:csb0="0000009B" w:csb1="00000000"/>
  </w:font>
  <w:font w:name="Amnesty Trade Gothic Bold Conde">
    <w:altName w:val="Calibri"/>
    <w:panose1 w:val="020B0806040303020004"/>
    <w:charset w:val="4D"/>
    <w:family w:val="swiss"/>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AmnestyTradeGothic-BdCn20">
    <w:altName w:val="Calibri"/>
    <w:panose1 w:val="020B08060403030200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1" w:rightFromText="181" w:vertAnchor="page" w:horzAnchor="page" w:tblpX="783" w:tblpY="11908"/>
      <w:tblW w:w="10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2583"/>
      <w:gridCol w:w="5147"/>
    </w:tblGrid>
    <w:tr w:rsidR="008F39BD" w:rsidRPr="009A1DE3" w14:paraId="05F8D3C2" w14:textId="77777777" w:rsidTr="00847491">
      <w:trPr>
        <w:trHeight w:val="2414"/>
      </w:trPr>
      <w:tc>
        <w:tcPr>
          <w:tcW w:w="5277" w:type="dxa"/>
          <w:gridSpan w:val="2"/>
          <w:tcMar>
            <w:right w:w="397" w:type="dxa"/>
          </w:tcMar>
          <w:vAlign w:val="bottom"/>
        </w:tcPr>
        <w:p w14:paraId="2AFBC60E" w14:textId="77777777" w:rsidR="008F39BD" w:rsidRPr="007F6F2D" w:rsidRDefault="008F39BD" w:rsidP="00847491">
          <w:pPr>
            <w:pStyle w:val="RTCaptionText"/>
            <w:rPr>
              <w:rFonts w:cs="Helvetica"/>
              <w:i w:val="0"/>
            </w:rPr>
          </w:pPr>
          <w:r>
            <w:rPr>
              <w:i w:val="0"/>
            </w:rPr>
            <w:t>© Amnesty International 20</w:t>
          </w:r>
          <w:r w:rsidR="007504E7">
            <w:rPr>
              <w:i w:val="0"/>
            </w:rPr>
            <w:t>20</w:t>
          </w:r>
        </w:p>
        <w:p w14:paraId="17E9C4FB" w14:textId="77777777" w:rsidR="008F39BD" w:rsidRPr="007F6F2D" w:rsidRDefault="008F39BD" w:rsidP="00847491">
          <w:pPr>
            <w:pStyle w:val="RTCaptionText"/>
            <w:rPr>
              <w:rFonts w:cs="Helvetica"/>
              <w:i w:val="0"/>
            </w:rPr>
          </w:pPr>
          <w:r>
            <w:rPr>
              <w:i w:val="0"/>
            </w:rPr>
            <w:t>Salvo cuando se indique lo contrario, el contenido de este documento está protegido por una licencia 4.0 de Creative Commons (atribución, no comercial, sin obra derivada, internacional).</w:t>
          </w:r>
        </w:p>
        <w:p w14:paraId="7E368601" w14:textId="77777777" w:rsidR="008F39BD" w:rsidRPr="007F6F2D" w:rsidRDefault="008F39BD" w:rsidP="00847491">
          <w:pPr>
            <w:pStyle w:val="RTCaptionText"/>
            <w:rPr>
              <w:rFonts w:cs="Helvetica"/>
              <w:i w:val="0"/>
            </w:rPr>
          </w:pPr>
          <w:r w:rsidRPr="007F6F2D">
            <w:rPr>
              <w:i w:val="0"/>
              <w:color w:val="0000FF"/>
              <w:u w:val="single" w:color="0000FF"/>
            </w:rPr>
            <w:fldChar w:fldCharType="begin"/>
          </w:r>
          <w:r w:rsidRPr="007F6F2D">
            <w:rPr>
              <w:i w:val="0"/>
              <w:color w:val="0000FF"/>
              <w:u w:val="single" w:color="0000FF"/>
            </w:rPr>
            <w:instrText>HYPERLINK "https://creativecommons.org/licenses/by-nc-nd/4.0/legalcode"</w:instrText>
          </w:r>
          <w:r w:rsidRPr="007F6F2D">
            <w:rPr>
              <w:i w:val="0"/>
              <w:color w:val="0000FF"/>
              <w:u w:val="single" w:color="0000FF"/>
            </w:rPr>
            <w:fldChar w:fldCharType="separate"/>
          </w:r>
          <w:r>
            <w:rPr>
              <w:i w:val="0"/>
              <w:u w:color="0000FF"/>
            </w:rPr>
            <w:t>https://creativecommons.org/licenses/by-nc-nd/4.0/legalcode</w:t>
          </w:r>
        </w:p>
        <w:p w14:paraId="0CBFD6BE" w14:textId="77777777" w:rsidR="008F39BD" w:rsidRPr="007F6F2D" w:rsidRDefault="008F39BD" w:rsidP="00847491">
          <w:pPr>
            <w:pStyle w:val="RTCaptionText"/>
            <w:rPr>
              <w:rFonts w:cs="Helvetica"/>
              <w:i w:val="0"/>
            </w:rPr>
          </w:pPr>
          <w:r w:rsidRPr="007F6F2D">
            <w:rPr>
              <w:i w:val="0"/>
              <w:color w:val="0000FF"/>
              <w:u w:val="single" w:color="0000FF"/>
            </w:rPr>
            <w:fldChar w:fldCharType="end"/>
          </w:r>
          <w:r>
            <w:rPr>
              <w:i w:val="0"/>
            </w:rPr>
            <w:t xml:space="preserve">Para más información, visiten la página </w:t>
          </w:r>
          <w:r>
            <w:t>Permisos</w:t>
          </w:r>
          <w:r>
            <w:rPr>
              <w:i w:val="0"/>
            </w:rPr>
            <w:t xml:space="preserve"> de nuestro sitio web: </w:t>
          </w:r>
          <w:hyperlink r:id="rId1" w:history="1">
            <w:r>
              <w:rPr>
                <w:i w:val="0"/>
              </w:rPr>
              <w:t>https://www.amnesty.org/es/about-us/permissions/</w:t>
            </w:r>
          </w:hyperlink>
          <w:r>
            <w:t>.</w:t>
          </w:r>
        </w:p>
        <w:p w14:paraId="369DEC99" w14:textId="77777777" w:rsidR="008F39BD" w:rsidRPr="007F6F2D" w:rsidRDefault="008F39BD" w:rsidP="00847491">
          <w:pPr>
            <w:pStyle w:val="RTCaptionText"/>
            <w:rPr>
              <w:i w:val="0"/>
            </w:rPr>
          </w:pPr>
          <w:r>
            <w:rPr>
              <w:i w:val="0"/>
            </w:rPr>
            <w:t>El material atribuido a titulares de derechos de autor distintos de Amnistía Internacional no está sujeto a la licencia Creative Commons.</w:t>
          </w:r>
        </w:p>
      </w:tc>
      <w:tc>
        <w:tcPr>
          <w:tcW w:w="5147" w:type="dxa"/>
        </w:tcPr>
        <w:p w14:paraId="638A7E8D" w14:textId="77777777" w:rsidR="008F39BD" w:rsidRDefault="008F39BD" w:rsidP="00847491">
          <w:pPr>
            <w:pStyle w:val="RTCaptionText"/>
          </w:pPr>
        </w:p>
        <w:p w14:paraId="5325C050" w14:textId="77777777" w:rsidR="008F39BD" w:rsidRPr="003911AE" w:rsidRDefault="008F39BD" w:rsidP="00847491"/>
        <w:p w14:paraId="6A4F95C6" w14:textId="77777777" w:rsidR="008F39BD" w:rsidRDefault="008F39BD" w:rsidP="00847491"/>
        <w:p w14:paraId="0A31CF89" w14:textId="77777777" w:rsidR="008F39BD" w:rsidRPr="003911AE" w:rsidRDefault="008F39BD" w:rsidP="00847491"/>
        <w:p w14:paraId="33F35EE3" w14:textId="77777777" w:rsidR="008F39BD" w:rsidRPr="003911AE" w:rsidRDefault="008F39BD" w:rsidP="00847491"/>
        <w:p w14:paraId="1A8BF313" w14:textId="77777777" w:rsidR="008F39BD" w:rsidRPr="008B2158" w:rsidRDefault="008F39BD" w:rsidP="00847491">
          <w:pPr>
            <w:pStyle w:val="RTCaptionText"/>
            <w:rPr>
              <w:lang w:val="en-US"/>
            </w:rPr>
          </w:pPr>
        </w:p>
      </w:tc>
    </w:tr>
    <w:tr w:rsidR="008F39BD" w14:paraId="5FF1A761" w14:textId="77777777" w:rsidTr="00847491">
      <w:tc>
        <w:tcPr>
          <w:tcW w:w="2694" w:type="dxa"/>
          <w:vAlign w:val="bottom"/>
        </w:tcPr>
        <w:p w14:paraId="35E06144" w14:textId="77777777" w:rsidR="008F39BD" w:rsidRDefault="008F39BD" w:rsidP="00847491">
          <w:pPr>
            <w:pStyle w:val="RTCaptionText"/>
            <w:rPr>
              <w:i w:val="0"/>
            </w:rPr>
          </w:pPr>
          <w:r>
            <w:rPr>
              <w:i w:val="0"/>
            </w:rPr>
            <w:t>Publicado por primera vez en 20</w:t>
          </w:r>
          <w:r w:rsidR="007504E7">
            <w:rPr>
              <w:i w:val="0"/>
            </w:rPr>
            <w:t>20</w:t>
          </w:r>
          <w:r>
            <w:rPr>
              <w:i w:val="0"/>
            </w:rPr>
            <w:br/>
            <w:t>por Amnesty International Ltd.</w:t>
          </w:r>
          <w:r>
            <w:rPr>
              <w:i w:val="0"/>
            </w:rPr>
            <w:br/>
            <w:t>Peter Benenson House, 1 Easton Street</w:t>
          </w:r>
          <w:r>
            <w:rPr>
              <w:i w:val="0"/>
            </w:rPr>
            <w:br/>
            <w:t>London WC1X 0DW, Reino Unido</w:t>
          </w:r>
        </w:p>
        <w:p w14:paraId="7C00327C" w14:textId="77777777" w:rsidR="008F39BD" w:rsidRDefault="008F39BD" w:rsidP="00847491">
          <w:pPr>
            <w:pStyle w:val="RTCaptionText"/>
            <w:rPr>
              <w:i w:val="0"/>
            </w:rPr>
          </w:pPr>
        </w:p>
        <w:p w14:paraId="2E9DB583" w14:textId="77777777" w:rsidR="008F39BD" w:rsidRPr="00EA7215" w:rsidRDefault="00C16E83" w:rsidP="008B2158">
          <w:pPr>
            <w:pStyle w:val="RTCaptionText"/>
            <w:rPr>
              <w:i w:val="0"/>
              <w:sz w:val="18"/>
              <w:szCs w:val="18"/>
            </w:rPr>
          </w:pPr>
          <w:r>
            <w:rPr>
              <w:b/>
              <w:i w:val="0"/>
              <w:sz w:val="18"/>
              <w:szCs w:val="18"/>
            </w:rPr>
            <w:t xml:space="preserve">Índice: </w:t>
          </w:r>
          <w:r w:rsidR="007504E7">
            <w:rPr>
              <w:b/>
              <w:i w:val="0"/>
              <w:sz w:val="18"/>
            </w:rPr>
            <w:t xml:space="preserve"> AMR 46/2518/2020 </w:t>
          </w:r>
          <w:r w:rsidR="00043D6E">
            <w:rPr>
              <w:b/>
              <w:i w:val="0"/>
              <w:sz w:val="18"/>
              <w:szCs w:val="18"/>
            </w:rPr>
            <w:t>Spanish</w:t>
          </w:r>
          <w:r w:rsidR="008F39BD">
            <w:rPr>
              <w:b/>
              <w:i w:val="0"/>
              <w:sz w:val="18"/>
              <w:szCs w:val="18"/>
            </w:rPr>
            <w:br/>
            <w:t xml:space="preserve">Idioma original: </w:t>
          </w:r>
          <w:r w:rsidR="008B2158">
            <w:rPr>
              <w:b/>
              <w:i w:val="0"/>
              <w:sz w:val="18"/>
              <w:szCs w:val="18"/>
            </w:rPr>
            <w:t>Inglés</w:t>
          </w:r>
        </w:p>
      </w:tc>
      <w:tc>
        <w:tcPr>
          <w:tcW w:w="2583" w:type="dxa"/>
          <w:vAlign w:val="bottom"/>
        </w:tcPr>
        <w:p w14:paraId="73491CCE" w14:textId="77777777" w:rsidR="008F39BD" w:rsidRPr="007F6F2D" w:rsidRDefault="008F39BD" w:rsidP="00847491">
          <w:pPr>
            <w:pStyle w:val="RTCaptionText"/>
            <w:rPr>
              <w:b/>
              <w:i w:val="0"/>
            </w:rPr>
          </w:pPr>
          <w:r>
            <w:rPr>
              <w:b/>
              <w:i w:val="0"/>
            </w:rPr>
            <w:br/>
          </w:r>
        </w:p>
      </w:tc>
      <w:tc>
        <w:tcPr>
          <w:tcW w:w="5147" w:type="dxa"/>
          <w:vAlign w:val="bottom"/>
        </w:tcPr>
        <w:p w14:paraId="56E31035" w14:textId="77777777" w:rsidR="008F39BD" w:rsidRPr="00886391" w:rsidRDefault="00F93E62" w:rsidP="00847491">
          <w:pPr>
            <w:pStyle w:val="Footer"/>
            <w:tabs>
              <w:tab w:val="left" w:pos="880"/>
            </w:tabs>
            <w:spacing w:line="240" w:lineRule="exact"/>
            <w:rPr>
              <w:rFonts w:ascii="Amnesty Trade Gothic Cn" w:hAnsi="Amnesty Trade Gothic Cn" w:cs="AmnestyTradeGothic-BdCn20"/>
              <w:bCs/>
              <w:szCs w:val="16"/>
            </w:rPr>
          </w:pPr>
          <w:r>
            <w:rPr>
              <w:noProof/>
              <w:lang w:val="en-GB" w:eastAsia="en-GB"/>
            </w:rPr>
            <w:drawing>
              <wp:anchor distT="0" distB="0" distL="114300" distR="114300" simplePos="0" relativeHeight="251670016" behindDoc="0" locked="0" layoutInCell="1" allowOverlap="1" wp14:anchorId="6AF14B8A" wp14:editId="45EBD68F">
                <wp:simplePos x="0" y="0"/>
                <wp:positionH relativeFrom="margin">
                  <wp:posOffset>1689735</wp:posOffset>
                </wp:positionH>
                <wp:positionV relativeFrom="paragraph">
                  <wp:posOffset>412750</wp:posOffset>
                </wp:positionV>
                <wp:extent cx="1515745" cy="638175"/>
                <wp:effectExtent l="0" t="0" r="8255" b="9525"/>
                <wp:wrapNone/>
                <wp:docPr id="2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574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39BD" w14:paraId="5E0BE0C9" w14:textId="77777777" w:rsidTr="00847491">
      <w:trPr>
        <w:trHeight w:val="412"/>
      </w:trPr>
      <w:tc>
        <w:tcPr>
          <w:tcW w:w="10424" w:type="dxa"/>
          <w:gridSpan w:val="3"/>
          <w:vAlign w:val="bottom"/>
        </w:tcPr>
        <w:p w14:paraId="54AF242E" w14:textId="77777777" w:rsidR="008F39BD" w:rsidRDefault="008F39BD" w:rsidP="00847491">
          <w:pPr>
            <w:pStyle w:val="RTAmnestywebaddress"/>
          </w:pPr>
          <w:r>
            <w:t>amnesty.org</w:t>
          </w:r>
        </w:p>
      </w:tc>
    </w:tr>
  </w:tbl>
  <w:p w14:paraId="08BB6454" w14:textId="77777777" w:rsidR="008F39BD" w:rsidRPr="00B179F3" w:rsidRDefault="008F39BD" w:rsidP="00290B00">
    <w:pPr>
      <w:pStyle w:val="Footer"/>
      <w:tabs>
        <w:tab w:val="left" w:pos="8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106E2" w14:textId="77777777" w:rsidR="008F39BD" w:rsidRPr="00CB0FBD" w:rsidRDefault="00F93E62" w:rsidP="00CB0FBD">
    <w:r>
      <w:rPr>
        <w:noProof/>
        <w:lang w:val="en-GB" w:eastAsia="en-GB"/>
      </w:rPr>
      <w:drawing>
        <wp:anchor distT="0" distB="0" distL="114300" distR="114300" simplePos="0" relativeHeight="251667968" behindDoc="0" locked="0" layoutInCell="1" allowOverlap="1" wp14:anchorId="0392F54F" wp14:editId="37D98482">
          <wp:simplePos x="0" y="0"/>
          <wp:positionH relativeFrom="margin">
            <wp:posOffset>5025527</wp:posOffset>
          </wp:positionH>
          <wp:positionV relativeFrom="paragraph">
            <wp:posOffset>-33020</wp:posOffset>
          </wp:positionV>
          <wp:extent cx="1515854" cy="638175"/>
          <wp:effectExtent l="0" t="0" r="8255" b="0"/>
          <wp:wrapNone/>
          <wp:docPr id="2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15854"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1C6EB" w14:textId="77777777" w:rsidR="008F39BD" w:rsidRPr="00CB0FBD" w:rsidRDefault="008F39BD" w:rsidP="00CB0FBD"/>
  <w:p w14:paraId="41A915C4" w14:textId="77777777" w:rsidR="008F39BD" w:rsidRPr="00CB0FBD" w:rsidRDefault="008F39BD" w:rsidP="00CB0FBD"/>
  <w:p w14:paraId="0EB4DC5E" w14:textId="77777777" w:rsidR="008F39BD" w:rsidRPr="00CB0FBD" w:rsidRDefault="008F39BD" w:rsidP="00CB0F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ED31F" w14:textId="77777777" w:rsidR="008F39BD" w:rsidRPr="00914551" w:rsidRDefault="007504E7" w:rsidP="00914551">
    <w:pPr>
      <w:pStyle w:val="RTFooterreporttitle"/>
    </w:pPr>
    <w:r>
      <w:t>perú</w:t>
    </w:r>
    <w:r w:rsidR="008F39BD">
      <w:tab/>
    </w:r>
  </w:p>
  <w:p w14:paraId="0DC5FF4B" w14:textId="77777777" w:rsidR="007504E7" w:rsidRPr="007504E7" w:rsidRDefault="007504E7" w:rsidP="007504E7">
    <w:pPr>
      <w:pStyle w:val="RTFooterreportsubtitle"/>
      <w:rPr>
        <w:lang w:val="es-PE"/>
      </w:rPr>
    </w:pPr>
    <w:r w:rsidRPr="007504E7">
      <w:rPr>
        <w:lang w:val="es-PE"/>
      </w:rPr>
      <w:t>INFORME AL COMITÉ PARA LA ELIMINACIÓN DE LA DISCRIMINACIÓN CONTRA LA MUJER, LISTA DE CUESTIONES</w:t>
    </w:r>
  </w:p>
  <w:p w14:paraId="7FDF881B" w14:textId="77777777" w:rsidR="008F39BD" w:rsidRPr="00914551" w:rsidRDefault="008F39BD" w:rsidP="00914551">
    <w:pPr>
      <w:pStyle w:val="RTFooterreportsubtitle"/>
    </w:pPr>
    <w:r>
      <w:tab/>
    </w:r>
  </w:p>
  <w:p w14:paraId="3D757CEE" w14:textId="77777777" w:rsidR="008F39BD" w:rsidRPr="00914551" w:rsidRDefault="008F39BD" w:rsidP="00914551">
    <w:pPr>
      <w:pStyle w:val="RTAmnestyfooter"/>
    </w:pPr>
    <w:r>
      <w:t>Amnistía Internacional</w:t>
    </w:r>
    <w:r>
      <w:tab/>
    </w:r>
    <w:r>
      <w:fldChar w:fldCharType="begin"/>
    </w:r>
    <w:r>
      <w:instrText xml:space="preserve"> PAGE  \* Arabic  \* MERGEFORMAT </w:instrText>
    </w:r>
    <w:r>
      <w:fldChar w:fldCharType="separate"/>
    </w:r>
    <w:r w:rsidR="00784367">
      <w:rPr>
        <w:noProof/>
      </w:rPr>
      <w:t>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030F8" w14:textId="504F3E0F" w:rsidR="008151B8" w:rsidRPr="00914551" w:rsidRDefault="008151B8" w:rsidP="00914551">
    <w:pPr>
      <w:pStyle w:val="RTAmnesty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0D2F6" w14:textId="77777777" w:rsidR="008F39BD" w:rsidRPr="00706917" w:rsidRDefault="00F93E62" w:rsidP="00886391">
    <w:pPr>
      <w:pStyle w:val="RTFooterText"/>
      <w:spacing w:after="0" w:line="180" w:lineRule="exact"/>
      <w:rPr>
        <w:szCs w:val="18"/>
      </w:rPr>
    </w:pPr>
    <w:r>
      <w:rPr>
        <w:noProof/>
        <w:lang w:val="en-GB" w:eastAsia="en-GB"/>
      </w:rPr>
      <w:drawing>
        <wp:anchor distT="0" distB="0" distL="114300" distR="114300" simplePos="0" relativeHeight="251672064" behindDoc="0" locked="0" layoutInCell="1" allowOverlap="1" wp14:anchorId="2EBD3A88" wp14:editId="2C7B3BF0">
          <wp:simplePos x="0" y="0"/>
          <wp:positionH relativeFrom="margin">
            <wp:posOffset>5032650</wp:posOffset>
          </wp:positionH>
          <wp:positionV relativeFrom="paragraph">
            <wp:posOffset>6985</wp:posOffset>
          </wp:positionV>
          <wp:extent cx="1515854" cy="638175"/>
          <wp:effectExtent l="0" t="0" r="825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15854"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E83">
      <w:t xml:space="preserve">Índice: </w:t>
    </w:r>
    <w:r w:rsidR="007504E7" w:rsidRPr="007504E7">
      <w:rPr>
        <w:iCs/>
        <w:lang w:bidi="es-ES"/>
      </w:rPr>
      <w:t>AMR 46/2518/2020</w:t>
    </w:r>
    <w:r w:rsidR="008F39BD">
      <w:br/>
    </w:r>
    <w:r w:rsidR="007504E7">
      <w:t>junio 2020</w:t>
    </w:r>
    <w:r w:rsidR="008F39BD">
      <w:br/>
    </w:r>
  </w:p>
  <w:p w14:paraId="7399F391" w14:textId="77777777" w:rsidR="008F39BD" w:rsidRPr="0091768C" w:rsidRDefault="008F39BD" w:rsidP="00886391">
    <w:pPr>
      <w:pStyle w:val="RTAmnestywebaddress"/>
      <w:spacing w:before="0"/>
    </w:pPr>
    <w:r>
      <w:t>amnesty.org</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1" w:rightFromText="181" w:vertAnchor="page" w:horzAnchor="page" w:tblpX="2042" w:tblpY="13155"/>
      <w:tblOverlap w:val="nev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19"/>
      <w:gridCol w:w="4303"/>
    </w:tblGrid>
    <w:tr w:rsidR="008F39BD" w:rsidRPr="00472CD3" w14:paraId="7A5560AD" w14:textId="77777777" w:rsidTr="00FB1D19">
      <w:tc>
        <w:tcPr>
          <w:tcW w:w="5264" w:type="dxa"/>
        </w:tcPr>
        <w:p w14:paraId="561F5863" w14:textId="77777777" w:rsidR="008F39BD" w:rsidRPr="00472CD3" w:rsidRDefault="008F39BD" w:rsidP="00472CD3">
          <w:pPr>
            <w:pStyle w:val="RTBackcoversubheading"/>
            <w:framePr w:hSpace="0" w:wrap="auto" w:vAnchor="margin" w:hAnchor="text" w:xAlign="left" w:yAlign="inline"/>
            <w:suppressOverlap w:val="0"/>
          </w:pPr>
          <w:r>
            <w:t>Contáctanos</w:t>
          </w:r>
        </w:p>
      </w:tc>
      <w:tc>
        <w:tcPr>
          <w:tcW w:w="5264" w:type="dxa"/>
        </w:tcPr>
        <w:p w14:paraId="0B8EA4CF" w14:textId="77777777" w:rsidR="008F39BD" w:rsidRPr="00472CD3" w:rsidRDefault="008F39BD" w:rsidP="00472CD3">
          <w:pPr>
            <w:pStyle w:val="RTBackcoversubheading"/>
            <w:framePr w:hSpace="0" w:wrap="auto" w:vAnchor="margin" w:hAnchor="text" w:xAlign="left" w:yAlign="inline"/>
            <w:suppressOverlap w:val="0"/>
          </w:pPr>
          <w:r>
            <w:t>Únete a la conversación</w:t>
          </w:r>
        </w:p>
      </w:tc>
    </w:tr>
    <w:tr w:rsidR="008F39BD" w14:paraId="52D877F9" w14:textId="77777777" w:rsidTr="00FB1D19">
      <w:tc>
        <w:tcPr>
          <w:tcW w:w="5264" w:type="dxa"/>
          <w:tcMar>
            <w:top w:w="113" w:type="dxa"/>
          </w:tcMar>
        </w:tcPr>
        <w:p w14:paraId="386AD7FE" w14:textId="77777777" w:rsidR="008F39BD" w:rsidRDefault="008F39BD" w:rsidP="00E20D98">
          <w:pPr>
            <w:pStyle w:val="RTBodyText"/>
          </w:pPr>
          <w:r>
            <w:rPr>
              <w:noProof/>
              <w:lang w:val="en-GB" w:eastAsia="en-GB"/>
            </w:rPr>
            <w:drawing>
              <wp:anchor distT="0" distB="0" distL="114300" distR="114300" simplePos="0" relativeHeight="251649536" behindDoc="0" locked="0" layoutInCell="1" allowOverlap="1" wp14:anchorId="0EB73970" wp14:editId="26232999">
                <wp:simplePos x="0" y="0"/>
                <wp:positionH relativeFrom="column">
                  <wp:posOffset>0</wp:posOffset>
                </wp:positionH>
                <wp:positionV relativeFrom="paragraph">
                  <wp:posOffset>-459105</wp:posOffset>
                </wp:positionV>
                <wp:extent cx="340995" cy="5835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call600.png"/>
                        <pic:cNvPicPr/>
                      </pic:nvPicPr>
                      <pic:blipFill>
                        <a:blip r:embed="rId1">
                          <a:extLst>
                            <a:ext uri="{28A0092B-C50C-407E-A947-70E740481C1C}">
                              <a14:useLocalDpi xmlns:a14="http://schemas.microsoft.com/office/drawing/2010/main" val="0"/>
                            </a:ext>
                          </a:extLst>
                        </a:blip>
                        <a:stretch>
                          <a:fillRect/>
                        </a:stretch>
                      </pic:blipFill>
                      <pic:spPr>
                        <a:xfrm>
                          <a:off x="0" y="0"/>
                          <a:ext cx="340995" cy="5835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hyperlink r:id="rId2" w:history="1">
            <w:r>
              <w:t>info@amnesty.org</w:t>
            </w:r>
          </w:hyperlink>
        </w:p>
        <w:p w14:paraId="75ECEA96" w14:textId="77777777" w:rsidR="008F39BD" w:rsidRDefault="008F39BD" w:rsidP="00E20D98">
          <w:pPr>
            <w:pStyle w:val="RTBodyText"/>
          </w:pPr>
        </w:p>
        <w:p w14:paraId="1CF068FE" w14:textId="77777777" w:rsidR="008F39BD" w:rsidRDefault="008F39BD" w:rsidP="00E20D98">
          <w:pPr>
            <w:pStyle w:val="RTBodyText"/>
          </w:pPr>
          <w:r>
            <w:t>+44 (0)20 7413 5500</w:t>
          </w:r>
        </w:p>
      </w:tc>
      <w:tc>
        <w:tcPr>
          <w:tcW w:w="5264" w:type="dxa"/>
          <w:tcMar>
            <w:top w:w="113" w:type="dxa"/>
          </w:tcMar>
        </w:tcPr>
        <w:p w14:paraId="4DF88C59" w14:textId="77777777" w:rsidR="008F39BD" w:rsidRDefault="008F39BD" w:rsidP="00E20D98">
          <w:pPr>
            <w:pStyle w:val="RTBodyText"/>
          </w:pPr>
          <w:r>
            <w:rPr>
              <w:noProof/>
              <w:lang w:val="en-GB" w:eastAsia="en-GB"/>
            </w:rPr>
            <w:drawing>
              <wp:anchor distT="0" distB="0" distL="114300" distR="114300" simplePos="0" relativeHeight="251663872" behindDoc="0" locked="0" layoutInCell="1" allowOverlap="1" wp14:anchorId="2DFF96FE" wp14:editId="415061E5">
                <wp:simplePos x="0" y="0"/>
                <wp:positionH relativeFrom="column">
                  <wp:posOffset>3810</wp:posOffset>
                </wp:positionH>
                <wp:positionV relativeFrom="paragraph">
                  <wp:posOffset>-487680</wp:posOffset>
                </wp:positionV>
                <wp:extent cx="240665" cy="5969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twit600.png"/>
                        <pic:cNvPicPr/>
                      </pic:nvPicPr>
                      <pic:blipFill>
                        <a:blip r:embed="rId3">
                          <a:extLst>
                            <a:ext uri="{28A0092B-C50C-407E-A947-70E740481C1C}">
                              <a14:useLocalDpi xmlns:a14="http://schemas.microsoft.com/office/drawing/2010/main" val="0"/>
                            </a:ext>
                          </a:extLst>
                        </a:blip>
                        <a:stretch>
                          <a:fillRect/>
                        </a:stretch>
                      </pic:blipFill>
                      <pic:spPr>
                        <a:xfrm>
                          <a:off x="0" y="0"/>
                          <a:ext cx="240665" cy="596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hyperlink r:id="rId4" w:history="1">
            <w:r>
              <w:t>www.facebook.com/AmnestyGlobal</w:t>
            </w:r>
          </w:hyperlink>
        </w:p>
        <w:p w14:paraId="532D1563" w14:textId="77777777" w:rsidR="008F39BD" w:rsidRDefault="008F39BD" w:rsidP="00E20D98">
          <w:pPr>
            <w:pStyle w:val="RTBodyText"/>
          </w:pPr>
        </w:p>
        <w:p w14:paraId="039A55C1" w14:textId="77777777" w:rsidR="008F39BD" w:rsidRDefault="008F39BD" w:rsidP="00731BC7">
          <w:pPr>
            <w:pStyle w:val="RTBodyText"/>
          </w:pPr>
          <w:r>
            <w:t>@AmnistiaOnline</w:t>
          </w:r>
        </w:p>
      </w:tc>
    </w:tr>
  </w:tbl>
  <w:p w14:paraId="557F6166" w14:textId="77777777" w:rsidR="008F39BD" w:rsidRPr="00826627" w:rsidRDefault="008F39BD" w:rsidP="00627D13">
    <w:pPr>
      <w:pStyle w:val="Footer"/>
      <w:spacing w:before="120" w:after="60"/>
      <w:rPr>
        <w:cap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73290" w14:textId="77777777" w:rsidR="007504E7" w:rsidRPr="0049688D" w:rsidRDefault="007504E7" w:rsidP="0049688D">
      <w:r>
        <w:continuationSeparator/>
      </w:r>
    </w:p>
  </w:footnote>
  <w:footnote w:type="continuationSeparator" w:id="0">
    <w:p w14:paraId="4156F67A" w14:textId="77777777" w:rsidR="007504E7" w:rsidRDefault="007504E7" w:rsidP="00AE5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9B11F" w14:textId="77777777" w:rsidR="008F39BD" w:rsidRPr="00706917" w:rsidRDefault="008F39BD" w:rsidP="00472CD3">
    <w:pPr>
      <w:pStyle w:val="Header"/>
      <w:rPr>
        <w:rFonts w:asciiTheme="majorHAnsi" w:hAnsiTheme="majorHAnsi"/>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5BA43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729C4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360915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DF62B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D74580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490EA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176B98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E781D9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5A0601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A6819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2CC6D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2" w15:restartNumberingAfterBreak="0">
    <w:nsid w:val="13722CD9"/>
    <w:multiLevelType w:val="hybridMultilevel"/>
    <w:tmpl w:val="B3A8A968"/>
    <w:lvl w:ilvl="0" w:tplc="F302414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C10880"/>
    <w:multiLevelType w:val="multilevel"/>
    <w:tmpl w:val="615212AA"/>
    <w:lvl w:ilvl="0">
      <w:start w:val="1"/>
      <w:numFmt w:val="decimal"/>
      <w:suff w:val="space"/>
      <w:lvlText w:val="%1."/>
      <w:lvlJc w:val="left"/>
      <w:pPr>
        <w:ind w:left="596" w:hanging="454"/>
      </w:pPr>
      <w:rPr>
        <w:rFonts w:hint="default"/>
      </w:rPr>
    </w:lvl>
    <w:lvl w:ilvl="1">
      <w:start w:val="1"/>
      <w:numFmt w:val="decimal"/>
      <w:suff w:val="space"/>
      <w:lvlText w:val="%1.%2"/>
      <w:lvlJc w:val="left"/>
      <w:pPr>
        <w:ind w:left="3005" w:hanging="3005"/>
      </w:pPr>
      <w:rPr>
        <w:rFonts w:hint="default"/>
      </w:rPr>
    </w:lvl>
    <w:lvl w:ilvl="2">
      <w:start w:val="1"/>
      <w:numFmt w:val="decimal"/>
      <w:suff w:val="space"/>
      <w:lvlText w:val="1.1.%3"/>
      <w:lvlJc w:val="left"/>
      <w:pPr>
        <w:ind w:left="454" w:hanging="454"/>
      </w:pPr>
      <w:rPr>
        <w:rFonts w:hint="default"/>
      </w:rPr>
    </w:lvl>
    <w:lvl w:ilvl="3">
      <w:start w:val="1"/>
      <w:numFmt w:val="none"/>
      <w:lvlText w:val="%4."/>
      <w:lvlJc w:val="left"/>
      <w:pPr>
        <w:tabs>
          <w:tab w:val="num" w:pos="2517"/>
        </w:tabs>
        <w:ind w:left="2880" w:hanging="2880"/>
      </w:pPr>
      <w:rPr>
        <w:rFonts w:hint="default"/>
      </w:rPr>
    </w:lvl>
    <w:lvl w:ilvl="4">
      <w:start w:val="1"/>
      <w:numFmt w:val="none"/>
      <w:lvlText w:val="%5."/>
      <w:lvlJc w:val="left"/>
      <w:pPr>
        <w:tabs>
          <w:tab w:val="num" w:pos="3238"/>
        </w:tabs>
        <w:ind w:left="3600" w:hanging="360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7CD58A3"/>
    <w:multiLevelType w:val="hybridMultilevel"/>
    <w:tmpl w:val="3A789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341EE7"/>
    <w:multiLevelType w:val="multilevel"/>
    <w:tmpl w:val="AF1C566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257015"/>
    <w:multiLevelType w:val="multilevel"/>
    <w:tmpl w:val="7FE872A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pStyle w:val="RTIndentedBulletTex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71877A7"/>
    <w:multiLevelType w:val="hybridMultilevel"/>
    <w:tmpl w:val="195069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113960"/>
    <w:multiLevelType w:val="multilevel"/>
    <w:tmpl w:val="9C92F846"/>
    <w:lvl w:ilvl="0">
      <w:start w:val="1"/>
      <w:numFmt w:val="bullet"/>
      <w:lvlText w:val=""/>
      <w:lvlJc w:val="left"/>
      <w:pPr>
        <w:ind w:left="284" w:hanging="284"/>
      </w:pPr>
      <w:rPr>
        <w:rFonts w:ascii="Symbol" w:hAnsi="Symbol" w:hint="default"/>
      </w:rPr>
    </w:lvl>
    <w:lvl w:ilvl="1">
      <w:start w:val="1"/>
      <w:numFmt w:val="bullet"/>
      <w:pStyle w:val="RTBulletTex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E496B79"/>
    <w:multiLevelType w:val="multilevel"/>
    <w:tmpl w:val="021E882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C276C7C"/>
    <w:multiLevelType w:val="multilevel"/>
    <w:tmpl w:val="77FC7AD6"/>
    <w:styleLink w:val="RTNumberedList"/>
    <w:lvl w:ilvl="0">
      <w:start w:val="1"/>
      <w:numFmt w:val="decimal"/>
      <w:pStyle w:val="RTTitlenumbered"/>
      <w:suff w:val="space"/>
      <w:lvlText w:val="%1."/>
      <w:lvlJc w:val="left"/>
      <w:pPr>
        <w:ind w:left="1021" w:hanging="454"/>
      </w:pPr>
      <w:rPr>
        <w:rFonts w:hint="default"/>
      </w:rPr>
    </w:lvl>
    <w:lvl w:ilvl="1">
      <w:start w:val="1"/>
      <w:numFmt w:val="decimal"/>
      <w:pStyle w:val="RTNumberedHeading"/>
      <w:suff w:val="space"/>
      <w:lvlText w:val="%1.%2"/>
      <w:lvlJc w:val="left"/>
      <w:pPr>
        <w:ind w:left="4139" w:hanging="2863"/>
      </w:pPr>
      <w:rPr>
        <w:rFonts w:hint="default"/>
      </w:rPr>
    </w:lvl>
    <w:lvl w:ilvl="2">
      <w:start w:val="1"/>
      <w:numFmt w:val="decimal"/>
      <w:pStyle w:val="RTNumberedSubheading"/>
      <w:suff w:val="space"/>
      <w:lvlText w:val="%1.%2.%3"/>
      <w:lvlJc w:val="left"/>
      <w:pPr>
        <w:ind w:left="737" w:hanging="312"/>
      </w:pPr>
      <w:rPr>
        <w:rFonts w:hint="default"/>
      </w:rPr>
    </w:lvl>
    <w:lvl w:ilvl="3">
      <w:start w:val="1"/>
      <w:numFmt w:val="none"/>
      <w:lvlText w:val="%4."/>
      <w:lvlJc w:val="left"/>
      <w:pPr>
        <w:tabs>
          <w:tab w:val="num" w:pos="2801"/>
        </w:tabs>
        <w:ind w:left="3163" w:hanging="2738"/>
      </w:pPr>
      <w:rPr>
        <w:rFonts w:hint="default"/>
      </w:rPr>
    </w:lvl>
    <w:lvl w:ilvl="4">
      <w:start w:val="1"/>
      <w:numFmt w:val="none"/>
      <w:lvlText w:val="%5."/>
      <w:lvlJc w:val="left"/>
      <w:pPr>
        <w:tabs>
          <w:tab w:val="num" w:pos="3521"/>
        </w:tabs>
        <w:ind w:left="3883" w:hanging="3458"/>
      </w:pPr>
      <w:rPr>
        <w:rFonts w:hint="default"/>
      </w:rPr>
    </w:lvl>
    <w:lvl w:ilvl="5">
      <w:start w:val="1"/>
      <w:numFmt w:val="lowerRoman"/>
      <w:lvlText w:val="%6."/>
      <w:lvlJc w:val="right"/>
      <w:pPr>
        <w:ind w:left="4603" w:hanging="180"/>
      </w:pPr>
      <w:rPr>
        <w:rFonts w:hint="default"/>
      </w:rPr>
    </w:lvl>
    <w:lvl w:ilvl="6">
      <w:start w:val="1"/>
      <w:numFmt w:val="decimal"/>
      <w:lvlText w:val="%7."/>
      <w:lvlJc w:val="left"/>
      <w:pPr>
        <w:ind w:left="5323" w:hanging="360"/>
      </w:pPr>
      <w:rPr>
        <w:rFonts w:hint="default"/>
      </w:rPr>
    </w:lvl>
    <w:lvl w:ilvl="7">
      <w:start w:val="1"/>
      <w:numFmt w:val="lowerLetter"/>
      <w:lvlText w:val="%8."/>
      <w:lvlJc w:val="left"/>
      <w:pPr>
        <w:ind w:left="6043" w:hanging="360"/>
      </w:pPr>
      <w:rPr>
        <w:rFonts w:hint="default"/>
      </w:rPr>
    </w:lvl>
    <w:lvl w:ilvl="8">
      <w:start w:val="1"/>
      <w:numFmt w:val="lowerRoman"/>
      <w:lvlText w:val="%9."/>
      <w:lvlJc w:val="right"/>
      <w:pPr>
        <w:ind w:left="6763" w:hanging="180"/>
      </w:pPr>
      <w:rPr>
        <w:rFonts w:hint="default"/>
      </w:rPr>
    </w:lvl>
  </w:abstractNum>
  <w:abstractNum w:abstractNumId="21" w15:restartNumberingAfterBreak="0">
    <w:nsid w:val="72EB7810"/>
    <w:multiLevelType w:val="multilevel"/>
    <w:tmpl w:val="6D000EB8"/>
    <w:styleLink w:val="Bulletlist"/>
    <w:lvl w:ilvl="0">
      <w:start w:val="1"/>
      <w:numFmt w:val="bullet"/>
      <w:lvlText w:val="–"/>
      <w:lvlJc w:val="left"/>
      <w:pPr>
        <w:tabs>
          <w:tab w:val="num" w:pos="284"/>
        </w:tabs>
        <w:ind w:left="284" w:hanging="284"/>
      </w:pPr>
      <w:rPr>
        <w:rFonts w:ascii="Georgia" w:hAnsi="Georgia" w:hint="default"/>
        <w:sz w:val="20"/>
      </w:rPr>
    </w:lvl>
    <w:lvl w:ilvl="1">
      <w:start w:val="1"/>
      <w:numFmt w:val="bullet"/>
      <w:lvlText w:val="–"/>
      <w:lvlJc w:val="left"/>
      <w:pPr>
        <w:tabs>
          <w:tab w:val="num" w:pos="567"/>
        </w:tabs>
        <w:ind w:left="567" w:hanging="283"/>
      </w:pPr>
      <w:rPr>
        <w:rFonts w:ascii="Georgia" w:hAnsi="Georgia" w:hint="default"/>
        <w:sz w:val="26"/>
      </w:rPr>
    </w:lvl>
    <w:lvl w:ilvl="2">
      <w:start w:val="1"/>
      <w:numFmt w:val="bullet"/>
      <w:lvlText w:val="–"/>
      <w:lvlJc w:val="left"/>
      <w:pPr>
        <w:tabs>
          <w:tab w:val="num" w:pos="851"/>
        </w:tabs>
        <w:ind w:left="851" w:hanging="284"/>
      </w:pPr>
      <w:rPr>
        <w:rFonts w:ascii="Georgia" w:hAnsi="Georgia" w:hint="default"/>
        <w:sz w:val="2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20"/>
  </w:num>
  <w:num w:numId="4">
    <w:abstractNumId w:val="18"/>
  </w:num>
  <w:num w:numId="5">
    <w:abstractNumId w:val="15"/>
  </w:num>
  <w:num w:numId="6">
    <w:abstractNumId w:val="13"/>
  </w:num>
  <w:num w:numId="7">
    <w:abstractNumId w:val="18"/>
  </w:num>
  <w:num w:numId="8">
    <w:abstractNumId w:val="12"/>
  </w:num>
  <w:num w:numId="9">
    <w:abstractNumId w:val="19"/>
  </w:num>
  <w:num w:numId="10">
    <w:abstractNumId w:val="0"/>
  </w:num>
  <w:num w:numId="11">
    <w:abstractNumId w:val="16"/>
  </w:num>
  <w:num w:numId="12">
    <w:abstractNumId w:val="18"/>
  </w:num>
  <w:num w:numId="13">
    <w:abstractNumId w:val="18"/>
  </w:num>
  <w:num w:numId="14">
    <w:abstractNumId w:val="14"/>
  </w:num>
  <w:num w:numId="15">
    <w:abstractNumId w:val="17"/>
  </w:num>
  <w:num w:numId="16">
    <w:abstractNumId w:val="20"/>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attachedTemplate r:id="rId1"/>
  <w:styleLockTheme/>
  <w:styleLockQFSet/>
  <w:defaultTabStop w:val="720"/>
  <w:hyphenationZone w:val="425"/>
  <w:doNotShadeFormData/>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4E7"/>
    <w:rsid w:val="00001E28"/>
    <w:rsid w:val="00007135"/>
    <w:rsid w:val="00020B73"/>
    <w:rsid w:val="000228E2"/>
    <w:rsid w:val="00024FA1"/>
    <w:rsid w:val="00041D51"/>
    <w:rsid w:val="00043D6E"/>
    <w:rsid w:val="000471E0"/>
    <w:rsid w:val="00050C97"/>
    <w:rsid w:val="0005440E"/>
    <w:rsid w:val="000552CE"/>
    <w:rsid w:val="00056B0F"/>
    <w:rsid w:val="00074BB7"/>
    <w:rsid w:val="00083118"/>
    <w:rsid w:val="0008692A"/>
    <w:rsid w:val="00091A13"/>
    <w:rsid w:val="0009319E"/>
    <w:rsid w:val="000A1F57"/>
    <w:rsid w:val="000A3D57"/>
    <w:rsid w:val="000A5A84"/>
    <w:rsid w:val="000B045C"/>
    <w:rsid w:val="000C1692"/>
    <w:rsid w:val="000C4DE6"/>
    <w:rsid w:val="000C643F"/>
    <w:rsid w:val="000D4AF3"/>
    <w:rsid w:val="000E41E9"/>
    <w:rsid w:val="000F12A9"/>
    <w:rsid w:val="00102314"/>
    <w:rsid w:val="00104EBF"/>
    <w:rsid w:val="001070A5"/>
    <w:rsid w:val="001079FA"/>
    <w:rsid w:val="001122B7"/>
    <w:rsid w:val="001174C3"/>
    <w:rsid w:val="0012413A"/>
    <w:rsid w:val="0014127F"/>
    <w:rsid w:val="00143477"/>
    <w:rsid w:val="001469C1"/>
    <w:rsid w:val="00152840"/>
    <w:rsid w:val="001540E7"/>
    <w:rsid w:val="00163309"/>
    <w:rsid w:val="00171BE5"/>
    <w:rsid w:val="00175A91"/>
    <w:rsid w:val="001853C3"/>
    <w:rsid w:val="00186842"/>
    <w:rsid w:val="0018775C"/>
    <w:rsid w:val="00195BB5"/>
    <w:rsid w:val="00195E5B"/>
    <w:rsid w:val="001A1DC8"/>
    <w:rsid w:val="001A5C77"/>
    <w:rsid w:val="001B0115"/>
    <w:rsid w:val="001B36C0"/>
    <w:rsid w:val="001D035C"/>
    <w:rsid w:val="001D7793"/>
    <w:rsid w:val="001D7DAE"/>
    <w:rsid w:val="001E0637"/>
    <w:rsid w:val="001E4B32"/>
    <w:rsid w:val="001E4CE0"/>
    <w:rsid w:val="001E5959"/>
    <w:rsid w:val="001E67CE"/>
    <w:rsid w:val="001F4A49"/>
    <w:rsid w:val="00202875"/>
    <w:rsid w:val="002047AE"/>
    <w:rsid w:val="00205601"/>
    <w:rsid w:val="002075EA"/>
    <w:rsid w:val="00207EC9"/>
    <w:rsid w:val="00212A6C"/>
    <w:rsid w:val="00222A74"/>
    <w:rsid w:val="0023128F"/>
    <w:rsid w:val="0023291A"/>
    <w:rsid w:val="00233491"/>
    <w:rsid w:val="00237DB3"/>
    <w:rsid w:val="00241463"/>
    <w:rsid w:val="00243887"/>
    <w:rsid w:val="002442B0"/>
    <w:rsid w:val="0025302C"/>
    <w:rsid w:val="0026153F"/>
    <w:rsid w:val="00262112"/>
    <w:rsid w:val="00267718"/>
    <w:rsid w:val="0027322B"/>
    <w:rsid w:val="002735ED"/>
    <w:rsid w:val="002752EA"/>
    <w:rsid w:val="00276127"/>
    <w:rsid w:val="002808CF"/>
    <w:rsid w:val="002810A0"/>
    <w:rsid w:val="0028112E"/>
    <w:rsid w:val="002908C3"/>
    <w:rsid w:val="00290B00"/>
    <w:rsid w:val="0029121E"/>
    <w:rsid w:val="002919C3"/>
    <w:rsid w:val="00293B3F"/>
    <w:rsid w:val="002975C4"/>
    <w:rsid w:val="002A0A52"/>
    <w:rsid w:val="002A172F"/>
    <w:rsid w:val="002B38F9"/>
    <w:rsid w:val="002B6018"/>
    <w:rsid w:val="002C1EB5"/>
    <w:rsid w:val="002C2AE7"/>
    <w:rsid w:val="002C2DB2"/>
    <w:rsid w:val="002D0DBB"/>
    <w:rsid w:val="002D4B9D"/>
    <w:rsid w:val="002D7F94"/>
    <w:rsid w:val="002E16BE"/>
    <w:rsid w:val="002E6F00"/>
    <w:rsid w:val="002F10AC"/>
    <w:rsid w:val="002F688D"/>
    <w:rsid w:val="00312B7A"/>
    <w:rsid w:val="003146DE"/>
    <w:rsid w:val="00331D30"/>
    <w:rsid w:val="00333D05"/>
    <w:rsid w:val="00333FF2"/>
    <w:rsid w:val="0033582C"/>
    <w:rsid w:val="0033667F"/>
    <w:rsid w:val="00337B08"/>
    <w:rsid w:val="00346DC4"/>
    <w:rsid w:val="00365FE4"/>
    <w:rsid w:val="00366DBF"/>
    <w:rsid w:val="00370820"/>
    <w:rsid w:val="00371005"/>
    <w:rsid w:val="003715C3"/>
    <w:rsid w:val="00374C63"/>
    <w:rsid w:val="00374CF4"/>
    <w:rsid w:val="0038299B"/>
    <w:rsid w:val="0039063C"/>
    <w:rsid w:val="0039154C"/>
    <w:rsid w:val="00396A31"/>
    <w:rsid w:val="003A1223"/>
    <w:rsid w:val="003A1373"/>
    <w:rsid w:val="003A31A1"/>
    <w:rsid w:val="003A78ED"/>
    <w:rsid w:val="003A7C7C"/>
    <w:rsid w:val="003B352A"/>
    <w:rsid w:val="003B5467"/>
    <w:rsid w:val="003B70DA"/>
    <w:rsid w:val="003B7167"/>
    <w:rsid w:val="003C08D2"/>
    <w:rsid w:val="003C514F"/>
    <w:rsid w:val="003C5417"/>
    <w:rsid w:val="003D29C6"/>
    <w:rsid w:val="003D50EB"/>
    <w:rsid w:val="003D717F"/>
    <w:rsid w:val="003E12E3"/>
    <w:rsid w:val="003E3E74"/>
    <w:rsid w:val="003E4457"/>
    <w:rsid w:val="003E48D2"/>
    <w:rsid w:val="003E5F8D"/>
    <w:rsid w:val="003E6436"/>
    <w:rsid w:val="003E6CDA"/>
    <w:rsid w:val="003E750C"/>
    <w:rsid w:val="0041113E"/>
    <w:rsid w:val="0041288B"/>
    <w:rsid w:val="00413D53"/>
    <w:rsid w:val="00415290"/>
    <w:rsid w:val="00423357"/>
    <w:rsid w:val="0043158B"/>
    <w:rsid w:val="00435420"/>
    <w:rsid w:val="00444156"/>
    <w:rsid w:val="00444FA5"/>
    <w:rsid w:val="00450DD5"/>
    <w:rsid w:val="00464A63"/>
    <w:rsid w:val="00467DA9"/>
    <w:rsid w:val="00467DAC"/>
    <w:rsid w:val="0047038B"/>
    <w:rsid w:val="00471EB5"/>
    <w:rsid w:val="00472CD3"/>
    <w:rsid w:val="00477B1D"/>
    <w:rsid w:val="00480D1E"/>
    <w:rsid w:val="00482F55"/>
    <w:rsid w:val="0048668A"/>
    <w:rsid w:val="004920DD"/>
    <w:rsid w:val="0049688D"/>
    <w:rsid w:val="00497B1B"/>
    <w:rsid w:val="004A0B27"/>
    <w:rsid w:val="004B1F21"/>
    <w:rsid w:val="004C3909"/>
    <w:rsid w:val="004C4591"/>
    <w:rsid w:val="004C45E5"/>
    <w:rsid w:val="004E0462"/>
    <w:rsid w:val="004E1533"/>
    <w:rsid w:val="004E5F02"/>
    <w:rsid w:val="004F0BAD"/>
    <w:rsid w:val="004F5223"/>
    <w:rsid w:val="004F6E65"/>
    <w:rsid w:val="004F74DF"/>
    <w:rsid w:val="00504542"/>
    <w:rsid w:val="00506982"/>
    <w:rsid w:val="0051664F"/>
    <w:rsid w:val="00516FC6"/>
    <w:rsid w:val="00516FE1"/>
    <w:rsid w:val="00517279"/>
    <w:rsid w:val="00517531"/>
    <w:rsid w:val="00520664"/>
    <w:rsid w:val="00522421"/>
    <w:rsid w:val="005302EC"/>
    <w:rsid w:val="00541766"/>
    <w:rsid w:val="00541B1B"/>
    <w:rsid w:val="00551B8D"/>
    <w:rsid w:val="00551C87"/>
    <w:rsid w:val="00552CB7"/>
    <w:rsid w:val="00554F19"/>
    <w:rsid w:val="00556B5A"/>
    <w:rsid w:val="00560F96"/>
    <w:rsid w:val="00561CA3"/>
    <w:rsid w:val="005745F5"/>
    <w:rsid w:val="005816FD"/>
    <w:rsid w:val="005844A9"/>
    <w:rsid w:val="005911DF"/>
    <w:rsid w:val="00593FB7"/>
    <w:rsid w:val="005A14A2"/>
    <w:rsid w:val="005A1AEA"/>
    <w:rsid w:val="005A7E36"/>
    <w:rsid w:val="005B0318"/>
    <w:rsid w:val="005B144C"/>
    <w:rsid w:val="005B4DC5"/>
    <w:rsid w:val="005B7161"/>
    <w:rsid w:val="005B77B8"/>
    <w:rsid w:val="005B7C3C"/>
    <w:rsid w:val="005C1119"/>
    <w:rsid w:val="005C376D"/>
    <w:rsid w:val="005D0702"/>
    <w:rsid w:val="005D0A5D"/>
    <w:rsid w:val="005E2166"/>
    <w:rsid w:val="005E2785"/>
    <w:rsid w:val="005E795C"/>
    <w:rsid w:val="005F19C5"/>
    <w:rsid w:val="005F23DC"/>
    <w:rsid w:val="005F2544"/>
    <w:rsid w:val="005F2CBE"/>
    <w:rsid w:val="005F4669"/>
    <w:rsid w:val="005F4BB2"/>
    <w:rsid w:val="005F58F2"/>
    <w:rsid w:val="005F618C"/>
    <w:rsid w:val="00600EFC"/>
    <w:rsid w:val="006068F7"/>
    <w:rsid w:val="00611B1F"/>
    <w:rsid w:val="00627D13"/>
    <w:rsid w:val="00631ACD"/>
    <w:rsid w:val="0064512A"/>
    <w:rsid w:val="00651887"/>
    <w:rsid w:val="0065267B"/>
    <w:rsid w:val="0065610A"/>
    <w:rsid w:val="006669DB"/>
    <w:rsid w:val="00667962"/>
    <w:rsid w:val="0067671F"/>
    <w:rsid w:val="00676F54"/>
    <w:rsid w:val="00684BFB"/>
    <w:rsid w:val="006856B0"/>
    <w:rsid w:val="00685F68"/>
    <w:rsid w:val="00687604"/>
    <w:rsid w:val="00687C34"/>
    <w:rsid w:val="00687E66"/>
    <w:rsid w:val="006961D4"/>
    <w:rsid w:val="006A35AA"/>
    <w:rsid w:val="006A385D"/>
    <w:rsid w:val="006A5595"/>
    <w:rsid w:val="006A6973"/>
    <w:rsid w:val="006A7E5C"/>
    <w:rsid w:val="006B29BE"/>
    <w:rsid w:val="006B69DF"/>
    <w:rsid w:val="006C3DE5"/>
    <w:rsid w:val="006C3FEC"/>
    <w:rsid w:val="006C6AF7"/>
    <w:rsid w:val="006C7C34"/>
    <w:rsid w:val="006D0F3B"/>
    <w:rsid w:val="006D168F"/>
    <w:rsid w:val="006D6143"/>
    <w:rsid w:val="006E2007"/>
    <w:rsid w:val="006E47DD"/>
    <w:rsid w:val="006F0FA5"/>
    <w:rsid w:val="006F383E"/>
    <w:rsid w:val="006F4AE8"/>
    <w:rsid w:val="006F7446"/>
    <w:rsid w:val="00704D0D"/>
    <w:rsid w:val="00706917"/>
    <w:rsid w:val="007103CB"/>
    <w:rsid w:val="00710AB3"/>
    <w:rsid w:val="00717CF5"/>
    <w:rsid w:val="007212D9"/>
    <w:rsid w:val="007213A2"/>
    <w:rsid w:val="00731BC7"/>
    <w:rsid w:val="007341E6"/>
    <w:rsid w:val="00735AD1"/>
    <w:rsid w:val="00736F4C"/>
    <w:rsid w:val="007504E7"/>
    <w:rsid w:val="0075218E"/>
    <w:rsid w:val="00753A14"/>
    <w:rsid w:val="00753EB0"/>
    <w:rsid w:val="00753EB4"/>
    <w:rsid w:val="00756651"/>
    <w:rsid w:val="007703D9"/>
    <w:rsid w:val="00770B0C"/>
    <w:rsid w:val="00775EB8"/>
    <w:rsid w:val="00776BD6"/>
    <w:rsid w:val="0078412F"/>
    <w:rsid w:val="00784367"/>
    <w:rsid w:val="00784D4B"/>
    <w:rsid w:val="00791153"/>
    <w:rsid w:val="007939F7"/>
    <w:rsid w:val="00797269"/>
    <w:rsid w:val="007A0F8F"/>
    <w:rsid w:val="007A45C4"/>
    <w:rsid w:val="007A4B1D"/>
    <w:rsid w:val="007A5D8A"/>
    <w:rsid w:val="007A6F98"/>
    <w:rsid w:val="007B1F17"/>
    <w:rsid w:val="007B513A"/>
    <w:rsid w:val="007D58B1"/>
    <w:rsid w:val="007D6789"/>
    <w:rsid w:val="007E0540"/>
    <w:rsid w:val="007E1143"/>
    <w:rsid w:val="007F5176"/>
    <w:rsid w:val="00806B77"/>
    <w:rsid w:val="008110AF"/>
    <w:rsid w:val="008151B8"/>
    <w:rsid w:val="00815A79"/>
    <w:rsid w:val="0081632D"/>
    <w:rsid w:val="008174EB"/>
    <w:rsid w:val="00825BC5"/>
    <w:rsid w:val="00826627"/>
    <w:rsid w:val="00830FDE"/>
    <w:rsid w:val="008334E0"/>
    <w:rsid w:val="008369C2"/>
    <w:rsid w:val="008379B0"/>
    <w:rsid w:val="00842A18"/>
    <w:rsid w:val="008455B3"/>
    <w:rsid w:val="00847491"/>
    <w:rsid w:val="008474D0"/>
    <w:rsid w:val="00847900"/>
    <w:rsid w:val="008521DF"/>
    <w:rsid w:val="00864407"/>
    <w:rsid w:val="008663D8"/>
    <w:rsid w:val="00870CB2"/>
    <w:rsid w:val="00875829"/>
    <w:rsid w:val="00880463"/>
    <w:rsid w:val="00881163"/>
    <w:rsid w:val="00886391"/>
    <w:rsid w:val="008907B3"/>
    <w:rsid w:val="00891B14"/>
    <w:rsid w:val="008953D6"/>
    <w:rsid w:val="00897EE5"/>
    <w:rsid w:val="008A24AE"/>
    <w:rsid w:val="008A6379"/>
    <w:rsid w:val="008A7D53"/>
    <w:rsid w:val="008B0809"/>
    <w:rsid w:val="008B2158"/>
    <w:rsid w:val="008B337E"/>
    <w:rsid w:val="008C2989"/>
    <w:rsid w:val="008D2694"/>
    <w:rsid w:val="008E0E50"/>
    <w:rsid w:val="008F39BD"/>
    <w:rsid w:val="009003F2"/>
    <w:rsid w:val="00901746"/>
    <w:rsid w:val="00901EE3"/>
    <w:rsid w:val="00905643"/>
    <w:rsid w:val="0090732F"/>
    <w:rsid w:val="009107F4"/>
    <w:rsid w:val="009144E0"/>
    <w:rsid w:val="00914551"/>
    <w:rsid w:val="00915B31"/>
    <w:rsid w:val="0091768C"/>
    <w:rsid w:val="009212CD"/>
    <w:rsid w:val="009234B3"/>
    <w:rsid w:val="00927963"/>
    <w:rsid w:val="00933607"/>
    <w:rsid w:val="00943638"/>
    <w:rsid w:val="0094683D"/>
    <w:rsid w:val="00954231"/>
    <w:rsid w:val="00956E93"/>
    <w:rsid w:val="00961698"/>
    <w:rsid w:val="00967B72"/>
    <w:rsid w:val="00967F64"/>
    <w:rsid w:val="00972618"/>
    <w:rsid w:val="009800D2"/>
    <w:rsid w:val="00982088"/>
    <w:rsid w:val="00982121"/>
    <w:rsid w:val="00985B97"/>
    <w:rsid w:val="00996FEA"/>
    <w:rsid w:val="009A1DE3"/>
    <w:rsid w:val="009A2470"/>
    <w:rsid w:val="009A517C"/>
    <w:rsid w:val="009A71B6"/>
    <w:rsid w:val="009B2D5B"/>
    <w:rsid w:val="009B53FB"/>
    <w:rsid w:val="009B5CD2"/>
    <w:rsid w:val="009C29CA"/>
    <w:rsid w:val="009C2ACB"/>
    <w:rsid w:val="009C2FA4"/>
    <w:rsid w:val="009D5F04"/>
    <w:rsid w:val="009E171B"/>
    <w:rsid w:val="009E4AA8"/>
    <w:rsid w:val="009F163F"/>
    <w:rsid w:val="009F59CE"/>
    <w:rsid w:val="009F7038"/>
    <w:rsid w:val="009F751D"/>
    <w:rsid w:val="00A01BE9"/>
    <w:rsid w:val="00A02874"/>
    <w:rsid w:val="00A03CE1"/>
    <w:rsid w:val="00A059B9"/>
    <w:rsid w:val="00A07D9B"/>
    <w:rsid w:val="00A10F3B"/>
    <w:rsid w:val="00A11810"/>
    <w:rsid w:val="00A1219D"/>
    <w:rsid w:val="00A12EDF"/>
    <w:rsid w:val="00A164C2"/>
    <w:rsid w:val="00A208E0"/>
    <w:rsid w:val="00A3131C"/>
    <w:rsid w:val="00A33B65"/>
    <w:rsid w:val="00A34975"/>
    <w:rsid w:val="00A34D36"/>
    <w:rsid w:val="00A35A96"/>
    <w:rsid w:val="00A4414F"/>
    <w:rsid w:val="00A45321"/>
    <w:rsid w:val="00A5000B"/>
    <w:rsid w:val="00A52D42"/>
    <w:rsid w:val="00A56024"/>
    <w:rsid w:val="00A56815"/>
    <w:rsid w:val="00A60097"/>
    <w:rsid w:val="00A618E2"/>
    <w:rsid w:val="00A64E0B"/>
    <w:rsid w:val="00A6788C"/>
    <w:rsid w:val="00A70C8F"/>
    <w:rsid w:val="00A74D7A"/>
    <w:rsid w:val="00A819E1"/>
    <w:rsid w:val="00A8217C"/>
    <w:rsid w:val="00A857B6"/>
    <w:rsid w:val="00A87047"/>
    <w:rsid w:val="00AA1EC8"/>
    <w:rsid w:val="00AA7802"/>
    <w:rsid w:val="00AB34C7"/>
    <w:rsid w:val="00AB36EC"/>
    <w:rsid w:val="00AB5A66"/>
    <w:rsid w:val="00AC4308"/>
    <w:rsid w:val="00AD1A81"/>
    <w:rsid w:val="00AD3096"/>
    <w:rsid w:val="00AD385D"/>
    <w:rsid w:val="00AD5359"/>
    <w:rsid w:val="00AD5DDE"/>
    <w:rsid w:val="00AD5EEA"/>
    <w:rsid w:val="00AE1EE7"/>
    <w:rsid w:val="00AE32A2"/>
    <w:rsid w:val="00AE5E82"/>
    <w:rsid w:val="00AE7596"/>
    <w:rsid w:val="00AF618D"/>
    <w:rsid w:val="00B02795"/>
    <w:rsid w:val="00B0447E"/>
    <w:rsid w:val="00B05E79"/>
    <w:rsid w:val="00B06C92"/>
    <w:rsid w:val="00B07464"/>
    <w:rsid w:val="00B0775A"/>
    <w:rsid w:val="00B11339"/>
    <w:rsid w:val="00B17362"/>
    <w:rsid w:val="00B179F3"/>
    <w:rsid w:val="00B33AA1"/>
    <w:rsid w:val="00B356D7"/>
    <w:rsid w:val="00B411BC"/>
    <w:rsid w:val="00B4313F"/>
    <w:rsid w:val="00B50A65"/>
    <w:rsid w:val="00B52717"/>
    <w:rsid w:val="00B53110"/>
    <w:rsid w:val="00B63DE6"/>
    <w:rsid w:val="00B670E8"/>
    <w:rsid w:val="00B67C03"/>
    <w:rsid w:val="00B74213"/>
    <w:rsid w:val="00B74646"/>
    <w:rsid w:val="00B770CC"/>
    <w:rsid w:val="00B8113C"/>
    <w:rsid w:val="00B86728"/>
    <w:rsid w:val="00B87FD8"/>
    <w:rsid w:val="00B91117"/>
    <w:rsid w:val="00B91A3E"/>
    <w:rsid w:val="00BA2ACD"/>
    <w:rsid w:val="00BB1FCD"/>
    <w:rsid w:val="00BB723B"/>
    <w:rsid w:val="00BC6C34"/>
    <w:rsid w:val="00BC6DE3"/>
    <w:rsid w:val="00BD0A8E"/>
    <w:rsid w:val="00BD1452"/>
    <w:rsid w:val="00BD1F81"/>
    <w:rsid w:val="00BE3975"/>
    <w:rsid w:val="00BE4154"/>
    <w:rsid w:val="00BE7844"/>
    <w:rsid w:val="00BF6798"/>
    <w:rsid w:val="00BF6FBF"/>
    <w:rsid w:val="00BF7B35"/>
    <w:rsid w:val="00C055A4"/>
    <w:rsid w:val="00C06FDF"/>
    <w:rsid w:val="00C07E5C"/>
    <w:rsid w:val="00C15300"/>
    <w:rsid w:val="00C15522"/>
    <w:rsid w:val="00C16E83"/>
    <w:rsid w:val="00C17D7E"/>
    <w:rsid w:val="00C20B22"/>
    <w:rsid w:val="00C20EE2"/>
    <w:rsid w:val="00C219F1"/>
    <w:rsid w:val="00C315C3"/>
    <w:rsid w:val="00C357FF"/>
    <w:rsid w:val="00C50694"/>
    <w:rsid w:val="00C55E44"/>
    <w:rsid w:val="00C57CFC"/>
    <w:rsid w:val="00C6214E"/>
    <w:rsid w:val="00C6292E"/>
    <w:rsid w:val="00C6296B"/>
    <w:rsid w:val="00C62A67"/>
    <w:rsid w:val="00C635F5"/>
    <w:rsid w:val="00C728CB"/>
    <w:rsid w:val="00C755D9"/>
    <w:rsid w:val="00C81487"/>
    <w:rsid w:val="00C82629"/>
    <w:rsid w:val="00C93072"/>
    <w:rsid w:val="00CA36D6"/>
    <w:rsid w:val="00CA4057"/>
    <w:rsid w:val="00CA64ED"/>
    <w:rsid w:val="00CB0FBD"/>
    <w:rsid w:val="00CB3A9F"/>
    <w:rsid w:val="00CB55EE"/>
    <w:rsid w:val="00CC2170"/>
    <w:rsid w:val="00CC2E1C"/>
    <w:rsid w:val="00CD3161"/>
    <w:rsid w:val="00CE1BD1"/>
    <w:rsid w:val="00CE4DD7"/>
    <w:rsid w:val="00CE6A29"/>
    <w:rsid w:val="00CE7654"/>
    <w:rsid w:val="00CF03DD"/>
    <w:rsid w:val="00CF12D7"/>
    <w:rsid w:val="00CF6131"/>
    <w:rsid w:val="00D029A9"/>
    <w:rsid w:val="00D05153"/>
    <w:rsid w:val="00D06923"/>
    <w:rsid w:val="00D0792D"/>
    <w:rsid w:val="00D22D12"/>
    <w:rsid w:val="00D24291"/>
    <w:rsid w:val="00D36B65"/>
    <w:rsid w:val="00D375F2"/>
    <w:rsid w:val="00D4433D"/>
    <w:rsid w:val="00D46DA3"/>
    <w:rsid w:val="00D67528"/>
    <w:rsid w:val="00D720E5"/>
    <w:rsid w:val="00D72FAE"/>
    <w:rsid w:val="00D850D5"/>
    <w:rsid w:val="00D92584"/>
    <w:rsid w:val="00D92E97"/>
    <w:rsid w:val="00D9386E"/>
    <w:rsid w:val="00DA0ADF"/>
    <w:rsid w:val="00DB1471"/>
    <w:rsid w:val="00DB3D14"/>
    <w:rsid w:val="00DC4070"/>
    <w:rsid w:val="00DC4510"/>
    <w:rsid w:val="00DD1B61"/>
    <w:rsid w:val="00DD5853"/>
    <w:rsid w:val="00DD7A31"/>
    <w:rsid w:val="00DF01A4"/>
    <w:rsid w:val="00DF1BFB"/>
    <w:rsid w:val="00E019E2"/>
    <w:rsid w:val="00E05DAA"/>
    <w:rsid w:val="00E07FAD"/>
    <w:rsid w:val="00E13B14"/>
    <w:rsid w:val="00E145BC"/>
    <w:rsid w:val="00E17C6E"/>
    <w:rsid w:val="00E20D98"/>
    <w:rsid w:val="00E26664"/>
    <w:rsid w:val="00E33163"/>
    <w:rsid w:val="00E33E58"/>
    <w:rsid w:val="00E41273"/>
    <w:rsid w:val="00E51D10"/>
    <w:rsid w:val="00E51E9F"/>
    <w:rsid w:val="00E52AF8"/>
    <w:rsid w:val="00E54636"/>
    <w:rsid w:val="00E64E6F"/>
    <w:rsid w:val="00E748ED"/>
    <w:rsid w:val="00E76365"/>
    <w:rsid w:val="00E76A70"/>
    <w:rsid w:val="00E87354"/>
    <w:rsid w:val="00E920AE"/>
    <w:rsid w:val="00E9305A"/>
    <w:rsid w:val="00E957D8"/>
    <w:rsid w:val="00E968F5"/>
    <w:rsid w:val="00E96AFF"/>
    <w:rsid w:val="00E973EC"/>
    <w:rsid w:val="00E97B39"/>
    <w:rsid w:val="00EA572C"/>
    <w:rsid w:val="00EA6DE7"/>
    <w:rsid w:val="00EA735D"/>
    <w:rsid w:val="00EA7530"/>
    <w:rsid w:val="00EB258B"/>
    <w:rsid w:val="00EB2B90"/>
    <w:rsid w:val="00EB35A7"/>
    <w:rsid w:val="00EB790E"/>
    <w:rsid w:val="00EC52AE"/>
    <w:rsid w:val="00ED1F3E"/>
    <w:rsid w:val="00ED5186"/>
    <w:rsid w:val="00ED6153"/>
    <w:rsid w:val="00ED7A2E"/>
    <w:rsid w:val="00ED7EA3"/>
    <w:rsid w:val="00EE1FB0"/>
    <w:rsid w:val="00EF3F04"/>
    <w:rsid w:val="00EF5AC5"/>
    <w:rsid w:val="00F022F8"/>
    <w:rsid w:val="00F03C5E"/>
    <w:rsid w:val="00F10AC5"/>
    <w:rsid w:val="00F10C8F"/>
    <w:rsid w:val="00F156E5"/>
    <w:rsid w:val="00F15E0F"/>
    <w:rsid w:val="00F176CA"/>
    <w:rsid w:val="00F1797E"/>
    <w:rsid w:val="00F20C83"/>
    <w:rsid w:val="00F2234F"/>
    <w:rsid w:val="00F23029"/>
    <w:rsid w:val="00F249C8"/>
    <w:rsid w:val="00F25DAE"/>
    <w:rsid w:val="00F37DEA"/>
    <w:rsid w:val="00F55CE4"/>
    <w:rsid w:val="00F5616B"/>
    <w:rsid w:val="00F62B92"/>
    <w:rsid w:val="00F654BB"/>
    <w:rsid w:val="00F73607"/>
    <w:rsid w:val="00F8288D"/>
    <w:rsid w:val="00F85395"/>
    <w:rsid w:val="00F921FD"/>
    <w:rsid w:val="00F92A5D"/>
    <w:rsid w:val="00F93E62"/>
    <w:rsid w:val="00F94B5C"/>
    <w:rsid w:val="00FA01E1"/>
    <w:rsid w:val="00FA04A0"/>
    <w:rsid w:val="00FA0784"/>
    <w:rsid w:val="00FA583D"/>
    <w:rsid w:val="00FB1D19"/>
    <w:rsid w:val="00FB514E"/>
    <w:rsid w:val="00FB52BC"/>
    <w:rsid w:val="00FC1DE3"/>
    <w:rsid w:val="00FC353A"/>
    <w:rsid w:val="00FC3DB9"/>
    <w:rsid w:val="00FC5D49"/>
    <w:rsid w:val="00FC660D"/>
    <w:rsid w:val="00FD0C99"/>
    <w:rsid w:val="00FD22BE"/>
    <w:rsid w:val="00FD33DA"/>
    <w:rsid w:val="00FD4645"/>
    <w:rsid w:val="00FD65B7"/>
    <w:rsid w:val="00FE373C"/>
    <w:rsid w:val="00FF0640"/>
    <w:rsid w:val="00FF33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7972E97"/>
  <w15:docId w15:val="{BCCAB2DD-D1F1-B942-BD7B-E19E6C3CD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mnesty Trade Gothic Light" w:eastAsiaTheme="minorEastAsia" w:hAnsi="Amnesty Trade Gothic Light" w:cs="Arial"/>
        <w:color w:val="000000" w:themeColor="text1"/>
        <w:lang w:val="es-ES" w:eastAsia="en-US" w:bidi="ar-SA"/>
      </w:rPr>
    </w:rPrDefault>
    <w:pPrDefault/>
  </w:docDefaults>
  <w:latentStyles w:defLockedState="1" w:defUIPriority="99" w:defSemiHidden="0" w:defUnhideWhenUsed="0" w:defQFormat="0" w:count="376">
    <w:lsdException w:name="Normal" w:locked="0" w:uiPriority="0" w:qFormat="1"/>
    <w:lsdException w:name="heading 1" w:uiPriority="0"/>
    <w:lsdException w:name="heading 2" w:semiHidden="1" w:uiPriority="9"/>
    <w:lsdException w:name="heading 3" w:semiHidden="1" w:uiPriority="0"/>
    <w:lsdException w:name="heading 4" w:semiHidden="1" w:uiPriority="9"/>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98"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ubtitle" w:semiHidden="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Bibliography" w:semiHidden="1" w:unhideWhenUsed="1"/>
    <w:lsdException w:name="TOC Heading" w:semiHidden="1" w:uiPriority="98"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99"/>
    <w:semiHidden/>
    <w:qFormat/>
    <w:rsid w:val="00F10C8F"/>
    <w:rPr>
      <w:rFonts w:ascii="Amnesty Trade Gothic Light Obl" w:hAnsi="Amnesty Trade Gothic Light Obl"/>
      <w:sz w:val="14"/>
    </w:rPr>
  </w:style>
  <w:style w:type="paragraph" w:styleId="Heading1">
    <w:name w:val="heading 1"/>
    <w:basedOn w:val="Normal"/>
    <w:next w:val="Normal"/>
    <w:link w:val="Heading1Char"/>
    <w:uiPriority w:val="89"/>
    <w:semiHidden/>
    <w:locked/>
    <w:rsid w:val="002F688D"/>
    <w:pPr>
      <w:keepNext/>
      <w:numPr>
        <w:numId w:val="2"/>
      </w:numPr>
      <w:spacing w:line="560" w:lineRule="atLeast"/>
      <w:outlineLvl w:val="0"/>
    </w:pPr>
    <w:rPr>
      <w:rFonts w:ascii="Amnesty Trade Gothic Cn" w:eastAsia="SimSun" w:hAnsi="Amnesty Trade Gothic Cn" w:cs="Times New Roman"/>
      <w:b/>
      <w:caps/>
      <w:color w:val="auto"/>
      <w:kern w:val="1"/>
      <w:sz w:val="56"/>
      <w:szCs w:val="32"/>
      <w:lang w:eastAsia="zh-CN"/>
    </w:rPr>
  </w:style>
  <w:style w:type="paragraph" w:styleId="Heading2">
    <w:name w:val="heading 2"/>
    <w:basedOn w:val="Normal"/>
    <w:next w:val="Normal"/>
    <w:link w:val="Heading2Char"/>
    <w:uiPriority w:val="89"/>
    <w:semiHidden/>
    <w:locked/>
    <w:rsid w:val="002F688D"/>
    <w:pPr>
      <w:keepNext/>
      <w:numPr>
        <w:ilvl w:val="1"/>
        <w:numId w:val="2"/>
      </w:numPr>
      <w:outlineLvl w:val="1"/>
    </w:pPr>
    <w:rPr>
      <w:rFonts w:ascii="Amnesty Trade Gothic Cn" w:eastAsia="SimSun" w:hAnsi="Amnesty Trade Gothic Cn" w:cs="Times New Roman"/>
      <w:caps/>
      <w:color w:val="auto"/>
      <w:sz w:val="26"/>
      <w:szCs w:val="28"/>
      <w:lang w:eastAsia="zh-CN"/>
    </w:rPr>
  </w:style>
  <w:style w:type="paragraph" w:styleId="Heading3">
    <w:name w:val="heading 3"/>
    <w:basedOn w:val="Normal"/>
    <w:next w:val="Normal"/>
    <w:link w:val="Heading3Char"/>
    <w:uiPriority w:val="89"/>
    <w:semiHidden/>
    <w:locked/>
    <w:rsid w:val="002F688D"/>
    <w:pPr>
      <w:keepNext/>
      <w:numPr>
        <w:ilvl w:val="2"/>
        <w:numId w:val="2"/>
      </w:numPr>
      <w:outlineLvl w:val="2"/>
    </w:pPr>
    <w:rPr>
      <w:rFonts w:ascii="Amnesty Trade Gothic Cn" w:eastAsia="SimSun" w:hAnsi="Amnesty Trade Gothic Cn" w:cs="Times New Roman"/>
      <w:caps/>
      <w:color w:val="auto"/>
      <w:szCs w:val="26"/>
      <w:lang w:eastAsia="zh-CN"/>
    </w:rPr>
  </w:style>
  <w:style w:type="paragraph" w:styleId="Heading4">
    <w:name w:val="heading 4"/>
    <w:basedOn w:val="Normal"/>
    <w:next w:val="Normal"/>
    <w:link w:val="Heading4Char"/>
    <w:uiPriority w:val="89"/>
    <w:semiHidden/>
    <w:locked/>
    <w:rsid w:val="002F688D"/>
    <w:pPr>
      <w:numPr>
        <w:ilvl w:val="3"/>
        <w:numId w:val="2"/>
      </w:numPr>
      <w:outlineLvl w:val="3"/>
    </w:pPr>
    <w:rPr>
      <w:rFonts w:ascii="Verdana" w:eastAsia="SimSun" w:hAnsi="Verdana" w:cs="Times New Roman"/>
      <w:color w:val="auto"/>
      <w:szCs w:val="24"/>
      <w:lang w:eastAsia="zh-CN"/>
    </w:rPr>
  </w:style>
  <w:style w:type="paragraph" w:styleId="Heading5">
    <w:name w:val="heading 5"/>
    <w:basedOn w:val="Heading4"/>
    <w:next w:val="Normal"/>
    <w:link w:val="Heading5Char"/>
    <w:uiPriority w:val="89"/>
    <w:semiHidden/>
    <w:locked/>
    <w:rsid w:val="002F688D"/>
    <w:pPr>
      <w:numPr>
        <w:ilvl w:val="4"/>
      </w:numPr>
      <w:outlineLvl w:val="4"/>
    </w:pPr>
  </w:style>
  <w:style w:type="paragraph" w:styleId="Heading6">
    <w:name w:val="heading 6"/>
    <w:basedOn w:val="Heading5"/>
    <w:next w:val="Normal"/>
    <w:link w:val="Heading6Char"/>
    <w:uiPriority w:val="89"/>
    <w:semiHidden/>
    <w:locked/>
    <w:rsid w:val="002F688D"/>
    <w:pPr>
      <w:numPr>
        <w:ilvl w:val="5"/>
      </w:numPr>
      <w:outlineLvl w:val="5"/>
    </w:pPr>
  </w:style>
  <w:style w:type="paragraph" w:styleId="Heading7">
    <w:name w:val="heading 7"/>
    <w:basedOn w:val="Heading6"/>
    <w:next w:val="Normal"/>
    <w:link w:val="Heading7Char"/>
    <w:uiPriority w:val="89"/>
    <w:semiHidden/>
    <w:locked/>
    <w:rsid w:val="002F688D"/>
    <w:pPr>
      <w:numPr>
        <w:ilvl w:val="6"/>
      </w:numPr>
      <w:outlineLvl w:val="6"/>
    </w:pPr>
  </w:style>
  <w:style w:type="paragraph" w:styleId="Heading8">
    <w:name w:val="heading 8"/>
    <w:basedOn w:val="Heading7"/>
    <w:next w:val="Normal"/>
    <w:link w:val="Heading8Char"/>
    <w:uiPriority w:val="89"/>
    <w:semiHidden/>
    <w:locked/>
    <w:rsid w:val="002F688D"/>
    <w:pPr>
      <w:numPr>
        <w:ilvl w:val="7"/>
      </w:numPr>
      <w:outlineLvl w:val="7"/>
    </w:pPr>
  </w:style>
  <w:style w:type="paragraph" w:styleId="Heading9">
    <w:name w:val="heading 9"/>
    <w:basedOn w:val="Heading8"/>
    <w:next w:val="Normal"/>
    <w:link w:val="Heading9Char"/>
    <w:uiPriority w:val="89"/>
    <w:semiHidden/>
    <w:locked/>
    <w:rsid w:val="002F688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list">
    <w:name w:val="Bullet list"/>
    <w:uiPriority w:val="99"/>
    <w:locked/>
    <w:rsid w:val="009B2D5B"/>
    <w:pPr>
      <w:numPr>
        <w:numId w:val="1"/>
      </w:numPr>
    </w:pPr>
  </w:style>
  <w:style w:type="paragraph" w:styleId="FootnoteText">
    <w:name w:val="footnote text"/>
    <w:basedOn w:val="Normal"/>
    <w:link w:val="FootnoteTextChar"/>
    <w:uiPriority w:val="99"/>
    <w:semiHidden/>
    <w:locked/>
    <w:rsid w:val="00967F64"/>
    <w:rPr>
      <w:rFonts w:ascii="Amnesty Trade Gothic Light" w:hAnsi="Amnesty Trade Gothic Light"/>
      <w:szCs w:val="24"/>
    </w:rPr>
  </w:style>
  <w:style w:type="paragraph" w:styleId="Header">
    <w:name w:val="header"/>
    <w:basedOn w:val="Normal"/>
    <w:link w:val="HeaderChar"/>
    <w:uiPriority w:val="99"/>
    <w:semiHidden/>
    <w:locked/>
    <w:rsid w:val="00AE5E82"/>
    <w:pPr>
      <w:tabs>
        <w:tab w:val="center" w:pos="4320"/>
        <w:tab w:val="right" w:pos="8640"/>
      </w:tabs>
    </w:pPr>
  </w:style>
  <w:style w:type="character" w:customStyle="1" w:styleId="HeaderChar">
    <w:name w:val="Header Char"/>
    <w:basedOn w:val="DefaultParagraphFont"/>
    <w:link w:val="Header"/>
    <w:uiPriority w:val="99"/>
    <w:semiHidden/>
    <w:rsid w:val="006B29BE"/>
    <w:rPr>
      <w:rFonts w:ascii="Amnesty Trade Gothic Light Obl" w:hAnsi="Amnesty Trade Gothic Light Obl"/>
      <w:sz w:val="14"/>
    </w:rPr>
  </w:style>
  <w:style w:type="paragraph" w:styleId="Footer">
    <w:name w:val="footer"/>
    <w:basedOn w:val="Normal"/>
    <w:link w:val="FooterChar"/>
    <w:uiPriority w:val="99"/>
    <w:semiHidden/>
    <w:locked/>
    <w:rsid w:val="00826627"/>
    <w:pPr>
      <w:tabs>
        <w:tab w:val="right" w:pos="8278"/>
      </w:tabs>
      <w:spacing w:line="150" w:lineRule="exact"/>
    </w:pPr>
    <w:rPr>
      <w:caps/>
      <w:sz w:val="15"/>
      <w:szCs w:val="15"/>
    </w:rPr>
  </w:style>
  <w:style w:type="character" w:customStyle="1" w:styleId="FooterChar">
    <w:name w:val="Footer Char"/>
    <w:basedOn w:val="DefaultParagraphFont"/>
    <w:link w:val="Footer"/>
    <w:uiPriority w:val="99"/>
    <w:semiHidden/>
    <w:rsid w:val="00AE32A2"/>
    <w:rPr>
      <w:rFonts w:ascii="Amnesty Trade Gothic Light Obl" w:hAnsi="Amnesty Trade Gothic Light Obl"/>
      <w:caps/>
      <w:sz w:val="15"/>
      <w:szCs w:val="15"/>
    </w:rPr>
  </w:style>
  <w:style w:type="paragraph" w:customStyle="1" w:styleId="RTBodyText">
    <w:name w:val="RT Body Text"/>
    <w:basedOn w:val="Normal"/>
    <w:uiPriority w:val="9"/>
    <w:qFormat/>
    <w:rsid w:val="00E20D98"/>
    <w:pPr>
      <w:suppressAutoHyphens/>
      <w:spacing w:after="120"/>
    </w:pPr>
    <w:rPr>
      <w:rFonts w:asciiTheme="minorHAnsi" w:hAnsiTheme="minorHAnsi"/>
      <w:sz w:val="18"/>
      <w:szCs w:val="24"/>
    </w:rPr>
  </w:style>
  <w:style w:type="table" w:styleId="TableGrid">
    <w:name w:val="Table Grid"/>
    <w:basedOn w:val="TableNormal"/>
    <w:uiPriority w:val="59"/>
    <w:locked/>
    <w:rsid w:val="00A4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NumberedList">
    <w:name w:val="RT Numbered List"/>
    <w:uiPriority w:val="99"/>
    <w:rsid w:val="00DB3D14"/>
    <w:pPr>
      <w:numPr>
        <w:numId w:val="3"/>
      </w:numPr>
    </w:pPr>
  </w:style>
  <w:style w:type="paragraph" w:customStyle="1" w:styleId="BasicParagraph">
    <w:name w:val="[Basic Paragraph]"/>
    <w:basedOn w:val="Normal"/>
    <w:uiPriority w:val="99"/>
    <w:semiHidden/>
    <w:rsid w:val="00152840"/>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Heading1Char">
    <w:name w:val="Heading 1 Char"/>
    <w:basedOn w:val="DefaultParagraphFont"/>
    <w:link w:val="Heading1"/>
    <w:uiPriority w:val="89"/>
    <w:semiHidden/>
    <w:rsid w:val="006B29BE"/>
    <w:rPr>
      <w:rFonts w:ascii="Amnesty Trade Gothic Cn" w:eastAsia="SimSun" w:hAnsi="Amnesty Trade Gothic Cn" w:cs="Times New Roman"/>
      <w:b/>
      <w:caps/>
      <w:color w:val="auto"/>
      <w:kern w:val="1"/>
      <w:sz w:val="56"/>
      <w:szCs w:val="32"/>
      <w:lang w:val="es-ES" w:eastAsia="zh-CN"/>
    </w:rPr>
  </w:style>
  <w:style w:type="character" w:customStyle="1" w:styleId="Heading2Char">
    <w:name w:val="Heading 2 Char"/>
    <w:basedOn w:val="DefaultParagraphFont"/>
    <w:link w:val="Heading2"/>
    <w:uiPriority w:val="89"/>
    <w:semiHidden/>
    <w:rsid w:val="0090732F"/>
    <w:rPr>
      <w:rFonts w:ascii="Amnesty Trade Gothic Cn" w:eastAsia="SimSun" w:hAnsi="Amnesty Trade Gothic Cn" w:cs="Times New Roman"/>
      <w:caps/>
      <w:color w:val="auto"/>
      <w:sz w:val="26"/>
      <w:szCs w:val="28"/>
      <w:lang w:val="es-ES" w:eastAsia="zh-CN"/>
    </w:rPr>
  </w:style>
  <w:style w:type="character" w:customStyle="1" w:styleId="Heading3Char">
    <w:name w:val="Heading 3 Char"/>
    <w:basedOn w:val="DefaultParagraphFont"/>
    <w:link w:val="Heading3"/>
    <w:uiPriority w:val="89"/>
    <w:semiHidden/>
    <w:rsid w:val="006B29BE"/>
    <w:rPr>
      <w:rFonts w:ascii="Amnesty Trade Gothic Cn" w:eastAsia="SimSun" w:hAnsi="Amnesty Trade Gothic Cn" w:cs="Times New Roman"/>
      <w:caps/>
      <w:color w:val="auto"/>
      <w:sz w:val="14"/>
      <w:szCs w:val="26"/>
      <w:lang w:val="es-ES" w:eastAsia="zh-CN"/>
    </w:rPr>
  </w:style>
  <w:style w:type="character" w:customStyle="1" w:styleId="Heading4Char">
    <w:name w:val="Heading 4 Char"/>
    <w:basedOn w:val="DefaultParagraphFont"/>
    <w:link w:val="Heading4"/>
    <w:uiPriority w:val="89"/>
    <w:semiHidden/>
    <w:rsid w:val="0090732F"/>
    <w:rPr>
      <w:rFonts w:ascii="Verdana" w:eastAsia="SimSun" w:hAnsi="Verdana" w:cs="Times New Roman"/>
      <w:color w:val="auto"/>
      <w:sz w:val="14"/>
      <w:szCs w:val="24"/>
      <w:lang w:val="es-ES" w:eastAsia="zh-CN"/>
    </w:rPr>
  </w:style>
  <w:style w:type="character" w:customStyle="1" w:styleId="Heading5Char">
    <w:name w:val="Heading 5 Char"/>
    <w:basedOn w:val="DefaultParagraphFont"/>
    <w:link w:val="Heading5"/>
    <w:uiPriority w:val="89"/>
    <w:semiHidden/>
    <w:rsid w:val="006B29BE"/>
    <w:rPr>
      <w:rFonts w:ascii="Verdana" w:eastAsia="SimSun" w:hAnsi="Verdana" w:cs="Times New Roman"/>
      <w:color w:val="auto"/>
      <w:sz w:val="14"/>
      <w:szCs w:val="24"/>
      <w:lang w:val="es-ES" w:eastAsia="zh-CN"/>
    </w:rPr>
  </w:style>
  <w:style w:type="character" w:customStyle="1" w:styleId="Heading6Char">
    <w:name w:val="Heading 6 Char"/>
    <w:basedOn w:val="DefaultParagraphFont"/>
    <w:link w:val="Heading6"/>
    <w:uiPriority w:val="89"/>
    <w:semiHidden/>
    <w:rsid w:val="006B29BE"/>
    <w:rPr>
      <w:rFonts w:ascii="Verdana" w:eastAsia="SimSun" w:hAnsi="Verdana" w:cs="Times New Roman"/>
      <w:color w:val="auto"/>
      <w:sz w:val="14"/>
      <w:szCs w:val="24"/>
      <w:lang w:val="es-ES" w:eastAsia="zh-CN"/>
    </w:rPr>
  </w:style>
  <w:style w:type="character" w:customStyle="1" w:styleId="Heading7Char">
    <w:name w:val="Heading 7 Char"/>
    <w:basedOn w:val="DefaultParagraphFont"/>
    <w:link w:val="Heading7"/>
    <w:uiPriority w:val="89"/>
    <w:semiHidden/>
    <w:rsid w:val="006B29BE"/>
    <w:rPr>
      <w:rFonts w:ascii="Verdana" w:eastAsia="SimSun" w:hAnsi="Verdana" w:cs="Times New Roman"/>
      <w:color w:val="auto"/>
      <w:sz w:val="14"/>
      <w:szCs w:val="24"/>
      <w:lang w:val="es-ES" w:eastAsia="zh-CN"/>
    </w:rPr>
  </w:style>
  <w:style w:type="character" w:customStyle="1" w:styleId="Heading8Char">
    <w:name w:val="Heading 8 Char"/>
    <w:basedOn w:val="DefaultParagraphFont"/>
    <w:link w:val="Heading8"/>
    <w:uiPriority w:val="89"/>
    <w:semiHidden/>
    <w:rsid w:val="006B29BE"/>
    <w:rPr>
      <w:rFonts w:ascii="Verdana" w:eastAsia="SimSun" w:hAnsi="Verdana" w:cs="Times New Roman"/>
      <w:color w:val="auto"/>
      <w:sz w:val="14"/>
      <w:szCs w:val="24"/>
      <w:lang w:val="es-ES" w:eastAsia="zh-CN"/>
    </w:rPr>
  </w:style>
  <w:style w:type="character" w:customStyle="1" w:styleId="Heading9Char">
    <w:name w:val="Heading 9 Char"/>
    <w:basedOn w:val="DefaultParagraphFont"/>
    <w:link w:val="Heading9"/>
    <w:uiPriority w:val="89"/>
    <w:semiHidden/>
    <w:rsid w:val="006B29BE"/>
    <w:rPr>
      <w:rFonts w:ascii="Verdana" w:eastAsia="SimSun" w:hAnsi="Verdana" w:cs="Times New Roman"/>
      <w:color w:val="auto"/>
      <w:sz w:val="14"/>
      <w:szCs w:val="24"/>
      <w:lang w:val="es-ES" w:eastAsia="zh-CN"/>
    </w:rPr>
  </w:style>
  <w:style w:type="paragraph" w:customStyle="1" w:styleId="RTFooterText">
    <w:name w:val="RT Footer Text"/>
    <w:basedOn w:val="Normal"/>
    <w:uiPriority w:val="30"/>
    <w:qFormat/>
    <w:rsid w:val="004F5223"/>
    <w:pPr>
      <w:tabs>
        <w:tab w:val="right" w:pos="8278"/>
      </w:tabs>
      <w:spacing w:after="120" w:line="240" w:lineRule="exact"/>
    </w:pPr>
    <w:rPr>
      <w:rFonts w:ascii="Amnesty Trade Gothic Cn" w:hAnsi="Amnesty Trade Gothic Cn"/>
      <w:caps/>
      <w:sz w:val="18"/>
      <w:szCs w:val="15"/>
    </w:rPr>
  </w:style>
  <w:style w:type="character" w:styleId="FollowedHyperlink">
    <w:name w:val="FollowedHyperlink"/>
    <w:basedOn w:val="DefaultParagraphFont"/>
    <w:uiPriority w:val="99"/>
    <w:semiHidden/>
    <w:locked/>
    <w:rsid w:val="00467DA9"/>
    <w:rPr>
      <w:color w:val="000000" w:themeColor="text1"/>
      <w:u w:val="none"/>
    </w:rPr>
  </w:style>
  <w:style w:type="paragraph" w:customStyle="1" w:styleId="BodyText1">
    <w:name w:val="Body Text1"/>
    <w:basedOn w:val="Normal"/>
    <w:uiPriority w:val="99"/>
    <w:semiHidden/>
    <w:rsid w:val="00736F4C"/>
    <w:pPr>
      <w:widowControl w:val="0"/>
      <w:suppressAutoHyphens/>
      <w:autoSpaceDE w:val="0"/>
      <w:autoSpaceDN w:val="0"/>
      <w:adjustRightInd w:val="0"/>
      <w:spacing w:before="120" w:line="240" w:lineRule="atLeast"/>
      <w:textAlignment w:val="center"/>
    </w:pPr>
    <w:rPr>
      <w:rFonts w:ascii="AmnestyTradeGothic-Light" w:hAnsi="AmnestyTradeGothic-Light" w:cs="AmnestyTradeGothic-Light"/>
      <w:color w:val="000000"/>
      <w:sz w:val="18"/>
      <w:szCs w:val="18"/>
    </w:rPr>
  </w:style>
  <w:style w:type="character" w:customStyle="1" w:styleId="RTHighlightedtext">
    <w:name w:val="RT Highlighted text"/>
    <w:basedOn w:val="DefaultParagraphFont"/>
    <w:uiPriority w:val="7"/>
    <w:qFormat/>
    <w:rsid w:val="00DC4510"/>
    <w:rPr>
      <w:shd w:val="clear" w:color="auto" w:fill="FFFF00" w:themeFill="accent1"/>
    </w:rPr>
  </w:style>
  <w:style w:type="paragraph" w:customStyle="1" w:styleId="RTMissionStatement">
    <w:name w:val="RT Mission Statement"/>
    <w:basedOn w:val="Normal"/>
    <w:uiPriority w:val="18"/>
    <w:qFormat/>
    <w:rsid w:val="0090732F"/>
    <w:pPr>
      <w:suppressAutoHyphens/>
      <w:spacing w:after="280" w:line="264" w:lineRule="auto"/>
    </w:pPr>
    <w:rPr>
      <w:rFonts w:ascii="Amnesty Trade Gothic Cn" w:hAnsi="Amnesty Trade Gothic Cn"/>
      <w:b/>
      <w:bCs/>
      <w:noProof/>
      <w:sz w:val="44"/>
      <w:szCs w:val="44"/>
      <w:lang w:eastAsia="en-GB"/>
    </w:rPr>
  </w:style>
  <w:style w:type="character" w:styleId="PageNumber">
    <w:name w:val="page number"/>
    <w:basedOn w:val="DefaultParagraphFont"/>
    <w:uiPriority w:val="99"/>
    <w:semiHidden/>
    <w:locked/>
    <w:rsid w:val="007A0F8F"/>
    <w:rPr>
      <w:rFonts w:asciiTheme="majorHAnsi" w:hAnsiTheme="majorHAnsi"/>
      <w:b/>
      <w:sz w:val="18"/>
    </w:rPr>
  </w:style>
  <w:style w:type="paragraph" w:styleId="BalloonText">
    <w:name w:val="Balloon Text"/>
    <w:basedOn w:val="Normal"/>
    <w:link w:val="BalloonTextChar"/>
    <w:uiPriority w:val="99"/>
    <w:semiHidden/>
    <w:locked/>
    <w:rsid w:val="00972618"/>
    <w:rPr>
      <w:rFonts w:asciiTheme="majorHAnsi" w:hAnsiTheme="majorHAnsi" w:cs="Segoe UI"/>
      <w:sz w:val="18"/>
      <w:szCs w:val="18"/>
    </w:rPr>
  </w:style>
  <w:style w:type="character" w:customStyle="1" w:styleId="BalloonTextChar">
    <w:name w:val="Balloon Text Char"/>
    <w:basedOn w:val="DefaultParagraphFont"/>
    <w:link w:val="BalloonText"/>
    <w:uiPriority w:val="99"/>
    <w:semiHidden/>
    <w:rsid w:val="006B29BE"/>
    <w:rPr>
      <w:rFonts w:asciiTheme="majorHAnsi" w:hAnsiTheme="majorHAnsi" w:cs="Segoe UI"/>
      <w:sz w:val="18"/>
      <w:szCs w:val="18"/>
    </w:rPr>
  </w:style>
  <w:style w:type="paragraph" w:customStyle="1" w:styleId="RTTitlenonumbers">
    <w:name w:val="RT Title (no numbers)"/>
    <w:basedOn w:val="Normal"/>
    <w:next w:val="RTBodyText"/>
    <w:uiPriority w:val="1"/>
    <w:qFormat/>
    <w:rsid w:val="00E54636"/>
    <w:pPr>
      <w:pageBreakBefore/>
      <w:suppressAutoHyphens/>
      <w:spacing w:before="100" w:after="2400" w:line="900" w:lineRule="exact"/>
      <w:contextualSpacing/>
      <w:outlineLvl w:val="0"/>
    </w:pPr>
    <w:rPr>
      <w:rFonts w:ascii="Amnesty Trade Gothic Cn" w:hAnsi="Amnesty Trade Gothic Cn"/>
      <w:b/>
      <w:caps/>
      <w:noProof/>
      <w:sz w:val="90"/>
      <w:lang w:eastAsia="en-GB"/>
    </w:rPr>
  </w:style>
  <w:style w:type="character" w:customStyle="1" w:styleId="RTRemoveHighlight">
    <w:name w:val="RT Remove Highlight"/>
    <w:basedOn w:val="RTHighlightedtext"/>
    <w:uiPriority w:val="39"/>
    <w:qFormat/>
    <w:rsid w:val="00020B73"/>
    <w:rPr>
      <w:bdr w:val="none" w:sz="0" w:space="0" w:color="auto"/>
      <w:shd w:val="clear" w:color="auto" w:fill="auto"/>
    </w:rPr>
  </w:style>
  <w:style w:type="paragraph" w:customStyle="1" w:styleId="RTTitlenumbered">
    <w:name w:val="RT Title (numbered)"/>
    <w:basedOn w:val="RTTitlenonumbers"/>
    <w:next w:val="RTBodyText"/>
    <w:qFormat/>
    <w:rsid w:val="00FA01E1"/>
    <w:pPr>
      <w:keepNext/>
      <w:pageBreakBefore w:val="0"/>
      <w:numPr>
        <w:numId w:val="3"/>
      </w:numPr>
      <w:tabs>
        <w:tab w:val="left" w:pos="851"/>
      </w:tabs>
      <w:spacing w:after="800" w:line="240" w:lineRule="auto"/>
      <w:ind w:left="0" w:firstLine="0"/>
    </w:pPr>
    <w:rPr>
      <w:sz w:val="48"/>
    </w:rPr>
  </w:style>
  <w:style w:type="paragraph" w:customStyle="1" w:styleId="RTNumberedHeading">
    <w:name w:val="RT Numbered Heading"/>
    <w:basedOn w:val="RTTitlenumbered"/>
    <w:next w:val="RTBodyText"/>
    <w:autoRedefine/>
    <w:uiPriority w:val="2"/>
    <w:qFormat/>
    <w:rsid w:val="008B2158"/>
    <w:pPr>
      <w:numPr>
        <w:ilvl w:val="1"/>
      </w:numPr>
      <w:tabs>
        <w:tab w:val="left" w:pos="567"/>
      </w:tabs>
      <w:spacing w:before="480" w:after="100" w:line="420" w:lineRule="exact"/>
      <w:ind w:left="0" w:firstLine="0"/>
      <w:outlineLvl w:val="1"/>
    </w:pPr>
    <w:rPr>
      <w:sz w:val="42"/>
    </w:rPr>
  </w:style>
  <w:style w:type="paragraph" w:customStyle="1" w:styleId="RTQuoteText">
    <w:name w:val="RT Quote Text"/>
    <w:basedOn w:val="RTBodyText"/>
    <w:uiPriority w:val="14"/>
    <w:qFormat/>
    <w:rsid w:val="00DD7A31"/>
    <w:pPr>
      <w:spacing w:after="0"/>
    </w:pPr>
    <w:rPr>
      <w:rFonts w:asciiTheme="majorHAnsi" w:hAnsiTheme="majorHAnsi"/>
      <w:b/>
      <w:sz w:val="36"/>
    </w:rPr>
  </w:style>
  <w:style w:type="paragraph" w:customStyle="1" w:styleId="RTSourceText">
    <w:name w:val="RT Source Text"/>
    <w:basedOn w:val="RTBodyText"/>
    <w:uiPriority w:val="14"/>
    <w:qFormat/>
    <w:rsid w:val="005D0702"/>
    <w:rPr>
      <w:rFonts w:ascii="Amnesty Trade Gothic Cn" w:hAnsi="Amnesty Trade Gothic Cn"/>
    </w:rPr>
  </w:style>
  <w:style w:type="paragraph" w:customStyle="1" w:styleId="RTBulletText">
    <w:name w:val="RT Bullet Text"/>
    <w:basedOn w:val="RTBodyText"/>
    <w:next w:val="RTBodyText"/>
    <w:uiPriority w:val="10"/>
    <w:qFormat/>
    <w:rsid w:val="00A1219D"/>
    <w:pPr>
      <w:numPr>
        <w:ilvl w:val="1"/>
        <w:numId w:val="4"/>
      </w:numPr>
    </w:pPr>
  </w:style>
  <w:style w:type="table" w:customStyle="1" w:styleId="RTTintedPullout">
    <w:name w:val="RT Tinted Pull out"/>
    <w:basedOn w:val="TableNormal"/>
    <w:uiPriority w:val="99"/>
    <w:rsid w:val="00E145BC"/>
    <w:tblPr>
      <w:tblCellMar>
        <w:top w:w="113" w:type="dxa"/>
        <w:left w:w="170" w:type="dxa"/>
        <w:right w:w="0" w:type="dxa"/>
      </w:tblCellMar>
    </w:tblPr>
    <w:tcPr>
      <w:shd w:val="clear" w:color="auto" w:fill="CCCCCC" w:themeFill="accent5"/>
    </w:tcPr>
  </w:style>
  <w:style w:type="paragraph" w:customStyle="1" w:styleId="RTCaptionText">
    <w:name w:val="RT Caption Text"/>
    <w:basedOn w:val="Normal"/>
    <w:uiPriority w:val="19"/>
    <w:qFormat/>
    <w:rsid w:val="00396A31"/>
    <w:rPr>
      <w:rFonts w:ascii="Amnesty Trade Gothic Cn" w:hAnsi="Amnesty Trade Gothic Cn"/>
      <w:i/>
    </w:rPr>
  </w:style>
  <w:style w:type="paragraph" w:customStyle="1" w:styleId="RTSmallQuoteText">
    <w:name w:val="RT Small Quote Text"/>
    <w:basedOn w:val="RTBodyText"/>
    <w:next w:val="RTBodyText"/>
    <w:uiPriority w:val="14"/>
    <w:qFormat/>
    <w:rsid w:val="00DD7A31"/>
    <w:pPr>
      <w:spacing w:before="100" w:after="140"/>
    </w:pPr>
    <w:rPr>
      <w:rFonts w:ascii="Amnesty Trade Gothic Cn" w:hAnsi="Amnesty Trade Gothic Cn"/>
      <w:b/>
      <w:sz w:val="20"/>
    </w:rPr>
  </w:style>
  <w:style w:type="paragraph" w:customStyle="1" w:styleId="RTHeadingnonumbers">
    <w:name w:val="RT Heading (no numbers)"/>
    <w:basedOn w:val="RTNumberedHeading"/>
    <w:next w:val="RTBodyText"/>
    <w:uiPriority w:val="3"/>
    <w:qFormat/>
    <w:rsid w:val="002E16BE"/>
    <w:pPr>
      <w:numPr>
        <w:ilvl w:val="0"/>
        <w:numId w:val="0"/>
      </w:numPr>
      <w:tabs>
        <w:tab w:val="clear" w:pos="567"/>
      </w:tabs>
    </w:pPr>
  </w:style>
  <w:style w:type="paragraph" w:customStyle="1" w:styleId="RTHighlightedHeading">
    <w:name w:val="RT Highlighted Heading"/>
    <w:basedOn w:val="RTBodyText"/>
    <w:uiPriority w:val="7"/>
    <w:qFormat/>
    <w:rsid w:val="00A857B6"/>
    <w:pPr>
      <w:spacing w:after="0" w:line="245" w:lineRule="auto"/>
    </w:pPr>
    <w:rPr>
      <w:rFonts w:ascii="Amnesty Trade Gothic Cn" w:hAnsi="Amnesty Trade Gothic Cn"/>
      <w:b/>
      <w:bCs/>
      <w:caps/>
      <w:sz w:val="56"/>
      <w:szCs w:val="56"/>
    </w:rPr>
  </w:style>
  <w:style w:type="paragraph" w:customStyle="1" w:styleId="RTSubheadinglightCAPS">
    <w:name w:val="RT Subheading light CAPS"/>
    <w:basedOn w:val="RTHighlightedHeading"/>
    <w:uiPriority w:val="5"/>
    <w:qFormat/>
    <w:rsid w:val="00BB723B"/>
    <w:pPr>
      <w:spacing w:before="40"/>
    </w:pPr>
    <w:rPr>
      <w:b w:val="0"/>
      <w:sz w:val="44"/>
      <w:szCs w:val="44"/>
    </w:rPr>
  </w:style>
  <w:style w:type="paragraph" w:customStyle="1" w:styleId="RTStatement">
    <w:name w:val="RT Statement"/>
    <w:basedOn w:val="Normal"/>
    <w:uiPriority w:val="14"/>
    <w:qFormat/>
    <w:rsid w:val="0090732F"/>
    <w:pPr>
      <w:spacing w:line="960" w:lineRule="exact"/>
      <w:contextualSpacing/>
    </w:pPr>
    <w:rPr>
      <w:rFonts w:ascii="Amnesty Trade Gothic Cn" w:hAnsi="Amnesty Trade Gothic Cn"/>
      <w:b/>
      <w:caps/>
      <w:noProof/>
      <w:sz w:val="100"/>
      <w:lang w:eastAsia="en-GB"/>
    </w:rPr>
  </w:style>
  <w:style w:type="paragraph" w:customStyle="1" w:styleId="RTAmnestywebaddress">
    <w:name w:val="RT Amnesty web address"/>
    <w:basedOn w:val="Footer"/>
    <w:link w:val="RTAmnestywebaddressChar"/>
    <w:uiPriority w:val="29"/>
    <w:qFormat/>
    <w:rsid w:val="004F5223"/>
    <w:pPr>
      <w:spacing w:before="80" w:line="240" w:lineRule="auto"/>
    </w:pPr>
    <w:rPr>
      <w:rFonts w:asciiTheme="majorHAnsi" w:hAnsiTheme="majorHAnsi"/>
      <w:b/>
      <w:caps w:val="0"/>
      <w:sz w:val="32"/>
      <w:szCs w:val="32"/>
    </w:rPr>
  </w:style>
  <w:style w:type="character" w:customStyle="1" w:styleId="RTAmnestywebaddressChar">
    <w:name w:val="RT Amnesty web address Char"/>
    <w:basedOn w:val="FooterChar"/>
    <w:link w:val="RTAmnestywebaddress"/>
    <w:uiPriority w:val="29"/>
    <w:rsid w:val="004F5223"/>
    <w:rPr>
      <w:rFonts w:asciiTheme="majorHAnsi" w:hAnsiTheme="majorHAnsi"/>
      <w:b/>
      <w:caps w:val="0"/>
      <w:sz w:val="32"/>
      <w:szCs w:val="32"/>
    </w:rPr>
  </w:style>
  <w:style w:type="character" w:customStyle="1" w:styleId="FootnoteTextChar">
    <w:name w:val="Footnote Text Char"/>
    <w:basedOn w:val="DefaultParagraphFont"/>
    <w:link w:val="FootnoteText"/>
    <w:uiPriority w:val="99"/>
    <w:semiHidden/>
    <w:rsid w:val="006B29BE"/>
    <w:rPr>
      <w:sz w:val="14"/>
      <w:szCs w:val="24"/>
    </w:rPr>
  </w:style>
  <w:style w:type="character" w:styleId="FootnoteReference">
    <w:name w:val="footnote reference"/>
    <w:basedOn w:val="DefaultParagraphFont"/>
    <w:uiPriority w:val="99"/>
    <w:semiHidden/>
    <w:locked/>
    <w:rsid w:val="00967F64"/>
    <w:rPr>
      <w:vertAlign w:val="superscript"/>
    </w:rPr>
  </w:style>
  <w:style w:type="numbering" w:styleId="111111">
    <w:name w:val="Outline List 2"/>
    <w:basedOn w:val="NoList"/>
    <w:uiPriority w:val="99"/>
    <w:semiHidden/>
    <w:unhideWhenUsed/>
    <w:locked/>
    <w:rsid w:val="00864407"/>
    <w:pPr>
      <w:numPr>
        <w:numId w:val="5"/>
      </w:numPr>
    </w:pPr>
  </w:style>
  <w:style w:type="paragraph" w:styleId="TOC3">
    <w:name w:val="toc 3"/>
    <w:basedOn w:val="TOC4"/>
    <w:next w:val="Normal"/>
    <w:uiPriority w:val="39"/>
    <w:locked/>
    <w:rsid w:val="00C20EE2"/>
    <w:pPr>
      <w:ind w:left="369" w:hanging="369"/>
      <w:contextualSpacing w:val="0"/>
    </w:pPr>
    <w:rPr>
      <w:caps/>
    </w:rPr>
  </w:style>
  <w:style w:type="paragraph" w:styleId="TOC1">
    <w:name w:val="toc 1"/>
    <w:basedOn w:val="Normal"/>
    <w:next w:val="Normal"/>
    <w:uiPriority w:val="39"/>
    <w:locked/>
    <w:rsid w:val="002F10AC"/>
    <w:pPr>
      <w:tabs>
        <w:tab w:val="right" w:pos="8222"/>
      </w:tabs>
      <w:spacing w:before="240" w:after="113"/>
    </w:pPr>
    <w:rPr>
      <w:rFonts w:asciiTheme="majorHAnsi" w:hAnsiTheme="majorHAnsi"/>
      <w:b/>
      <w:bCs/>
      <w:caps/>
      <w:sz w:val="22"/>
      <w:szCs w:val="22"/>
    </w:rPr>
  </w:style>
  <w:style w:type="paragraph" w:styleId="TOC2">
    <w:name w:val="toc 2"/>
    <w:basedOn w:val="Normal"/>
    <w:next w:val="Normal"/>
    <w:uiPriority w:val="39"/>
    <w:locked/>
    <w:rsid w:val="00A164C2"/>
    <w:pPr>
      <w:tabs>
        <w:tab w:val="right" w:pos="8222"/>
      </w:tabs>
      <w:spacing w:after="113"/>
      <w:ind w:left="397" w:hanging="397"/>
    </w:pPr>
    <w:rPr>
      <w:rFonts w:asciiTheme="minorHAnsi" w:hAnsiTheme="minorHAnsi"/>
      <w:caps/>
      <w:noProof/>
      <w:sz w:val="20"/>
    </w:rPr>
  </w:style>
  <w:style w:type="paragraph" w:styleId="TOC4">
    <w:name w:val="toc 4"/>
    <w:basedOn w:val="Normal"/>
    <w:next w:val="Normal"/>
    <w:autoRedefine/>
    <w:uiPriority w:val="98"/>
    <w:semiHidden/>
    <w:locked/>
    <w:rsid w:val="00847900"/>
    <w:pPr>
      <w:tabs>
        <w:tab w:val="right" w:pos="8222"/>
      </w:tabs>
      <w:spacing w:after="113"/>
      <w:contextualSpacing/>
    </w:pPr>
    <w:rPr>
      <w:rFonts w:asciiTheme="majorHAnsi" w:hAnsiTheme="majorHAnsi"/>
      <w:noProof/>
      <w:sz w:val="18"/>
      <w:szCs w:val="18"/>
    </w:rPr>
  </w:style>
  <w:style w:type="paragraph" w:styleId="TOC5">
    <w:name w:val="toc 5"/>
    <w:basedOn w:val="Normal"/>
    <w:next w:val="Normal"/>
    <w:autoRedefine/>
    <w:uiPriority w:val="98"/>
    <w:semiHidden/>
    <w:locked/>
    <w:rsid w:val="00337B08"/>
    <w:pPr>
      <w:ind w:left="560"/>
    </w:pPr>
  </w:style>
  <w:style w:type="paragraph" w:styleId="TOC6">
    <w:name w:val="toc 6"/>
    <w:basedOn w:val="Normal"/>
    <w:next w:val="Normal"/>
    <w:autoRedefine/>
    <w:uiPriority w:val="98"/>
    <w:semiHidden/>
    <w:locked/>
    <w:rsid w:val="00337B08"/>
    <w:pPr>
      <w:ind w:left="700"/>
    </w:pPr>
  </w:style>
  <w:style w:type="paragraph" w:styleId="TOC7">
    <w:name w:val="toc 7"/>
    <w:basedOn w:val="Normal"/>
    <w:next w:val="Normal"/>
    <w:autoRedefine/>
    <w:uiPriority w:val="98"/>
    <w:semiHidden/>
    <w:locked/>
    <w:rsid w:val="00337B08"/>
    <w:pPr>
      <w:ind w:left="840"/>
    </w:pPr>
  </w:style>
  <w:style w:type="paragraph" w:styleId="TOC8">
    <w:name w:val="toc 8"/>
    <w:basedOn w:val="Normal"/>
    <w:next w:val="Normal"/>
    <w:autoRedefine/>
    <w:uiPriority w:val="98"/>
    <w:semiHidden/>
    <w:locked/>
    <w:rsid w:val="00337B08"/>
    <w:pPr>
      <w:ind w:left="980"/>
    </w:pPr>
  </w:style>
  <w:style w:type="table" w:customStyle="1" w:styleId="RTTableStyle1">
    <w:name w:val="RT Table Style 1"/>
    <w:basedOn w:val="TableNormal"/>
    <w:uiPriority w:val="99"/>
    <w:rsid w:val="00DB3D14"/>
    <w:rPr>
      <w:sz w:val="18"/>
    </w:rPr>
    <w:tblPr>
      <w:tblStyleRowBandSize w:val="1"/>
      <w:tblInd w:w="108" w:type="dxa"/>
      <w:tblCellMar>
        <w:top w:w="57" w:type="dxa"/>
        <w:bottom w:w="28" w:type="dxa"/>
      </w:tblCellMar>
    </w:tblPr>
    <w:tblStylePr w:type="firstRow">
      <w:pPr>
        <w:wordWrap/>
        <w:spacing w:beforeLines="0" w:before="0" w:beforeAutospacing="0" w:afterLines="0" w:after="0" w:afterAutospacing="0" w:line="240" w:lineRule="auto"/>
        <w:jc w:val="left"/>
      </w:pPr>
      <w:rPr>
        <w:rFonts w:asciiTheme="majorHAnsi" w:hAnsiTheme="majorHAnsi"/>
        <w:b/>
        <w:caps/>
        <w:smallCaps w:val="0"/>
        <w:sz w:val="22"/>
      </w:rPr>
      <w:tblPr/>
      <w:trPr>
        <w:tblHeader/>
      </w:trPr>
      <w:tcPr>
        <w:shd w:val="clear" w:color="auto" w:fill="CCCCCC" w:themeFill="accent5"/>
        <w:vAlign w:val="center"/>
      </w:tcPr>
    </w:tblStylePr>
    <w:tblStylePr w:type="firstCol">
      <w:rPr>
        <w:rFonts w:asciiTheme="majorHAnsi" w:hAnsiTheme="majorHAnsi"/>
        <w:b/>
        <w:caps/>
        <w:smallCaps w:val="0"/>
        <w:sz w:val="18"/>
      </w:rPr>
    </w:tblStylePr>
    <w:tblStylePr w:type="band2Horz">
      <w:tblPr/>
      <w:tcPr>
        <w:shd w:val="clear" w:color="auto" w:fill="CCCCCC" w:themeFill="accent5"/>
      </w:tcPr>
    </w:tblStylePr>
  </w:style>
  <w:style w:type="table" w:customStyle="1" w:styleId="RTMultiColumnStyle">
    <w:name w:val="RT Multi Column Style"/>
    <w:basedOn w:val="TableNormal"/>
    <w:uiPriority w:val="99"/>
    <w:rsid w:val="00E51D10"/>
    <w:pPr>
      <w:spacing w:after="120" w:line="240" w:lineRule="exact"/>
    </w:pPr>
    <w:rPr>
      <w:sz w:val="18"/>
    </w:rPr>
    <w:tblPr>
      <w:tblCellMar>
        <w:top w:w="113" w:type="dxa"/>
        <w:left w:w="0" w:type="dxa"/>
        <w:right w:w="0" w:type="dxa"/>
      </w:tblCellMar>
    </w:tblPr>
  </w:style>
  <w:style w:type="paragraph" w:customStyle="1" w:styleId="Backcoverblurb">
    <w:name w:val="Back cover blurb"/>
    <w:basedOn w:val="RTBodyText"/>
    <w:uiPriority w:val="99"/>
    <w:semiHidden/>
    <w:qFormat/>
    <w:rsid w:val="00FF33F9"/>
    <w:pPr>
      <w:spacing w:line="310" w:lineRule="exact"/>
    </w:pPr>
  </w:style>
  <w:style w:type="paragraph" w:customStyle="1" w:styleId="Backcoversubtitle">
    <w:name w:val="Back cover sub title"/>
    <w:basedOn w:val="RTBodyText"/>
    <w:uiPriority w:val="99"/>
    <w:semiHidden/>
    <w:qFormat/>
    <w:rsid w:val="00FF33F9"/>
    <w:pPr>
      <w:spacing w:line="320" w:lineRule="exact"/>
    </w:pPr>
    <w:rPr>
      <w:rFonts w:ascii="Amnesty Trade Gothic Cn" w:hAnsi="Amnesty Trade Gothic Cn"/>
      <w:bCs/>
      <w:caps/>
      <w:sz w:val="32"/>
      <w:szCs w:val="56"/>
    </w:rPr>
  </w:style>
  <w:style w:type="paragraph" w:customStyle="1" w:styleId="Frontcovermaintitle">
    <w:name w:val="Front cover main title"/>
    <w:basedOn w:val="Normal"/>
    <w:uiPriority w:val="99"/>
    <w:semiHidden/>
    <w:qFormat/>
    <w:rsid w:val="0090732F"/>
    <w:pPr>
      <w:spacing w:before="9760" w:after="60" w:line="252" w:lineRule="auto"/>
      <w:contextualSpacing/>
    </w:pPr>
    <w:rPr>
      <w:rFonts w:ascii="Amnesty Trade Gothic Cn" w:hAnsi="Amnesty Trade Gothic Cn"/>
      <w:b/>
      <w:caps/>
      <w:noProof/>
      <w:sz w:val="96"/>
      <w:szCs w:val="96"/>
      <w:lang w:eastAsia="en-GB"/>
    </w:rPr>
  </w:style>
  <w:style w:type="paragraph" w:styleId="BodyText">
    <w:name w:val="Body Text"/>
    <w:basedOn w:val="Normal"/>
    <w:link w:val="BodyTextChar"/>
    <w:uiPriority w:val="89"/>
    <w:semiHidden/>
    <w:locked/>
    <w:rsid w:val="00F92A5D"/>
    <w:pPr>
      <w:widowControl w:val="0"/>
      <w:suppressAutoHyphens/>
      <w:spacing w:after="120" w:line="240" w:lineRule="atLeast"/>
    </w:pPr>
    <w:rPr>
      <w:rFonts w:ascii="Amnesty Trade Gothic" w:eastAsia="Times New Roman" w:hAnsi="Amnesty Trade Gothic" w:cs="Times New Roman"/>
      <w:color w:val="000000"/>
      <w:sz w:val="18"/>
      <w:szCs w:val="24"/>
      <w:lang w:eastAsia="ar-SA"/>
    </w:rPr>
  </w:style>
  <w:style w:type="character" w:customStyle="1" w:styleId="BodyTextChar">
    <w:name w:val="Body Text Char"/>
    <w:basedOn w:val="DefaultParagraphFont"/>
    <w:link w:val="BodyText"/>
    <w:uiPriority w:val="89"/>
    <w:semiHidden/>
    <w:rsid w:val="006B29BE"/>
    <w:rPr>
      <w:rFonts w:ascii="Amnesty Trade Gothic" w:eastAsia="Times New Roman" w:hAnsi="Amnesty Trade Gothic" w:cs="Times New Roman"/>
      <w:color w:val="000000"/>
      <w:sz w:val="18"/>
      <w:szCs w:val="24"/>
      <w:lang w:val="es-ES" w:eastAsia="ar-SA"/>
    </w:rPr>
  </w:style>
  <w:style w:type="paragraph" w:customStyle="1" w:styleId="RTsub-sub-subheading">
    <w:name w:val="RT sub-sub-sub heading"/>
    <w:basedOn w:val="RTBodyText"/>
    <w:semiHidden/>
    <w:qFormat/>
    <w:rsid w:val="00F73607"/>
    <w:rPr>
      <w:b/>
    </w:rPr>
  </w:style>
  <w:style w:type="paragraph" w:customStyle="1" w:styleId="RTSmallheadingCAPS">
    <w:name w:val="RT Small heading CAPS"/>
    <w:basedOn w:val="Normal"/>
    <w:uiPriority w:val="6"/>
    <w:qFormat/>
    <w:rsid w:val="00B67C03"/>
    <w:pPr>
      <w:keepNext/>
      <w:spacing w:line="320" w:lineRule="exact"/>
    </w:pPr>
    <w:rPr>
      <w:rFonts w:asciiTheme="majorHAnsi" w:eastAsiaTheme="minorHAnsi" w:hAnsiTheme="majorHAnsi" w:cs="Times New Roman"/>
      <w:b/>
      <w:caps/>
      <w:color w:val="000000"/>
      <w:sz w:val="22"/>
      <w:szCs w:val="32"/>
      <w:lang w:eastAsia="en-GB"/>
    </w:rPr>
  </w:style>
  <w:style w:type="paragraph" w:customStyle="1" w:styleId="Footnotes">
    <w:name w:val="Footnotes"/>
    <w:basedOn w:val="RTBodyText"/>
    <w:uiPriority w:val="99"/>
    <w:semiHidden/>
    <w:qFormat/>
    <w:rsid w:val="002C2DB2"/>
    <w:rPr>
      <w:sz w:val="14"/>
    </w:rPr>
  </w:style>
  <w:style w:type="paragraph" w:customStyle="1" w:styleId="RTSubheadingnonumbers">
    <w:name w:val="RT Subheading (no numbers)"/>
    <w:basedOn w:val="RTNumberedHeading"/>
    <w:next w:val="RTBodyText"/>
    <w:uiPriority w:val="5"/>
    <w:qFormat/>
    <w:rsid w:val="002E16BE"/>
    <w:pPr>
      <w:numPr>
        <w:ilvl w:val="0"/>
        <w:numId w:val="0"/>
      </w:numPr>
      <w:tabs>
        <w:tab w:val="clear" w:pos="567"/>
      </w:tabs>
      <w:spacing w:before="360" w:after="113" w:line="320" w:lineRule="exact"/>
      <w:outlineLvl w:val="2"/>
    </w:pPr>
    <w:rPr>
      <w:sz w:val="32"/>
    </w:rPr>
  </w:style>
  <w:style w:type="paragraph" w:customStyle="1" w:styleId="RTNumberedSubheading">
    <w:name w:val="RT Numbered Subheading"/>
    <w:basedOn w:val="RTSubheadingnonumbers"/>
    <w:next w:val="RTBodyText"/>
    <w:uiPriority w:val="4"/>
    <w:qFormat/>
    <w:rsid w:val="00262112"/>
    <w:pPr>
      <w:keepLines/>
      <w:numPr>
        <w:ilvl w:val="2"/>
        <w:numId w:val="3"/>
      </w:numPr>
      <w:tabs>
        <w:tab w:val="left" w:pos="652"/>
      </w:tabs>
      <w:spacing w:line="252" w:lineRule="auto"/>
      <w:ind w:left="0" w:firstLine="0"/>
      <w:contextualSpacing w:val="0"/>
    </w:pPr>
  </w:style>
  <w:style w:type="paragraph" w:customStyle="1" w:styleId="RTCasestudytitle">
    <w:name w:val="RT Case study title"/>
    <w:basedOn w:val="Normal"/>
    <w:uiPriority w:val="97"/>
    <w:qFormat/>
    <w:rsid w:val="00753EB0"/>
    <w:rPr>
      <w:rFonts w:ascii="Amnesty Trade Gothic Light" w:hAnsi="Amnesty Trade Gothic Light"/>
      <w:i/>
    </w:rPr>
  </w:style>
  <w:style w:type="paragraph" w:customStyle="1" w:styleId="RTFootnotetext">
    <w:name w:val="RT Footnote text"/>
    <w:basedOn w:val="FootnoteText"/>
    <w:link w:val="RTFootnotetextChar"/>
    <w:uiPriority w:val="97"/>
    <w:qFormat/>
    <w:rsid w:val="00554F19"/>
  </w:style>
  <w:style w:type="character" w:customStyle="1" w:styleId="RTFootnotetextChar">
    <w:name w:val="RT Footnote text Char"/>
    <w:basedOn w:val="FootnoteTextChar"/>
    <w:link w:val="RTFootnotetext"/>
    <w:uiPriority w:val="97"/>
    <w:rsid w:val="00B67C03"/>
    <w:rPr>
      <w:sz w:val="14"/>
      <w:szCs w:val="24"/>
    </w:rPr>
  </w:style>
  <w:style w:type="paragraph" w:customStyle="1" w:styleId="RTTitle-NonTOC">
    <w:name w:val="RT Title - Non TOC"/>
    <w:basedOn w:val="RTTitlenonumbers"/>
    <w:uiPriority w:val="99"/>
    <w:qFormat/>
    <w:rsid w:val="003C08D2"/>
    <w:pPr>
      <w:outlineLvl w:val="9"/>
    </w:pPr>
  </w:style>
  <w:style w:type="paragraph" w:customStyle="1" w:styleId="RTIndentedBulletText">
    <w:name w:val="RT Indented Bullet Text"/>
    <w:basedOn w:val="RTBulletText"/>
    <w:uiPriority w:val="11"/>
    <w:qFormat/>
    <w:rsid w:val="0038299B"/>
    <w:pPr>
      <w:numPr>
        <w:ilvl w:val="2"/>
        <w:numId w:val="11"/>
      </w:numPr>
      <w:tabs>
        <w:tab w:val="left" w:pos="1134"/>
      </w:tabs>
      <w:ind w:left="1134" w:hanging="283"/>
    </w:pPr>
  </w:style>
  <w:style w:type="paragraph" w:customStyle="1" w:styleId="RTFootertitle">
    <w:name w:val="RT Footer title"/>
    <w:basedOn w:val="Footer"/>
    <w:uiPriority w:val="99"/>
    <w:qFormat/>
    <w:rsid w:val="001D7DAE"/>
    <w:rPr>
      <w:rFonts w:ascii="Amnesty Trade Gothic Cn" w:hAnsi="Amnesty Trade Gothic Cn"/>
      <w:b/>
    </w:rPr>
  </w:style>
  <w:style w:type="paragraph" w:styleId="Revision">
    <w:name w:val="Revision"/>
    <w:hidden/>
    <w:uiPriority w:val="99"/>
    <w:semiHidden/>
    <w:rsid w:val="003D717F"/>
    <w:rPr>
      <w:rFonts w:ascii="Amnesty Trade Gothic Light Obl" w:hAnsi="Amnesty Trade Gothic Light Obl"/>
      <w:sz w:val="14"/>
    </w:rPr>
  </w:style>
  <w:style w:type="paragraph" w:styleId="ListParagraph">
    <w:name w:val="List Paragraph"/>
    <w:basedOn w:val="Normal"/>
    <w:uiPriority w:val="99"/>
    <w:semiHidden/>
    <w:qFormat/>
    <w:locked/>
    <w:rsid w:val="00CD3161"/>
    <w:pPr>
      <w:ind w:left="720"/>
      <w:contextualSpacing/>
    </w:pPr>
  </w:style>
  <w:style w:type="paragraph" w:customStyle="1" w:styleId="RTFrontcovermaintitle">
    <w:name w:val="RT Front cover main title"/>
    <w:next w:val="RTSubheadinglightCAPS"/>
    <w:qFormat/>
    <w:rsid w:val="00552CB7"/>
    <w:pPr>
      <w:spacing w:before="9680" w:after="60" w:line="1340" w:lineRule="exact"/>
    </w:pPr>
    <w:rPr>
      <w:rFonts w:ascii="Amnesty Trade Gothic Cn" w:hAnsi="Amnesty Trade Gothic Cn"/>
      <w:b/>
      <w:caps/>
      <w:noProof/>
      <w:sz w:val="96"/>
      <w:szCs w:val="96"/>
      <w:shd w:val="clear" w:color="auto" w:fill="FFFF00" w:themeFill="accent1"/>
      <w:lang w:eastAsia="en-GB"/>
    </w:rPr>
  </w:style>
  <w:style w:type="paragraph" w:customStyle="1" w:styleId="RTAmnestyfooter">
    <w:name w:val="RT Amnesty footer"/>
    <w:basedOn w:val="Footer"/>
    <w:uiPriority w:val="99"/>
    <w:qFormat/>
    <w:rsid w:val="00914551"/>
    <w:pPr>
      <w:spacing w:before="80"/>
    </w:pPr>
    <w:rPr>
      <w:rFonts w:ascii="Amnesty Trade Gothic Cn" w:hAnsi="Amnesty Trade Gothic Cn"/>
      <w:caps w:val="0"/>
    </w:rPr>
  </w:style>
  <w:style w:type="paragraph" w:customStyle="1" w:styleId="RTFooterreporttitle">
    <w:name w:val="RT Footer report title"/>
    <w:basedOn w:val="Footer"/>
    <w:uiPriority w:val="99"/>
    <w:qFormat/>
    <w:rsid w:val="00914551"/>
    <w:rPr>
      <w:rFonts w:ascii="Amnesty Trade Gothic Cn" w:hAnsi="Amnesty Trade Gothic Cn"/>
      <w:b/>
    </w:rPr>
  </w:style>
  <w:style w:type="paragraph" w:customStyle="1" w:styleId="RTFooterreportsubtitle">
    <w:name w:val="RT Footer report subtitle"/>
    <w:basedOn w:val="Footer"/>
    <w:uiPriority w:val="99"/>
    <w:qFormat/>
    <w:rsid w:val="00914551"/>
    <w:rPr>
      <w:rFonts w:ascii="Amnesty Trade Gothic Cn" w:hAnsi="Amnesty Trade Gothic Cn"/>
    </w:rPr>
  </w:style>
  <w:style w:type="paragraph" w:customStyle="1" w:styleId="RTBackcoversubheading">
    <w:name w:val="RT Back cover subheading"/>
    <w:basedOn w:val="RTSubheadinglightCAPS"/>
    <w:uiPriority w:val="99"/>
    <w:qFormat/>
    <w:rsid w:val="00472CD3"/>
    <w:pPr>
      <w:framePr w:hSpace="181" w:wrap="around" w:vAnchor="page" w:hAnchor="page" w:x="2042" w:y="13155"/>
      <w:spacing w:after="240"/>
      <w:suppressOverlap/>
    </w:pPr>
    <w:rPr>
      <w:sz w:val="32"/>
      <w:szCs w:val="56"/>
    </w:rPr>
  </w:style>
  <w:style w:type="paragraph" w:customStyle="1" w:styleId="RTBackcoverblurb">
    <w:name w:val="RT Back cover blurb"/>
    <w:basedOn w:val="Backcoverblurb"/>
    <w:uiPriority w:val="99"/>
    <w:qFormat/>
    <w:rsid w:val="00D0792D"/>
    <w:rPr>
      <w:sz w:val="24"/>
    </w:rPr>
  </w:style>
  <w:style w:type="character" w:styleId="CommentReference">
    <w:name w:val="annotation reference"/>
    <w:basedOn w:val="DefaultParagraphFont"/>
    <w:uiPriority w:val="99"/>
    <w:unhideWhenUsed/>
    <w:locked/>
    <w:rsid w:val="00F10C8F"/>
    <w:rPr>
      <w:rFonts w:ascii="Arial" w:hAnsi="Arial"/>
      <w:sz w:val="16"/>
      <w:szCs w:val="16"/>
    </w:rPr>
  </w:style>
  <w:style w:type="paragraph" w:styleId="CommentText">
    <w:name w:val="annotation text"/>
    <w:basedOn w:val="Normal"/>
    <w:link w:val="CommentTextChar"/>
    <w:uiPriority w:val="99"/>
    <w:semiHidden/>
    <w:unhideWhenUsed/>
    <w:locked/>
    <w:rsid w:val="00F10C8F"/>
    <w:rPr>
      <w:rFonts w:ascii="Arial" w:hAnsi="Arial"/>
      <w:sz w:val="20"/>
    </w:rPr>
  </w:style>
  <w:style w:type="character" w:customStyle="1" w:styleId="CommentTextChar">
    <w:name w:val="Comment Text Char"/>
    <w:basedOn w:val="DefaultParagraphFont"/>
    <w:link w:val="CommentText"/>
    <w:uiPriority w:val="99"/>
    <w:semiHidden/>
    <w:rsid w:val="00F10C8F"/>
    <w:rPr>
      <w:rFonts w:ascii="Arial" w:hAnsi="Arial"/>
    </w:rPr>
  </w:style>
  <w:style w:type="paragraph" w:styleId="CommentSubject">
    <w:name w:val="annotation subject"/>
    <w:basedOn w:val="CommentText"/>
    <w:next w:val="CommentText"/>
    <w:link w:val="CommentSubjectChar"/>
    <w:uiPriority w:val="99"/>
    <w:semiHidden/>
    <w:unhideWhenUsed/>
    <w:locked/>
    <w:rsid w:val="00F10C8F"/>
    <w:rPr>
      <w:b/>
      <w:bCs/>
    </w:rPr>
  </w:style>
  <w:style w:type="character" w:customStyle="1" w:styleId="CommentSubjectChar">
    <w:name w:val="Comment Subject Char"/>
    <w:basedOn w:val="CommentTextChar"/>
    <w:link w:val="CommentSubject"/>
    <w:uiPriority w:val="99"/>
    <w:semiHidden/>
    <w:rsid w:val="00F10C8F"/>
    <w:rPr>
      <w:rFonts w:ascii="Arial" w:hAnsi="Arial"/>
      <w:b/>
      <w:bCs/>
    </w:rPr>
  </w:style>
  <w:style w:type="paragraph" w:customStyle="1" w:styleId="AIBodyText">
    <w:name w:val="AI Body Text"/>
    <w:basedOn w:val="Normal"/>
    <w:link w:val="AIBodyTextChar"/>
    <w:uiPriority w:val="4"/>
    <w:qFormat/>
    <w:rsid w:val="00C315C3"/>
    <w:pPr>
      <w:suppressAutoHyphens/>
      <w:spacing w:after="120" w:line="240" w:lineRule="exact"/>
    </w:pPr>
    <w:rPr>
      <w:rFonts w:asciiTheme="minorHAnsi" w:hAnsiTheme="minorHAnsi"/>
      <w:sz w:val="20"/>
    </w:rPr>
  </w:style>
  <w:style w:type="character" w:customStyle="1" w:styleId="AIBodyTextChar">
    <w:name w:val="AI Body Text Char"/>
    <w:link w:val="AIBodyText"/>
    <w:uiPriority w:val="4"/>
    <w:qFormat/>
    <w:rsid w:val="00C315C3"/>
    <w:rPr>
      <w:rFonts w:asciiTheme="minorHAnsi" w:hAnsiTheme="minorHAnsi"/>
    </w:rPr>
  </w:style>
  <w:style w:type="character" w:styleId="Hyperlink">
    <w:name w:val="Hyperlink"/>
    <w:basedOn w:val="DefaultParagraphFont"/>
    <w:uiPriority w:val="99"/>
    <w:unhideWhenUsed/>
    <w:locked/>
    <w:rsid w:val="006D0F3B"/>
    <w:rPr>
      <w:color w:val="000000" w:themeColor="hyperlink"/>
      <w:u w:val="single"/>
    </w:rPr>
  </w:style>
  <w:style w:type="paragraph" w:customStyle="1" w:styleId="AIHeadingnonumbers">
    <w:name w:val="AI Heading (no numbers)"/>
    <w:basedOn w:val="Normal"/>
    <w:next w:val="AIBodyText"/>
    <w:uiPriority w:val="3"/>
    <w:qFormat/>
    <w:rsid w:val="007504E7"/>
    <w:pPr>
      <w:keepNext/>
      <w:suppressAutoHyphens/>
      <w:spacing w:before="240" w:after="100" w:line="420" w:lineRule="exact"/>
      <w:contextualSpacing/>
      <w:outlineLvl w:val="2"/>
    </w:pPr>
    <w:rPr>
      <w:rFonts w:ascii="Amnesty Trade Gothic Bold Conde" w:hAnsi="Amnesty Trade Gothic Bold Conde"/>
      <w:b/>
      <w:caps/>
      <w:noProof/>
      <w:sz w:val="36"/>
      <w:lang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697607">
      <w:bodyDiv w:val="1"/>
      <w:marLeft w:val="0"/>
      <w:marRight w:val="0"/>
      <w:marTop w:val="0"/>
      <w:marBottom w:val="0"/>
      <w:divBdr>
        <w:top w:val="none" w:sz="0" w:space="0" w:color="auto"/>
        <w:left w:val="none" w:sz="0" w:space="0" w:color="auto"/>
        <w:bottom w:val="none" w:sz="0" w:space="0" w:color="auto"/>
        <w:right w:val="none" w:sz="0" w:space="0" w:color="auto"/>
      </w:divBdr>
    </w:div>
    <w:div w:id="506143051">
      <w:bodyDiv w:val="1"/>
      <w:marLeft w:val="0"/>
      <w:marRight w:val="0"/>
      <w:marTop w:val="0"/>
      <w:marBottom w:val="0"/>
      <w:divBdr>
        <w:top w:val="none" w:sz="0" w:space="0" w:color="auto"/>
        <w:left w:val="none" w:sz="0" w:space="0" w:color="auto"/>
        <w:bottom w:val="none" w:sz="0" w:space="0" w:color="auto"/>
        <w:right w:val="none" w:sz="0" w:space="0" w:color="auto"/>
      </w:divBdr>
    </w:div>
    <w:div w:id="567083124">
      <w:bodyDiv w:val="1"/>
      <w:marLeft w:val="0"/>
      <w:marRight w:val="0"/>
      <w:marTop w:val="0"/>
      <w:marBottom w:val="0"/>
      <w:divBdr>
        <w:top w:val="none" w:sz="0" w:space="0" w:color="auto"/>
        <w:left w:val="none" w:sz="0" w:space="0" w:color="auto"/>
        <w:bottom w:val="none" w:sz="0" w:space="0" w:color="auto"/>
        <w:right w:val="none" w:sz="0" w:space="0" w:color="auto"/>
      </w:divBdr>
    </w:div>
    <w:div w:id="1323510797">
      <w:bodyDiv w:val="1"/>
      <w:marLeft w:val="0"/>
      <w:marRight w:val="0"/>
      <w:marTop w:val="0"/>
      <w:marBottom w:val="0"/>
      <w:divBdr>
        <w:top w:val="none" w:sz="0" w:space="0" w:color="auto"/>
        <w:left w:val="none" w:sz="0" w:space="0" w:color="auto"/>
        <w:bottom w:val="none" w:sz="0" w:space="0" w:color="auto"/>
        <w:right w:val="none" w:sz="0" w:space="0" w:color="auto"/>
      </w:divBdr>
    </w:div>
    <w:div w:id="1488354264">
      <w:bodyDiv w:val="1"/>
      <w:marLeft w:val="0"/>
      <w:marRight w:val="0"/>
      <w:marTop w:val="0"/>
      <w:marBottom w:val="0"/>
      <w:divBdr>
        <w:top w:val="none" w:sz="0" w:space="0" w:color="auto"/>
        <w:left w:val="none" w:sz="0" w:space="0" w:color="auto"/>
        <w:bottom w:val="none" w:sz="0" w:space="0" w:color="auto"/>
        <w:right w:val="none" w:sz="0" w:space="0" w:color="auto"/>
      </w:divBdr>
    </w:div>
    <w:div w:id="1978409761">
      <w:bodyDiv w:val="1"/>
      <w:marLeft w:val="0"/>
      <w:marRight w:val="0"/>
      <w:marTop w:val="0"/>
      <w:marBottom w:val="0"/>
      <w:divBdr>
        <w:top w:val="none" w:sz="0" w:space="0" w:color="auto"/>
        <w:left w:val="none" w:sz="0" w:space="0" w:color="auto"/>
        <w:bottom w:val="none" w:sz="0" w:space="0" w:color="auto"/>
        <w:right w:val="none" w:sz="0" w:space="0" w:color="auto"/>
      </w:divBdr>
    </w:div>
    <w:div w:id="2069692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romsex.org/publicaciones/l-c-vs-peru-memoria-del-litigio/" TargetMode="External"/><Relationship Id="rId18" Type="http://schemas.openxmlformats.org/officeDocument/2006/relationships/hyperlink" Target="https://amnistia.org.pe/noticia/mujeres-contaminacion-metales-toxicos/"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amnesty.org/es/documents/amr46/1675/2020/es/"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amnesty.org/en/documents/act30/6011/2017/es/"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amnesty.org/en/documents/act30/7270/2017/es/" TargetMode="External"/><Relationship Id="rId20" Type="http://schemas.openxmlformats.org/officeDocument/2006/relationships/hyperlink" Target="https://www.amnesty.org/es/documents/amr01/1353/2020/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researchgate.net/publication/245180632_La_Situacion_de_las_Personas_Trans_en_el_Peru_Aspectos_Sociales_y_Epidemiologicos" TargetMode="Externa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amnesty.org/download/Documents/AMR0133882016SPANISH.PDF" TargetMode="External"/><Relationship Id="rId23" Type="http://schemas.openxmlformats.org/officeDocument/2006/relationships/hyperlink" Target="https://www.defensoria.gob.pe/wp-content/uploads/2018/12/Informe-Defensorial-N%C2%B0-007-2018-DPADHPD-%E2%80%9CA-2-a%C3%B1os-del-Informe-Defensorial-N%C2%B0-175.-Estado-actual-de-los-derechos-de-las-personas-LGBTI%E2%80%9D.pdf"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amnesty.org/download/Documents/AMR4646232016SPANISH.pdf"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inei.gob.pe/media/MenuRecursivo/publicaciones_digitales/Est/Lib1444/libro.pdf" TargetMode="External"/><Relationship Id="rId22" Type="http://schemas.openxmlformats.org/officeDocument/2006/relationships/hyperlink" Target="https://www.gob.pe/institucion/minjus/informes-publicaciones/266215-informe-sobre-la-situacion-de-la-identidad-de-genero-de-las-personas-trans-en-el-peru" TargetMode="External"/><Relationship Id="rId27" Type="http://schemas.openxmlformats.org/officeDocument/2006/relationships/footer" Target="footer6.xml"/><Relationship Id="rId30"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www.amnesty.org/es/about/permission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info@amnesty.org" TargetMode="External"/><Relationship Id="rId1" Type="http://schemas.openxmlformats.org/officeDocument/2006/relationships/image" Target="media/image3.png"/><Relationship Id="rId4" Type="http://schemas.openxmlformats.org/officeDocument/2006/relationships/hyperlink" Target="http://www.facebook.com/AmnestyGlob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na-karinholmlund/Library/Containers/com.microsoft.Word/Data/Downloads/ES-Report-Templates/ESP-Report%20Template%20A4%20Size%20Blank%20v2017-10-rev_nov19.dotx" TargetMode="External"/></Relationships>
</file>

<file path=word/theme/theme1.xml><?xml version="1.0" encoding="utf-8"?>
<a:theme xmlns:a="http://schemas.openxmlformats.org/drawingml/2006/main" name="AI ">
  <a:themeElements>
    <a:clrScheme name="Amnesty International">
      <a:dk1>
        <a:sysClr val="windowText" lastClr="000000"/>
      </a:dk1>
      <a:lt1>
        <a:sysClr val="window" lastClr="FFFFFF"/>
      </a:lt1>
      <a:dk2>
        <a:srgbClr val="808080"/>
      </a:dk2>
      <a:lt2>
        <a:srgbClr val="FFFFFF"/>
      </a:lt2>
      <a:accent1>
        <a:srgbClr val="FFFF00"/>
      </a:accent1>
      <a:accent2>
        <a:srgbClr val="333333"/>
      </a:accent2>
      <a:accent3>
        <a:srgbClr val="666666"/>
      </a:accent3>
      <a:accent4>
        <a:srgbClr val="999999"/>
      </a:accent4>
      <a:accent5>
        <a:srgbClr val="CCCCCC"/>
      </a:accent5>
      <a:accent6>
        <a:srgbClr val="E6E6E6"/>
      </a:accent6>
      <a:hlink>
        <a:srgbClr val="000000"/>
      </a:hlink>
      <a:folHlink>
        <a:srgbClr val="FFFF00"/>
      </a:folHlink>
    </a:clrScheme>
    <a:fontScheme name="Amnesty Fonts">
      <a:majorFont>
        <a:latin typeface="Amnesty Trade Gothic Cn"/>
        <a:ea typeface=""/>
        <a:cs typeface=""/>
      </a:majorFont>
      <a:minorFont>
        <a:latin typeface="Amnesty Trade Gothic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97614B75B84E4C841CE911BA0CCB9D" ma:contentTypeVersion="0" ma:contentTypeDescription="Create a new document." ma:contentTypeScope="" ma:versionID="1767317f18db5fda6be79de3c4e3da6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287EF8-C045-4CD4-B290-8230B0DE5B46}">
  <ds:schemaRefs>
    <ds:schemaRef ds:uri="http://schemas.openxmlformats.org/officeDocument/2006/bibliography"/>
  </ds:schemaRefs>
</ds:datastoreItem>
</file>

<file path=customXml/itemProps2.xml><?xml version="1.0" encoding="utf-8"?>
<ds:datastoreItem xmlns:ds="http://schemas.openxmlformats.org/officeDocument/2006/customXml" ds:itemID="{2877C6AC-9079-48FA-A5A8-98A5AF4C2153}"/>
</file>

<file path=customXml/itemProps3.xml><?xml version="1.0" encoding="utf-8"?>
<ds:datastoreItem xmlns:ds="http://schemas.openxmlformats.org/officeDocument/2006/customXml" ds:itemID="{B0C1517C-1775-4B03-A338-FE2123CECD72}"/>
</file>

<file path=customXml/itemProps4.xml><?xml version="1.0" encoding="utf-8"?>
<ds:datastoreItem xmlns:ds="http://schemas.openxmlformats.org/officeDocument/2006/customXml" ds:itemID="{89900EAC-6CD9-40C2-97DC-2A34B25DCC9E}"/>
</file>

<file path=docProps/app.xml><?xml version="1.0" encoding="utf-8"?>
<Properties xmlns="http://schemas.openxmlformats.org/officeDocument/2006/extended-properties" xmlns:vt="http://schemas.openxmlformats.org/officeDocument/2006/docPropsVTypes">
  <Template>ESP-Report Template A4 Size Blank v2017-10-rev_nov19.dotx</Template>
  <TotalTime>16</TotalTime>
  <Pages>10</Pages>
  <Words>2438</Words>
  <Characters>13531</Characters>
  <Application>Microsoft Office Word</Application>
  <DocSecurity>0</DocSecurity>
  <Lines>229</Lines>
  <Paragraphs>70</Paragraphs>
  <ScaleCrop>false</ScaleCrop>
  <HeadingPairs>
    <vt:vector size="2" baseType="variant">
      <vt:variant>
        <vt:lpstr>Title</vt:lpstr>
      </vt:variant>
      <vt:variant>
        <vt:i4>1</vt:i4>
      </vt:variant>
    </vt:vector>
  </HeadingPairs>
  <TitlesOfParts>
    <vt:vector size="1" baseType="lpstr">
      <vt:lpstr>Report</vt:lpstr>
    </vt:vector>
  </TitlesOfParts>
  <Company>Amnesty International</Company>
  <LinksUpToDate>false</LinksUpToDate>
  <CharactersWithSpaces>15899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Microsoft Office User</dc:creator>
  <cp:keywords>Amnesty International Report</cp:keywords>
  <cp:lastModifiedBy>Anna-Karin Holmlund</cp:lastModifiedBy>
  <cp:revision>6</cp:revision>
  <cp:lastPrinted>2015-10-25T14:41:00Z</cp:lastPrinted>
  <dcterms:created xsi:type="dcterms:W3CDTF">2020-06-15T09:16:00Z</dcterms:created>
  <dcterms:modified xsi:type="dcterms:W3CDTF">2020-06-15T09:53:00Z</dcterms:modified>
  <cp:category>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0x010100F397614B75B84E4C841CE911BA0CCB9D</vt:lpwstr>
  </property>
</Properties>
</file>