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829A" w14:textId="77777777" w:rsidR="002E356A" w:rsidRDefault="002E356A" w:rsidP="002E356A">
      <w:pPr>
        <w:jc w:val="center"/>
        <w:rPr>
          <w:rFonts w:cs="Times New Roman"/>
          <w:b/>
          <w:sz w:val="22"/>
          <w:szCs w:val="22"/>
        </w:rPr>
      </w:pPr>
      <w:bookmarkStart w:id="0" w:name="_GoBack"/>
      <w:bookmarkEnd w:id="0"/>
      <w:r w:rsidRPr="00DC18E7">
        <w:rPr>
          <w:rFonts w:cs="Times New Roman"/>
          <w:b/>
          <w:noProof/>
          <w:sz w:val="28"/>
          <w:szCs w:val="28"/>
          <w:lang w:val="en-GB" w:eastAsia="en-GB"/>
        </w:rPr>
        <w:drawing>
          <wp:inline distT="0" distB="0" distL="0" distR="0" wp14:anchorId="32BE682B" wp14:editId="69C204EC">
            <wp:extent cx="2008124" cy="1694159"/>
            <wp:effectExtent l="0" t="0" r="0" b="0"/>
            <wp:docPr id="1" name="Picture 1" descr="C:\Users\IBM_ADMIN\Desktop\Carter Center\Treaty Monitoring\Templat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_ADMIN\Desktop\Carter Center\Treaty Monitoring\Templates\image001.jpg"/>
                    <pic:cNvPicPr>
                      <a:picLocks noChangeAspect="1" noChangeArrowheads="1"/>
                    </pic:cNvPicPr>
                  </pic:nvPicPr>
                  <pic:blipFill>
                    <a:blip r:embed="rId12"/>
                    <a:srcRect/>
                    <a:stretch>
                      <a:fillRect/>
                    </a:stretch>
                  </pic:blipFill>
                  <pic:spPr bwMode="auto">
                    <a:xfrm>
                      <a:off x="0" y="0"/>
                      <a:ext cx="2047183" cy="1727111"/>
                    </a:xfrm>
                    <a:prstGeom prst="rect">
                      <a:avLst/>
                    </a:prstGeom>
                    <a:noFill/>
                    <a:ln w="9525">
                      <a:noFill/>
                      <a:miter lim="800000"/>
                      <a:headEnd/>
                      <a:tailEnd/>
                    </a:ln>
                  </pic:spPr>
                </pic:pic>
              </a:graphicData>
            </a:graphic>
          </wp:inline>
        </w:drawing>
      </w:r>
    </w:p>
    <w:p w14:paraId="14FD233C" w14:textId="77777777" w:rsidR="002E356A" w:rsidRDefault="002E356A" w:rsidP="002E356A">
      <w:pPr>
        <w:jc w:val="center"/>
        <w:rPr>
          <w:rFonts w:cs="Times New Roman"/>
          <w:b/>
          <w:sz w:val="32"/>
          <w:szCs w:val="32"/>
        </w:rPr>
      </w:pPr>
    </w:p>
    <w:p w14:paraId="6F7B5317" w14:textId="24A2CF73" w:rsidR="002E356A" w:rsidRDefault="002E356A" w:rsidP="002E356A">
      <w:pPr>
        <w:jc w:val="center"/>
        <w:rPr>
          <w:rFonts w:cs="Times New Roman"/>
          <w:b/>
          <w:sz w:val="32"/>
          <w:szCs w:val="32"/>
        </w:rPr>
      </w:pPr>
      <w:r>
        <w:rPr>
          <w:rFonts w:cs="Times New Roman"/>
          <w:b/>
          <w:sz w:val="32"/>
          <w:szCs w:val="32"/>
        </w:rPr>
        <w:t>GUYANA</w:t>
      </w:r>
    </w:p>
    <w:p w14:paraId="692F9104" w14:textId="77777777" w:rsidR="002E356A" w:rsidRPr="001414A6" w:rsidRDefault="002E356A" w:rsidP="002E356A">
      <w:pPr>
        <w:jc w:val="center"/>
        <w:rPr>
          <w:rFonts w:cs="Times New Roman"/>
          <w:b/>
          <w:sz w:val="32"/>
          <w:szCs w:val="32"/>
        </w:rPr>
      </w:pPr>
    </w:p>
    <w:p w14:paraId="60DB2370" w14:textId="77777777" w:rsidR="002E356A" w:rsidRDefault="002E356A" w:rsidP="002E356A">
      <w:pPr>
        <w:jc w:val="center"/>
        <w:rPr>
          <w:rFonts w:cs="Times New Roman"/>
          <w:b/>
        </w:rPr>
      </w:pPr>
    </w:p>
    <w:p w14:paraId="51EB697C" w14:textId="77777777" w:rsidR="002E356A" w:rsidRPr="007A023E" w:rsidRDefault="002E356A" w:rsidP="002E356A">
      <w:pPr>
        <w:jc w:val="center"/>
        <w:rPr>
          <w:rFonts w:cs="Times New Roman"/>
          <w:b/>
          <w:sz w:val="29"/>
          <w:szCs w:val="29"/>
        </w:rPr>
      </w:pPr>
      <w:r w:rsidRPr="007A023E">
        <w:rPr>
          <w:rFonts w:cs="Times New Roman"/>
          <w:b/>
          <w:sz w:val="29"/>
          <w:szCs w:val="29"/>
        </w:rPr>
        <w:t>NGO Submission to the U. N. Human Rights Committee</w:t>
      </w:r>
    </w:p>
    <w:p w14:paraId="4F3AA62B" w14:textId="77777777" w:rsidR="002E356A" w:rsidRPr="007A023E" w:rsidRDefault="002E356A" w:rsidP="002E356A">
      <w:pPr>
        <w:jc w:val="center"/>
        <w:rPr>
          <w:rFonts w:cs="Times New Roman"/>
          <w:b/>
          <w:sz w:val="29"/>
          <w:szCs w:val="29"/>
        </w:rPr>
      </w:pPr>
    </w:p>
    <w:p w14:paraId="18059D95" w14:textId="77777777" w:rsidR="002E356A" w:rsidRPr="007A023E" w:rsidRDefault="002E356A" w:rsidP="002E356A">
      <w:pPr>
        <w:jc w:val="center"/>
        <w:rPr>
          <w:rFonts w:cs="Times New Roman"/>
          <w:b/>
          <w:sz w:val="29"/>
          <w:szCs w:val="29"/>
        </w:rPr>
      </w:pPr>
    </w:p>
    <w:p w14:paraId="2A7B2E6E" w14:textId="77777777" w:rsidR="002E356A" w:rsidRPr="007A023E" w:rsidRDefault="002E356A" w:rsidP="002E356A">
      <w:pPr>
        <w:jc w:val="center"/>
        <w:rPr>
          <w:rFonts w:cs="Times New Roman"/>
          <w:bCs/>
          <w:sz w:val="29"/>
          <w:szCs w:val="29"/>
        </w:rPr>
      </w:pPr>
      <w:r w:rsidRPr="007A023E">
        <w:rPr>
          <w:rFonts w:cs="Times New Roman"/>
          <w:bCs/>
          <w:sz w:val="29"/>
          <w:szCs w:val="29"/>
        </w:rPr>
        <w:t xml:space="preserve">List of Issues Prior to Reporting: 129th session </w:t>
      </w:r>
    </w:p>
    <w:p w14:paraId="52B0E882" w14:textId="77777777" w:rsidR="002E356A" w:rsidRPr="007A023E" w:rsidRDefault="002E356A" w:rsidP="002E356A">
      <w:pPr>
        <w:jc w:val="center"/>
        <w:rPr>
          <w:rFonts w:cs="Times New Roman"/>
          <w:bCs/>
          <w:sz w:val="29"/>
          <w:szCs w:val="29"/>
        </w:rPr>
      </w:pPr>
      <w:r w:rsidRPr="007A023E">
        <w:rPr>
          <w:rFonts w:cs="Times New Roman"/>
          <w:bCs/>
          <w:sz w:val="29"/>
          <w:szCs w:val="29"/>
        </w:rPr>
        <w:t>(June - July 2020, Geneva)</w:t>
      </w:r>
    </w:p>
    <w:p w14:paraId="67D4A60E" w14:textId="77777777" w:rsidR="002E356A" w:rsidRDefault="002E356A" w:rsidP="002E356A">
      <w:pPr>
        <w:jc w:val="center"/>
        <w:rPr>
          <w:rFonts w:cs="Times New Roman"/>
          <w:b/>
        </w:rPr>
      </w:pPr>
    </w:p>
    <w:p w14:paraId="63F35754" w14:textId="77777777" w:rsidR="002E356A" w:rsidRPr="00F96942" w:rsidRDefault="002E356A" w:rsidP="002E356A">
      <w:pPr>
        <w:jc w:val="center"/>
        <w:rPr>
          <w:rFonts w:cs="Times New Roman"/>
          <w:b/>
          <w:sz w:val="28"/>
          <w:szCs w:val="28"/>
        </w:rPr>
      </w:pPr>
    </w:p>
    <w:p w14:paraId="096A0F1B" w14:textId="77777777" w:rsidR="002E356A" w:rsidRPr="00F96942" w:rsidRDefault="002E356A" w:rsidP="002E356A">
      <w:pPr>
        <w:jc w:val="center"/>
        <w:rPr>
          <w:rFonts w:cs="Times New Roman"/>
          <w:b/>
          <w:sz w:val="28"/>
          <w:szCs w:val="28"/>
        </w:rPr>
      </w:pPr>
    </w:p>
    <w:p w14:paraId="23073685" w14:textId="77777777" w:rsidR="002E356A" w:rsidRDefault="002E356A" w:rsidP="002E356A">
      <w:pPr>
        <w:rPr>
          <w:rFonts w:cs="Times New Roman"/>
          <w:b/>
          <w:bCs/>
          <w:iCs/>
        </w:rPr>
      </w:pPr>
    </w:p>
    <w:p w14:paraId="1F10ABF2" w14:textId="77777777" w:rsidR="002E356A" w:rsidRDefault="002E356A" w:rsidP="002E356A">
      <w:pPr>
        <w:rPr>
          <w:rFonts w:cs="Times New Roman"/>
          <w:b/>
          <w:bCs/>
          <w:iCs/>
        </w:rPr>
      </w:pPr>
    </w:p>
    <w:p w14:paraId="0882E4E4" w14:textId="77777777" w:rsidR="002E356A" w:rsidRDefault="002E356A" w:rsidP="002E356A">
      <w:pPr>
        <w:rPr>
          <w:rFonts w:cs="Times New Roman"/>
          <w:b/>
          <w:bCs/>
          <w:iCs/>
        </w:rPr>
      </w:pPr>
    </w:p>
    <w:p w14:paraId="34BC9BDB" w14:textId="77777777" w:rsidR="002E356A" w:rsidRPr="0083375D" w:rsidRDefault="002E356A" w:rsidP="002E356A">
      <w:pPr>
        <w:rPr>
          <w:rFonts w:cs="Times New Roman"/>
          <w:b/>
          <w:bCs/>
          <w:iCs/>
        </w:rPr>
      </w:pPr>
      <w:r w:rsidRPr="0083375D">
        <w:rPr>
          <w:rFonts w:cs="Times New Roman"/>
          <w:b/>
          <w:bCs/>
          <w:iCs/>
        </w:rPr>
        <w:t>Submitted by: The Carter Center</w:t>
      </w:r>
    </w:p>
    <w:p w14:paraId="42B3F71A" w14:textId="77777777" w:rsidR="002E356A" w:rsidRPr="0083375D" w:rsidRDefault="002E356A" w:rsidP="002E356A">
      <w:pPr>
        <w:rPr>
          <w:rFonts w:cs="Times New Roman"/>
          <w:b/>
          <w:bCs/>
          <w:iCs/>
        </w:rPr>
      </w:pPr>
      <w:r w:rsidRPr="0083375D">
        <w:rPr>
          <w:rFonts w:cs="Times New Roman"/>
          <w:b/>
          <w:bCs/>
          <w:iCs/>
        </w:rPr>
        <w:t>Contact Name: David Carroll, Director, Democracy Program</w:t>
      </w:r>
    </w:p>
    <w:p w14:paraId="0D1B726C" w14:textId="7D095AC3" w:rsidR="002E356A" w:rsidRPr="0083375D" w:rsidRDefault="002E356A" w:rsidP="002E356A">
      <w:pPr>
        <w:rPr>
          <w:rFonts w:cs="Times New Roman"/>
          <w:b/>
          <w:bCs/>
          <w:iCs/>
        </w:rPr>
      </w:pPr>
      <w:r w:rsidRPr="0083375D">
        <w:rPr>
          <w:rFonts w:cs="Times New Roman"/>
          <w:b/>
          <w:bCs/>
          <w:iCs/>
        </w:rPr>
        <w:t>Contact email:</w:t>
      </w:r>
      <w:r w:rsidRPr="007A023E">
        <w:rPr>
          <w:rFonts w:cs="Times New Roman"/>
          <w:b/>
          <w:bCs/>
          <w:iCs/>
        </w:rPr>
        <w:t xml:space="preserve"> </w:t>
      </w:r>
      <w:hyperlink r:id="rId13" w:history="1">
        <w:r w:rsidR="00BF5805">
          <w:rPr>
            <w:rStyle w:val="Hyperlink"/>
            <w:b/>
            <w:bCs/>
            <w:iCs/>
          </w:rPr>
          <w:t>david.</w:t>
        </w:r>
      </w:hyperlink>
      <w:r w:rsidR="00BF5805">
        <w:rPr>
          <w:rStyle w:val="Hyperlink"/>
          <w:b/>
          <w:bCs/>
          <w:iCs/>
        </w:rPr>
        <w:t>carroll@cartercenter.org</w:t>
      </w:r>
    </w:p>
    <w:p w14:paraId="710141C5" w14:textId="77777777" w:rsidR="002E356A" w:rsidRPr="0083375D" w:rsidRDefault="002E356A" w:rsidP="002E356A">
      <w:pPr>
        <w:rPr>
          <w:rFonts w:cs="Times New Roman"/>
          <w:b/>
          <w:bCs/>
          <w:iCs/>
        </w:rPr>
      </w:pPr>
      <w:r w:rsidRPr="0083375D">
        <w:rPr>
          <w:rFonts w:cs="Times New Roman"/>
          <w:b/>
          <w:bCs/>
          <w:iCs/>
        </w:rPr>
        <w:t xml:space="preserve">Website: </w:t>
      </w:r>
      <w:r w:rsidRPr="0083375D">
        <w:rPr>
          <w:rFonts w:cs="Times New Roman"/>
          <w:b/>
          <w:bCs/>
          <w:iCs/>
          <w:u w:val="single"/>
        </w:rPr>
        <w:t>www.cartercenter.org</w:t>
      </w:r>
    </w:p>
    <w:p w14:paraId="584506AB" w14:textId="77777777" w:rsidR="002E356A" w:rsidRDefault="002E356A" w:rsidP="002E356A">
      <w:pPr>
        <w:jc w:val="center"/>
        <w:rPr>
          <w:rFonts w:cs="Times New Roman"/>
          <w:i/>
          <w:color w:val="FF0000"/>
          <w:sz w:val="22"/>
          <w:szCs w:val="22"/>
        </w:rPr>
      </w:pPr>
    </w:p>
    <w:p w14:paraId="6F9E2D8C" w14:textId="77777777" w:rsidR="002E356A" w:rsidRDefault="002E356A" w:rsidP="007E59D8">
      <w:pPr>
        <w:rPr>
          <w:rFonts w:cs="Times New Roman"/>
          <w:i/>
          <w:color w:val="FF0000"/>
          <w:sz w:val="22"/>
          <w:szCs w:val="22"/>
        </w:rPr>
      </w:pPr>
    </w:p>
    <w:p w14:paraId="2368D63C" w14:textId="77777777" w:rsidR="007E59D8" w:rsidRDefault="007E59D8" w:rsidP="00042E06">
      <w:pPr>
        <w:jc w:val="both"/>
        <w:rPr>
          <w:rFonts w:eastAsia="Times New Roman" w:cs="Times New Roman"/>
          <w:sz w:val="21"/>
          <w:szCs w:val="21"/>
        </w:rPr>
      </w:pPr>
      <w:r w:rsidRPr="04D79BB2">
        <w:rPr>
          <w:rFonts w:eastAsia="Times New Roman" w:cs="Times New Roman"/>
          <w:i/>
          <w:iCs/>
          <w:sz w:val="21"/>
          <w:szCs w:val="21"/>
        </w:rPr>
        <w:t xml:space="preserve">The Carter Center is a not-for-profit, nongovernmental organization that has helped to improve life for people in more than 80 countries by resolving conflicts; advancing democracy, human rights, and economic opportunity; preventing diseases; and improving mental health care. The Carter Center was founded in 1982 by former U.S. President Jimmy Carter and his wife, Rosalynn, in partnership with Emory University to advance peace and health worldwide. </w:t>
      </w:r>
    </w:p>
    <w:p w14:paraId="07EF93D7" w14:textId="77777777" w:rsidR="007E59D8" w:rsidRDefault="007E59D8" w:rsidP="007E59D8">
      <w:pPr>
        <w:rPr>
          <w:rFonts w:eastAsia="Times New Roman" w:cs="Times New Roman"/>
          <w:sz w:val="21"/>
          <w:szCs w:val="21"/>
        </w:rPr>
      </w:pPr>
    </w:p>
    <w:p w14:paraId="5E24AFB6" w14:textId="7790B792" w:rsidR="002E356A" w:rsidRDefault="007E59D8" w:rsidP="00042E06">
      <w:pPr>
        <w:jc w:val="both"/>
        <w:rPr>
          <w:rFonts w:cs="Times New Roman"/>
          <w:i/>
          <w:color w:val="FF0000"/>
          <w:sz w:val="22"/>
          <w:szCs w:val="22"/>
        </w:rPr>
      </w:pPr>
      <w:r w:rsidRPr="04D79BB2">
        <w:rPr>
          <w:rFonts w:eastAsia="Times New Roman" w:cs="Times New Roman"/>
          <w:i/>
          <w:iCs/>
          <w:sz w:val="21"/>
          <w:szCs w:val="21"/>
        </w:rPr>
        <w:t>The Carter Center’s Democracy Program works globally to promote democratic elections and governance consistent with human rights. The Center has monitored more than 1</w:t>
      </w:r>
      <w:r w:rsidR="00BF5805">
        <w:rPr>
          <w:rFonts w:eastAsia="Times New Roman" w:cs="Times New Roman"/>
          <w:i/>
          <w:iCs/>
          <w:sz w:val="21"/>
          <w:szCs w:val="21"/>
        </w:rPr>
        <w:t>1</w:t>
      </w:r>
      <w:r w:rsidRPr="04D79BB2">
        <w:rPr>
          <w:rFonts w:eastAsia="Times New Roman" w:cs="Times New Roman"/>
          <w:i/>
          <w:iCs/>
          <w:sz w:val="21"/>
          <w:szCs w:val="21"/>
        </w:rPr>
        <w:t>0 elections in 3</w:t>
      </w:r>
      <w:r w:rsidR="00BF5805">
        <w:rPr>
          <w:rFonts w:eastAsia="Times New Roman" w:cs="Times New Roman"/>
          <w:i/>
          <w:iCs/>
          <w:sz w:val="21"/>
          <w:szCs w:val="21"/>
        </w:rPr>
        <w:t>9</w:t>
      </w:r>
      <w:r w:rsidRPr="04D79BB2">
        <w:rPr>
          <w:rFonts w:eastAsia="Times New Roman" w:cs="Times New Roman"/>
          <w:i/>
          <w:iCs/>
          <w:sz w:val="21"/>
          <w:szCs w:val="21"/>
        </w:rPr>
        <w:t xml:space="preserve"> countries since 1989, forging many of the techniques now common to the field. Recognizing that democratic transitions involve much more than elections, the Center also conducts long-term monitoring of political transitions and works to strengthen civil society organizations to support democratic governance. The Democratic Election Standards (DES) initiative aims to build consensus on standards for democratic elections, based on state obligations under public international law.</w:t>
      </w:r>
    </w:p>
    <w:p w14:paraId="6A726606" w14:textId="77777777" w:rsidR="00AA5C53" w:rsidRDefault="00AA5C53">
      <w:pPr>
        <w:spacing w:after="160" w:line="259" w:lineRule="auto"/>
        <w:rPr>
          <w:rFonts w:asciiTheme="majorHAnsi" w:eastAsiaTheme="majorEastAsia" w:hAnsiTheme="majorHAnsi" w:cstheme="majorBidi"/>
          <w:color w:val="2F5496" w:themeColor="accent1" w:themeShade="BF"/>
          <w:sz w:val="32"/>
          <w:szCs w:val="32"/>
        </w:rPr>
      </w:pPr>
      <w:r>
        <w:br w:type="page"/>
      </w:r>
    </w:p>
    <w:sdt>
      <w:sdtPr>
        <w:rPr>
          <w:rFonts w:ascii="Times New Roman" w:eastAsia="MS Mincho" w:hAnsi="Times New Roman" w:cs="Arial"/>
          <w:b w:val="0"/>
          <w:bCs w:val="0"/>
          <w:color w:val="auto"/>
          <w:sz w:val="24"/>
          <w:szCs w:val="24"/>
          <w:lang w:eastAsia="ja-JP"/>
        </w:rPr>
        <w:id w:val="1898857353"/>
        <w:docPartObj>
          <w:docPartGallery w:val="Table of Contents"/>
          <w:docPartUnique/>
        </w:docPartObj>
      </w:sdtPr>
      <w:sdtEndPr>
        <w:rPr>
          <w:noProof/>
        </w:rPr>
      </w:sdtEndPr>
      <w:sdtContent>
        <w:p w14:paraId="5C9730A1" w14:textId="3688C918" w:rsidR="004A1A4A" w:rsidRDefault="004A1A4A">
          <w:pPr>
            <w:pStyle w:val="TOCHeading"/>
          </w:pPr>
          <w:r>
            <w:t>Table of Contents</w:t>
          </w:r>
        </w:p>
        <w:p w14:paraId="5C4C4502" w14:textId="11A50D8A" w:rsidR="00BC0789" w:rsidRDefault="004A1A4A">
          <w:pPr>
            <w:pStyle w:val="TOC1"/>
            <w:tabs>
              <w:tab w:val="right" w:leader="dot" w:pos="9350"/>
            </w:tabs>
            <w:rPr>
              <w:rFonts w:eastAsiaTheme="minorEastAsia" w:cstheme="minorBidi"/>
              <w:b w:val="0"/>
              <w:bCs w:val="0"/>
              <w:i w:val="0"/>
              <w:iCs w:val="0"/>
              <w:noProof/>
              <w:lang w:eastAsia="en-US"/>
            </w:rPr>
          </w:pPr>
          <w:r>
            <w:rPr>
              <w:b w:val="0"/>
              <w:bCs w:val="0"/>
            </w:rPr>
            <w:fldChar w:fldCharType="begin"/>
          </w:r>
          <w:r>
            <w:instrText xml:space="preserve"> TOC \o "1-3" \h \z \u </w:instrText>
          </w:r>
          <w:r>
            <w:rPr>
              <w:b w:val="0"/>
              <w:bCs w:val="0"/>
            </w:rPr>
            <w:fldChar w:fldCharType="separate"/>
          </w:r>
          <w:hyperlink w:anchor="_Toc41553067" w:history="1">
            <w:r w:rsidR="00BC0789" w:rsidRPr="002958A8">
              <w:rPr>
                <w:rStyle w:val="Hyperlink"/>
                <w:noProof/>
              </w:rPr>
              <w:t>Reporting Organization</w:t>
            </w:r>
            <w:r w:rsidR="00BC0789">
              <w:rPr>
                <w:noProof/>
                <w:webHidden/>
              </w:rPr>
              <w:tab/>
            </w:r>
            <w:r w:rsidR="00BC0789">
              <w:rPr>
                <w:noProof/>
                <w:webHidden/>
              </w:rPr>
              <w:fldChar w:fldCharType="begin"/>
            </w:r>
            <w:r w:rsidR="00BC0789">
              <w:rPr>
                <w:noProof/>
                <w:webHidden/>
              </w:rPr>
              <w:instrText xml:space="preserve"> PAGEREF _Toc41553067 \h </w:instrText>
            </w:r>
            <w:r w:rsidR="00BC0789">
              <w:rPr>
                <w:noProof/>
                <w:webHidden/>
              </w:rPr>
            </w:r>
            <w:r w:rsidR="00BC0789">
              <w:rPr>
                <w:noProof/>
                <w:webHidden/>
              </w:rPr>
              <w:fldChar w:fldCharType="separate"/>
            </w:r>
            <w:r w:rsidR="00BC0789">
              <w:rPr>
                <w:noProof/>
                <w:webHidden/>
              </w:rPr>
              <w:t>2</w:t>
            </w:r>
            <w:r w:rsidR="00BC0789">
              <w:rPr>
                <w:noProof/>
                <w:webHidden/>
              </w:rPr>
              <w:fldChar w:fldCharType="end"/>
            </w:r>
          </w:hyperlink>
        </w:p>
        <w:p w14:paraId="75003CA8" w14:textId="168F9737" w:rsidR="00BC0789" w:rsidRDefault="00CD6D01">
          <w:pPr>
            <w:pStyle w:val="TOC2"/>
            <w:tabs>
              <w:tab w:val="right" w:leader="dot" w:pos="9350"/>
            </w:tabs>
            <w:rPr>
              <w:rFonts w:eastAsiaTheme="minorEastAsia" w:cstheme="minorBidi"/>
              <w:b w:val="0"/>
              <w:bCs w:val="0"/>
              <w:noProof/>
              <w:sz w:val="24"/>
              <w:szCs w:val="24"/>
              <w:lang w:eastAsia="en-US"/>
            </w:rPr>
          </w:pPr>
          <w:hyperlink w:anchor="_Toc41553068" w:history="1">
            <w:r w:rsidR="00BC0789" w:rsidRPr="002958A8">
              <w:rPr>
                <w:rStyle w:val="Hyperlink"/>
                <w:noProof/>
              </w:rPr>
              <w:t>The Carter Center in Guyana</w:t>
            </w:r>
            <w:r w:rsidR="00BC0789">
              <w:rPr>
                <w:noProof/>
                <w:webHidden/>
              </w:rPr>
              <w:tab/>
            </w:r>
            <w:r w:rsidR="00BC0789">
              <w:rPr>
                <w:noProof/>
                <w:webHidden/>
              </w:rPr>
              <w:fldChar w:fldCharType="begin"/>
            </w:r>
            <w:r w:rsidR="00BC0789">
              <w:rPr>
                <w:noProof/>
                <w:webHidden/>
              </w:rPr>
              <w:instrText xml:space="preserve"> PAGEREF _Toc41553068 \h </w:instrText>
            </w:r>
            <w:r w:rsidR="00BC0789">
              <w:rPr>
                <w:noProof/>
                <w:webHidden/>
              </w:rPr>
            </w:r>
            <w:r w:rsidR="00BC0789">
              <w:rPr>
                <w:noProof/>
                <w:webHidden/>
              </w:rPr>
              <w:fldChar w:fldCharType="separate"/>
            </w:r>
            <w:r w:rsidR="00BC0789">
              <w:rPr>
                <w:noProof/>
                <w:webHidden/>
              </w:rPr>
              <w:t>2</w:t>
            </w:r>
            <w:r w:rsidR="00BC0789">
              <w:rPr>
                <w:noProof/>
                <w:webHidden/>
              </w:rPr>
              <w:fldChar w:fldCharType="end"/>
            </w:r>
          </w:hyperlink>
        </w:p>
        <w:p w14:paraId="2523FE8E" w14:textId="4847676B" w:rsidR="00BC0789" w:rsidRDefault="00CD6D01">
          <w:pPr>
            <w:pStyle w:val="TOC1"/>
            <w:tabs>
              <w:tab w:val="right" w:leader="dot" w:pos="9350"/>
            </w:tabs>
            <w:rPr>
              <w:rFonts w:eastAsiaTheme="minorEastAsia" w:cstheme="minorBidi"/>
              <w:b w:val="0"/>
              <w:bCs w:val="0"/>
              <w:i w:val="0"/>
              <w:iCs w:val="0"/>
              <w:noProof/>
              <w:lang w:eastAsia="en-US"/>
            </w:rPr>
          </w:pPr>
          <w:hyperlink w:anchor="_Toc41553069" w:history="1">
            <w:r w:rsidR="00BC0789" w:rsidRPr="002958A8">
              <w:rPr>
                <w:rStyle w:val="Hyperlink"/>
                <w:noProof/>
              </w:rPr>
              <w:t>Issues and Suggested Questions for the Human Rights Committee</w:t>
            </w:r>
            <w:r w:rsidR="00BC0789">
              <w:rPr>
                <w:noProof/>
                <w:webHidden/>
              </w:rPr>
              <w:tab/>
            </w:r>
            <w:r w:rsidR="00BC0789">
              <w:rPr>
                <w:noProof/>
                <w:webHidden/>
              </w:rPr>
              <w:fldChar w:fldCharType="begin"/>
            </w:r>
            <w:r w:rsidR="00BC0789">
              <w:rPr>
                <w:noProof/>
                <w:webHidden/>
              </w:rPr>
              <w:instrText xml:space="preserve"> PAGEREF _Toc41553069 \h </w:instrText>
            </w:r>
            <w:r w:rsidR="00BC0789">
              <w:rPr>
                <w:noProof/>
                <w:webHidden/>
              </w:rPr>
            </w:r>
            <w:r w:rsidR="00BC0789">
              <w:rPr>
                <w:noProof/>
                <w:webHidden/>
              </w:rPr>
              <w:fldChar w:fldCharType="separate"/>
            </w:r>
            <w:r w:rsidR="00BC0789">
              <w:rPr>
                <w:noProof/>
                <w:webHidden/>
              </w:rPr>
              <w:t>3</w:t>
            </w:r>
            <w:r w:rsidR="00BC0789">
              <w:rPr>
                <w:noProof/>
                <w:webHidden/>
              </w:rPr>
              <w:fldChar w:fldCharType="end"/>
            </w:r>
          </w:hyperlink>
        </w:p>
        <w:p w14:paraId="70E95B6F" w14:textId="4A2773EE" w:rsidR="00BC0789" w:rsidRDefault="00CD6D01">
          <w:pPr>
            <w:pStyle w:val="TOC2"/>
            <w:tabs>
              <w:tab w:val="right" w:leader="dot" w:pos="9350"/>
            </w:tabs>
            <w:rPr>
              <w:rFonts w:eastAsiaTheme="minorEastAsia" w:cstheme="minorBidi"/>
              <w:b w:val="0"/>
              <w:bCs w:val="0"/>
              <w:noProof/>
              <w:sz w:val="24"/>
              <w:szCs w:val="24"/>
              <w:lang w:eastAsia="en-US"/>
            </w:rPr>
          </w:pPr>
          <w:hyperlink w:anchor="_Toc41553070" w:history="1">
            <w:r w:rsidR="00BC0789" w:rsidRPr="002958A8">
              <w:rPr>
                <w:rStyle w:val="Hyperlink"/>
                <w:noProof/>
              </w:rPr>
              <w:t>Article 25: The Institutions of Elections</w:t>
            </w:r>
            <w:r w:rsidR="00BC0789">
              <w:rPr>
                <w:noProof/>
                <w:webHidden/>
              </w:rPr>
              <w:tab/>
            </w:r>
            <w:r w:rsidR="00BC0789">
              <w:rPr>
                <w:noProof/>
                <w:webHidden/>
              </w:rPr>
              <w:fldChar w:fldCharType="begin"/>
            </w:r>
            <w:r w:rsidR="00BC0789">
              <w:rPr>
                <w:noProof/>
                <w:webHidden/>
              </w:rPr>
              <w:instrText xml:space="preserve"> PAGEREF _Toc41553070 \h </w:instrText>
            </w:r>
            <w:r w:rsidR="00BC0789">
              <w:rPr>
                <w:noProof/>
                <w:webHidden/>
              </w:rPr>
            </w:r>
            <w:r w:rsidR="00BC0789">
              <w:rPr>
                <w:noProof/>
                <w:webHidden/>
              </w:rPr>
              <w:fldChar w:fldCharType="separate"/>
            </w:r>
            <w:r w:rsidR="00BC0789">
              <w:rPr>
                <w:noProof/>
                <w:webHidden/>
              </w:rPr>
              <w:t>3</w:t>
            </w:r>
            <w:r w:rsidR="00BC0789">
              <w:rPr>
                <w:noProof/>
                <w:webHidden/>
              </w:rPr>
              <w:fldChar w:fldCharType="end"/>
            </w:r>
          </w:hyperlink>
        </w:p>
        <w:p w14:paraId="4365A6F6" w14:textId="338A9F2B" w:rsidR="00BC0789" w:rsidRDefault="00CD6D01">
          <w:pPr>
            <w:pStyle w:val="TOC3"/>
            <w:tabs>
              <w:tab w:val="right" w:leader="dot" w:pos="9350"/>
            </w:tabs>
            <w:rPr>
              <w:rFonts w:eastAsiaTheme="minorEastAsia" w:cstheme="minorBidi"/>
              <w:noProof/>
              <w:sz w:val="24"/>
              <w:szCs w:val="24"/>
              <w:lang w:eastAsia="en-US"/>
            </w:rPr>
          </w:pPr>
          <w:hyperlink w:anchor="_Toc41553071" w:history="1">
            <w:r w:rsidR="00BC0789" w:rsidRPr="002958A8">
              <w:rPr>
                <w:rStyle w:val="Hyperlink"/>
                <w:noProof/>
              </w:rPr>
              <w:t>Independence and Impartiality of the Election Management Body:</w:t>
            </w:r>
            <w:r w:rsidR="00BC0789">
              <w:rPr>
                <w:noProof/>
                <w:webHidden/>
              </w:rPr>
              <w:tab/>
            </w:r>
            <w:r w:rsidR="00BC0789">
              <w:rPr>
                <w:noProof/>
                <w:webHidden/>
              </w:rPr>
              <w:fldChar w:fldCharType="begin"/>
            </w:r>
            <w:r w:rsidR="00BC0789">
              <w:rPr>
                <w:noProof/>
                <w:webHidden/>
              </w:rPr>
              <w:instrText xml:space="preserve"> PAGEREF _Toc41553071 \h </w:instrText>
            </w:r>
            <w:r w:rsidR="00BC0789">
              <w:rPr>
                <w:noProof/>
                <w:webHidden/>
              </w:rPr>
            </w:r>
            <w:r w:rsidR="00BC0789">
              <w:rPr>
                <w:noProof/>
                <w:webHidden/>
              </w:rPr>
              <w:fldChar w:fldCharType="separate"/>
            </w:r>
            <w:r w:rsidR="00BC0789">
              <w:rPr>
                <w:noProof/>
                <w:webHidden/>
              </w:rPr>
              <w:t>3</w:t>
            </w:r>
            <w:r w:rsidR="00BC0789">
              <w:rPr>
                <w:noProof/>
                <w:webHidden/>
              </w:rPr>
              <w:fldChar w:fldCharType="end"/>
            </w:r>
          </w:hyperlink>
        </w:p>
        <w:p w14:paraId="2DC30C1A" w14:textId="4365C2AB" w:rsidR="00BC0789" w:rsidRDefault="00CD6D01">
          <w:pPr>
            <w:pStyle w:val="TOC3"/>
            <w:tabs>
              <w:tab w:val="right" w:leader="dot" w:pos="9350"/>
            </w:tabs>
            <w:rPr>
              <w:rFonts w:eastAsiaTheme="minorEastAsia" w:cstheme="minorBidi"/>
              <w:noProof/>
              <w:sz w:val="24"/>
              <w:szCs w:val="24"/>
              <w:lang w:eastAsia="en-US"/>
            </w:rPr>
          </w:pPr>
          <w:hyperlink w:anchor="_Toc41553072" w:history="1">
            <w:r w:rsidR="00BC0789" w:rsidRPr="002958A8">
              <w:rPr>
                <w:rStyle w:val="Hyperlink"/>
                <w:noProof/>
              </w:rPr>
              <w:t>The Electoral System:</w:t>
            </w:r>
            <w:r w:rsidR="00BC0789">
              <w:rPr>
                <w:noProof/>
                <w:webHidden/>
              </w:rPr>
              <w:tab/>
            </w:r>
            <w:r w:rsidR="00BC0789">
              <w:rPr>
                <w:noProof/>
                <w:webHidden/>
              </w:rPr>
              <w:fldChar w:fldCharType="begin"/>
            </w:r>
            <w:r w:rsidR="00BC0789">
              <w:rPr>
                <w:noProof/>
                <w:webHidden/>
              </w:rPr>
              <w:instrText xml:space="preserve"> PAGEREF _Toc41553072 \h </w:instrText>
            </w:r>
            <w:r w:rsidR="00BC0789">
              <w:rPr>
                <w:noProof/>
                <w:webHidden/>
              </w:rPr>
            </w:r>
            <w:r w:rsidR="00BC0789">
              <w:rPr>
                <w:noProof/>
                <w:webHidden/>
              </w:rPr>
              <w:fldChar w:fldCharType="separate"/>
            </w:r>
            <w:r w:rsidR="00BC0789">
              <w:rPr>
                <w:noProof/>
                <w:webHidden/>
              </w:rPr>
              <w:t>4</w:t>
            </w:r>
            <w:r w:rsidR="00BC0789">
              <w:rPr>
                <w:noProof/>
                <w:webHidden/>
              </w:rPr>
              <w:fldChar w:fldCharType="end"/>
            </w:r>
          </w:hyperlink>
        </w:p>
        <w:p w14:paraId="2EB40807" w14:textId="7F2932FA" w:rsidR="00BC0789" w:rsidRDefault="00CD6D01">
          <w:pPr>
            <w:pStyle w:val="TOC2"/>
            <w:tabs>
              <w:tab w:val="right" w:leader="dot" w:pos="9350"/>
            </w:tabs>
            <w:rPr>
              <w:rFonts w:eastAsiaTheme="minorEastAsia" w:cstheme="minorBidi"/>
              <w:b w:val="0"/>
              <w:bCs w:val="0"/>
              <w:noProof/>
              <w:sz w:val="24"/>
              <w:szCs w:val="24"/>
              <w:lang w:eastAsia="en-US"/>
            </w:rPr>
          </w:pPr>
          <w:hyperlink w:anchor="_Toc41553073" w:history="1">
            <w:r w:rsidR="00BC0789" w:rsidRPr="002958A8">
              <w:rPr>
                <w:rStyle w:val="Hyperlink"/>
                <w:noProof/>
              </w:rPr>
              <w:t>Overhaul and Modernize Campaign Finance Laws</w:t>
            </w:r>
            <w:r w:rsidR="00BC0789">
              <w:rPr>
                <w:noProof/>
                <w:webHidden/>
              </w:rPr>
              <w:tab/>
            </w:r>
            <w:r w:rsidR="00BC0789">
              <w:rPr>
                <w:noProof/>
                <w:webHidden/>
              </w:rPr>
              <w:fldChar w:fldCharType="begin"/>
            </w:r>
            <w:r w:rsidR="00BC0789">
              <w:rPr>
                <w:noProof/>
                <w:webHidden/>
              </w:rPr>
              <w:instrText xml:space="preserve"> PAGEREF _Toc41553073 \h </w:instrText>
            </w:r>
            <w:r w:rsidR="00BC0789">
              <w:rPr>
                <w:noProof/>
                <w:webHidden/>
              </w:rPr>
            </w:r>
            <w:r w:rsidR="00BC0789">
              <w:rPr>
                <w:noProof/>
                <w:webHidden/>
              </w:rPr>
              <w:fldChar w:fldCharType="separate"/>
            </w:r>
            <w:r w:rsidR="00BC0789">
              <w:rPr>
                <w:noProof/>
                <w:webHidden/>
              </w:rPr>
              <w:t>5</w:t>
            </w:r>
            <w:r w:rsidR="00BC0789">
              <w:rPr>
                <w:noProof/>
                <w:webHidden/>
              </w:rPr>
              <w:fldChar w:fldCharType="end"/>
            </w:r>
          </w:hyperlink>
        </w:p>
        <w:p w14:paraId="4BA4D26D" w14:textId="1034159B" w:rsidR="00BC0789" w:rsidRDefault="00CD6D01">
          <w:pPr>
            <w:pStyle w:val="TOC3"/>
            <w:tabs>
              <w:tab w:val="right" w:leader="dot" w:pos="9350"/>
            </w:tabs>
            <w:rPr>
              <w:rFonts w:eastAsiaTheme="minorEastAsia" w:cstheme="minorBidi"/>
              <w:noProof/>
              <w:sz w:val="24"/>
              <w:szCs w:val="24"/>
              <w:lang w:eastAsia="en-US"/>
            </w:rPr>
          </w:pPr>
          <w:hyperlink w:anchor="_Toc41553074" w:history="1">
            <w:r w:rsidR="00BC0789" w:rsidRPr="002958A8">
              <w:rPr>
                <w:rStyle w:val="Hyperlink"/>
                <w:noProof/>
              </w:rPr>
              <w:t>Suggested Questions for the Committee</w:t>
            </w:r>
            <w:r w:rsidR="00BC0789">
              <w:rPr>
                <w:noProof/>
                <w:webHidden/>
              </w:rPr>
              <w:tab/>
            </w:r>
            <w:r w:rsidR="00BC0789">
              <w:rPr>
                <w:noProof/>
                <w:webHidden/>
              </w:rPr>
              <w:fldChar w:fldCharType="begin"/>
            </w:r>
            <w:r w:rsidR="00BC0789">
              <w:rPr>
                <w:noProof/>
                <w:webHidden/>
              </w:rPr>
              <w:instrText xml:space="preserve"> PAGEREF _Toc41553074 \h </w:instrText>
            </w:r>
            <w:r w:rsidR="00BC0789">
              <w:rPr>
                <w:noProof/>
                <w:webHidden/>
              </w:rPr>
            </w:r>
            <w:r w:rsidR="00BC0789">
              <w:rPr>
                <w:noProof/>
                <w:webHidden/>
              </w:rPr>
              <w:fldChar w:fldCharType="separate"/>
            </w:r>
            <w:r w:rsidR="00BC0789">
              <w:rPr>
                <w:noProof/>
                <w:webHidden/>
              </w:rPr>
              <w:t>5</w:t>
            </w:r>
            <w:r w:rsidR="00BC0789">
              <w:rPr>
                <w:noProof/>
                <w:webHidden/>
              </w:rPr>
              <w:fldChar w:fldCharType="end"/>
            </w:r>
          </w:hyperlink>
        </w:p>
        <w:p w14:paraId="0D29904B" w14:textId="6E81118C" w:rsidR="00BC0789" w:rsidRDefault="00CD6D01">
          <w:pPr>
            <w:pStyle w:val="TOC2"/>
            <w:tabs>
              <w:tab w:val="right" w:leader="dot" w:pos="9350"/>
            </w:tabs>
            <w:rPr>
              <w:rFonts w:eastAsiaTheme="minorEastAsia" w:cstheme="minorBidi"/>
              <w:b w:val="0"/>
              <w:bCs w:val="0"/>
              <w:noProof/>
              <w:sz w:val="24"/>
              <w:szCs w:val="24"/>
              <w:lang w:eastAsia="en-US"/>
            </w:rPr>
          </w:pPr>
          <w:hyperlink w:anchor="_Toc41553075" w:history="1">
            <w:r w:rsidR="00BC0789" w:rsidRPr="002958A8">
              <w:rPr>
                <w:rStyle w:val="Hyperlink"/>
                <w:noProof/>
              </w:rPr>
              <w:t>Articles 3 and 25: Equality between Men and Women</w:t>
            </w:r>
            <w:r w:rsidR="00BC0789">
              <w:rPr>
                <w:noProof/>
                <w:webHidden/>
              </w:rPr>
              <w:tab/>
            </w:r>
            <w:r w:rsidR="00BC0789">
              <w:rPr>
                <w:noProof/>
                <w:webHidden/>
              </w:rPr>
              <w:fldChar w:fldCharType="begin"/>
            </w:r>
            <w:r w:rsidR="00BC0789">
              <w:rPr>
                <w:noProof/>
                <w:webHidden/>
              </w:rPr>
              <w:instrText xml:space="preserve"> PAGEREF _Toc41553075 \h </w:instrText>
            </w:r>
            <w:r w:rsidR="00BC0789">
              <w:rPr>
                <w:noProof/>
                <w:webHidden/>
              </w:rPr>
            </w:r>
            <w:r w:rsidR="00BC0789">
              <w:rPr>
                <w:noProof/>
                <w:webHidden/>
              </w:rPr>
              <w:fldChar w:fldCharType="separate"/>
            </w:r>
            <w:r w:rsidR="00BC0789">
              <w:rPr>
                <w:noProof/>
                <w:webHidden/>
              </w:rPr>
              <w:t>5</w:t>
            </w:r>
            <w:r w:rsidR="00BC0789">
              <w:rPr>
                <w:noProof/>
                <w:webHidden/>
              </w:rPr>
              <w:fldChar w:fldCharType="end"/>
            </w:r>
          </w:hyperlink>
        </w:p>
        <w:p w14:paraId="0E9147EB" w14:textId="0597102E" w:rsidR="00BC0789" w:rsidRDefault="00CD6D01">
          <w:pPr>
            <w:pStyle w:val="TOC3"/>
            <w:tabs>
              <w:tab w:val="right" w:leader="dot" w:pos="9350"/>
            </w:tabs>
            <w:rPr>
              <w:rFonts w:eastAsiaTheme="minorEastAsia" w:cstheme="minorBidi"/>
              <w:noProof/>
              <w:sz w:val="24"/>
              <w:szCs w:val="24"/>
              <w:lang w:eastAsia="en-US"/>
            </w:rPr>
          </w:pPr>
          <w:hyperlink w:anchor="_Toc41553076" w:history="1">
            <w:r w:rsidR="00BC0789" w:rsidRPr="002958A8">
              <w:rPr>
                <w:rStyle w:val="Hyperlink"/>
                <w:noProof/>
              </w:rPr>
              <w:t>Suggested Questions for the Committee</w:t>
            </w:r>
            <w:r w:rsidR="00BC0789">
              <w:rPr>
                <w:noProof/>
                <w:webHidden/>
              </w:rPr>
              <w:tab/>
            </w:r>
            <w:r w:rsidR="00BC0789">
              <w:rPr>
                <w:noProof/>
                <w:webHidden/>
              </w:rPr>
              <w:fldChar w:fldCharType="begin"/>
            </w:r>
            <w:r w:rsidR="00BC0789">
              <w:rPr>
                <w:noProof/>
                <w:webHidden/>
              </w:rPr>
              <w:instrText xml:space="preserve"> PAGEREF _Toc41553076 \h </w:instrText>
            </w:r>
            <w:r w:rsidR="00BC0789">
              <w:rPr>
                <w:noProof/>
                <w:webHidden/>
              </w:rPr>
            </w:r>
            <w:r w:rsidR="00BC0789">
              <w:rPr>
                <w:noProof/>
                <w:webHidden/>
              </w:rPr>
              <w:fldChar w:fldCharType="separate"/>
            </w:r>
            <w:r w:rsidR="00BC0789">
              <w:rPr>
                <w:noProof/>
                <w:webHidden/>
              </w:rPr>
              <w:t>6</w:t>
            </w:r>
            <w:r w:rsidR="00BC0789">
              <w:rPr>
                <w:noProof/>
                <w:webHidden/>
              </w:rPr>
              <w:fldChar w:fldCharType="end"/>
            </w:r>
          </w:hyperlink>
        </w:p>
        <w:p w14:paraId="7680BE76" w14:textId="08945D1F" w:rsidR="00BC0789" w:rsidRDefault="00CD6D01">
          <w:pPr>
            <w:pStyle w:val="TOC2"/>
            <w:tabs>
              <w:tab w:val="right" w:leader="dot" w:pos="9350"/>
            </w:tabs>
            <w:rPr>
              <w:rFonts w:eastAsiaTheme="minorEastAsia" w:cstheme="minorBidi"/>
              <w:b w:val="0"/>
              <w:bCs w:val="0"/>
              <w:noProof/>
              <w:sz w:val="24"/>
              <w:szCs w:val="24"/>
              <w:lang w:eastAsia="en-US"/>
            </w:rPr>
          </w:pPr>
          <w:hyperlink w:anchor="_Toc41553077" w:history="1">
            <w:r w:rsidR="00BC0789" w:rsidRPr="002958A8">
              <w:rPr>
                <w:rStyle w:val="Hyperlink"/>
                <w:noProof/>
              </w:rPr>
              <w:t>Articles 2 and 25: Universal Suffrage</w:t>
            </w:r>
            <w:r w:rsidR="00BC0789">
              <w:rPr>
                <w:noProof/>
                <w:webHidden/>
              </w:rPr>
              <w:tab/>
            </w:r>
            <w:r w:rsidR="00BC0789">
              <w:rPr>
                <w:noProof/>
                <w:webHidden/>
              </w:rPr>
              <w:fldChar w:fldCharType="begin"/>
            </w:r>
            <w:r w:rsidR="00BC0789">
              <w:rPr>
                <w:noProof/>
                <w:webHidden/>
              </w:rPr>
              <w:instrText xml:space="preserve"> PAGEREF _Toc41553077 \h </w:instrText>
            </w:r>
            <w:r w:rsidR="00BC0789">
              <w:rPr>
                <w:noProof/>
                <w:webHidden/>
              </w:rPr>
            </w:r>
            <w:r w:rsidR="00BC0789">
              <w:rPr>
                <w:noProof/>
                <w:webHidden/>
              </w:rPr>
              <w:fldChar w:fldCharType="separate"/>
            </w:r>
            <w:r w:rsidR="00BC0789">
              <w:rPr>
                <w:noProof/>
                <w:webHidden/>
              </w:rPr>
              <w:t>6</w:t>
            </w:r>
            <w:r w:rsidR="00BC0789">
              <w:rPr>
                <w:noProof/>
                <w:webHidden/>
              </w:rPr>
              <w:fldChar w:fldCharType="end"/>
            </w:r>
          </w:hyperlink>
        </w:p>
        <w:p w14:paraId="4417A8A2" w14:textId="0427F10B" w:rsidR="00BC0789" w:rsidRDefault="00CD6D01">
          <w:pPr>
            <w:pStyle w:val="TOC3"/>
            <w:tabs>
              <w:tab w:val="right" w:leader="dot" w:pos="9350"/>
            </w:tabs>
            <w:rPr>
              <w:rFonts w:eastAsiaTheme="minorEastAsia" w:cstheme="minorBidi"/>
              <w:noProof/>
              <w:sz w:val="24"/>
              <w:szCs w:val="24"/>
              <w:lang w:eastAsia="en-US"/>
            </w:rPr>
          </w:pPr>
          <w:hyperlink w:anchor="_Toc41553078" w:history="1">
            <w:r w:rsidR="00BC0789" w:rsidRPr="002958A8">
              <w:rPr>
                <w:rStyle w:val="Hyperlink"/>
                <w:noProof/>
              </w:rPr>
              <w:t>Voting and Persons with Disabilities:</w:t>
            </w:r>
            <w:r w:rsidR="00BC0789">
              <w:rPr>
                <w:noProof/>
                <w:webHidden/>
              </w:rPr>
              <w:tab/>
            </w:r>
            <w:r w:rsidR="00BC0789">
              <w:rPr>
                <w:noProof/>
                <w:webHidden/>
              </w:rPr>
              <w:fldChar w:fldCharType="begin"/>
            </w:r>
            <w:r w:rsidR="00BC0789">
              <w:rPr>
                <w:noProof/>
                <w:webHidden/>
              </w:rPr>
              <w:instrText xml:space="preserve"> PAGEREF _Toc41553078 \h </w:instrText>
            </w:r>
            <w:r w:rsidR="00BC0789">
              <w:rPr>
                <w:noProof/>
                <w:webHidden/>
              </w:rPr>
            </w:r>
            <w:r w:rsidR="00BC0789">
              <w:rPr>
                <w:noProof/>
                <w:webHidden/>
              </w:rPr>
              <w:fldChar w:fldCharType="separate"/>
            </w:r>
            <w:r w:rsidR="00BC0789">
              <w:rPr>
                <w:noProof/>
                <w:webHidden/>
              </w:rPr>
              <w:t>6</w:t>
            </w:r>
            <w:r w:rsidR="00BC0789">
              <w:rPr>
                <w:noProof/>
                <w:webHidden/>
              </w:rPr>
              <w:fldChar w:fldCharType="end"/>
            </w:r>
          </w:hyperlink>
        </w:p>
        <w:p w14:paraId="5AAD1AC1" w14:textId="5BAF3277" w:rsidR="00BC0789" w:rsidRDefault="00CD6D01">
          <w:pPr>
            <w:pStyle w:val="TOC3"/>
            <w:tabs>
              <w:tab w:val="right" w:leader="dot" w:pos="9350"/>
            </w:tabs>
            <w:rPr>
              <w:rFonts w:eastAsiaTheme="minorEastAsia" w:cstheme="minorBidi"/>
              <w:noProof/>
              <w:sz w:val="24"/>
              <w:szCs w:val="24"/>
              <w:lang w:eastAsia="en-US"/>
            </w:rPr>
          </w:pPr>
          <w:hyperlink w:anchor="_Toc41553079" w:history="1">
            <w:r w:rsidR="00BC0789" w:rsidRPr="002958A8">
              <w:rPr>
                <w:rStyle w:val="Hyperlink"/>
                <w:noProof/>
              </w:rPr>
              <w:t>Participation of LGBTI persons:</w:t>
            </w:r>
            <w:r w:rsidR="00BC0789">
              <w:rPr>
                <w:noProof/>
                <w:webHidden/>
              </w:rPr>
              <w:tab/>
            </w:r>
            <w:r w:rsidR="00BC0789">
              <w:rPr>
                <w:noProof/>
                <w:webHidden/>
              </w:rPr>
              <w:fldChar w:fldCharType="begin"/>
            </w:r>
            <w:r w:rsidR="00BC0789">
              <w:rPr>
                <w:noProof/>
                <w:webHidden/>
              </w:rPr>
              <w:instrText xml:space="preserve"> PAGEREF _Toc41553079 \h </w:instrText>
            </w:r>
            <w:r w:rsidR="00BC0789">
              <w:rPr>
                <w:noProof/>
                <w:webHidden/>
              </w:rPr>
            </w:r>
            <w:r w:rsidR="00BC0789">
              <w:rPr>
                <w:noProof/>
                <w:webHidden/>
              </w:rPr>
              <w:fldChar w:fldCharType="separate"/>
            </w:r>
            <w:r w:rsidR="00BC0789">
              <w:rPr>
                <w:noProof/>
                <w:webHidden/>
              </w:rPr>
              <w:t>7</w:t>
            </w:r>
            <w:r w:rsidR="00BC0789">
              <w:rPr>
                <w:noProof/>
                <w:webHidden/>
              </w:rPr>
              <w:fldChar w:fldCharType="end"/>
            </w:r>
          </w:hyperlink>
        </w:p>
        <w:p w14:paraId="3DE83807" w14:textId="53B9641D" w:rsidR="00BC0789" w:rsidRDefault="00CD6D01">
          <w:pPr>
            <w:pStyle w:val="TOC3"/>
            <w:tabs>
              <w:tab w:val="right" w:leader="dot" w:pos="9350"/>
            </w:tabs>
            <w:rPr>
              <w:rFonts w:eastAsiaTheme="minorEastAsia" w:cstheme="minorBidi"/>
              <w:noProof/>
              <w:sz w:val="24"/>
              <w:szCs w:val="24"/>
              <w:lang w:eastAsia="en-US"/>
            </w:rPr>
          </w:pPr>
          <w:hyperlink w:anchor="_Toc41553080" w:history="1">
            <w:r w:rsidR="00BC0789" w:rsidRPr="002958A8">
              <w:rPr>
                <w:rStyle w:val="Hyperlink"/>
                <w:noProof/>
              </w:rPr>
              <w:t>Voting by persons on detention</w:t>
            </w:r>
            <w:r w:rsidR="00BC0789">
              <w:rPr>
                <w:noProof/>
                <w:webHidden/>
              </w:rPr>
              <w:tab/>
            </w:r>
            <w:r w:rsidR="00BC0789">
              <w:rPr>
                <w:noProof/>
                <w:webHidden/>
              </w:rPr>
              <w:fldChar w:fldCharType="begin"/>
            </w:r>
            <w:r w:rsidR="00BC0789">
              <w:rPr>
                <w:noProof/>
                <w:webHidden/>
              </w:rPr>
              <w:instrText xml:space="preserve"> PAGEREF _Toc41553080 \h </w:instrText>
            </w:r>
            <w:r w:rsidR="00BC0789">
              <w:rPr>
                <w:noProof/>
                <w:webHidden/>
              </w:rPr>
            </w:r>
            <w:r w:rsidR="00BC0789">
              <w:rPr>
                <w:noProof/>
                <w:webHidden/>
              </w:rPr>
              <w:fldChar w:fldCharType="separate"/>
            </w:r>
            <w:r w:rsidR="00BC0789">
              <w:rPr>
                <w:noProof/>
                <w:webHidden/>
              </w:rPr>
              <w:t>7</w:t>
            </w:r>
            <w:r w:rsidR="00BC0789">
              <w:rPr>
                <w:noProof/>
                <w:webHidden/>
              </w:rPr>
              <w:fldChar w:fldCharType="end"/>
            </w:r>
          </w:hyperlink>
        </w:p>
        <w:p w14:paraId="10BA3D30" w14:textId="5B5BF5A4" w:rsidR="00BC0789" w:rsidRDefault="00CD6D01">
          <w:pPr>
            <w:pStyle w:val="TOC3"/>
            <w:tabs>
              <w:tab w:val="right" w:leader="dot" w:pos="9350"/>
            </w:tabs>
            <w:rPr>
              <w:rFonts w:eastAsiaTheme="minorEastAsia" w:cstheme="minorBidi"/>
              <w:noProof/>
              <w:sz w:val="24"/>
              <w:szCs w:val="24"/>
              <w:lang w:eastAsia="en-US"/>
            </w:rPr>
          </w:pPr>
          <w:hyperlink w:anchor="_Toc41553081" w:history="1">
            <w:r w:rsidR="00BC0789" w:rsidRPr="002958A8">
              <w:rPr>
                <w:rStyle w:val="Hyperlink"/>
                <w:noProof/>
              </w:rPr>
              <w:t>Suggested Questions for the Committee</w:t>
            </w:r>
            <w:r w:rsidR="00BC0789">
              <w:rPr>
                <w:noProof/>
                <w:webHidden/>
              </w:rPr>
              <w:tab/>
            </w:r>
            <w:r w:rsidR="00BC0789">
              <w:rPr>
                <w:noProof/>
                <w:webHidden/>
              </w:rPr>
              <w:fldChar w:fldCharType="begin"/>
            </w:r>
            <w:r w:rsidR="00BC0789">
              <w:rPr>
                <w:noProof/>
                <w:webHidden/>
              </w:rPr>
              <w:instrText xml:space="preserve"> PAGEREF _Toc41553081 \h </w:instrText>
            </w:r>
            <w:r w:rsidR="00BC0789">
              <w:rPr>
                <w:noProof/>
                <w:webHidden/>
              </w:rPr>
            </w:r>
            <w:r w:rsidR="00BC0789">
              <w:rPr>
                <w:noProof/>
                <w:webHidden/>
              </w:rPr>
              <w:fldChar w:fldCharType="separate"/>
            </w:r>
            <w:r w:rsidR="00BC0789">
              <w:rPr>
                <w:noProof/>
                <w:webHidden/>
              </w:rPr>
              <w:t>7</w:t>
            </w:r>
            <w:r w:rsidR="00BC0789">
              <w:rPr>
                <w:noProof/>
                <w:webHidden/>
              </w:rPr>
              <w:fldChar w:fldCharType="end"/>
            </w:r>
          </w:hyperlink>
        </w:p>
        <w:p w14:paraId="53CA0957" w14:textId="2CEF7F06" w:rsidR="00BC0789" w:rsidRDefault="00CD6D01">
          <w:pPr>
            <w:pStyle w:val="TOC2"/>
            <w:tabs>
              <w:tab w:val="right" w:leader="dot" w:pos="9350"/>
            </w:tabs>
            <w:rPr>
              <w:rFonts w:eastAsiaTheme="minorEastAsia" w:cstheme="minorBidi"/>
              <w:b w:val="0"/>
              <w:bCs w:val="0"/>
              <w:noProof/>
              <w:sz w:val="24"/>
              <w:szCs w:val="24"/>
              <w:lang w:eastAsia="en-US"/>
            </w:rPr>
          </w:pPr>
          <w:hyperlink w:anchor="_Toc41553082" w:history="1">
            <w:r w:rsidR="00BC0789" w:rsidRPr="002958A8">
              <w:rPr>
                <w:rStyle w:val="Hyperlink"/>
                <w:noProof/>
              </w:rPr>
              <w:t>Other issues</w:t>
            </w:r>
            <w:r w:rsidR="00BC0789">
              <w:rPr>
                <w:noProof/>
                <w:webHidden/>
              </w:rPr>
              <w:tab/>
            </w:r>
            <w:r w:rsidR="00BC0789">
              <w:rPr>
                <w:noProof/>
                <w:webHidden/>
              </w:rPr>
              <w:fldChar w:fldCharType="begin"/>
            </w:r>
            <w:r w:rsidR="00BC0789">
              <w:rPr>
                <w:noProof/>
                <w:webHidden/>
              </w:rPr>
              <w:instrText xml:space="preserve"> PAGEREF _Toc41553082 \h </w:instrText>
            </w:r>
            <w:r w:rsidR="00BC0789">
              <w:rPr>
                <w:noProof/>
                <w:webHidden/>
              </w:rPr>
            </w:r>
            <w:r w:rsidR="00BC0789">
              <w:rPr>
                <w:noProof/>
                <w:webHidden/>
              </w:rPr>
              <w:fldChar w:fldCharType="separate"/>
            </w:r>
            <w:r w:rsidR="00BC0789">
              <w:rPr>
                <w:noProof/>
                <w:webHidden/>
              </w:rPr>
              <w:t>7</w:t>
            </w:r>
            <w:r w:rsidR="00BC0789">
              <w:rPr>
                <w:noProof/>
                <w:webHidden/>
              </w:rPr>
              <w:fldChar w:fldCharType="end"/>
            </w:r>
          </w:hyperlink>
        </w:p>
        <w:p w14:paraId="08D54392" w14:textId="50938B9F" w:rsidR="00BC0789" w:rsidRDefault="00CD6D01">
          <w:pPr>
            <w:pStyle w:val="TOC3"/>
            <w:tabs>
              <w:tab w:val="right" w:leader="dot" w:pos="9350"/>
            </w:tabs>
            <w:rPr>
              <w:rFonts w:eastAsiaTheme="minorEastAsia" w:cstheme="minorBidi"/>
              <w:noProof/>
              <w:sz w:val="24"/>
              <w:szCs w:val="24"/>
              <w:lang w:eastAsia="en-US"/>
            </w:rPr>
          </w:pPr>
          <w:hyperlink w:anchor="_Toc41553083" w:history="1">
            <w:r w:rsidR="00BC0789" w:rsidRPr="002958A8">
              <w:rPr>
                <w:rStyle w:val="Hyperlink"/>
                <w:noProof/>
              </w:rPr>
              <w:t>Suggested Questions for the Committee</w:t>
            </w:r>
            <w:r w:rsidR="00BC0789">
              <w:rPr>
                <w:noProof/>
                <w:webHidden/>
              </w:rPr>
              <w:tab/>
            </w:r>
            <w:r w:rsidR="00BC0789">
              <w:rPr>
                <w:noProof/>
                <w:webHidden/>
              </w:rPr>
              <w:fldChar w:fldCharType="begin"/>
            </w:r>
            <w:r w:rsidR="00BC0789">
              <w:rPr>
                <w:noProof/>
                <w:webHidden/>
              </w:rPr>
              <w:instrText xml:space="preserve"> PAGEREF _Toc41553083 \h </w:instrText>
            </w:r>
            <w:r w:rsidR="00BC0789">
              <w:rPr>
                <w:noProof/>
                <w:webHidden/>
              </w:rPr>
            </w:r>
            <w:r w:rsidR="00BC0789">
              <w:rPr>
                <w:noProof/>
                <w:webHidden/>
              </w:rPr>
              <w:fldChar w:fldCharType="separate"/>
            </w:r>
            <w:r w:rsidR="00BC0789">
              <w:rPr>
                <w:noProof/>
                <w:webHidden/>
              </w:rPr>
              <w:t>8</w:t>
            </w:r>
            <w:r w:rsidR="00BC0789">
              <w:rPr>
                <w:noProof/>
                <w:webHidden/>
              </w:rPr>
              <w:fldChar w:fldCharType="end"/>
            </w:r>
          </w:hyperlink>
        </w:p>
        <w:p w14:paraId="2F3184EE" w14:textId="50D9C241" w:rsidR="004A1A4A" w:rsidRDefault="004A1A4A">
          <w:r>
            <w:rPr>
              <w:b/>
              <w:bCs/>
              <w:noProof/>
            </w:rPr>
            <w:fldChar w:fldCharType="end"/>
          </w:r>
        </w:p>
      </w:sdtContent>
    </w:sdt>
    <w:p w14:paraId="4075BF52" w14:textId="49DED1D0" w:rsidR="002E356A" w:rsidRPr="002E356A" w:rsidRDefault="002E356A" w:rsidP="00183AD5">
      <w:pPr>
        <w:pStyle w:val="Heading1"/>
      </w:pPr>
      <w:bookmarkStart w:id="1" w:name="_Toc41553067"/>
      <w:r w:rsidRPr="002E356A">
        <w:t>Reporting Organization</w:t>
      </w:r>
      <w:bookmarkEnd w:id="1"/>
      <w:r w:rsidRPr="002E356A">
        <w:t xml:space="preserve"> </w:t>
      </w:r>
    </w:p>
    <w:p w14:paraId="00397D57" w14:textId="77777777" w:rsidR="002E356A" w:rsidRPr="002E356A" w:rsidRDefault="002E356A" w:rsidP="002E356A">
      <w:pPr>
        <w:jc w:val="both"/>
        <w:rPr>
          <w:rFonts w:cs="Times New Roman"/>
        </w:rPr>
      </w:pPr>
    </w:p>
    <w:p w14:paraId="388A3033" w14:textId="77777777" w:rsidR="002E356A" w:rsidRPr="002E356A" w:rsidRDefault="002E356A" w:rsidP="00183AD5">
      <w:pPr>
        <w:jc w:val="both"/>
      </w:pPr>
      <w:r w:rsidRPr="002E356A">
        <w:t xml:space="preserve">The Carter Center is a not-for-profit, nongovernmental organization that has helped to improve life for people in more than 80 countries by resolving conflicts; advancing democracy, human rights, and economic opportunity; preventing diseases; and improving mental health care. The Carter Center was founded in 1982 by former U.S. President </w:t>
      </w:r>
      <w:r w:rsidRPr="002E356A">
        <w:lastRenderedPageBreak/>
        <w:t xml:space="preserve">Jimmy Carter and his wife, Rosalynn, in partnership with Emory University to advance peace and health worldwide. </w:t>
      </w:r>
    </w:p>
    <w:p w14:paraId="2867D3D8" w14:textId="77777777" w:rsidR="002E356A" w:rsidRPr="002E356A" w:rsidRDefault="002E356A" w:rsidP="00183AD5">
      <w:pPr>
        <w:jc w:val="both"/>
      </w:pPr>
    </w:p>
    <w:p w14:paraId="3236D9FD" w14:textId="74D8A241" w:rsidR="002E356A" w:rsidRPr="002E356A" w:rsidRDefault="002E356A" w:rsidP="00183AD5">
      <w:pPr>
        <w:jc w:val="both"/>
        <w:rPr>
          <w:color w:val="FF0000"/>
        </w:rPr>
      </w:pPr>
      <w:r w:rsidRPr="002E356A">
        <w:t xml:space="preserve">The Carter Center’s Democracy Program works globally to promote democratic elections and governance consistent with human rights. The Center has monitored more than 110 elections in 39 countries since 1989, forging many of the techniques now common to the field. Recognizing that democratic transitions involve much more than elections, the Center also conducts long-term monitoring </w:t>
      </w:r>
      <w:r w:rsidRPr="008634A4">
        <w:t xml:space="preserve">of political transitions and works to strengthen civil society organizations to support </w:t>
      </w:r>
      <w:r w:rsidRPr="008634A4">
        <w:rPr>
          <w:rFonts w:cs="Times New Roman"/>
        </w:rPr>
        <w:t xml:space="preserve">democratic governance. </w:t>
      </w:r>
      <w:hyperlink r:id="rId14" w:history="1">
        <w:r w:rsidR="00D47E8F" w:rsidRPr="008634A4">
          <w:rPr>
            <w:rStyle w:val="Hyperlink"/>
            <w:rFonts w:cs="Times New Roman"/>
            <w:color w:val="054E81"/>
            <w:bdr w:val="none" w:sz="0" w:space="0" w:color="auto" w:frame="1"/>
            <w:shd w:val="clear" w:color="auto" w:fill="FFFFFF"/>
          </w:rPr>
          <w:t>The Carter Center</w:t>
        </w:r>
        <w:r w:rsidR="00182BD3">
          <w:rPr>
            <w:rStyle w:val="Hyperlink"/>
            <w:rFonts w:cs="Times New Roman"/>
            <w:color w:val="054E81"/>
            <w:bdr w:val="none" w:sz="0" w:space="0" w:color="auto" w:frame="1"/>
            <w:shd w:val="clear" w:color="auto" w:fill="FFFFFF"/>
          </w:rPr>
          <w:t>’s</w:t>
        </w:r>
        <w:r w:rsidR="003D29EB">
          <w:rPr>
            <w:rStyle w:val="Hyperlink"/>
            <w:rFonts w:cs="Times New Roman"/>
            <w:color w:val="054E81"/>
            <w:bdr w:val="none" w:sz="0" w:space="0" w:color="auto" w:frame="1"/>
            <w:shd w:val="clear" w:color="auto" w:fill="FFFFFF"/>
          </w:rPr>
          <w:t xml:space="preserve"> </w:t>
        </w:r>
        <w:r w:rsidR="003D29EB" w:rsidRPr="003D29EB">
          <w:rPr>
            <w:rStyle w:val="Hyperlink"/>
            <w:rFonts w:cs="Times New Roman"/>
            <w:color w:val="054E81"/>
            <w:bdr w:val="none" w:sz="0" w:space="0" w:color="auto" w:frame="1"/>
            <w:shd w:val="clear" w:color="auto" w:fill="FFFFFF"/>
          </w:rPr>
          <w:t xml:space="preserve">Democracy </w:t>
        </w:r>
        <w:r w:rsidR="00182BD3">
          <w:rPr>
            <w:rStyle w:val="Hyperlink"/>
            <w:rFonts w:cs="Times New Roman"/>
            <w:color w:val="054E81"/>
            <w:bdr w:val="none" w:sz="0" w:space="0" w:color="auto" w:frame="1"/>
            <w:shd w:val="clear" w:color="auto" w:fill="FFFFFF"/>
          </w:rPr>
          <w:t>Program</w:t>
        </w:r>
        <w:r w:rsidR="004F03EF">
          <w:rPr>
            <w:rStyle w:val="Hyperlink"/>
            <w:rFonts w:cs="Times New Roman"/>
            <w:color w:val="054E81"/>
            <w:bdr w:val="none" w:sz="0" w:space="0" w:color="auto" w:frame="1"/>
            <w:shd w:val="clear" w:color="auto" w:fill="FFFFFF"/>
          </w:rPr>
          <w:t>,</w:t>
        </w:r>
        <w:r w:rsidR="00182BD3">
          <w:rPr>
            <w:rStyle w:val="Hyperlink"/>
            <w:rFonts w:cs="Times New Roman"/>
            <w:color w:val="054E81"/>
            <w:bdr w:val="none" w:sz="0" w:space="0" w:color="auto" w:frame="1"/>
            <w:shd w:val="clear" w:color="auto" w:fill="FFFFFF"/>
          </w:rPr>
          <w:t xml:space="preserve"> </w:t>
        </w:r>
      </w:hyperlink>
      <w:r w:rsidR="00FF4FF8" w:rsidRPr="00FF4FF8">
        <w:rPr>
          <w:rFonts w:cs="Times New Roman"/>
        </w:rPr>
        <w:t>through its</w:t>
      </w:r>
      <w:r w:rsidRPr="008634A4" w:rsidDel="00320AB0">
        <w:rPr>
          <w:rFonts w:cs="Times New Roman"/>
        </w:rPr>
        <w:t xml:space="preserve"> </w:t>
      </w:r>
      <w:r w:rsidR="00320AB0" w:rsidRPr="008634A4">
        <w:rPr>
          <w:rFonts w:cs="Times New Roman"/>
        </w:rPr>
        <w:t>Democratic Election Standards (DES)</w:t>
      </w:r>
      <w:r w:rsidR="00320AB0" w:rsidRPr="008634A4">
        <w:rPr>
          <w:rFonts w:cs="Times New Roman"/>
          <w:color w:val="444444"/>
          <w:shd w:val="clear" w:color="auto" w:fill="FFFFFF"/>
        </w:rPr>
        <w:t xml:space="preserve"> initiative</w:t>
      </w:r>
      <w:r w:rsidR="004F03EF">
        <w:rPr>
          <w:rFonts w:cs="Times New Roman"/>
          <w:color w:val="444444"/>
          <w:shd w:val="clear" w:color="auto" w:fill="FFFFFF"/>
        </w:rPr>
        <w:t>,</w:t>
      </w:r>
      <w:r w:rsidR="00320AB0" w:rsidRPr="008634A4">
        <w:rPr>
          <w:rFonts w:cs="Times New Roman"/>
          <w:color w:val="444444"/>
          <w:shd w:val="clear" w:color="auto" w:fill="FFFFFF"/>
        </w:rPr>
        <w:t xml:space="preserve"> </w:t>
      </w:r>
      <w:r w:rsidRPr="008634A4">
        <w:rPr>
          <w:rFonts w:cs="Times New Roman"/>
        </w:rPr>
        <w:t>aims to build consensus on standards for democratic elections, based on state obligations under public international law.</w:t>
      </w:r>
    </w:p>
    <w:p w14:paraId="7D55948D" w14:textId="77777777" w:rsidR="002E356A" w:rsidRPr="002E356A" w:rsidRDefault="002E356A" w:rsidP="002E356A">
      <w:pPr>
        <w:jc w:val="both"/>
        <w:rPr>
          <w:rFonts w:cs="Times New Roman"/>
        </w:rPr>
      </w:pPr>
    </w:p>
    <w:p w14:paraId="5730D6AA" w14:textId="77777777" w:rsidR="002E356A" w:rsidRPr="002E356A" w:rsidRDefault="002E356A" w:rsidP="002E356A">
      <w:pPr>
        <w:pStyle w:val="Heading2"/>
      </w:pPr>
      <w:bookmarkStart w:id="2" w:name="_Toc41553068"/>
      <w:r w:rsidRPr="002E356A">
        <w:t>The Carter Center in Guyana</w:t>
      </w:r>
      <w:bookmarkEnd w:id="2"/>
    </w:p>
    <w:p w14:paraId="07A811E6" w14:textId="77777777" w:rsidR="002E356A" w:rsidRPr="002E356A" w:rsidRDefault="002E356A" w:rsidP="002E356A">
      <w:pPr>
        <w:jc w:val="both"/>
        <w:rPr>
          <w:rFonts w:cs="Times New Roman"/>
        </w:rPr>
      </w:pPr>
    </w:p>
    <w:p w14:paraId="77F60A50" w14:textId="3DF2D0AD" w:rsidR="00F64808" w:rsidRDefault="002E356A" w:rsidP="00DD0186">
      <w:pPr>
        <w:jc w:val="both"/>
      </w:pPr>
      <w:r w:rsidRPr="002E356A">
        <w:t>The Carter Center’s first involvement in Guyana came at the invitation of President Desmond Hoyte in 1990, who invited President Carter to Guyana to discuss whether the Center would consider observing the upcoming elections. Since that visit</w:t>
      </w:r>
      <w:r>
        <w:t>,</w:t>
      </w:r>
      <w:r w:rsidRPr="002E356A">
        <w:t xml:space="preserve"> the Center has maintained an abiding interest in Guyana’s democratic </w:t>
      </w:r>
      <w:r>
        <w:t>development</w:t>
      </w:r>
      <w:r w:rsidR="00F64808">
        <w:t>, and has observed several elections:</w:t>
      </w:r>
    </w:p>
    <w:p w14:paraId="55C36BBC" w14:textId="1A8DE7AE" w:rsidR="002E356A" w:rsidRDefault="002E356A" w:rsidP="000C45C6">
      <w:pPr>
        <w:pStyle w:val="ListParagraph"/>
        <w:numPr>
          <w:ilvl w:val="0"/>
          <w:numId w:val="7"/>
        </w:numPr>
        <w:jc w:val="both"/>
      </w:pPr>
      <w:r w:rsidRPr="002E356A">
        <w:t xml:space="preserve">The </w:t>
      </w:r>
      <w:r w:rsidR="007A20C6">
        <w:t xml:space="preserve">final </w:t>
      </w:r>
      <w:r w:rsidR="006431E0">
        <w:t>observation</w:t>
      </w:r>
      <w:r>
        <w:t xml:space="preserve"> </w:t>
      </w:r>
      <w:r w:rsidRPr="002E356A">
        <w:t xml:space="preserve">report from the 1992 elections can be found </w:t>
      </w:r>
      <w:hyperlink r:id="rId15">
        <w:r w:rsidRPr="002E356A">
          <w:rPr>
            <w:rStyle w:val="Hyperlink"/>
            <w:rFonts w:eastAsia="Times New Roman" w:cs="Times New Roman"/>
            <w:color w:val="0070C0"/>
          </w:rPr>
          <w:t>here</w:t>
        </w:r>
      </w:hyperlink>
      <w:r w:rsidRPr="002E356A">
        <w:t>.</w:t>
      </w:r>
    </w:p>
    <w:p w14:paraId="7670EE68" w14:textId="02257CBC" w:rsidR="00F64808" w:rsidRDefault="00F64808" w:rsidP="00F64808">
      <w:pPr>
        <w:pStyle w:val="ListParagraph"/>
        <w:numPr>
          <w:ilvl w:val="0"/>
          <w:numId w:val="7"/>
        </w:numPr>
        <w:jc w:val="both"/>
      </w:pPr>
      <w:r>
        <w:t xml:space="preserve">The </w:t>
      </w:r>
      <w:r w:rsidR="007A20C6">
        <w:t xml:space="preserve">final </w:t>
      </w:r>
      <w:r w:rsidR="006431E0">
        <w:t xml:space="preserve">observation </w:t>
      </w:r>
      <w:r>
        <w:t>report from the 2001 elections can be found</w:t>
      </w:r>
      <w:r w:rsidR="00912736">
        <w:t xml:space="preserve"> </w:t>
      </w:r>
      <w:hyperlink r:id="rId16">
        <w:r w:rsidR="00912736" w:rsidRPr="002E356A">
          <w:rPr>
            <w:rStyle w:val="Hyperlink"/>
            <w:rFonts w:eastAsia="Times New Roman" w:cs="Times New Roman"/>
            <w:color w:val="0070C0"/>
          </w:rPr>
          <w:t>here</w:t>
        </w:r>
      </w:hyperlink>
      <w:r w:rsidR="00912736">
        <w:rPr>
          <w:rStyle w:val="Hyperlink"/>
          <w:rFonts w:eastAsia="Times New Roman" w:cs="Times New Roman"/>
          <w:color w:val="0070C0"/>
        </w:rPr>
        <w:t>.</w:t>
      </w:r>
    </w:p>
    <w:p w14:paraId="3CCE7558" w14:textId="155F43AC" w:rsidR="00F64808" w:rsidRDefault="00F64808" w:rsidP="00F64808">
      <w:pPr>
        <w:pStyle w:val="ListParagraph"/>
        <w:numPr>
          <w:ilvl w:val="0"/>
          <w:numId w:val="7"/>
        </w:numPr>
        <w:jc w:val="both"/>
      </w:pPr>
      <w:r>
        <w:t xml:space="preserve">The </w:t>
      </w:r>
      <w:r w:rsidR="007A20C6">
        <w:t xml:space="preserve">final </w:t>
      </w:r>
      <w:r w:rsidR="006431E0">
        <w:t xml:space="preserve">observation </w:t>
      </w:r>
      <w:r>
        <w:t xml:space="preserve">report from the 2006 election can be found </w:t>
      </w:r>
      <w:hyperlink r:id="rId17">
        <w:r w:rsidR="00912736" w:rsidRPr="002E356A">
          <w:rPr>
            <w:rStyle w:val="Hyperlink"/>
            <w:rFonts w:eastAsia="Times New Roman" w:cs="Times New Roman"/>
            <w:color w:val="0070C0"/>
          </w:rPr>
          <w:t>here</w:t>
        </w:r>
      </w:hyperlink>
      <w:r w:rsidR="00912736">
        <w:rPr>
          <w:rStyle w:val="Hyperlink"/>
          <w:rFonts w:eastAsia="Times New Roman" w:cs="Times New Roman"/>
          <w:color w:val="0070C0"/>
        </w:rPr>
        <w:t>.</w:t>
      </w:r>
    </w:p>
    <w:p w14:paraId="433AAB27" w14:textId="4DC7BF3A" w:rsidR="00F64808" w:rsidRDefault="00F64808" w:rsidP="00F64808">
      <w:pPr>
        <w:pStyle w:val="ListParagraph"/>
        <w:numPr>
          <w:ilvl w:val="0"/>
          <w:numId w:val="7"/>
        </w:numPr>
        <w:jc w:val="both"/>
      </w:pPr>
      <w:r>
        <w:t xml:space="preserve">The </w:t>
      </w:r>
      <w:r w:rsidR="006431E0">
        <w:t xml:space="preserve">observation </w:t>
      </w:r>
      <w:r>
        <w:t>report from the 2015 elections can be found</w:t>
      </w:r>
      <w:r w:rsidR="006431E0">
        <w:t xml:space="preserve"> </w:t>
      </w:r>
      <w:hyperlink r:id="rId18">
        <w:r w:rsidR="006431E0" w:rsidRPr="002E356A">
          <w:rPr>
            <w:rStyle w:val="Hyperlink"/>
            <w:rFonts w:eastAsia="Times New Roman" w:cs="Times New Roman"/>
            <w:color w:val="0070C0"/>
          </w:rPr>
          <w:t>here</w:t>
        </w:r>
      </w:hyperlink>
      <w:r w:rsidR="006431E0">
        <w:rPr>
          <w:rStyle w:val="Hyperlink"/>
          <w:rFonts w:eastAsia="Times New Roman" w:cs="Times New Roman"/>
          <w:color w:val="0070C0"/>
        </w:rPr>
        <w:t>.</w:t>
      </w:r>
    </w:p>
    <w:p w14:paraId="33BC93DE" w14:textId="1E79507B" w:rsidR="00F64808" w:rsidRPr="002E356A" w:rsidRDefault="00F64808" w:rsidP="00183AD5">
      <w:pPr>
        <w:ind w:left="360"/>
        <w:jc w:val="both"/>
      </w:pPr>
    </w:p>
    <w:p w14:paraId="7BECED45" w14:textId="0BB1A6F9" w:rsidR="00912736" w:rsidRPr="002E356A" w:rsidRDefault="00912736" w:rsidP="00912736">
      <w:pPr>
        <w:jc w:val="both"/>
        <w:rPr>
          <w:b/>
          <w:bCs/>
        </w:rPr>
      </w:pPr>
      <w:r w:rsidRPr="002E356A">
        <w:t>The no-confidence vote of late 2018 has injected instability into the country</w:t>
      </w:r>
      <w:r w:rsidR="00965E06">
        <w:t xml:space="preserve">. </w:t>
      </w:r>
      <w:r w:rsidRPr="002E356A">
        <w:t xml:space="preserve">The Carter Center </w:t>
      </w:r>
      <w:r w:rsidR="00B64FFA">
        <w:t xml:space="preserve">conducted five pre-election assessment visits in the lead up to elections, </w:t>
      </w:r>
      <w:r w:rsidR="00413739">
        <w:t xml:space="preserve">deployed a core team of international experts and long-term observers in January, and deployed a fifty-member international election observation delegation around elections held on </w:t>
      </w:r>
      <w:r w:rsidR="00413739">
        <w:lastRenderedPageBreak/>
        <w:t xml:space="preserve">March 2, 2020. The Carter Center’s pre-election </w:t>
      </w:r>
      <w:r w:rsidR="000D737E">
        <w:t xml:space="preserve">statement </w:t>
      </w:r>
      <w:r w:rsidR="00D652B0">
        <w:t xml:space="preserve">can be found </w:t>
      </w:r>
      <w:hyperlink r:id="rId19" w:history="1">
        <w:r w:rsidR="00D652B0" w:rsidRPr="0041208D">
          <w:rPr>
            <w:rStyle w:val="Hyperlink"/>
          </w:rPr>
          <w:t>here</w:t>
        </w:r>
      </w:hyperlink>
      <w:r w:rsidR="00D652B0">
        <w:t xml:space="preserve">, </w:t>
      </w:r>
      <w:r w:rsidR="000D737E">
        <w:t xml:space="preserve">and </w:t>
      </w:r>
      <w:r w:rsidR="00D652B0">
        <w:t>a</w:t>
      </w:r>
      <w:r w:rsidR="000D737E">
        <w:t xml:space="preserve"> preliminary report on the March 2 elections can be found </w:t>
      </w:r>
      <w:hyperlink r:id="rId20" w:history="1">
        <w:r w:rsidRPr="002E356A">
          <w:rPr>
            <w:rStyle w:val="Hyperlink"/>
            <w:rFonts w:eastAsia="Times New Roman" w:cs="Times New Roman"/>
          </w:rPr>
          <w:t>here</w:t>
        </w:r>
      </w:hyperlink>
      <w:r w:rsidRPr="002E356A">
        <w:t xml:space="preserve">. </w:t>
      </w:r>
    </w:p>
    <w:p w14:paraId="4508FA91" w14:textId="77777777" w:rsidR="002E356A" w:rsidRPr="002E356A" w:rsidRDefault="002E356A" w:rsidP="00183AD5">
      <w:pPr>
        <w:jc w:val="both"/>
      </w:pPr>
    </w:p>
    <w:p w14:paraId="7B30119D" w14:textId="4ECB282E" w:rsidR="000E6DA1" w:rsidRDefault="00912736" w:rsidP="00183AD5">
      <w:pPr>
        <w:jc w:val="both"/>
      </w:pPr>
      <w:r w:rsidRPr="00092858">
        <w:rPr>
          <w:b/>
          <w:bCs/>
          <w:i/>
          <w:iCs/>
        </w:rPr>
        <w:t>Other</w:t>
      </w:r>
      <w:r w:rsidR="006431E0" w:rsidRPr="00092858">
        <w:rPr>
          <w:b/>
          <w:bCs/>
          <w:i/>
          <w:iCs/>
        </w:rPr>
        <w:t xml:space="preserve"> Carter Center</w:t>
      </w:r>
      <w:r w:rsidRPr="00092858">
        <w:rPr>
          <w:b/>
          <w:bCs/>
          <w:i/>
          <w:iCs/>
        </w:rPr>
        <w:t xml:space="preserve"> engagement:</w:t>
      </w:r>
      <w:r>
        <w:t xml:space="preserve"> </w:t>
      </w:r>
      <w:r w:rsidR="002E356A" w:rsidRPr="002E356A">
        <w:t xml:space="preserve">Following </w:t>
      </w:r>
      <w:r w:rsidR="00AC503D">
        <w:t xml:space="preserve">engagement in the 1990 -1992 constitutional crisis and </w:t>
      </w:r>
      <w:r w:rsidR="002C10C4">
        <w:t xml:space="preserve"> subsequent</w:t>
      </w:r>
      <w:r w:rsidR="00AC503D">
        <w:t xml:space="preserve"> </w:t>
      </w:r>
      <w:r w:rsidR="002E356A" w:rsidRPr="002E356A">
        <w:t>elections, The Carter Center worked for a decade to help strengthen democracy and promote economic development. Between 1994 and 2004, the Center supported the development of a comprehensive, long-term National Development Strategy; supported reforms strengthening the judiciary; worked to enhance civil society’s capacity to influence public policy; and assisted civil society’s mediation and conciliation efforts during the “crime wave” of 2002–2004</w:t>
      </w:r>
      <w:r w:rsidR="000E6DA1">
        <w:t xml:space="preserve">. </w:t>
      </w:r>
      <w:r w:rsidR="00690755">
        <w:t>F</w:t>
      </w:r>
      <w:r w:rsidR="00CC62D0">
        <w:t xml:space="preserve">rom 2016 – </w:t>
      </w:r>
      <w:r w:rsidR="0063460F">
        <w:t xml:space="preserve"> 2017</w:t>
      </w:r>
      <w:r w:rsidR="00150E41">
        <w:t>,</w:t>
      </w:r>
      <w:r w:rsidR="00CC62D0">
        <w:t xml:space="preserve"> The Carter Center supported Guyana in its bid to join the Extractive Industries Transparency Initiative (EITI), a global standard meant to ensure open and accountable management of oil, gas, and mineral resources so that citizens of a country benefit from its natural resources. </w:t>
      </w:r>
    </w:p>
    <w:p w14:paraId="04815C67" w14:textId="62D14FFD" w:rsidR="002E356A" w:rsidRDefault="002E356A" w:rsidP="00183AD5">
      <w:pPr>
        <w:jc w:val="both"/>
      </w:pPr>
    </w:p>
    <w:p w14:paraId="2B86AA4C" w14:textId="35E08E03" w:rsidR="00690755" w:rsidRPr="002E356A" w:rsidRDefault="00690755" w:rsidP="00183AD5">
      <w:pPr>
        <w:jc w:val="both"/>
      </w:pPr>
    </w:p>
    <w:p w14:paraId="51EC4964" w14:textId="77777777" w:rsidR="002E356A" w:rsidRPr="002E356A" w:rsidRDefault="002E356A" w:rsidP="00183AD5">
      <w:pPr>
        <w:pStyle w:val="Heading1"/>
      </w:pPr>
      <w:bookmarkStart w:id="3" w:name="_Toc41553069"/>
      <w:r w:rsidRPr="002E356A">
        <w:t>Issues and Suggested Questions for the Human Rights Committee</w:t>
      </w:r>
      <w:bookmarkEnd w:id="3"/>
      <w:r w:rsidRPr="002E356A">
        <w:t xml:space="preserve"> </w:t>
      </w:r>
    </w:p>
    <w:p w14:paraId="70C858C4" w14:textId="77777777" w:rsidR="002E356A" w:rsidRPr="002E356A" w:rsidRDefault="002E356A" w:rsidP="002E356A">
      <w:pPr>
        <w:jc w:val="both"/>
        <w:rPr>
          <w:rFonts w:cs="Times New Roman"/>
        </w:rPr>
      </w:pPr>
    </w:p>
    <w:p w14:paraId="5102566E" w14:textId="22D561DC" w:rsidR="002E356A" w:rsidRPr="002E356A" w:rsidRDefault="002E356A" w:rsidP="00183AD5">
      <w:pPr>
        <w:jc w:val="both"/>
      </w:pPr>
      <w:r w:rsidRPr="002E356A">
        <w:t>This submission builds on the data collected by The Carter Center’s 2015 and 2020 election observation mission</w:t>
      </w:r>
      <w:r w:rsidR="00092858">
        <w:t>s</w:t>
      </w:r>
      <w:r w:rsidRPr="002E356A">
        <w:t xml:space="preserve"> to Guyana. It addresses gaps in the legal framework for elections in Guyana as well as observed issues related to the implementation of elections </w:t>
      </w:r>
      <w:r w:rsidR="0033713B">
        <w:t>in</w:t>
      </w:r>
      <w:r>
        <w:t xml:space="preserve"> </w:t>
      </w:r>
      <w:r w:rsidRPr="002E356A">
        <w:t>2015 and 2020</w:t>
      </w:r>
      <w:r w:rsidR="0033713B">
        <w:t>.</w:t>
      </w:r>
      <w:r w:rsidRPr="002E356A">
        <w:t xml:space="preserve"> This submission offers questions that the Committee may consider asking of the State Party, and also provides some key recommendations to ensure that various stages of the electoral process are implemented in accordance with</w:t>
      </w:r>
      <w:r>
        <w:t xml:space="preserve"> </w:t>
      </w:r>
      <w:r w:rsidR="00DD0186">
        <w:t>Guyana’s</w:t>
      </w:r>
      <w:r w:rsidRPr="002E356A">
        <w:t xml:space="preserve"> obligations under the ICCPR in the future.</w:t>
      </w:r>
    </w:p>
    <w:p w14:paraId="61BAA448" w14:textId="77777777" w:rsidR="002E356A" w:rsidRPr="002E356A" w:rsidRDefault="002E356A" w:rsidP="002E356A">
      <w:pPr>
        <w:jc w:val="both"/>
        <w:rPr>
          <w:rFonts w:cs="Times New Roman"/>
        </w:rPr>
      </w:pPr>
    </w:p>
    <w:p w14:paraId="19BC6C06" w14:textId="198334A8" w:rsidR="00151134" w:rsidRDefault="00151134" w:rsidP="00183AD5">
      <w:pPr>
        <w:pStyle w:val="Heading2"/>
      </w:pPr>
      <w:bookmarkStart w:id="4" w:name="_Toc41553070"/>
      <w:r>
        <w:t>Article 25</w:t>
      </w:r>
      <w:r w:rsidR="004E3573">
        <w:t>: The Institutions of Elections</w:t>
      </w:r>
      <w:bookmarkEnd w:id="4"/>
    </w:p>
    <w:p w14:paraId="41F4541F" w14:textId="77777777" w:rsidR="00990383" w:rsidRDefault="00990383" w:rsidP="00990383">
      <w:pPr>
        <w:rPr>
          <w:b/>
          <w:bCs/>
          <w:i/>
          <w:iCs/>
        </w:rPr>
      </w:pPr>
    </w:p>
    <w:p w14:paraId="4B4DFA0B" w14:textId="35D57D38" w:rsidR="00BC4FAC" w:rsidRDefault="00151134" w:rsidP="00183AD5">
      <w:pPr>
        <w:jc w:val="both"/>
      </w:pPr>
      <w:bookmarkStart w:id="5" w:name="_Toc41553071"/>
      <w:r w:rsidRPr="00183AD5">
        <w:rPr>
          <w:rStyle w:val="Heading3Char"/>
        </w:rPr>
        <w:lastRenderedPageBreak/>
        <w:t>Independen</w:t>
      </w:r>
      <w:r w:rsidR="00734300" w:rsidRPr="00183AD5">
        <w:rPr>
          <w:rStyle w:val="Heading3Char"/>
        </w:rPr>
        <w:t xml:space="preserve">ce </w:t>
      </w:r>
      <w:r w:rsidRPr="00183AD5">
        <w:rPr>
          <w:rStyle w:val="Heading3Char"/>
        </w:rPr>
        <w:t>an</w:t>
      </w:r>
      <w:r w:rsidR="00734300" w:rsidRPr="00183AD5">
        <w:rPr>
          <w:rStyle w:val="Heading3Char"/>
        </w:rPr>
        <w:t>d</w:t>
      </w:r>
      <w:r w:rsidRPr="00183AD5">
        <w:rPr>
          <w:rStyle w:val="Heading3Char"/>
        </w:rPr>
        <w:t xml:space="preserve"> Impartial</w:t>
      </w:r>
      <w:r w:rsidR="00734300" w:rsidRPr="00183AD5">
        <w:rPr>
          <w:rStyle w:val="Heading3Char"/>
        </w:rPr>
        <w:t xml:space="preserve">ity of the </w:t>
      </w:r>
      <w:r w:rsidRPr="00183AD5">
        <w:rPr>
          <w:rStyle w:val="Heading3Char"/>
        </w:rPr>
        <w:t>Election Management Body:</w:t>
      </w:r>
      <w:bookmarkEnd w:id="5"/>
      <w:r>
        <w:t xml:space="preserve"> </w:t>
      </w:r>
      <w:r w:rsidR="00DA4980">
        <w:t xml:space="preserve">General Comment 25, paragraph 20 </w:t>
      </w:r>
      <w:r w:rsidR="0072456F">
        <w:t xml:space="preserve">outlines the importance of an </w:t>
      </w:r>
      <w:r w:rsidR="00703D4B">
        <w:t>independent electoral authority that can “</w:t>
      </w:r>
      <w:r w:rsidR="00703D4B" w:rsidRPr="00703D4B">
        <w:t>supervise the electoral process and to ensure that it is conducted fairly, impartially and in accordance with established laws which are compatible with the Covenant.</w:t>
      </w:r>
      <w:r w:rsidR="00703D4B">
        <w:t>”</w:t>
      </w:r>
      <w:r w:rsidR="00703D4B">
        <w:rPr>
          <w:rStyle w:val="FootnoteReference"/>
          <w:rFonts w:ascii="TimesNewRomanPSMT" w:hAnsi="TimesNewRomanPSMT"/>
        </w:rPr>
        <w:footnoteReference w:id="2"/>
      </w:r>
      <w:r w:rsidR="00703D4B">
        <w:t xml:space="preserve"> </w:t>
      </w:r>
      <w:r w:rsidR="00EA1848">
        <w:t xml:space="preserve">The Government of Guyana </w:t>
      </w:r>
      <w:r w:rsidR="007F4DF8">
        <w:t xml:space="preserve">should </w:t>
      </w:r>
      <w:r>
        <w:t>provide and promote a transparent electoral process by ensuring an independent and impartial election management body t</w:t>
      </w:r>
      <w:r w:rsidR="00ED7626">
        <w:t xml:space="preserve">hat can </w:t>
      </w:r>
      <w:r>
        <w:t xml:space="preserve">foster the participation of citizens in the democratic process. </w:t>
      </w:r>
    </w:p>
    <w:p w14:paraId="436D8D81" w14:textId="77777777" w:rsidR="00990383" w:rsidRDefault="00990383" w:rsidP="00183AD5"/>
    <w:p w14:paraId="2AC167C7" w14:textId="35CFEEB3" w:rsidR="00151134" w:rsidRDefault="00151134" w:rsidP="00183AD5">
      <w:pPr>
        <w:jc w:val="both"/>
      </w:pPr>
      <w:r>
        <w:t>The method of appointment of G</w:t>
      </w:r>
      <w:r w:rsidR="00694EB6">
        <w:t>uyana Elections Commission (G</w:t>
      </w:r>
      <w:r>
        <w:t>ECOM</w:t>
      </w:r>
      <w:r w:rsidR="00694EB6">
        <w:t>)</w:t>
      </w:r>
      <w:r>
        <w:t xml:space="preserve"> commissioners</w:t>
      </w:r>
      <w:r w:rsidR="009469E9">
        <w:t>,</w:t>
      </w:r>
      <w:r>
        <w:t xml:space="preserve"> as provided by the Guyanese laws</w:t>
      </w:r>
      <w:r w:rsidR="009469E9">
        <w:t>,</w:t>
      </w:r>
      <w:r w:rsidR="00B73062">
        <w:t xml:space="preserve"> i</w:t>
      </w:r>
      <w:r>
        <w:t xml:space="preserve">s based on a recommendation </w:t>
      </w:r>
      <w:r w:rsidR="00B73062">
        <w:t>of</w:t>
      </w:r>
      <w:r w:rsidR="00BC4FAC">
        <w:t xml:space="preserve"> former U.S. </w:t>
      </w:r>
      <w:r>
        <w:t>President</w:t>
      </w:r>
      <w:r w:rsidR="00BC4FAC">
        <w:t xml:space="preserve"> Jimmy</w:t>
      </w:r>
      <w:r>
        <w:t xml:space="preserve"> Carter </w:t>
      </w:r>
      <w:r w:rsidR="00B02BC9">
        <w:t>around the specific context of the 1990- 1992 constitu</w:t>
      </w:r>
      <w:r w:rsidR="00150E41">
        <w:t>t</w:t>
      </w:r>
      <w:r w:rsidR="00B02BC9">
        <w:t xml:space="preserve">ional crisis and subsequent elections. </w:t>
      </w:r>
      <w:r w:rsidR="005F50E6">
        <w:t>A</w:t>
      </w:r>
      <w:r>
        <w:t>ccording to th</w:t>
      </w:r>
      <w:r w:rsidR="00BC50A0">
        <w:t>e “Carter F</w:t>
      </w:r>
      <w:r>
        <w:t>ormula</w:t>
      </w:r>
      <w:r w:rsidR="00FB7702">
        <w:t>,</w:t>
      </w:r>
      <w:r w:rsidR="00BC50A0">
        <w:t>”</w:t>
      </w:r>
      <w:r>
        <w:t xml:space="preserve"> three commissioners are to be appointed by the president, at his</w:t>
      </w:r>
      <w:r w:rsidR="005F50E6">
        <w:t>/her</w:t>
      </w:r>
      <w:r>
        <w:t xml:space="preserve"> discretion, and three appointed by the president on advice from the leader of the opposition. The chairperson is to be an independent person appointed by the president from a list of six candidates </w:t>
      </w:r>
      <w:r w:rsidR="001D0B8D">
        <w:t xml:space="preserve">put forward by the opposition </w:t>
      </w:r>
      <w:r>
        <w:t xml:space="preserve">that are “not unacceptable” to the </w:t>
      </w:r>
      <w:r w:rsidR="001D0B8D">
        <w:t>president</w:t>
      </w:r>
      <w:r>
        <w:t>. The leader of the opposition provides that candidate list after meaningful consultation with political parties represented in the National Assembly. In practice, the six members of the commission are representatives of the ruling party and the opposition party. This partisan structure has resulted in a highly polarized and sometimes ineffective board of commissioners – and excludes newer parties.</w:t>
      </w:r>
      <w:r w:rsidR="00A948C0">
        <w:t xml:space="preserve"> Guyana should consider </w:t>
      </w:r>
      <w:r w:rsidR="00C4743D">
        <w:t>adjusting the structure of the commission to enhance its independence, effectiveness</w:t>
      </w:r>
      <w:r w:rsidR="00D822C6">
        <w:t>,</w:t>
      </w:r>
      <w:r w:rsidR="00C4743D">
        <w:t xml:space="preserve"> and professionalism.</w:t>
      </w:r>
    </w:p>
    <w:p w14:paraId="435BA89D" w14:textId="77777777" w:rsidR="00990383" w:rsidRPr="00990383" w:rsidRDefault="00990383" w:rsidP="00183AD5"/>
    <w:p w14:paraId="4E1A04F8" w14:textId="3DF41D08" w:rsidR="00151134" w:rsidRPr="00377B70" w:rsidRDefault="00151134" w:rsidP="00183AD5">
      <w:pPr>
        <w:jc w:val="both"/>
        <w:rPr>
          <w:rFonts w:eastAsia="Times New Roman"/>
        </w:rPr>
      </w:pPr>
      <w:bookmarkStart w:id="6" w:name="_Toc41553072"/>
      <w:r w:rsidRPr="00183AD5">
        <w:rPr>
          <w:rStyle w:val="Heading3Char"/>
        </w:rPr>
        <w:t>The Electoral System:</w:t>
      </w:r>
      <w:bookmarkEnd w:id="6"/>
      <w:r w:rsidRPr="00377B70">
        <w:rPr>
          <w:b/>
          <w:bCs/>
          <w:i/>
          <w:iCs/>
        </w:rPr>
        <w:t xml:space="preserve"> </w:t>
      </w:r>
      <w:r w:rsidRPr="002E356A">
        <w:rPr>
          <w:rFonts w:cs="Times New Roman"/>
        </w:rPr>
        <w:t xml:space="preserve">The Carter Center </w:t>
      </w:r>
      <w:r>
        <w:rPr>
          <w:rFonts w:cs="Times New Roman"/>
        </w:rPr>
        <w:t>o</w:t>
      </w:r>
      <w:r w:rsidRPr="002E356A">
        <w:rPr>
          <w:rFonts w:cs="Times New Roman"/>
        </w:rPr>
        <w:t>bserved</w:t>
      </w:r>
      <w:r w:rsidRPr="002E356A" w:rsidDel="007A25F0">
        <w:rPr>
          <w:rFonts w:cs="Times New Roman"/>
        </w:rPr>
        <w:t xml:space="preserve"> </w:t>
      </w:r>
      <w:r w:rsidRPr="002E356A">
        <w:rPr>
          <w:rFonts w:cs="Times New Roman"/>
        </w:rPr>
        <w:t xml:space="preserve">that </w:t>
      </w:r>
      <w:r w:rsidRPr="00B76741">
        <w:rPr>
          <w:rFonts w:eastAsia="Times New Roman" w:cs="Times New Roman"/>
        </w:rPr>
        <w:t xml:space="preserve">Guyana </w:t>
      </w:r>
      <w:r w:rsidRPr="00CF4EC3">
        <w:rPr>
          <w:rFonts w:eastAsia="Times New Roman"/>
        </w:rPr>
        <w:t>ha</w:t>
      </w:r>
      <w:r w:rsidRPr="00645327">
        <w:rPr>
          <w:rFonts w:eastAsia="Times New Roman"/>
        </w:rPr>
        <w:t xml:space="preserve">s experienced a fierce political rivalry between two main ethnically-based parties since their independence from </w:t>
      </w:r>
      <w:r w:rsidRPr="00645327">
        <w:rPr>
          <w:rFonts w:eastAsia="Times New Roman"/>
        </w:rPr>
        <w:lastRenderedPageBreak/>
        <w:t>the United Kingdom in 1966. This trend has continued f</w:t>
      </w:r>
      <w:r w:rsidRPr="00135183">
        <w:rPr>
          <w:rFonts w:eastAsia="Times New Roman"/>
        </w:rPr>
        <w:t>or decades with the People’s Progressive Party</w:t>
      </w:r>
      <w:r w:rsidRPr="00A438DC">
        <w:rPr>
          <w:rFonts w:eastAsia="Times New Roman"/>
        </w:rPr>
        <w:t xml:space="preserve"> (PPP)</w:t>
      </w:r>
      <w:r w:rsidRPr="00151134">
        <w:rPr>
          <w:rFonts w:eastAsia="Times New Roman"/>
        </w:rPr>
        <w:t xml:space="preserve"> maintaining dominance for 23 years</w:t>
      </w:r>
      <w:r w:rsidRPr="00377B70">
        <w:rPr>
          <w:rFonts w:eastAsia="Times New Roman"/>
        </w:rPr>
        <w:t xml:space="preserve"> (1992 – 2015). In 2015, David Granger beat incumbent President Donald Ramotar by a narrow margin, forging a multi-ethnic coalition between his Partnership for National Unity </w:t>
      </w:r>
      <w:r w:rsidR="003611D8">
        <w:rPr>
          <w:rFonts w:eastAsia="Times New Roman"/>
        </w:rPr>
        <w:t xml:space="preserve">(APNU) </w:t>
      </w:r>
      <w:r w:rsidRPr="00377B70">
        <w:rPr>
          <w:rFonts w:eastAsia="Times New Roman"/>
        </w:rPr>
        <w:t xml:space="preserve">party and the Alliance for Change </w:t>
      </w:r>
      <w:r w:rsidR="003611D8">
        <w:rPr>
          <w:rFonts w:eastAsia="Times New Roman"/>
        </w:rPr>
        <w:t xml:space="preserve">(AFC) </w:t>
      </w:r>
      <w:r w:rsidRPr="00377B70">
        <w:rPr>
          <w:rFonts w:eastAsia="Times New Roman"/>
        </w:rPr>
        <w:t>party. He pledged to address issues of corruption, resource waste, and nepotism, however, his initiatives have been hampered by his coalition’s small parliamentary majority.</w:t>
      </w:r>
    </w:p>
    <w:p w14:paraId="573D78E8" w14:textId="77777777" w:rsidR="00151134" w:rsidRDefault="00151134" w:rsidP="00151134">
      <w:pPr>
        <w:spacing w:line="276" w:lineRule="auto"/>
        <w:jc w:val="both"/>
        <w:rPr>
          <w:rFonts w:eastAsia="Times New Roman" w:cs="Times New Roman"/>
        </w:rPr>
      </w:pPr>
    </w:p>
    <w:p w14:paraId="6C543BD0" w14:textId="024A0041" w:rsidR="00151134" w:rsidRPr="00582DE9" w:rsidRDefault="00151134" w:rsidP="00183AD5">
      <w:pPr>
        <w:jc w:val="both"/>
        <w:rPr>
          <w:b/>
          <w:bCs/>
        </w:rPr>
      </w:pPr>
      <w:r w:rsidRPr="00582DE9">
        <w:t>The 2015</w:t>
      </w:r>
      <w:r w:rsidR="009E6099" w:rsidRPr="00582DE9">
        <w:t xml:space="preserve"> election</w:t>
      </w:r>
      <w:r w:rsidRPr="00582DE9">
        <w:t xml:space="preserve"> was an important transition of power for Guyana, but the political polarization that has flared as a result has negated such progress. </w:t>
      </w:r>
      <w:r w:rsidR="00A42563" w:rsidRPr="00582DE9">
        <w:t>H</w:t>
      </w:r>
      <w:r w:rsidRPr="00582DE9">
        <w:t xml:space="preserve">eightened ethnic rhetoric and the inability to bridge differences </w:t>
      </w:r>
      <w:r w:rsidR="00A42563" w:rsidRPr="00582DE9">
        <w:t>continue to leave</w:t>
      </w:r>
      <w:r w:rsidRPr="00582DE9">
        <w:t xml:space="preserve"> the government in a political quagmire. Efforts must be renewed to ensure the democratic standards that the Guyanese government has promised through its Constitution and international commitments.</w:t>
      </w:r>
    </w:p>
    <w:p w14:paraId="76878B1A" w14:textId="77777777" w:rsidR="00151134" w:rsidRPr="00582DE9" w:rsidRDefault="00151134" w:rsidP="00183AD5">
      <w:pPr>
        <w:jc w:val="both"/>
      </w:pPr>
    </w:p>
    <w:p w14:paraId="0B2B98DD" w14:textId="28A208F7" w:rsidR="006E0621" w:rsidRPr="00582DE9" w:rsidRDefault="00496246" w:rsidP="00183AD5">
      <w:pPr>
        <w:jc w:val="both"/>
      </w:pPr>
      <w:r w:rsidRPr="00582DE9">
        <w:t>One factor that contributes to the polarization in Guyana is the electoral system</w:t>
      </w:r>
      <w:r w:rsidR="009D5C6A" w:rsidRPr="00582DE9">
        <w:t>. As The Carter Center noted in its preliminary statement, “</w:t>
      </w:r>
      <w:r w:rsidR="00C77F34" w:rsidRPr="00582DE9">
        <w:t>Guyana’s electoral system is a complex system of proportional representation, where the seats for both the National Assembly and the regional democratic councils (RDCs) are allocated through the largest remainder method (using the “Hare quota”). As a result, the election included a general ballot for the national election and a regional ballot for the RDCs.</w:t>
      </w:r>
      <w:r w:rsidR="006E0621" w:rsidRPr="00582DE9">
        <w:t xml:space="preserve"> Of the 65 members of </w:t>
      </w:r>
      <w:r w:rsidR="003B5B4D" w:rsidRPr="00582DE9">
        <w:t>P</w:t>
      </w:r>
      <w:r w:rsidR="006E0621" w:rsidRPr="00582DE9">
        <w:t xml:space="preserve">arliament, 40 are elected through a national “top-up” list, while the remaining 25 are elected through district lists in each of the country’s </w:t>
      </w:r>
      <w:r w:rsidR="00582DE9" w:rsidRPr="00582DE9">
        <w:t>ten</w:t>
      </w:r>
      <w:r w:rsidR="006E0621" w:rsidRPr="00582DE9">
        <w:t xml:space="preserve"> regions. In order to contest the general election, a party has to present a national “top-up” list as well as at least six geographical lists. The president is elected from the same ballot used to fill the general election as the head of the list. The result of the electoral system is a complicated ballot, with parties on ballots in some regions and not others. Although nine political parties presented lists for the general </w:t>
      </w:r>
      <w:r w:rsidR="006E0621" w:rsidRPr="00582DE9">
        <w:lastRenderedPageBreak/>
        <w:t xml:space="preserve">election at the national level, only two parties (APNU+AFC and PPP/C) appeared on the general ballot in all </w:t>
      </w:r>
      <w:r w:rsidR="00773D97">
        <w:t>ten</w:t>
      </w:r>
      <w:r w:rsidR="006E0621" w:rsidRPr="00582DE9">
        <w:t xml:space="preserve"> regions.</w:t>
      </w:r>
      <w:r w:rsidR="00314831" w:rsidRPr="00582DE9">
        <w:t>”</w:t>
      </w:r>
      <w:r w:rsidR="005E36EF" w:rsidRPr="00582DE9">
        <w:rPr>
          <w:rStyle w:val="FootnoteReference"/>
          <w:rFonts w:eastAsia="Times New Roman" w:cs="Times New Roman"/>
        </w:rPr>
        <w:footnoteReference w:id="3"/>
      </w:r>
    </w:p>
    <w:p w14:paraId="24C8C0B0" w14:textId="77777777" w:rsidR="006E0621" w:rsidRPr="00582DE9" w:rsidRDefault="006E0621" w:rsidP="006E0621">
      <w:pPr>
        <w:spacing w:line="276" w:lineRule="auto"/>
        <w:jc w:val="both"/>
        <w:rPr>
          <w:rFonts w:eastAsia="Times New Roman" w:cs="Times New Roman"/>
        </w:rPr>
      </w:pPr>
    </w:p>
    <w:p w14:paraId="48F05E0E" w14:textId="4407E0B5" w:rsidR="00151134" w:rsidRPr="00183AD5" w:rsidRDefault="006E0621" w:rsidP="00183AD5">
      <w:pPr>
        <w:jc w:val="both"/>
        <w:rPr>
          <w:sz w:val="23"/>
          <w:szCs w:val="23"/>
        </w:rPr>
      </w:pPr>
      <w:r>
        <w:t>In addition, the electoral system</w:t>
      </w:r>
      <w:r w:rsidR="00314831">
        <w:t xml:space="preserve"> uses </w:t>
      </w:r>
      <w:r w:rsidR="0046666F">
        <w:t>neither a “closed list” nor an “open list” system</w:t>
      </w:r>
      <w:r w:rsidR="00496246">
        <w:t xml:space="preserve">. </w:t>
      </w:r>
      <w:r w:rsidR="00175C95">
        <w:t xml:space="preserve">The lists as presented by parties have an order, </w:t>
      </w:r>
      <w:r w:rsidR="000A2126">
        <w:t xml:space="preserve">but the final selection of candidates to fill seats takes place after the election, with the result that </w:t>
      </w:r>
      <w:r w:rsidR="00335EA3">
        <w:t>voters do not know which candidates w</w:t>
      </w:r>
      <w:r w:rsidR="000869CE">
        <w:t xml:space="preserve">ill </w:t>
      </w:r>
      <w:r w:rsidR="003F05A0">
        <w:t>be granted a seat.</w:t>
      </w:r>
      <w:r w:rsidR="00A6735C">
        <w:t xml:space="preserve"> </w:t>
      </w:r>
      <w:r w:rsidR="005E36EF">
        <w:t>T</w:t>
      </w:r>
      <w:r w:rsidR="00151134">
        <w:t>here is a need for the</w:t>
      </w:r>
      <w:r w:rsidR="00151134" w:rsidRPr="00B76741">
        <w:t xml:space="preserve"> Guyanese government </w:t>
      </w:r>
      <w:r w:rsidR="00151134">
        <w:t>to</w:t>
      </w:r>
      <w:r w:rsidR="00151134" w:rsidRPr="00B76741">
        <w:t xml:space="preserve"> </w:t>
      </w:r>
      <w:r w:rsidR="005E36EF">
        <w:t xml:space="preserve">consider electoral reform </w:t>
      </w:r>
      <w:r w:rsidR="003A4808">
        <w:t>a move away from the “winner-take</w:t>
      </w:r>
      <w:r w:rsidR="00285DC0">
        <w:t>s</w:t>
      </w:r>
      <w:r w:rsidR="00701665">
        <w:t>-</w:t>
      </w:r>
      <w:r w:rsidR="003A4808">
        <w:t xml:space="preserve">all” system </w:t>
      </w:r>
      <w:r w:rsidR="00285DC0">
        <w:t>currently in use, and towards a system t</w:t>
      </w:r>
      <w:r w:rsidR="00151134" w:rsidRPr="00B76741">
        <w:t xml:space="preserve">hat would promote support across ethnic lines and </w:t>
      </w:r>
      <w:r w:rsidR="00151134">
        <w:t>inter-ethnic cooperation between parties.</w:t>
      </w:r>
      <w:r w:rsidR="00151134" w:rsidRPr="00B76741">
        <w:t xml:space="preserve"> </w:t>
      </w:r>
    </w:p>
    <w:p w14:paraId="1616C229" w14:textId="77777777" w:rsidR="00AC10AD" w:rsidRPr="00CF6D8E" w:rsidRDefault="00AC10AD" w:rsidP="00AC10AD">
      <w:pPr>
        <w:jc w:val="both"/>
        <w:rPr>
          <w:rFonts w:cs="Times New Roman"/>
        </w:rPr>
      </w:pPr>
    </w:p>
    <w:p w14:paraId="0C2C62C5" w14:textId="4D0CD609" w:rsidR="00134AA6" w:rsidRPr="00866EC6" w:rsidRDefault="00CF6D8E" w:rsidP="00866EC6">
      <w:pPr>
        <w:pStyle w:val="NoSpacing"/>
        <w:jc w:val="both"/>
      </w:pPr>
      <w:bookmarkStart w:id="7" w:name="_Toc41553073"/>
      <w:r w:rsidRPr="00866EC6">
        <w:rPr>
          <w:rStyle w:val="Heading2Char"/>
          <w:sz w:val="24"/>
          <w:szCs w:val="24"/>
        </w:rPr>
        <w:t>Overhaul and Modernize Campaign Finance Laws</w:t>
      </w:r>
      <w:bookmarkEnd w:id="7"/>
      <w:r w:rsidRPr="00866EC6">
        <w:t xml:space="preserve">. To ensure </w:t>
      </w:r>
      <w:r w:rsidR="00441E23" w:rsidRPr="00866EC6">
        <w:t xml:space="preserve">the </w:t>
      </w:r>
      <w:r w:rsidRPr="00866EC6">
        <w:t>realization of the right and opportunity to be elected, legal reform is necessary to improve campaign finance laws. Legislation should be strengthened to routinely require disclosure of contributions and expenditures. Consideration also should be given to establishing reasonable limits on donations and expenditures to ensure that the free choice of voters is not undermined or the democratic process distorted by disproportionate expenditures on behalf of any candidate or party. A monitoring and enforcement body with oversight authority of compliance with campaign finance regulations would also be a positive contribution to Guyanese politics.</w:t>
      </w:r>
    </w:p>
    <w:p w14:paraId="0489ADE4" w14:textId="77777777" w:rsidR="00134AA6" w:rsidRPr="00CF6D8E" w:rsidRDefault="00134AA6" w:rsidP="00866EC6">
      <w:pPr>
        <w:jc w:val="both"/>
        <w:rPr>
          <w:rFonts w:cs="Times New Roman"/>
        </w:rPr>
      </w:pPr>
    </w:p>
    <w:p w14:paraId="01412DAA" w14:textId="66B6C18E" w:rsidR="00AC10AD" w:rsidRDefault="00BF5805" w:rsidP="00183AD5">
      <w:pPr>
        <w:pStyle w:val="Heading3"/>
      </w:pPr>
      <w:bookmarkStart w:id="8" w:name="_Toc41553074"/>
      <w:r>
        <w:t xml:space="preserve">Suggested </w:t>
      </w:r>
      <w:r w:rsidR="00AC10AD">
        <w:t>Questions for the Committee</w:t>
      </w:r>
      <w:bookmarkEnd w:id="8"/>
    </w:p>
    <w:p w14:paraId="3C819273" w14:textId="77777777" w:rsidR="00AC10AD" w:rsidRPr="00A264B6" w:rsidRDefault="00AC10AD" w:rsidP="00AC10AD">
      <w:pPr>
        <w:jc w:val="both"/>
      </w:pPr>
    </w:p>
    <w:p w14:paraId="51DC0864" w14:textId="77777777" w:rsidR="00AC10AD" w:rsidRPr="002E356A" w:rsidRDefault="00AC10AD" w:rsidP="00AC10AD">
      <w:pPr>
        <w:pStyle w:val="LightGrid-Accent31"/>
        <w:spacing w:line="276" w:lineRule="auto"/>
        <w:ind w:left="0"/>
        <w:jc w:val="both"/>
        <w:rPr>
          <w:rFonts w:cs="Times New Roman"/>
        </w:rPr>
      </w:pPr>
      <w:r w:rsidRPr="002E356A">
        <w:rPr>
          <w:rFonts w:cs="Times New Roman"/>
        </w:rPr>
        <w:t xml:space="preserve">The Carter Center recommends that the following questions be included in the List of Issues for the examination of </w:t>
      </w:r>
      <w:r>
        <w:rPr>
          <w:rFonts w:cs="Times New Roman"/>
        </w:rPr>
        <w:t>Guyana</w:t>
      </w:r>
      <w:r w:rsidRPr="002E356A">
        <w:rPr>
          <w:rFonts w:cs="Times New Roman"/>
        </w:rPr>
        <w:t>:</w:t>
      </w:r>
    </w:p>
    <w:p w14:paraId="013AB5A1" w14:textId="79372063" w:rsidR="00AC10AD" w:rsidRDefault="00AC10AD" w:rsidP="00AC10AD">
      <w:pPr>
        <w:pStyle w:val="LightGrid-Accent31"/>
        <w:numPr>
          <w:ilvl w:val="0"/>
          <w:numId w:val="3"/>
        </w:numPr>
        <w:spacing w:line="276" w:lineRule="auto"/>
        <w:jc w:val="both"/>
        <w:rPr>
          <w:rFonts w:cs="Times New Roman"/>
          <w:i/>
          <w:iCs/>
        </w:rPr>
      </w:pPr>
      <w:r w:rsidRPr="002E356A">
        <w:rPr>
          <w:rFonts w:cs="Times New Roman"/>
          <w:i/>
          <w:iCs/>
        </w:rPr>
        <w:lastRenderedPageBreak/>
        <w:t xml:space="preserve">What specific steps will the Guyanese government take to ensure the </w:t>
      </w:r>
      <w:r w:rsidR="00285DC0">
        <w:rPr>
          <w:rFonts w:cs="Times New Roman"/>
          <w:i/>
          <w:iCs/>
        </w:rPr>
        <w:t xml:space="preserve">electoral </w:t>
      </w:r>
      <w:r w:rsidRPr="002E356A">
        <w:rPr>
          <w:rFonts w:cs="Times New Roman"/>
          <w:i/>
          <w:iCs/>
        </w:rPr>
        <w:t>system</w:t>
      </w:r>
      <w:r w:rsidR="00937957">
        <w:rPr>
          <w:rFonts w:cs="Times New Roman"/>
          <w:i/>
          <w:iCs/>
        </w:rPr>
        <w:t xml:space="preserve"> is </w:t>
      </w:r>
      <w:r w:rsidR="00B91D6A">
        <w:rPr>
          <w:rFonts w:cs="Times New Roman"/>
          <w:i/>
          <w:iCs/>
        </w:rPr>
        <w:t>a</w:t>
      </w:r>
      <w:r w:rsidR="00937957">
        <w:rPr>
          <w:rFonts w:cs="Times New Roman"/>
          <w:i/>
          <w:iCs/>
        </w:rPr>
        <w:t xml:space="preserve">djusted to </w:t>
      </w:r>
      <w:r w:rsidRPr="002E356A">
        <w:rPr>
          <w:rFonts w:cs="Times New Roman"/>
          <w:i/>
          <w:iCs/>
        </w:rPr>
        <w:t xml:space="preserve">promote support across ethnic lines and better reflect international standards before the next election? </w:t>
      </w:r>
    </w:p>
    <w:p w14:paraId="56C98376" w14:textId="0FCF8B18" w:rsidR="001807B9" w:rsidRDefault="00A62915" w:rsidP="00AC10AD">
      <w:pPr>
        <w:pStyle w:val="LightGrid-Accent31"/>
        <w:numPr>
          <w:ilvl w:val="0"/>
          <w:numId w:val="3"/>
        </w:numPr>
        <w:spacing w:line="276" w:lineRule="auto"/>
        <w:jc w:val="both"/>
        <w:rPr>
          <w:rFonts w:cs="Times New Roman"/>
          <w:i/>
          <w:iCs/>
        </w:rPr>
      </w:pPr>
      <w:r>
        <w:rPr>
          <w:rFonts w:cs="Times New Roman"/>
          <w:i/>
          <w:iCs/>
        </w:rPr>
        <w:t xml:space="preserve">How will the Government of Guyana address </w:t>
      </w:r>
      <w:r w:rsidR="00734300">
        <w:rPr>
          <w:rFonts w:cs="Times New Roman"/>
          <w:i/>
          <w:iCs/>
        </w:rPr>
        <w:t>the need for independence and impartiality of the electoral authority</w:t>
      </w:r>
      <w:r w:rsidR="00494475">
        <w:rPr>
          <w:rFonts w:cs="Times New Roman"/>
          <w:i/>
          <w:iCs/>
        </w:rPr>
        <w:t>,</w:t>
      </w:r>
      <w:r w:rsidR="00937957">
        <w:rPr>
          <w:rFonts w:cs="Times New Roman"/>
          <w:i/>
          <w:iCs/>
        </w:rPr>
        <w:t xml:space="preserve"> removing the polarizing role of the two main political parties,</w:t>
      </w:r>
      <w:r w:rsidR="00494475">
        <w:rPr>
          <w:rFonts w:cs="Times New Roman"/>
          <w:i/>
          <w:iCs/>
        </w:rPr>
        <w:t xml:space="preserve"> which is particularly critical in highly polarized </w:t>
      </w:r>
      <w:r w:rsidR="000B6786">
        <w:rPr>
          <w:rFonts w:cs="Times New Roman"/>
          <w:i/>
          <w:iCs/>
        </w:rPr>
        <w:t>political environments</w:t>
      </w:r>
      <w:r w:rsidR="00734300">
        <w:rPr>
          <w:rFonts w:cs="Times New Roman"/>
          <w:i/>
          <w:iCs/>
        </w:rPr>
        <w:t>?</w:t>
      </w:r>
    </w:p>
    <w:p w14:paraId="4A556C45" w14:textId="04061964" w:rsidR="000C7E8E" w:rsidRDefault="000C7E8E" w:rsidP="00AC10AD">
      <w:pPr>
        <w:pStyle w:val="LightGrid-Accent31"/>
        <w:numPr>
          <w:ilvl w:val="0"/>
          <w:numId w:val="3"/>
        </w:numPr>
        <w:spacing w:line="276" w:lineRule="auto"/>
        <w:jc w:val="both"/>
        <w:rPr>
          <w:rFonts w:cs="Times New Roman"/>
          <w:i/>
          <w:iCs/>
        </w:rPr>
      </w:pPr>
      <w:r>
        <w:rPr>
          <w:rFonts w:cs="Times New Roman"/>
          <w:i/>
          <w:iCs/>
        </w:rPr>
        <w:t>How will the Government of Guyana overhaul and modernize campaign finance laws to ensure realization of the right and opportunity to be elected and better protect against allegations of abuse of state resources during electoral periods?</w:t>
      </w:r>
    </w:p>
    <w:p w14:paraId="0214D2C9" w14:textId="77777777" w:rsidR="00BF5805" w:rsidRDefault="00BF5805" w:rsidP="00BF5805">
      <w:pPr>
        <w:pStyle w:val="Heading3"/>
        <w:spacing w:line="276" w:lineRule="auto"/>
      </w:pPr>
    </w:p>
    <w:p w14:paraId="2761D2A9" w14:textId="3748E20D" w:rsidR="00BF5805" w:rsidRDefault="00BF5805" w:rsidP="00183AD5">
      <w:pPr>
        <w:pStyle w:val="Heading2"/>
      </w:pPr>
      <w:bookmarkStart w:id="9" w:name="_Toc41553075"/>
      <w:r w:rsidRPr="002E356A">
        <w:t>Article</w:t>
      </w:r>
      <w:r>
        <w:t>s</w:t>
      </w:r>
      <w:r w:rsidRPr="002E356A">
        <w:t xml:space="preserve"> 3 and 25: Equality between Men and Women</w:t>
      </w:r>
      <w:bookmarkEnd w:id="9"/>
    </w:p>
    <w:p w14:paraId="6EDB76A2" w14:textId="77777777" w:rsidR="00BF5805" w:rsidRPr="002E356A" w:rsidRDefault="00BF5805" w:rsidP="00BF5805">
      <w:pPr>
        <w:spacing w:line="276" w:lineRule="auto"/>
      </w:pPr>
    </w:p>
    <w:p w14:paraId="74630B80" w14:textId="77777777" w:rsidR="00BF5805" w:rsidRPr="002E356A" w:rsidRDefault="00BF5805" w:rsidP="00183AD5">
      <w:pPr>
        <w:jc w:val="both"/>
      </w:pPr>
      <w:r w:rsidRPr="002E356A">
        <w:t>The equitable participation of women in politics and government is essential to building and sustaining democracy. Democracy cannot truly deliver for all of its citizens if half of the population remains underrepresented in the political arena.</w:t>
      </w:r>
    </w:p>
    <w:p w14:paraId="16BD2803" w14:textId="77777777" w:rsidR="00BF5805" w:rsidRPr="002E356A" w:rsidRDefault="00BF5805" w:rsidP="00183AD5">
      <w:pPr>
        <w:jc w:val="both"/>
      </w:pPr>
    </w:p>
    <w:p w14:paraId="71B4ADF7" w14:textId="77777777" w:rsidR="00BF5805" w:rsidRPr="002E356A" w:rsidRDefault="00BF5805" w:rsidP="00183AD5">
      <w:pPr>
        <w:jc w:val="both"/>
      </w:pPr>
      <w:r w:rsidRPr="002E356A">
        <w:t>International and regional obligations protect women’s rights and ensure their democratic right to participation</w:t>
      </w:r>
      <w:r>
        <w:t>.</w:t>
      </w:r>
      <w:r w:rsidRPr="002E356A">
        <w:t xml:space="preserve"> Guyana</w:t>
      </w:r>
      <w:r>
        <w:t xml:space="preserve"> has ratified </w:t>
      </w:r>
      <w:r w:rsidRPr="002E356A">
        <w:t>the Convention on the Elimination of all Forms of Discrimination against Women (CEDAW, July 1980). In addition, Guyana’s Constitution mandates that “Women and men have equal rights and the same status in all spheres of political, economic, and social life,” including the right for equal political representation and participation.</w:t>
      </w:r>
    </w:p>
    <w:p w14:paraId="3B82C362" w14:textId="77777777" w:rsidR="00BF5805" w:rsidRPr="002E356A" w:rsidRDefault="00BF5805" w:rsidP="00183AD5">
      <w:pPr>
        <w:jc w:val="both"/>
      </w:pPr>
    </w:p>
    <w:p w14:paraId="228E5AC0" w14:textId="77777777" w:rsidR="00BF5805" w:rsidRPr="002E356A" w:rsidRDefault="00BF5805" w:rsidP="00183AD5">
      <w:pPr>
        <w:jc w:val="both"/>
      </w:pPr>
      <w:r>
        <w:t>T</w:t>
      </w:r>
      <w:r w:rsidRPr="002E356A">
        <w:t>he Guyanese Constitution</w:t>
      </w:r>
      <w:r>
        <w:t xml:space="preserve"> also</w:t>
      </w:r>
      <w:r w:rsidRPr="002E356A">
        <w:t xml:space="preserve"> requires that electoral law must make provision for a minimum proportion of female candidates in party lists. </w:t>
      </w:r>
      <w:r>
        <w:t>T</w:t>
      </w:r>
      <w:r w:rsidRPr="002E356A">
        <w:t>he Representation of the People Act requires two elements of female inclusion within party lists. First, for the party’s national top-up lists, the total number of women on each party’s list must be at least one-</w:t>
      </w:r>
      <w:r w:rsidRPr="002E356A">
        <w:lastRenderedPageBreak/>
        <w:t xml:space="preserve">third of the total number of candidates on that list. Secondly, in the geographical constituencies, the total number of women on any party’s lists, taken together, must be at least one-third of the total number of candidates on those lists. It also requires that parties must include women in their lists for at least 80 percent of the geographical constituencies they are contesting. There is, however, no requirement that the parties must allocate seats in the National Assembly to any of the female candidates from within their lists. Instead, Section 98 of the Representation of the People Act provides that the </w:t>
      </w:r>
      <w:r>
        <w:t>R</w:t>
      </w:r>
      <w:r w:rsidRPr="002E356A">
        <w:t xml:space="preserve">epresentative of the </w:t>
      </w:r>
      <w:r>
        <w:t>L</w:t>
      </w:r>
      <w:r w:rsidRPr="002E356A">
        <w:t>ist</w:t>
      </w:r>
      <w:r>
        <w:t xml:space="preserve"> (the head of the list)</w:t>
      </w:r>
      <w:r w:rsidRPr="002E356A">
        <w:t xml:space="preserve"> extract names from the list of candidates for the number of seats won, and they shall be declared to be elected by the chief election officer.</w:t>
      </w:r>
      <w:r>
        <w:t xml:space="preserve"> The section law</w:t>
      </w:r>
      <w:r w:rsidRPr="004736DA">
        <w:t xml:space="preserve"> fails to specify what proportion </w:t>
      </w:r>
      <w:r>
        <w:t xml:space="preserve">of seats must be assigned to female candidates </w:t>
      </w:r>
      <w:r w:rsidRPr="00D96D4F">
        <w:t>after v</w:t>
      </w:r>
      <w:r w:rsidRPr="004736DA">
        <w:t xml:space="preserve">oting, making it difficult to enforce. </w:t>
      </w:r>
    </w:p>
    <w:p w14:paraId="4A3C2A8D" w14:textId="77777777" w:rsidR="00BF5805" w:rsidRPr="002E356A" w:rsidRDefault="00BF5805" w:rsidP="00183AD5">
      <w:pPr>
        <w:jc w:val="both"/>
      </w:pPr>
    </w:p>
    <w:p w14:paraId="013942E9" w14:textId="717F75F2" w:rsidR="00BF5805" w:rsidRPr="002E356A" w:rsidRDefault="00BF5805" w:rsidP="00183AD5">
      <w:pPr>
        <w:jc w:val="both"/>
      </w:pPr>
      <w:r w:rsidRPr="002E356A">
        <w:rPr>
          <w:rFonts w:eastAsiaTheme="minorHAnsi"/>
        </w:rPr>
        <w:t>Since there are no provision</w:t>
      </w:r>
      <w:r>
        <w:rPr>
          <w:rFonts w:eastAsiaTheme="minorHAnsi"/>
        </w:rPr>
        <w:t>s</w:t>
      </w:r>
      <w:r w:rsidRPr="002E356A">
        <w:rPr>
          <w:rFonts w:eastAsiaTheme="minorHAnsi"/>
        </w:rPr>
        <w:t xml:space="preserve"> regarding special measures for women when parties choose who should fill the seats won, t</w:t>
      </w:r>
      <w:r w:rsidRPr="002E356A">
        <w:t xml:space="preserve">here is, therefore, failure to reflect the spirit of the Constitution. This is a clear instance of dissonance between </w:t>
      </w:r>
      <w:r>
        <w:t>Guyana’s international obligations</w:t>
      </w:r>
      <w:r w:rsidR="00597350">
        <w:t>,</w:t>
      </w:r>
      <w:r w:rsidR="00597350" w:rsidRPr="00597350">
        <w:t xml:space="preserve"> </w:t>
      </w:r>
      <w:r w:rsidR="00597350" w:rsidRPr="002E356A">
        <w:t xml:space="preserve">the spirit of the Constitution </w:t>
      </w:r>
      <w:r w:rsidR="00597350">
        <w:t>and</w:t>
      </w:r>
      <w:r>
        <w:t xml:space="preserve"> the electoral law</w:t>
      </w:r>
      <w:r w:rsidRPr="002E356A">
        <w:t>.</w:t>
      </w:r>
    </w:p>
    <w:p w14:paraId="0CC89666" w14:textId="77777777" w:rsidR="00BF5805" w:rsidRDefault="00BF5805" w:rsidP="00BF5805">
      <w:pPr>
        <w:spacing w:line="276" w:lineRule="auto"/>
        <w:jc w:val="both"/>
        <w:rPr>
          <w:rFonts w:cs="Times New Roman"/>
        </w:rPr>
      </w:pPr>
    </w:p>
    <w:p w14:paraId="636EA0CB" w14:textId="60750F86" w:rsidR="00BF5805" w:rsidRDefault="00BF5805" w:rsidP="00183AD5">
      <w:pPr>
        <w:pStyle w:val="Heading3"/>
      </w:pPr>
      <w:bookmarkStart w:id="10" w:name="_Toc41553076"/>
      <w:r>
        <w:t>Suggested Questions for the Committee</w:t>
      </w:r>
      <w:bookmarkEnd w:id="10"/>
    </w:p>
    <w:p w14:paraId="063E91EA" w14:textId="77777777" w:rsidR="00BF5805" w:rsidRPr="002E356A" w:rsidRDefault="00BF5805" w:rsidP="00BF5805">
      <w:pPr>
        <w:pStyle w:val="LightGrid-Accent31"/>
        <w:ind w:left="0"/>
        <w:jc w:val="both"/>
        <w:rPr>
          <w:rFonts w:cs="Times New Roman"/>
        </w:rPr>
      </w:pPr>
      <w:r w:rsidRPr="002E356A">
        <w:rPr>
          <w:rFonts w:cs="Times New Roman"/>
        </w:rPr>
        <w:t xml:space="preserve">The Carter Center recommends that the following questions be included in the List of Issues for the examination of </w:t>
      </w:r>
      <w:r>
        <w:rPr>
          <w:rFonts w:cs="Times New Roman"/>
        </w:rPr>
        <w:t>Guyana</w:t>
      </w:r>
      <w:r w:rsidRPr="002E356A">
        <w:rPr>
          <w:rFonts w:cs="Times New Roman"/>
        </w:rPr>
        <w:t>:</w:t>
      </w:r>
    </w:p>
    <w:p w14:paraId="2970683B" w14:textId="77777777" w:rsidR="00BF5805" w:rsidRPr="002E356A" w:rsidRDefault="00BF5805" w:rsidP="00BF5805">
      <w:pPr>
        <w:jc w:val="both"/>
        <w:rPr>
          <w:rFonts w:cs="Times New Roman"/>
        </w:rPr>
      </w:pPr>
    </w:p>
    <w:p w14:paraId="585B73B0" w14:textId="77777777" w:rsidR="00BF5805" w:rsidRPr="002E356A" w:rsidRDefault="00BF5805" w:rsidP="12A6D117">
      <w:pPr>
        <w:pStyle w:val="LightGrid-Accent31"/>
        <w:numPr>
          <w:ilvl w:val="0"/>
          <w:numId w:val="4"/>
        </w:numPr>
        <w:jc w:val="both"/>
        <w:rPr>
          <w:rFonts w:cs="Times New Roman"/>
          <w:i/>
          <w:iCs/>
        </w:rPr>
      </w:pPr>
      <w:r w:rsidRPr="12A6D117">
        <w:rPr>
          <w:rFonts w:cs="Times New Roman"/>
          <w:i/>
          <w:iCs/>
        </w:rPr>
        <w:t>What specific steps will the Guyanese government take to adjustments to its legal framework and electoral system to equalize the representation of women in Parliament?</w:t>
      </w:r>
    </w:p>
    <w:p w14:paraId="5CA98F77" w14:textId="77777777" w:rsidR="00151134" w:rsidRDefault="00151134" w:rsidP="00151134">
      <w:pPr>
        <w:pStyle w:val="Heading3"/>
        <w:rPr>
          <w:b/>
          <w:bCs/>
        </w:rPr>
      </w:pPr>
    </w:p>
    <w:p w14:paraId="07C99BA8" w14:textId="48DD39BC" w:rsidR="00F5774A" w:rsidRPr="00F5774A" w:rsidRDefault="00151134" w:rsidP="00183AD5">
      <w:pPr>
        <w:pStyle w:val="Heading2"/>
      </w:pPr>
      <w:bookmarkStart w:id="11" w:name="_Toc41553077"/>
      <w:r>
        <w:t xml:space="preserve">Articles 2 and 25: Universal </w:t>
      </w:r>
      <w:r w:rsidR="00676C16">
        <w:t>Suffrage</w:t>
      </w:r>
      <w:bookmarkEnd w:id="11"/>
    </w:p>
    <w:p w14:paraId="74AFD573" w14:textId="605C8110" w:rsidR="00F345D7" w:rsidRPr="00F345D7" w:rsidRDefault="00F345D7" w:rsidP="00183AD5">
      <w:pPr>
        <w:pStyle w:val="Heading2"/>
      </w:pPr>
    </w:p>
    <w:p w14:paraId="6F61DD27" w14:textId="69AA12D5" w:rsidR="00F27772" w:rsidRDefault="00F27772" w:rsidP="002E356A">
      <w:pPr>
        <w:spacing w:line="276" w:lineRule="auto"/>
        <w:jc w:val="both"/>
      </w:pPr>
      <w:r>
        <w:t xml:space="preserve">Universal </w:t>
      </w:r>
      <w:r w:rsidR="004969E5">
        <w:t>s</w:t>
      </w:r>
      <w:r>
        <w:t>uffrage</w:t>
      </w:r>
      <w:r w:rsidR="003E5A43">
        <w:t xml:space="preserve"> </w:t>
      </w:r>
      <w:r w:rsidR="001F27F0">
        <w:t xml:space="preserve">requires that the </w:t>
      </w:r>
      <w:r w:rsidR="0019707C">
        <w:t xml:space="preserve">broadest pool of eligible voters have the right and the opportunity to cast </w:t>
      </w:r>
      <w:r w:rsidR="00192A90">
        <w:t xml:space="preserve">their ballots during an election process, free from discrimination. During the </w:t>
      </w:r>
      <w:r w:rsidR="00DE5A8A">
        <w:t>2015 and 2020 elections in Guyana, The Carter Center noted the following</w:t>
      </w:r>
      <w:r w:rsidR="0060761B">
        <w:t xml:space="preserve"> issues</w:t>
      </w:r>
      <w:r w:rsidR="004E57E4">
        <w:t xml:space="preserve"> regarding </w:t>
      </w:r>
      <w:r w:rsidR="00924B9C">
        <w:t xml:space="preserve">the </w:t>
      </w:r>
      <w:r w:rsidR="004E57E4">
        <w:t xml:space="preserve">participation of those with disabilities, LGBTI </w:t>
      </w:r>
      <w:r w:rsidR="005B48FA">
        <w:t>voters and political contestants</w:t>
      </w:r>
      <w:r w:rsidR="00877A92">
        <w:t>,</w:t>
      </w:r>
      <w:r w:rsidR="005B48FA">
        <w:t xml:space="preserve"> and those in detention</w:t>
      </w:r>
      <w:r w:rsidR="004E57E4">
        <w:t xml:space="preserve">: </w:t>
      </w:r>
      <w:r w:rsidR="00192A90">
        <w:t xml:space="preserve"> </w:t>
      </w:r>
    </w:p>
    <w:p w14:paraId="038C733B" w14:textId="77777777" w:rsidR="00FE294E" w:rsidRDefault="00FE294E" w:rsidP="002E356A">
      <w:pPr>
        <w:spacing w:line="276" w:lineRule="auto"/>
        <w:jc w:val="both"/>
      </w:pPr>
    </w:p>
    <w:p w14:paraId="0901F4F5" w14:textId="1C96B28A" w:rsidR="005B48FA" w:rsidRPr="000A1B86" w:rsidRDefault="005B48FA" w:rsidP="005B48FA">
      <w:pPr>
        <w:spacing w:line="276" w:lineRule="auto"/>
        <w:jc w:val="both"/>
        <w:rPr>
          <w:rFonts w:cs="Times New Roman"/>
        </w:rPr>
      </w:pPr>
      <w:bookmarkStart w:id="12" w:name="_Toc41553078"/>
      <w:r w:rsidRPr="00183AD5">
        <w:rPr>
          <w:rStyle w:val="Heading3Char"/>
        </w:rPr>
        <w:t>Voting and Persons with Disabilities:</w:t>
      </w:r>
      <w:bookmarkEnd w:id="12"/>
      <w:r>
        <w:rPr>
          <w:rFonts w:cs="Times New Roman"/>
        </w:rPr>
        <w:t xml:space="preserve"> </w:t>
      </w:r>
      <w:r w:rsidR="00655B8B">
        <w:rPr>
          <w:rFonts w:cs="Times New Roman"/>
        </w:rPr>
        <w:t>States are required to ensure that persons with disabilities can effectively and fully participate in political and public life on an equal basis with others</w:t>
      </w:r>
      <w:r w:rsidR="00EF4486">
        <w:rPr>
          <w:rFonts w:cs="Times New Roman"/>
        </w:rPr>
        <w:t>, including through voting and that acco</w:t>
      </w:r>
      <w:r w:rsidR="00EC03A6">
        <w:rPr>
          <w:rFonts w:cs="Times New Roman"/>
        </w:rPr>
        <w:t>m</w:t>
      </w:r>
      <w:r w:rsidR="00EF4486">
        <w:rPr>
          <w:rFonts w:cs="Times New Roman"/>
        </w:rPr>
        <w:t xml:space="preserve">modations should be made to ensure they can </w:t>
      </w:r>
      <w:r w:rsidR="00463F4F">
        <w:rPr>
          <w:rFonts w:cs="Times New Roman"/>
        </w:rPr>
        <w:t>do so</w:t>
      </w:r>
      <w:r w:rsidR="005C4777">
        <w:rPr>
          <w:rFonts w:cs="Times New Roman"/>
        </w:rPr>
        <w:t xml:space="preserve"> either independently or with the assistance of a person of their choosing.</w:t>
      </w:r>
      <w:r w:rsidR="005C4777">
        <w:rPr>
          <w:rStyle w:val="FootnoteReference"/>
          <w:rFonts w:cs="Times New Roman"/>
        </w:rPr>
        <w:footnoteReference w:id="4"/>
      </w:r>
      <w:r w:rsidR="005C4777">
        <w:rPr>
          <w:rFonts w:cs="Times New Roman"/>
        </w:rPr>
        <w:t xml:space="preserve"> In Guyana, pe</w:t>
      </w:r>
      <w:r w:rsidRPr="000A1B86">
        <w:rPr>
          <w:rFonts w:cs="Times New Roman"/>
        </w:rPr>
        <w:t xml:space="preserve">ople with visual impairments voted using the services of a companion or a presiding officer. </w:t>
      </w:r>
      <w:r>
        <w:t xml:space="preserve">In 2015, the use of tactile ballot guides (“stencils”) was adopted but not very successful, mostly because of a lack of information and awareness. </w:t>
      </w:r>
      <w:r w:rsidRPr="000A1B86">
        <w:rPr>
          <w:rFonts w:cs="Times New Roman"/>
        </w:rPr>
        <w:t xml:space="preserve">However, in advance of the </w:t>
      </w:r>
      <w:r>
        <w:rPr>
          <w:rFonts w:cs="Times New Roman"/>
        </w:rPr>
        <w:t xml:space="preserve">2020 </w:t>
      </w:r>
      <w:r w:rsidRPr="000A1B86">
        <w:rPr>
          <w:rFonts w:cs="Times New Roman"/>
        </w:rPr>
        <w:t xml:space="preserve">elections, the Guyana Election Commission informed the </w:t>
      </w:r>
      <w:r w:rsidRPr="000A1B86">
        <w:rPr>
          <w:rFonts w:eastAsiaTheme="minorHAnsi" w:cs="Times New Roman"/>
        </w:rPr>
        <w:t>Guyana Council of Associations of Persons with Disabilities that it</w:t>
      </w:r>
      <w:r w:rsidRPr="000A1B86">
        <w:rPr>
          <w:rFonts w:cs="Times New Roman"/>
        </w:rPr>
        <w:t xml:space="preserve"> would be unable to operationalize any kind of special measures</w:t>
      </w:r>
      <w:r>
        <w:rPr>
          <w:rFonts w:cs="Times New Roman"/>
        </w:rPr>
        <w:t xml:space="preserve"> </w:t>
      </w:r>
      <w:r w:rsidRPr="000A1B86">
        <w:rPr>
          <w:rFonts w:eastAsiaTheme="minorHAnsi" w:cs="Times New Roman"/>
        </w:rPr>
        <w:t xml:space="preserve">for </w:t>
      </w:r>
      <w:r>
        <w:rPr>
          <w:rFonts w:eastAsiaTheme="minorHAnsi" w:cs="Times New Roman"/>
        </w:rPr>
        <w:t xml:space="preserve">the 2020 </w:t>
      </w:r>
      <w:r w:rsidRPr="000A1B86">
        <w:rPr>
          <w:rFonts w:eastAsiaTheme="minorHAnsi" w:cs="Times New Roman"/>
        </w:rPr>
        <w:t>elections</w:t>
      </w:r>
      <w:r w:rsidRPr="000A1B86">
        <w:rPr>
          <w:rFonts w:cs="Times New Roman"/>
        </w:rPr>
        <w:t xml:space="preserve">. The commission </w:t>
      </w:r>
      <w:r>
        <w:rPr>
          <w:rFonts w:cs="Times New Roman"/>
        </w:rPr>
        <w:t>also</w:t>
      </w:r>
      <w:r w:rsidRPr="000A1B86">
        <w:rPr>
          <w:rFonts w:cs="Times New Roman"/>
        </w:rPr>
        <w:t xml:space="preserve"> denied requests from the disability community to facilitate curbside voting. </w:t>
      </w:r>
    </w:p>
    <w:p w14:paraId="6BB68E48" w14:textId="77777777" w:rsidR="005B48FA" w:rsidRDefault="005B48FA" w:rsidP="009635DF">
      <w:pPr>
        <w:rPr>
          <w:b/>
          <w:bCs/>
          <w:i/>
          <w:iCs/>
        </w:rPr>
      </w:pPr>
    </w:p>
    <w:p w14:paraId="33979F27" w14:textId="77777777" w:rsidR="005B48FA" w:rsidRPr="00D27755" w:rsidRDefault="005B48FA" w:rsidP="005B48FA">
      <w:pPr>
        <w:jc w:val="both"/>
        <w:rPr>
          <w:rFonts w:cs="Times New Roman"/>
        </w:rPr>
      </w:pPr>
      <w:bookmarkStart w:id="13" w:name="_Toc41553079"/>
      <w:r w:rsidRPr="00183AD5">
        <w:rPr>
          <w:rStyle w:val="Heading3Char"/>
        </w:rPr>
        <w:t>Participation of LGBTI persons:</w:t>
      </w:r>
      <w:bookmarkEnd w:id="13"/>
      <w:r w:rsidRPr="00E435CC">
        <w:rPr>
          <w:b/>
          <w:bCs/>
          <w:i/>
          <w:iCs/>
        </w:rPr>
        <w:t xml:space="preserve"> </w:t>
      </w:r>
      <w:r>
        <w:rPr>
          <w:rFonts w:cs="Times New Roman"/>
          <w:color w:val="333333"/>
          <w:shd w:val="clear" w:color="auto" w:fill="FFFFFF"/>
        </w:rPr>
        <w:t xml:space="preserve">While </w:t>
      </w:r>
      <w:r w:rsidRPr="00D27755">
        <w:rPr>
          <w:rFonts w:cs="Times New Roman"/>
        </w:rPr>
        <w:t xml:space="preserve">lesbian, gay, bisexual, transgender, and intersex </w:t>
      </w:r>
      <w:r>
        <w:rPr>
          <w:rFonts w:cs="Times New Roman"/>
        </w:rPr>
        <w:t>(</w:t>
      </w:r>
      <w:r w:rsidRPr="00D27755">
        <w:rPr>
          <w:rFonts w:cs="Times New Roman"/>
        </w:rPr>
        <w:t>LGBTI</w:t>
      </w:r>
      <w:r>
        <w:rPr>
          <w:rFonts w:cs="Times New Roman"/>
          <w:color w:val="333333"/>
          <w:shd w:val="clear" w:color="auto" w:fill="FFFFFF"/>
        </w:rPr>
        <w:t xml:space="preserve">) </w:t>
      </w:r>
      <w:r w:rsidRPr="002C1CB2">
        <w:rPr>
          <w:rFonts w:cs="Times New Roman"/>
          <w:color w:val="333333"/>
          <w:shd w:val="clear" w:color="auto" w:fill="FFFFFF"/>
        </w:rPr>
        <w:t>rights advocates in recent years have become more organized and increasingly visible</w:t>
      </w:r>
      <w:r>
        <w:rPr>
          <w:rFonts w:cs="Times New Roman"/>
          <w:color w:val="333333"/>
          <w:shd w:val="clear" w:color="auto" w:fill="FFFFFF"/>
        </w:rPr>
        <w:t>, homosexuality</w:t>
      </w:r>
      <w:r w:rsidRPr="00E435CC">
        <w:rPr>
          <w:rFonts w:cs="Times New Roman"/>
          <w:color w:val="333333"/>
          <w:shd w:val="clear" w:color="auto" w:fill="FFFFFF"/>
        </w:rPr>
        <w:t xml:space="preserve"> remain</w:t>
      </w:r>
      <w:r>
        <w:rPr>
          <w:rFonts w:cs="Times New Roman"/>
          <w:color w:val="333333"/>
          <w:shd w:val="clear" w:color="auto" w:fill="FFFFFF"/>
        </w:rPr>
        <w:t>s</w:t>
      </w:r>
      <w:r w:rsidRPr="00E435CC">
        <w:rPr>
          <w:rFonts w:cs="Times New Roman"/>
          <w:color w:val="333333"/>
          <w:shd w:val="clear" w:color="auto" w:fill="FFFFFF"/>
        </w:rPr>
        <w:t xml:space="preserve"> </w:t>
      </w:r>
      <w:r>
        <w:rPr>
          <w:rFonts w:cs="Times New Roman"/>
          <w:color w:val="333333"/>
          <w:shd w:val="clear" w:color="auto" w:fill="FFFFFF"/>
        </w:rPr>
        <w:t>illegal</w:t>
      </w:r>
      <w:r w:rsidRPr="00E435CC">
        <w:rPr>
          <w:rFonts w:cs="Times New Roman"/>
          <w:color w:val="333333"/>
          <w:shd w:val="clear" w:color="auto" w:fill="FFFFFF"/>
        </w:rPr>
        <w:t xml:space="preserve"> in Guyana. </w:t>
      </w:r>
      <w:r w:rsidRPr="00D27755">
        <w:rPr>
          <w:rFonts w:cs="Times New Roman"/>
        </w:rPr>
        <w:t xml:space="preserve">At the 2020 election, the rights of the LGBTI community were endorsed by some new parties but not by Guyana’s two major </w:t>
      </w:r>
      <w:r w:rsidRPr="00D27755">
        <w:rPr>
          <w:rFonts w:cs="Times New Roman"/>
        </w:rPr>
        <w:lastRenderedPageBreak/>
        <w:t>political parties. A history of discrimination and restrictive legislation in Guyana has limited the role of the LGBTI community in public life, including their participation in elections as candidates, political party officials, and election workers</w:t>
      </w:r>
      <w:r>
        <w:rPr>
          <w:rFonts w:cs="Times New Roman"/>
        </w:rPr>
        <w:t>.</w:t>
      </w:r>
    </w:p>
    <w:p w14:paraId="3467945E" w14:textId="77777777" w:rsidR="005B48FA" w:rsidRPr="00183AD5" w:rsidRDefault="005B48FA" w:rsidP="00183AD5">
      <w:pPr>
        <w:rPr>
          <w:b/>
          <w:bCs/>
          <w:i/>
          <w:iCs/>
        </w:rPr>
      </w:pPr>
    </w:p>
    <w:p w14:paraId="2ED32B4E" w14:textId="604B8B88" w:rsidR="002E356A" w:rsidRPr="002E356A" w:rsidRDefault="009635DF" w:rsidP="00AF247A">
      <w:pPr>
        <w:pStyle w:val="NoSpacing"/>
        <w:jc w:val="both"/>
        <w:rPr>
          <w:rFonts w:cs="Times New Roman"/>
        </w:rPr>
      </w:pPr>
      <w:bookmarkStart w:id="14" w:name="_Toc41553080"/>
      <w:r w:rsidRPr="005B535E">
        <w:rPr>
          <w:rStyle w:val="Heading3Char"/>
        </w:rPr>
        <w:t>Voting by persons on detention</w:t>
      </w:r>
      <w:bookmarkEnd w:id="14"/>
      <w:r w:rsidRPr="00183AD5">
        <w:t>:</w:t>
      </w:r>
      <w:r w:rsidR="002E356A" w:rsidRPr="002E356A">
        <w:rPr>
          <w:rFonts w:cs="Times New Roman"/>
        </w:rPr>
        <w:t xml:space="preserve"> </w:t>
      </w:r>
      <w:r w:rsidR="002E356A" w:rsidRPr="004C4B34">
        <w:t xml:space="preserve">Article 159 of the Guyana Constitution, provides that every person who is at least eighteen years of age and is either a citizen of Guyana or a Commonwealth citizen domiciled and resident in Guyana is allowed to vote. </w:t>
      </w:r>
      <w:r w:rsidR="00BE00B5" w:rsidRPr="004C4B34">
        <w:t xml:space="preserve">Similar to previous elections, </w:t>
      </w:r>
      <w:r w:rsidR="002E356A" w:rsidRPr="004C4B34">
        <w:t xml:space="preserve">during the </w:t>
      </w:r>
      <w:r w:rsidR="006102B6" w:rsidRPr="004C4B34">
        <w:t>2020</w:t>
      </w:r>
      <w:r w:rsidR="002E356A" w:rsidRPr="004C4B34">
        <w:t xml:space="preserve"> election</w:t>
      </w:r>
      <w:r w:rsidR="00BE00B5" w:rsidRPr="004C4B34">
        <w:t>s</w:t>
      </w:r>
      <w:r w:rsidR="002E356A" w:rsidRPr="004C4B34">
        <w:t xml:space="preserve">, </w:t>
      </w:r>
      <w:r w:rsidR="000B7117" w:rsidRPr="004C4B34">
        <w:t>u</w:t>
      </w:r>
      <w:r w:rsidR="002E356A" w:rsidRPr="004C4B34">
        <w:t xml:space="preserve">niversal suffrage was not respected in the case of voters in detention on election day. </w:t>
      </w:r>
      <w:r w:rsidR="00590D2B" w:rsidRPr="004C4B34">
        <w:t>Roughly one</w:t>
      </w:r>
      <w:r w:rsidR="006875C5">
        <w:t>-</w:t>
      </w:r>
      <w:r w:rsidR="00590D2B" w:rsidRPr="004C4B34">
        <w:t xml:space="preserve">third of the 1,900 </w:t>
      </w:r>
      <w:r w:rsidR="00E63E57" w:rsidRPr="004C4B34">
        <w:t>people incarcerated a</w:t>
      </w:r>
      <w:r w:rsidR="008F119B" w:rsidRPr="004C4B34">
        <w:t xml:space="preserve">re </w:t>
      </w:r>
      <w:r w:rsidR="00E63E57" w:rsidRPr="004C4B34">
        <w:t>in pre-trial detention</w:t>
      </w:r>
      <w:r w:rsidR="007C79E5">
        <w:t>. W</w:t>
      </w:r>
      <w:r w:rsidR="00755858" w:rsidRPr="004C4B34">
        <w:t>ith delays in judicial</w:t>
      </w:r>
      <w:r w:rsidR="00870D40" w:rsidRPr="004C4B34">
        <w:t xml:space="preserve"> proceedings,</w:t>
      </w:r>
      <w:r w:rsidR="008F119B" w:rsidRPr="004C4B34">
        <w:t xml:space="preserve"> it is not uncommon for </w:t>
      </w:r>
      <w:r w:rsidR="00803F70" w:rsidRPr="004C4B34">
        <w:t>the period of pre-trial detention to last as long as five year</w:t>
      </w:r>
      <w:r w:rsidR="004969E5">
        <w:t>s</w:t>
      </w:r>
      <w:r w:rsidR="00803F70" w:rsidRPr="004C4B34">
        <w:t>.</w:t>
      </w:r>
      <w:r w:rsidR="00755858" w:rsidRPr="004C4B34">
        <w:t xml:space="preserve"> </w:t>
      </w:r>
      <w:r w:rsidR="002E356A" w:rsidRPr="004C4B34">
        <w:t xml:space="preserve">While there is no legal disqualification from voting for those in detention, no arrangements were made to register detained people, nor to allow them to vote, thereby </w:t>
      </w:r>
      <w:r w:rsidR="00E840BA">
        <w:t>disenfranchising them</w:t>
      </w:r>
      <w:r w:rsidR="002E356A" w:rsidRPr="004C4B34">
        <w:t>.</w:t>
      </w:r>
      <w:r w:rsidR="002E356A" w:rsidRPr="002E356A">
        <w:rPr>
          <w:rFonts w:cs="Times New Roman"/>
        </w:rPr>
        <w:t xml:space="preserve"> </w:t>
      </w:r>
    </w:p>
    <w:p w14:paraId="4B82A25A" w14:textId="19CF06CC" w:rsidR="002E356A" w:rsidRDefault="002E356A" w:rsidP="00134AA6">
      <w:pPr>
        <w:jc w:val="both"/>
      </w:pPr>
    </w:p>
    <w:p w14:paraId="13F32D2C" w14:textId="520D2567" w:rsidR="00645327" w:rsidRDefault="00BF5805" w:rsidP="00183AD5">
      <w:pPr>
        <w:pStyle w:val="Heading3"/>
      </w:pPr>
      <w:bookmarkStart w:id="15" w:name="_Toc41553081"/>
      <w:r>
        <w:t>Suggested</w:t>
      </w:r>
      <w:r w:rsidR="00645327">
        <w:t xml:space="preserve"> Questions for the Committee</w:t>
      </w:r>
      <w:bookmarkEnd w:id="15"/>
    </w:p>
    <w:p w14:paraId="621516DE" w14:textId="77777777" w:rsidR="00A264B6" w:rsidRPr="00A264B6" w:rsidRDefault="00A264B6" w:rsidP="00183AD5">
      <w:pPr>
        <w:jc w:val="both"/>
      </w:pPr>
    </w:p>
    <w:p w14:paraId="576CF05D" w14:textId="76B85033" w:rsidR="002E356A" w:rsidRPr="002E356A" w:rsidRDefault="002E356A" w:rsidP="002E356A">
      <w:pPr>
        <w:pStyle w:val="LightGrid-Accent31"/>
        <w:spacing w:line="276" w:lineRule="auto"/>
        <w:ind w:left="0"/>
        <w:jc w:val="both"/>
        <w:rPr>
          <w:rFonts w:cs="Times New Roman"/>
        </w:rPr>
      </w:pPr>
      <w:r w:rsidRPr="002E356A">
        <w:rPr>
          <w:rFonts w:cs="Times New Roman"/>
        </w:rPr>
        <w:t xml:space="preserve">The Carter Center recommends that the following questions be included in the List of Issues for the examination of </w:t>
      </w:r>
      <w:r w:rsidR="00601898">
        <w:rPr>
          <w:rFonts w:cs="Times New Roman"/>
        </w:rPr>
        <w:t>Guyana</w:t>
      </w:r>
      <w:r w:rsidRPr="002E356A">
        <w:rPr>
          <w:rFonts w:cs="Times New Roman"/>
        </w:rPr>
        <w:t>:</w:t>
      </w:r>
    </w:p>
    <w:p w14:paraId="7ACD32A6" w14:textId="77777777" w:rsidR="004E3573" w:rsidRPr="00183AD5" w:rsidRDefault="004E3573" w:rsidP="00183AD5">
      <w:pPr>
        <w:spacing w:line="276" w:lineRule="auto"/>
        <w:jc w:val="both"/>
        <w:rPr>
          <w:rFonts w:cs="Times New Roman"/>
          <w:i/>
          <w:iCs/>
        </w:rPr>
      </w:pPr>
    </w:p>
    <w:p w14:paraId="2AEDC06B" w14:textId="77777777" w:rsidR="00B4260E" w:rsidRPr="00183AD5" w:rsidRDefault="00B4260E" w:rsidP="00B4260E">
      <w:pPr>
        <w:pStyle w:val="ListParagraph"/>
        <w:numPr>
          <w:ilvl w:val="0"/>
          <w:numId w:val="6"/>
        </w:numPr>
        <w:spacing w:line="276" w:lineRule="auto"/>
        <w:jc w:val="both"/>
        <w:rPr>
          <w:rFonts w:eastAsia="Times New Roman" w:cs="Times New Roman"/>
          <w:i/>
          <w:iCs/>
        </w:rPr>
      </w:pPr>
      <w:r w:rsidRPr="00D533EA">
        <w:rPr>
          <w:i/>
          <w:iCs/>
        </w:rPr>
        <w:t xml:space="preserve">What measures will Guyana take to ensure that people with disabilities can participate in public affairs freely without interference </w:t>
      </w:r>
      <w:r>
        <w:rPr>
          <w:i/>
          <w:iCs/>
        </w:rPr>
        <w:t xml:space="preserve">or </w:t>
      </w:r>
      <w:r w:rsidRPr="00D533EA">
        <w:rPr>
          <w:i/>
          <w:iCs/>
        </w:rPr>
        <w:t>discrimination?</w:t>
      </w:r>
    </w:p>
    <w:p w14:paraId="468240EA" w14:textId="68FA4855" w:rsidR="00B4260E" w:rsidRPr="00D533EA" w:rsidRDefault="005F16AD" w:rsidP="00B4260E">
      <w:pPr>
        <w:pStyle w:val="ListParagraph"/>
        <w:numPr>
          <w:ilvl w:val="0"/>
          <w:numId w:val="6"/>
        </w:numPr>
        <w:spacing w:line="276" w:lineRule="auto"/>
        <w:jc w:val="both"/>
        <w:rPr>
          <w:rFonts w:eastAsia="Times New Roman" w:cs="Times New Roman"/>
          <w:i/>
          <w:iCs/>
        </w:rPr>
      </w:pPr>
      <w:r>
        <w:rPr>
          <w:i/>
          <w:iCs/>
        </w:rPr>
        <w:t xml:space="preserve">What measures will Guyana take to </w:t>
      </w:r>
      <w:r w:rsidR="00FC6C62">
        <w:rPr>
          <w:i/>
          <w:iCs/>
        </w:rPr>
        <w:t>protect the rights of LGBTI persons within its jurisdiction, including Article 25 rights?</w:t>
      </w:r>
    </w:p>
    <w:p w14:paraId="7C10471C" w14:textId="3FB3886D" w:rsidR="00DB24B1" w:rsidRPr="00732AAD" w:rsidRDefault="002E356A" w:rsidP="00732AAD">
      <w:pPr>
        <w:pStyle w:val="ListParagraph"/>
        <w:numPr>
          <w:ilvl w:val="0"/>
          <w:numId w:val="6"/>
        </w:numPr>
        <w:rPr>
          <w:rFonts w:eastAsia="Times New Roman"/>
          <w:i/>
        </w:rPr>
      </w:pPr>
      <w:r w:rsidRPr="002E356A">
        <w:rPr>
          <w:i/>
          <w:iCs/>
        </w:rPr>
        <w:t xml:space="preserve">What concrete steps will the Guyanese government take before the next elections to ensure that pre-trial detainees </w:t>
      </w:r>
      <w:r w:rsidR="00271AD0">
        <w:rPr>
          <w:i/>
          <w:iCs/>
        </w:rPr>
        <w:t>can</w:t>
      </w:r>
      <w:r w:rsidRPr="002E356A">
        <w:rPr>
          <w:i/>
          <w:iCs/>
        </w:rPr>
        <w:t xml:space="preserve"> participate in future elections? </w:t>
      </w:r>
      <w:r w:rsidR="0093325F">
        <w:rPr>
          <w:i/>
          <w:iCs/>
        </w:rPr>
        <w:t xml:space="preserve"> </w:t>
      </w:r>
    </w:p>
    <w:p w14:paraId="3B1790C5" w14:textId="56E96F75" w:rsidR="002E356A" w:rsidRPr="002E356A" w:rsidRDefault="0093325F" w:rsidP="002E356A">
      <w:pPr>
        <w:tabs>
          <w:tab w:val="left" w:pos="3194"/>
        </w:tabs>
        <w:jc w:val="both"/>
        <w:rPr>
          <w:rFonts w:cs="Times New Roman"/>
          <w:b/>
        </w:rPr>
      </w:pPr>
      <w:r>
        <w:rPr>
          <w:rFonts w:cs="Times New Roman"/>
          <w:b/>
        </w:rPr>
        <w:t xml:space="preserve">  </w:t>
      </w:r>
    </w:p>
    <w:p w14:paraId="6A379204" w14:textId="77777777" w:rsidR="004C481B" w:rsidRDefault="004C481B" w:rsidP="007605B7">
      <w:pPr>
        <w:pStyle w:val="Heading2"/>
      </w:pPr>
      <w:bookmarkStart w:id="16" w:name="_Toc41553082"/>
      <w:r>
        <w:t>Other issues</w:t>
      </w:r>
      <w:bookmarkEnd w:id="16"/>
    </w:p>
    <w:p w14:paraId="12B61459" w14:textId="77777777" w:rsidR="004C481B" w:rsidRDefault="004C481B" w:rsidP="00F6624A">
      <w:pPr>
        <w:pStyle w:val="LightGrid-Accent31"/>
        <w:ind w:left="0"/>
        <w:jc w:val="both"/>
        <w:rPr>
          <w:rFonts w:cs="Times New Roman"/>
          <w:i/>
          <w:iCs/>
        </w:rPr>
      </w:pPr>
    </w:p>
    <w:p w14:paraId="3E7BC72B" w14:textId="08D5D508" w:rsidR="00736313" w:rsidRDefault="003C3B09" w:rsidP="007C51DA">
      <w:pPr>
        <w:pStyle w:val="LightGrid-Accent31"/>
        <w:tabs>
          <w:tab w:val="right" w:pos="9360"/>
        </w:tabs>
        <w:ind w:left="0"/>
        <w:jc w:val="both"/>
        <w:rPr>
          <w:sz w:val="23"/>
          <w:szCs w:val="23"/>
        </w:rPr>
      </w:pPr>
      <w:r w:rsidRPr="00B63662">
        <w:rPr>
          <w:shd w:val="clear" w:color="auto" w:fill="FFFFFF"/>
        </w:rPr>
        <w:lastRenderedPageBreak/>
        <w:t xml:space="preserve">The </w:t>
      </w:r>
      <w:r w:rsidR="00FB0261">
        <w:rPr>
          <w:shd w:val="clear" w:color="auto" w:fill="FFFFFF"/>
        </w:rPr>
        <w:t xml:space="preserve">United Nations </w:t>
      </w:r>
      <w:r w:rsidRPr="00B63662">
        <w:rPr>
          <w:shd w:val="clear" w:color="auto" w:fill="FFFFFF"/>
        </w:rPr>
        <w:t>Vienna Declaration and Programme of Action, adopted by the World Conference on Human Rights in 1993, endorsed efforts to establish, strengthen and increase the effectiveness of</w:t>
      </w:r>
      <w:r w:rsidR="00530495" w:rsidRPr="00B63662">
        <w:rPr>
          <w:shd w:val="clear" w:color="auto" w:fill="FFFFFF"/>
        </w:rPr>
        <w:t xml:space="preserve"> the</w:t>
      </w:r>
      <w:r w:rsidRPr="00B63662">
        <w:rPr>
          <w:shd w:val="clear" w:color="auto" w:fill="FFFFFF"/>
        </w:rPr>
        <w:t xml:space="preserve"> </w:t>
      </w:r>
      <w:r w:rsidR="00530495" w:rsidRPr="00B63662">
        <w:rPr>
          <w:shd w:val="clear" w:color="auto" w:fill="FFFFFF"/>
        </w:rPr>
        <w:t>role played by regional and sub</w:t>
      </w:r>
      <w:r w:rsidR="2D80FB7B" w:rsidRPr="00B63662">
        <w:rPr>
          <w:shd w:val="clear" w:color="auto" w:fill="FFFFFF"/>
        </w:rPr>
        <w:t>-</w:t>
      </w:r>
      <w:r w:rsidR="00530495" w:rsidRPr="00B63662">
        <w:rPr>
          <w:shd w:val="clear" w:color="auto" w:fill="FFFFFF"/>
        </w:rPr>
        <w:t xml:space="preserve">regional human rights arrangements. It also </w:t>
      </w:r>
      <w:r w:rsidR="00B63662" w:rsidRPr="00B63662">
        <w:rPr>
          <w:shd w:val="clear" w:color="auto" w:fill="FFFFFF"/>
        </w:rPr>
        <w:t>str</w:t>
      </w:r>
      <w:r w:rsidRPr="00B63662">
        <w:rPr>
          <w:shd w:val="clear" w:color="auto" w:fill="FFFFFF"/>
        </w:rPr>
        <w:t>esse</w:t>
      </w:r>
      <w:r w:rsidR="00B63662" w:rsidRPr="00B63662">
        <w:rPr>
          <w:shd w:val="clear" w:color="auto" w:fill="FFFFFF"/>
        </w:rPr>
        <w:t xml:space="preserve">s </w:t>
      </w:r>
      <w:r w:rsidRPr="00B63662">
        <w:rPr>
          <w:shd w:val="clear" w:color="auto" w:fill="FFFFFF"/>
        </w:rPr>
        <w:t xml:space="preserve">the importance of their cooperation with the UN human rights system. </w:t>
      </w:r>
      <w:r w:rsidR="00063A0F" w:rsidRPr="0094391E">
        <w:t xml:space="preserve">Guyana is </w:t>
      </w:r>
      <w:r w:rsidR="00D3111E" w:rsidRPr="0094391E">
        <w:t xml:space="preserve">one </w:t>
      </w:r>
      <w:r w:rsidR="00063A0F" w:rsidRPr="0094391E">
        <w:t xml:space="preserve">of </w:t>
      </w:r>
      <w:r w:rsidR="00087305" w:rsidRPr="0094391E">
        <w:t xml:space="preserve">the ten </w:t>
      </w:r>
      <w:r w:rsidR="00840B95" w:rsidRPr="0094391E">
        <w:t xml:space="preserve">OAS </w:t>
      </w:r>
      <w:r w:rsidR="00087305" w:rsidRPr="0094391E">
        <w:t xml:space="preserve">member </w:t>
      </w:r>
      <w:r w:rsidR="00063A0F" w:rsidRPr="0094391E">
        <w:t xml:space="preserve">States </w:t>
      </w:r>
      <w:r w:rsidR="00063A0F" w:rsidRPr="00E94AC2">
        <w:t xml:space="preserve">that has not acceded to the </w:t>
      </w:r>
      <w:r w:rsidR="00D3111E" w:rsidRPr="00E94AC2">
        <w:t>American Convention on Human Rights.</w:t>
      </w:r>
      <w:r w:rsidR="00840B95" w:rsidRPr="00E94AC2">
        <w:t xml:space="preserve"> </w:t>
      </w:r>
      <w:r w:rsidR="00E26F43" w:rsidRPr="00E94AC2">
        <w:t>T</w:t>
      </w:r>
      <w:r w:rsidR="00E26F43" w:rsidRPr="00E94AC2">
        <w:rPr>
          <w:spacing w:val="-3"/>
        </w:rPr>
        <w:t>he Convention</w:t>
      </w:r>
      <w:r w:rsidR="00681673" w:rsidRPr="00E94AC2">
        <w:t xml:space="preserve"> seeks to promote, protect and ensure the recognition and the full enjoyment and exercise, on an equal basis, of all human rights and fundamental freedoms of older</w:t>
      </w:r>
      <w:r w:rsidR="00681673">
        <w:t xml:space="preserve"> persons, in order to contribute to their full inclusion, integration, and participation in society</w:t>
      </w:r>
      <w:r w:rsidR="00E26F43" w:rsidRPr="00681673">
        <w:rPr>
          <w:spacing w:val="-3"/>
        </w:rPr>
        <w:t xml:space="preserve">. </w:t>
      </w:r>
      <w:r w:rsidR="00331E00" w:rsidRPr="00681673">
        <w:rPr>
          <w:spacing w:val="-3"/>
        </w:rPr>
        <w:t xml:space="preserve">The </w:t>
      </w:r>
      <w:r w:rsidR="00331E00" w:rsidRPr="00125BB2">
        <w:rPr>
          <w:spacing w:val="-3"/>
        </w:rPr>
        <w:t>Convention is</w:t>
      </w:r>
      <w:r w:rsidR="0094391E">
        <w:rPr>
          <w:spacing w:val="-3"/>
        </w:rPr>
        <w:t xml:space="preserve"> considered</w:t>
      </w:r>
      <w:r w:rsidR="00331E00" w:rsidRPr="00125BB2">
        <w:rPr>
          <w:spacing w:val="-3"/>
        </w:rPr>
        <w:t xml:space="preserve"> the most important human rights instrument in </w:t>
      </w:r>
      <w:r w:rsidR="00AA072A" w:rsidRPr="00125BB2">
        <w:rPr>
          <w:spacing w:val="-3"/>
        </w:rPr>
        <w:t>the inter-America</w:t>
      </w:r>
      <w:r w:rsidR="252650E4" w:rsidRPr="00125BB2">
        <w:rPr>
          <w:spacing w:val="-3"/>
        </w:rPr>
        <w:t>n</w:t>
      </w:r>
      <w:r w:rsidR="00AA072A" w:rsidRPr="00125BB2">
        <w:rPr>
          <w:spacing w:val="-3"/>
        </w:rPr>
        <w:t xml:space="preserve"> system</w:t>
      </w:r>
      <w:r w:rsidR="00CD3F31">
        <w:rPr>
          <w:spacing w:val="-3"/>
        </w:rPr>
        <w:t>,</w:t>
      </w:r>
      <w:r w:rsidR="00E61B4B">
        <w:rPr>
          <w:spacing w:val="-3"/>
        </w:rPr>
        <w:t xml:space="preserve"> and </w:t>
      </w:r>
      <w:r w:rsidR="00F41017">
        <w:t>i</w:t>
      </w:r>
      <w:r w:rsidR="00E61B4B">
        <w:t>ndividuals and groups have submitted complaints of human rights violations committed by Guyana to the Inter-American human rights system</w:t>
      </w:r>
      <w:r w:rsidR="00AA072A" w:rsidRPr="00125BB2">
        <w:rPr>
          <w:spacing w:val="-3"/>
        </w:rPr>
        <w:t>.</w:t>
      </w:r>
      <w:r w:rsidR="00E94AC2" w:rsidRPr="00E94AC2">
        <w:t xml:space="preserve"> </w:t>
      </w:r>
      <w:r w:rsidR="00E94AC2" w:rsidRPr="00E94AC2">
        <w:rPr>
          <w:sz w:val="23"/>
          <w:szCs w:val="23"/>
        </w:rPr>
        <w:t>By acceding to th</w:t>
      </w:r>
      <w:r w:rsidR="00E94AC2">
        <w:rPr>
          <w:sz w:val="23"/>
          <w:szCs w:val="23"/>
        </w:rPr>
        <w:t xml:space="preserve">is </w:t>
      </w:r>
      <w:r w:rsidR="00E94AC2" w:rsidRPr="00E94AC2">
        <w:rPr>
          <w:sz w:val="23"/>
          <w:szCs w:val="23"/>
        </w:rPr>
        <w:t xml:space="preserve">international instrument, Guyana </w:t>
      </w:r>
      <w:r w:rsidR="00E94AC2">
        <w:rPr>
          <w:sz w:val="23"/>
          <w:szCs w:val="23"/>
        </w:rPr>
        <w:t>will</w:t>
      </w:r>
      <w:r w:rsidR="00E94AC2" w:rsidRPr="00E94AC2">
        <w:rPr>
          <w:sz w:val="23"/>
          <w:szCs w:val="23"/>
        </w:rPr>
        <w:t xml:space="preserve"> mov</w:t>
      </w:r>
      <w:r w:rsidR="007C4941">
        <w:rPr>
          <w:sz w:val="23"/>
          <w:szCs w:val="23"/>
        </w:rPr>
        <w:t>e</w:t>
      </w:r>
      <w:r w:rsidR="00E94AC2" w:rsidRPr="00E94AC2">
        <w:rPr>
          <w:sz w:val="23"/>
          <w:szCs w:val="23"/>
        </w:rPr>
        <w:t xml:space="preserve"> forward in pro</w:t>
      </w:r>
      <w:r w:rsidR="00BB5BDE">
        <w:rPr>
          <w:sz w:val="23"/>
          <w:szCs w:val="23"/>
        </w:rPr>
        <w:t>tecting</w:t>
      </w:r>
      <w:r w:rsidR="00100683">
        <w:rPr>
          <w:sz w:val="23"/>
          <w:szCs w:val="23"/>
        </w:rPr>
        <w:t xml:space="preserve"> </w:t>
      </w:r>
      <w:r w:rsidR="00E94AC2" w:rsidRPr="00E94AC2">
        <w:rPr>
          <w:sz w:val="23"/>
          <w:szCs w:val="23"/>
        </w:rPr>
        <w:t>vulnerable populations within its border</w:t>
      </w:r>
      <w:r w:rsidR="00832B14">
        <w:rPr>
          <w:sz w:val="23"/>
          <w:szCs w:val="23"/>
        </w:rPr>
        <w:t>.</w:t>
      </w:r>
    </w:p>
    <w:p w14:paraId="62574FF7" w14:textId="77777777" w:rsidR="12A6D117" w:rsidRDefault="12A6D117" w:rsidP="12A6D117">
      <w:pPr>
        <w:spacing w:line="276" w:lineRule="auto"/>
        <w:jc w:val="both"/>
        <w:rPr>
          <w:rFonts w:cs="Times New Roman"/>
          <w:i/>
          <w:iCs/>
        </w:rPr>
      </w:pPr>
    </w:p>
    <w:p w14:paraId="7CC77F9A" w14:textId="7896009B" w:rsidR="005A650C" w:rsidRDefault="005A650C" w:rsidP="005A650C">
      <w:pPr>
        <w:pStyle w:val="Heading3"/>
      </w:pPr>
      <w:r>
        <w:t>Suggested Question for the Committee</w:t>
      </w:r>
    </w:p>
    <w:p w14:paraId="0C773222" w14:textId="77777777" w:rsidR="005A650C" w:rsidRPr="00A264B6" w:rsidRDefault="005A650C" w:rsidP="005A650C">
      <w:pPr>
        <w:jc w:val="both"/>
      </w:pPr>
    </w:p>
    <w:p w14:paraId="2AE05FCA" w14:textId="4F696728" w:rsidR="005A650C" w:rsidRPr="005A650C" w:rsidRDefault="005A650C" w:rsidP="005A650C">
      <w:pPr>
        <w:pStyle w:val="LightGrid-Accent31"/>
        <w:spacing w:line="276" w:lineRule="auto"/>
        <w:ind w:left="0"/>
        <w:jc w:val="both"/>
        <w:rPr>
          <w:rFonts w:cs="Times New Roman"/>
        </w:rPr>
      </w:pPr>
      <w:r w:rsidRPr="002E356A">
        <w:rPr>
          <w:rFonts w:cs="Times New Roman"/>
        </w:rPr>
        <w:t xml:space="preserve">The Carter Center recommends that the </w:t>
      </w:r>
      <w:r w:rsidR="00DA21A0">
        <w:rPr>
          <w:rFonts w:cs="Times New Roman"/>
        </w:rPr>
        <w:t xml:space="preserve">below </w:t>
      </w:r>
      <w:r w:rsidRPr="002E356A">
        <w:rPr>
          <w:rFonts w:cs="Times New Roman"/>
        </w:rPr>
        <w:t xml:space="preserve">question be included in the List of Issues for the examination of </w:t>
      </w:r>
      <w:r>
        <w:rPr>
          <w:rFonts w:cs="Times New Roman"/>
        </w:rPr>
        <w:t>Guyana</w:t>
      </w:r>
      <w:r w:rsidRPr="002E356A">
        <w:rPr>
          <w:rFonts w:cs="Times New Roman"/>
        </w:rPr>
        <w:t>:</w:t>
      </w:r>
    </w:p>
    <w:p w14:paraId="6E3746D6" w14:textId="317CAF4E" w:rsidR="004C481B" w:rsidRPr="00EB585F" w:rsidRDefault="004C481B" w:rsidP="00DA21A0">
      <w:pPr>
        <w:pStyle w:val="ListParagraph"/>
        <w:numPr>
          <w:ilvl w:val="0"/>
          <w:numId w:val="7"/>
        </w:numPr>
        <w:rPr>
          <w:rFonts w:eastAsia="Times New Roman"/>
          <w:i/>
          <w:iCs/>
        </w:rPr>
      </w:pPr>
      <w:r w:rsidRPr="00EB585F">
        <w:rPr>
          <w:i/>
          <w:iCs/>
        </w:rPr>
        <w:t>What</w:t>
      </w:r>
      <w:r w:rsidR="00E94AC2">
        <w:rPr>
          <w:i/>
          <w:iCs/>
        </w:rPr>
        <w:t xml:space="preserve"> concrete</w:t>
      </w:r>
      <w:r w:rsidRPr="00EB585F">
        <w:rPr>
          <w:i/>
          <w:iCs/>
        </w:rPr>
        <w:t xml:space="preserve"> actions will the Government of Guyana take </w:t>
      </w:r>
      <w:r w:rsidR="008B6740">
        <w:rPr>
          <w:i/>
          <w:iCs/>
        </w:rPr>
        <w:t>in becoming</w:t>
      </w:r>
      <w:r w:rsidRPr="00EB585F">
        <w:rPr>
          <w:rFonts w:cs="Times New Roman"/>
          <w:i/>
          <w:iCs/>
          <w:color w:val="000000"/>
        </w:rPr>
        <w:t xml:space="preserve"> a party to </w:t>
      </w:r>
      <w:r>
        <w:rPr>
          <w:rFonts w:cs="Times New Roman"/>
          <w:i/>
          <w:iCs/>
          <w:color w:val="000000"/>
        </w:rPr>
        <w:t>the</w:t>
      </w:r>
      <w:r w:rsidRPr="00EB585F">
        <w:rPr>
          <w:i/>
          <w:iCs/>
        </w:rPr>
        <w:t xml:space="preserve"> American Convention on Human Rights to </w:t>
      </w:r>
      <w:r>
        <w:rPr>
          <w:i/>
          <w:iCs/>
        </w:rPr>
        <w:t>further protect the rights of its citizens?</w:t>
      </w:r>
    </w:p>
    <w:p w14:paraId="7D15BE11" w14:textId="0D766966" w:rsidR="00A879C1" w:rsidRPr="002E356A" w:rsidRDefault="00A879C1" w:rsidP="00F6624A">
      <w:pPr>
        <w:pStyle w:val="LightGrid-Accent31"/>
        <w:ind w:left="0"/>
        <w:jc w:val="both"/>
        <w:rPr>
          <w:rFonts w:cs="Times New Roman"/>
          <w:i/>
          <w:iCs/>
        </w:rPr>
      </w:pPr>
    </w:p>
    <w:sectPr w:rsidR="00A879C1" w:rsidRPr="002E356A" w:rsidSect="00183AD5">
      <w:footerReference w:type="even" r:id="rId21"/>
      <w:footerReference w:type="defaul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2829" w14:textId="77777777" w:rsidR="0005131E" w:rsidRDefault="0005131E" w:rsidP="002E356A">
      <w:r>
        <w:separator/>
      </w:r>
    </w:p>
  </w:endnote>
  <w:endnote w:type="continuationSeparator" w:id="0">
    <w:p w14:paraId="57647708" w14:textId="77777777" w:rsidR="0005131E" w:rsidRDefault="0005131E" w:rsidP="002E356A">
      <w:r>
        <w:continuationSeparator/>
      </w:r>
    </w:p>
  </w:endnote>
  <w:endnote w:type="continuationNotice" w:id="1">
    <w:p w14:paraId="1C2669C1" w14:textId="77777777" w:rsidR="0005131E" w:rsidRDefault="00051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3605923"/>
      <w:docPartObj>
        <w:docPartGallery w:val="Page Numbers (Bottom of Page)"/>
        <w:docPartUnique/>
      </w:docPartObj>
    </w:sdtPr>
    <w:sdtEndPr>
      <w:rPr>
        <w:rStyle w:val="PageNumber"/>
      </w:rPr>
    </w:sdtEndPr>
    <w:sdtContent>
      <w:p w14:paraId="221CFC58" w14:textId="014C9454" w:rsidR="00135183" w:rsidRDefault="00135183" w:rsidP="00E840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BEAD7" w14:textId="77777777" w:rsidR="00826772" w:rsidRDefault="00826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5572279"/>
      <w:docPartObj>
        <w:docPartGallery w:val="Page Numbers (Bottom of Page)"/>
        <w:docPartUnique/>
      </w:docPartObj>
    </w:sdtPr>
    <w:sdtEndPr>
      <w:rPr>
        <w:rStyle w:val="PageNumber"/>
      </w:rPr>
    </w:sdtEndPr>
    <w:sdtContent>
      <w:p w14:paraId="3794DC0E" w14:textId="57510594" w:rsidR="00135183" w:rsidRDefault="00135183" w:rsidP="00E840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6D01">
          <w:rPr>
            <w:rStyle w:val="PageNumber"/>
            <w:noProof/>
          </w:rPr>
          <w:t>8</w:t>
        </w:r>
        <w:r>
          <w:rPr>
            <w:rStyle w:val="PageNumber"/>
          </w:rPr>
          <w:fldChar w:fldCharType="end"/>
        </w:r>
      </w:p>
    </w:sdtContent>
  </w:sdt>
  <w:p w14:paraId="3E9C4501" w14:textId="77777777" w:rsidR="00060E33" w:rsidRDefault="00060E33" w:rsidP="00060E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A0C1" w14:textId="77777777" w:rsidR="0005131E" w:rsidRDefault="0005131E" w:rsidP="002E356A">
      <w:r>
        <w:separator/>
      </w:r>
    </w:p>
  </w:footnote>
  <w:footnote w:type="continuationSeparator" w:id="0">
    <w:p w14:paraId="1B19001E" w14:textId="77777777" w:rsidR="0005131E" w:rsidRDefault="0005131E" w:rsidP="002E356A">
      <w:r>
        <w:continuationSeparator/>
      </w:r>
    </w:p>
  </w:footnote>
  <w:footnote w:type="continuationNotice" w:id="1">
    <w:p w14:paraId="3CFC554B" w14:textId="77777777" w:rsidR="0005131E" w:rsidRDefault="0005131E"/>
  </w:footnote>
  <w:footnote w:id="2">
    <w:p w14:paraId="730B511C" w14:textId="77777777" w:rsidR="00341813" w:rsidRPr="00341813" w:rsidRDefault="00703D4B" w:rsidP="00341813">
      <w:pPr>
        <w:pStyle w:val="FootnoteText"/>
      </w:pPr>
      <w:r>
        <w:rPr>
          <w:rStyle w:val="FootnoteReference"/>
        </w:rPr>
        <w:footnoteRef/>
      </w:r>
      <w:r>
        <w:t xml:space="preserve"> </w:t>
      </w:r>
      <w:r w:rsidR="00341813" w:rsidRPr="00341813">
        <w:t>UN Human Rights Committee (HRC), </w:t>
      </w:r>
      <w:r w:rsidR="00341813" w:rsidRPr="00341813">
        <w:rPr>
          <w:i/>
          <w:iCs/>
        </w:rPr>
        <w:t>CCPR General Comment No. 25: Article 25 (Participation in Public Affairs and the Right to Vote), The Right to Participate in Public Affairs, Voting Rights and the Right of Equal Access to Public Service</w:t>
      </w:r>
      <w:r w:rsidR="00341813" w:rsidRPr="00341813">
        <w:t>, 12 July 1996, CCPR/C/21/Rev.1/Add.7, available at: https://www.refworld.org/docid/453883fc22.html [accessed 4 May 2020]</w:t>
      </w:r>
    </w:p>
    <w:p w14:paraId="480293A6" w14:textId="143392A4" w:rsidR="00703D4B" w:rsidRDefault="00703D4B">
      <w:pPr>
        <w:pStyle w:val="FootnoteText"/>
      </w:pPr>
    </w:p>
  </w:footnote>
  <w:footnote w:id="3">
    <w:p w14:paraId="3D4E9224" w14:textId="4FC5D953" w:rsidR="005E36EF" w:rsidRDefault="005E36EF">
      <w:pPr>
        <w:pStyle w:val="FootnoteText"/>
      </w:pPr>
      <w:r>
        <w:rPr>
          <w:rStyle w:val="FootnoteReference"/>
        </w:rPr>
        <w:footnoteRef/>
      </w:r>
      <w:r w:rsidR="00FC6C62">
        <w:t xml:space="preserve"> The Carter Center, Guyana General Election Preliminary Statement, March 4 2020: </w:t>
      </w:r>
      <w:hyperlink r:id="rId1" w:history="1">
        <w:r w:rsidRPr="006C5D9A">
          <w:rPr>
            <w:rStyle w:val="Hyperlink"/>
          </w:rPr>
          <w:t>https://www.cartercenter.org/resources/pdfs/news/peace_publications/election_reports/guyana-preliminary-statement-021420.pdf</w:t>
        </w:r>
      </w:hyperlink>
      <w:r>
        <w:t xml:space="preserve"> </w:t>
      </w:r>
    </w:p>
  </w:footnote>
  <w:footnote w:id="4">
    <w:p w14:paraId="1DB31E01" w14:textId="787E155C" w:rsidR="005C4777" w:rsidRDefault="005C4777">
      <w:pPr>
        <w:pStyle w:val="FootnoteText"/>
      </w:pPr>
      <w:r>
        <w:rPr>
          <w:rStyle w:val="FootnoteReference"/>
        </w:rPr>
        <w:footnoteRef/>
      </w:r>
      <w:r>
        <w:t xml:space="preserve"> Convention on the Rights of Persons with Disabilities, paragraph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CB8"/>
    <w:multiLevelType w:val="hybridMultilevel"/>
    <w:tmpl w:val="110A257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94C91"/>
    <w:multiLevelType w:val="hybridMultilevel"/>
    <w:tmpl w:val="A40A9B5E"/>
    <w:lvl w:ilvl="0" w:tplc="98CA1B1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75285"/>
    <w:multiLevelType w:val="hybridMultilevel"/>
    <w:tmpl w:val="95E03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145D1"/>
    <w:multiLevelType w:val="hybridMultilevel"/>
    <w:tmpl w:val="9D44A446"/>
    <w:lvl w:ilvl="0" w:tplc="292E3676">
      <w:start w:val="2"/>
      <w:numFmt w:val="bullet"/>
      <w:lvlText w:val=""/>
      <w:lvlJc w:val="left"/>
      <w:pPr>
        <w:ind w:left="1800" w:hanging="360"/>
      </w:pPr>
      <w:rPr>
        <w:rFonts w:ascii="Symbol" w:eastAsia="MS Mincho"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A7668A"/>
    <w:multiLevelType w:val="hybridMultilevel"/>
    <w:tmpl w:val="21F06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163A0"/>
    <w:multiLevelType w:val="hybridMultilevel"/>
    <w:tmpl w:val="78E67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02B8A"/>
    <w:multiLevelType w:val="hybridMultilevel"/>
    <w:tmpl w:val="21F06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56F44"/>
    <w:multiLevelType w:val="hybridMultilevel"/>
    <w:tmpl w:val="8584B400"/>
    <w:lvl w:ilvl="0" w:tplc="BE1A69AC">
      <w:start w:val="2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sDQztzQxNTUwMTRW0lEKTi0uzszPAykwNKgFAGXeDTwtAAAA"/>
  </w:docVars>
  <w:rsids>
    <w:rsidRoot w:val="002E356A"/>
    <w:rsid w:val="000169EF"/>
    <w:rsid w:val="00031A72"/>
    <w:rsid w:val="0003668E"/>
    <w:rsid w:val="0004133B"/>
    <w:rsid w:val="00042E06"/>
    <w:rsid w:val="00046C85"/>
    <w:rsid w:val="0005131E"/>
    <w:rsid w:val="000514B4"/>
    <w:rsid w:val="00060E33"/>
    <w:rsid w:val="00063A0F"/>
    <w:rsid w:val="00070948"/>
    <w:rsid w:val="00074F6A"/>
    <w:rsid w:val="000826E4"/>
    <w:rsid w:val="00082C36"/>
    <w:rsid w:val="00085172"/>
    <w:rsid w:val="000869CE"/>
    <w:rsid w:val="00086DCD"/>
    <w:rsid w:val="00087305"/>
    <w:rsid w:val="00092858"/>
    <w:rsid w:val="00094C21"/>
    <w:rsid w:val="000979A5"/>
    <w:rsid w:val="000A1B86"/>
    <w:rsid w:val="000A2126"/>
    <w:rsid w:val="000A35B5"/>
    <w:rsid w:val="000A7D2E"/>
    <w:rsid w:val="000B4909"/>
    <w:rsid w:val="000B6786"/>
    <w:rsid w:val="000B7117"/>
    <w:rsid w:val="000C1F7A"/>
    <w:rsid w:val="000C45C6"/>
    <w:rsid w:val="000C5347"/>
    <w:rsid w:val="000C7E8E"/>
    <w:rsid w:val="000D075C"/>
    <w:rsid w:val="000D32FF"/>
    <w:rsid w:val="000D5CB0"/>
    <w:rsid w:val="000D737E"/>
    <w:rsid w:val="000E0751"/>
    <w:rsid w:val="000E3051"/>
    <w:rsid w:val="000E5A78"/>
    <w:rsid w:val="000E6DA1"/>
    <w:rsid w:val="00100683"/>
    <w:rsid w:val="00117457"/>
    <w:rsid w:val="00124830"/>
    <w:rsid w:val="00125BB2"/>
    <w:rsid w:val="00134AA6"/>
    <w:rsid w:val="00135183"/>
    <w:rsid w:val="00141010"/>
    <w:rsid w:val="00150E41"/>
    <w:rsid w:val="00151134"/>
    <w:rsid w:val="00164653"/>
    <w:rsid w:val="00175C95"/>
    <w:rsid w:val="001807B9"/>
    <w:rsid w:val="00182BD3"/>
    <w:rsid w:val="00182BE6"/>
    <w:rsid w:val="00183AD5"/>
    <w:rsid w:val="00187378"/>
    <w:rsid w:val="0019080E"/>
    <w:rsid w:val="00192A90"/>
    <w:rsid w:val="00196EF8"/>
    <w:rsid w:val="0019707C"/>
    <w:rsid w:val="001B6ECC"/>
    <w:rsid w:val="001C4A56"/>
    <w:rsid w:val="001C7188"/>
    <w:rsid w:val="001D0B8D"/>
    <w:rsid w:val="001D6A89"/>
    <w:rsid w:val="001D7E7E"/>
    <w:rsid w:val="001E7CBA"/>
    <w:rsid w:val="001F27F0"/>
    <w:rsid w:val="001F5506"/>
    <w:rsid w:val="001F6C61"/>
    <w:rsid w:val="00200DBA"/>
    <w:rsid w:val="00201896"/>
    <w:rsid w:val="00206C98"/>
    <w:rsid w:val="002139A5"/>
    <w:rsid w:val="00216EDC"/>
    <w:rsid w:val="00221EA2"/>
    <w:rsid w:val="00231E94"/>
    <w:rsid w:val="00245BC6"/>
    <w:rsid w:val="00250712"/>
    <w:rsid w:val="002660E7"/>
    <w:rsid w:val="002670CF"/>
    <w:rsid w:val="00271AD0"/>
    <w:rsid w:val="00277016"/>
    <w:rsid w:val="002775B2"/>
    <w:rsid w:val="00285DC0"/>
    <w:rsid w:val="002930D5"/>
    <w:rsid w:val="002B4AEF"/>
    <w:rsid w:val="002C10C4"/>
    <w:rsid w:val="002C4B31"/>
    <w:rsid w:val="002D2F50"/>
    <w:rsid w:val="002D5E82"/>
    <w:rsid w:val="002D6C77"/>
    <w:rsid w:val="002E356A"/>
    <w:rsid w:val="002E3782"/>
    <w:rsid w:val="002E644A"/>
    <w:rsid w:val="002F1836"/>
    <w:rsid w:val="002F1F1C"/>
    <w:rsid w:val="002F71F7"/>
    <w:rsid w:val="00310A85"/>
    <w:rsid w:val="00313873"/>
    <w:rsid w:val="00314831"/>
    <w:rsid w:val="00320AB0"/>
    <w:rsid w:val="00323566"/>
    <w:rsid w:val="00331E00"/>
    <w:rsid w:val="00335EA3"/>
    <w:rsid w:val="00335F84"/>
    <w:rsid w:val="0033713B"/>
    <w:rsid w:val="00341813"/>
    <w:rsid w:val="00341828"/>
    <w:rsid w:val="003451CD"/>
    <w:rsid w:val="003570F2"/>
    <w:rsid w:val="003611D8"/>
    <w:rsid w:val="00362BEC"/>
    <w:rsid w:val="003634D0"/>
    <w:rsid w:val="00367B00"/>
    <w:rsid w:val="00370B86"/>
    <w:rsid w:val="0038251F"/>
    <w:rsid w:val="00386D74"/>
    <w:rsid w:val="003906C8"/>
    <w:rsid w:val="00392D95"/>
    <w:rsid w:val="0039494B"/>
    <w:rsid w:val="0039689D"/>
    <w:rsid w:val="003A265F"/>
    <w:rsid w:val="003A4808"/>
    <w:rsid w:val="003A4A30"/>
    <w:rsid w:val="003B5B4D"/>
    <w:rsid w:val="003C3B09"/>
    <w:rsid w:val="003D29EB"/>
    <w:rsid w:val="003D7E08"/>
    <w:rsid w:val="003E00BF"/>
    <w:rsid w:val="003E2184"/>
    <w:rsid w:val="003E5429"/>
    <w:rsid w:val="003E5A43"/>
    <w:rsid w:val="003F05A0"/>
    <w:rsid w:val="003F4CAD"/>
    <w:rsid w:val="003F7158"/>
    <w:rsid w:val="00401692"/>
    <w:rsid w:val="00403B11"/>
    <w:rsid w:val="00411FB6"/>
    <w:rsid w:val="0041208D"/>
    <w:rsid w:val="00413739"/>
    <w:rsid w:val="004154BC"/>
    <w:rsid w:val="00423184"/>
    <w:rsid w:val="00427D09"/>
    <w:rsid w:val="004322F8"/>
    <w:rsid w:val="0043232B"/>
    <w:rsid w:val="004368F6"/>
    <w:rsid w:val="00441E23"/>
    <w:rsid w:val="00444210"/>
    <w:rsid w:val="00444697"/>
    <w:rsid w:val="00447673"/>
    <w:rsid w:val="004526AE"/>
    <w:rsid w:val="0046375A"/>
    <w:rsid w:val="00463F4F"/>
    <w:rsid w:val="0046666F"/>
    <w:rsid w:val="004736DA"/>
    <w:rsid w:val="004754F0"/>
    <w:rsid w:val="00484333"/>
    <w:rsid w:val="00493D4E"/>
    <w:rsid w:val="00494475"/>
    <w:rsid w:val="004959A5"/>
    <w:rsid w:val="00496246"/>
    <w:rsid w:val="004969E5"/>
    <w:rsid w:val="004A1A4A"/>
    <w:rsid w:val="004B5EEB"/>
    <w:rsid w:val="004B6A53"/>
    <w:rsid w:val="004B7A48"/>
    <w:rsid w:val="004C1003"/>
    <w:rsid w:val="004C481B"/>
    <w:rsid w:val="004C4B34"/>
    <w:rsid w:val="004D21A3"/>
    <w:rsid w:val="004E3573"/>
    <w:rsid w:val="004E57E4"/>
    <w:rsid w:val="004F03EF"/>
    <w:rsid w:val="004F5D58"/>
    <w:rsid w:val="00500D82"/>
    <w:rsid w:val="00530495"/>
    <w:rsid w:val="0053551C"/>
    <w:rsid w:val="00537B95"/>
    <w:rsid w:val="00540C7A"/>
    <w:rsid w:val="0054370E"/>
    <w:rsid w:val="00544616"/>
    <w:rsid w:val="005508FF"/>
    <w:rsid w:val="0055246D"/>
    <w:rsid w:val="00552B26"/>
    <w:rsid w:val="00565BB3"/>
    <w:rsid w:val="00566E80"/>
    <w:rsid w:val="00567A33"/>
    <w:rsid w:val="00575C76"/>
    <w:rsid w:val="00575E7E"/>
    <w:rsid w:val="00581D39"/>
    <w:rsid w:val="00582DE9"/>
    <w:rsid w:val="0058366C"/>
    <w:rsid w:val="00586140"/>
    <w:rsid w:val="00586575"/>
    <w:rsid w:val="00590D2B"/>
    <w:rsid w:val="00592D3D"/>
    <w:rsid w:val="00597350"/>
    <w:rsid w:val="00597484"/>
    <w:rsid w:val="00597699"/>
    <w:rsid w:val="005A650C"/>
    <w:rsid w:val="005A7214"/>
    <w:rsid w:val="005B48FA"/>
    <w:rsid w:val="005B535E"/>
    <w:rsid w:val="005C4777"/>
    <w:rsid w:val="005C7248"/>
    <w:rsid w:val="005D1517"/>
    <w:rsid w:val="005D42B6"/>
    <w:rsid w:val="005E1176"/>
    <w:rsid w:val="005E2003"/>
    <w:rsid w:val="005E36EF"/>
    <w:rsid w:val="005F16AD"/>
    <w:rsid w:val="005F50E6"/>
    <w:rsid w:val="005F5937"/>
    <w:rsid w:val="00601898"/>
    <w:rsid w:val="00607303"/>
    <w:rsid w:val="0060761B"/>
    <w:rsid w:val="006102B6"/>
    <w:rsid w:val="00614FED"/>
    <w:rsid w:val="0062418B"/>
    <w:rsid w:val="006311F2"/>
    <w:rsid w:val="0063460F"/>
    <w:rsid w:val="00635D55"/>
    <w:rsid w:val="006431E0"/>
    <w:rsid w:val="00644463"/>
    <w:rsid w:val="00645327"/>
    <w:rsid w:val="00646ECC"/>
    <w:rsid w:val="00654DCE"/>
    <w:rsid w:val="00655A9F"/>
    <w:rsid w:val="00655B8B"/>
    <w:rsid w:val="006630A1"/>
    <w:rsid w:val="00667142"/>
    <w:rsid w:val="00672D0D"/>
    <w:rsid w:val="00674DC1"/>
    <w:rsid w:val="00676C16"/>
    <w:rsid w:val="00681673"/>
    <w:rsid w:val="00681E5A"/>
    <w:rsid w:val="0068335A"/>
    <w:rsid w:val="00684D62"/>
    <w:rsid w:val="006875C5"/>
    <w:rsid w:val="00690755"/>
    <w:rsid w:val="00694EB6"/>
    <w:rsid w:val="00697ACF"/>
    <w:rsid w:val="006B3A14"/>
    <w:rsid w:val="006D58FF"/>
    <w:rsid w:val="006E0621"/>
    <w:rsid w:val="006F13C7"/>
    <w:rsid w:val="006F6022"/>
    <w:rsid w:val="006F6EF3"/>
    <w:rsid w:val="00701665"/>
    <w:rsid w:val="00703D4B"/>
    <w:rsid w:val="00716F55"/>
    <w:rsid w:val="0071799B"/>
    <w:rsid w:val="00721D27"/>
    <w:rsid w:val="0072456F"/>
    <w:rsid w:val="00725606"/>
    <w:rsid w:val="00727F4B"/>
    <w:rsid w:val="00732AAD"/>
    <w:rsid w:val="00734300"/>
    <w:rsid w:val="00736313"/>
    <w:rsid w:val="0073777D"/>
    <w:rsid w:val="00746068"/>
    <w:rsid w:val="00751C84"/>
    <w:rsid w:val="00755858"/>
    <w:rsid w:val="007605B7"/>
    <w:rsid w:val="00762F83"/>
    <w:rsid w:val="00772D6A"/>
    <w:rsid w:val="00773D97"/>
    <w:rsid w:val="00784723"/>
    <w:rsid w:val="00787A9E"/>
    <w:rsid w:val="007918A4"/>
    <w:rsid w:val="00792D32"/>
    <w:rsid w:val="007A1950"/>
    <w:rsid w:val="007A20C6"/>
    <w:rsid w:val="007A25F0"/>
    <w:rsid w:val="007A2C41"/>
    <w:rsid w:val="007B216D"/>
    <w:rsid w:val="007B6050"/>
    <w:rsid w:val="007C4941"/>
    <w:rsid w:val="007C51DA"/>
    <w:rsid w:val="007C6A7F"/>
    <w:rsid w:val="007C79E5"/>
    <w:rsid w:val="007E371B"/>
    <w:rsid w:val="007E59D8"/>
    <w:rsid w:val="007F0A47"/>
    <w:rsid w:val="007F307D"/>
    <w:rsid w:val="007F38B4"/>
    <w:rsid w:val="007F3DB5"/>
    <w:rsid w:val="007F4DF8"/>
    <w:rsid w:val="00803F70"/>
    <w:rsid w:val="00805BD8"/>
    <w:rsid w:val="008171F7"/>
    <w:rsid w:val="0082149B"/>
    <w:rsid w:val="00825AC8"/>
    <w:rsid w:val="00826772"/>
    <w:rsid w:val="0083155A"/>
    <w:rsid w:val="00832B14"/>
    <w:rsid w:val="0083478D"/>
    <w:rsid w:val="00840B95"/>
    <w:rsid w:val="00855AD1"/>
    <w:rsid w:val="00856F6A"/>
    <w:rsid w:val="008634A4"/>
    <w:rsid w:val="00866EC6"/>
    <w:rsid w:val="00870D40"/>
    <w:rsid w:val="00872504"/>
    <w:rsid w:val="00876B4A"/>
    <w:rsid w:val="00877A92"/>
    <w:rsid w:val="008A423F"/>
    <w:rsid w:val="008B30C8"/>
    <w:rsid w:val="008B4C2A"/>
    <w:rsid w:val="008B6740"/>
    <w:rsid w:val="008B6C5D"/>
    <w:rsid w:val="008D067E"/>
    <w:rsid w:val="008E2E6E"/>
    <w:rsid w:val="008F119B"/>
    <w:rsid w:val="008F3327"/>
    <w:rsid w:val="008F60C0"/>
    <w:rsid w:val="00901A88"/>
    <w:rsid w:val="00905655"/>
    <w:rsid w:val="0091020F"/>
    <w:rsid w:val="00912736"/>
    <w:rsid w:val="00924B9C"/>
    <w:rsid w:val="00932CC2"/>
    <w:rsid w:val="0093325F"/>
    <w:rsid w:val="00937957"/>
    <w:rsid w:val="0094391E"/>
    <w:rsid w:val="009469E9"/>
    <w:rsid w:val="009507B2"/>
    <w:rsid w:val="0095396D"/>
    <w:rsid w:val="00957CF7"/>
    <w:rsid w:val="009635DF"/>
    <w:rsid w:val="00965E06"/>
    <w:rsid w:val="0098054F"/>
    <w:rsid w:val="009845BA"/>
    <w:rsid w:val="00987D7C"/>
    <w:rsid w:val="00990383"/>
    <w:rsid w:val="009904DA"/>
    <w:rsid w:val="009949BA"/>
    <w:rsid w:val="009A1988"/>
    <w:rsid w:val="009B48E8"/>
    <w:rsid w:val="009C4562"/>
    <w:rsid w:val="009D145A"/>
    <w:rsid w:val="009D5C6A"/>
    <w:rsid w:val="009E0381"/>
    <w:rsid w:val="009E1D91"/>
    <w:rsid w:val="009E23F2"/>
    <w:rsid w:val="009E40DC"/>
    <w:rsid w:val="009E6099"/>
    <w:rsid w:val="00A04ED2"/>
    <w:rsid w:val="00A0649C"/>
    <w:rsid w:val="00A264B6"/>
    <w:rsid w:val="00A2669A"/>
    <w:rsid w:val="00A268E7"/>
    <w:rsid w:val="00A32A64"/>
    <w:rsid w:val="00A3531F"/>
    <w:rsid w:val="00A42563"/>
    <w:rsid w:val="00A438DC"/>
    <w:rsid w:val="00A43E9B"/>
    <w:rsid w:val="00A511A9"/>
    <w:rsid w:val="00A62915"/>
    <w:rsid w:val="00A6735C"/>
    <w:rsid w:val="00A73D1D"/>
    <w:rsid w:val="00A7500A"/>
    <w:rsid w:val="00A76752"/>
    <w:rsid w:val="00A879C1"/>
    <w:rsid w:val="00A948C0"/>
    <w:rsid w:val="00AA072A"/>
    <w:rsid w:val="00AA2239"/>
    <w:rsid w:val="00AA291B"/>
    <w:rsid w:val="00AA50E8"/>
    <w:rsid w:val="00AA5C53"/>
    <w:rsid w:val="00AB1233"/>
    <w:rsid w:val="00AB126A"/>
    <w:rsid w:val="00AB565D"/>
    <w:rsid w:val="00AC10AD"/>
    <w:rsid w:val="00AC503D"/>
    <w:rsid w:val="00AD7422"/>
    <w:rsid w:val="00AE0BAE"/>
    <w:rsid w:val="00AE2A60"/>
    <w:rsid w:val="00AE4690"/>
    <w:rsid w:val="00AE5971"/>
    <w:rsid w:val="00AF247A"/>
    <w:rsid w:val="00B026F5"/>
    <w:rsid w:val="00B02BC9"/>
    <w:rsid w:val="00B13ABA"/>
    <w:rsid w:val="00B173A6"/>
    <w:rsid w:val="00B30363"/>
    <w:rsid w:val="00B36C07"/>
    <w:rsid w:val="00B4260E"/>
    <w:rsid w:val="00B463F0"/>
    <w:rsid w:val="00B63662"/>
    <w:rsid w:val="00B64FFA"/>
    <w:rsid w:val="00B6562C"/>
    <w:rsid w:val="00B73062"/>
    <w:rsid w:val="00B74CE4"/>
    <w:rsid w:val="00B8009F"/>
    <w:rsid w:val="00B82156"/>
    <w:rsid w:val="00B86D8B"/>
    <w:rsid w:val="00B91D6A"/>
    <w:rsid w:val="00B927C1"/>
    <w:rsid w:val="00B95BFE"/>
    <w:rsid w:val="00BA04CC"/>
    <w:rsid w:val="00BA3CC1"/>
    <w:rsid w:val="00BB3D73"/>
    <w:rsid w:val="00BB5BDE"/>
    <w:rsid w:val="00BB7443"/>
    <w:rsid w:val="00BB7639"/>
    <w:rsid w:val="00BC0789"/>
    <w:rsid w:val="00BC3F16"/>
    <w:rsid w:val="00BC4BF2"/>
    <w:rsid w:val="00BC4FAC"/>
    <w:rsid w:val="00BC50A0"/>
    <w:rsid w:val="00BC56A7"/>
    <w:rsid w:val="00BE00B5"/>
    <w:rsid w:val="00BE37F8"/>
    <w:rsid w:val="00BE5120"/>
    <w:rsid w:val="00BE78F3"/>
    <w:rsid w:val="00BF5805"/>
    <w:rsid w:val="00C0052B"/>
    <w:rsid w:val="00C02FC6"/>
    <w:rsid w:val="00C2344C"/>
    <w:rsid w:val="00C368B7"/>
    <w:rsid w:val="00C4743D"/>
    <w:rsid w:val="00C6720F"/>
    <w:rsid w:val="00C71A1F"/>
    <w:rsid w:val="00C76B33"/>
    <w:rsid w:val="00C77F34"/>
    <w:rsid w:val="00C82388"/>
    <w:rsid w:val="00C8500B"/>
    <w:rsid w:val="00C915CF"/>
    <w:rsid w:val="00CA5921"/>
    <w:rsid w:val="00CC1C8D"/>
    <w:rsid w:val="00CC3ED5"/>
    <w:rsid w:val="00CC62D0"/>
    <w:rsid w:val="00CD0CF7"/>
    <w:rsid w:val="00CD3F31"/>
    <w:rsid w:val="00CD6D01"/>
    <w:rsid w:val="00CD72F3"/>
    <w:rsid w:val="00CF2011"/>
    <w:rsid w:val="00CF4EC3"/>
    <w:rsid w:val="00CF6D8E"/>
    <w:rsid w:val="00CF7325"/>
    <w:rsid w:val="00CF73F8"/>
    <w:rsid w:val="00CF7CF3"/>
    <w:rsid w:val="00D0196C"/>
    <w:rsid w:val="00D02AB3"/>
    <w:rsid w:val="00D052A3"/>
    <w:rsid w:val="00D16341"/>
    <w:rsid w:val="00D16526"/>
    <w:rsid w:val="00D209F1"/>
    <w:rsid w:val="00D2277E"/>
    <w:rsid w:val="00D27755"/>
    <w:rsid w:val="00D3053A"/>
    <w:rsid w:val="00D3111E"/>
    <w:rsid w:val="00D311F2"/>
    <w:rsid w:val="00D3212E"/>
    <w:rsid w:val="00D47131"/>
    <w:rsid w:val="00D47E8F"/>
    <w:rsid w:val="00D56970"/>
    <w:rsid w:val="00D57304"/>
    <w:rsid w:val="00D61EC2"/>
    <w:rsid w:val="00D63A54"/>
    <w:rsid w:val="00D652B0"/>
    <w:rsid w:val="00D65AC4"/>
    <w:rsid w:val="00D7261E"/>
    <w:rsid w:val="00D73EE7"/>
    <w:rsid w:val="00D822C6"/>
    <w:rsid w:val="00D842CC"/>
    <w:rsid w:val="00D96D4F"/>
    <w:rsid w:val="00DA21A0"/>
    <w:rsid w:val="00DA4980"/>
    <w:rsid w:val="00DB24B1"/>
    <w:rsid w:val="00DD0186"/>
    <w:rsid w:val="00DE5A8A"/>
    <w:rsid w:val="00DF6941"/>
    <w:rsid w:val="00E0007E"/>
    <w:rsid w:val="00E01300"/>
    <w:rsid w:val="00E01358"/>
    <w:rsid w:val="00E01D37"/>
    <w:rsid w:val="00E26F43"/>
    <w:rsid w:val="00E358DC"/>
    <w:rsid w:val="00E367DC"/>
    <w:rsid w:val="00E46A9F"/>
    <w:rsid w:val="00E52159"/>
    <w:rsid w:val="00E61B4B"/>
    <w:rsid w:val="00E63E57"/>
    <w:rsid w:val="00E63FD4"/>
    <w:rsid w:val="00E80C93"/>
    <w:rsid w:val="00E840BA"/>
    <w:rsid w:val="00E94AC2"/>
    <w:rsid w:val="00E96A38"/>
    <w:rsid w:val="00EA1848"/>
    <w:rsid w:val="00EA1F9D"/>
    <w:rsid w:val="00EA6FA1"/>
    <w:rsid w:val="00EA7A49"/>
    <w:rsid w:val="00EB585F"/>
    <w:rsid w:val="00EB5AB3"/>
    <w:rsid w:val="00EC03A6"/>
    <w:rsid w:val="00EC46DB"/>
    <w:rsid w:val="00EC649D"/>
    <w:rsid w:val="00ED7626"/>
    <w:rsid w:val="00EE0238"/>
    <w:rsid w:val="00EE191E"/>
    <w:rsid w:val="00EE42A3"/>
    <w:rsid w:val="00EE5826"/>
    <w:rsid w:val="00EF269C"/>
    <w:rsid w:val="00EF4486"/>
    <w:rsid w:val="00F10D60"/>
    <w:rsid w:val="00F16830"/>
    <w:rsid w:val="00F233B0"/>
    <w:rsid w:val="00F23D22"/>
    <w:rsid w:val="00F27772"/>
    <w:rsid w:val="00F345D7"/>
    <w:rsid w:val="00F356EC"/>
    <w:rsid w:val="00F41017"/>
    <w:rsid w:val="00F45FF6"/>
    <w:rsid w:val="00F574F9"/>
    <w:rsid w:val="00F5774A"/>
    <w:rsid w:val="00F6023C"/>
    <w:rsid w:val="00F64808"/>
    <w:rsid w:val="00F6624A"/>
    <w:rsid w:val="00F70B93"/>
    <w:rsid w:val="00F716F4"/>
    <w:rsid w:val="00F96B7E"/>
    <w:rsid w:val="00FA2029"/>
    <w:rsid w:val="00FA205E"/>
    <w:rsid w:val="00FA5546"/>
    <w:rsid w:val="00FB0261"/>
    <w:rsid w:val="00FB120A"/>
    <w:rsid w:val="00FB7702"/>
    <w:rsid w:val="00FC40BE"/>
    <w:rsid w:val="00FC6C62"/>
    <w:rsid w:val="00FD093E"/>
    <w:rsid w:val="00FD742C"/>
    <w:rsid w:val="00FD7469"/>
    <w:rsid w:val="00FE294E"/>
    <w:rsid w:val="00FF3EFC"/>
    <w:rsid w:val="00FF4FF8"/>
    <w:rsid w:val="00FF534C"/>
    <w:rsid w:val="030CB858"/>
    <w:rsid w:val="0B6064DF"/>
    <w:rsid w:val="12A6D117"/>
    <w:rsid w:val="130E7CDF"/>
    <w:rsid w:val="143B866F"/>
    <w:rsid w:val="2152EBAE"/>
    <w:rsid w:val="252650E4"/>
    <w:rsid w:val="253965F0"/>
    <w:rsid w:val="25B0718D"/>
    <w:rsid w:val="2C0C022D"/>
    <w:rsid w:val="2D80FB7B"/>
    <w:rsid w:val="4061121E"/>
    <w:rsid w:val="42A44FDB"/>
    <w:rsid w:val="505BE267"/>
    <w:rsid w:val="5478DF49"/>
    <w:rsid w:val="5836A606"/>
    <w:rsid w:val="5A4D67E5"/>
    <w:rsid w:val="77D42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ECCCF"/>
  <w15:chartTrackingRefBased/>
  <w15:docId w15:val="{68387170-B0C6-5B45-9A80-4D9EAAEE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56A"/>
    <w:pPr>
      <w:spacing w:after="0" w:line="240" w:lineRule="auto"/>
    </w:pPr>
    <w:rPr>
      <w:rFonts w:ascii="Times New Roman" w:eastAsia="MS Mincho" w:hAnsi="Times New Roman" w:cs="Arial"/>
      <w:sz w:val="24"/>
      <w:szCs w:val="24"/>
      <w:lang w:eastAsia="ja-JP"/>
    </w:rPr>
  </w:style>
  <w:style w:type="paragraph" w:styleId="Heading1">
    <w:name w:val="heading 1"/>
    <w:basedOn w:val="Normal"/>
    <w:next w:val="Normal"/>
    <w:link w:val="Heading1Char"/>
    <w:uiPriority w:val="9"/>
    <w:qFormat/>
    <w:rsid w:val="002E35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35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E35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56A"/>
    <w:rPr>
      <w:rFonts w:asciiTheme="majorHAnsi" w:eastAsiaTheme="majorEastAsia" w:hAnsiTheme="majorHAnsi" w:cstheme="majorBidi"/>
      <w:color w:val="2F5496" w:themeColor="accent1" w:themeShade="BF"/>
      <w:sz w:val="26"/>
      <w:szCs w:val="26"/>
      <w:lang w:eastAsia="ja-JP"/>
    </w:rPr>
  </w:style>
  <w:style w:type="paragraph" w:customStyle="1" w:styleId="LightGrid-Accent31">
    <w:name w:val="Light Grid - Accent 31"/>
    <w:basedOn w:val="Normal"/>
    <w:uiPriority w:val="34"/>
    <w:qFormat/>
    <w:rsid w:val="002E356A"/>
    <w:pPr>
      <w:ind w:left="720"/>
      <w:contextualSpacing/>
    </w:pPr>
  </w:style>
  <w:style w:type="character" w:styleId="CommentReference">
    <w:name w:val="annotation reference"/>
    <w:uiPriority w:val="99"/>
    <w:semiHidden/>
    <w:unhideWhenUsed/>
    <w:rsid w:val="002E356A"/>
    <w:rPr>
      <w:sz w:val="16"/>
      <w:szCs w:val="16"/>
    </w:rPr>
  </w:style>
  <w:style w:type="paragraph" w:styleId="CommentText">
    <w:name w:val="annotation text"/>
    <w:basedOn w:val="Normal"/>
    <w:link w:val="CommentTextChar"/>
    <w:uiPriority w:val="99"/>
    <w:semiHidden/>
    <w:unhideWhenUsed/>
    <w:rsid w:val="002E356A"/>
    <w:rPr>
      <w:rFonts w:cs="Times New Roman"/>
      <w:sz w:val="20"/>
      <w:szCs w:val="20"/>
    </w:rPr>
  </w:style>
  <w:style w:type="character" w:customStyle="1" w:styleId="CommentTextChar">
    <w:name w:val="Comment Text Char"/>
    <w:basedOn w:val="DefaultParagraphFont"/>
    <w:link w:val="CommentText"/>
    <w:uiPriority w:val="99"/>
    <w:semiHidden/>
    <w:rsid w:val="002E356A"/>
    <w:rPr>
      <w:rFonts w:ascii="Times New Roman" w:eastAsia="MS Mincho" w:hAnsi="Times New Roman" w:cs="Times New Roman"/>
      <w:sz w:val="20"/>
      <w:szCs w:val="20"/>
      <w:lang w:eastAsia="ja-JP"/>
    </w:rPr>
  </w:style>
  <w:style w:type="character" w:styleId="Hyperlink">
    <w:name w:val="Hyperlink"/>
    <w:uiPriority w:val="99"/>
    <w:unhideWhenUsed/>
    <w:rsid w:val="002E356A"/>
    <w:rPr>
      <w:color w:val="0000FF"/>
      <w:u w:val="single"/>
    </w:rPr>
  </w:style>
  <w:style w:type="paragraph" w:styleId="Footer">
    <w:name w:val="footer"/>
    <w:basedOn w:val="Normal"/>
    <w:link w:val="FooterChar"/>
    <w:uiPriority w:val="99"/>
    <w:unhideWhenUsed/>
    <w:rsid w:val="002E356A"/>
    <w:pPr>
      <w:tabs>
        <w:tab w:val="center" w:pos="4320"/>
        <w:tab w:val="right" w:pos="8640"/>
      </w:tabs>
    </w:pPr>
  </w:style>
  <w:style w:type="character" w:customStyle="1" w:styleId="FooterChar">
    <w:name w:val="Footer Char"/>
    <w:basedOn w:val="DefaultParagraphFont"/>
    <w:link w:val="Footer"/>
    <w:uiPriority w:val="99"/>
    <w:rsid w:val="002E356A"/>
    <w:rPr>
      <w:rFonts w:ascii="Times New Roman" w:eastAsia="MS Mincho" w:hAnsi="Times New Roman" w:cs="Arial"/>
      <w:sz w:val="24"/>
      <w:szCs w:val="24"/>
      <w:lang w:eastAsia="ja-JP"/>
    </w:rPr>
  </w:style>
  <w:style w:type="character" w:customStyle="1" w:styleId="gold19times">
    <w:name w:val="gold19times"/>
    <w:basedOn w:val="DefaultParagraphFont"/>
    <w:rsid w:val="002E356A"/>
  </w:style>
  <w:style w:type="paragraph" w:styleId="BalloonText">
    <w:name w:val="Balloon Text"/>
    <w:basedOn w:val="Normal"/>
    <w:link w:val="BalloonTextChar"/>
    <w:uiPriority w:val="99"/>
    <w:semiHidden/>
    <w:unhideWhenUsed/>
    <w:rsid w:val="002E3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6A"/>
    <w:rPr>
      <w:rFonts w:ascii="Segoe UI" w:eastAsia="MS Mincho" w:hAnsi="Segoe UI" w:cs="Segoe UI"/>
      <w:sz w:val="18"/>
      <w:szCs w:val="18"/>
      <w:lang w:eastAsia="ja-JP"/>
    </w:rPr>
  </w:style>
  <w:style w:type="character" w:customStyle="1" w:styleId="UnresolvedMention">
    <w:name w:val="Unresolved Mention"/>
    <w:basedOn w:val="DefaultParagraphFont"/>
    <w:uiPriority w:val="99"/>
    <w:semiHidden/>
    <w:unhideWhenUsed/>
    <w:rsid w:val="002E356A"/>
    <w:rPr>
      <w:color w:val="605E5C"/>
      <w:shd w:val="clear" w:color="auto" w:fill="E1DFDD"/>
    </w:rPr>
  </w:style>
  <w:style w:type="paragraph" w:styleId="Header">
    <w:name w:val="header"/>
    <w:basedOn w:val="Normal"/>
    <w:link w:val="HeaderChar"/>
    <w:uiPriority w:val="99"/>
    <w:unhideWhenUsed/>
    <w:rsid w:val="002E356A"/>
    <w:pPr>
      <w:tabs>
        <w:tab w:val="center" w:pos="4680"/>
        <w:tab w:val="right" w:pos="9360"/>
      </w:tabs>
    </w:pPr>
    <w:rPr>
      <w:rFonts w:asciiTheme="minorHAnsi" w:eastAsiaTheme="minorHAnsi" w:hAnsiTheme="minorHAnsi" w:cstheme="minorBidi"/>
      <w:color w:val="595959" w:themeColor="text1" w:themeTint="A6"/>
      <w:sz w:val="30"/>
      <w:szCs w:val="30"/>
      <w:lang w:eastAsia="en-US"/>
    </w:rPr>
  </w:style>
  <w:style w:type="character" w:customStyle="1" w:styleId="HeaderChar">
    <w:name w:val="Header Char"/>
    <w:basedOn w:val="DefaultParagraphFont"/>
    <w:link w:val="Header"/>
    <w:uiPriority w:val="99"/>
    <w:rsid w:val="002E356A"/>
    <w:rPr>
      <w:color w:val="595959" w:themeColor="text1" w:themeTint="A6"/>
      <w:sz w:val="30"/>
      <w:szCs w:val="30"/>
    </w:rPr>
  </w:style>
  <w:style w:type="character" w:customStyle="1" w:styleId="Heading1Char">
    <w:name w:val="Heading 1 Char"/>
    <w:basedOn w:val="DefaultParagraphFont"/>
    <w:link w:val="Heading1"/>
    <w:uiPriority w:val="9"/>
    <w:rsid w:val="002E356A"/>
    <w:rPr>
      <w:rFonts w:asciiTheme="majorHAnsi" w:eastAsiaTheme="majorEastAsia" w:hAnsiTheme="majorHAnsi" w:cstheme="majorBidi"/>
      <w:color w:val="2F5496" w:themeColor="accent1" w:themeShade="BF"/>
      <w:sz w:val="32"/>
      <w:szCs w:val="32"/>
      <w:lang w:eastAsia="ja-JP"/>
    </w:rPr>
  </w:style>
  <w:style w:type="character" w:customStyle="1" w:styleId="Heading3Char">
    <w:name w:val="Heading 3 Char"/>
    <w:basedOn w:val="DefaultParagraphFont"/>
    <w:link w:val="Heading3"/>
    <w:uiPriority w:val="9"/>
    <w:rsid w:val="002E356A"/>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basedOn w:val="Normal"/>
    <w:uiPriority w:val="34"/>
    <w:qFormat/>
    <w:rsid w:val="002E356A"/>
    <w:pPr>
      <w:ind w:left="720"/>
      <w:contextualSpacing/>
    </w:pPr>
  </w:style>
  <w:style w:type="character" w:customStyle="1" w:styleId="Heading4Char">
    <w:name w:val="Heading 4 Char"/>
    <w:basedOn w:val="DefaultParagraphFont"/>
    <w:link w:val="Heading4"/>
    <w:uiPriority w:val="9"/>
    <w:rsid w:val="002E356A"/>
    <w:rPr>
      <w:rFonts w:asciiTheme="majorHAnsi" w:eastAsiaTheme="majorEastAsia" w:hAnsiTheme="majorHAnsi" w:cstheme="majorBidi"/>
      <w:i/>
      <w:iCs/>
      <w:color w:val="2F5496" w:themeColor="accent1" w:themeShade="BF"/>
      <w:sz w:val="24"/>
      <w:szCs w:val="24"/>
      <w:lang w:eastAsia="ja-JP"/>
    </w:rPr>
  </w:style>
  <w:style w:type="paragraph" w:styleId="CommentSubject">
    <w:name w:val="annotation subject"/>
    <w:basedOn w:val="CommentText"/>
    <w:next w:val="CommentText"/>
    <w:link w:val="CommentSubjectChar"/>
    <w:uiPriority w:val="99"/>
    <w:semiHidden/>
    <w:unhideWhenUsed/>
    <w:rsid w:val="00403B11"/>
    <w:rPr>
      <w:rFonts w:cs="Arial"/>
      <w:b/>
      <w:bCs/>
    </w:rPr>
  </w:style>
  <w:style w:type="character" w:customStyle="1" w:styleId="CommentSubjectChar">
    <w:name w:val="Comment Subject Char"/>
    <w:basedOn w:val="CommentTextChar"/>
    <w:link w:val="CommentSubject"/>
    <w:uiPriority w:val="99"/>
    <w:semiHidden/>
    <w:rsid w:val="00403B11"/>
    <w:rPr>
      <w:rFonts w:ascii="Times New Roman" w:eastAsia="MS Mincho" w:hAnsi="Times New Roman" w:cs="Arial"/>
      <w:b/>
      <w:bCs/>
      <w:sz w:val="20"/>
      <w:szCs w:val="20"/>
      <w:lang w:eastAsia="ja-JP"/>
    </w:rPr>
  </w:style>
  <w:style w:type="paragraph" w:styleId="NormalWeb">
    <w:name w:val="Normal (Web)"/>
    <w:basedOn w:val="Normal"/>
    <w:uiPriority w:val="99"/>
    <w:unhideWhenUsed/>
    <w:rsid w:val="00BC56A7"/>
    <w:pPr>
      <w:spacing w:before="100" w:beforeAutospacing="1" w:after="100" w:afterAutospacing="1"/>
    </w:pPr>
    <w:rPr>
      <w:rFonts w:eastAsia="Times New Roman" w:cs="Times New Roman"/>
      <w:lang w:eastAsia="en-US"/>
    </w:rPr>
  </w:style>
  <w:style w:type="character" w:styleId="Strong">
    <w:name w:val="Strong"/>
    <w:basedOn w:val="DefaultParagraphFont"/>
    <w:uiPriority w:val="22"/>
    <w:qFormat/>
    <w:rsid w:val="00BC56A7"/>
    <w:rPr>
      <w:b/>
      <w:bCs/>
    </w:rPr>
  </w:style>
  <w:style w:type="character" w:styleId="PageNumber">
    <w:name w:val="page number"/>
    <w:basedOn w:val="DefaultParagraphFont"/>
    <w:uiPriority w:val="99"/>
    <w:semiHidden/>
    <w:unhideWhenUsed/>
    <w:rsid w:val="00826772"/>
  </w:style>
  <w:style w:type="paragraph" w:styleId="FootnoteText">
    <w:name w:val="footnote text"/>
    <w:basedOn w:val="Normal"/>
    <w:link w:val="FootnoteTextChar"/>
    <w:uiPriority w:val="99"/>
    <w:semiHidden/>
    <w:unhideWhenUsed/>
    <w:rsid w:val="00826772"/>
    <w:rPr>
      <w:sz w:val="20"/>
      <w:szCs w:val="20"/>
    </w:rPr>
  </w:style>
  <w:style w:type="character" w:customStyle="1" w:styleId="FootnoteTextChar">
    <w:name w:val="Footnote Text Char"/>
    <w:basedOn w:val="DefaultParagraphFont"/>
    <w:link w:val="FootnoteText"/>
    <w:uiPriority w:val="99"/>
    <w:semiHidden/>
    <w:rsid w:val="00826772"/>
    <w:rPr>
      <w:rFonts w:ascii="Times New Roman" w:eastAsia="MS Mincho" w:hAnsi="Times New Roman" w:cs="Arial"/>
      <w:sz w:val="20"/>
      <w:szCs w:val="20"/>
      <w:lang w:eastAsia="ja-JP"/>
    </w:rPr>
  </w:style>
  <w:style w:type="character" w:styleId="FootnoteReference">
    <w:name w:val="footnote reference"/>
    <w:basedOn w:val="DefaultParagraphFont"/>
    <w:uiPriority w:val="99"/>
    <w:semiHidden/>
    <w:unhideWhenUsed/>
    <w:rsid w:val="00826772"/>
    <w:rPr>
      <w:vertAlign w:val="superscript"/>
    </w:rPr>
  </w:style>
  <w:style w:type="paragraph" w:customStyle="1" w:styleId="Default">
    <w:name w:val="Default"/>
    <w:rsid w:val="0082677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26772"/>
    <w:rPr>
      <w:color w:val="954F72" w:themeColor="followedHyperlink"/>
      <w:u w:val="single"/>
    </w:rPr>
  </w:style>
  <w:style w:type="paragraph" w:styleId="TOCHeading">
    <w:name w:val="TOC Heading"/>
    <w:basedOn w:val="Heading1"/>
    <w:next w:val="Normal"/>
    <w:uiPriority w:val="39"/>
    <w:unhideWhenUsed/>
    <w:qFormat/>
    <w:rsid w:val="00826772"/>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826772"/>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26772"/>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26772"/>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2677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2677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2677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2677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2677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26772"/>
    <w:pPr>
      <w:ind w:left="1920"/>
    </w:pPr>
    <w:rPr>
      <w:rFonts w:asciiTheme="minorHAnsi" w:hAnsiTheme="minorHAnsi" w:cstheme="minorHAnsi"/>
      <w:sz w:val="20"/>
      <w:szCs w:val="20"/>
    </w:rPr>
  </w:style>
  <w:style w:type="paragraph" w:styleId="NoSpacing">
    <w:name w:val="No Spacing"/>
    <w:uiPriority w:val="1"/>
    <w:qFormat/>
    <w:rsid w:val="00826772"/>
    <w:pPr>
      <w:spacing w:after="0" w:line="240" w:lineRule="auto"/>
    </w:pPr>
    <w:rPr>
      <w:rFonts w:ascii="Times New Roman" w:eastAsia="MS Mincho" w:hAnsi="Times New Roman"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047">
      <w:bodyDiv w:val="1"/>
      <w:marLeft w:val="0"/>
      <w:marRight w:val="0"/>
      <w:marTop w:val="0"/>
      <w:marBottom w:val="0"/>
      <w:divBdr>
        <w:top w:val="none" w:sz="0" w:space="0" w:color="auto"/>
        <w:left w:val="none" w:sz="0" w:space="0" w:color="auto"/>
        <w:bottom w:val="none" w:sz="0" w:space="0" w:color="auto"/>
        <w:right w:val="none" w:sz="0" w:space="0" w:color="auto"/>
      </w:divBdr>
    </w:div>
    <w:div w:id="189806376">
      <w:bodyDiv w:val="1"/>
      <w:marLeft w:val="0"/>
      <w:marRight w:val="0"/>
      <w:marTop w:val="0"/>
      <w:marBottom w:val="0"/>
      <w:divBdr>
        <w:top w:val="none" w:sz="0" w:space="0" w:color="auto"/>
        <w:left w:val="none" w:sz="0" w:space="0" w:color="auto"/>
        <w:bottom w:val="none" w:sz="0" w:space="0" w:color="auto"/>
        <w:right w:val="none" w:sz="0" w:space="0" w:color="auto"/>
      </w:divBdr>
    </w:div>
    <w:div w:id="569655747">
      <w:bodyDiv w:val="1"/>
      <w:marLeft w:val="0"/>
      <w:marRight w:val="0"/>
      <w:marTop w:val="0"/>
      <w:marBottom w:val="0"/>
      <w:divBdr>
        <w:top w:val="none" w:sz="0" w:space="0" w:color="auto"/>
        <w:left w:val="none" w:sz="0" w:space="0" w:color="auto"/>
        <w:bottom w:val="none" w:sz="0" w:space="0" w:color="auto"/>
        <w:right w:val="none" w:sz="0" w:space="0" w:color="auto"/>
      </w:divBdr>
    </w:div>
    <w:div w:id="856895287">
      <w:bodyDiv w:val="1"/>
      <w:marLeft w:val="0"/>
      <w:marRight w:val="0"/>
      <w:marTop w:val="0"/>
      <w:marBottom w:val="0"/>
      <w:divBdr>
        <w:top w:val="none" w:sz="0" w:space="0" w:color="auto"/>
        <w:left w:val="none" w:sz="0" w:space="0" w:color="auto"/>
        <w:bottom w:val="none" w:sz="0" w:space="0" w:color="auto"/>
        <w:right w:val="none" w:sz="0" w:space="0" w:color="auto"/>
      </w:divBdr>
      <w:divsChild>
        <w:div w:id="1943368727">
          <w:marLeft w:val="0"/>
          <w:marRight w:val="0"/>
          <w:marTop w:val="0"/>
          <w:marBottom w:val="0"/>
          <w:divBdr>
            <w:top w:val="none" w:sz="0" w:space="0" w:color="auto"/>
            <w:left w:val="none" w:sz="0" w:space="0" w:color="auto"/>
            <w:bottom w:val="none" w:sz="0" w:space="0" w:color="auto"/>
            <w:right w:val="none" w:sz="0" w:space="0" w:color="auto"/>
          </w:divBdr>
          <w:divsChild>
            <w:div w:id="1256203583">
              <w:marLeft w:val="0"/>
              <w:marRight w:val="0"/>
              <w:marTop w:val="0"/>
              <w:marBottom w:val="0"/>
              <w:divBdr>
                <w:top w:val="none" w:sz="0" w:space="0" w:color="auto"/>
                <w:left w:val="none" w:sz="0" w:space="0" w:color="auto"/>
                <w:bottom w:val="none" w:sz="0" w:space="0" w:color="auto"/>
                <w:right w:val="none" w:sz="0" w:space="0" w:color="auto"/>
              </w:divBdr>
              <w:divsChild>
                <w:div w:id="1102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9438">
      <w:bodyDiv w:val="1"/>
      <w:marLeft w:val="0"/>
      <w:marRight w:val="0"/>
      <w:marTop w:val="0"/>
      <w:marBottom w:val="0"/>
      <w:divBdr>
        <w:top w:val="none" w:sz="0" w:space="0" w:color="auto"/>
        <w:left w:val="none" w:sz="0" w:space="0" w:color="auto"/>
        <w:bottom w:val="none" w:sz="0" w:space="0" w:color="auto"/>
        <w:right w:val="none" w:sz="0" w:space="0" w:color="auto"/>
      </w:divBdr>
    </w:div>
    <w:div w:id="1904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jcarro@emory.edu" TargetMode="External"/><Relationship Id="rId18" Type="http://schemas.openxmlformats.org/officeDocument/2006/relationships/hyperlink" Target="https://www.cartercenter.org/resources/pdfs/news/peace_publications/election_reports/guyana-2015-final-statement-05171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artercenter.org/documents/guyanaelect%20rpt07_final.pdf" TargetMode="External"/><Relationship Id="rId2" Type="http://schemas.openxmlformats.org/officeDocument/2006/relationships/customXml" Target="../customXml/item2.xml"/><Relationship Id="rId16" Type="http://schemas.openxmlformats.org/officeDocument/2006/relationships/hyperlink" Target="https://www.cartercenter.org/documents/1036.pdf" TargetMode="External"/><Relationship Id="rId20" Type="http://schemas.openxmlformats.org/officeDocument/2006/relationships/hyperlink" Target="https://www.cartercenter.org/news/pr/2020/guyana-020420.html" TargetMode="Externa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rtercenter.org/documents/electionreports/democracy/FinalReportGuyana1990_1992.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artercenter.org/news/pr/2020/guyana-02202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tercenter.org/peace/democracy/index.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rtercenter.org/resources/pdfs/news/peace_publications/election_reports/guyana-preliminary-statement-021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F92C-8CF2-4744-84C8-D0937E0FBA11}">
  <ds:schemaRefs>
    <ds:schemaRef ds:uri="http://schemas.microsoft.com/office/2006/metadata/customXsn"/>
  </ds:schemaRefs>
</ds:datastoreItem>
</file>

<file path=customXml/itemProps2.xml><?xml version="1.0" encoding="utf-8"?>
<ds:datastoreItem xmlns:ds="http://schemas.openxmlformats.org/officeDocument/2006/customXml" ds:itemID="{71BFD21F-A3D0-4AAF-B5D7-C0C25777648F}"/>
</file>

<file path=customXml/itemProps3.xml><?xml version="1.0" encoding="utf-8"?>
<ds:datastoreItem xmlns:ds="http://schemas.openxmlformats.org/officeDocument/2006/customXml" ds:itemID="{ABE2B443-22B7-49B2-9FF8-5090A3EE70B9}">
  <ds:schemaRefs>
    <ds:schemaRef ds:uri="http://schemas.microsoft.com/sharepoint/v3/contenttype/forms"/>
  </ds:schemaRefs>
</ds:datastoreItem>
</file>

<file path=customXml/itemProps4.xml><?xml version="1.0" encoding="utf-8"?>
<ds:datastoreItem xmlns:ds="http://schemas.openxmlformats.org/officeDocument/2006/customXml" ds:itemID="{B8C6433A-34D8-4165-BD96-89C68D210BA4}">
  <ds:schemaRefs>
    <ds:schemaRef ds:uri="http://schemas.openxmlformats.org/package/2006/metadata/core-properties"/>
    <ds:schemaRef ds:uri="http://purl.org/dc/dcmitype/"/>
    <ds:schemaRef ds:uri="7490cfc2-d400-4658-b71e-b28e5845fba7"/>
    <ds:schemaRef ds:uri="http://schemas.microsoft.com/office/2006/documentManagement/types"/>
    <ds:schemaRef ds:uri="http://schemas.microsoft.com/office/2006/metadata/properties"/>
    <ds:schemaRef ds:uri="http://schemas.microsoft.com/office/infopath/2007/PartnerControls"/>
    <ds:schemaRef ds:uri="http://purl.org/dc/terms/"/>
    <ds:schemaRef ds:uri="b2892502-1281-4339-9266-d5374376176b"/>
    <ds:schemaRef ds:uri="http://www.w3.org/XML/1998/namespace"/>
    <ds:schemaRef ds:uri="http://purl.org/dc/elements/1.1/"/>
  </ds:schemaRefs>
</ds:datastoreItem>
</file>

<file path=customXml/itemProps5.xml><?xml version="1.0" encoding="utf-8"?>
<ds:datastoreItem xmlns:ds="http://schemas.openxmlformats.org/officeDocument/2006/customXml" ds:itemID="{166F52FB-FC74-419F-9766-52460E68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3219</Words>
  <Characters>18349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Faizat Badmus-Busari</dc:creator>
  <cp:keywords/>
  <dc:description/>
  <cp:lastModifiedBy>ROSNIANSKY Cherry Lou</cp:lastModifiedBy>
  <cp:revision>2</cp:revision>
  <dcterms:created xsi:type="dcterms:W3CDTF">2020-06-02T14:44:00Z</dcterms:created>
  <dcterms:modified xsi:type="dcterms:W3CDTF">2020-06-02T14:44:00Z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