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5.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0FD2" w14:textId="77777777" w:rsidR="005D4B28" w:rsidRDefault="005D4B28" w:rsidP="005D4B28">
      <w:pPr>
        <w:rPr>
          <w:b/>
          <w:sz w:val="28"/>
        </w:rPr>
      </w:pPr>
      <w:bookmarkStart w:id="0" w:name="_GoBack"/>
      <w:bookmarkEnd w:id="0"/>
    </w:p>
    <w:p w14:paraId="6931E831" w14:textId="77777777" w:rsidR="005E7732" w:rsidRDefault="005E7732" w:rsidP="005D4B28">
      <w:pPr>
        <w:rPr>
          <w:b/>
          <w:sz w:val="28"/>
        </w:rPr>
      </w:pPr>
    </w:p>
    <w:p w14:paraId="3AA59836" w14:textId="77777777" w:rsidR="005D4B28" w:rsidRDefault="002650BE" w:rsidP="005D4B28">
      <w:pPr>
        <w:rPr>
          <w:b/>
          <w:sz w:val="28"/>
        </w:rPr>
      </w:pPr>
      <w:r>
        <w:rPr>
          <w:b/>
          <w:sz w:val="28"/>
        </w:rPr>
        <w:t xml:space="preserve">La política fiscal del Estado de Guatemala limita el </w:t>
      </w:r>
      <w:r w:rsidR="007F5078">
        <w:rPr>
          <w:b/>
          <w:sz w:val="28"/>
        </w:rPr>
        <w:t>cumplimiento efectivo de los Derechos Humanos</w:t>
      </w:r>
      <w:r>
        <w:rPr>
          <w:rStyle w:val="FootnoteReference"/>
          <w:b/>
          <w:sz w:val="28"/>
        </w:rPr>
        <w:footnoteReference w:id="1"/>
      </w:r>
    </w:p>
    <w:p w14:paraId="7DCD257B" w14:textId="77777777" w:rsidR="005E7732" w:rsidRPr="00532802" w:rsidRDefault="005E7732" w:rsidP="005D4B28">
      <w:pPr>
        <w:rPr>
          <w:b/>
          <w:sz w:val="28"/>
        </w:rPr>
      </w:pPr>
    </w:p>
    <w:sdt>
      <w:sdtPr>
        <w:rPr>
          <w:rFonts w:asciiTheme="minorHAnsi" w:eastAsiaTheme="minorHAnsi" w:hAnsiTheme="minorHAnsi" w:cstheme="minorBidi"/>
          <w:color w:val="auto"/>
          <w:sz w:val="22"/>
          <w:szCs w:val="22"/>
          <w:lang w:val="es-ES" w:eastAsia="en-US"/>
        </w:rPr>
        <w:id w:val="1190800263"/>
        <w:docPartObj>
          <w:docPartGallery w:val="Table of Contents"/>
          <w:docPartUnique/>
        </w:docPartObj>
      </w:sdtPr>
      <w:sdtEndPr>
        <w:rPr>
          <w:b/>
          <w:bCs/>
        </w:rPr>
      </w:sdtEndPr>
      <w:sdtContent>
        <w:p w14:paraId="4223E608" w14:textId="77777777" w:rsidR="005D4B28" w:rsidRDefault="005D4B28">
          <w:pPr>
            <w:pStyle w:val="TOCHeading"/>
          </w:pPr>
          <w:r>
            <w:rPr>
              <w:lang w:val="es-ES"/>
            </w:rPr>
            <w:t>Contenido</w:t>
          </w:r>
        </w:p>
        <w:p w14:paraId="763C8E9B" w14:textId="77777777" w:rsidR="00FF26A7" w:rsidRDefault="005D4B28">
          <w:pPr>
            <w:pStyle w:val="TOC1"/>
            <w:tabs>
              <w:tab w:val="right" w:leader="dot" w:pos="8828"/>
            </w:tabs>
            <w:rPr>
              <w:rFonts w:cstheme="minorBidi"/>
              <w:noProof/>
            </w:rPr>
          </w:pPr>
          <w:r>
            <w:rPr>
              <w:b/>
              <w:bCs/>
              <w:lang w:val="es-ES"/>
            </w:rPr>
            <w:fldChar w:fldCharType="begin"/>
          </w:r>
          <w:r>
            <w:rPr>
              <w:b/>
              <w:bCs/>
              <w:lang w:val="es-ES"/>
            </w:rPr>
            <w:instrText xml:space="preserve"> TOC \o "1-3" \h \z \u </w:instrText>
          </w:r>
          <w:r>
            <w:rPr>
              <w:b/>
              <w:bCs/>
              <w:lang w:val="es-ES"/>
            </w:rPr>
            <w:fldChar w:fldCharType="separate"/>
          </w:r>
          <w:hyperlink w:anchor="_Toc47694491" w:history="1">
            <w:r w:rsidR="00FF26A7" w:rsidRPr="009F41CC">
              <w:rPr>
                <w:rStyle w:val="Hyperlink"/>
                <w:noProof/>
              </w:rPr>
              <w:t>Siglario</w:t>
            </w:r>
            <w:r w:rsidR="00FF26A7">
              <w:rPr>
                <w:noProof/>
                <w:webHidden/>
              </w:rPr>
              <w:tab/>
            </w:r>
            <w:r w:rsidR="00FF26A7">
              <w:rPr>
                <w:noProof/>
                <w:webHidden/>
              </w:rPr>
              <w:fldChar w:fldCharType="begin"/>
            </w:r>
            <w:r w:rsidR="00FF26A7">
              <w:rPr>
                <w:noProof/>
                <w:webHidden/>
              </w:rPr>
              <w:instrText xml:space="preserve"> PAGEREF _Toc47694491 \h </w:instrText>
            </w:r>
            <w:r w:rsidR="00FF26A7">
              <w:rPr>
                <w:noProof/>
                <w:webHidden/>
              </w:rPr>
            </w:r>
            <w:r w:rsidR="00FF26A7">
              <w:rPr>
                <w:noProof/>
                <w:webHidden/>
              </w:rPr>
              <w:fldChar w:fldCharType="separate"/>
            </w:r>
            <w:r w:rsidR="00FF26A7">
              <w:rPr>
                <w:noProof/>
                <w:webHidden/>
              </w:rPr>
              <w:t>2</w:t>
            </w:r>
            <w:r w:rsidR="00FF26A7">
              <w:rPr>
                <w:noProof/>
                <w:webHidden/>
              </w:rPr>
              <w:fldChar w:fldCharType="end"/>
            </w:r>
          </w:hyperlink>
        </w:p>
        <w:p w14:paraId="0C37B803" w14:textId="77777777" w:rsidR="00FF26A7" w:rsidRDefault="003A6D2F">
          <w:pPr>
            <w:pStyle w:val="TOC1"/>
            <w:tabs>
              <w:tab w:val="right" w:leader="dot" w:pos="8828"/>
            </w:tabs>
            <w:rPr>
              <w:rFonts w:cstheme="minorBidi"/>
              <w:noProof/>
            </w:rPr>
          </w:pPr>
          <w:hyperlink w:anchor="_Toc47694492" w:history="1">
            <w:r w:rsidR="00FF26A7" w:rsidRPr="009F41CC">
              <w:rPr>
                <w:rStyle w:val="Hyperlink"/>
                <w:noProof/>
              </w:rPr>
              <w:t>El cumplimiento efectivo de los Derechos Humanos y su relación con la política fiscal</w:t>
            </w:r>
            <w:r w:rsidR="00FF26A7">
              <w:rPr>
                <w:noProof/>
                <w:webHidden/>
              </w:rPr>
              <w:tab/>
            </w:r>
            <w:r w:rsidR="00FF26A7">
              <w:rPr>
                <w:noProof/>
                <w:webHidden/>
              </w:rPr>
              <w:fldChar w:fldCharType="begin"/>
            </w:r>
            <w:r w:rsidR="00FF26A7">
              <w:rPr>
                <w:noProof/>
                <w:webHidden/>
              </w:rPr>
              <w:instrText xml:space="preserve"> PAGEREF _Toc47694492 \h </w:instrText>
            </w:r>
            <w:r w:rsidR="00FF26A7">
              <w:rPr>
                <w:noProof/>
                <w:webHidden/>
              </w:rPr>
            </w:r>
            <w:r w:rsidR="00FF26A7">
              <w:rPr>
                <w:noProof/>
                <w:webHidden/>
              </w:rPr>
              <w:fldChar w:fldCharType="separate"/>
            </w:r>
            <w:r w:rsidR="00FF26A7">
              <w:rPr>
                <w:noProof/>
                <w:webHidden/>
              </w:rPr>
              <w:t>3</w:t>
            </w:r>
            <w:r w:rsidR="00FF26A7">
              <w:rPr>
                <w:noProof/>
                <w:webHidden/>
              </w:rPr>
              <w:fldChar w:fldCharType="end"/>
            </w:r>
          </w:hyperlink>
        </w:p>
        <w:p w14:paraId="509B0D8D" w14:textId="77777777" w:rsidR="00FF26A7" w:rsidRDefault="003A6D2F">
          <w:pPr>
            <w:pStyle w:val="TOC2"/>
            <w:tabs>
              <w:tab w:val="right" w:leader="dot" w:pos="8828"/>
            </w:tabs>
            <w:rPr>
              <w:rFonts w:cstheme="minorBidi"/>
              <w:noProof/>
            </w:rPr>
          </w:pPr>
          <w:hyperlink w:anchor="_Toc47694493" w:history="1">
            <w:r w:rsidR="00FF26A7" w:rsidRPr="009F41CC">
              <w:rPr>
                <w:rStyle w:val="Hyperlink"/>
                <w:noProof/>
              </w:rPr>
              <w:t>Problemas estructurales de la política fiscal</w:t>
            </w:r>
            <w:r w:rsidR="00FF26A7">
              <w:rPr>
                <w:noProof/>
                <w:webHidden/>
              </w:rPr>
              <w:tab/>
            </w:r>
            <w:r w:rsidR="00FF26A7">
              <w:rPr>
                <w:noProof/>
                <w:webHidden/>
              </w:rPr>
              <w:fldChar w:fldCharType="begin"/>
            </w:r>
            <w:r w:rsidR="00FF26A7">
              <w:rPr>
                <w:noProof/>
                <w:webHidden/>
              </w:rPr>
              <w:instrText xml:space="preserve"> PAGEREF _Toc47694493 \h </w:instrText>
            </w:r>
            <w:r w:rsidR="00FF26A7">
              <w:rPr>
                <w:noProof/>
                <w:webHidden/>
              </w:rPr>
            </w:r>
            <w:r w:rsidR="00FF26A7">
              <w:rPr>
                <w:noProof/>
                <w:webHidden/>
              </w:rPr>
              <w:fldChar w:fldCharType="separate"/>
            </w:r>
            <w:r w:rsidR="00FF26A7">
              <w:rPr>
                <w:noProof/>
                <w:webHidden/>
              </w:rPr>
              <w:t>4</w:t>
            </w:r>
            <w:r w:rsidR="00FF26A7">
              <w:rPr>
                <w:noProof/>
                <w:webHidden/>
              </w:rPr>
              <w:fldChar w:fldCharType="end"/>
            </w:r>
          </w:hyperlink>
        </w:p>
        <w:p w14:paraId="6763B87B" w14:textId="77777777" w:rsidR="00FF26A7" w:rsidRDefault="003A6D2F">
          <w:pPr>
            <w:pStyle w:val="TOC2"/>
            <w:tabs>
              <w:tab w:val="right" w:leader="dot" w:pos="8828"/>
            </w:tabs>
            <w:rPr>
              <w:rFonts w:cstheme="minorBidi"/>
              <w:noProof/>
            </w:rPr>
          </w:pPr>
          <w:hyperlink w:anchor="_Toc47694494" w:history="1">
            <w:r w:rsidR="00FF26A7" w:rsidRPr="009F41CC">
              <w:rPr>
                <w:rStyle w:val="Hyperlink"/>
                <w:noProof/>
              </w:rPr>
              <w:t>El gasto público se reduce violando obligaciones de comportamiento y debilitando las posibilidades de resultado del Estado</w:t>
            </w:r>
            <w:r w:rsidR="00FF26A7">
              <w:rPr>
                <w:noProof/>
                <w:webHidden/>
              </w:rPr>
              <w:tab/>
            </w:r>
            <w:r w:rsidR="00FF26A7">
              <w:rPr>
                <w:noProof/>
                <w:webHidden/>
              </w:rPr>
              <w:fldChar w:fldCharType="begin"/>
            </w:r>
            <w:r w:rsidR="00FF26A7">
              <w:rPr>
                <w:noProof/>
                <w:webHidden/>
              </w:rPr>
              <w:instrText xml:space="preserve"> PAGEREF _Toc47694494 \h </w:instrText>
            </w:r>
            <w:r w:rsidR="00FF26A7">
              <w:rPr>
                <w:noProof/>
                <w:webHidden/>
              </w:rPr>
            </w:r>
            <w:r w:rsidR="00FF26A7">
              <w:rPr>
                <w:noProof/>
                <w:webHidden/>
              </w:rPr>
              <w:fldChar w:fldCharType="separate"/>
            </w:r>
            <w:r w:rsidR="00FF26A7">
              <w:rPr>
                <w:noProof/>
                <w:webHidden/>
              </w:rPr>
              <w:t>4</w:t>
            </w:r>
            <w:r w:rsidR="00FF26A7">
              <w:rPr>
                <w:noProof/>
                <w:webHidden/>
              </w:rPr>
              <w:fldChar w:fldCharType="end"/>
            </w:r>
          </w:hyperlink>
        </w:p>
        <w:p w14:paraId="77A933DA" w14:textId="77777777" w:rsidR="00FF26A7" w:rsidRDefault="003A6D2F">
          <w:pPr>
            <w:pStyle w:val="TOC2"/>
            <w:tabs>
              <w:tab w:val="right" w:leader="dot" w:pos="8828"/>
            </w:tabs>
            <w:rPr>
              <w:rFonts w:cstheme="minorBidi"/>
              <w:noProof/>
            </w:rPr>
          </w:pPr>
          <w:hyperlink w:anchor="_Toc47694495" w:history="1">
            <w:r w:rsidR="00FF26A7" w:rsidRPr="009F41CC">
              <w:rPr>
                <w:rStyle w:val="Hyperlink"/>
                <w:noProof/>
              </w:rPr>
              <w:t>Bajos ingresos tributarios y con tendencia a la reducción</w:t>
            </w:r>
            <w:r w:rsidR="00FF26A7">
              <w:rPr>
                <w:noProof/>
                <w:webHidden/>
              </w:rPr>
              <w:tab/>
            </w:r>
            <w:r w:rsidR="00FF26A7">
              <w:rPr>
                <w:noProof/>
                <w:webHidden/>
              </w:rPr>
              <w:fldChar w:fldCharType="begin"/>
            </w:r>
            <w:r w:rsidR="00FF26A7">
              <w:rPr>
                <w:noProof/>
                <w:webHidden/>
              </w:rPr>
              <w:instrText xml:space="preserve"> PAGEREF _Toc47694495 \h </w:instrText>
            </w:r>
            <w:r w:rsidR="00FF26A7">
              <w:rPr>
                <w:noProof/>
                <w:webHidden/>
              </w:rPr>
            </w:r>
            <w:r w:rsidR="00FF26A7">
              <w:rPr>
                <w:noProof/>
                <w:webHidden/>
              </w:rPr>
              <w:fldChar w:fldCharType="separate"/>
            </w:r>
            <w:r w:rsidR="00FF26A7">
              <w:rPr>
                <w:noProof/>
                <w:webHidden/>
              </w:rPr>
              <w:t>11</w:t>
            </w:r>
            <w:r w:rsidR="00FF26A7">
              <w:rPr>
                <w:noProof/>
                <w:webHidden/>
              </w:rPr>
              <w:fldChar w:fldCharType="end"/>
            </w:r>
          </w:hyperlink>
        </w:p>
        <w:p w14:paraId="313724FD" w14:textId="77777777" w:rsidR="00FF26A7" w:rsidRDefault="003A6D2F">
          <w:pPr>
            <w:pStyle w:val="TOC2"/>
            <w:tabs>
              <w:tab w:val="right" w:leader="dot" w:pos="8828"/>
            </w:tabs>
            <w:rPr>
              <w:rFonts w:cstheme="minorBidi"/>
              <w:noProof/>
            </w:rPr>
          </w:pPr>
          <w:hyperlink w:anchor="_Toc47694496" w:history="1">
            <w:r w:rsidR="00FF26A7" w:rsidRPr="009F41CC">
              <w:rPr>
                <w:rStyle w:val="Hyperlink"/>
                <w:noProof/>
              </w:rPr>
              <w:t>Una estructura tributaria poco progresiva, basada en impuestos indirectos</w:t>
            </w:r>
            <w:r w:rsidR="00FF26A7">
              <w:rPr>
                <w:noProof/>
                <w:webHidden/>
              </w:rPr>
              <w:tab/>
            </w:r>
            <w:r w:rsidR="00FF26A7">
              <w:rPr>
                <w:noProof/>
                <w:webHidden/>
              </w:rPr>
              <w:fldChar w:fldCharType="begin"/>
            </w:r>
            <w:r w:rsidR="00FF26A7">
              <w:rPr>
                <w:noProof/>
                <w:webHidden/>
              </w:rPr>
              <w:instrText xml:space="preserve"> PAGEREF _Toc47694496 \h </w:instrText>
            </w:r>
            <w:r w:rsidR="00FF26A7">
              <w:rPr>
                <w:noProof/>
                <w:webHidden/>
              </w:rPr>
            </w:r>
            <w:r w:rsidR="00FF26A7">
              <w:rPr>
                <w:noProof/>
                <w:webHidden/>
              </w:rPr>
              <w:fldChar w:fldCharType="separate"/>
            </w:r>
            <w:r w:rsidR="00FF26A7">
              <w:rPr>
                <w:noProof/>
                <w:webHidden/>
              </w:rPr>
              <w:t>15</w:t>
            </w:r>
            <w:r w:rsidR="00FF26A7">
              <w:rPr>
                <w:noProof/>
                <w:webHidden/>
              </w:rPr>
              <w:fldChar w:fldCharType="end"/>
            </w:r>
          </w:hyperlink>
        </w:p>
        <w:p w14:paraId="2B92BBE1" w14:textId="77777777" w:rsidR="00FF26A7" w:rsidRDefault="003A6D2F">
          <w:pPr>
            <w:pStyle w:val="TOC2"/>
            <w:tabs>
              <w:tab w:val="right" w:leader="dot" w:pos="8828"/>
            </w:tabs>
            <w:rPr>
              <w:rFonts w:cstheme="minorBidi"/>
              <w:noProof/>
            </w:rPr>
          </w:pPr>
          <w:hyperlink w:anchor="_Toc47694497" w:history="1">
            <w:r w:rsidR="00FF26A7" w:rsidRPr="009F41CC">
              <w:rPr>
                <w:rStyle w:val="Hyperlink"/>
                <w:noProof/>
              </w:rPr>
              <w:t>El costo de la deuda pública va en aumento</w:t>
            </w:r>
            <w:r w:rsidR="00FF26A7">
              <w:rPr>
                <w:noProof/>
                <w:webHidden/>
              </w:rPr>
              <w:tab/>
            </w:r>
            <w:r w:rsidR="00FF26A7">
              <w:rPr>
                <w:noProof/>
                <w:webHidden/>
              </w:rPr>
              <w:fldChar w:fldCharType="begin"/>
            </w:r>
            <w:r w:rsidR="00FF26A7">
              <w:rPr>
                <w:noProof/>
                <w:webHidden/>
              </w:rPr>
              <w:instrText xml:space="preserve"> PAGEREF _Toc47694497 \h </w:instrText>
            </w:r>
            <w:r w:rsidR="00FF26A7">
              <w:rPr>
                <w:noProof/>
                <w:webHidden/>
              </w:rPr>
            </w:r>
            <w:r w:rsidR="00FF26A7">
              <w:rPr>
                <w:noProof/>
                <w:webHidden/>
              </w:rPr>
              <w:fldChar w:fldCharType="separate"/>
            </w:r>
            <w:r w:rsidR="00FF26A7">
              <w:rPr>
                <w:noProof/>
                <w:webHidden/>
              </w:rPr>
              <w:t>18</w:t>
            </w:r>
            <w:r w:rsidR="00FF26A7">
              <w:rPr>
                <w:noProof/>
                <w:webHidden/>
              </w:rPr>
              <w:fldChar w:fldCharType="end"/>
            </w:r>
          </w:hyperlink>
        </w:p>
        <w:p w14:paraId="373E6288" w14:textId="77777777" w:rsidR="00FF26A7" w:rsidRDefault="003A6D2F">
          <w:pPr>
            <w:pStyle w:val="TOC2"/>
            <w:tabs>
              <w:tab w:val="right" w:leader="dot" w:pos="8828"/>
            </w:tabs>
            <w:rPr>
              <w:rFonts w:cstheme="minorBidi"/>
              <w:noProof/>
            </w:rPr>
          </w:pPr>
          <w:hyperlink w:anchor="_Toc47694498" w:history="1">
            <w:r w:rsidR="00FF26A7" w:rsidRPr="009F41CC">
              <w:rPr>
                <w:rStyle w:val="Hyperlink"/>
                <w:noProof/>
              </w:rPr>
              <w:t>La opacidad y la corrupción</w:t>
            </w:r>
            <w:r w:rsidR="00FF26A7">
              <w:rPr>
                <w:noProof/>
                <w:webHidden/>
              </w:rPr>
              <w:tab/>
            </w:r>
            <w:r w:rsidR="00FF26A7">
              <w:rPr>
                <w:noProof/>
                <w:webHidden/>
              </w:rPr>
              <w:fldChar w:fldCharType="begin"/>
            </w:r>
            <w:r w:rsidR="00FF26A7">
              <w:rPr>
                <w:noProof/>
                <w:webHidden/>
              </w:rPr>
              <w:instrText xml:space="preserve"> PAGEREF _Toc47694498 \h </w:instrText>
            </w:r>
            <w:r w:rsidR="00FF26A7">
              <w:rPr>
                <w:noProof/>
                <w:webHidden/>
              </w:rPr>
            </w:r>
            <w:r w:rsidR="00FF26A7">
              <w:rPr>
                <w:noProof/>
                <w:webHidden/>
              </w:rPr>
              <w:fldChar w:fldCharType="separate"/>
            </w:r>
            <w:r w:rsidR="00FF26A7">
              <w:rPr>
                <w:noProof/>
                <w:webHidden/>
              </w:rPr>
              <w:t>20</w:t>
            </w:r>
            <w:r w:rsidR="00FF26A7">
              <w:rPr>
                <w:noProof/>
                <w:webHidden/>
              </w:rPr>
              <w:fldChar w:fldCharType="end"/>
            </w:r>
          </w:hyperlink>
        </w:p>
        <w:p w14:paraId="6F56D34B" w14:textId="77777777" w:rsidR="00FF26A7" w:rsidRDefault="003A6D2F">
          <w:pPr>
            <w:pStyle w:val="TOC2"/>
            <w:tabs>
              <w:tab w:val="right" w:leader="dot" w:pos="8828"/>
            </w:tabs>
            <w:rPr>
              <w:rFonts w:cstheme="minorBidi"/>
              <w:noProof/>
            </w:rPr>
          </w:pPr>
          <w:hyperlink w:anchor="_Toc47694499" w:history="1">
            <w:r w:rsidR="00FF26A7" w:rsidRPr="009F41CC">
              <w:rPr>
                <w:rStyle w:val="Hyperlink"/>
                <w:noProof/>
              </w:rPr>
              <w:t>Recomendaciones para avanzar hacia un Estado que garantice los derechos humanos</w:t>
            </w:r>
            <w:r w:rsidR="00FF26A7">
              <w:rPr>
                <w:noProof/>
                <w:webHidden/>
              </w:rPr>
              <w:tab/>
            </w:r>
            <w:r w:rsidR="00FF26A7">
              <w:rPr>
                <w:noProof/>
                <w:webHidden/>
              </w:rPr>
              <w:fldChar w:fldCharType="begin"/>
            </w:r>
            <w:r w:rsidR="00FF26A7">
              <w:rPr>
                <w:noProof/>
                <w:webHidden/>
              </w:rPr>
              <w:instrText xml:space="preserve"> PAGEREF _Toc47694499 \h </w:instrText>
            </w:r>
            <w:r w:rsidR="00FF26A7">
              <w:rPr>
                <w:noProof/>
                <w:webHidden/>
              </w:rPr>
            </w:r>
            <w:r w:rsidR="00FF26A7">
              <w:rPr>
                <w:noProof/>
                <w:webHidden/>
              </w:rPr>
              <w:fldChar w:fldCharType="separate"/>
            </w:r>
            <w:r w:rsidR="00FF26A7">
              <w:rPr>
                <w:noProof/>
                <w:webHidden/>
              </w:rPr>
              <w:t>26</w:t>
            </w:r>
            <w:r w:rsidR="00FF26A7">
              <w:rPr>
                <w:noProof/>
                <w:webHidden/>
              </w:rPr>
              <w:fldChar w:fldCharType="end"/>
            </w:r>
          </w:hyperlink>
        </w:p>
        <w:p w14:paraId="70F4E6EB" w14:textId="77777777" w:rsidR="00FF26A7" w:rsidRDefault="003A6D2F">
          <w:pPr>
            <w:pStyle w:val="TOC2"/>
            <w:tabs>
              <w:tab w:val="right" w:leader="dot" w:pos="8828"/>
            </w:tabs>
            <w:rPr>
              <w:rFonts w:cstheme="minorBidi"/>
              <w:noProof/>
            </w:rPr>
          </w:pPr>
          <w:hyperlink w:anchor="_Toc47694500" w:history="1">
            <w:r w:rsidR="00FF26A7" w:rsidRPr="009F41CC">
              <w:rPr>
                <w:rStyle w:val="Hyperlink"/>
                <w:noProof/>
              </w:rPr>
              <w:t>Bibliografía</w:t>
            </w:r>
            <w:r w:rsidR="00FF26A7">
              <w:rPr>
                <w:noProof/>
                <w:webHidden/>
              </w:rPr>
              <w:tab/>
            </w:r>
            <w:r w:rsidR="00FF26A7">
              <w:rPr>
                <w:noProof/>
                <w:webHidden/>
              </w:rPr>
              <w:fldChar w:fldCharType="begin"/>
            </w:r>
            <w:r w:rsidR="00FF26A7">
              <w:rPr>
                <w:noProof/>
                <w:webHidden/>
              </w:rPr>
              <w:instrText xml:space="preserve"> PAGEREF _Toc47694500 \h </w:instrText>
            </w:r>
            <w:r w:rsidR="00FF26A7">
              <w:rPr>
                <w:noProof/>
                <w:webHidden/>
              </w:rPr>
            </w:r>
            <w:r w:rsidR="00FF26A7">
              <w:rPr>
                <w:noProof/>
                <w:webHidden/>
              </w:rPr>
              <w:fldChar w:fldCharType="separate"/>
            </w:r>
            <w:r w:rsidR="00FF26A7">
              <w:rPr>
                <w:noProof/>
                <w:webHidden/>
              </w:rPr>
              <w:t>28</w:t>
            </w:r>
            <w:r w:rsidR="00FF26A7">
              <w:rPr>
                <w:noProof/>
                <w:webHidden/>
              </w:rPr>
              <w:fldChar w:fldCharType="end"/>
            </w:r>
          </w:hyperlink>
        </w:p>
        <w:p w14:paraId="7E4BBD2E" w14:textId="77777777" w:rsidR="00FF26A7" w:rsidRDefault="003A6D2F">
          <w:pPr>
            <w:pStyle w:val="TOC2"/>
            <w:tabs>
              <w:tab w:val="right" w:leader="dot" w:pos="8828"/>
            </w:tabs>
            <w:rPr>
              <w:rFonts w:cstheme="minorBidi"/>
              <w:noProof/>
            </w:rPr>
          </w:pPr>
          <w:hyperlink w:anchor="_Toc47694501" w:history="1">
            <w:r w:rsidR="00FF26A7" w:rsidRPr="009F41CC">
              <w:rPr>
                <w:rStyle w:val="Hyperlink"/>
                <w:noProof/>
              </w:rPr>
              <w:t>Anexo</w:t>
            </w:r>
            <w:r w:rsidR="00FF26A7">
              <w:rPr>
                <w:noProof/>
                <w:webHidden/>
              </w:rPr>
              <w:tab/>
            </w:r>
            <w:r w:rsidR="00FF26A7">
              <w:rPr>
                <w:noProof/>
                <w:webHidden/>
              </w:rPr>
              <w:fldChar w:fldCharType="begin"/>
            </w:r>
            <w:r w:rsidR="00FF26A7">
              <w:rPr>
                <w:noProof/>
                <w:webHidden/>
              </w:rPr>
              <w:instrText xml:space="preserve"> PAGEREF _Toc47694501 \h </w:instrText>
            </w:r>
            <w:r w:rsidR="00FF26A7">
              <w:rPr>
                <w:noProof/>
                <w:webHidden/>
              </w:rPr>
            </w:r>
            <w:r w:rsidR="00FF26A7">
              <w:rPr>
                <w:noProof/>
                <w:webHidden/>
              </w:rPr>
              <w:fldChar w:fldCharType="separate"/>
            </w:r>
            <w:r w:rsidR="00FF26A7">
              <w:rPr>
                <w:noProof/>
                <w:webHidden/>
              </w:rPr>
              <w:t>30</w:t>
            </w:r>
            <w:r w:rsidR="00FF26A7">
              <w:rPr>
                <w:noProof/>
                <w:webHidden/>
              </w:rPr>
              <w:fldChar w:fldCharType="end"/>
            </w:r>
          </w:hyperlink>
        </w:p>
        <w:p w14:paraId="3AA578A2" w14:textId="77777777" w:rsidR="005D4B28" w:rsidRDefault="005D4B28">
          <w:r>
            <w:rPr>
              <w:b/>
              <w:bCs/>
              <w:lang w:val="es-ES"/>
            </w:rPr>
            <w:fldChar w:fldCharType="end"/>
          </w:r>
        </w:p>
      </w:sdtContent>
    </w:sdt>
    <w:p w14:paraId="7911C07B" w14:textId="77777777" w:rsidR="005E7732" w:rsidRDefault="005E7732">
      <w:pPr>
        <w:rPr>
          <w:rFonts w:asciiTheme="majorHAnsi" w:eastAsiaTheme="majorEastAsia" w:hAnsiTheme="majorHAnsi" w:cstheme="majorBidi"/>
          <w:color w:val="2E74B5" w:themeColor="accent1" w:themeShade="BF"/>
          <w:sz w:val="32"/>
          <w:szCs w:val="32"/>
        </w:rPr>
      </w:pPr>
      <w:r>
        <w:br w:type="page"/>
      </w:r>
    </w:p>
    <w:p w14:paraId="39122286" w14:textId="77777777" w:rsidR="00492E9F" w:rsidRDefault="00492E9F" w:rsidP="005E7732">
      <w:pPr>
        <w:pStyle w:val="Heading1"/>
      </w:pPr>
      <w:bookmarkStart w:id="1" w:name="_Toc47694491"/>
      <w:r>
        <w:lastRenderedPageBreak/>
        <w:t>Siglario</w:t>
      </w:r>
      <w:bookmarkEnd w:id="1"/>
    </w:p>
    <w:p w14:paraId="07C341A1" w14:textId="77777777" w:rsidR="00492E9F" w:rsidRDefault="00492E9F" w:rsidP="00492E9F"/>
    <w:p w14:paraId="68B973E2" w14:textId="77777777" w:rsidR="00492E9F" w:rsidRDefault="00492E9F" w:rsidP="00492E9F">
      <w:r w:rsidRPr="00E92338">
        <w:t>AASSA</w:t>
      </w:r>
      <w:r>
        <w:tab/>
      </w:r>
      <w:r>
        <w:tab/>
      </w:r>
      <w:r>
        <w:tab/>
      </w:r>
      <w:r w:rsidRPr="00E92338">
        <w:t>Acuerdo sobre Aspectos Socioeconómicos y Situación Agraria</w:t>
      </w:r>
    </w:p>
    <w:p w14:paraId="2D9FA05C" w14:textId="77777777" w:rsidR="00492E9F" w:rsidRDefault="00492E9F" w:rsidP="00492E9F">
      <w:r>
        <w:t>Cepal</w:t>
      </w:r>
      <w:r>
        <w:tab/>
      </w:r>
      <w:r>
        <w:tab/>
      </w:r>
      <w:r>
        <w:tab/>
      </w:r>
      <w:r w:rsidRPr="00701B18">
        <w:t>Comisión Económica para América Latina y el Caribe</w:t>
      </w:r>
    </w:p>
    <w:p w14:paraId="5FD7BB8B" w14:textId="77777777" w:rsidR="00492E9F" w:rsidRPr="00EC5CB2" w:rsidRDefault="00492E9F" w:rsidP="00492E9F">
      <w:pPr>
        <w:rPr>
          <w:lang w:val="en-US"/>
        </w:rPr>
      </w:pPr>
      <w:r w:rsidRPr="00EC5CB2">
        <w:rPr>
          <w:lang w:val="en-US"/>
        </w:rPr>
        <w:t>CESR</w:t>
      </w:r>
      <w:r w:rsidRPr="00EC5CB2">
        <w:rPr>
          <w:lang w:val="en-US"/>
        </w:rPr>
        <w:tab/>
      </w:r>
      <w:r w:rsidRPr="00EC5CB2">
        <w:rPr>
          <w:lang w:val="en-US"/>
        </w:rPr>
        <w:tab/>
      </w:r>
      <w:r w:rsidRPr="00EC5CB2">
        <w:rPr>
          <w:lang w:val="en-US"/>
        </w:rPr>
        <w:tab/>
      </w:r>
      <w:r w:rsidRPr="00EC5CB2">
        <w:rPr>
          <w:i/>
          <w:lang w:val="en-US"/>
        </w:rPr>
        <w:t>Center for Economic and Social Rights</w:t>
      </w:r>
    </w:p>
    <w:p w14:paraId="7242A054" w14:textId="77777777" w:rsidR="00492E9F" w:rsidRPr="00EC5CB2" w:rsidRDefault="00492E9F" w:rsidP="00492E9F">
      <w:r w:rsidRPr="00EC5CB2">
        <w:t>Cicig</w:t>
      </w:r>
      <w:r w:rsidRPr="00EC5CB2">
        <w:tab/>
      </w:r>
      <w:r w:rsidRPr="00EC5CB2">
        <w:tab/>
      </w:r>
      <w:r w:rsidRPr="00EC5CB2">
        <w:tab/>
        <w:t>Comisión Internacional Contra la Impunidad en Guatemala</w:t>
      </w:r>
    </w:p>
    <w:p w14:paraId="010DB8BF" w14:textId="77777777" w:rsidR="00492E9F" w:rsidRDefault="00492E9F" w:rsidP="00492E9F">
      <w:r>
        <w:t>DAI</w:t>
      </w:r>
      <w:r>
        <w:tab/>
      </w:r>
      <w:r>
        <w:tab/>
      </w:r>
      <w:r>
        <w:tab/>
        <w:t>Derechos arancelarios de importación</w:t>
      </w:r>
    </w:p>
    <w:p w14:paraId="06751F2D" w14:textId="77777777" w:rsidR="00492E9F" w:rsidRDefault="00492E9F" w:rsidP="00492E9F">
      <w:r>
        <w:t>Fida</w:t>
      </w:r>
      <w:r>
        <w:tab/>
      </w:r>
      <w:r>
        <w:tab/>
      </w:r>
      <w:r>
        <w:tab/>
        <w:t>Fondo Internacional para el Desarrollo Agrícola</w:t>
      </w:r>
    </w:p>
    <w:p w14:paraId="5639C622" w14:textId="77777777" w:rsidR="00492E9F" w:rsidRDefault="00492E9F" w:rsidP="00492E9F">
      <w:r>
        <w:t>FMI</w:t>
      </w:r>
      <w:r>
        <w:tab/>
      </w:r>
      <w:r>
        <w:tab/>
      </w:r>
      <w:r>
        <w:tab/>
        <w:t>Fondo Monetario Internacional</w:t>
      </w:r>
    </w:p>
    <w:p w14:paraId="0172E1F3" w14:textId="77777777" w:rsidR="00492E9F" w:rsidRDefault="00492E9F" w:rsidP="00492E9F">
      <w:r>
        <w:t>GFI</w:t>
      </w:r>
      <w:r>
        <w:tab/>
      </w:r>
      <w:r>
        <w:tab/>
      </w:r>
      <w:r>
        <w:tab/>
      </w:r>
      <w:r w:rsidRPr="00725AA2">
        <w:rPr>
          <w:i/>
        </w:rPr>
        <w:t>Global Financial Integrity</w:t>
      </w:r>
    </w:p>
    <w:p w14:paraId="2F52E877" w14:textId="77777777" w:rsidR="00492E9F" w:rsidRDefault="00492E9F" w:rsidP="00492E9F">
      <w:r>
        <w:t>Icefi</w:t>
      </w:r>
      <w:r>
        <w:tab/>
      </w:r>
      <w:r>
        <w:tab/>
      </w:r>
      <w:r>
        <w:tab/>
        <w:t>Instituto Centroamericano de Estudios Fiscales</w:t>
      </w:r>
    </w:p>
    <w:p w14:paraId="1AACF81F" w14:textId="77777777" w:rsidR="00492E9F" w:rsidRDefault="00492E9F" w:rsidP="00492E9F">
      <w:r>
        <w:t>ISR</w:t>
      </w:r>
      <w:r>
        <w:tab/>
      </w:r>
      <w:r>
        <w:tab/>
      </w:r>
      <w:r>
        <w:tab/>
        <w:t>Impuesto sobre la renta</w:t>
      </w:r>
    </w:p>
    <w:p w14:paraId="78B788E6" w14:textId="77777777" w:rsidR="00492E9F" w:rsidRDefault="00492E9F" w:rsidP="00492E9F">
      <w:r>
        <w:t>IVA</w:t>
      </w:r>
      <w:r>
        <w:tab/>
      </w:r>
      <w:r>
        <w:tab/>
      </w:r>
      <w:r>
        <w:tab/>
        <w:t>Impuesto al valor agregado</w:t>
      </w:r>
    </w:p>
    <w:p w14:paraId="340BDAA0" w14:textId="77777777" w:rsidR="00492E9F" w:rsidRDefault="00492E9F" w:rsidP="00492E9F">
      <w:r>
        <w:t>OCDE</w:t>
      </w:r>
      <w:r>
        <w:tab/>
      </w:r>
      <w:r>
        <w:tab/>
      </w:r>
      <w:r>
        <w:tab/>
      </w:r>
      <w:r w:rsidRPr="00701B18">
        <w:t>Organización para la Cooperación y el Desarrollo Económicos</w:t>
      </w:r>
    </w:p>
    <w:p w14:paraId="45CF001F" w14:textId="77777777" w:rsidR="00492E9F" w:rsidRPr="00EC5CB2" w:rsidRDefault="00492E9F" w:rsidP="00492E9F">
      <w:pPr>
        <w:rPr>
          <w:lang w:val="en-US"/>
        </w:rPr>
      </w:pPr>
      <w:r w:rsidRPr="00EC5CB2">
        <w:rPr>
          <w:lang w:val="en-US"/>
        </w:rPr>
        <w:t>Oxfam</w:t>
      </w:r>
      <w:r w:rsidRPr="00EC5CB2">
        <w:rPr>
          <w:lang w:val="en-US"/>
        </w:rPr>
        <w:tab/>
      </w:r>
      <w:r w:rsidRPr="00EC5CB2">
        <w:rPr>
          <w:lang w:val="en-US"/>
        </w:rPr>
        <w:tab/>
      </w:r>
      <w:r w:rsidRPr="00EC5CB2">
        <w:rPr>
          <w:lang w:val="en-US"/>
        </w:rPr>
        <w:tab/>
      </w:r>
      <w:r w:rsidRPr="005E7732">
        <w:rPr>
          <w:i/>
          <w:lang w:val="en-US"/>
        </w:rPr>
        <w:t>Oxford Committee for Famine Relief</w:t>
      </w:r>
    </w:p>
    <w:p w14:paraId="3144707E" w14:textId="77777777" w:rsidR="00492E9F" w:rsidRDefault="00492E9F" w:rsidP="00492E9F">
      <w:r>
        <w:t>PIB</w:t>
      </w:r>
      <w:r>
        <w:tab/>
      </w:r>
      <w:r>
        <w:tab/>
      </w:r>
      <w:r>
        <w:tab/>
        <w:t>Producto interno bruto</w:t>
      </w:r>
    </w:p>
    <w:p w14:paraId="299C5356" w14:textId="77777777" w:rsidR="00492E9F" w:rsidRDefault="00492E9F" w:rsidP="00492E9F">
      <w:r>
        <w:t>SAT</w:t>
      </w:r>
      <w:r>
        <w:tab/>
      </w:r>
      <w:r>
        <w:tab/>
      </w:r>
      <w:r>
        <w:tab/>
        <w:t>Superintendencia de Administración Tributaria</w:t>
      </w:r>
    </w:p>
    <w:p w14:paraId="6D35E19B" w14:textId="77777777" w:rsidR="00492E9F" w:rsidRDefault="00492E9F" w:rsidP="00492E9F">
      <w:r>
        <w:t>Sicoin</w:t>
      </w:r>
      <w:r>
        <w:tab/>
      </w:r>
      <w:r>
        <w:tab/>
      </w:r>
      <w:r>
        <w:tab/>
      </w:r>
      <w:r w:rsidRPr="00701B18">
        <w:t>Sistema de Contabilidad Integrada</w:t>
      </w:r>
    </w:p>
    <w:p w14:paraId="471CEF92" w14:textId="77777777" w:rsidR="00492E9F" w:rsidRDefault="00492E9F" w:rsidP="00492E9F">
      <w:r>
        <w:t>Wola</w:t>
      </w:r>
      <w:r>
        <w:tab/>
      </w:r>
      <w:r>
        <w:tab/>
      </w:r>
      <w:r>
        <w:tab/>
        <w:t>Oficina en Washington para América Latina</w:t>
      </w:r>
      <w:r>
        <w:tab/>
      </w:r>
      <w:r>
        <w:tab/>
      </w:r>
      <w:r>
        <w:tab/>
      </w:r>
    </w:p>
    <w:p w14:paraId="3C1F7C0C" w14:textId="77777777" w:rsidR="00762EBF" w:rsidRDefault="00762EBF">
      <w:pPr>
        <w:rPr>
          <w:b/>
          <w:sz w:val="28"/>
        </w:rPr>
      </w:pPr>
      <w:r>
        <w:rPr>
          <w:b/>
          <w:sz w:val="28"/>
        </w:rPr>
        <w:br w:type="page"/>
      </w:r>
    </w:p>
    <w:p w14:paraId="1EE6A131" w14:textId="77777777" w:rsidR="005D4B28" w:rsidRDefault="005D4B28">
      <w:pPr>
        <w:rPr>
          <w:b/>
          <w:sz w:val="28"/>
        </w:rPr>
      </w:pPr>
    </w:p>
    <w:p w14:paraId="10C29D8F" w14:textId="77777777" w:rsidR="0076441D" w:rsidRPr="00532802" w:rsidRDefault="008A337F" w:rsidP="005D4B28">
      <w:pPr>
        <w:pStyle w:val="Heading1"/>
      </w:pPr>
      <w:bookmarkStart w:id="2" w:name="_Toc47694492"/>
      <w:r w:rsidRPr="00532802">
        <w:t>E</w:t>
      </w:r>
      <w:r w:rsidR="000F72F8">
        <w:t>l</w:t>
      </w:r>
      <w:r w:rsidRPr="00532802">
        <w:t xml:space="preserve"> </w:t>
      </w:r>
      <w:r w:rsidR="000F72F8">
        <w:t xml:space="preserve">cumplimiento efectivo de los Derechos Humanos </w:t>
      </w:r>
      <w:r w:rsidR="00A41832" w:rsidRPr="000F72F8">
        <w:t>y su relación con la política fiscal</w:t>
      </w:r>
      <w:bookmarkEnd w:id="2"/>
    </w:p>
    <w:p w14:paraId="152338BD" w14:textId="77777777" w:rsidR="005D4B28" w:rsidRDefault="005D4B28" w:rsidP="0037404C">
      <w:pPr>
        <w:jc w:val="both"/>
      </w:pPr>
    </w:p>
    <w:p w14:paraId="03447093" w14:textId="77777777" w:rsidR="00B460F5" w:rsidRDefault="00216BB9" w:rsidP="002759BD">
      <w:pPr>
        <w:jc w:val="both"/>
      </w:pPr>
      <w:r>
        <w:t xml:space="preserve">La política fiscal constituye en los Estados democráticos el rostro más concreto del contrato social y es una de las herramientas más importantes para el cumplimiento efectivo de los derechos humanos. Como política pública, </w:t>
      </w:r>
      <w:r w:rsidRPr="00216BB9">
        <w:t>debe basarse en los principios de los derechos humanos</w:t>
      </w:r>
      <w:r w:rsidR="0037404C">
        <w:t xml:space="preserve"> que contribuyen a guiar el quehacer de la administración pública. Entre estos principios destacan el de «</w:t>
      </w:r>
      <w:r w:rsidR="004B0123">
        <w:t>asignación del máximo de los recursos disponibles», «</w:t>
      </w:r>
      <w:r w:rsidR="0037404C">
        <w:t xml:space="preserve">realización progresiva», </w:t>
      </w:r>
      <w:r w:rsidR="00BA1476">
        <w:t>«no retrocesión», «igualdad en el acceso a derechos</w:t>
      </w:r>
      <w:r w:rsidR="004B0123">
        <w:t>», «protección especial y prioritaria a grupos en situación de vulnerabilidad», «niveles mínimos de derechos»,</w:t>
      </w:r>
      <w:r w:rsidR="003000A8">
        <w:t xml:space="preserve"> «</w:t>
      </w:r>
      <w:r w:rsidR="001C62D0">
        <w:t xml:space="preserve">transparencia, </w:t>
      </w:r>
      <w:r w:rsidR="003000A8">
        <w:t xml:space="preserve">evaluación y monitoreo», </w:t>
      </w:r>
      <w:r w:rsidR="001C62D0">
        <w:t xml:space="preserve">y «rendición de cuentas», </w:t>
      </w:r>
      <w:r w:rsidR="003000A8">
        <w:t>entre otros.</w:t>
      </w:r>
      <w:r w:rsidR="0007737A">
        <w:t xml:space="preserve"> </w:t>
      </w:r>
    </w:p>
    <w:p w14:paraId="739F5692" w14:textId="77777777" w:rsidR="00E92DEC" w:rsidRDefault="002759BD" w:rsidP="002759BD">
      <w:pPr>
        <w:jc w:val="both"/>
      </w:pPr>
      <w:r>
        <w:t>La política fisca</w:t>
      </w:r>
      <w:r w:rsidR="00A73B77">
        <w:t>l</w:t>
      </w:r>
      <w:r>
        <w:t xml:space="preserve"> influye de dos formas en la generación y distribución de los recursos con los que puede contar un </w:t>
      </w:r>
      <w:r w:rsidR="00E92DEC">
        <w:t>Estado</w:t>
      </w:r>
      <w:r>
        <w:t xml:space="preserve"> para realizar los derechos económicos y sociales. Primero, </w:t>
      </w:r>
      <w:r w:rsidR="00E92DEC">
        <w:t xml:space="preserve">por los ingresos públicos y en particular, los ingresos tributarios que constituyen la fuente de financiamiento principal del gasto y la inversión pública. En un sistema globalmente progresivo los impuestos </w:t>
      </w:r>
      <w:r w:rsidR="00B460F5">
        <w:t>son</w:t>
      </w:r>
      <w:r w:rsidR="00E92DEC">
        <w:t xml:space="preserve"> diseñados y recolectados de manera equitativa</w:t>
      </w:r>
      <w:r w:rsidR="00B460F5">
        <w:t xml:space="preserve"> entre las personas individuales y jurídicas</w:t>
      </w:r>
      <w:r w:rsidR="00E92DEC">
        <w:t xml:space="preserve"> (</w:t>
      </w:r>
      <w:r w:rsidR="00E92DEC" w:rsidRPr="00E92DEC">
        <w:t>a igual ingreso, igual impuesto; a mayor ingreso, mayor impuesto)</w:t>
      </w:r>
      <w:r w:rsidR="00E92DEC">
        <w:t>, poniendo especial atención en los impuestos directos, relacionados con el patrimonio y la renta de los individuos y las empresas.</w:t>
      </w:r>
      <w:r w:rsidR="0065348F">
        <w:t xml:space="preserve"> </w:t>
      </w:r>
    </w:p>
    <w:p w14:paraId="42C90E76" w14:textId="77777777" w:rsidR="008A337F" w:rsidRDefault="002759BD" w:rsidP="0065348F">
      <w:pPr>
        <w:jc w:val="both"/>
      </w:pPr>
      <w:r>
        <w:t>Segundo,</w:t>
      </w:r>
      <w:r w:rsidR="0065348F">
        <w:t xml:space="preserve"> por medio del gasto público se producen bienes y servicios que permiten el disfrute efectivo de los derechos humanos. La capacidad del gasto público de ayudar a la realización, promoción y garantía de los derechos dependerá de si este se ejecuta buscando la universalidad, la calidad, la pertinencia, </w:t>
      </w:r>
      <w:r w:rsidR="0065348F" w:rsidRPr="00E92DEC">
        <w:t>tomando en cuenta la opinión de la</w:t>
      </w:r>
      <w:r w:rsidR="0065348F">
        <w:t>s personas</w:t>
      </w:r>
      <w:r w:rsidR="0065348F" w:rsidRPr="00E92DEC">
        <w:t xml:space="preserve"> y rindiendo cuentas a </w:t>
      </w:r>
      <w:r w:rsidR="0065348F">
        <w:t xml:space="preserve">la sociedad </w:t>
      </w:r>
      <w:r w:rsidR="0065348F" w:rsidRPr="00E92DEC">
        <w:t>sobre lo conseguido.</w:t>
      </w:r>
      <w:r w:rsidR="0065348F">
        <w:t xml:space="preserve"> Asimismo</w:t>
      </w:r>
      <w:r w:rsidR="00E92DEC" w:rsidRPr="00E92DEC">
        <w:t xml:space="preserve">, una política fiscal con enfoque de derechos humanos debe cerrar las puertas a la corrupción, a los privilegios fiscales y a </w:t>
      </w:r>
      <w:r w:rsidR="00795E7A">
        <w:t xml:space="preserve">una utilización poco diligente del patrimonio público. </w:t>
      </w:r>
    </w:p>
    <w:p w14:paraId="363C932B" w14:textId="77777777" w:rsidR="005D57E9" w:rsidRDefault="00F8774C" w:rsidP="0065348F">
      <w:pPr>
        <w:jc w:val="both"/>
      </w:pPr>
      <w:r>
        <w:t>En el caso de</w:t>
      </w:r>
      <w:r w:rsidR="00B460F5">
        <w:t>l Estado de</w:t>
      </w:r>
      <w:r>
        <w:t xml:space="preserve"> Guatemala, </w:t>
      </w:r>
      <w:r w:rsidR="001A7F5A">
        <w:t xml:space="preserve">el estudio de la política fiscal desde </w:t>
      </w:r>
      <w:r w:rsidR="005D57E9">
        <w:t xml:space="preserve">un enfoque de </w:t>
      </w:r>
      <w:r w:rsidR="001A7F5A">
        <w:t>derechos humanos permite advertir</w:t>
      </w:r>
      <w:r w:rsidR="00795E7A">
        <w:t xml:space="preserve"> </w:t>
      </w:r>
      <w:r w:rsidR="001A7F5A">
        <w:t>que e</w:t>
      </w:r>
      <w:r w:rsidR="005D57E9">
        <w:t xml:space="preserve">sta presenta características que son resultado de un proceso acumulativo de decisiones políticas que estructuralmente reducen su capacidad para garantizar el financiamiento y la ejecución de políticas públicas efectivas para el respeto, protección y promoción de los derechos humanos. </w:t>
      </w:r>
      <w:r w:rsidR="00A37166">
        <w:t xml:space="preserve">Todo esto en contraposición tanto con las disposiciones internacionales </w:t>
      </w:r>
      <w:r w:rsidR="001A49F5">
        <w:t xml:space="preserve">como con el marco legal nacional que manda al Estado a materializar en el presupuesto público sus obligaciones </w:t>
      </w:r>
      <w:r w:rsidR="006E6E79">
        <w:t>de comportamiento y resultado</w:t>
      </w:r>
      <w:r w:rsidR="000F72F8">
        <w:t>s</w:t>
      </w:r>
      <w:r w:rsidR="006E6E79">
        <w:t xml:space="preserve"> </w:t>
      </w:r>
      <w:r w:rsidR="001A49F5">
        <w:t>en materia de derechos.</w:t>
      </w:r>
    </w:p>
    <w:p w14:paraId="4CE6AB57" w14:textId="77777777" w:rsidR="005D57E9" w:rsidRDefault="00F26274" w:rsidP="005D57E9">
      <w:pPr>
        <w:jc w:val="both"/>
      </w:pPr>
      <w:r>
        <w:t>L</w:t>
      </w:r>
      <w:r w:rsidR="005D57E9">
        <w:t>a reducción, en términos reales (como porcentaje del PIB), del gasto público y de los ingresos tributarios</w:t>
      </w:r>
      <w:r w:rsidR="00795E7A">
        <w:t>, junto a una utilización poco estratégica de la deuda pública,</w:t>
      </w:r>
      <w:r w:rsidR="005D57E9">
        <w:t xml:space="preserve"> </w:t>
      </w:r>
      <w:r w:rsidR="00795E7A">
        <w:t xml:space="preserve">está provocando que espacios </w:t>
      </w:r>
      <w:r w:rsidR="005D57E9">
        <w:t xml:space="preserve">cada vez más </w:t>
      </w:r>
      <w:r w:rsidR="00795E7A">
        <w:t xml:space="preserve">significativos </w:t>
      </w:r>
      <w:r w:rsidR="005D57E9">
        <w:t xml:space="preserve">de la vida social </w:t>
      </w:r>
      <w:r w:rsidR="00795E7A">
        <w:t xml:space="preserve">estén siendo supeditados </w:t>
      </w:r>
      <w:r w:rsidR="005D57E9">
        <w:t>a la lógica del mercado y de la acumulación</w:t>
      </w:r>
      <w:r w:rsidR="009A680E">
        <w:t xml:space="preserve">, convirtiendo </w:t>
      </w:r>
      <w:r w:rsidR="005D57E9">
        <w:t>los derechos</w:t>
      </w:r>
      <w:r w:rsidR="00795E7A">
        <w:t>, individuales y colectivos,</w:t>
      </w:r>
      <w:r w:rsidR="005D57E9">
        <w:t xml:space="preserve"> en privilegios a </w:t>
      </w:r>
      <w:r w:rsidR="005D57E9">
        <w:lastRenderedPageBreak/>
        <w:t>los que solamente accede</w:t>
      </w:r>
      <w:r w:rsidR="009A680E">
        <w:t>n aquellas personas que</w:t>
      </w:r>
      <w:r w:rsidR="005D57E9">
        <w:t xml:space="preserve"> tiene</w:t>
      </w:r>
      <w:r w:rsidR="000F72F8">
        <w:t>n</w:t>
      </w:r>
      <w:r w:rsidR="005D57E9">
        <w:t xml:space="preserve"> </w:t>
      </w:r>
      <w:r w:rsidR="009A680E">
        <w:t xml:space="preserve">recursos particulares </w:t>
      </w:r>
      <w:r w:rsidR="00795E7A">
        <w:t>para adquirir servicios en el mercado</w:t>
      </w:r>
      <w:r w:rsidR="005D57E9">
        <w:t xml:space="preserve">: </w:t>
      </w:r>
      <w:r w:rsidR="00795E7A">
        <w:t>l</w:t>
      </w:r>
      <w:r w:rsidR="005D57E9">
        <w:t>a me</w:t>
      </w:r>
      <w:r w:rsidR="009A680E">
        <w:t>rcantilización de la vida diaria, evidente en la salud, la educación y la seguridad, por citar algunos ejemplos</w:t>
      </w:r>
      <w:r w:rsidR="005D57E9">
        <w:t>.</w:t>
      </w:r>
    </w:p>
    <w:p w14:paraId="484816D3" w14:textId="77777777" w:rsidR="00F8774C" w:rsidRDefault="00795E7A" w:rsidP="005D57E9">
      <w:pPr>
        <w:jc w:val="both"/>
      </w:pPr>
      <w:r>
        <w:t>Este diseño de la política fiscal guatemalteca</w:t>
      </w:r>
      <w:r w:rsidR="009A680E">
        <w:t xml:space="preserve">, además, </w:t>
      </w:r>
      <w:r w:rsidR="005D57E9">
        <w:t>fomenta la disminución de la capacidad de l</w:t>
      </w:r>
      <w:r>
        <w:t>a administración pública</w:t>
      </w:r>
      <w:r w:rsidR="009A680E">
        <w:t xml:space="preserve">, restando efectividad </w:t>
      </w:r>
      <w:r>
        <w:t>al poder público</w:t>
      </w:r>
      <w:r w:rsidR="009A680E">
        <w:t xml:space="preserve"> para cumplir con lo que le demanda la ley, </w:t>
      </w:r>
      <w:r>
        <w:t>y abr</w:t>
      </w:r>
      <w:r w:rsidR="009A680E">
        <w:t xml:space="preserve">iendo o ensanchando </w:t>
      </w:r>
      <w:r w:rsidR="005D57E9">
        <w:t>camino</w:t>
      </w:r>
      <w:r>
        <w:t>s</w:t>
      </w:r>
      <w:r w:rsidR="005D57E9">
        <w:t xml:space="preserve"> </w:t>
      </w:r>
      <w:r>
        <w:t>a</w:t>
      </w:r>
      <w:r w:rsidR="005D57E9">
        <w:t xml:space="preserve"> la corrupción</w:t>
      </w:r>
      <w:r w:rsidR="00B460F5">
        <w:t xml:space="preserve"> y a la ingobernabilidad democrática</w:t>
      </w:r>
      <w:r w:rsidR="005D57E9">
        <w:t xml:space="preserve">. </w:t>
      </w:r>
      <w:r w:rsidR="009A680E">
        <w:t xml:space="preserve">Adicionalmente, en el ámbito económico, </w:t>
      </w:r>
      <w:r>
        <w:t xml:space="preserve">la reducción del gasto público </w:t>
      </w:r>
      <w:r w:rsidR="005D57E9">
        <w:t>disminuye las posibilidades de empleo</w:t>
      </w:r>
      <w:r w:rsidR="009A680E">
        <w:t xml:space="preserve">, </w:t>
      </w:r>
      <w:r>
        <w:t xml:space="preserve">al tiempo en que </w:t>
      </w:r>
      <w:r w:rsidR="005D57E9">
        <w:t xml:space="preserve">la desigualdad social aumenta. </w:t>
      </w:r>
    </w:p>
    <w:p w14:paraId="10A07DEA" w14:textId="77777777" w:rsidR="00496594" w:rsidRDefault="00496594" w:rsidP="0065348F">
      <w:pPr>
        <w:jc w:val="both"/>
        <w:rPr>
          <w:b/>
          <w:sz w:val="28"/>
        </w:rPr>
      </w:pPr>
    </w:p>
    <w:p w14:paraId="780B24A4" w14:textId="77777777" w:rsidR="00BA5397" w:rsidRDefault="00BA5397" w:rsidP="005D4B28">
      <w:pPr>
        <w:pStyle w:val="Heading2"/>
      </w:pPr>
      <w:bookmarkStart w:id="3" w:name="_Toc47694493"/>
      <w:r w:rsidRPr="006D37FA">
        <w:t>Problemas estructurales de la política fiscal</w:t>
      </w:r>
      <w:bookmarkEnd w:id="3"/>
    </w:p>
    <w:p w14:paraId="5E898EFA" w14:textId="77777777" w:rsidR="00201F67" w:rsidRPr="006D37FA" w:rsidRDefault="00201F67" w:rsidP="005D4B28">
      <w:pPr>
        <w:pStyle w:val="Heading2"/>
      </w:pPr>
      <w:bookmarkStart w:id="4" w:name="_Toc47694494"/>
      <w:r w:rsidRPr="006D37FA">
        <w:t xml:space="preserve">El gasto público </w:t>
      </w:r>
      <w:r w:rsidR="00496594">
        <w:t xml:space="preserve">se reduce </w:t>
      </w:r>
      <w:r w:rsidR="00F571F0">
        <w:t>violando obligaciones de comportamiento y debilitando las posibilidades de resultado del Estado</w:t>
      </w:r>
      <w:bookmarkEnd w:id="4"/>
    </w:p>
    <w:p w14:paraId="5E3F0022" w14:textId="77777777" w:rsidR="005D4B28" w:rsidRDefault="005D4B28" w:rsidP="00201F67">
      <w:pPr>
        <w:jc w:val="both"/>
      </w:pPr>
    </w:p>
    <w:p w14:paraId="31F50719" w14:textId="77777777" w:rsidR="00201F67" w:rsidRPr="00E92338" w:rsidRDefault="00201F67" w:rsidP="00201F67">
      <w:pPr>
        <w:jc w:val="both"/>
      </w:pPr>
      <w:r w:rsidRPr="00E92338">
        <w:t xml:space="preserve">Los compromisos jurídicos internacionales contraídos por el Estado de Guatemala en materia de derechos, no solo comprometen al país a apropiarse de su espíritu en el marco jurídico nacional, sino también lo </w:t>
      </w:r>
      <w:r w:rsidR="00B460F5">
        <w:t>obligan</w:t>
      </w:r>
      <w:r w:rsidRPr="00E92338">
        <w:t xml:space="preserve"> a que el cumplimiento se haga efectivo. Esto requiere de su materialización en el presupuesto público.</w:t>
      </w:r>
      <w:r w:rsidRPr="00E92338">
        <w:rPr>
          <w:rStyle w:val="FootnoteReference"/>
        </w:rPr>
        <w:footnoteReference w:id="2"/>
      </w:r>
      <w:r w:rsidRPr="00E92338">
        <w:t xml:space="preserve"> </w:t>
      </w:r>
    </w:p>
    <w:p w14:paraId="201E0F65" w14:textId="77777777" w:rsidR="00A37166" w:rsidRPr="00E92338" w:rsidRDefault="00A37166" w:rsidP="00201F67">
      <w:pPr>
        <w:jc w:val="both"/>
      </w:pPr>
      <w:r w:rsidRPr="00E92338">
        <w:t xml:space="preserve">Dentro de todo el marco nacional, se debe hacer hincapié en lo expresado en los Acuerdos de Paz sobre la importancia de aumentar el gasto social para garantizar la realización de los derechos humanos, en partículas los económicos, sociales y culturales. El Acuerdo de Paz Firme y Duradera compromete al Estado a «elevar la recaudación tributaria y priorizar el gasto público hacia la inversión social». El Acuerdo sobre Aspectos Socioeconómicos y Situación Agraria (AASSA) precisa que, para responder a las demandas urgentes de la población y fortalecer el rol del Estado como rector de la política social, se deberá «(a) aumentar de manera significativa la inversión social, en particular en salud, educación y trabajo; b) reestructurar el presupuesto en beneficio del gasto social; (c) priorizar los sectores de la sociedad más necesitados y las áreas del país más desprovistas, sin desatender a los otros sectores de la sociedad; y (d) mejorar la administración de los recursos e inversiones públicos, mediante su descentralización, desconcentración y desburocratización […]».  Es así como los Acuerdos </w:t>
      </w:r>
      <w:r w:rsidR="008A6938" w:rsidRPr="00E92338">
        <w:t>implican</w:t>
      </w:r>
      <w:r w:rsidRPr="00E92338">
        <w:t xml:space="preserve"> al Estado</w:t>
      </w:r>
      <w:r w:rsidR="008A6938" w:rsidRPr="00E92338">
        <w:t xml:space="preserve"> el aumento</w:t>
      </w:r>
      <w:r w:rsidRPr="00E92338">
        <w:t xml:space="preserve"> progresiv</w:t>
      </w:r>
      <w:r w:rsidR="008A6938" w:rsidRPr="00E92338">
        <w:t>o d</w:t>
      </w:r>
      <w:r w:rsidRPr="00E92338">
        <w:t xml:space="preserve">el gasto social, fijando metas cuantitativas de gasto (en términos de porcentaje del PIB) </w:t>
      </w:r>
      <w:r w:rsidR="006E6E79" w:rsidRPr="00E92338">
        <w:t xml:space="preserve">y </w:t>
      </w:r>
      <w:r w:rsidRPr="00E92338">
        <w:t xml:space="preserve">en </w:t>
      </w:r>
      <w:r w:rsidR="006E6E79" w:rsidRPr="00E92338">
        <w:t>derechos específicos.</w:t>
      </w:r>
    </w:p>
    <w:p w14:paraId="3C4149D8" w14:textId="77777777" w:rsidR="00201F67" w:rsidRPr="00E92338" w:rsidRDefault="006E6E79" w:rsidP="00201F67">
      <w:pPr>
        <w:jc w:val="both"/>
      </w:pPr>
      <w:r w:rsidRPr="00E92338">
        <w:t xml:space="preserve">En la práctica, </w:t>
      </w:r>
      <w:r w:rsidR="00201F67" w:rsidRPr="00E92338">
        <w:t xml:space="preserve">el Estado de Guatemala, según los datos </w:t>
      </w:r>
      <w:r w:rsidR="00201F67" w:rsidRPr="00E92338">
        <w:rPr>
          <w:i/>
        </w:rPr>
        <w:t>del World Economic Outlook</w:t>
      </w:r>
      <w:r w:rsidR="00201F67" w:rsidRPr="00E92338">
        <w:t xml:space="preserve"> del F</w:t>
      </w:r>
      <w:r w:rsidR="0007737A">
        <w:t xml:space="preserve">ondo </w:t>
      </w:r>
      <w:r w:rsidR="00201F67" w:rsidRPr="00E92338">
        <w:t>M</w:t>
      </w:r>
      <w:r w:rsidR="0007737A">
        <w:t xml:space="preserve">onetario </w:t>
      </w:r>
      <w:r w:rsidR="00201F67" w:rsidRPr="00E92338">
        <w:t>I</w:t>
      </w:r>
      <w:r w:rsidR="0007737A">
        <w:t>nternacional —FMI—</w:t>
      </w:r>
      <w:r w:rsidR="00201F67" w:rsidRPr="00E92338">
        <w:t xml:space="preserve"> </w:t>
      </w:r>
      <w:r w:rsidR="003674C8" w:rsidRPr="00E92338">
        <w:t>(octubre</w:t>
      </w:r>
      <w:r w:rsidR="00201F67" w:rsidRPr="00E92338">
        <w:t xml:space="preserve"> de 201</w:t>
      </w:r>
      <w:r w:rsidR="00A73B77" w:rsidRPr="00E92338">
        <w:t>9</w:t>
      </w:r>
      <w:r w:rsidR="003674C8" w:rsidRPr="00E92338">
        <w:t>) se ha convertido</w:t>
      </w:r>
      <w:r w:rsidR="00201F67" w:rsidRPr="00E92338">
        <w:t xml:space="preserve"> en el </w:t>
      </w:r>
      <w:r w:rsidR="00A73B77" w:rsidRPr="00E92338">
        <w:t>tercer</w:t>
      </w:r>
      <w:r w:rsidR="00201F67" w:rsidRPr="00E92338">
        <w:t xml:space="preserve"> país </w:t>
      </w:r>
      <w:r w:rsidR="006D37FA" w:rsidRPr="00E92338">
        <w:t>(de 19</w:t>
      </w:r>
      <w:r w:rsidR="00A73B77" w:rsidRPr="00E92338">
        <w:t>2</w:t>
      </w:r>
      <w:r w:rsidR="006D37FA" w:rsidRPr="00E92338">
        <w:t xml:space="preserve">) </w:t>
      </w:r>
      <w:r w:rsidR="00201F67" w:rsidRPr="00E92338">
        <w:t xml:space="preserve">con el </w:t>
      </w:r>
      <w:r w:rsidR="003B4E5D" w:rsidRPr="00E92338">
        <w:t xml:space="preserve">presupuesto de </w:t>
      </w:r>
      <w:r w:rsidR="00201F67" w:rsidRPr="00E92338">
        <w:t xml:space="preserve">gasto del gobierno general más bajo, </w:t>
      </w:r>
      <w:r w:rsidR="00A73B77" w:rsidRPr="00E92338">
        <w:t>equivaliendo en 2018</w:t>
      </w:r>
      <w:r w:rsidR="00201F67" w:rsidRPr="00E92338">
        <w:t xml:space="preserve"> a</w:t>
      </w:r>
      <w:r w:rsidR="00A73B77" w:rsidRPr="00E92338">
        <w:t>l</w:t>
      </w:r>
      <w:r w:rsidR="00201F67" w:rsidRPr="00E92338">
        <w:t xml:space="preserve"> 12.</w:t>
      </w:r>
      <w:r w:rsidR="00A73B77" w:rsidRPr="00E92338">
        <w:t>3</w:t>
      </w:r>
      <w:r w:rsidR="00201F67" w:rsidRPr="00E92338">
        <w:t>% del PIB, mientras el promedio mundial se ubic</w:t>
      </w:r>
      <w:r w:rsidR="00A73B77" w:rsidRPr="00E92338">
        <w:t>ó ese mismo año</w:t>
      </w:r>
      <w:r w:rsidR="00201F67" w:rsidRPr="00E92338">
        <w:t xml:space="preserve"> en 3</w:t>
      </w:r>
      <w:r w:rsidR="00A73B77" w:rsidRPr="00E92338">
        <w:t>2.3</w:t>
      </w:r>
      <w:r w:rsidR="00201F67" w:rsidRPr="00E92338">
        <w:t>% con una desviación estándar de 16.</w:t>
      </w:r>
      <w:r w:rsidR="00A73B77" w:rsidRPr="00E92338">
        <w:t>4</w:t>
      </w:r>
      <w:r w:rsidR="00201F67" w:rsidRPr="00E92338">
        <w:t>%.</w:t>
      </w:r>
    </w:p>
    <w:p w14:paraId="2FBAA721" w14:textId="77777777" w:rsidR="00A73B77" w:rsidRPr="00E92338" w:rsidRDefault="001A7F5A" w:rsidP="001A7F5A">
      <w:pPr>
        <w:spacing w:after="0" w:line="240" w:lineRule="auto"/>
        <w:jc w:val="center"/>
      </w:pPr>
      <w:r w:rsidRPr="00E92338">
        <w:lastRenderedPageBreak/>
        <w:t>Gráfica</w:t>
      </w:r>
    </w:p>
    <w:p w14:paraId="26AA77A7" w14:textId="77777777" w:rsidR="001A7F5A" w:rsidRPr="00E92338" w:rsidRDefault="001A7F5A" w:rsidP="001A7F5A">
      <w:pPr>
        <w:spacing w:after="0" w:line="240" w:lineRule="auto"/>
        <w:jc w:val="center"/>
      </w:pPr>
      <w:r w:rsidRPr="00E92338">
        <w:t>Tamaño del gasto público en algunas regiones del mundo y en Guatemala</w:t>
      </w:r>
      <w:r w:rsidR="00481A86">
        <w:t>, 2018</w:t>
      </w:r>
    </w:p>
    <w:p w14:paraId="74BD1343" w14:textId="77777777" w:rsidR="00A73B77" w:rsidRDefault="00A73B77" w:rsidP="001A7F5A">
      <w:pPr>
        <w:jc w:val="center"/>
        <w:rPr>
          <w:sz w:val="24"/>
        </w:rPr>
      </w:pPr>
      <w:r w:rsidRPr="00A73B77">
        <w:rPr>
          <w:noProof/>
          <w:lang w:val="en-GB" w:eastAsia="en-GB"/>
        </w:rPr>
        <w:drawing>
          <wp:inline distT="0" distB="0" distL="0" distR="0" wp14:anchorId="16877BE0" wp14:editId="66A7F6D9">
            <wp:extent cx="4486275" cy="264795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98EA21" w14:textId="77777777" w:rsidR="001A7F5A" w:rsidRPr="001A7F5A" w:rsidRDefault="001A7F5A" w:rsidP="001A7F5A">
      <w:pPr>
        <w:ind w:firstLine="708"/>
        <w:rPr>
          <w:rFonts w:cstheme="minorHAnsi"/>
          <w:sz w:val="18"/>
          <w:szCs w:val="16"/>
        </w:rPr>
      </w:pPr>
      <w:r w:rsidRPr="001A7F5A">
        <w:rPr>
          <w:rFonts w:cstheme="minorHAnsi"/>
          <w:sz w:val="18"/>
          <w:szCs w:val="16"/>
        </w:rPr>
        <w:t>Fuente: Icefi con datos del World Economic Outlook, Octubre 201</w:t>
      </w:r>
      <w:r>
        <w:rPr>
          <w:rFonts w:cstheme="minorHAnsi"/>
          <w:sz w:val="18"/>
          <w:szCs w:val="16"/>
        </w:rPr>
        <w:t>9</w:t>
      </w:r>
      <w:r w:rsidRPr="001A7F5A">
        <w:rPr>
          <w:rFonts w:cstheme="minorHAnsi"/>
          <w:sz w:val="18"/>
          <w:szCs w:val="16"/>
        </w:rPr>
        <w:t>, Fondo Monetario Internacional.</w:t>
      </w:r>
    </w:p>
    <w:p w14:paraId="495A9FF9" w14:textId="77777777" w:rsidR="00AB018C" w:rsidRDefault="00AB018C" w:rsidP="00201F67">
      <w:pPr>
        <w:jc w:val="both"/>
        <w:rPr>
          <w:sz w:val="24"/>
        </w:rPr>
      </w:pPr>
    </w:p>
    <w:p w14:paraId="34B7DED6" w14:textId="77777777" w:rsidR="00E41C77" w:rsidRPr="00E92338" w:rsidRDefault="00A73B77" w:rsidP="00201F67">
      <w:pPr>
        <w:jc w:val="both"/>
      </w:pPr>
      <w:r w:rsidRPr="00E92338">
        <w:t xml:space="preserve">Por su parte, </w:t>
      </w:r>
      <w:r w:rsidR="003674C8" w:rsidRPr="00E92338">
        <w:t xml:space="preserve">la tendencia del gasto público </w:t>
      </w:r>
      <w:r w:rsidR="00496594" w:rsidRPr="00E92338">
        <w:t xml:space="preserve">de gobierno central </w:t>
      </w:r>
      <w:r w:rsidR="003674C8" w:rsidRPr="00E92338">
        <w:t>guatemalteco es a la reducción</w:t>
      </w:r>
      <w:r w:rsidRPr="00E92338">
        <w:t xml:space="preserve"> lo que afecta la posibilidad de cumplir con los principios de </w:t>
      </w:r>
      <w:r w:rsidRPr="00B460F5">
        <w:t>«realización progresiva» y «no retrocesión»</w:t>
      </w:r>
      <w:r w:rsidR="00E41C77" w:rsidRPr="00B460F5">
        <w:t>.</w:t>
      </w:r>
      <w:r w:rsidR="00E41C77" w:rsidRPr="00B460F5">
        <w:rPr>
          <w:sz w:val="24"/>
        </w:rPr>
        <w:t xml:space="preserve"> </w:t>
      </w:r>
      <w:r w:rsidR="00E41C77" w:rsidRPr="00E92338">
        <w:t xml:space="preserve">Mientras en 2003 el gasto público representó 15.1% del PIB, en 2018 llegó a equivaler tan solo al 12.3%. </w:t>
      </w:r>
      <w:r w:rsidR="00974D0F" w:rsidRPr="00E92338">
        <w:t>La inversión pública ha sido el rubro que más reducción a tenido en este periodo de tiempo (</w:t>
      </w:r>
      <w:r w:rsidR="003749A9" w:rsidRPr="00E92338">
        <w:t>más del 50.0%)</w:t>
      </w:r>
      <w:r w:rsidR="00974D0F" w:rsidRPr="00E92338">
        <w:t>,</w:t>
      </w:r>
      <w:r w:rsidR="003749A9" w:rsidRPr="00E92338">
        <w:t xml:space="preserve"> </w:t>
      </w:r>
      <w:r w:rsidR="00974D0F" w:rsidRPr="00E92338">
        <w:t>pas</w:t>
      </w:r>
      <w:r w:rsidR="003749A9" w:rsidRPr="00E92338">
        <w:t xml:space="preserve">ando del </w:t>
      </w:r>
      <w:r w:rsidR="00974D0F" w:rsidRPr="00E92338">
        <w:t>5.1% del PIB al 2.4%</w:t>
      </w:r>
      <w:r w:rsidR="003749A9" w:rsidRPr="00E92338">
        <w:t xml:space="preserve">, lo que disminuye las posibilidades de ampliar la infraestructura pública </w:t>
      </w:r>
      <w:r w:rsidR="0031129E" w:rsidRPr="00E92338">
        <w:t xml:space="preserve">lo que afecta </w:t>
      </w:r>
      <w:r w:rsidR="00CF1F43" w:rsidRPr="00E92338">
        <w:t xml:space="preserve">la disponibilidad, accesibilidad y </w:t>
      </w:r>
      <w:r w:rsidR="0031129E" w:rsidRPr="00E92338">
        <w:t>ac</w:t>
      </w:r>
      <w:r w:rsidR="00CF1F43" w:rsidRPr="00E92338">
        <w:t>eptabilidad</w:t>
      </w:r>
      <w:r w:rsidR="0031129E" w:rsidRPr="00E92338">
        <w:t xml:space="preserve"> de los servicios públicos y, por ende, el disfrute de los derechos</w:t>
      </w:r>
      <w:r w:rsidR="003749A9" w:rsidRPr="00E92338">
        <w:t xml:space="preserve">. </w:t>
      </w:r>
    </w:p>
    <w:p w14:paraId="0CEC873F" w14:textId="77777777" w:rsidR="003749A9" w:rsidRPr="00E92338" w:rsidRDefault="003749A9" w:rsidP="00201F67">
      <w:pPr>
        <w:jc w:val="both"/>
      </w:pPr>
      <w:r w:rsidRPr="00E92338">
        <w:t xml:space="preserve">La remuneración al servicio civil también ha </w:t>
      </w:r>
      <w:r w:rsidR="00496594" w:rsidRPr="00E92338">
        <w:t>sufrido recortes</w:t>
      </w:r>
      <w:r w:rsidRPr="00E92338">
        <w:t xml:space="preserve"> lo que afecta la capacidad de </w:t>
      </w:r>
      <w:r w:rsidR="0031129E" w:rsidRPr="00E92338">
        <w:t xml:space="preserve">la administración pública de </w:t>
      </w:r>
      <w:r w:rsidRPr="00E92338">
        <w:t>aumentar la cobertura y calidad de servicios públicos</w:t>
      </w:r>
      <w:r w:rsidR="0031129E" w:rsidRPr="00E92338">
        <w:t xml:space="preserve">. Este rubro representaba el 4.8% del PIB en 2003, llegó a equivaler </w:t>
      </w:r>
      <w:r w:rsidR="00F571F0" w:rsidRPr="00E92338">
        <w:t>a</w:t>
      </w:r>
      <w:r w:rsidR="0031129E" w:rsidRPr="00E92338">
        <w:t>l 7.2% del PIB en 2013 para reducirse hasta 4.3% en 2018. Infortunadamente, el Estado no cuenta con un censo anual de servidores públicos, distribuido de acuerdo con la función que desempeñan y el territorio en donde trabajan, que permita establecer con precisión el impacto de estos recortes</w:t>
      </w:r>
      <w:r w:rsidRPr="00E92338">
        <w:t xml:space="preserve">. </w:t>
      </w:r>
    </w:p>
    <w:p w14:paraId="690D24A5" w14:textId="77777777" w:rsidR="00762EBF" w:rsidRDefault="00762EBF" w:rsidP="00D96C6A">
      <w:pPr>
        <w:spacing w:after="0" w:line="240" w:lineRule="auto"/>
        <w:jc w:val="center"/>
      </w:pPr>
    </w:p>
    <w:p w14:paraId="3843C6F4" w14:textId="77777777" w:rsidR="00762EBF" w:rsidRDefault="00762EBF" w:rsidP="00D96C6A">
      <w:pPr>
        <w:spacing w:after="0" w:line="240" w:lineRule="auto"/>
        <w:jc w:val="center"/>
      </w:pPr>
    </w:p>
    <w:p w14:paraId="1B343F88" w14:textId="77777777" w:rsidR="00B460F5" w:rsidRDefault="00B460F5" w:rsidP="00D96C6A">
      <w:pPr>
        <w:spacing w:after="0" w:line="240" w:lineRule="auto"/>
        <w:jc w:val="center"/>
      </w:pPr>
    </w:p>
    <w:p w14:paraId="3E76036C" w14:textId="77777777" w:rsidR="00B460F5" w:rsidRDefault="00B460F5" w:rsidP="00D96C6A">
      <w:pPr>
        <w:spacing w:after="0" w:line="240" w:lineRule="auto"/>
        <w:jc w:val="center"/>
      </w:pPr>
    </w:p>
    <w:p w14:paraId="506E16DB" w14:textId="77777777" w:rsidR="00B460F5" w:rsidRDefault="00B460F5" w:rsidP="00D96C6A">
      <w:pPr>
        <w:spacing w:after="0" w:line="240" w:lineRule="auto"/>
        <w:jc w:val="center"/>
      </w:pPr>
    </w:p>
    <w:p w14:paraId="2A6FBA7C" w14:textId="77777777" w:rsidR="00B460F5" w:rsidRDefault="00B460F5" w:rsidP="00D96C6A">
      <w:pPr>
        <w:spacing w:after="0" w:line="240" w:lineRule="auto"/>
        <w:jc w:val="center"/>
      </w:pPr>
    </w:p>
    <w:p w14:paraId="1B51E23E" w14:textId="77777777" w:rsidR="00B460F5" w:rsidRDefault="00B460F5" w:rsidP="00D96C6A">
      <w:pPr>
        <w:spacing w:after="0" w:line="240" w:lineRule="auto"/>
        <w:jc w:val="center"/>
      </w:pPr>
    </w:p>
    <w:p w14:paraId="2F612B08" w14:textId="77777777" w:rsidR="00762EBF" w:rsidRDefault="00762EBF" w:rsidP="00D96C6A">
      <w:pPr>
        <w:spacing w:after="0" w:line="240" w:lineRule="auto"/>
        <w:jc w:val="center"/>
      </w:pPr>
    </w:p>
    <w:p w14:paraId="3DBCA8D3" w14:textId="77777777" w:rsidR="00492E9F" w:rsidRDefault="00492E9F" w:rsidP="00D96C6A">
      <w:pPr>
        <w:spacing w:after="0" w:line="240" w:lineRule="auto"/>
        <w:jc w:val="center"/>
      </w:pPr>
    </w:p>
    <w:p w14:paraId="09A5751B" w14:textId="77777777" w:rsidR="006E6E79" w:rsidRPr="00E92338" w:rsidRDefault="006E6E79" w:rsidP="00D96C6A">
      <w:pPr>
        <w:spacing w:after="0" w:line="240" w:lineRule="auto"/>
        <w:jc w:val="center"/>
      </w:pPr>
      <w:r w:rsidRPr="00E92338">
        <w:lastRenderedPageBreak/>
        <w:t>Gráfica</w:t>
      </w:r>
    </w:p>
    <w:p w14:paraId="2B8A471B" w14:textId="77777777" w:rsidR="006E6E79" w:rsidRPr="00E92338" w:rsidRDefault="006E6E79" w:rsidP="00D96C6A">
      <w:pPr>
        <w:spacing w:after="0" w:line="240" w:lineRule="auto"/>
        <w:jc w:val="center"/>
      </w:pPr>
      <w:r w:rsidRPr="00E92338">
        <w:t>Gasto público</w:t>
      </w:r>
      <w:r w:rsidR="00E41C77" w:rsidRPr="00E92338">
        <w:t xml:space="preserve"> como porcentaje del producto interno bruto</w:t>
      </w:r>
      <w:r w:rsidR="00B460F5">
        <w:t>, 2000-2018</w:t>
      </w:r>
    </w:p>
    <w:p w14:paraId="72D6966C" w14:textId="77777777" w:rsidR="003674C8" w:rsidRPr="00201F67" w:rsidRDefault="006E6E79" w:rsidP="00201F67">
      <w:pPr>
        <w:jc w:val="both"/>
        <w:rPr>
          <w:sz w:val="24"/>
        </w:rPr>
      </w:pPr>
      <w:r>
        <w:rPr>
          <w:noProof/>
          <w:lang w:val="en-GB" w:eastAsia="en-GB"/>
        </w:rPr>
        <w:drawing>
          <wp:inline distT="0" distB="0" distL="0" distR="0" wp14:anchorId="54B5D5B2" wp14:editId="5ED3F8F6">
            <wp:extent cx="5543550" cy="34671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558F3E" w14:textId="77777777" w:rsidR="00496594" w:rsidRPr="00E92338" w:rsidRDefault="0031129E" w:rsidP="00201F67">
      <w:pPr>
        <w:jc w:val="both"/>
        <w:rPr>
          <w:sz w:val="18"/>
        </w:rPr>
      </w:pPr>
      <w:r w:rsidRPr="00E92338">
        <w:rPr>
          <w:sz w:val="18"/>
        </w:rPr>
        <w:t xml:space="preserve">Fuente: Icefi con base en estadísticas </w:t>
      </w:r>
      <w:r w:rsidR="00E92338">
        <w:rPr>
          <w:sz w:val="18"/>
        </w:rPr>
        <w:t>del Ministerio de Finanzas Públicas</w:t>
      </w:r>
      <w:r w:rsidRPr="00E92338">
        <w:rPr>
          <w:sz w:val="18"/>
        </w:rPr>
        <w:t>.</w:t>
      </w:r>
    </w:p>
    <w:p w14:paraId="4665077A" w14:textId="77777777" w:rsidR="00CA5FAA" w:rsidRPr="00E92338" w:rsidRDefault="00496594" w:rsidP="00201F67">
      <w:pPr>
        <w:jc w:val="both"/>
      </w:pPr>
      <w:r w:rsidRPr="00E92338">
        <w:t>El gasto social, clasificado bajo la definición sustentada en los Acuerdo</w:t>
      </w:r>
      <w:r w:rsidR="000F5841">
        <w:t>s</w:t>
      </w:r>
      <w:r w:rsidRPr="00E92338">
        <w:t xml:space="preserve"> de Paz, después de haber mostrado una tendencia creciente, entre 2005 y 2010, cuando llegó a representar el 7.0% del PIB, ha sufrido reducciones considerables, llega</w:t>
      </w:r>
      <w:r w:rsidR="0031129E" w:rsidRPr="00E92338">
        <w:t>n</w:t>
      </w:r>
      <w:r w:rsidRPr="00E92338">
        <w:t>do a equivaler a penas al 6.4% del PIB en 2018. Entre 2010 y 2018, todos los rubros de gasto social</w:t>
      </w:r>
      <w:r w:rsidR="008D6AF9" w:rsidRPr="00E92338">
        <w:t xml:space="preserve"> han disminuido</w:t>
      </w:r>
      <w:r w:rsidRPr="00E92338">
        <w:t>, con excepción del Organismo Judicial y la Corte de Constitucional</w:t>
      </w:r>
      <w:r w:rsidR="00CF1F43" w:rsidRPr="00E92338">
        <w:t>idad</w:t>
      </w:r>
      <w:r w:rsidR="00CA5FAA" w:rsidRPr="00E92338">
        <w:t xml:space="preserve"> y </w:t>
      </w:r>
      <w:r w:rsidR="00CF1F43" w:rsidRPr="00E92338">
        <w:t>la</w:t>
      </w:r>
      <w:r w:rsidR="00CA5FAA" w:rsidRPr="00E92338">
        <w:t xml:space="preserve"> </w:t>
      </w:r>
      <w:r w:rsidR="00CF1F43" w:rsidRPr="00E92338">
        <w:t>S</w:t>
      </w:r>
      <w:r w:rsidR="00CA5FAA" w:rsidRPr="00E92338">
        <w:t xml:space="preserve">eguridad </w:t>
      </w:r>
      <w:r w:rsidR="00CF1F43" w:rsidRPr="00E92338">
        <w:t>I</w:t>
      </w:r>
      <w:r w:rsidR="00CA5FAA" w:rsidRPr="00E92338">
        <w:t>nterna</w:t>
      </w:r>
      <w:r w:rsidRPr="00E92338">
        <w:t xml:space="preserve">. </w:t>
      </w:r>
      <w:r w:rsidR="00CF1F43" w:rsidRPr="00E92338">
        <w:t>E</w:t>
      </w:r>
      <w:r w:rsidR="00CA5FAA" w:rsidRPr="00E92338">
        <w:t>l gasto público destinado a la Vivienda se redujo en un 85.7%; el relacionado con Salud Pública y Asistencia Social cayó en 24.7%, mientras el gasto en Educación disminuyó en 1.6%</w:t>
      </w:r>
      <w:r w:rsidR="004624B8" w:rsidRPr="00E92338">
        <w:t>.</w:t>
      </w:r>
      <w:r w:rsidR="00925D3D" w:rsidRPr="00E92338">
        <w:rPr>
          <w:rStyle w:val="FootnoteReference"/>
        </w:rPr>
        <w:footnoteReference w:id="3"/>
      </w:r>
    </w:p>
    <w:p w14:paraId="2CDCB7E0" w14:textId="77777777" w:rsidR="00925D3D" w:rsidRPr="00E92338" w:rsidRDefault="004624B8" w:rsidP="00201F67">
      <w:pPr>
        <w:jc w:val="both"/>
      </w:pPr>
      <w:r w:rsidRPr="00E92338">
        <w:t>El Instituto Centroamericano de Estudios Fiscales (Icefi), ha clasificado el presupuesto del gobierno central</w:t>
      </w:r>
      <w:r w:rsidR="00925D3D" w:rsidRPr="00E92338">
        <w:t xml:space="preserve"> y las entidades autónomas y descentralizadas</w:t>
      </w:r>
      <w:r w:rsidRPr="00E92338">
        <w:t xml:space="preserve"> según el Manual de estadísticas de las finanzas públicas </w:t>
      </w:r>
      <w:r w:rsidR="000E6FE7" w:rsidRPr="00E92338">
        <w:t xml:space="preserve">2014 </w:t>
      </w:r>
      <w:r w:rsidRPr="00E92338">
        <w:t>de</w:t>
      </w:r>
      <w:r w:rsidR="000E6FE7" w:rsidRPr="00E92338">
        <w:t>l Fondo Monetario Internacional</w:t>
      </w:r>
      <w:r w:rsidR="000E6FE7" w:rsidRPr="00E92338">
        <w:rPr>
          <w:rStyle w:val="FootnoteReference"/>
        </w:rPr>
        <w:footnoteReference w:id="4"/>
      </w:r>
      <w:r w:rsidRPr="00E92338">
        <w:t xml:space="preserve">, lo que permite </w:t>
      </w:r>
      <w:r w:rsidR="00864331" w:rsidRPr="00E92338">
        <w:t xml:space="preserve">integrar todas las asignaciones presupuestarias que ejecuta el Estado y que, según el estándar internacional, deben considerarse funciones sociales. Los resultados de esta integración presupuestaria permiten </w:t>
      </w:r>
      <w:r w:rsidRPr="00E92338">
        <w:t xml:space="preserve">advertir que el gasto público social ha </w:t>
      </w:r>
      <w:r w:rsidR="00925D3D" w:rsidRPr="00E92338">
        <w:t>transitado por una reducción, pasando de 9.3%</w:t>
      </w:r>
      <w:r w:rsidRPr="00E92338">
        <w:t xml:space="preserve"> </w:t>
      </w:r>
      <w:r w:rsidR="00925D3D" w:rsidRPr="00E92338">
        <w:t>del PIB, en 2010, a 8.18</w:t>
      </w:r>
      <w:r w:rsidRPr="00E92338">
        <w:t xml:space="preserve">% del PIB en 2018. </w:t>
      </w:r>
    </w:p>
    <w:p w14:paraId="2A86DD13" w14:textId="77777777" w:rsidR="003C22A9" w:rsidRPr="004F0DB2" w:rsidRDefault="003C22A9" w:rsidP="00201F67">
      <w:pPr>
        <w:jc w:val="both"/>
      </w:pPr>
      <w:r w:rsidRPr="004F0DB2">
        <w:t xml:space="preserve">Todas las funciones sociales han sufrido recortes </w:t>
      </w:r>
      <w:r w:rsidR="00E95D45" w:rsidRPr="004F0DB2">
        <w:t>e</w:t>
      </w:r>
      <w:r w:rsidRPr="004F0DB2">
        <w:t>ntre 2010 y 2018, con excepción de Protección del medio ambiente</w:t>
      </w:r>
      <w:r w:rsidR="00E95D45" w:rsidRPr="004F0DB2">
        <w:t xml:space="preserve"> que registra un aumento significativo de 62.5%. Las funciones que más han sido afectadas son Vivienda y servicios comunitarios, con un recorte de 65.8%; </w:t>
      </w:r>
      <w:r w:rsidR="00D858D9" w:rsidRPr="004F0DB2">
        <w:t xml:space="preserve">le sigue </w:t>
      </w:r>
      <w:r w:rsidR="00E95D45" w:rsidRPr="004F0DB2">
        <w:t xml:space="preserve">Protección social </w:t>
      </w:r>
      <w:r w:rsidR="00D858D9" w:rsidRPr="004F0DB2">
        <w:t>(</w:t>
      </w:r>
      <w:r w:rsidR="00E95D45" w:rsidRPr="004F0DB2">
        <w:t>22.2%); Actividades recreativas,</w:t>
      </w:r>
      <w:r w:rsidR="00D858D9" w:rsidRPr="004F0DB2">
        <w:t xml:space="preserve"> cultura y religión (3</w:t>
      </w:r>
      <w:r w:rsidR="00E95D45" w:rsidRPr="004F0DB2">
        <w:t>.5%)</w:t>
      </w:r>
      <w:r w:rsidR="00D858D9" w:rsidRPr="004F0DB2">
        <w:t>,</w:t>
      </w:r>
      <w:r w:rsidR="00E95D45" w:rsidRPr="004F0DB2">
        <w:t xml:space="preserve"> Salud (1.5%) y Educación (0.9%).</w:t>
      </w:r>
    </w:p>
    <w:p w14:paraId="12DBED6F" w14:textId="77777777" w:rsidR="00D96C6A" w:rsidRPr="004F0DB2" w:rsidRDefault="00D96C6A" w:rsidP="00EC3FE2">
      <w:pPr>
        <w:spacing w:after="0" w:line="240" w:lineRule="auto"/>
        <w:jc w:val="both"/>
      </w:pPr>
    </w:p>
    <w:p w14:paraId="1A307266" w14:textId="77777777" w:rsidR="00EC3FE2" w:rsidRPr="004F0DB2" w:rsidRDefault="00EC3FE2" w:rsidP="00D96C6A">
      <w:pPr>
        <w:spacing w:after="0" w:line="240" w:lineRule="auto"/>
        <w:jc w:val="center"/>
      </w:pPr>
      <w:r w:rsidRPr="004F0DB2">
        <w:t>Cuadro</w:t>
      </w:r>
    </w:p>
    <w:p w14:paraId="4FA179F0" w14:textId="77777777" w:rsidR="00EC3FE2" w:rsidRPr="00EC3FE2" w:rsidRDefault="00EC3FE2" w:rsidP="00877DA5">
      <w:pPr>
        <w:spacing w:after="0" w:line="240" w:lineRule="auto"/>
        <w:jc w:val="center"/>
        <w:rPr>
          <w:sz w:val="24"/>
        </w:rPr>
      </w:pPr>
      <w:r w:rsidRPr="004F0DB2">
        <w:t xml:space="preserve">Gasto público social </w:t>
      </w:r>
      <w:r w:rsidR="003C22A9" w:rsidRPr="004F0DB2">
        <w:t xml:space="preserve">devengado </w:t>
      </w:r>
      <w:r w:rsidRPr="004F0DB2">
        <w:t>del gobierno central y entidades autónomas y descentralizadas, en quetzales y como porcentaje del PIB</w:t>
      </w:r>
    </w:p>
    <w:tbl>
      <w:tblPr>
        <w:tblW w:w="5000" w:type="pct"/>
        <w:tblCellMar>
          <w:left w:w="70" w:type="dxa"/>
          <w:right w:w="70" w:type="dxa"/>
        </w:tblCellMar>
        <w:tblLook w:val="04A0" w:firstRow="1" w:lastRow="0" w:firstColumn="1" w:lastColumn="0" w:noHBand="0" w:noVBand="1"/>
      </w:tblPr>
      <w:tblGrid>
        <w:gridCol w:w="1648"/>
        <w:gridCol w:w="798"/>
        <w:gridCol w:w="798"/>
        <w:gridCol w:w="798"/>
        <w:gridCol w:w="798"/>
        <w:gridCol w:w="798"/>
        <w:gridCol w:w="798"/>
        <w:gridCol w:w="798"/>
        <w:gridCol w:w="797"/>
        <w:gridCol w:w="797"/>
      </w:tblGrid>
      <w:tr w:rsidR="00EC3FE2" w:rsidRPr="00EC3FE2" w14:paraId="34BBA0C6" w14:textId="77777777" w:rsidTr="00701B18">
        <w:trPr>
          <w:trHeight w:val="300"/>
        </w:trPr>
        <w:tc>
          <w:tcPr>
            <w:tcW w:w="986" w:type="pct"/>
            <w:vMerge w:val="restart"/>
            <w:tcBorders>
              <w:top w:val="single" w:sz="4" w:space="0" w:color="auto"/>
              <w:left w:val="single" w:sz="4" w:space="0" w:color="auto"/>
              <w:bottom w:val="single" w:sz="4" w:space="0" w:color="auto"/>
              <w:right w:val="single" w:sz="4" w:space="0" w:color="auto"/>
            </w:tcBorders>
            <w:shd w:val="clear" w:color="000000" w:fill="C00000"/>
            <w:vAlign w:val="center"/>
            <w:hideMark/>
          </w:tcPr>
          <w:p w14:paraId="00CFBF96" w14:textId="77777777" w:rsidR="00EC3FE2" w:rsidRPr="00EC3FE2" w:rsidRDefault="00EC3FE2" w:rsidP="00EC3FE2">
            <w:pPr>
              <w:spacing w:after="0" w:line="240" w:lineRule="auto"/>
              <w:jc w:val="center"/>
              <w:rPr>
                <w:rFonts w:eastAsia="Times New Roman" w:cs="Times New Roman"/>
                <w:b/>
                <w:bCs/>
                <w:color w:val="FFFFFF"/>
                <w:sz w:val="16"/>
                <w:lang w:eastAsia="es-GT"/>
              </w:rPr>
            </w:pPr>
            <w:r w:rsidRPr="00EC3FE2">
              <w:rPr>
                <w:rFonts w:eastAsia="Times New Roman" w:cs="Times New Roman"/>
                <w:b/>
                <w:bCs/>
                <w:color w:val="FFFFFF"/>
                <w:sz w:val="16"/>
                <w:lang w:eastAsia="es-GT"/>
              </w:rPr>
              <w:t>Función social</w:t>
            </w:r>
          </w:p>
        </w:tc>
        <w:tc>
          <w:tcPr>
            <w:tcW w:w="4014" w:type="pct"/>
            <w:gridSpan w:val="9"/>
            <w:tcBorders>
              <w:top w:val="single" w:sz="4" w:space="0" w:color="auto"/>
              <w:left w:val="nil"/>
              <w:bottom w:val="single" w:sz="4" w:space="0" w:color="auto"/>
              <w:right w:val="single" w:sz="4" w:space="0" w:color="auto"/>
            </w:tcBorders>
            <w:shd w:val="clear" w:color="000000" w:fill="C00000"/>
            <w:noWrap/>
            <w:vAlign w:val="center"/>
            <w:hideMark/>
          </w:tcPr>
          <w:p w14:paraId="3CF59756"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Año</w:t>
            </w:r>
          </w:p>
        </w:tc>
      </w:tr>
      <w:tr w:rsidR="00EC3FE2" w:rsidRPr="00EC3FE2" w14:paraId="70101820" w14:textId="77777777" w:rsidTr="00701B18">
        <w:trPr>
          <w:trHeight w:val="300"/>
        </w:trPr>
        <w:tc>
          <w:tcPr>
            <w:tcW w:w="986" w:type="pct"/>
            <w:vMerge/>
            <w:tcBorders>
              <w:top w:val="single" w:sz="4" w:space="0" w:color="auto"/>
              <w:left w:val="single" w:sz="4" w:space="0" w:color="auto"/>
              <w:bottom w:val="single" w:sz="4" w:space="0" w:color="auto"/>
              <w:right w:val="single" w:sz="4" w:space="0" w:color="auto"/>
            </w:tcBorders>
            <w:vAlign w:val="center"/>
            <w:hideMark/>
          </w:tcPr>
          <w:p w14:paraId="1D13ABC4" w14:textId="77777777" w:rsidR="00EC3FE2" w:rsidRPr="00EC3FE2" w:rsidRDefault="00EC3FE2" w:rsidP="00EC3FE2">
            <w:pPr>
              <w:spacing w:after="0" w:line="240" w:lineRule="auto"/>
              <w:rPr>
                <w:rFonts w:eastAsia="Times New Roman" w:cs="Times New Roman"/>
                <w:b/>
                <w:bCs/>
                <w:color w:val="FFFFFF"/>
                <w:sz w:val="16"/>
                <w:lang w:eastAsia="es-GT"/>
              </w:rPr>
            </w:pPr>
          </w:p>
        </w:tc>
        <w:tc>
          <w:tcPr>
            <w:tcW w:w="446" w:type="pct"/>
            <w:tcBorders>
              <w:top w:val="nil"/>
              <w:left w:val="nil"/>
              <w:bottom w:val="single" w:sz="4" w:space="0" w:color="auto"/>
              <w:right w:val="single" w:sz="4" w:space="0" w:color="auto"/>
            </w:tcBorders>
            <w:shd w:val="clear" w:color="D9D9D9" w:fill="C00000"/>
            <w:noWrap/>
            <w:vAlign w:val="center"/>
            <w:hideMark/>
          </w:tcPr>
          <w:p w14:paraId="16B13DE5"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2010</w:t>
            </w:r>
          </w:p>
        </w:tc>
        <w:tc>
          <w:tcPr>
            <w:tcW w:w="446" w:type="pct"/>
            <w:tcBorders>
              <w:top w:val="nil"/>
              <w:left w:val="nil"/>
              <w:bottom w:val="single" w:sz="4" w:space="0" w:color="auto"/>
              <w:right w:val="single" w:sz="4" w:space="0" w:color="auto"/>
            </w:tcBorders>
            <w:shd w:val="clear" w:color="D9D9D9" w:fill="C00000"/>
            <w:noWrap/>
            <w:vAlign w:val="center"/>
            <w:hideMark/>
          </w:tcPr>
          <w:p w14:paraId="28A03CCE"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2011</w:t>
            </w:r>
          </w:p>
        </w:tc>
        <w:tc>
          <w:tcPr>
            <w:tcW w:w="446" w:type="pct"/>
            <w:tcBorders>
              <w:top w:val="nil"/>
              <w:left w:val="nil"/>
              <w:bottom w:val="single" w:sz="4" w:space="0" w:color="auto"/>
              <w:right w:val="single" w:sz="4" w:space="0" w:color="auto"/>
            </w:tcBorders>
            <w:shd w:val="clear" w:color="D9D9D9" w:fill="C00000"/>
            <w:noWrap/>
            <w:vAlign w:val="center"/>
            <w:hideMark/>
          </w:tcPr>
          <w:p w14:paraId="264970AC"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2012</w:t>
            </w:r>
          </w:p>
        </w:tc>
        <w:tc>
          <w:tcPr>
            <w:tcW w:w="446" w:type="pct"/>
            <w:tcBorders>
              <w:top w:val="nil"/>
              <w:left w:val="nil"/>
              <w:bottom w:val="single" w:sz="4" w:space="0" w:color="auto"/>
              <w:right w:val="single" w:sz="4" w:space="0" w:color="auto"/>
            </w:tcBorders>
            <w:shd w:val="clear" w:color="D9D9D9" w:fill="C00000"/>
            <w:noWrap/>
            <w:vAlign w:val="center"/>
            <w:hideMark/>
          </w:tcPr>
          <w:p w14:paraId="6A74350C"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2013</w:t>
            </w:r>
          </w:p>
        </w:tc>
        <w:tc>
          <w:tcPr>
            <w:tcW w:w="446" w:type="pct"/>
            <w:tcBorders>
              <w:top w:val="nil"/>
              <w:left w:val="nil"/>
              <w:bottom w:val="single" w:sz="4" w:space="0" w:color="auto"/>
              <w:right w:val="single" w:sz="4" w:space="0" w:color="auto"/>
            </w:tcBorders>
            <w:shd w:val="clear" w:color="D9D9D9" w:fill="C00000"/>
            <w:noWrap/>
            <w:vAlign w:val="center"/>
            <w:hideMark/>
          </w:tcPr>
          <w:p w14:paraId="072400E7"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2014</w:t>
            </w:r>
          </w:p>
        </w:tc>
        <w:tc>
          <w:tcPr>
            <w:tcW w:w="446" w:type="pct"/>
            <w:tcBorders>
              <w:top w:val="nil"/>
              <w:left w:val="nil"/>
              <w:bottom w:val="single" w:sz="4" w:space="0" w:color="auto"/>
              <w:right w:val="single" w:sz="4" w:space="0" w:color="auto"/>
            </w:tcBorders>
            <w:shd w:val="clear" w:color="D9D9D9" w:fill="C00000"/>
            <w:noWrap/>
            <w:vAlign w:val="center"/>
            <w:hideMark/>
          </w:tcPr>
          <w:p w14:paraId="0B4354D8"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2015</w:t>
            </w:r>
          </w:p>
        </w:tc>
        <w:tc>
          <w:tcPr>
            <w:tcW w:w="446" w:type="pct"/>
            <w:tcBorders>
              <w:top w:val="nil"/>
              <w:left w:val="nil"/>
              <w:bottom w:val="single" w:sz="4" w:space="0" w:color="auto"/>
              <w:right w:val="single" w:sz="4" w:space="0" w:color="auto"/>
            </w:tcBorders>
            <w:shd w:val="clear" w:color="D9D9D9" w:fill="C00000"/>
            <w:noWrap/>
            <w:vAlign w:val="center"/>
            <w:hideMark/>
          </w:tcPr>
          <w:p w14:paraId="311A9B6A"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2016</w:t>
            </w:r>
          </w:p>
        </w:tc>
        <w:tc>
          <w:tcPr>
            <w:tcW w:w="446" w:type="pct"/>
            <w:tcBorders>
              <w:top w:val="nil"/>
              <w:left w:val="nil"/>
              <w:bottom w:val="single" w:sz="4" w:space="0" w:color="auto"/>
              <w:right w:val="single" w:sz="4" w:space="0" w:color="auto"/>
            </w:tcBorders>
            <w:shd w:val="clear" w:color="D9D9D9" w:fill="C00000"/>
            <w:noWrap/>
            <w:vAlign w:val="center"/>
            <w:hideMark/>
          </w:tcPr>
          <w:p w14:paraId="64C90D25"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2017</w:t>
            </w:r>
          </w:p>
        </w:tc>
        <w:tc>
          <w:tcPr>
            <w:tcW w:w="449" w:type="pct"/>
            <w:tcBorders>
              <w:top w:val="nil"/>
              <w:left w:val="nil"/>
              <w:bottom w:val="single" w:sz="4" w:space="0" w:color="auto"/>
              <w:right w:val="single" w:sz="4" w:space="0" w:color="auto"/>
            </w:tcBorders>
            <w:shd w:val="clear" w:color="D9D9D9" w:fill="C00000"/>
            <w:noWrap/>
            <w:vAlign w:val="center"/>
            <w:hideMark/>
          </w:tcPr>
          <w:p w14:paraId="100A23E7" w14:textId="77777777" w:rsidR="00EC3FE2" w:rsidRPr="00EC3FE2" w:rsidRDefault="00EC3FE2" w:rsidP="00EC3FE2">
            <w:pPr>
              <w:spacing w:after="0" w:line="240" w:lineRule="auto"/>
              <w:jc w:val="center"/>
              <w:rPr>
                <w:rFonts w:eastAsia="Times New Roman" w:cs="Times New Roman"/>
                <w:b/>
                <w:bCs/>
                <w:color w:val="FFFFFF"/>
                <w:sz w:val="16"/>
                <w:szCs w:val="18"/>
                <w:lang w:eastAsia="es-GT"/>
              </w:rPr>
            </w:pPr>
            <w:r w:rsidRPr="00EC3FE2">
              <w:rPr>
                <w:rFonts w:eastAsia="Times New Roman" w:cs="Times New Roman"/>
                <w:b/>
                <w:bCs/>
                <w:color w:val="FFFFFF"/>
                <w:sz w:val="16"/>
                <w:szCs w:val="18"/>
                <w:lang w:eastAsia="es-GT"/>
              </w:rPr>
              <w:t>2018</w:t>
            </w:r>
          </w:p>
        </w:tc>
      </w:tr>
      <w:tr w:rsidR="00EC3FE2" w:rsidRPr="00EC3FE2" w14:paraId="5ABB9236" w14:textId="77777777" w:rsidTr="00EC3FE2">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47A8135" w14:textId="77777777" w:rsidR="00EC3FE2" w:rsidRPr="00EC3FE2" w:rsidRDefault="00EC3FE2" w:rsidP="00EC3FE2">
            <w:pPr>
              <w:spacing w:after="0" w:line="240" w:lineRule="auto"/>
              <w:jc w:val="center"/>
              <w:rPr>
                <w:rFonts w:eastAsia="Times New Roman" w:cs="Times New Roman"/>
                <w:b/>
                <w:bCs/>
                <w:color w:val="000000"/>
                <w:sz w:val="16"/>
                <w:lang w:eastAsia="es-GT"/>
              </w:rPr>
            </w:pPr>
            <w:r w:rsidRPr="00EC3FE2">
              <w:rPr>
                <w:rFonts w:eastAsia="Times New Roman" w:cs="Times New Roman"/>
                <w:b/>
                <w:bCs/>
                <w:color w:val="000000"/>
                <w:sz w:val="18"/>
                <w:lang w:eastAsia="es-GT"/>
              </w:rPr>
              <w:t>Gasto social del gobierno central y entidades autónomas y descentralizadas, en millones de quetzales de cada año</w:t>
            </w:r>
          </w:p>
        </w:tc>
      </w:tr>
      <w:tr w:rsidR="00EC3FE2" w:rsidRPr="00EC3FE2" w14:paraId="4782D724" w14:textId="77777777" w:rsidTr="00701B18">
        <w:trPr>
          <w:trHeight w:val="44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68E51827"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Protección del medio ambiente</w:t>
            </w:r>
          </w:p>
        </w:tc>
        <w:tc>
          <w:tcPr>
            <w:tcW w:w="446" w:type="pct"/>
            <w:tcBorders>
              <w:top w:val="nil"/>
              <w:left w:val="nil"/>
              <w:bottom w:val="single" w:sz="4" w:space="0" w:color="auto"/>
              <w:right w:val="single" w:sz="4" w:space="0" w:color="auto"/>
            </w:tcBorders>
            <w:shd w:val="clear" w:color="auto" w:fill="auto"/>
            <w:noWrap/>
            <w:vAlign w:val="bottom"/>
            <w:hideMark/>
          </w:tcPr>
          <w:p w14:paraId="37DC77A5"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261.9</w:t>
            </w:r>
          </w:p>
        </w:tc>
        <w:tc>
          <w:tcPr>
            <w:tcW w:w="446" w:type="pct"/>
            <w:tcBorders>
              <w:top w:val="nil"/>
              <w:left w:val="nil"/>
              <w:bottom w:val="single" w:sz="4" w:space="0" w:color="auto"/>
              <w:right w:val="single" w:sz="4" w:space="0" w:color="auto"/>
            </w:tcBorders>
            <w:shd w:val="clear" w:color="auto" w:fill="auto"/>
            <w:noWrap/>
            <w:vAlign w:val="bottom"/>
            <w:hideMark/>
          </w:tcPr>
          <w:p w14:paraId="1FE6C8DD"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550.4</w:t>
            </w:r>
          </w:p>
        </w:tc>
        <w:tc>
          <w:tcPr>
            <w:tcW w:w="446" w:type="pct"/>
            <w:tcBorders>
              <w:top w:val="nil"/>
              <w:left w:val="nil"/>
              <w:bottom w:val="single" w:sz="4" w:space="0" w:color="auto"/>
              <w:right w:val="single" w:sz="4" w:space="0" w:color="auto"/>
            </w:tcBorders>
            <w:shd w:val="clear" w:color="auto" w:fill="auto"/>
            <w:noWrap/>
            <w:vAlign w:val="bottom"/>
            <w:hideMark/>
          </w:tcPr>
          <w:p w14:paraId="73B48A8B"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429.8</w:t>
            </w:r>
          </w:p>
        </w:tc>
        <w:tc>
          <w:tcPr>
            <w:tcW w:w="446" w:type="pct"/>
            <w:tcBorders>
              <w:top w:val="nil"/>
              <w:left w:val="nil"/>
              <w:bottom w:val="single" w:sz="4" w:space="0" w:color="auto"/>
              <w:right w:val="single" w:sz="4" w:space="0" w:color="auto"/>
            </w:tcBorders>
            <w:shd w:val="clear" w:color="auto" w:fill="auto"/>
            <w:noWrap/>
            <w:vAlign w:val="bottom"/>
            <w:hideMark/>
          </w:tcPr>
          <w:p w14:paraId="7033E28A"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355.7</w:t>
            </w:r>
          </w:p>
        </w:tc>
        <w:tc>
          <w:tcPr>
            <w:tcW w:w="446" w:type="pct"/>
            <w:tcBorders>
              <w:top w:val="nil"/>
              <w:left w:val="nil"/>
              <w:bottom w:val="single" w:sz="4" w:space="0" w:color="auto"/>
              <w:right w:val="single" w:sz="4" w:space="0" w:color="auto"/>
            </w:tcBorders>
            <w:shd w:val="clear" w:color="auto" w:fill="auto"/>
            <w:noWrap/>
            <w:vAlign w:val="bottom"/>
            <w:hideMark/>
          </w:tcPr>
          <w:p w14:paraId="1186C5A4"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446.5</w:t>
            </w:r>
          </w:p>
        </w:tc>
        <w:tc>
          <w:tcPr>
            <w:tcW w:w="446" w:type="pct"/>
            <w:tcBorders>
              <w:top w:val="nil"/>
              <w:left w:val="nil"/>
              <w:bottom w:val="single" w:sz="4" w:space="0" w:color="auto"/>
              <w:right w:val="single" w:sz="4" w:space="0" w:color="auto"/>
            </w:tcBorders>
            <w:shd w:val="clear" w:color="auto" w:fill="auto"/>
            <w:noWrap/>
            <w:vAlign w:val="bottom"/>
            <w:hideMark/>
          </w:tcPr>
          <w:p w14:paraId="7A58E1A4"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337.6</w:t>
            </w:r>
          </w:p>
        </w:tc>
        <w:tc>
          <w:tcPr>
            <w:tcW w:w="446" w:type="pct"/>
            <w:tcBorders>
              <w:top w:val="nil"/>
              <w:left w:val="nil"/>
              <w:bottom w:val="single" w:sz="4" w:space="0" w:color="auto"/>
              <w:right w:val="single" w:sz="4" w:space="0" w:color="auto"/>
            </w:tcBorders>
            <w:shd w:val="clear" w:color="auto" w:fill="auto"/>
            <w:noWrap/>
            <w:vAlign w:val="bottom"/>
            <w:hideMark/>
          </w:tcPr>
          <w:p w14:paraId="3ED55234"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419.3</w:t>
            </w:r>
          </w:p>
        </w:tc>
        <w:tc>
          <w:tcPr>
            <w:tcW w:w="446" w:type="pct"/>
            <w:tcBorders>
              <w:top w:val="nil"/>
              <w:left w:val="nil"/>
              <w:bottom w:val="single" w:sz="4" w:space="0" w:color="auto"/>
              <w:right w:val="single" w:sz="4" w:space="0" w:color="auto"/>
            </w:tcBorders>
            <w:shd w:val="clear" w:color="auto" w:fill="auto"/>
            <w:noWrap/>
            <w:vAlign w:val="bottom"/>
            <w:hideMark/>
          </w:tcPr>
          <w:p w14:paraId="18BF7806"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622.1</w:t>
            </w:r>
          </w:p>
        </w:tc>
        <w:tc>
          <w:tcPr>
            <w:tcW w:w="449" w:type="pct"/>
            <w:tcBorders>
              <w:top w:val="nil"/>
              <w:left w:val="nil"/>
              <w:bottom w:val="single" w:sz="4" w:space="0" w:color="auto"/>
              <w:right w:val="single" w:sz="4" w:space="0" w:color="auto"/>
            </w:tcBorders>
            <w:shd w:val="clear" w:color="auto" w:fill="auto"/>
            <w:noWrap/>
            <w:vAlign w:val="bottom"/>
            <w:hideMark/>
          </w:tcPr>
          <w:p w14:paraId="046C3D93"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754.0</w:t>
            </w:r>
          </w:p>
        </w:tc>
      </w:tr>
      <w:tr w:rsidR="00EC3FE2" w:rsidRPr="00EC3FE2" w14:paraId="27BF3F2C" w14:textId="77777777" w:rsidTr="00701B18">
        <w:trPr>
          <w:trHeight w:val="404"/>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01845666"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Vivienda y servicios comunitarios</w:t>
            </w:r>
          </w:p>
        </w:tc>
        <w:tc>
          <w:tcPr>
            <w:tcW w:w="446" w:type="pct"/>
            <w:tcBorders>
              <w:top w:val="nil"/>
              <w:left w:val="nil"/>
              <w:bottom w:val="single" w:sz="4" w:space="0" w:color="auto"/>
              <w:right w:val="single" w:sz="4" w:space="0" w:color="auto"/>
            </w:tcBorders>
            <w:shd w:val="clear" w:color="auto" w:fill="auto"/>
            <w:noWrap/>
            <w:vAlign w:val="bottom"/>
            <w:hideMark/>
          </w:tcPr>
          <w:p w14:paraId="4CF3441F"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2,094.8</w:t>
            </w:r>
          </w:p>
        </w:tc>
        <w:tc>
          <w:tcPr>
            <w:tcW w:w="446" w:type="pct"/>
            <w:tcBorders>
              <w:top w:val="nil"/>
              <w:left w:val="nil"/>
              <w:bottom w:val="single" w:sz="4" w:space="0" w:color="auto"/>
              <w:right w:val="single" w:sz="4" w:space="0" w:color="auto"/>
            </w:tcBorders>
            <w:shd w:val="clear" w:color="auto" w:fill="auto"/>
            <w:noWrap/>
            <w:vAlign w:val="bottom"/>
            <w:hideMark/>
          </w:tcPr>
          <w:p w14:paraId="2B893487"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1,667.3</w:t>
            </w:r>
          </w:p>
        </w:tc>
        <w:tc>
          <w:tcPr>
            <w:tcW w:w="446" w:type="pct"/>
            <w:tcBorders>
              <w:top w:val="nil"/>
              <w:left w:val="nil"/>
              <w:bottom w:val="single" w:sz="4" w:space="0" w:color="auto"/>
              <w:right w:val="single" w:sz="4" w:space="0" w:color="auto"/>
            </w:tcBorders>
            <w:shd w:val="clear" w:color="auto" w:fill="auto"/>
            <w:noWrap/>
            <w:vAlign w:val="bottom"/>
            <w:hideMark/>
          </w:tcPr>
          <w:p w14:paraId="49B0E720"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1,622.7</w:t>
            </w:r>
          </w:p>
        </w:tc>
        <w:tc>
          <w:tcPr>
            <w:tcW w:w="446" w:type="pct"/>
            <w:tcBorders>
              <w:top w:val="nil"/>
              <w:left w:val="nil"/>
              <w:bottom w:val="single" w:sz="4" w:space="0" w:color="auto"/>
              <w:right w:val="single" w:sz="4" w:space="0" w:color="auto"/>
            </w:tcBorders>
            <w:shd w:val="clear" w:color="auto" w:fill="auto"/>
            <w:noWrap/>
            <w:vAlign w:val="bottom"/>
            <w:hideMark/>
          </w:tcPr>
          <w:p w14:paraId="229F866D"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1,628.4</w:t>
            </w:r>
          </w:p>
        </w:tc>
        <w:tc>
          <w:tcPr>
            <w:tcW w:w="446" w:type="pct"/>
            <w:tcBorders>
              <w:top w:val="nil"/>
              <w:left w:val="nil"/>
              <w:bottom w:val="single" w:sz="4" w:space="0" w:color="auto"/>
              <w:right w:val="single" w:sz="4" w:space="0" w:color="auto"/>
            </w:tcBorders>
            <w:shd w:val="clear" w:color="auto" w:fill="auto"/>
            <w:noWrap/>
            <w:vAlign w:val="bottom"/>
            <w:hideMark/>
          </w:tcPr>
          <w:p w14:paraId="5CF4C83B"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1,261.9</w:t>
            </w:r>
          </w:p>
        </w:tc>
        <w:tc>
          <w:tcPr>
            <w:tcW w:w="446" w:type="pct"/>
            <w:tcBorders>
              <w:top w:val="nil"/>
              <w:left w:val="nil"/>
              <w:bottom w:val="single" w:sz="4" w:space="0" w:color="auto"/>
              <w:right w:val="single" w:sz="4" w:space="0" w:color="auto"/>
            </w:tcBorders>
            <w:shd w:val="clear" w:color="auto" w:fill="auto"/>
            <w:noWrap/>
            <w:vAlign w:val="bottom"/>
            <w:hideMark/>
          </w:tcPr>
          <w:p w14:paraId="35B267F6"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597.9</w:t>
            </w:r>
          </w:p>
        </w:tc>
        <w:tc>
          <w:tcPr>
            <w:tcW w:w="446" w:type="pct"/>
            <w:tcBorders>
              <w:top w:val="nil"/>
              <w:left w:val="nil"/>
              <w:bottom w:val="single" w:sz="4" w:space="0" w:color="auto"/>
              <w:right w:val="single" w:sz="4" w:space="0" w:color="auto"/>
            </w:tcBorders>
            <w:shd w:val="clear" w:color="auto" w:fill="auto"/>
            <w:noWrap/>
            <w:vAlign w:val="bottom"/>
            <w:hideMark/>
          </w:tcPr>
          <w:p w14:paraId="184B0AC2"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682.0</w:t>
            </w:r>
          </w:p>
        </w:tc>
        <w:tc>
          <w:tcPr>
            <w:tcW w:w="446" w:type="pct"/>
            <w:tcBorders>
              <w:top w:val="nil"/>
              <w:left w:val="nil"/>
              <w:bottom w:val="single" w:sz="4" w:space="0" w:color="auto"/>
              <w:right w:val="single" w:sz="4" w:space="0" w:color="auto"/>
            </w:tcBorders>
            <w:shd w:val="clear" w:color="auto" w:fill="auto"/>
            <w:noWrap/>
            <w:vAlign w:val="bottom"/>
            <w:hideMark/>
          </w:tcPr>
          <w:p w14:paraId="11E86568"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992.9</w:t>
            </w:r>
          </w:p>
        </w:tc>
        <w:tc>
          <w:tcPr>
            <w:tcW w:w="449" w:type="pct"/>
            <w:tcBorders>
              <w:top w:val="nil"/>
              <w:left w:val="nil"/>
              <w:bottom w:val="single" w:sz="4" w:space="0" w:color="auto"/>
              <w:right w:val="single" w:sz="4" w:space="0" w:color="auto"/>
            </w:tcBorders>
            <w:shd w:val="clear" w:color="auto" w:fill="auto"/>
            <w:noWrap/>
            <w:vAlign w:val="bottom"/>
            <w:hideMark/>
          </w:tcPr>
          <w:p w14:paraId="1B8711B6"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1,267.8</w:t>
            </w:r>
          </w:p>
        </w:tc>
      </w:tr>
      <w:tr w:rsidR="00EC3FE2" w:rsidRPr="00EC3FE2" w14:paraId="757E4554" w14:textId="77777777" w:rsidTr="00701B18">
        <w:trPr>
          <w:trHeight w:val="30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6EE73C78"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Salud</w:t>
            </w:r>
          </w:p>
        </w:tc>
        <w:tc>
          <w:tcPr>
            <w:tcW w:w="446" w:type="pct"/>
            <w:tcBorders>
              <w:top w:val="nil"/>
              <w:left w:val="nil"/>
              <w:bottom w:val="single" w:sz="4" w:space="0" w:color="auto"/>
              <w:right w:val="single" w:sz="4" w:space="0" w:color="auto"/>
            </w:tcBorders>
            <w:shd w:val="clear" w:color="auto" w:fill="auto"/>
            <w:noWrap/>
            <w:vAlign w:val="bottom"/>
            <w:hideMark/>
          </w:tcPr>
          <w:p w14:paraId="3807BE5B"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6,799.8</w:t>
            </w:r>
          </w:p>
        </w:tc>
        <w:tc>
          <w:tcPr>
            <w:tcW w:w="446" w:type="pct"/>
            <w:tcBorders>
              <w:top w:val="nil"/>
              <w:left w:val="nil"/>
              <w:bottom w:val="single" w:sz="4" w:space="0" w:color="auto"/>
              <w:right w:val="single" w:sz="4" w:space="0" w:color="auto"/>
            </w:tcBorders>
            <w:shd w:val="clear" w:color="auto" w:fill="auto"/>
            <w:noWrap/>
            <w:vAlign w:val="bottom"/>
            <w:hideMark/>
          </w:tcPr>
          <w:p w14:paraId="1C1E7F27"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7,478.7</w:t>
            </w:r>
          </w:p>
        </w:tc>
        <w:tc>
          <w:tcPr>
            <w:tcW w:w="446" w:type="pct"/>
            <w:tcBorders>
              <w:top w:val="nil"/>
              <w:left w:val="nil"/>
              <w:bottom w:val="single" w:sz="4" w:space="0" w:color="auto"/>
              <w:right w:val="single" w:sz="4" w:space="0" w:color="auto"/>
            </w:tcBorders>
            <w:shd w:val="clear" w:color="auto" w:fill="auto"/>
            <w:noWrap/>
            <w:vAlign w:val="bottom"/>
            <w:hideMark/>
          </w:tcPr>
          <w:p w14:paraId="5900C9B1"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8,191.2</w:t>
            </w:r>
          </w:p>
        </w:tc>
        <w:tc>
          <w:tcPr>
            <w:tcW w:w="446" w:type="pct"/>
            <w:tcBorders>
              <w:top w:val="nil"/>
              <w:left w:val="nil"/>
              <w:bottom w:val="single" w:sz="4" w:space="0" w:color="auto"/>
              <w:right w:val="single" w:sz="4" w:space="0" w:color="auto"/>
            </w:tcBorders>
            <w:shd w:val="clear" w:color="auto" w:fill="auto"/>
            <w:noWrap/>
            <w:vAlign w:val="bottom"/>
            <w:hideMark/>
          </w:tcPr>
          <w:p w14:paraId="0E4672EE"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9,432.1</w:t>
            </w:r>
          </w:p>
        </w:tc>
        <w:tc>
          <w:tcPr>
            <w:tcW w:w="446" w:type="pct"/>
            <w:tcBorders>
              <w:top w:val="nil"/>
              <w:left w:val="nil"/>
              <w:bottom w:val="single" w:sz="4" w:space="0" w:color="auto"/>
              <w:right w:val="single" w:sz="4" w:space="0" w:color="auto"/>
            </w:tcBorders>
            <w:shd w:val="clear" w:color="auto" w:fill="auto"/>
            <w:noWrap/>
            <w:vAlign w:val="bottom"/>
            <w:hideMark/>
          </w:tcPr>
          <w:p w14:paraId="3FB3CFF4"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10,346.2</w:t>
            </w:r>
          </w:p>
        </w:tc>
        <w:tc>
          <w:tcPr>
            <w:tcW w:w="446" w:type="pct"/>
            <w:tcBorders>
              <w:top w:val="nil"/>
              <w:left w:val="nil"/>
              <w:bottom w:val="single" w:sz="4" w:space="0" w:color="auto"/>
              <w:right w:val="single" w:sz="4" w:space="0" w:color="auto"/>
            </w:tcBorders>
            <w:shd w:val="clear" w:color="auto" w:fill="auto"/>
            <w:noWrap/>
            <w:vAlign w:val="bottom"/>
            <w:hideMark/>
          </w:tcPr>
          <w:p w14:paraId="703DA605"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10,854.8</w:t>
            </w:r>
          </w:p>
        </w:tc>
        <w:tc>
          <w:tcPr>
            <w:tcW w:w="446" w:type="pct"/>
            <w:tcBorders>
              <w:top w:val="nil"/>
              <w:left w:val="nil"/>
              <w:bottom w:val="single" w:sz="4" w:space="0" w:color="auto"/>
              <w:right w:val="single" w:sz="4" w:space="0" w:color="auto"/>
            </w:tcBorders>
            <w:shd w:val="clear" w:color="auto" w:fill="auto"/>
            <w:noWrap/>
            <w:vAlign w:val="bottom"/>
            <w:hideMark/>
          </w:tcPr>
          <w:p w14:paraId="0816FA9E"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11,258.2</w:t>
            </w:r>
          </w:p>
        </w:tc>
        <w:tc>
          <w:tcPr>
            <w:tcW w:w="446" w:type="pct"/>
            <w:tcBorders>
              <w:top w:val="nil"/>
              <w:left w:val="nil"/>
              <w:bottom w:val="single" w:sz="4" w:space="0" w:color="auto"/>
              <w:right w:val="single" w:sz="4" w:space="0" w:color="auto"/>
            </w:tcBorders>
            <w:shd w:val="clear" w:color="auto" w:fill="auto"/>
            <w:noWrap/>
            <w:vAlign w:val="bottom"/>
            <w:hideMark/>
          </w:tcPr>
          <w:p w14:paraId="749928FB"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11,367.4</w:t>
            </w:r>
          </w:p>
        </w:tc>
        <w:tc>
          <w:tcPr>
            <w:tcW w:w="449" w:type="pct"/>
            <w:tcBorders>
              <w:top w:val="nil"/>
              <w:left w:val="nil"/>
              <w:bottom w:val="single" w:sz="4" w:space="0" w:color="auto"/>
              <w:right w:val="single" w:sz="4" w:space="0" w:color="auto"/>
            </w:tcBorders>
            <w:shd w:val="clear" w:color="auto" w:fill="auto"/>
            <w:noWrap/>
            <w:vAlign w:val="bottom"/>
            <w:hideMark/>
          </w:tcPr>
          <w:p w14:paraId="32C61E1E"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11,860.6</w:t>
            </w:r>
          </w:p>
        </w:tc>
      </w:tr>
      <w:tr w:rsidR="00EC3FE2" w:rsidRPr="00EC3FE2" w14:paraId="11D668B2" w14:textId="77777777" w:rsidTr="00701B18">
        <w:trPr>
          <w:trHeight w:val="40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08369EF4"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Actividades recreativas, cultura y religión</w:t>
            </w:r>
          </w:p>
        </w:tc>
        <w:tc>
          <w:tcPr>
            <w:tcW w:w="446" w:type="pct"/>
            <w:tcBorders>
              <w:top w:val="nil"/>
              <w:left w:val="nil"/>
              <w:bottom w:val="single" w:sz="4" w:space="0" w:color="auto"/>
              <w:right w:val="single" w:sz="4" w:space="0" w:color="auto"/>
            </w:tcBorders>
            <w:shd w:val="clear" w:color="auto" w:fill="auto"/>
            <w:noWrap/>
            <w:vAlign w:val="bottom"/>
            <w:hideMark/>
          </w:tcPr>
          <w:p w14:paraId="327CBECC"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907.2</w:t>
            </w:r>
          </w:p>
        </w:tc>
        <w:tc>
          <w:tcPr>
            <w:tcW w:w="446" w:type="pct"/>
            <w:tcBorders>
              <w:top w:val="nil"/>
              <w:left w:val="nil"/>
              <w:bottom w:val="single" w:sz="4" w:space="0" w:color="auto"/>
              <w:right w:val="single" w:sz="4" w:space="0" w:color="auto"/>
            </w:tcBorders>
            <w:shd w:val="clear" w:color="auto" w:fill="auto"/>
            <w:noWrap/>
            <w:vAlign w:val="bottom"/>
            <w:hideMark/>
          </w:tcPr>
          <w:p w14:paraId="76B06EE0"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976.3</w:t>
            </w:r>
          </w:p>
        </w:tc>
        <w:tc>
          <w:tcPr>
            <w:tcW w:w="446" w:type="pct"/>
            <w:tcBorders>
              <w:top w:val="nil"/>
              <w:left w:val="nil"/>
              <w:bottom w:val="single" w:sz="4" w:space="0" w:color="auto"/>
              <w:right w:val="single" w:sz="4" w:space="0" w:color="auto"/>
            </w:tcBorders>
            <w:shd w:val="clear" w:color="auto" w:fill="auto"/>
            <w:noWrap/>
            <w:vAlign w:val="bottom"/>
            <w:hideMark/>
          </w:tcPr>
          <w:p w14:paraId="699A6E40"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1,117.3</w:t>
            </w:r>
          </w:p>
        </w:tc>
        <w:tc>
          <w:tcPr>
            <w:tcW w:w="446" w:type="pct"/>
            <w:tcBorders>
              <w:top w:val="nil"/>
              <w:left w:val="nil"/>
              <w:bottom w:val="single" w:sz="4" w:space="0" w:color="auto"/>
              <w:right w:val="single" w:sz="4" w:space="0" w:color="auto"/>
            </w:tcBorders>
            <w:shd w:val="clear" w:color="auto" w:fill="auto"/>
            <w:noWrap/>
            <w:vAlign w:val="bottom"/>
            <w:hideMark/>
          </w:tcPr>
          <w:p w14:paraId="64847639"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1,144.9</w:t>
            </w:r>
          </w:p>
        </w:tc>
        <w:tc>
          <w:tcPr>
            <w:tcW w:w="446" w:type="pct"/>
            <w:tcBorders>
              <w:top w:val="nil"/>
              <w:left w:val="nil"/>
              <w:bottom w:val="single" w:sz="4" w:space="0" w:color="auto"/>
              <w:right w:val="single" w:sz="4" w:space="0" w:color="auto"/>
            </w:tcBorders>
            <w:shd w:val="clear" w:color="auto" w:fill="auto"/>
            <w:noWrap/>
            <w:vAlign w:val="bottom"/>
            <w:hideMark/>
          </w:tcPr>
          <w:p w14:paraId="48B854E7"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1,232.7</w:t>
            </w:r>
          </w:p>
        </w:tc>
        <w:tc>
          <w:tcPr>
            <w:tcW w:w="446" w:type="pct"/>
            <w:tcBorders>
              <w:top w:val="nil"/>
              <w:left w:val="nil"/>
              <w:bottom w:val="single" w:sz="4" w:space="0" w:color="auto"/>
              <w:right w:val="single" w:sz="4" w:space="0" w:color="auto"/>
            </w:tcBorders>
            <w:shd w:val="clear" w:color="auto" w:fill="auto"/>
            <w:noWrap/>
            <w:vAlign w:val="bottom"/>
            <w:hideMark/>
          </w:tcPr>
          <w:p w14:paraId="629E06D8"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1,119.3</w:t>
            </w:r>
          </w:p>
        </w:tc>
        <w:tc>
          <w:tcPr>
            <w:tcW w:w="446" w:type="pct"/>
            <w:tcBorders>
              <w:top w:val="nil"/>
              <w:left w:val="nil"/>
              <w:bottom w:val="single" w:sz="4" w:space="0" w:color="auto"/>
              <w:right w:val="single" w:sz="4" w:space="0" w:color="auto"/>
            </w:tcBorders>
            <w:shd w:val="clear" w:color="auto" w:fill="auto"/>
            <w:noWrap/>
            <w:vAlign w:val="bottom"/>
            <w:hideMark/>
          </w:tcPr>
          <w:p w14:paraId="63798002"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1,230.6</w:t>
            </w:r>
          </w:p>
        </w:tc>
        <w:tc>
          <w:tcPr>
            <w:tcW w:w="446" w:type="pct"/>
            <w:tcBorders>
              <w:top w:val="nil"/>
              <w:left w:val="nil"/>
              <w:bottom w:val="single" w:sz="4" w:space="0" w:color="auto"/>
              <w:right w:val="single" w:sz="4" w:space="0" w:color="auto"/>
            </w:tcBorders>
            <w:shd w:val="clear" w:color="auto" w:fill="auto"/>
            <w:noWrap/>
            <w:vAlign w:val="bottom"/>
            <w:hideMark/>
          </w:tcPr>
          <w:p w14:paraId="4730AA03"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1,362.7</w:t>
            </w:r>
          </w:p>
        </w:tc>
        <w:tc>
          <w:tcPr>
            <w:tcW w:w="449" w:type="pct"/>
            <w:tcBorders>
              <w:top w:val="nil"/>
              <w:left w:val="nil"/>
              <w:bottom w:val="single" w:sz="4" w:space="0" w:color="auto"/>
              <w:right w:val="single" w:sz="4" w:space="0" w:color="auto"/>
            </w:tcBorders>
            <w:shd w:val="clear" w:color="auto" w:fill="auto"/>
            <w:noWrap/>
            <w:vAlign w:val="bottom"/>
            <w:hideMark/>
          </w:tcPr>
          <w:p w14:paraId="30F71466"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1,550.0</w:t>
            </w:r>
          </w:p>
        </w:tc>
      </w:tr>
      <w:tr w:rsidR="00EC3FE2" w:rsidRPr="00EC3FE2" w14:paraId="14AC0111" w14:textId="77777777" w:rsidTr="00701B18">
        <w:trPr>
          <w:trHeight w:val="30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697B2DC2"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Educación</w:t>
            </w:r>
          </w:p>
        </w:tc>
        <w:tc>
          <w:tcPr>
            <w:tcW w:w="446" w:type="pct"/>
            <w:tcBorders>
              <w:top w:val="nil"/>
              <w:left w:val="nil"/>
              <w:bottom w:val="single" w:sz="4" w:space="0" w:color="auto"/>
              <w:right w:val="single" w:sz="4" w:space="0" w:color="auto"/>
            </w:tcBorders>
            <w:shd w:val="clear" w:color="auto" w:fill="auto"/>
            <w:noWrap/>
            <w:vAlign w:val="bottom"/>
            <w:hideMark/>
          </w:tcPr>
          <w:p w14:paraId="3597550D"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10,297.6</w:t>
            </w:r>
          </w:p>
        </w:tc>
        <w:tc>
          <w:tcPr>
            <w:tcW w:w="446" w:type="pct"/>
            <w:tcBorders>
              <w:top w:val="nil"/>
              <w:left w:val="nil"/>
              <w:bottom w:val="single" w:sz="4" w:space="0" w:color="auto"/>
              <w:right w:val="single" w:sz="4" w:space="0" w:color="auto"/>
            </w:tcBorders>
            <w:shd w:val="clear" w:color="auto" w:fill="auto"/>
            <w:noWrap/>
            <w:vAlign w:val="bottom"/>
            <w:hideMark/>
          </w:tcPr>
          <w:p w14:paraId="09A6AAF1"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11,191.8</w:t>
            </w:r>
          </w:p>
        </w:tc>
        <w:tc>
          <w:tcPr>
            <w:tcW w:w="446" w:type="pct"/>
            <w:tcBorders>
              <w:top w:val="nil"/>
              <w:left w:val="nil"/>
              <w:bottom w:val="single" w:sz="4" w:space="0" w:color="auto"/>
              <w:right w:val="single" w:sz="4" w:space="0" w:color="auto"/>
            </w:tcBorders>
            <w:shd w:val="clear" w:color="auto" w:fill="auto"/>
            <w:noWrap/>
            <w:vAlign w:val="bottom"/>
            <w:hideMark/>
          </w:tcPr>
          <w:p w14:paraId="59F8A382"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11,897.1</w:t>
            </w:r>
          </w:p>
        </w:tc>
        <w:tc>
          <w:tcPr>
            <w:tcW w:w="446" w:type="pct"/>
            <w:tcBorders>
              <w:top w:val="nil"/>
              <w:left w:val="nil"/>
              <w:bottom w:val="single" w:sz="4" w:space="0" w:color="auto"/>
              <w:right w:val="single" w:sz="4" w:space="0" w:color="auto"/>
            </w:tcBorders>
            <w:shd w:val="clear" w:color="auto" w:fill="auto"/>
            <w:noWrap/>
            <w:vAlign w:val="bottom"/>
            <w:hideMark/>
          </w:tcPr>
          <w:p w14:paraId="32A5A8C4"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12,760.2</w:t>
            </w:r>
          </w:p>
        </w:tc>
        <w:tc>
          <w:tcPr>
            <w:tcW w:w="446" w:type="pct"/>
            <w:tcBorders>
              <w:top w:val="nil"/>
              <w:left w:val="nil"/>
              <w:bottom w:val="single" w:sz="4" w:space="0" w:color="auto"/>
              <w:right w:val="single" w:sz="4" w:space="0" w:color="auto"/>
            </w:tcBorders>
            <w:shd w:val="clear" w:color="auto" w:fill="auto"/>
            <w:noWrap/>
            <w:vAlign w:val="bottom"/>
            <w:hideMark/>
          </w:tcPr>
          <w:p w14:paraId="18482852"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13,972.4</w:t>
            </w:r>
          </w:p>
        </w:tc>
        <w:tc>
          <w:tcPr>
            <w:tcW w:w="446" w:type="pct"/>
            <w:tcBorders>
              <w:top w:val="nil"/>
              <w:left w:val="nil"/>
              <w:bottom w:val="single" w:sz="4" w:space="0" w:color="auto"/>
              <w:right w:val="single" w:sz="4" w:space="0" w:color="auto"/>
            </w:tcBorders>
            <w:shd w:val="clear" w:color="auto" w:fill="auto"/>
            <w:noWrap/>
            <w:vAlign w:val="bottom"/>
            <w:hideMark/>
          </w:tcPr>
          <w:p w14:paraId="233F7F59"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15,031.0</w:t>
            </w:r>
          </w:p>
        </w:tc>
        <w:tc>
          <w:tcPr>
            <w:tcW w:w="446" w:type="pct"/>
            <w:tcBorders>
              <w:top w:val="nil"/>
              <w:left w:val="nil"/>
              <w:bottom w:val="single" w:sz="4" w:space="0" w:color="auto"/>
              <w:right w:val="single" w:sz="4" w:space="0" w:color="auto"/>
            </w:tcBorders>
            <w:shd w:val="clear" w:color="auto" w:fill="auto"/>
            <w:noWrap/>
            <w:vAlign w:val="bottom"/>
            <w:hideMark/>
          </w:tcPr>
          <w:p w14:paraId="56053D97"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15,329.8</w:t>
            </w:r>
          </w:p>
        </w:tc>
        <w:tc>
          <w:tcPr>
            <w:tcW w:w="446" w:type="pct"/>
            <w:tcBorders>
              <w:top w:val="nil"/>
              <w:left w:val="nil"/>
              <w:bottom w:val="single" w:sz="4" w:space="0" w:color="auto"/>
              <w:right w:val="single" w:sz="4" w:space="0" w:color="auto"/>
            </w:tcBorders>
            <w:shd w:val="clear" w:color="auto" w:fill="auto"/>
            <w:noWrap/>
            <w:vAlign w:val="bottom"/>
            <w:hideMark/>
          </w:tcPr>
          <w:p w14:paraId="2218B5E7"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16,229.2</w:t>
            </w:r>
          </w:p>
        </w:tc>
        <w:tc>
          <w:tcPr>
            <w:tcW w:w="449" w:type="pct"/>
            <w:tcBorders>
              <w:top w:val="nil"/>
              <w:left w:val="nil"/>
              <w:bottom w:val="single" w:sz="4" w:space="0" w:color="auto"/>
              <w:right w:val="single" w:sz="4" w:space="0" w:color="auto"/>
            </w:tcBorders>
            <w:shd w:val="clear" w:color="auto" w:fill="auto"/>
            <w:noWrap/>
            <w:vAlign w:val="bottom"/>
            <w:hideMark/>
          </w:tcPr>
          <w:p w14:paraId="290735E9"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18,077.6</w:t>
            </w:r>
          </w:p>
        </w:tc>
      </w:tr>
      <w:tr w:rsidR="00EC3FE2" w:rsidRPr="00EC3FE2" w14:paraId="518F948E" w14:textId="77777777" w:rsidTr="00701B18">
        <w:trPr>
          <w:trHeight w:val="30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25B19F5A"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Protección social</w:t>
            </w:r>
          </w:p>
        </w:tc>
        <w:tc>
          <w:tcPr>
            <w:tcW w:w="446" w:type="pct"/>
            <w:tcBorders>
              <w:top w:val="nil"/>
              <w:left w:val="nil"/>
              <w:bottom w:val="single" w:sz="4" w:space="0" w:color="auto"/>
              <w:right w:val="single" w:sz="4" w:space="0" w:color="auto"/>
            </w:tcBorders>
            <w:shd w:val="clear" w:color="auto" w:fill="auto"/>
            <w:noWrap/>
            <w:vAlign w:val="bottom"/>
            <w:hideMark/>
          </w:tcPr>
          <w:p w14:paraId="2A3AFFB0"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10,707.1</w:t>
            </w:r>
          </w:p>
        </w:tc>
        <w:tc>
          <w:tcPr>
            <w:tcW w:w="446" w:type="pct"/>
            <w:tcBorders>
              <w:top w:val="nil"/>
              <w:left w:val="nil"/>
              <w:bottom w:val="single" w:sz="4" w:space="0" w:color="auto"/>
              <w:right w:val="single" w:sz="4" w:space="0" w:color="auto"/>
            </w:tcBorders>
            <w:shd w:val="clear" w:color="auto" w:fill="auto"/>
            <w:noWrap/>
            <w:vAlign w:val="bottom"/>
            <w:hideMark/>
          </w:tcPr>
          <w:p w14:paraId="346FBB0F"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10,811.4</w:t>
            </w:r>
          </w:p>
        </w:tc>
        <w:tc>
          <w:tcPr>
            <w:tcW w:w="446" w:type="pct"/>
            <w:tcBorders>
              <w:top w:val="nil"/>
              <w:left w:val="nil"/>
              <w:bottom w:val="single" w:sz="4" w:space="0" w:color="auto"/>
              <w:right w:val="single" w:sz="4" w:space="0" w:color="auto"/>
            </w:tcBorders>
            <w:shd w:val="clear" w:color="auto" w:fill="auto"/>
            <w:noWrap/>
            <w:vAlign w:val="bottom"/>
            <w:hideMark/>
          </w:tcPr>
          <w:p w14:paraId="3D680A29"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11,646.7</w:t>
            </w:r>
          </w:p>
        </w:tc>
        <w:tc>
          <w:tcPr>
            <w:tcW w:w="446" w:type="pct"/>
            <w:tcBorders>
              <w:top w:val="nil"/>
              <w:left w:val="nil"/>
              <w:bottom w:val="single" w:sz="4" w:space="0" w:color="auto"/>
              <w:right w:val="single" w:sz="4" w:space="0" w:color="auto"/>
            </w:tcBorders>
            <w:shd w:val="clear" w:color="auto" w:fill="auto"/>
            <w:noWrap/>
            <w:vAlign w:val="bottom"/>
            <w:hideMark/>
          </w:tcPr>
          <w:p w14:paraId="5B5AAD52"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12,400.8</w:t>
            </w:r>
          </w:p>
        </w:tc>
        <w:tc>
          <w:tcPr>
            <w:tcW w:w="446" w:type="pct"/>
            <w:tcBorders>
              <w:top w:val="nil"/>
              <w:left w:val="nil"/>
              <w:bottom w:val="single" w:sz="4" w:space="0" w:color="auto"/>
              <w:right w:val="single" w:sz="4" w:space="0" w:color="auto"/>
            </w:tcBorders>
            <w:shd w:val="clear" w:color="auto" w:fill="auto"/>
            <w:noWrap/>
            <w:vAlign w:val="bottom"/>
            <w:hideMark/>
          </w:tcPr>
          <w:p w14:paraId="40B8083E"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12,849.8</w:t>
            </w:r>
          </w:p>
        </w:tc>
        <w:tc>
          <w:tcPr>
            <w:tcW w:w="446" w:type="pct"/>
            <w:tcBorders>
              <w:top w:val="nil"/>
              <w:left w:val="nil"/>
              <w:bottom w:val="single" w:sz="4" w:space="0" w:color="auto"/>
              <w:right w:val="single" w:sz="4" w:space="0" w:color="auto"/>
            </w:tcBorders>
            <w:shd w:val="clear" w:color="auto" w:fill="auto"/>
            <w:noWrap/>
            <w:vAlign w:val="bottom"/>
            <w:hideMark/>
          </w:tcPr>
          <w:p w14:paraId="6F210A1D"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12,367.6</w:t>
            </w:r>
          </w:p>
        </w:tc>
        <w:tc>
          <w:tcPr>
            <w:tcW w:w="446" w:type="pct"/>
            <w:tcBorders>
              <w:top w:val="nil"/>
              <w:left w:val="nil"/>
              <w:bottom w:val="single" w:sz="4" w:space="0" w:color="auto"/>
              <w:right w:val="single" w:sz="4" w:space="0" w:color="auto"/>
            </w:tcBorders>
            <w:shd w:val="clear" w:color="auto" w:fill="auto"/>
            <w:noWrap/>
            <w:vAlign w:val="bottom"/>
            <w:hideMark/>
          </w:tcPr>
          <w:p w14:paraId="618DE156"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12,859.1</w:t>
            </w:r>
          </w:p>
        </w:tc>
        <w:tc>
          <w:tcPr>
            <w:tcW w:w="446" w:type="pct"/>
            <w:tcBorders>
              <w:top w:val="nil"/>
              <w:left w:val="nil"/>
              <w:bottom w:val="single" w:sz="4" w:space="0" w:color="auto"/>
              <w:right w:val="single" w:sz="4" w:space="0" w:color="auto"/>
            </w:tcBorders>
            <w:shd w:val="clear" w:color="auto" w:fill="auto"/>
            <w:noWrap/>
            <w:vAlign w:val="bottom"/>
            <w:hideMark/>
          </w:tcPr>
          <w:p w14:paraId="1B0A822D"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13,408.0</w:t>
            </w:r>
          </w:p>
        </w:tc>
        <w:tc>
          <w:tcPr>
            <w:tcW w:w="449" w:type="pct"/>
            <w:tcBorders>
              <w:top w:val="nil"/>
              <w:left w:val="nil"/>
              <w:bottom w:val="single" w:sz="4" w:space="0" w:color="auto"/>
              <w:right w:val="single" w:sz="4" w:space="0" w:color="auto"/>
            </w:tcBorders>
            <w:shd w:val="clear" w:color="auto" w:fill="auto"/>
            <w:noWrap/>
            <w:vAlign w:val="bottom"/>
            <w:hideMark/>
          </w:tcPr>
          <w:p w14:paraId="7D30BB55" w14:textId="77777777" w:rsidR="00EC3FE2" w:rsidRPr="00EC3FE2" w:rsidRDefault="00EC3FE2" w:rsidP="00EC3FE2">
            <w:pPr>
              <w:spacing w:after="0" w:line="240" w:lineRule="auto"/>
              <w:jc w:val="right"/>
              <w:rPr>
                <w:rFonts w:eastAsia="Times New Roman" w:cs="Times New Roman"/>
                <w:color w:val="000000"/>
                <w:sz w:val="16"/>
                <w:lang w:eastAsia="es-GT"/>
              </w:rPr>
            </w:pPr>
            <w:r w:rsidRPr="00EC3FE2">
              <w:rPr>
                <w:rFonts w:eastAsia="Times New Roman" w:cs="Times New Roman"/>
                <w:color w:val="000000"/>
                <w:sz w:val="16"/>
                <w:lang w:eastAsia="es-GT"/>
              </w:rPr>
              <w:t>14,756.2</w:t>
            </w:r>
          </w:p>
        </w:tc>
      </w:tr>
      <w:tr w:rsidR="00EC3FE2" w:rsidRPr="00EC3FE2" w14:paraId="18283F82" w14:textId="77777777" w:rsidTr="00701B18">
        <w:trPr>
          <w:trHeight w:val="30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0C42DBFD"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Total</w:t>
            </w:r>
          </w:p>
        </w:tc>
        <w:tc>
          <w:tcPr>
            <w:tcW w:w="446" w:type="pct"/>
            <w:tcBorders>
              <w:top w:val="nil"/>
              <w:left w:val="nil"/>
              <w:bottom w:val="single" w:sz="4" w:space="0" w:color="auto"/>
              <w:right w:val="single" w:sz="4" w:space="0" w:color="auto"/>
            </w:tcBorders>
            <w:shd w:val="clear" w:color="auto" w:fill="auto"/>
            <w:noWrap/>
            <w:vAlign w:val="bottom"/>
            <w:hideMark/>
          </w:tcPr>
          <w:p w14:paraId="7BFE2890" w14:textId="77777777" w:rsidR="00EC3FE2" w:rsidRPr="00EC3FE2" w:rsidRDefault="00EC3FE2" w:rsidP="00EC3FE2">
            <w:pPr>
              <w:spacing w:after="0" w:line="240" w:lineRule="auto"/>
              <w:jc w:val="right"/>
              <w:rPr>
                <w:rFonts w:eastAsia="Times New Roman" w:cs="Times New Roman"/>
                <w:b/>
                <w:bCs/>
                <w:color w:val="000000"/>
                <w:sz w:val="16"/>
                <w:lang w:eastAsia="es-GT"/>
              </w:rPr>
            </w:pPr>
            <w:r w:rsidRPr="00EC3FE2">
              <w:rPr>
                <w:rFonts w:eastAsia="Times New Roman" w:cs="Times New Roman"/>
                <w:b/>
                <w:bCs/>
                <w:color w:val="000000"/>
                <w:sz w:val="16"/>
                <w:lang w:eastAsia="es-GT"/>
              </w:rPr>
              <w:t>31,068.5</w:t>
            </w:r>
          </w:p>
        </w:tc>
        <w:tc>
          <w:tcPr>
            <w:tcW w:w="446" w:type="pct"/>
            <w:tcBorders>
              <w:top w:val="nil"/>
              <w:left w:val="nil"/>
              <w:bottom w:val="single" w:sz="4" w:space="0" w:color="auto"/>
              <w:right w:val="single" w:sz="4" w:space="0" w:color="auto"/>
            </w:tcBorders>
            <w:shd w:val="clear" w:color="auto" w:fill="auto"/>
            <w:noWrap/>
            <w:vAlign w:val="bottom"/>
            <w:hideMark/>
          </w:tcPr>
          <w:p w14:paraId="60670A3B" w14:textId="77777777" w:rsidR="00EC3FE2" w:rsidRPr="00EC3FE2" w:rsidRDefault="00EC3FE2" w:rsidP="00EC3FE2">
            <w:pPr>
              <w:spacing w:after="0" w:line="240" w:lineRule="auto"/>
              <w:jc w:val="right"/>
              <w:rPr>
                <w:rFonts w:eastAsia="Times New Roman" w:cs="Times New Roman"/>
                <w:b/>
                <w:bCs/>
                <w:color w:val="000000"/>
                <w:sz w:val="16"/>
                <w:lang w:eastAsia="es-GT"/>
              </w:rPr>
            </w:pPr>
            <w:r w:rsidRPr="00EC3FE2">
              <w:rPr>
                <w:rFonts w:eastAsia="Times New Roman" w:cs="Times New Roman"/>
                <w:b/>
                <w:bCs/>
                <w:color w:val="000000"/>
                <w:sz w:val="16"/>
                <w:lang w:eastAsia="es-GT"/>
              </w:rPr>
              <w:t>32,676.0</w:t>
            </w:r>
          </w:p>
        </w:tc>
        <w:tc>
          <w:tcPr>
            <w:tcW w:w="446" w:type="pct"/>
            <w:tcBorders>
              <w:top w:val="nil"/>
              <w:left w:val="nil"/>
              <w:bottom w:val="single" w:sz="4" w:space="0" w:color="auto"/>
              <w:right w:val="single" w:sz="4" w:space="0" w:color="auto"/>
            </w:tcBorders>
            <w:shd w:val="clear" w:color="auto" w:fill="auto"/>
            <w:noWrap/>
            <w:vAlign w:val="bottom"/>
            <w:hideMark/>
          </w:tcPr>
          <w:p w14:paraId="6C006541" w14:textId="77777777" w:rsidR="00EC3FE2" w:rsidRPr="00EC3FE2" w:rsidRDefault="00EC3FE2" w:rsidP="00EC3FE2">
            <w:pPr>
              <w:spacing w:after="0" w:line="240" w:lineRule="auto"/>
              <w:jc w:val="right"/>
              <w:rPr>
                <w:rFonts w:eastAsia="Times New Roman" w:cs="Times New Roman"/>
                <w:b/>
                <w:bCs/>
                <w:color w:val="000000"/>
                <w:sz w:val="16"/>
                <w:lang w:eastAsia="es-GT"/>
              </w:rPr>
            </w:pPr>
            <w:r w:rsidRPr="00EC3FE2">
              <w:rPr>
                <w:rFonts w:eastAsia="Times New Roman" w:cs="Times New Roman"/>
                <w:b/>
                <w:bCs/>
                <w:color w:val="000000"/>
                <w:sz w:val="16"/>
                <w:lang w:eastAsia="es-GT"/>
              </w:rPr>
              <w:t>34,904.8</w:t>
            </w:r>
          </w:p>
        </w:tc>
        <w:tc>
          <w:tcPr>
            <w:tcW w:w="446" w:type="pct"/>
            <w:tcBorders>
              <w:top w:val="nil"/>
              <w:left w:val="nil"/>
              <w:bottom w:val="single" w:sz="4" w:space="0" w:color="auto"/>
              <w:right w:val="single" w:sz="4" w:space="0" w:color="auto"/>
            </w:tcBorders>
            <w:shd w:val="clear" w:color="auto" w:fill="auto"/>
            <w:noWrap/>
            <w:vAlign w:val="bottom"/>
            <w:hideMark/>
          </w:tcPr>
          <w:p w14:paraId="66395710" w14:textId="77777777" w:rsidR="00EC3FE2" w:rsidRPr="00EC3FE2" w:rsidRDefault="00EC3FE2" w:rsidP="00EC3FE2">
            <w:pPr>
              <w:spacing w:after="0" w:line="240" w:lineRule="auto"/>
              <w:jc w:val="right"/>
              <w:rPr>
                <w:rFonts w:eastAsia="Times New Roman" w:cs="Times New Roman"/>
                <w:b/>
                <w:bCs/>
                <w:color w:val="000000"/>
                <w:sz w:val="16"/>
                <w:lang w:eastAsia="es-GT"/>
              </w:rPr>
            </w:pPr>
            <w:r w:rsidRPr="00EC3FE2">
              <w:rPr>
                <w:rFonts w:eastAsia="Times New Roman" w:cs="Times New Roman"/>
                <w:b/>
                <w:bCs/>
                <w:color w:val="000000"/>
                <w:sz w:val="16"/>
                <w:lang w:eastAsia="es-GT"/>
              </w:rPr>
              <w:t>37,722.0</w:t>
            </w:r>
          </w:p>
        </w:tc>
        <w:tc>
          <w:tcPr>
            <w:tcW w:w="446" w:type="pct"/>
            <w:tcBorders>
              <w:top w:val="nil"/>
              <w:left w:val="nil"/>
              <w:bottom w:val="single" w:sz="4" w:space="0" w:color="auto"/>
              <w:right w:val="single" w:sz="4" w:space="0" w:color="auto"/>
            </w:tcBorders>
            <w:shd w:val="clear" w:color="auto" w:fill="auto"/>
            <w:noWrap/>
            <w:vAlign w:val="bottom"/>
            <w:hideMark/>
          </w:tcPr>
          <w:p w14:paraId="40CDE2BE" w14:textId="77777777" w:rsidR="00EC3FE2" w:rsidRPr="00EC3FE2" w:rsidRDefault="00EC3FE2" w:rsidP="00EC3FE2">
            <w:pPr>
              <w:spacing w:after="0" w:line="240" w:lineRule="auto"/>
              <w:jc w:val="right"/>
              <w:rPr>
                <w:rFonts w:eastAsia="Times New Roman" w:cs="Times New Roman"/>
                <w:b/>
                <w:bCs/>
                <w:color w:val="000000"/>
                <w:sz w:val="16"/>
                <w:lang w:eastAsia="es-GT"/>
              </w:rPr>
            </w:pPr>
            <w:r w:rsidRPr="00EC3FE2">
              <w:rPr>
                <w:rFonts w:eastAsia="Times New Roman" w:cs="Times New Roman"/>
                <w:b/>
                <w:bCs/>
                <w:color w:val="000000"/>
                <w:sz w:val="16"/>
                <w:lang w:eastAsia="es-GT"/>
              </w:rPr>
              <w:t>40,109.4</w:t>
            </w:r>
          </w:p>
        </w:tc>
        <w:tc>
          <w:tcPr>
            <w:tcW w:w="446" w:type="pct"/>
            <w:tcBorders>
              <w:top w:val="nil"/>
              <w:left w:val="nil"/>
              <w:bottom w:val="single" w:sz="4" w:space="0" w:color="auto"/>
              <w:right w:val="single" w:sz="4" w:space="0" w:color="auto"/>
            </w:tcBorders>
            <w:shd w:val="clear" w:color="auto" w:fill="auto"/>
            <w:noWrap/>
            <w:vAlign w:val="bottom"/>
            <w:hideMark/>
          </w:tcPr>
          <w:p w14:paraId="35807C60" w14:textId="77777777" w:rsidR="00EC3FE2" w:rsidRPr="00EC3FE2" w:rsidRDefault="00EC3FE2" w:rsidP="00EC3FE2">
            <w:pPr>
              <w:spacing w:after="0" w:line="240" w:lineRule="auto"/>
              <w:jc w:val="right"/>
              <w:rPr>
                <w:rFonts w:eastAsia="Times New Roman" w:cs="Times New Roman"/>
                <w:b/>
                <w:bCs/>
                <w:color w:val="000000"/>
                <w:sz w:val="16"/>
                <w:lang w:eastAsia="es-GT"/>
              </w:rPr>
            </w:pPr>
            <w:r w:rsidRPr="00EC3FE2">
              <w:rPr>
                <w:rFonts w:eastAsia="Times New Roman" w:cs="Times New Roman"/>
                <w:b/>
                <w:bCs/>
                <w:color w:val="000000"/>
                <w:sz w:val="16"/>
                <w:lang w:eastAsia="es-GT"/>
              </w:rPr>
              <w:t>40,308.0</w:t>
            </w:r>
          </w:p>
        </w:tc>
        <w:tc>
          <w:tcPr>
            <w:tcW w:w="446" w:type="pct"/>
            <w:tcBorders>
              <w:top w:val="nil"/>
              <w:left w:val="nil"/>
              <w:bottom w:val="single" w:sz="4" w:space="0" w:color="auto"/>
              <w:right w:val="single" w:sz="4" w:space="0" w:color="auto"/>
            </w:tcBorders>
            <w:shd w:val="clear" w:color="auto" w:fill="auto"/>
            <w:noWrap/>
            <w:vAlign w:val="bottom"/>
            <w:hideMark/>
          </w:tcPr>
          <w:p w14:paraId="1D303130" w14:textId="77777777" w:rsidR="00EC3FE2" w:rsidRPr="00EC3FE2" w:rsidRDefault="00EC3FE2" w:rsidP="00EC3FE2">
            <w:pPr>
              <w:spacing w:after="0" w:line="240" w:lineRule="auto"/>
              <w:jc w:val="right"/>
              <w:rPr>
                <w:rFonts w:eastAsia="Times New Roman" w:cs="Times New Roman"/>
                <w:b/>
                <w:bCs/>
                <w:color w:val="000000"/>
                <w:sz w:val="16"/>
                <w:lang w:eastAsia="es-GT"/>
              </w:rPr>
            </w:pPr>
            <w:r w:rsidRPr="00EC3FE2">
              <w:rPr>
                <w:rFonts w:eastAsia="Times New Roman" w:cs="Times New Roman"/>
                <w:b/>
                <w:bCs/>
                <w:color w:val="000000"/>
                <w:sz w:val="16"/>
                <w:lang w:eastAsia="es-GT"/>
              </w:rPr>
              <w:t>41,779.0</w:t>
            </w:r>
          </w:p>
        </w:tc>
        <w:tc>
          <w:tcPr>
            <w:tcW w:w="446" w:type="pct"/>
            <w:tcBorders>
              <w:top w:val="nil"/>
              <w:left w:val="nil"/>
              <w:bottom w:val="single" w:sz="4" w:space="0" w:color="auto"/>
              <w:right w:val="single" w:sz="4" w:space="0" w:color="auto"/>
            </w:tcBorders>
            <w:shd w:val="clear" w:color="auto" w:fill="auto"/>
            <w:noWrap/>
            <w:vAlign w:val="bottom"/>
            <w:hideMark/>
          </w:tcPr>
          <w:p w14:paraId="5CDBCEC2" w14:textId="77777777" w:rsidR="00EC3FE2" w:rsidRPr="00EC3FE2" w:rsidRDefault="00EC3FE2" w:rsidP="00EC3FE2">
            <w:pPr>
              <w:spacing w:after="0" w:line="240" w:lineRule="auto"/>
              <w:jc w:val="right"/>
              <w:rPr>
                <w:rFonts w:eastAsia="Times New Roman" w:cs="Times New Roman"/>
                <w:b/>
                <w:bCs/>
                <w:color w:val="000000"/>
                <w:sz w:val="16"/>
                <w:lang w:eastAsia="es-GT"/>
              </w:rPr>
            </w:pPr>
            <w:r w:rsidRPr="00EC3FE2">
              <w:rPr>
                <w:rFonts w:eastAsia="Times New Roman" w:cs="Times New Roman"/>
                <w:b/>
                <w:bCs/>
                <w:color w:val="000000"/>
                <w:sz w:val="16"/>
                <w:lang w:eastAsia="es-GT"/>
              </w:rPr>
              <w:t>43,982.3</w:t>
            </w:r>
          </w:p>
        </w:tc>
        <w:tc>
          <w:tcPr>
            <w:tcW w:w="449" w:type="pct"/>
            <w:tcBorders>
              <w:top w:val="nil"/>
              <w:left w:val="nil"/>
              <w:bottom w:val="single" w:sz="4" w:space="0" w:color="auto"/>
              <w:right w:val="single" w:sz="4" w:space="0" w:color="auto"/>
            </w:tcBorders>
            <w:shd w:val="clear" w:color="auto" w:fill="auto"/>
            <w:noWrap/>
            <w:vAlign w:val="bottom"/>
            <w:hideMark/>
          </w:tcPr>
          <w:p w14:paraId="7797DDE3" w14:textId="77777777" w:rsidR="00EC3FE2" w:rsidRPr="00EC3FE2" w:rsidRDefault="00EC3FE2" w:rsidP="00EC3FE2">
            <w:pPr>
              <w:spacing w:after="0" w:line="240" w:lineRule="auto"/>
              <w:jc w:val="right"/>
              <w:rPr>
                <w:rFonts w:eastAsia="Times New Roman" w:cs="Times New Roman"/>
                <w:b/>
                <w:bCs/>
                <w:color w:val="000000"/>
                <w:sz w:val="16"/>
                <w:lang w:eastAsia="es-GT"/>
              </w:rPr>
            </w:pPr>
            <w:r w:rsidRPr="00EC3FE2">
              <w:rPr>
                <w:rFonts w:eastAsia="Times New Roman" w:cs="Times New Roman"/>
                <w:b/>
                <w:bCs/>
                <w:color w:val="000000"/>
                <w:sz w:val="16"/>
                <w:lang w:eastAsia="es-GT"/>
              </w:rPr>
              <w:t>48,266.1</w:t>
            </w:r>
          </w:p>
        </w:tc>
      </w:tr>
      <w:tr w:rsidR="00EC3FE2" w:rsidRPr="00EC3FE2" w14:paraId="6E6F598A" w14:textId="77777777" w:rsidTr="00EC3FE2">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B192362" w14:textId="77777777" w:rsidR="00EC3FE2" w:rsidRPr="00EC3FE2" w:rsidRDefault="00EC3FE2" w:rsidP="00EC3FE2">
            <w:pPr>
              <w:spacing w:after="0" w:line="240" w:lineRule="auto"/>
              <w:jc w:val="center"/>
              <w:rPr>
                <w:rFonts w:eastAsia="Times New Roman" w:cs="Times New Roman"/>
                <w:b/>
                <w:bCs/>
                <w:color w:val="000000"/>
                <w:sz w:val="16"/>
                <w:lang w:eastAsia="es-GT"/>
              </w:rPr>
            </w:pPr>
            <w:r w:rsidRPr="00EC3FE2">
              <w:rPr>
                <w:rFonts w:eastAsia="Times New Roman" w:cs="Times New Roman"/>
                <w:b/>
                <w:bCs/>
                <w:color w:val="000000"/>
                <w:sz w:val="18"/>
                <w:lang w:eastAsia="es-GT"/>
              </w:rPr>
              <w:t>Gasto social del gobierno central y entidades autónomas y descentralizadas, como porcentaje del PIB</w:t>
            </w:r>
          </w:p>
        </w:tc>
      </w:tr>
      <w:tr w:rsidR="00EC3FE2" w:rsidRPr="00EC3FE2" w14:paraId="41AF6C71" w14:textId="77777777" w:rsidTr="00701B18">
        <w:trPr>
          <w:trHeight w:val="526"/>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40CAF566"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Protección del medio ambiente</w:t>
            </w:r>
          </w:p>
        </w:tc>
        <w:tc>
          <w:tcPr>
            <w:tcW w:w="446" w:type="pct"/>
            <w:tcBorders>
              <w:top w:val="nil"/>
              <w:left w:val="nil"/>
              <w:bottom w:val="single" w:sz="4" w:space="0" w:color="auto"/>
              <w:right w:val="single" w:sz="4" w:space="0" w:color="auto"/>
            </w:tcBorders>
            <w:shd w:val="clear" w:color="auto" w:fill="auto"/>
            <w:noWrap/>
            <w:vAlign w:val="bottom"/>
            <w:hideMark/>
          </w:tcPr>
          <w:p w14:paraId="4535240B"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0.08 </w:t>
            </w:r>
          </w:p>
        </w:tc>
        <w:tc>
          <w:tcPr>
            <w:tcW w:w="446" w:type="pct"/>
            <w:tcBorders>
              <w:top w:val="nil"/>
              <w:left w:val="nil"/>
              <w:bottom w:val="single" w:sz="4" w:space="0" w:color="auto"/>
              <w:right w:val="single" w:sz="4" w:space="0" w:color="auto"/>
            </w:tcBorders>
            <w:shd w:val="clear" w:color="auto" w:fill="auto"/>
            <w:noWrap/>
            <w:vAlign w:val="bottom"/>
            <w:hideMark/>
          </w:tcPr>
          <w:p w14:paraId="22B4999B"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0.15 </w:t>
            </w:r>
          </w:p>
        </w:tc>
        <w:tc>
          <w:tcPr>
            <w:tcW w:w="446" w:type="pct"/>
            <w:tcBorders>
              <w:top w:val="nil"/>
              <w:left w:val="nil"/>
              <w:bottom w:val="single" w:sz="4" w:space="0" w:color="auto"/>
              <w:right w:val="single" w:sz="4" w:space="0" w:color="auto"/>
            </w:tcBorders>
            <w:shd w:val="clear" w:color="auto" w:fill="auto"/>
            <w:noWrap/>
            <w:vAlign w:val="bottom"/>
            <w:hideMark/>
          </w:tcPr>
          <w:p w14:paraId="0575A076"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0.11 </w:t>
            </w:r>
          </w:p>
        </w:tc>
        <w:tc>
          <w:tcPr>
            <w:tcW w:w="446" w:type="pct"/>
            <w:tcBorders>
              <w:top w:val="nil"/>
              <w:left w:val="nil"/>
              <w:bottom w:val="single" w:sz="4" w:space="0" w:color="auto"/>
              <w:right w:val="single" w:sz="4" w:space="0" w:color="auto"/>
            </w:tcBorders>
            <w:shd w:val="clear" w:color="auto" w:fill="auto"/>
            <w:noWrap/>
            <w:vAlign w:val="bottom"/>
            <w:hideMark/>
          </w:tcPr>
          <w:p w14:paraId="0C99777B"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0.08 </w:t>
            </w:r>
          </w:p>
        </w:tc>
        <w:tc>
          <w:tcPr>
            <w:tcW w:w="446" w:type="pct"/>
            <w:tcBorders>
              <w:top w:val="nil"/>
              <w:left w:val="nil"/>
              <w:bottom w:val="single" w:sz="4" w:space="0" w:color="auto"/>
              <w:right w:val="single" w:sz="4" w:space="0" w:color="auto"/>
            </w:tcBorders>
            <w:shd w:val="clear" w:color="auto" w:fill="auto"/>
            <w:noWrap/>
            <w:vAlign w:val="bottom"/>
            <w:hideMark/>
          </w:tcPr>
          <w:p w14:paraId="76896E64"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0.10 </w:t>
            </w:r>
          </w:p>
        </w:tc>
        <w:tc>
          <w:tcPr>
            <w:tcW w:w="446" w:type="pct"/>
            <w:tcBorders>
              <w:top w:val="nil"/>
              <w:left w:val="nil"/>
              <w:bottom w:val="single" w:sz="4" w:space="0" w:color="auto"/>
              <w:right w:val="single" w:sz="4" w:space="0" w:color="auto"/>
            </w:tcBorders>
            <w:shd w:val="clear" w:color="auto" w:fill="auto"/>
            <w:noWrap/>
            <w:vAlign w:val="bottom"/>
            <w:hideMark/>
          </w:tcPr>
          <w:p w14:paraId="115CE1D3"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0.07 </w:t>
            </w:r>
          </w:p>
        </w:tc>
        <w:tc>
          <w:tcPr>
            <w:tcW w:w="446" w:type="pct"/>
            <w:tcBorders>
              <w:top w:val="nil"/>
              <w:left w:val="nil"/>
              <w:bottom w:val="single" w:sz="4" w:space="0" w:color="auto"/>
              <w:right w:val="single" w:sz="4" w:space="0" w:color="auto"/>
            </w:tcBorders>
            <w:shd w:val="clear" w:color="auto" w:fill="auto"/>
            <w:noWrap/>
            <w:vAlign w:val="bottom"/>
            <w:hideMark/>
          </w:tcPr>
          <w:p w14:paraId="335019EB"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0.08 </w:t>
            </w:r>
          </w:p>
        </w:tc>
        <w:tc>
          <w:tcPr>
            <w:tcW w:w="446" w:type="pct"/>
            <w:tcBorders>
              <w:top w:val="nil"/>
              <w:left w:val="nil"/>
              <w:bottom w:val="single" w:sz="4" w:space="0" w:color="auto"/>
              <w:right w:val="single" w:sz="4" w:space="0" w:color="auto"/>
            </w:tcBorders>
            <w:shd w:val="clear" w:color="auto" w:fill="auto"/>
            <w:noWrap/>
            <w:vAlign w:val="bottom"/>
            <w:hideMark/>
          </w:tcPr>
          <w:p w14:paraId="22FF240A"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0.11 </w:t>
            </w:r>
          </w:p>
        </w:tc>
        <w:tc>
          <w:tcPr>
            <w:tcW w:w="449" w:type="pct"/>
            <w:tcBorders>
              <w:top w:val="nil"/>
              <w:left w:val="nil"/>
              <w:bottom w:val="single" w:sz="4" w:space="0" w:color="auto"/>
              <w:right w:val="single" w:sz="4" w:space="0" w:color="auto"/>
            </w:tcBorders>
            <w:shd w:val="clear" w:color="auto" w:fill="auto"/>
            <w:noWrap/>
            <w:vAlign w:val="bottom"/>
            <w:hideMark/>
          </w:tcPr>
          <w:p w14:paraId="31165B0A"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0.13 </w:t>
            </w:r>
          </w:p>
        </w:tc>
      </w:tr>
      <w:tr w:rsidR="00EC3FE2" w:rsidRPr="00EC3FE2" w14:paraId="215BE11C" w14:textId="77777777" w:rsidTr="00701B18">
        <w:trPr>
          <w:trHeight w:val="42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01E014C7"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Vivienda y servicios comunitarios</w:t>
            </w:r>
          </w:p>
        </w:tc>
        <w:tc>
          <w:tcPr>
            <w:tcW w:w="446" w:type="pct"/>
            <w:tcBorders>
              <w:top w:val="nil"/>
              <w:left w:val="nil"/>
              <w:bottom w:val="single" w:sz="4" w:space="0" w:color="auto"/>
              <w:right w:val="single" w:sz="4" w:space="0" w:color="auto"/>
            </w:tcBorders>
            <w:shd w:val="clear" w:color="auto" w:fill="auto"/>
            <w:noWrap/>
            <w:vAlign w:val="bottom"/>
            <w:hideMark/>
          </w:tcPr>
          <w:p w14:paraId="0C89D516"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0.63 </w:t>
            </w:r>
          </w:p>
        </w:tc>
        <w:tc>
          <w:tcPr>
            <w:tcW w:w="446" w:type="pct"/>
            <w:tcBorders>
              <w:top w:val="nil"/>
              <w:left w:val="nil"/>
              <w:bottom w:val="single" w:sz="4" w:space="0" w:color="auto"/>
              <w:right w:val="single" w:sz="4" w:space="0" w:color="auto"/>
            </w:tcBorders>
            <w:shd w:val="clear" w:color="auto" w:fill="auto"/>
            <w:noWrap/>
            <w:vAlign w:val="bottom"/>
            <w:hideMark/>
          </w:tcPr>
          <w:p w14:paraId="1EC068B7"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0.45 </w:t>
            </w:r>
          </w:p>
        </w:tc>
        <w:tc>
          <w:tcPr>
            <w:tcW w:w="446" w:type="pct"/>
            <w:tcBorders>
              <w:top w:val="nil"/>
              <w:left w:val="nil"/>
              <w:bottom w:val="single" w:sz="4" w:space="0" w:color="auto"/>
              <w:right w:val="single" w:sz="4" w:space="0" w:color="auto"/>
            </w:tcBorders>
            <w:shd w:val="clear" w:color="auto" w:fill="auto"/>
            <w:noWrap/>
            <w:vAlign w:val="bottom"/>
            <w:hideMark/>
          </w:tcPr>
          <w:p w14:paraId="567DF608"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0.41 </w:t>
            </w:r>
          </w:p>
        </w:tc>
        <w:tc>
          <w:tcPr>
            <w:tcW w:w="446" w:type="pct"/>
            <w:tcBorders>
              <w:top w:val="nil"/>
              <w:left w:val="nil"/>
              <w:bottom w:val="single" w:sz="4" w:space="0" w:color="auto"/>
              <w:right w:val="single" w:sz="4" w:space="0" w:color="auto"/>
            </w:tcBorders>
            <w:shd w:val="clear" w:color="auto" w:fill="auto"/>
            <w:noWrap/>
            <w:vAlign w:val="bottom"/>
            <w:hideMark/>
          </w:tcPr>
          <w:p w14:paraId="39547F64"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0.38 </w:t>
            </w:r>
          </w:p>
        </w:tc>
        <w:tc>
          <w:tcPr>
            <w:tcW w:w="446" w:type="pct"/>
            <w:tcBorders>
              <w:top w:val="nil"/>
              <w:left w:val="nil"/>
              <w:bottom w:val="single" w:sz="4" w:space="0" w:color="auto"/>
              <w:right w:val="single" w:sz="4" w:space="0" w:color="auto"/>
            </w:tcBorders>
            <w:shd w:val="clear" w:color="auto" w:fill="auto"/>
            <w:noWrap/>
            <w:vAlign w:val="bottom"/>
            <w:hideMark/>
          </w:tcPr>
          <w:p w14:paraId="79A7DF77"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0.28 </w:t>
            </w:r>
          </w:p>
        </w:tc>
        <w:tc>
          <w:tcPr>
            <w:tcW w:w="446" w:type="pct"/>
            <w:tcBorders>
              <w:top w:val="nil"/>
              <w:left w:val="nil"/>
              <w:bottom w:val="single" w:sz="4" w:space="0" w:color="auto"/>
              <w:right w:val="single" w:sz="4" w:space="0" w:color="auto"/>
            </w:tcBorders>
            <w:shd w:val="clear" w:color="auto" w:fill="auto"/>
            <w:noWrap/>
            <w:vAlign w:val="bottom"/>
            <w:hideMark/>
          </w:tcPr>
          <w:p w14:paraId="3834C4A7"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0.12 </w:t>
            </w:r>
          </w:p>
        </w:tc>
        <w:tc>
          <w:tcPr>
            <w:tcW w:w="446" w:type="pct"/>
            <w:tcBorders>
              <w:top w:val="nil"/>
              <w:left w:val="nil"/>
              <w:bottom w:val="single" w:sz="4" w:space="0" w:color="auto"/>
              <w:right w:val="single" w:sz="4" w:space="0" w:color="auto"/>
            </w:tcBorders>
            <w:shd w:val="clear" w:color="auto" w:fill="auto"/>
            <w:noWrap/>
            <w:vAlign w:val="bottom"/>
            <w:hideMark/>
          </w:tcPr>
          <w:p w14:paraId="5B690E36"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0.13 </w:t>
            </w:r>
          </w:p>
        </w:tc>
        <w:tc>
          <w:tcPr>
            <w:tcW w:w="446" w:type="pct"/>
            <w:tcBorders>
              <w:top w:val="nil"/>
              <w:left w:val="nil"/>
              <w:bottom w:val="single" w:sz="4" w:space="0" w:color="auto"/>
              <w:right w:val="single" w:sz="4" w:space="0" w:color="auto"/>
            </w:tcBorders>
            <w:shd w:val="clear" w:color="auto" w:fill="auto"/>
            <w:noWrap/>
            <w:vAlign w:val="bottom"/>
            <w:hideMark/>
          </w:tcPr>
          <w:p w14:paraId="68531BC2"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0.18 </w:t>
            </w:r>
          </w:p>
        </w:tc>
        <w:tc>
          <w:tcPr>
            <w:tcW w:w="449" w:type="pct"/>
            <w:tcBorders>
              <w:top w:val="nil"/>
              <w:left w:val="nil"/>
              <w:bottom w:val="single" w:sz="4" w:space="0" w:color="auto"/>
              <w:right w:val="single" w:sz="4" w:space="0" w:color="auto"/>
            </w:tcBorders>
            <w:shd w:val="clear" w:color="auto" w:fill="auto"/>
            <w:noWrap/>
            <w:vAlign w:val="bottom"/>
            <w:hideMark/>
          </w:tcPr>
          <w:p w14:paraId="575CE221"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0.21 </w:t>
            </w:r>
          </w:p>
        </w:tc>
      </w:tr>
      <w:tr w:rsidR="00EC3FE2" w:rsidRPr="00EC3FE2" w14:paraId="5D9772BD" w14:textId="77777777" w:rsidTr="00701B18">
        <w:trPr>
          <w:trHeight w:val="30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5CD7AFD5"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Salud</w:t>
            </w:r>
          </w:p>
        </w:tc>
        <w:tc>
          <w:tcPr>
            <w:tcW w:w="446" w:type="pct"/>
            <w:tcBorders>
              <w:top w:val="nil"/>
              <w:left w:val="nil"/>
              <w:bottom w:val="single" w:sz="4" w:space="0" w:color="auto"/>
              <w:right w:val="single" w:sz="4" w:space="0" w:color="auto"/>
            </w:tcBorders>
            <w:shd w:val="clear" w:color="auto" w:fill="auto"/>
            <w:noWrap/>
            <w:vAlign w:val="bottom"/>
            <w:hideMark/>
          </w:tcPr>
          <w:p w14:paraId="59817537"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2.04 </w:t>
            </w:r>
          </w:p>
        </w:tc>
        <w:tc>
          <w:tcPr>
            <w:tcW w:w="446" w:type="pct"/>
            <w:tcBorders>
              <w:top w:val="nil"/>
              <w:left w:val="nil"/>
              <w:bottom w:val="single" w:sz="4" w:space="0" w:color="auto"/>
              <w:right w:val="single" w:sz="4" w:space="0" w:color="auto"/>
            </w:tcBorders>
            <w:shd w:val="clear" w:color="auto" w:fill="auto"/>
            <w:noWrap/>
            <w:vAlign w:val="bottom"/>
            <w:hideMark/>
          </w:tcPr>
          <w:p w14:paraId="567A9BF7"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2.02 </w:t>
            </w:r>
          </w:p>
        </w:tc>
        <w:tc>
          <w:tcPr>
            <w:tcW w:w="446" w:type="pct"/>
            <w:tcBorders>
              <w:top w:val="nil"/>
              <w:left w:val="nil"/>
              <w:bottom w:val="single" w:sz="4" w:space="0" w:color="auto"/>
              <w:right w:val="single" w:sz="4" w:space="0" w:color="auto"/>
            </w:tcBorders>
            <w:shd w:val="clear" w:color="auto" w:fill="auto"/>
            <w:noWrap/>
            <w:vAlign w:val="bottom"/>
            <w:hideMark/>
          </w:tcPr>
          <w:p w14:paraId="38BE3C88"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2.08 </w:t>
            </w:r>
          </w:p>
        </w:tc>
        <w:tc>
          <w:tcPr>
            <w:tcW w:w="446" w:type="pct"/>
            <w:tcBorders>
              <w:top w:val="nil"/>
              <w:left w:val="nil"/>
              <w:bottom w:val="single" w:sz="4" w:space="0" w:color="auto"/>
              <w:right w:val="single" w:sz="4" w:space="0" w:color="auto"/>
            </w:tcBorders>
            <w:shd w:val="clear" w:color="auto" w:fill="auto"/>
            <w:noWrap/>
            <w:vAlign w:val="bottom"/>
            <w:hideMark/>
          </w:tcPr>
          <w:p w14:paraId="7524F329"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2.23 </w:t>
            </w:r>
          </w:p>
        </w:tc>
        <w:tc>
          <w:tcPr>
            <w:tcW w:w="446" w:type="pct"/>
            <w:tcBorders>
              <w:top w:val="nil"/>
              <w:left w:val="nil"/>
              <w:bottom w:val="single" w:sz="4" w:space="0" w:color="auto"/>
              <w:right w:val="single" w:sz="4" w:space="0" w:color="auto"/>
            </w:tcBorders>
            <w:shd w:val="clear" w:color="auto" w:fill="auto"/>
            <w:noWrap/>
            <w:vAlign w:val="bottom"/>
            <w:hideMark/>
          </w:tcPr>
          <w:p w14:paraId="25917038"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2.28 </w:t>
            </w:r>
          </w:p>
        </w:tc>
        <w:tc>
          <w:tcPr>
            <w:tcW w:w="446" w:type="pct"/>
            <w:tcBorders>
              <w:top w:val="nil"/>
              <w:left w:val="nil"/>
              <w:bottom w:val="single" w:sz="4" w:space="0" w:color="auto"/>
              <w:right w:val="single" w:sz="4" w:space="0" w:color="auto"/>
            </w:tcBorders>
            <w:shd w:val="clear" w:color="auto" w:fill="auto"/>
            <w:noWrap/>
            <w:vAlign w:val="bottom"/>
            <w:hideMark/>
          </w:tcPr>
          <w:p w14:paraId="578AE5CA"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2.22 </w:t>
            </w:r>
          </w:p>
        </w:tc>
        <w:tc>
          <w:tcPr>
            <w:tcW w:w="446" w:type="pct"/>
            <w:tcBorders>
              <w:top w:val="nil"/>
              <w:left w:val="nil"/>
              <w:bottom w:val="single" w:sz="4" w:space="0" w:color="auto"/>
              <w:right w:val="single" w:sz="4" w:space="0" w:color="auto"/>
            </w:tcBorders>
            <w:shd w:val="clear" w:color="auto" w:fill="auto"/>
            <w:noWrap/>
            <w:vAlign w:val="bottom"/>
            <w:hideMark/>
          </w:tcPr>
          <w:p w14:paraId="069E613C"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2.16 </w:t>
            </w:r>
          </w:p>
        </w:tc>
        <w:tc>
          <w:tcPr>
            <w:tcW w:w="446" w:type="pct"/>
            <w:tcBorders>
              <w:top w:val="nil"/>
              <w:left w:val="nil"/>
              <w:bottom w:val="single" w:sz="4" w:space="0" w:color="auto"/>
              <w:right w:val="single" w:sz="4" w:space="0" w:color="auto"/>
            </w:tcBorders>
            <w:shd w:val="clear" w:color="auto" w:fill="auto"/>
            <w:noWrap/>
            <w:vAlign w:val="bottom"/>
            <w:hideMark/>
          </w:tcPr>
          <w:p w14:paraId="0504EF07"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2.05 </w:t>
            </w:r>
          </w:p>
        </w:tc>
        <w:tc>
          <w:tcPr>
            <w:tcW w:w="449" w:type="pct"/>
            <w:tcBorders>
              <w:top w:val="nil"/>
              <w:left w:val="nil"/>
              <w:bottom w:val="single" w:sz="4" w:space="0" w:color="auto"/>
              <w:right w:val="single" w:sz="4" w:space="0" w:color="auto"/>
            </w:tcBorders>
            <w:shd w:val="clear" w:color="auto" w:fill="auto"/>
            <w:noWrap/>
            <w:vAlign w:val="bottom"/>
            <w:hideMark/>
          </w:tcPr>
          <w:p w14:paraId="295283CF"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2.01 </w:t>
            </w:r>
          </w:p>
        </w:tc>
      </w:tr>
      <w:tr w:rsidR="00EC3FE2" w:rsidRPr="00EC3FE2" w14:paraId="24110346" w14:textId="77777777" w:rsidTr="00701B18">
        <w:trPr>
          <w:trHeight w:val="387"/>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1619B4FF"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Actividades recreativas, cultura y religión</w:t>
            </w:r>
          </w:p>
        </w:tc>
        <w:tc>
          <w:tcPr>
            <w:tcW w:w="446" w:type="pct"/>
            <w:tcBorders>
              <w:top w:val="nil"/>
              <w:left w:val="nil"/>
              <w:bottom w:val="single" w:sz="4" w:space="0" w:color="auto"/>
              <w:right w:val="single" w:sz="4" w:space="0" w:color="auto"/>
            </w:tcBorders>
            <w:shd w:val="clear" w:color="auto" w:fill="auto"/>
            <w:noWrap/>
            <w:vAlign w:val="bottom"/>
            <w:hideMark/>
          </w:tcPr>
          <w:p w14:paraId="73416989"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0.27 </w:t>
            </w:r>
          </w:p>
        </w:tc>
        <w:tc>
          <w:tcPr>
            <w:tcW w:w="446" w:type="pct"/>
            <w:tcBorders>
              <w:top w:val="nil"/>
              <w:left w:val="nil"/>
              <w:bottom w:val="single" w:sz="4" w:space="0" w:color="auto"/>
              <w:right w:val="single" w:sz="4" w:space="0" w:color="auto"/>
            </w:tcBorders>
            <w:shd w:val="clear" w:color="auto" w:fill="auto"/>
            <w:noWrap/>
            <w:vAlign w:val="bottom"/>
            <w:hideMark/>
          </w:tcPr>
          <w:p w14:paraId="2F7A90E0"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0.26 </w:t>
            </w:r>
          </w:p>
        </w:tc>
        <w:tc>
          <w:tcPr>
            <w:tcW w:w="446" w:type="pct"/>
            <w:tcBorders>
              <w:top w:val="nil"/>
              <w:left w:val="nil"/>
              <w:bottom w:val="single" w:sz="4" w:space="0" w:color="auto"/>
              <w:right w:val="single" w:sz="4" w:space="0" w:color="auto"/>
            </w:tcBorders>
            <w:shd w:val="clear" w:color="auto" w:fill="auto"/>
            <w:noWrap/>
            <w:vAlign w:val="bottom"/>
            <w:hideMark/>
          </w:tcPr>
          <w:p w14:paraId="0C14AEA1"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0.28 </w:t>
            </w:r>
          </w:p>
        </w:tc>
        <w:tc>
          <w:tcPr>
            <w:tcW w:w="446" w:type="pct"/>
            <w:tcBorders>
              <w:top w:val="nil"/>
              <w:left w:val="nil"/>
              <w:bottom w:val="single" w:sz="4" w:space="0" w:color="auto"/>
              <w:right w:val="single" w:sz="4" w:space="0" w:color="auto"/>
            </w:tcBorders>
            <w:shd w:val="clear" w:color="auto" w:fill="auto"/>
            <w:noWrap/>
            <w:vAlign w:val="bottom"/>
            <w:hideMark/>
          </w:tcPr>
          <w:p w14:paraId="107C1462"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0.27 </w:t>
            </w:r>
          </w:p>
        </w:tc>
        <w:tc>
          <w:tcPr>
            <w:tcW w:w="446" w:type="pct"/>
            <w:tcBorders>
              <w:top w:val="nil"/>
              <w:left w:val="nil"/>
              <w:bottom w:val="single" w:sz="4" w:space="0" w:color="auto"/>
              <w:right w:val="single" w:sz="4" w:space="0" w:color="auto"/>
            </w:tcBorders>
            <w:shd w:val="clear" w:color="auto" w:fill="auto"/>
            <w:noWrap/>
            <w:vAlign w:val="bottom"/>
            <w:hideMark/>
          </w:tcPr>
          <w:p w14:paraId="0326A86E"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0.27 </w:t>
            </w:r>
          </w:p>
        </w:tc>
        <w:tc>
          <w:tcPr>
            <w:tcW w:w="446" w:type="pct"/>
            <w:tcBorders>
              <w:top w:val="nil"/>
              <w:left w:val="nil"/>
              <w:bottom w:val="single" w:sz="4" w:space="0" w:color="auto"/>
              <w:right w:val="single" w:sz="4" w:space="0" w:color="auto"/>
            </w:tcBorders>
            <w:shd w:val="clear" w:color="auto" w:fill="auto"/>
            <w:noWrap/>
            <w:vAlign w:val="bottom"/>
            <w:hideMark/>
          </w:tcPr>
          <w:p w14:paraId="7D18399B"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0.23 </w:t>
            </w:r>
          </w:p>
        </w:tc>
        <w:tc>
          <w:tcPr>
            <w:tcW w:w="446" w:type="pct"/>
            <w:tcBorders>
              <w:top w:val="nil"/>
              <w:left w:val="nil"/>
              <w:bottom w:val="single" w:sz="4" w:space="0" w:color="auto"/>
              <w:right w:val="single" w:sz="4" w:space="0" w:color="auto"/>
            </w:tcBorders>
            <w:shd w:val="clear" w:color="auto" w:fill="auto"/>
            <w:noWrap/>
            <w:vAlign w:val="bottom"/>
            <w:hideMark/>
          </w:tcPr>
          <w:p w14:paraId="2566F19D"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0.24 </w:t>
            </w:r>
          </w:p>
        </w:tc>
        <w:tc>
          <w:tcPr>
            <w:tcW w:w="446" w:type="pct"/>
            <w:tcBorders>
              <w:top w:val="nil"/>
              <w:left w:val="nil"/>
              <w:bottom w:val="single" w:sz="4" w:space="0" w:color="auto"/>
              <w:right w:val="single" w:sz="4" w:space="0" w:color="auto"/>
            </w:tcBorders>
            <w:shd w:val="clear" w:color="auto" w:fill="auto"/>
            <w:noWrap/>
            <w:vAlign w:val="bottom"/>
            <w:hideMark/>
          </w:tcPr>
          <w:p w14:paraId="794FD9A4"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0.25 </w:t>
            </w:r>
          </w:p>
        </w:tc>
        <w:tc>
          <w:tcPr>
            <w:tcW w:w="449" w:type="pct"/>
            <w:tcBorders>
              <w:top w:val="nil"/>
              <w:left w:val="nil"/>
              <w:bottom w:val="single" w:sz="4" w:space="0" w:color="auto"/>
              <w:right w:val="single" w:sz="4" w:space="0" w:color="auto"/>
            </w:tcBorders>
            <w:shd w:val="clear" w:color="auto" w:fill="auto"/>
            <w:noWrap/>
            <w:vAlign w:val="bottom"/>
            <w:hideMark/>
          </w:tcPr>
          <w:p w14:paraId="075D5EF8"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0.26 </w:t>
            </w:r>
          </w:p>
        </w:tc>
      </w:tr>
      <w:tr w:rsidR="00EC3FE2" w:rsidRPr="00EC3FE2" w14:paraId="45C6DE70" w14:textId="77777777" w:rsidTr="00701B18">
        <w:trPr>
          <w:trHeight w:val="30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3BB74A3B"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Educación</w:t>
            </w:r>
          </w:p>
        </w:tc>
        <w:tc>
          <w:tcPr>
            <w:tcW w:w="446" w:type="pct"/>
            <w:tcBorders>
              <w:top w:val="nil"/>
              <w:left w:val="nil"/>
              <w:bottom w:val="single" w:sz="4" w:space="0" w:color="auto"/>
              <w:right w:val="single" w:sz="4" w:space="0" w:color="auto"/>
            </w:tcBorders>
            <w:shd w:val="clear" w:color="auto" w:fill="auto"/>
            <w:noWrap/>
            <w:vAlign w:val="bottom"/>
            <w:hideMark/>
          </w:tcPr>
          <w:p w14:paraId="01A77CF3"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3.09 </w:t>
            </w:r>
          </w:p>
        </w:tc>
        <w:tc>
          <w:tcPr>
            <w:tcW w:w="446" w:type="pct"/>
            <w:tcBorders>
              <w:top w:val="nil"/>
              <w:left w:val="nil"/>
              <w:bottom w:val="single" w:sz="4" w:space="0" w:color="auto"/>
              <w:right w:val="single" w:sz="4" w:space="0" w:color="auto"/>
            </w:tcBorders>
            <w:shd w:val="clear" w:color="auto" w:fill="auto"/>
            <w:noWrap/>
            <w:vAlign w:val="bottom"/>
            <w:hideMark/>
          </w:tcPr>
          <w:p w14:paraId="11711CA5"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3.02 </w:t>
            </w:r>
          </w:p>
        </w:tc>
        <w:tc>
          <w:tcPr>
            <w:tcW w:w="446" w:type="pct"/>
            <w:tcBorders>
              <w:top w:val="nil"/>
              <w:left w:val="nil"/>
              <w:bottom w:val="single" w:sz="4" w:space="0" w:color="auto"/>
              <w:right w:val="single" w:sz="4" w:space="0" w:color="auto"/>
            </w:tcBorders>
            <w:shd w:val="clear" w:color="auto" w:fill="auto"/>
            <w:noWrap/>
            <w:vAlign w:val="bottom"/>
            <w:hideMark/>
          </w:tcPr>
          <w:p w14:paraId="3B64996B"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3.01 </w:t>
            </w:r>
          </w:p>
        </w:tc>
        <w:tc>
          <w:tcPr>
            <w:tcW w:w="446" w:type="pct"/>
            <w:tcBorders>
              <w:top w:val="nil"/>
              <w:left w:val="nil"/>
              <w:bottom w:val="single" w:sz="4" w:space="0" w:color="auto"/>
              <w:right w:val="single" w:sz="4" w:space="0" w:color="auto"/>
            </w:tcBorders>
            <w:shd w:val="clear" w:color="auto" w:fill="auto"/>
            <w:noWrap/>
            <w:vAlign w:val="bottom"/>
            <w:hideMark/>
          </w:tcPr>
          <w:p w14:paraId="1D5E7B0C"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3.02 </w:t>
            </w:r>
          </w:p>
        </w:tc>
        <w:tc>
          <w:tcPr>
            <w:tcW w:w="446" w:type="pct"/>
            <w:tcBorders>
              <w:top w:val="nil"/>
              <w:left w:val="nil"/>
              <w:bottom w:val="single" w:sz="4" w:space="0" w:color="auto"/>
              <w:right w:val="single" w:sz="4" w:space="0" w:color="auto"/>
            </w:tcBorders>
            <w:shd w:val="clear" w:color="auto" w:fill="auto"/>
            <w:noWrap/>
            <w:vAlign w:val="bottom"/>
            <w:hideMark/>
          </w:tcPr>
          <w:p w14:paraId="4CA33CFF"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3.08 </w:t>
            </w:r>
          </w:p>
        </w:tc>
        <w:tc>
          <w:tcPr>
            <w:tcW w:w="446" w:type="pct"/>
            <w:tcBorders>
              <w:top w:val="nil"/>
              <w:left w:val="nil"/>
              <w:bottom w:val="single" w:sz="4" w:space="0" w:color="auto"/>
              <w:right w:val="single" w:sz="4" w:space="0" w:color="auto"/>
            </w:tcBorders>
            <w:shd w:val="clear" w:color="auto" w:fill="auto"/>
            <w:noWrap/>
            <w:vAlign w:val="bottom"/>
            <w:hideMark/>
          </w:tcPr>
          <w:p w14:paraId="2D67E0F9"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3.08 </w:t>
            </w:r>
          </w:p>
        </w:tc>
        <w:tc>
          <w:tcPr>
            <w:tcW w:w="446" w:type="pct"/>
            <w:tcBorders>
              <w:top w:val="nil"/>
              <w:left w:val="nil"/>
              <w:bottom w:val="single" w:sz="4" w:space="0" w:color="auto"/>
              <w:right w:val="single" w:sz="4" w:space="0" w:color="auto"/>
            </w:tcBorders>
            <w:shd w:val="clear" w:color="auto" w:fill="auto"/>
            <w:noWrap/>
            <w:vAlign w:val="bottom"/>
            <w:hideMark/>
          </w:tcPr>
          <w:p w14:paraId="052E7E3D"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2.94 </w:t>
            </w:r>
          </w:p>
        </w:tc>
        <w:tc>
          <w:tcPr>
            <w:tcW w:w="446" w:type="pct"/>
            <w:tcBorders>
              <w:top w:val="nil"/>
              <w:left w:val="nil"/>
              <w:bottom w:val="single" w:sz="4" w:space="0" w:color="auto"/>
              <w:right w:val="single" w:sz="4" w:space="0" w:color="auto"/>
            </w:tcBorders>
            <w:shd w:val="clear" w:color="auto" w:fill="auto"/>
            <w:noWrap/>
            <w:vAlign w:val="bottom"/>
            <w:hideMark/>
          </w:tcPr>
          <w:p w14:paraId="63AD8C1A"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2.92 </w:t>
            </w:r>
          </w:p>
        </w:tc>
        <w:tc>
          <w:tcPr>
            <w:tcW w:w="449" w:type="pct"/>
            <w:tcBorders>
              <w:top w:val="nil"/>
              <w:left w:val="nil"/>
              <w:bottom w:val="single" w:sz="4" w:space="0" w:color="auto"/>
              <w:right w:val="single" w:sz="4" w:space="0" w:color="auto"/>
            </w:tcBorders>
            <w:shd w:val="clear" w:color="auto" w:fill="auto"/>
            <w:noWrap/>
            <w:vAlign w:val="bottom"/>
            <w:hideMark/>
          </w:tcPr>
          <w:p w14:paraId="13E4A627"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3.06 </w:t>
            </w:r>
          </w:p>
        </w:tc>
      </w:tr>
      <w:tr w:rsidR="00EC3FE2" w:rsidRPr="00EC3FE2" w14:paraId="4C40714D" w14:textId="77777777" w:rsidTr="00701B18">
        <w:trPr>
          <w:trHeight w:val="30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79505855"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Protección social</w:t>
            </w:r>
          </w:p>
        </w:tc>
        <w:tc>
          <w:tcPr>
            <w:tcW w:w="446" w:type="pct"/>
            <w:tcBorders>
              <w:top w:val="nil"/>
              <w:left w:val="nil"/>
              <w:bottom w:val="single" w:sz="4" w:space="0" w:color="auto"/>
              <w:right w:val="single" w:sz="4" w:space="0" w:color="auto"/>
            </w:tcBorders>
            <w:shd w:val="clear" w:color="auto" w:fill="auto"/>
            <w:noWrap/>
            <w:vAlign w:val="bottom"/>
            <w:hideMark/>
          </w:tcPr>
          <w:p w14:paraId="1A59B96E"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3.21 </w:t>
            </w:r>
          </w:p>
        </w:tc>
        <w:tc>
          <w:tcPr>
            <w:tcW w:w="446" w:type="pct"/>
            <w:tcBorders>
              <w:top w:val="nil"/>
              <w:left w:val="nil"/>
              <w:bottom w:val="single" w:sz="4" w:space="0" w:color="auto"/>
              <w:right w:val="single" w:sz="4" w:space="0" w:color="auto"/>
            </w:tcBorders>
            <w:shd w:val="clear" w:color="auto" w:fill="auto"/>
            <w:noWrap/>
            <w:vAlign w:val="bottom"/>
            <w:hideMark/>
          </w:tcPr>
          <w:p w14:paraId="7F2B70DF"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2.91 </w:t>
            </w:r>
          </w:p>
        </w:tc>
        <w:tc>
          <w:tcPr>
            <w:tcW w:w="446" w:type="pct"/>
            <w:tcBorders>
              <w:top w:val="nil"/>
              <w:left w:val="nil"/>
              <w:bottom w:val="single" w:sz="4" w:space="0" w:color="auto"/>
              <w:right w:val="single" w:sz="4" w:space="0" w:color="auto"/>
            </w:tcBorders>
            <w:shd w:val="clear" w:color="auto" w:fill="auto"/>
            <w:noWrap/>
            <w:vAlign w:val="bottom"/>
            <w:hideMark/>
          </w:tcPr>
          <w:p w14:paraId="409618E4"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2.95 </w:t>
            </w:r>
          </w:p>
        </w:tc>
        <w:tc>
          <w:tcPr>
            <w:tcW w:w="446" w:type="pct"/>
            <w:tcBorders>
              <w:top w:val="nil"/>
              <w:left w:val="nil"/>
              <w:bottom w:val="single" w:sz="4" w:space="0" w:color="auto"/>
              <w:right w:val="single" w:sz="4" w:space="0" w:color="auto"/>
            </w:tcBorders>
            <w:shd w:val="clear" w:color="auto" w:fill="auto"/>
            <w:noWrap/>
            <w:vAlign w:val="bottom"/>
            <w:hideMark/>
          </w:tcPr>
          <w:p w14:paraId="5945C2A9"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2.93 </w:t>
            </w:r>
          </w:p>
        </w:tc>
        <w:tc>
          <w:tcPr>
            <w:tcW w:w="446" w:type="pct"/>
            <w:tcBorders>
              <w:top w:val="nil"/>
              <w:left w:val="nil"/>
              <w:bottom w:val="single" w:sz="4" w:space="0" w:color="auto"/>
              <w:right w:val="single" w:sz="4" w:space="0" w:color="auto"/>
            </w:tcBorders>
            <w:shd w:val="clear" w:color="auto" w:fill="auto"/>
            <w:noWrap/>
            <w:vAlign w:val="bottom"/>
            <w:hideMark/>
          </w:tcPr>
          <w:p w14:paraId="6449B372"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2.83 </w:t>
            </w:r>
          </w:p>
        </w:tc>
        <w:tc>
          <w:tcPr>
            <w:tcW w:w="446" w:type="pct"/>
            <w:tcBorders>
              <w:top w:val="nil"/>
              <w:left w:val="nil"/>
              <w:bottom w:val="single" w:sz="4" w:space="0" w:color="auto"/>
              <w:right w:val="single" w:sz="4" w:space="0" w:color="auto"/>
            </w:tcBorders>
            <w:shd w:val="clear" w:color="auto" w:fill="auto"/>
            <w:noWrap/>
            <w:vAlign w:val="bottom"/>
            <w:hideMark/>
          </w:tcPr>
          <w:p w14:paraId="7A760563"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2.53 </w:t>
            </w:r>
          </w:p>
        </w:tc>
        <w:tc>
          <w:tcPr>
            <w:tcW w:w="446" w:type="pct"/>
            <w:tcBorders>
              <w:top w:val="nil"/>
              <w:left w:val="nil"/>
              <w:bottom w:val="single" w:sz="4" w:space="0" w:color="auto"/>
              <w:right w:val="single" w:sz="4" w:space="0" w:color="auto"/>
            </w:tcBorders>
            <w:shd w:val="clear" w:color="auto" w:fill="auto"/>
            <w:noWrap/>
            <w:vAlign w:val="bottom"/>
            <w:hideMark/>
          </w:tcPr>
          <w:p w14:paraId="1CB9932A"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2.46 </w:t>
            </w:r>
          </w:p>
        </w:tc>
        <w:tc>
          <w:tcPr>
            <w:tcW w:w="446" w:type="pct"/>
            <w:tcBorders>
              <w:top w:val="nil"/>
              <w:left w:val="nil"/>
              <w:bottom w:val="single" w:sz="4" w:space="0" w:color="auto"/>
              <w:right w:val="single" w:sz="4" w:space="0" w:color="auto"/>
            </w:tcBorders>
            <w:shd w:val="clear" w:color="auto" w:fill="auto"/>
            <w:noWrap/>
            <w:vAlign w:val="bottom"/>
            <w:hideMark/>
          </w:tcPr>
          <w:p w14:paraId="164F70D3"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2.41 </w:t>
            </w:r>
          </w:p>
        </w:tc>
        <w:tc>
          <w:tcPr>
            <w:tcW w:w="449" w:type="pct"/>
            <w:tcBorders>
              <w:top w:val="nil"/>
              <w:left w:val="nil"/>
              <w:bottom w:val="single" w:sz="4" w:space="0" w:color="auto"/>
              <w:right w:val="single" w:sz="4" w:space="0" w:color="auto"/>
            </w:tcBorders>
            <w:shd w:val="clear" w:color="auto" w:fill="auto"/>
            <w:noWrap/>
            <w:vAlign w:val="bottom"/>
            <w:hideMark/>
          </w:tcPr>
          <w:p w14:paraId="00A81BD5" w14:textId="77777777" w:rsidR="00EC3FE2" w:rsidRPr="00EC3FE2" w:rsidRDefault="00EC3FE2" w:rsidP="00EC3FE2">
            <w:pPr>
              <w:spacing w:after="0" w:line="240" w:lineRule="auto"/>
              <w:rPr>
                <w:rFonts w:eastAsia="Times New Roman" w:cs="Times New Roman"/>
                <w:color w:val="000000"/>
                <w:sz w:val="16"/>
                <w:lang w:eastAsia="es-GT"/>
              </w:rPr>
            </w:pPr>
            <w:r w:rsidRPr="00EC3FE2">
              <w:rPr>
                <w:rFonts w:eastAsia="Times New Roman" w:cs="Times New Roman"/>
                <w:color w:val="000000"/>
                <w:sz w:val="16"/>
                <w:lang w:eastAsia="es-GT"/>
              </w:rPr>
              <w:t xml:space="preserve">          2.50 </w:t>
            </w:r>
          </w:p>
        </w:tc>
      </w:tr>
      <w:tr w:rsidR="00EC3FE2" w:rsidRPr="00EC3FE2" w14:paraId="08879657" w14:textId="77777777" w:rsidTr="00701B18">
        <w:trPr>
          <w:trHeight w:val="300"/>
        </w:trPr>
        <w:tc>
          <w:tcPr>
            <w:tcW w:w="986" w:type="pct"/>
            <w:tcBorders>
              <w:top w:val="nil"/>
              <w:left w:val="single" w:sz="4" w:space="0" w:color="auto"/>
              <w:bottom w:val="single" w:sz="4" w:space="0" w:color="auto"/>
              <w:right w:val="single" w:sz="4" w:space="0" w:color="auto"/>
            </w:tcBorders>
            <w:shd w:val="clear" w:color="auto" w:fill="auto"/>
            <w:vAlign w:val="bottom"/>
            <w:hideMark/>
          </w:tcPr>
          <w:p w14:paraId="5F477648"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Total</w:t>
            </w:r>
          </w:p>
        </w:tc>
        <w:tc>
          <w:tcPr>
            <w:tcW w:w="446" w:type="pct"/>
            <w:tcBorders>
              <w:top w:val="nil"/>
              <w:left w:val="nil"/>
              <w:bottom w:val="single" w:sz="4" w:space="0" w:color="auto"/>
              <w:right w:val="single" w:sz="4" w:space="0" w:color="auto"/>
            </w:tcBorders>
            <w:shd w:val="clear" w:color="auto" w:fill="auto"/>
            <w:noWrap/>
            <w:vAlign w:val="bottom"/>
            <w:hideMark/>
          </w:tcPr>
          <w:p w14:paraId="53918F42"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 xml:space="preserve">          9.33 </w:t>
            </w:r>
          </w:p>
        </w:tc>
        <w:tc>
          <w:tcPr>
            <w:tcW w:w="446" w:type="pct"/>
            <w:tcBorders>
              <w:top w:val="nil"/>
              <w:left w:val="nil"/>
              <w:bottom w:val="single" w:sz="4" w:space="0" w:color="auto"/>
              <w:right w:val="single" w:sz="4" w:space="0" w:color="auto"/>
            </w:tcBorders>
            <w:shd w:val="clear" w:color="auto" w:fill="auto"/>
            <w:noWrap/>
            <w:vAlign w:val="bottom"/>
            <w:hideMark/>
          </w:tcPr>
          <w:p w14:paraId="1231AE6C"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 xml:space="preserve">          8.81 </w:t>
            </w:r>
          </w:p>
        </w:tc>
        <w:tc>
          <w:tcPr>
            <w:tcW w:w="446" w:type="pct"/>
            <w:tcBorders>
              <w:top w:val="nil"/>
              <w:left w:val="nil"/>
              <w:bottom w:val="single" w:sz="4" w:space="0" w:color="auto"/>
              <w:right w:val="single" w:sz="4" w:space="0" w:color="auto"/>
            </w:tcBorders>
            <w:shd w:val="clear" w:color="auto" w:fill="auto"/>
            <w:noWrap/>
            <w:vAlign w:val="bottom"/>
            <w:hideMark/>
          </w:tcPr>
          <w:p w14:paraId="16FD17BD"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 xml:space="preserve">          8.84 </w:t>
            </w:r>
          </w:p>
        </w:tc>
        <w:tc>
          <w:tcPr>
            <w:tcW w:w="446" w:type="pct"/>
            <w:tcBorders>
              <w:top w:val="nil"/>
              <w:left w:val="nil"/>
              <w:bottom w:val="single" w:sz="4" w:space="0" w:color="auto"/>
              <w:right w:val="single" w:sz="4" w:space="0" w:color="auto"/>
            </w:tcBorders>
            <w:shd w:val="clear" w:color="auto" w:fill="auto"/>
            <w:noWrap/>
            <w:vAlign w:val="bottom"/>
            <w:hideMark/>
          </w:tcPr>
          <w:p w14:paraId="06847179"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 xml:space="preserve">          8.92 </w:t>
            </w:r>
          </w:p>
        </w:tc>
        <w:tc>
          <w:tcPr>
            <w:tcW w:w="446" w:type="pct"/>
            <w:tcBorders>
              <w:top w:val="nil"/>
              <w:left w:val="nil"/>
              <w:bottom w:val="single" w:sz="4" w:space="0" w:color="auto"/>
              <w:right w:val="single" w:sz="4" w:space="0" w:color="auto"/>
            </w:tcBorders>
            <w:shd w:val="clear" w:color="auto" w:fill="auto"/>
            <w:noWrap/>
            <w:vAlign w:val="bottom"/>
            <w:hideMark/>
          </w:tcPr>
          <w:p w14:paraId="2201F132"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 xml:space="preserve">          8.83 </w:t>
            </w:r>
          </w:p>
        </w:tc>
        <w:tc>
          <w:tcPr>
            <w:tcW w:w="446" w:type="pct"/>
            <w:tcBorders>
              <w:top w:val="nil"/>
              <w:left w:val="nil"/>
              <w:bottom w:val="single" w:sz="4" w:space="0" w:color="auto"/>
              <w:right w:val="single" w:sz="4" w:space="0" w:color="auto"/>
            </w:tcBorders>
            <w:shd w:val="clear" w:color="auto" w:fill="auto"/>
            <w:noWrap/>
            <w:vAlign w:val="bottom"/>
            <w:hideMark/>
          </w:tcPr>
          <w:p w14:paraId="3F8ED485"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 xml:space="preserve">          8.26 </w:t>
            </w:r>
          </w:p>
        </w:tc>
        <w:tc>
          <w:tcPr>
            <w:tcW w:w="446" w:type="pct"/>
            <w:tcBorders>
              <w:top w:val="nil"/>
              <w:left w:val="nil"/>
              <w:bottom w:val="single" w:sz="4" w:space="0" w:color="auto"/>
              <w:right w:val="single" w:sz="4" w:space="0" w:color="auto"/>
            </w:tcBorders>
            <w:shd w:val="clear" w:color="auto" w:fill="auto"/>
            <w:noWrap/>
            <w:vAlign w:val="bottom"/>
            <w:hideMark/>
          </w:tcPr>
          <w:p w14:paraId="657BC57C"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 xml:space="preserve">          8.01 </w:t>
            </w:r>
          </w:p>
        </w:tc>
        <w:tc>
          <w:tcPr>
            <w:tcW w:w="446" w:type="pct"/>
            <w:tcBorders>
              <w:top w:val="nil"/>
              <w:left w:val="nil"/>
              <w:bottom w:val="single" w:sz="4" w:space="0" w:color="auto"/>
              <w:right w:val="single" w:sz="4" w:space="0" w:color="auto"/>
            </w:tcBorders>
            <w:shd w:val="clear" w:color="auto" w:fill="auto"/>
            <w:noWrap/>
            <w:vAlign w:val="bottom"/>
            <w:hideMark/>
          </w:tcPr>
          <w:p w14:paraId="585417B6"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 xml:space="preserve">          7.92 </w:t>
            </w:r>
          </w:p>
        </w:tc>
        <w:tc>
          <w:tcPr>
            <w:tcW w:w="449" w:type="pct"/>
            <w:tcBorders>
              <w:top w:val="nil"/>
              <w:left w:val="nil"/>
              <w:bottom w:val="single" w:sz="4" w:space="0" w:color="auto"/>
              <w:right w:val="single" w:sz="4" w:space="0" w:color="auto"/>
            </w:tcBorders>
            <w:shd w:val="clear" w:color="auto" w:fill="auto"/>
            <w:noWrap/>
            <w:vAlign w:val="bottom"/>
            <w:hideMark/>
          </w:tcPr>
          <w:p w14:paraId="2D1E9003" w14:textId="77777777" w:rsidR="00EC3FE2" w:rsidRPr="00EC3FE2" w:rsidRDefault="00EC3FE2" w:rsidP="00EC3FE2">
            <w:pPr>
              <w:spacing w:after="0" w:line="240" w:lineRule="auto"/>
              <w:rPr>
                <w:rFonts w:eastAsia="Times New Roman" w:cs="Times New Roman"/>
                <w:b/>
                <w:bCs/>
                <w:color w:val="000000"/>
                <w:sz w:val="16"/>
                <w:lang w:eastAsia="es-GT"/>
              </w:rPr>
            </w:pPr>
            <w:r w:rsidRPr="00EC3FE2">
              <w:rPr>
                <w:rFonts w:eastAsia="Times New Roman" w:cs="Times New Roman"/>
                <w:b/>
                <w:bCs/>
                <w:color w:val="000000"/>
                <w:sz w:val="16"/>
                <w:lang w:eastAsia="es-GT"/>
              </w:rPr>
              <w:t xml:space="preserve">          8.18 </w:t>
            </w:r>
          </w:p>
        </w:tc>
      </w:tr>
      <w:tr w:rsidR="00D96C6A" w:rsidRPr="00D96C6A" w14:paraId="7A88135C" w14:textId="77777777" w:rsidTr="00701B18">
        <w:trPr>
          <w:trHeight w:val="300"/>
        </w:trPr>
        <w:tc>
          <w:tcPr>
            <w:tcW w:w="5000" w:type="pct"/>
            <w:gridSpan w:val="10"/>
            <w:tcBorders>
              <w:top w:val="nil"/>
              <w:left w:val="nil"/>
              <w:bottom w:val="nil"/>
              <w:right w:val="nil"/>
            </w:tcBorders>
            <w:shd w:val="clear" w:color="auto" w:fill="auto"/>
            <w:noWrap/>
            <w:vAlign w:val="center"/>
            <w:hideMark/>
          </w:tcPr>
          <w:p w14:paraId="549F3383" w14:textId="77777777" w:rsidR="00D96C6A" w:rsidRPr="00701B18" w:rsidRDefault="00D96C6A" w:rsidP="00D96C6A">
            <w:pPr>
              <w:spacing w:after="0" w:line="240" w:lineRule="auto"/>
              <w:rPr>
                <w:rFonts w:eastAsia="Times New Roman" w:cs="Arial"/>
                <w:color w:val="000000"/>
                <w:sz w:val="18"/>
                <w:lang w:eastAsia="es-GT"/>
              </w:rPr>
            </w:pPr>
            <w:r w:rsidRPr="00701B18">
              <w:rPr>
                <w:rFonts w:eastAsia="Times New Roman" w:cs="Arial"/>
                <w:bCs/>
                <w:color w:val="000000"/>
                <w:sz w:val="18"/>
                <w:lang w:eastAsia="es-GT"/>
              </w:rPr>
              <w:t>Fuente:</w:t>
            </w:r>
            <w:r w:rsidRPr="00701B18">
              <w:rPr>
                <w:rFonts w:eastAsia="Times New Roman" w:cs="Arial"/>
                <w:color w:val="000000"/>
                <w:sz w:val="18"/>
                <w:lang w:eastAsia="es-GT"/>
              </w:rPr>
              <w:t xml:space="preserve"> Icefi con base en el Sistema de Contabilidad Integrada (Sicoin) del Ministerio de Finanzas Públicas</w:t>
            </w:r>
          </w:p>
        </w:tc>
      </w:tr>
      <w:tr w:rsidR="00D96C6A" w:rsidRPr="00D96C6A" w14:paraId="44A52688" w14:textId="77777777" w:rsidTr="00701B18">
        <w:trPr>
          <w:trHeight w:val="300"/>
        </w:trPr>
        <w:tc>
          <w:tcPr>
            <w:tcW w:w="5000" w:type="pct"/>
            <w:gridSpan w:val="10"/>
            <w:tcBorders>
              <w:top w:val="nil"/>
              <w:left w:val="nil"/>
              <w:bottom w:val="nil"/>
              <w:right w:val="nil"/>
            </w:tcBorders>
            <w:shd w:val="clear" w:color="auto" w:fill="auto"/>
            <w:noWrap/>
            <w:vAlign w:val="bottom"/>
            <w:hideMark/>
          </w:tcPr>
          <w:p w14:paraId="515BAA68" w14:textId="77777777" w:rsidR="00D96C6A" w:rsidRPr="00701B18" w:rsidRDefault="00D96C6A" w:rsidP="00D96C6A">
            <w:pPr>
              <w:spacing w:after="0" w:line="240" w:lineRule="auto"/>
              <w:rPr>
                <w:rFonts w:eastAsia="Times New Roman" w:cs="Arial"/>
                <w:bCs/>
                <w:color w:val="000000"/>
                <w:sz w:val="18"/>
                <w:lang w:eastAsia="es-GT"/>
              </w:rPr>
            </w:pPr>
            <w:r w:rsidRPr="00701B18">
              <w:rPr>
                <w:rFonts w:eastAsia="Times New Roman" w:cs="Arial"/>
                <w:bCs/>
                <w:color w:val="000000"/>
                <w:sz w:val="18"/>
                <w:lang w:eastAsia="es-GT"/>
              </w:rPr>
              <w:t>Nota:</w:t>
            </w:r>
            <w:r w:rsidRPr="00701B18">
              <w:rPr>
                <w:rFonts w:eastAsia="Times New Roman" w:cs="Arial"/>
                <w:color w:val="000000"/>
                <w:sz w:val="18"/>
                <w:lang w:eastAsia="es-GT"/>
              </w:rPr>
              <w:t xml:space="preserve"> El Gasto Público Social incluye las funciones de gobierno 705 (Protección del Medio Ambiente); 706 (Vivienda y Servicios Comunitarios); 707 (Salud); 708 (Actividades Recreativas, Cultura y Religión); 709 (Educación) y 710 (Protección Social), según la clasificación de funciones de gobierno del Fondo Monetario Internacional (FMI).</w:t>
            </w:r>
          </w:p>
        </w:tc>
      </w:tr>
    </w:tbl>
    <w:p w14:paraId="0EC40594" w14:textId="77777777" w:rsidR="00D96C6A" w:rsidRDefault="00D96C6A" w:rsidP="00DA3855">
      <w:pPr>
        <w:jc w:val="both"/>
        <w:rPr>
          <w:sz w:val="24"/>
        </w:rPr>
      </w:pPr>
    </w:p>
    <w:p w14:paraId="1116ADE6" w14:textId="77777777" w:rsidR="00EC3FE2" w:rsidRPr="00701B18" w:rsidRDefault="00AC66F5" w:rsidP="00DA3855">
      <w:pPr>
        <w:jc w:val="both"/>
      </w:pPr>
      <w:r w:rsidRPr="00701B18">
        <w:t xml:space="preserve">Con una desagregación mayor, a nivel de </w:t>
      </w:r>
      <w:r w:rsidR="003C22A9" w:rsidRPr="00701B18">
        <w:t xml:space="preserve">grupo de gasto, se puede observar que </w:t>
      </w:r>
      <w:r w:rsidR="001765AE" w:rsidRPr="00701B18">
        <w:t xml:space="preserve">los rubros </w:t>
      </w:r>
      <w:r w:rsidR="00400A5F" w:rsidRPr="00701B18">
        <w:t xml:space="preserve">que han tenido </w:t>
      </w:r>
      <w:r w:rsidR="000E6FE7" w:rsidRPr="00701B18">
        <w:t xml:space="preserve">los </w:t>
      </w:r>
      <w:r w:rsidR="001765AE" w:rsidRPr="00701B18">
        <w:t>recortes</w:t>
      </w:r>
      <w:r w:rsidR="000E6FE7" w:rsidRPr="00701B18">
        <w:t xml:space="preserve"> más importantes</w:t>
      </w:r>
      <w:r w:rsidR="00400A5F" w:rsidRPr="00701B18">
        <w:t xml:space="preserve">, </w:t>
      </w:r>
      <w:r w:rsidR="00D858D9" w:rsidRPr="00701B18">
        <w:t>entre 2010 y 2018, en términos reales,</w:t>
      </w:r>
      <w:r w:rsidR="001765AE" w:rsidRPr="00701B18">
        <w:t xml:space="preserve"> han sido </w:t>
      </w:r>
      <w:r w:rsidR="00D858D9" w:rsidRPr="000F72F8">
        <w:t>U</w:t>
      </w:r>
      <w:r w:rsidR="00D858D9" w:rsidRPr="00701B18">
        <w:t xml:space="preserve">rbanización (83.9%); el programa de protección social destinado a </w:t>
      </w:r>
      <w:r w:rsidR="00D858D9" w:rsidRPr="000F72F8">
        <w:t>F</w:t>
      </w:r>
      <w:r w:rsidR="00D858D9" w:rsidRPr="00701B18">
        <w:t xml:space="preserve">amilia e hijos (67.5%); acciones para </w:t>
      </w:r>
      <w:r w:rsidR="00D858D9" w:rsidRPr="000F72F8">
        <w:t>A</w:t>
      </w:r>
      <w:r w:rsidR="00D858D9" w:rsidRPr="00701B18">
        <w:t xml:space="preserve">bastecimiento de agua (61.2%); la Protección de la diversidad biológica y del paisaje (41.4%); la </w:t>
      </w:r>
      <w:r w:rsidR="00D858D9" w:rsidRPr="000F72F8">
        <w:t>E</w:t>
      </w:r>
      <w:r w:rsidR="00D858D9" w:rsidRPr="00701B18">
        <w:t xml:space="preserve">nseñanza secundaria avanzada (31.9%) y los </w:t>
      </w:r>
      <w:r w:rsidR="00D858D9" w:rsidRPr="000F72F8">
        <w:t>S</w:t>
      </w:r>
      <w:r w:rsidR="00D858D9" w:rsidRPr="00701B18">
        <w:t xml:space="preserve">ervicios médicos avanzados (30.6%). </w:t>
      </w:r>
      <w:r w:rsidR="00D858D9" w:rsidRPr="000F72F8">
        <w:t>A</w:t>
      </w:r>
      <w:r w:rsidR="00D858D9" w:rsidRPr="00701B18">
        <w:t xml:space="preserve">simismo, se contabiliza un recorte </w:t>
      </w:r>
      <w:r w:rsidR="009661CA" w:rsidRPr="00701B18">
        <w:t>significativo</w:t>
      </w:r>
      <w:r w:rsidR="00D858D9" w:rsidRPr="00701B18">
        <w:t xml:space="preserve"> en los rubros presupuestarios destinados a </w:t>
      </w:r>
      <w:r w:rsidR="00D858D9" w:rsidRPr="000F72F8">
        <w:t>S</w:t>
      </w:r>
      <w:r w:rsidR="00D858D9" w:rsidRPr="00701B18">
        <w:t>ervicios culturales (21.2%); Servicios hospitalarios especializados (18.0%); Enseñanza secundaria básica (11.2%), y en Servicios médicos generales (8.8%).</w:t>
      </w:r>
      <w:r w:rsidR="00EC0251" w:rsidRPr="00701B18">
        <w:rPr>
          <w:rStyle w:val="FootnoteReference"/>
        </w:rPr>
        <w:footnoteReference w:id="5"/>
      </w:r>
    </w:p>
    <w:p w14:paraId="2E1A0DB3" w14:textId="77777777" w:rsidR="009661CA" w:rsidRPr="00701B18" w:rsidRDefault="009661CA" w:rsidP="00DA3855">
      <w:pPr>
        <w:jc w:val="both"/>
      </w:pPr>
      <w:r w:rsidRPr="00701B18">
        <w:t xml:space="preserve">El Sistema de Contabilidad Integrada (Sicoin) permite observar cómo se ejecuta el gasto social del gobierno central y las entidades </w:t>
      </w:r>
      <w:r w:rsidR="00EC0251" w:rsidRPr="00701B18">
        <w:t xml:space="preserve">autónomas y </w:t>
      </w:r>
      <w:r w:rsidRPr="00701B18">
        <w:t xml:space="preserve">descentralizadas a nivel departamental. En ese sentido, entre 2010 y 2018, se ejecutaron entre Q27,895.0 millones y Q45,548.15 millones en los departamentos, quedando en la categoría de Multiregional —un registro que no se puede repartir entre departamentos por su carácter general— en promedio Q2,571.2 millones. </w:t>
      </w:r>
    </w:p>
    <w:p w14:paraId="388C47E5" w14:textId="77777777" w:rsidR="009661CA" w:rsidRPr="00701B18" w:rsidRDefault="009661CA" w:rsidP="00DA3855">
      <w:pPr>
        <w:jc w:val="both"/>
      </w:pPr>
      <w:r w:rsidRPr="00701B18">
        <w:t>En esta clasificación también es muy notorio el proceso de recorte del gasto público social</w:t>
      </w:r>
      <w:r w:rsidR="000E6FE7" w:rsidRPr="00701B18">
        <w:t xml:space="preserve">, en términos reales, al pasar de representar el </w:t>
      </w:r>
      <w:r w:rsidR="00EC0251" w:rsidRPr="00701B18">
        <w:t xml:space="preserve">9.33% del PIB en 2010 al 8.18 en 2018. </w:t>
      </w:r>
      <w:r w:rsidR="001E2ED6" w:rsidRPr="00701B18">
        <w:t>De los 22 departamentos, solamente Retalhuleu registra un incremento en su gasto social, al pasar de 0.19% del PIB en 2010 a 0.20% en 2018. De los 21 departamentos restantes, l</w:t>
      </w:r>
      <w:r w:rsidR="00EC0251" w:rsidRPr="00701B18">
        <w:t xml:space="preserve">os </w:t>
      </w:r>
      <w:r w:rsidR="001E2ED6" w:rsidRPr="00701B18">
        <w:t>que registran recortes más significativos, en ese mismo período de tiempo, son Escuintla, con una reducción del 28.0%, Huehuetenango, 23.5%; Izabal, 21.1%; Zacapa, 20.8%; Alta Verapaz, 19.9% y Quiché, 19.1%.</w:t>
      </w:r>
    </w:p>
    <w:p w14:paraId="78AEFB0C" w14:textId="77777777" w:rsidR="00762EBF" w:rsidRDefault="00762EBF" w:rsidP="005A1912">
      <w:pPr>
        <w:spacing w:after="0" w:line="240" w:lineRule="auto"/>
        <w:jc w:val="center"/>
      </w:pPr>
    </w:p>
    <w:p w14:paraId="6BE1F9E9" w14:textId="77777777" w:rsidR="00717333" w:rsidRPr="00701B18" w:rsidRDefault="00717333" w:rsidP="005A1912">
      <w:pPr>
        <w:spacing w:after="0" w:line="240" w:lineRule="auto"/>
        <w:jc w:val="center"/>
      </w:pPr>
      <w:r w:rsidRPr="00701B18">
        <w:t>Cuadro</w:t>
      </w:r>
    </w:p>
    <w:p w14:paraId="573D57E7" w14:textId="77777777" w:rsidR="005A1912" w:rsidRDefault="005A1912" w:rsidP="00877DA5">
      <w:pPr>
        <w:spacing w:after="0" w:line="240" w:lineRule="auto"/>
        <w:jc w:val="center"/>
        <w:rPr>
          <w:sz w:val="24"/>
        </w:rPr>
      </w:pPr>
      <w:r w:rsidRPr="00701B18">
        <w:t>Gasto público social devengado del gobierno central y entidades autónomas y descentralizadas, por departamento, como porcentaje del PIB</w:t>
      </w:r>
    </w:p>
    <w:tbl>
      <w:tblPr>
        <w:tblW w:w="7824" w:type="dxa"/>
        <w:jc w:val="center"/>
        <w:tblCellMar>
          <w:left w:w="70" w:type="dxa"/>
          <w:right w:w="70" w:type="dxa"/>
        </w:tblCellMar>
        <w:tblLook w:val="04A0" w:firstRow="1" w:lastRow="0" w:firstColumn="1" w:lastColumn="0" w:noHBand="0" w:noVBand="1"/>
      </w:tblPr>
      <w:tblGrid>
        <w:gridCol w:w="2020"/>
        <w:gridCol w:w="1520"/>
        <w:gridCol w:w="1420"/>
        <w:gridCol w:w="1415"/>
        <w:gridCol w:w="1449"/>
      </w:tblGrid>
      <w:tr w:rsidR="00717333" w:rsidRPr="00717333" w14:paraId="7E58302F" w14:textId="77777777" w:rsidTr="00D4423D">
        <w:trPr>
          <w:trHeight w:val="300"/>
          <w:tblHeader/>
          <w:jc w:val="center"/>
        </w:trPr>
        <w:tc>
          <w:tcPr>
            <w:tcW w:w="2020" w:type="dxa"/>
            <w:vMerge w:val="restart"/>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67622749" w14:textId="77777777" w:rsidR="00717333" w:rsidRPr="00D4423D" w:rsidRDefault="00717333" w:rsidP="00717333">
            <w:pPr>
              <w:spacing w:after="0" w:line="240" w:lineRule="auto"/>
              <w:jc w:val="center"/>
              <w:rPr>
                <w:rFonts w:ascii="Calibri" w:eastAsia="Times New Roman" w:hAnsi="Calibri" w:cs="Times New Roman"/>
                <w:b/>
                <w:bCs/>
                <w:color w:val="FFFFFF" w:themeColor="background1"/>
                <w:sz w:val="20"/>
                <w:lang w:eastAsia="es-GT"/>
              </w:rPr>
            </w:pPr>
            <w:r w:rsidRPr="00D4423D">
              <w:rPr>
                <w:rFonts w:ascii="Calibri" w:eastAsia="Times New Roman" w:hAnsi="Calibri" w:cs="Times New Roman"/>
                <w:b/>
                <w:bCs/>
                <w:color w:val="FFFFFF" w:themeColor="background1"/>
                <w:sz w:val="20"/>
                <w:lang w:eastAsia="es-GT"/>
              </w:rPr>
              <w:t>Departamento</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3B8A0AB7" w14:textId="77777777" w:rsidR="00717333" w:rsidRPr="00D4423D" w:rsidRDefault="00717333" w:rsidP="00717333">
            <w:pPr>
              <w:spacing w:after="0" w:line="240" w:lineRule="auto"/>
              <w:jc w:val="center"/>
              <w:rPr>
                <w:rFonts w:ascii="Calibri" w:eastAsia="Times New Roman" w:hAnsi="Calibri" w:cs="Times New Roman"/>
                <w:b/>
                <w:bCs/>
                <w:color w:val="FFFFFF" w:themeColor="background1"/>
                <w:sz w:val="20"/>
                <w:lang w:eastAsia="es-GT"/>
              </w:rPr>
            </w:pPr>
            <w:r w:rsidRPr="00D4423D">
              <w:rPr>
                <w:rFonts w:ascii="Calibri" w:eastAsia="Times New Roman" w:hAnsi="Calibri" w:cs="Times New Roman"/>
                <w:b/>
                <w:bCs/>
                <w:color w:val="FFFFFF" w:themeColor="background1"/>
                <w:sz w:val="20"/>
                <w:lang w:eastAsia="es-GT"/>
              </w:rPr>
              <w:t>2010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39C9D73D" w14:textId="77777777" w:rsidR="00717333" w:rsidRPr="00D4423D" w:rsidRDefault="00717333" w:rsidP="00717333">
            <w:pPr>
              <w:spacing w:after="0" w:line="240" w:lineRule="auto"/>
              <w:jc w:val="center"/>
              <w:rPr>
                <w:rFonts w:ascii="Calibri" w:eastAsia="Times New Roman" w:hAnsi="Calibri" w:cs="Times New Roman"/>
                <w:b/>
                <w:bCs/>
                <w:color w:val="FFFFFF" w:themeColor="background1"/>
                <w:sz w:val="20"/>
                <w:lang w:eastAsia="es-GT"/>
              </w:rPr>
            </w:pPr>
            <w:r w:rsidRPr="00D4423D">
              <w:rPr>
                <w:rFonts w:ascii="Calibri" w:eastAsia="Times New Roman" w:hAnsi="Calibri" w:cs="Times New Roman"/>
                <w:b/>
                <w:bCs/>
                <w:color w:val="FFFFFF" w:themeColor="background1"/>
                <w:sz w:val="20"/>
                <w:lang w:eastAsia="es-GT"/>
              </w:rPr>
              <w:t>2018</w:t>
            </w:r>
          </w:p>
        </w:tc>
        <w:tc>
          <w:tcPr>
            <w:tcW w:w="2864" w:type="dxa"/>
            <w:gridSpan w:val="2"/>
            <w:tcBorders>
              <w:top w:val="single" w:sz="4" w:space="0" w:color="auto"/>
              <w:left w:val="nil"/>
              <w:bottom w:val="single" w:sz="4" w:space="0" w:color="auto"/>
              <w:right w:val="single" w:sz="4" w:space="0" w:color="auto"/>
            </w:tcBorders>
            <w:shd w:val="clear" w:color="auto" w:fill="C00000"/>
            <w:noWrap/>
            <w:vAlign w:val="bottom"/>
            <w:hideMark/>
          </w:tcPr>
          <w:p w14:paraId="0F5300F3" w14:textId="77777777" w:rsidR="00717333" w:rsidRPr="00D4423D" w:rsidRDefault="00717333" w:rsidP="00717333">
            <w:pPr>
              <w:spacing w:after="0" w:line="240" w:lineRule="auto"/>
              <w:jc w:val="center"/>
              <w:rPr>
                <w:rFonts w:ascii="Calibri" w:eastAsia="Times New Roman" w:hAnsi="Calibri" w:cs="Times New Roman"/>
                <w:b/>
                <w:bCs/>
                <w:color w:val="FFFFFF" w:themeColor="background1"/>
                <w:sz w:val="20"/>
                <w:lang w:eastAsia="es-GT"/>
              </w:rPr>
            </w:pPr>
            <w:r w:rsidRPr="00D4423D">
              <w:rPr>
                <w:rFonts w:ascii="Calibri" w:eastAsia="Times New Roman" w:hAnsi="Calibri" w:cs="Times New Roman"/>
                <w:b/>
                <w:bCs/>
                <w:color w:val="FFFFFF" w:themeColor="background1"/>
                <w:sz w:val="20"/>
                <w:lang w:eastAsia="es-GT"/>
              </w:rPr>
              <w:t xml:space="preserve">Variación </w:t>
            </w:r>
          </w:p>
        </w:tc>
      </w:tr>
      <w:tr w:rsidR="00717333" w:rsidRPr="00717333" w14:paraId="21D06618" w14:textId="77777777" w:rsidTr="00D4423D">
        <w:trPr>
          <w:trHeight w:val="300"/>
          <w:tblHeader/>
          <w:jc w:val="center"/>
        </w:trPr>
        <w:tc>
          <w:tcPr>
            <w:tcW w:w="2020"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183D66F9" w14:textId="77777777" w:rsidR="00717333" w:rsidRPr="00D4423D" w:rsidRDefault="00717333" w:rsidP="00717333">
            <w:pPr>
              <w:spacing w:after="0" w:line="240" w:lineRule="auto"/>
              <w:rPr>
                <w:rFonts w:ascii="Calibri" w:eastAsia="Times New Roman" w:hAnsi="Calibri" w:cs="Times New Roman"/>
                <w:b/>
                <w:bCs/>
                <w:color w:val="FFFFFF" w:themeColor="background1"/>
                <w:sz w:val="20"/>
                <w:lang w:eastAsia="es-GT"/>
              </w:rPr>
            </w:pPr>
          </w:p>
        </w:tc>
        <w:tc>
          <w:tcPr>
            <w:tcW w:w="1520"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06A42784" w14:textId="77777777" w:rsidR="00717333" w:rsidRPr="00D4423D" w:rsidRDefault="00717333" w:rsidP="00717333">
            <w:pPr>
              <w:spacing w:after="0" w:line="240" w:lineRule="auto"/>
              <w:rPr>
                <w:rFonts w:ascii="Calibri" w:eastAsia="Times New Roman" w:hAnsi="Calibri" w:cs="Times New Roman"/>
                <w:b/>
                <w:bCs/>
                <w:color w:val="FFFFFF" w:themeColor="background1"/>
                <w:sz w:val="20"/>
                <w:lang w:eastAsia="es-GT"/>
              </w:rPr>
            </w:pPr>
          </w:p>
        </w:tc>
        <w:tc>
          <w:tcPr>
            <w:tcW w:w="1420" w:type="dxa"/>
            <w:vMerge/>
            <w:tcBorders>
              <w:top w:val="single" w:sz="4" w:space="0" w:color="auto"/>
              <w:left w:val="single" w:sz="4" w:space="0" w:color="auto"/>
              <w:bottom w:val="single" w:sz="4" w:space="0" w:color="auto"/>
              <w:right w:val="single" w:sz="4" w:space="0" w:color="auto"/>
            </w:tcBorders>
            <w:shd w:val="clear" w:color="auto" w:fill="C00000"/>
            <w:vAlign w:val="center"/>
            <w:hideMark/>
          </w:tcPr>
          <w:p w14:paraId="628CAA40" w14:textId="77777777" w:rsidR="00717333" w:rsidRPr="00D4423D" w:rsidRDefault="00717333" w:rsidP="00717333">
            <w:pPr>
              <w:spacing w:after="0" w:line="240" w:lineRule="auto"/>
              <w:rPr>
                <w:rFonts w:ascii="Calibri" w:eastAsia="Times New Roman" w:hAnsi="Calibri" w:cs="Times New Roman"/>
                <w:b/>
                <w:bCs/>
                <w:color w:val="FFFFFF" w:themeColor="background1"/>
                <w:sz w:val="20"/>
                <w:lang w:eastAsia="es-GT"/>
              </w:rPr>
            </w:pPr>
          </w:p>
        </w:tc>
        <w:tc>
          <w:tcPr>
            <w:tcW w:w="1415" w:type="dxa"/>
            <w:tcBorders>
              <w:top w:val="nil"/>
              <w:left w:val="nil"/>
              <w:bottom w:val="single" w:sz="4" w:space="0" w:color="auto"/>
              <w:right w:val="single" w:sz="4" w:space="0" w:color="auto"/>
            </w:tcBorders>
            <w:shd w:val="clear" w:color="auto" w:fill="C00000"/>
            <w:noWrap/>
            <w:vAlign w:val="center"/>
            <w:hideMark/>
          </w:tcPr>
          <w:p w14:paraId="496C3509" w14:textId="77777777" w:rsidR="00717333" w:rsidRPr="00D4423D" w:rsidRDefault="00717333" w:rsidP="00717333">
            <w:pPr>
              <w:spacing w:after="0" w:line="240" w:lineRule="auto"/>
              <w:jc w:val="center"/>
              <w:rPr>
                <w:rFonts w:ascii="Calibri" w:eastAsia="Times New Roman" w:hAnsi="Calibri" w:cs="Times New Roman"/>
                <w:b/>
                <w:bCs/>
                <w:color w:val="FFFFFF" w:themeColor="background1"/>
                <w:sz w:val="20"/>
                <w:lang w:eastAsia="es-GT"/>
              </w:rPr>
            </w:pPr>
            <w:r w:rsidRPr="00D4423D">
              <w:rPr>
                <w:rFonts w:ascii="Calibri" w:eastAsia="Times New Roman" w:hAnsi="Calibri" w:cs="Times New Roman"/>
                <w:b/>
                <w:bCs/>
                <w:color w:val="FFFFFF" w:themeColor="background1"/>
                <w:sz w:val="20"/>
                <w:lang w:eastAsia="es-GT"/>
              </w:rPr>
              <w:t>Absoluta</w:t>
            </w:r>
          </w:p>
        </w:tc>
        <w:tc>
          <w:tcPr>
            <w:tcW w:w="1449" w:type="dxa"/>
            <w:tcBorders>
              <w:top w:val="nil"/>
              <w:left w:val="nil"/>
              <w:bottom w:val="single" w:sz="4" w:space="0" w:color="auto"/>
              <w:right w:val="single" w:sz="4" w:space="0" w:color="auto"/>
            </w:tcBorders>
            <w:shd w:val="clear" w:color="auto" w:fill="C00000"/>
            <w:noWrap/>
            <w:vAlign w:val="center"/>
            <w:hideMark/>
          </w:tcPr>
          <w:p w14:paraId="573B87AA" w14:textId="77777777" w:rsidR="00717333" w:rsidRPr="00D4423D" w:rsidRDefault="00717333" w:rsidP="00717333">
            <w:pPr>
              <w:spacing w:after="0" w:line="240" w:lineRule="auto"/>
              <w:jc w:val="center"/>
              <w:rPr>
                <w:rFonts w:ascii="Calibri" w:eastAsia="Times New Roman" w:hAnsi="Calibri" w:cs="Times New Roman"/>
                <w:b/>
                <w:bCs/>
                <w:color w:val="FFFFFF" w:themeColor="background1"/>
                <w:sz w:val="20"/>
                <w:lang w:eastAsia="es-GT"/>
              </w:rPr>
            </w:pPr>
            <w:r w:rsidRPr="00D4423D">
              <w:rPr>
                <w:rFonts w:ascii="Calibri" w:eastAsia="Times New Roman" w:hAnsi="Calibri" w:cs="Times New Roman"/>
                <w:b/>
                <w:bCs/>
                <w:color w:val="FFFFFF" w:themeColor="background1"/>
                <w:sz w:val="20"/>
                <w:lang w:eastAsia="es-GT"/>
              </w:rPr>
              <w:t>Relativa</w:t>
            </w:r>
          </w:p>
        </w:tc>
      </w:tr>
      <w:tr w:rsidR="00717333" w:rsidRPr="00717333" w14:paraId="6BA0A4A1"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2E95852"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Escuintla</w:t>
            </w:r>
          </w:p>
        </w:tc>
        <w:tc>
          <w:tcPr>
            <w:tcW w:w="1520" w:type="dxa"/>
            <w:tcBorders>
              <w:top w:val="nil"/>
              <w:left w:val="nil"/>
              <w:bottom w:val="single" w:sz="4" w:space="0" w:color="auto"/>
              <w:right w:val="single" w:sz="4" w:space="0" w:color="auto"/>
            </w:tcBorders>
            <w:shd w:val="clear" w:color="auto" w:fill="auto"/>
            <w:noWrap/>
            <w:vAlign w:val="bottom"/>
            <w:hideMark/>
          </w:tcPr>
          <w:p w14:paraId="5CEE251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0.32 </w:t>
            </w:r>
          </w:p>
        </w:tc>
        <w:tc>
          <w:tcPr>
            <w:tcW w:w="1420" w:type="dxa"/>
            <w:tcBorders>
              <w:top w:val="nil"/>
              <w:left w:val="nil"/>
              <w:bottom w:val="single" w:sz="4" w:space="0" w:color="auto"/>
              <w:right w:val="single" w:sz="4" w:space="0" w:color="auto"/>
            </w:tcBorders>
            <w:shd w:val="clear" w:color="auto" w:fill="auto"/>
            <w:noWrap/>
            <w:vAlign w:val="bottom"/>
            <w:hideMark/>
          </w:tcPr>
          <w:p w14:paraId="3710F0DE"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0.23 </w:t>
            </w:r>
          </w:p>
        </w:tc>
        <w:tc>
          <w:tcPr>
            <w:tcW w:w="1415" w:type="dxa"/>
            <w:tcBorders>
              <w:top w:val="nil"/>
              <w:left w:val="nil"/>
              <w:bottom w:val="single" w:sz="4" w:space="0" w:color="auto"/>
              <w:right w:val="single" w:sz="4" w:space="0" w:color="auto"/>
            </w:tcBorders>
            <w:shd w:val="clear" w:color="auto" w:fill="auto"/>
            <w:noWrap/>
            <w:vAlign w:val="bottom"/>
            <w:hideMark/>
          </w:tcPr>
          <w:p w14:paraId="1FF53983"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(0.09)</w:t>
            </w:r>
          </w:p>
        </w:tc>
        <w:tc>
          <w:tcPr>
            <w:tcW w:w="1449" w:type="dxa"/>
            <w:tcBorders>
              <w:top w:val="nil"/>
              <w:left w:val="nil"/>
              <w:bottom w:val="single" w:sz="4" w:space="0" w:color="auto"/>
              <w:right w:val="single" w:sz="4" w:space="0" w:color="auto"/>
            </w:tcBorders>
            <w:shd w:val="clear" w:color="auto" w:fill="auto"/>
            <w:noWrap/>
            <w:vAlign w:val="bottom"/>
            <w:hideMark/>
          </w:tcPr>
          <w:p w14:paraId="1DAC074C"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(27.97)</w:t>
            </w:r>
          </w:p>
        </w:tc>
      </w:tr>
      <w:tr w:rsidR="00717333" w:rsidRPr="00717333" w14:paraId="24F3F54D"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CD8B345"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Huehuetenango</w:t>
            </w:r>
          </w:p>
        </w:tc>
        <w:tc>
          <w:tcPr>
            <w:tcW w:w="1520" w:type="dxa"/>
            <w:tcBorders>
              <w:top w:val="nil"/>
              <w:left w:val="nil"/>
              <w:bottom w:val="single" w:sz="4" w:space="0" w:color="auto"/>
              <w:right w:val="single" w:sz="4" w:space="0" w:color="auto"/>
            </w:tcBorders>
            <w:shd w:val="clear" w:color="auto" w:fill="auto"/>
            <w:noWrap/>
            <w:vAlign w:val="bottom"/>
            <w:hideMark/>
          </w:tcPr>
          <w:p w14:paraId="70621E6D"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0.38 </w:t>
            </w:r>
          </w:p>
        </w:tc>
        <w:tc>
          <w:tcPr>
            <w:tcW w:w="1420" w:type="dxa"/>
            <w:tcBorders>
              <w:top w:val="nil"/>
              <w:left w:val="nil"/>
              <w:bottom w:val="single" w:sz="4" w:space="0" w:color="auto"/>
              <w:right w:val="single" w:sz="4" w:space="0" w:color="auto"/>
            </w:tcBorders>
            <w:shd w:val="clear" w:color="auto" w:fill="auto"/>
            <w:noWrap/>
            <w:vAlign w:val="bottom"/>
            <w:hideMark/>
          </w:tcPr>
          <w:p w14:paraId="7F363CEC"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0.29 </w:t>
            </w:r>
          </w:p>
        </w:tc>
        <w:tc>
          <w:tcPr>
            <w:tcW w:w="1415" w:type="dxa"/>
            <w:tcBorders>
              <w:top w:val="nil"/>
              <w:left w:val="nil"/>
              <w:bottom w:val="single" w:sz="4" w:space="0" w:color="auto"/>
              <w:right w:val="single" w:sz="4" w:space="0" w:color="auto"/>
            </w:tcBorders>
            <w:shd w:val="clear" w:color="auto" w:fill="auto"/>
            <w:noWrap/>
            <w:vAlign w:val="bottom"/>
            <w:hideMark/>
          </w:tcPr>
          <w:p w14:paraId="5ECC175A"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(0.09)</w:t>
            </w:r>
          </w:p>
        </w:tc>
        <w:tc>
          <w:tcPr>
            <w:tcW w:w="1449" w:type="dxa"/>
            <w:tcBorders>
              <w:top w:val="nil"/>
              <w:left w:val="nil"/>
              <w:bottom w:val="single" w:sz="4" w:space="0" w:color="auto"/>
              <w:right w:val="single" w:sz="4" w:space="0" w:color="auto"/>
            </w:tcBorders>
            <w:shd w:val="clear" w:color="auto" w:fill="auto"/>
            <w:noWrap/>
            <w:vAlign w:val="bottom"/>
            <w:hideMark/>
          </w:tcPr>
          <w:p w14:paraId="56A8CE02"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(23.48)</w:t>
            </w:r>
          </w:p>
        </w:tc>
      </w:tr>
      <w:tr w:rsidR="00717333" w:rsidRPr="00717333" w14:paraId="139B1D51"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E1644E5"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Izabal</w:t>
            </w:r>
          </w:p>
        </w:tc>
        <w:tc>
          <w:tcPr>
            <w:tcW w:w="1520" w:type="dxa"/>
            <w:tcBorders>
              <w:top w:val="nil"/>
              <w:left w:val="nil"/>
              <w:bottom w:val="single" w:sz="4" w:space="0" w:color="auto"/>
              <w:right w:val="single" w:sz="4" w:space="0" w:color="auto"/>
            </w:tcBorders>
            <w:shd w:val="clear" w:color="auto" w:fill="auto"/>
            <w:noWrap/>
            <w:vAlign w:val="bottom"/>
            <w:hideMark/>
          </w:tcPr>
          <w:p w14:paraId="775DC853"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0.19 </w:t>
            </w:r>
          </w:p>
        </w:tc>
        <w:tc>
          <w:tcPr>
            <w:tcW w:w="1420" w:type="dxa"/>
            <w:tcBorders>
              <w:top w:val="nil"/>
              <w:left w:val="nil"/>
              <w:bottom w:val="single" w:sz="4" w:space="0" w:color="auto"/>
              <w:right w:val="single" w:sz="4" w:space="0" w:color="auto"/>
            </w:tcBorders>
            <w:shd w:val="clear" w:color="auto" w:fill="auto"/>
            <w:noWrap/>
            <w:vAlign w:val="bottom"/>
            <w:hideMark/>
          </w:tcPr>
          <w:p w14:paraId="63DB0EC3"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0.15 </w:t>
            </w:r>
          </w:p>
        </w:tc>
        <w:tc>
          <w:tcPr>
            <w:tcW w:w="1415" w:type="dxa"/>
            <w:tcBorders>
              <w:top w:val="nil"/>
              <w:left w:val="nil"/>
              <w:bottom w:val="single" w:sz="4" w:space="0" w:color="auto"/>
              <w:right w:val="single" w:sz="4" w:space="0" w:color="auto"/>
            </w:tcBorders>
            <w:shd w:val="clear" w:color="auto" w:fill="auto"/>
            <w:noWrap/>
            <w:vAlign w:val="bottom"/>
            <w:hideMark/>
          </w:tcPr>
          <w:p w14:paraId="65D23D5B"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(0.04)</w:t>
            </w:r>
          </w:p>
        </w:tc>
        <w:tc>
          <w:tcPr>
            <w:tcW w:w="1449" w:type="dxa"/>
            <w:tcBorders>
              <w:top w:val="nil"/>
              <w:left w:val="nil"/>
              <w:bottom w:val="single" w:sz="4" w:space="0" w:color="auto"/>
              <w:right w:val="single" w:sz="4" w:space="0" w:color="auto"/>
            </w:tcBorders>
            <w:shd w:val="clear" w:color="auto" w:fill="auto"/>
            <w:noWrap/>
            <w:vAlign w:val="bottom"/>
            <w:hideMark/>
          </w:tcPr>
          <w:p w14:paraId="4D88C93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(21.06)</w:t>
            </w:r>
          </w:p>
        </w:tc>
      </w:tr>
      <w:tr w:rsidR="00717333" w:rsidRPr="00717333" w14:paraId="442EEA0E"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0C06EF6"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Zacapa</w:t>
            </w:r>
          </w:p>
        </w:tc>
        <w:tc>
          <w:tcPr>
            <w:tcW w:w="1520" w:type="dxa"/>
            <w:tcBorders>
              <w:top w:val="nil"/>
              <w:left w:val="nil"/>
              <w:bottom w:val="single" w:sz="4" w:space="0" w:color="auto"/>
              <w:right w:val="single" w:sz="4" w:space="0" w:color="auto"/>
            </w:tcBorders>
            <w:shd w:val="clear" w:color="auto" w:fill="auto"/>
            <w:noWrap/>
            <w:vAlign w:val="bottom"/>
            <w:hideMark/>
          </w:tcPr>
          <w:p w14:paraId="316DB899"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0.14 </w:t>
            </w:r>
          </w:p>
        </w:tc>
        <w:tc>
          <w:tcPr>
            <w:tcW w:w="1420" w:type="dxa"/>
            <w:tcBorders>
              <w:top w:val="nil"/>
              <w:left w:val="nil"/>
              <w:bottom w:val="single" w:sz="4" w:space="0" w:color="auto"/>
              <w:right w:val="single" w:sz="4" w:space="0" w:color="auto"/>
            </w:tcBorders>
            <w:shd w:val="clear" w:color="auto" w:fill="auto"/>
            <w:noWrap/>
            <w:vAlign w:val="bottom"/>
            <w:hideMark/>
          </w:tcPr>
          <w:p w14:paraId="594F884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0.11 </w:t>
            </w:r>
          </w:p>
        </w:tc>
        <w:tc>
          <w:tcPr>
            <w:tcW w:w="1415" w:type="dxa"/>
            <w:tcBorders>
              <w:top w:val="nil"/>
              <w:left w:val="nil"/>
              <w:bottom w:val="single" w:sz="4" w:space="0" w:color="auto"/>
              <w:right w:val="single" w:sz="4" w:space="0" w:color="auto"/>
            </w:tcBorders>
            <w:shd w:val="clear" w:color="auto" w:fill="auto"/>
            <w:noWrap/>
            <w:vAlign w:val="bottom"/>
            <w:hideMark/>
          </w:tcPr>
          <w:p w14:paraId="5B2B8BDE"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(0.03)</w:t>
            </w:r>
          </w:p>
        </w:tc>
        <w:tc>
          <w:tcPr>
            <w:tcW w:w="1449" w:type="dxa"/>
            <w:tcBorders>
              <w:top w:val="nil"/>
              <w:left w:val="nil"/>
              <w:bottom w:val="single" w:sz="4" w:space="0" w:color="auto"/>
              <w:right w:val="single" w:sz="4" w:space="0" w:color="auto"/>
            </w:tcBorders>
            <w:shd w:val="clear" w:color="auto" w:fill="auto"/>
            <w:noWrap/>
            <w:vAlign w:val="bottom"/>
            <w:hideMark/>
          </w:tcPr>
          <w:p w14:paraId="30A1A475"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(20.75)</w:t>
            </w:r>
          </w:p>
        </w:tc>
      </w:tr>
      <w:tr w:rsidR="00717333" w:rsidRPr="00717333" w14:paraId="3EFD7D82"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6D5F4D9"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Alta Verapaz</w:t>
            </w:r>
          </w:p>
        </w:tc>
        <w:tc>
          <w:tcPr>
            <w:tcW w:w="1520" w:type="dxa"/>
            <w:tcBorders>
              <w:top w:val="nil"/>
              <w:left w:val="nil"/>
              <w:bottom w:val="single" w:sz="4" w:space="0" w:color="auto"/>
              <w:right w:val="single" w:sz="4" w:space="0" w:color="auto"/>
            </w:tcBorders>
            <w:shd w:val="clear" w:color="auto" w:fill="auto"/>
            <w:noWrap/>
            <w:vAlign w:val="bottom"/>
            <w:hideMark/>
          </w:tcPr>
          <w:p w14:paraId="691F19E6"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0.36 </w:t>
            </w:r>
          </w:p>
        </w:tc>
        <w:tc>
          <w:tcPr>
            <w:tcW w:w="1420" w:type="dxa"/>
            <w:tcBorders>
              <w:top w:val="nil"/>
              <w:left w:val="nil"/>
              <w:bottom w:val="single" w:sz="4" w:space="0" w:color="auto"/>
              <w:right w:val="single" w:sz="4" w:space="0" w:color="auto"/>
            </w:tcBorders>
            <w:shd w:val="clear" w:color="auto" w:fill="auto"/>
            <w:noWrap/>
            <w:vAlign w:val="bottom"/>
            <w:hideMark/>
          </w:tcPr>
          <w:p w14:paraId="69316A1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0.29 </w:t>
            </w:r>
          </w:p>
        </w:tc>
        <w:tc>
          <w:tcPr>
            <w:tcW w:w="1415" w:type="dxa"/>
            <w:tcBorders>
              <w:top w:val="nil"/>
              <w:left w:val="nil"/>
              <w:bottom w:val="single" w:sz="4" w:space="0" w:color="auto"/>
              <w:right w:val="single" w:sz="4" w:space="0" w:color="auto"/>
            </w:tcBorders>
            <w:shd w:val="clear" w:color="auto" w:fill="auto"/>
            <w:noWrap/>
            <w:vAlign w:val="bottom"/>
            <w:hideMark/>
          </w:tcPr>
          <w:p w14:paraId="27BEDC07"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(0.07)</w:t>
            </w:r>
          </w:p>
        </w:tc>
        <w:tc>
          <w:tcPr>
            <w:tcW w:w="1449" w:type="dxa"/>
            <w:tcBorders>
              <w:top w:val="nil"/>
              <w:left w:val="nil"/>
              <w:bottom w:val="single" w:sz="4" w:space="0" w:color="auto"/>
              <w:right w:val="single" w:sz="4" w:space="0" w:color="auto"/>
            </w:tcBorders>
            <w:shd w:val="clear" w:color="auto" w:fill="auto"/>
            <w:noWrap/>
            <w:vAlign w:val="bottom"/>
            <w:hideMark/>
          </w:tcPr>
          <w:p w14:paraId="600BC7D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(19.89)</w:t>
            </w:r>
          </w:p>
        </w:tc>
      </w:tr>
      <w:tr w:rsidR="00717333" w:rsidRPr="00717333" w14:paraId="6C326F49"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DC4C33D"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Quiché</w:t>
            </w:r>
          </w:p>
        </w:tc>
        <w:tc>
          <w:tcPr>
            <w:tcW w:w="1520" w:type="dxa"/>
            <w:tcBorders>
              <w:top w:val="nil"/>
              <w:left w:val="nil"/>
              <w:bottom w:val="single" w:sz="4" w:space="0" w:color="auto"/>
              <w:right w:val="single" w:sz="4" w:space="0" w:color="auto"/>
            </w:tcBorders>
            <w:shd w:val="clear" w:color="auto" w:fill="auto"/>
            <w:noWrap/>
            <w:vAlign w:val="bottom"/>
            <w:hideMark/>
          </w:tcPr>
          <w:p w14:paraId="2082BAED"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0.32 </w:t>
            </w:r>
          </w:p>
        </w:tc>
        <w:tc>
          <w:tcPr>
            <w:tcW w:w="1420" w:type="dxa"/>
            <w:tcBorders>
              <w:top w:val="nil"/>
              <w:left w:val="nil"/>
              <w:bottom w:val="single" w:sz="4" w:space="0" w:color="auto"/>
              <w:right w:val="single" w:sz="4" w:space="0" w:color="auto"/>
            </w:tcBorders>
            <w:shd w:val="clear" w:color="auto" w:fill="auto"/>
            <w:noWrap/>
            <w:vAlign w:val="bottom"/>
            <w:hideMark/>
          </w:tcPr>
          <w:p w14:paraId="5249DFAD"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0.26 </w:t>
            </w:r>
          </w:p>
        </w:tc>
        <w:tc>
          <w:tcPr>
            <w:tcW w:w="1415" w:type="dxa"/>
            <w:tcBorders>
              <w:top w:val="nil"/>
              <w:left w:val="nil"/>
              <w:bottom w:val="single" w:sz="4" w:space="0" w:color="auto"/>
              <w:right w:val="single" w:sz="4" w:space="0" w:color="auto"/>
            </w:tcBorders>
            <w:shd w:val="clear" w:color="auto" w:fill="auto"/>
            <w:noWrap/>
            <w:vAlign w:val="bottom"/>
            <w:hideMark/>
          </w:tcPr>
          <w:p w14:paraId="7716D7EC"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(0.06)</w:t>
            </w:r>
          </w:p>
        </w:tc>
        <w:tc>
          <w:tcPr>
            <w:tcW w:w="1449" w:type="dxa"/>
            <w:tcBorders>
              <w:top w:val="nil"/>
              <w:left w:val="nil"/>
              <w:bottom w:val="single" w:sz="4" w:space="0" w:color="auto"/>
              <w:right w:val="single" w:sz="4" w:space="0" w:color="auto"/>
            </w:tcBorders>
            <w:shd w:val="clear" w:color="auto" w:fill="auto"/>
            <w:noWrap/>
            <w:vAlign w:val="bottom"/>
            <w:hideMark/>
          </w:tcPr>
          <w:p w14:paraId="42665E0A"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(19.13)</w:t>
            </w:r>
          </w:p>
        </w:tc>
      </w:tr>
      <w:tr w:rsidR="00717333" w:rsidRPr="00717333" w14:paraId="7A7D2C37"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5E4329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Sololá</w:t>
            </w:r>
          </w:p>
        </w:tc>
        <w:tc>
          <w:tcPr>
            <w:tcW w:w="1520" w:type="dxa"/>
            <w:tcBorders>
              <w:top w:val="nil"/>
              <w:left w:val="nil"/>
              <w:bottom w:val="single" w:sz="4" w:space="0" w:color="auto"/>
              <w:right w:val="single" w:sz="4" w:space="0" w:color="auto"/>
            </w:tcBorders>
            <w:shd w:val="clear" w:color="auto" w:fill="auto"/>
            <w:noWrap/>
            <w:vAlign w:val="bottom"/>
            <w:hideMark/>
          </w:tcPr>
          <w:p w14:paraId="7E749FA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0.17 </w:t>
            </w:r>
          </w:p>
        </w:tc>
        <w:tc>
          <w:tcPr>
            <w:tcW w:w="1420" w:type="dxa"/>
            <w:tcBorders>
              <w:top w:val="nil"/>
              <w:left w:val="nil"/>
              <w:bottom w:val="single" w:sz="4" w:space="0" w:color="auto"/>
              <w:right w:val="single" w:sz="4" w:space="0" w:color="auto"/>
            </w:tcBorders>
            <w:shd w:val="clear" w:color="auto" w:fill="auto"/>
            <w:noWrap/>
            <w:vAlign w:val="bottom"/>
            <w:hideMark/>
          </w:tcPr>
          <w:p w14:paraId="5B1D54E8"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0.14 </w:t>
            </w:r>
          </w:p>
        </w:tc>
        <w:tc>
          <w:tcPr>
            <w:tcW w:w="1415" w:type="dxa"/>
            <w:tcBorders>
              <w:top w:val="nil"/>
              <w:left w:val="nil"/>
              <w:bottom w:val="single" w:sz="4" w:space="0" w:color="auto"/>
              <w:right w:val="single" w:sz="4" w:space="0" w:color="auto"/>
            </w:tcBorders>
            <w:shd w:val="clear" w:color="auto" w:fill="auto"/>
            <w:noWrap/>
            <w:vAlign w:val="bottom"/>
            <w:hideMark/>
          </w:tcPr>
          <w:p w14:paraId="0F4F2BB7"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(0.03)</w:t>
            </w:r>
          </w:p>
        </w:tc>
        <w:tc>
          <w:tcPr>
            <w:tcW w:w="1449" w:type="dxa"/>
            <w:tcBorders>
              <w:top w:val="nil"/>
              <w:left w:val="nil"/>
              <w:bottom w:val="single" w:sz="4" w:space="0" w:color="auto"/>
              <w:right w:val="single" w:sz="4" w:space="0" w:color="auto"/>
            </w:tcBorders>
            <w:shd w:val="clear" w:color="auto" w:fill="auto"/>
            <w:noWrap/>
            <w:vAlign w:val="bottom"/>
            <w:hideMark/>
          </w:tcPr>
          <w:p w14:paraId="6B4CC06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(18.74)</w:t>
            </w:r>
          </w:p>
        </w:tc>
      </w:tr>
      <w:tr w:rsidR="00717333" w:rsidRPr="00717333" w14:paraId="724CDA9D"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F16383C"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Chiquimula</w:t>
            </w:r>
          </w:p>
        </w:tc>
        <w:tc>
          <w:tcPr>
            <w:tcW w:w="1520" w:type="dxa"/>
            <w:tcBorders>
              <w:top w:val="nil"/>
              <w:left w:val="nil"/>
              <w:bottom w:val="single" w:sz="4" w:space="0" w:color="auto"/>
              <w:right w:val="single" w:sz="4" w:space="0" w:color="auto"/>
            </w:tcBorders>
            <w:shd w:val="clear" w:color="auto" w:fill="auto"/>
            <w:noWrap/>
            <w:vAlign w:val="bottom"/>
            <w:hideMark/>
          </w:tcPr>
          <w:p w14:paraId="0278323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0.18 </w:t>
            </w:r>
          </w:p>
        </w:tc>
        <w:tc>
          <w:tcPr>
            <w:tcW w:w="1420" w:type="dxa"/>
            <w:tcBorders>
              <w:top w:val="nil"/>
              <w:left w:val="nil"/>
              <w:bottom w:val="single" w:sz="4" w:space="0" w:color="auto"/>
              <w:right w:val="single" w:sz="4" w:space="0" w:color="auto"/>
            </w:tcBorders>
            <w:shd w:val="clear" w:color="auto" w:fill="auto"/>
            <w:noWrap/>
            <w:vAlign w:val="bottom"/>
            <w:hideMark/>
          </w:tcPr>
          <w:p w14:paraId="582A0D7D"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0.15 </w:t>
            </w:r>
          </w:p>
        </w:tc>
        <w:tc>
          <w:tcPr>
            <w:tcW w:w="1415" w:type="dxa"/>
            <w:tcBorders>
              <w:top w:val="nil"/>
              <w:left w:val="nil"/>
              <w:bottom w:val="single" w:sz="4" w:space="0" w:color="auto"/>
              <w:right w:val="single" w:sz="4" w:space="0" w:color="auto"/>
            </w:tcBorders>
            <w:shd w:val="clear" w:color="auto" w:fill="auto"/>
            <w:noWrap/>
            <w:vAlign w:val="bottom"/>
            <w:hideMark/>
          </w:tcPr>
          <w:p w14:paraId="60545B23"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(0.03)</w:t>
            </w:r>
          </w:p>
        </w:tc>
        <w:tc>
          <w:tcPr>
            <w:tcW w:w="1449" w:type="dxa"/>
            <w:tcBorders>
              <w:top w:val="nil"/>
              <w:left w:val="nil"/>
              <w:bottom w:val="single" w:sz="4" w:space="0" w:color="auto"/>
              <w:right w:val="single" w:sz="4" w:space="0" w:color="auto"/>
            </w:tcBorders>
            <w:shd w:val="clear" w:color="auto" w:fill="auto"/>
            <w:noWrap/>
            <w:vAlign w:val="bottom"/>
            <w:hideMark/>
          </w:tcPr>
          <w:p w14:paraId="1F393FAF"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(17.49)</w:t>
            </w:r>
          </w:p>
        </w:tc>
      </w:tr>
      <w:tr w:rsidR="00717333" w:rsidRPr="00717333" w14:paraId="03EB229F"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6BA22A"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Jalapa</w:t>
            </w:r>
          </w:p>
        </w:tc>
        <w:tc>
          <w:tcPr>
            <w:tcW w:w="1520" w:type="dxa"/>
            <w:tcBorders>
              <w:top w:val="nil"/>
              <w:left w:val="nil"/>
              <w:bottom w:val="single" w:sz="4" w:space="0" w:color="auto"/>
              <w:right w:val="single" w:sz="4" w:space="0" w:color="auto"/>
            </w:tcBorders>
            <w:shd w:val="clear" w:color="auto" w:fill="auto"/>
            <w:noWrap/>
            <w:vAlign w:val="bottom"/>
            <w:hideMark/>
          </w:tcPr>
          <w:p w14:paraId="0138D2BE"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0.13 </w:t>
            </w:r>
          </w:p>
        </w:tc>
        <w:tc>
          <w:tcPr>
            <w:tcW w:w="1420" w:type="dxa"/>
            <w:tcBorders>
              <w:top w:val="nil"/>
              <w:left w:val="nil"/>
              <w:bottom w:val="single" w:sz="4" w:space="0" w:color="auto"/>
              <w:right w:val="single" w:sz="4" w:space="0" w:color="auto"/>
            </w:tcBorders>
            <w:shd w:val="clear" w:color="auto" w:fill="auto"/>
            <w:noWrap/>
            <w:vAlign w:val="bottom"/>
            <w:hideMark/>
          </w:tcPr>
          <w:p w14:paraId="7BF9805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0.11 </w:t>
            </w:r>
          </w:p>
        </w:tc>
        <w:tc>
          <w:tcPr>
            <w:tcW w:w="1415" w:type="dxa"/>
            <w:tcBorders>
              <w:top w:val="nil"/>
              <w:left w:val="nil"/>
              <w:bottom w:val="single" w:sz="4" w:space="0" w:color="auto"/>
              <w:right w:val="single" w:sz="4" w:space="0" w:color="auto"/>
            </w:tcBorders>
            <w:shd w:val="clear" w:color="auto" w:fill="auto"/>
            <w:noWrap/>
            <w:vAlign w:val="bottom"/>
            <w:hideMark/>
          </w:tcPr>
          <w:p w14:paraId="2DBC6D3C"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(0.02)</w:t>
            </w:r>
          </w:p>
        </w:tc>
        <w:tc>
          <w:tcPr>
            <w:tcW w:w="1449" w:type="dxa"/>
            <w:tcBorders>
              <w:top w:val="nil"/>
              <w:left w:val="nil"/>
              <w:bottom w:val="single" w:sz="4" w:space="0" w:color="auto"/>
              <w:right w:val="single" w:sz="4" w:space="0" w:color="auto"/>
            </w:tcBorders>
            <w:shd w:val="clear" w:color="auto" w:fill="auto"/>
            <w:noWrap/>
            <w:vAlign w:val="bottom"/>
            <w:hideMark/>
          </w:tcPr>
          <w:p w14:paraId="30B752AA"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(17.26)</w:t>
            </w:r>
          </w:p>
        </w:tc>
      </w:tr>
      <w:tr w:rsidR="00717333" w:rsidRPr="00717333" w14:paraId="0706F094"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E9BDF96"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Suchitepéquez</w:t>
            </w:r>
          </w:p>
        </w:tc>
        <w:tc>
          <w:tcPr>
            <w:tcW w:w="1520" w:type="dxa"/>
            <w:tcBorders>
              <w:top w:val="nil"/>
              <w:left w:val="nil"/>
              <w:bottom w:val="single" w:sz="4" w:space="0" w:color="auto"/>
              <w:right w:val="single" w:sz="4" w:space="0" w:color="auto"/>
            </w:tcBorders>
            <w:shd w:val="clear" w:color="auto" w:fill="auto"/>
            <w:noWrap/>
            <w:vAlign w:val="bottom"/>
            <w:hideMark/>
          </w:tcPr>
          <w:p w14:paraId="6CDD75AD"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0.21 </w:t>
            </w:r>
          </w:p>
        </w:tc>
        <w:tc>
          <w:tcPr>
            <w:tcW w:w="1420" w:type="dxa"/>
            <w:tcBorders>
              <w:top w:val="nil"/>
              <w:left w:val="nil"/>
              <w:bottom w:val="single" w:sz="4" w:space="0" w:color="auto"/>
              <w:right w:val="single" w:sz="4" w:space="0" w:color="auto"/>
            </w:tcBorders>
            <w:shd w:val="clear" w:color="auto" w:fill="auto"/>
            <w:noWrap/>
            <w:vAlign w:val="bottom"/>
            <w:hideMark/>
          </w:tcPr>
          <w:p w14:paraId="06F8552D"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0.18 </w:t>
            </w:r>
          </w:p>
        </w:tc>
        <w:tc>
          <w:tcPr>
            <w:tcW w:w="1415" w:type="dxa"/>
            <w:tcBorders>
              <w:top w:val="nil"/>
              <w:left w:val="nil"/>
              <w:bottom w:val="single" w:sz="4" w:space="0" w:color="auto"/>
              <w:right w:val="single" w:sz="4" w:space="0" w:color="auto"/>
            </w:tcBorders>
            <w:shd w:val="clear" w:color="auto" w:fill="auto"/>
            <w:noWrap/>
            <w:vAlign w:val="bottom"/>
            <w:hideMark/>
          </w:tcPr>
          <w:p w14:paraId="7FE86567"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(0.03)</w:t>
            </w:r>
          </w:p>
        </w:tc>
        <w:tc>
          <w:tcPr>
            <w:tcW w:w="1449" w:type="dxa"/>
            <w:tcBorders>
              <w:top w:val="nil"/>
              <w:left w:val="nil"/>
              <w:bottom w:val="single" w:sz="4" w:space="0" w:color="auto"/>
              <w:right w:val="single" w:sz="4" w:space="0" w:color="auto"/>
            </w:tcBorders>
            <w:shd w:val="clear" w:color="auto" w:fill="auto"/>
            <w:noWrap/>
            <w:vAlign w:val="bottom"/>
            <w:hideMark/>
          </w:tcPr>
          <w:p w14:paraId="11871A4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(13.71)</w:t>
            </w:r>
          </w:p>
        </w:tc>
      </w:tr>
      <w:tr w:rsidR="00717333" w:rsidRPr="00717333" w14:paraId="4D8EE12A"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04823C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Sacatepéquez</w:t>
            </w:r>
          </w:p>
        </w:tc>
        <w:tc>
          <w:tcPr>
            <w:tcW w:w="1520" w:type="dxa"/>
            <w:tcBorders>
              <w:top w:val="nil"/>
              <w:left w:val="nil"/>
              <w:bottom w:val="single" w:sz="4" w:space="0" w:color="auto"/>
              <w:right w:val="single" w:sz="4" w:space="0" w:color="auto"/>
            </w:tcBorders>
            <w:shd w:val="clear" w:color="auto" w:fill="auto"/>
            <w:noWrap/>
            <w:vAlign w:val="bottom"/>
            <w:hideMark/>
          </w:tcPr>
          <w:p w14:paraId="5A90494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0.13 </w:t>
            </w:r>
          </w:p>
        </w:tc>
        <w:tc>
          <w:tcPr>
            <w:tcW w:w="1420" w:type="dxa"/>
            <w:tcBorders>
              <w:top w:val="nil"/>
              <w:left w:val="nil"/>
              <w:bottom w:val="single" w:sz="4" w:space="0" w:color="auto"/>
              <w:right w:val="single" w:sz="4" w:space="0" w:color="auto"/>
            </w:tcBorders>
            <w:shd w:val="clear" w:color="auto" w:fill="auto"/>
            <w:noWrap/>
            <w:vAlign w:val="bottom"/>
            <w:hideMark/>
          </w:tcPr>
          <w:p w14:paraId="6C57078C"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0.11 </w:t>
            </w:r>
          </w:p>
        </w:tc>
        <w:tc>
          <w:tcPr>
            <w:tcW w:w="1415" w:type="dxa"/>
            <w:tcBorders>
              <w:top w:val="nil"/>
              <w:left w:val="nil"/>
              <w:bottom w:val="single" w:sz="4" w:space="0" w:color="auto"/>
              <w:right w:val="single" w:sz="4" w:space="0" w:color="auto"/>
            </w:tcBorders>
            <w:shd w:val="clear" w:color="auto" w:fill="auto"/>
            <w:noWrap/>
            <w:vAlign w:val="bottom"/>
            <w:hideMark/>
          </w:tcPr>
          <w:p w14:paraId="61C963E5"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(0.02)</w:t>
            </w:r>
          </w:p>
        </w:tc>
        <w:tc>
          <w:tcPr>
            <w:tcW w:w="1449" w:type="dxa"/>
            <w:tcBorders>
              <w:top w:val="nil"/>
              <w:left w:val="nil"/>
              <w:bottom w:val="single" w:sz="4" w:space="0" w:color="auto"/>
              <w:right w:val="single" w:sz="4" w:space="0" w:color="auto"/>
            </w:tcBorders>
            <w:shd w:val="clear" w:color="auto" w:fill="auto"/>
            <w:noWrap/>
            <w:vAlign w:val="bottom"/>
            <w:hideMark/>
          </w:tcPr>
          <w:p w14:paraId="060A2089"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(13.69)</w:t>
            </w:r>
          </w:p>
        </w:tc>
      </w:tr>
      <w:tr w:rsidR="00717333" w:rsidRPr="00717333" w14:paraId="680BED99"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D60E757"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Santa Rosa</w:t>
            </w:r>
          </w:p>
        </w:tc>
        <w:tc>
          <w:tcPr>
            <w:tcW w:w="1520" w:type="dxa"/>
            <w:tcBorders>
              <w:top w:val="nil"/>
              <w:left w:val="nil"/>
              <w:bottom w:val="single" w:sz="4" w:space="0" w:color="auto"/>
              <w:right w:val="single" w:sz="4" w:space="0" w:color="auto"/>
            </w:tcBorders>
            <w:shd w:val="clear" w:color="auto" w:fill="auto"/>
            <w:noWrap/>
            <w:vAlign w:val="bottom"/>
            <w:hideMark/>
          </w:tcPr>
          <w:p w14:paraId="0997E1B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0.15 </w:t>
            </w:r>
          </w:p>
        </w:tc>
        <w:tc>
          <w:tcPr>
            <w:tcW w:w="1420" w:type="dxa"/>
            <w:tcBorders>
              <w:top w:val="nil"/>
              <w:left w:val="nil"/>
              <w:bottom w:val="single" w:sz="4" w:space="0" w:color="auto"/>
              <w:right w:val="single" w:sz="4" w:space="0" w:color="auto"/>
            </w:tcBorders>
            <w:shd w:val="clear" w:color="auto" w:fill="auto"/>
            <w:noWrap/>
            <w:vAlign w:val="bottom"/>
            <w:hideMark/>
          </w:tcPr>
          <w:p w14:paraId="22BA7BDA"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0.13 </w:t>
            </w:r>
          </w:p>
        </w:tc>
        <w:tc>
          <w:tcPr>
            <w:tcW w:w="1415" w:type="dxa"/>
            <w:tcBorders>
              <w:top w:val="nil"/>
              <w:left w:val="nil"/>
              <w:bottom w:val="single" w:sz="4" w:space="0" w:color="auto"/>
              <w:right w:val="single" w:sz="4" w:space="0" w:color="auto"/>
            </w:tcBorders>
            <w:shd w:val="clear" w:color="auto" w:fill="auto"/>
            <w:noWrap/>
            <w:vAlign w:val="bottom"/>
            <w:hideMark/>
          </w:tcPr>
          <w:p w14:paraId="672E1C48"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(0.02)</w:t>
            </w:r>
          </w:p>
        </w:tc>
        <w:tc>
          <w:tcPr>
            <w:tcW w:w="1449" w:type="dxa"/>
            <w:tcBorders>
              <w:top w:val="nil"/>
              <w:left w:val="nil"/>
              <w:bottom w:val="single" w:sz="4" w:space="0" w:color="auto"/>
              <w:right w:val="single" w:sz="4" w:space="0" w:color="auto"/>
            </w:tcBorders>
            <w:shd w:val="clear" w:color="auto" w:fill="auto"/>
            <w:noWrap/>
            <w:vAlign w:val="bottom"/>
            <w:hideMark/>
          </w:tcPr>
          <w:p w14:paraId="6EFFD7EF"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(13.35)</w:t>
            </w:r>
          </w:p>
        </w:tc>
      </w:tr>
      <w:tr w:rsidR="00717333" w:rsidRPr="00717333" w14:paraId="5119882C"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CA6F78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El Progreso</w:t>
            </w:r>
          </w:p>
        </w:tc>
        <w:tc>
          <w:tcPr>
            <w:tcW w:w="1520" w:type="dxa"/>
            <w:tcBorders>
              <w:top w:val="nil"/>
              <w:left w:val="nil"/>
              <w:bottom w:val="single" w:sz="4" w:space="0" w:color="auto"/>
              <w:right w:val="single" w:sz="4" w:space="0" w:color="auto"/>
            </w:tcBorders>
            <w:shd w:val="clear" w:color="auto" w:fill="auto"/>
            <w:noWrap/>
            <w:vAlign w:val="bottom"/>
            <w:hideMark/>
          </w:tcPr>
          <w:p w14:paraId="1C71B91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0.08 </w:t>
            </w:r>
          </w:p>
        </w:tc>
        <w:tc>
          <w:tcPr>
            <w:tcW w:w="1420" w:type="dxa"/>
            <w:tcBorders>
              <w:top w:val="nil"/>
              <w:left w:val="nil"/>
              <w:bottom w:val="single" w:sz="4" w:space="0" w:color="auto"/>
              <w:right w:val="single" w:sz="4" w:space="0" w:color="auto"/>
            </w:tcBorders>
            <w:shd w:val="clear" w:color="auto" w:fill="auto"/>
            <w:noWrap/>
            <w:vAlign w:val="bottom"/>
            <w:hideMark/>
          </w:tcPr>
          <w:p w14:paraId="51D5E3FF"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0.07 </w:t>
            </w:r>
          </w:p>
        </w:tc>
        <w:tc>
          <w:tcPr>
            <w:tcW w:w="1415" w:type="dxa"/>
            <w:tcBorders>
              <w:top w:val="nil"/>
              <w:left w:val="nil"/>
              <w:bottom w:val="single" w:sz="4" w:space="0" w:color="auto"/>
              <w:right w:val="single" w:sz="4" w:space="0" w:color="auto"/>
            </w:tcBorders>
            <w:shd w:val="clear" w:color="auto" w:fill="auto"/>
            <w:noWrap/>
            <w:vAlign w:val="bottom"/>
            <w:hideMark/>
          </w:tcPr>
          <w:p w14:paraId="15987C2A"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(0.01)</w:t>
            </w:r>
          </w:p>
        </w:tc>
        <w:tc>
          <w:tcPr>
            <w:tcW w:w="1449" w:type="dxa"/>
            <w:tcBorders>
              <w:top w:val="nil"/>
              <w:left w:val="nil"/>
              <w:bottom w:val="single" w:sz="4" w:space="0" w:color="auto"/>
              <w:right w:val="single" w:sz="4" w:space="0" w:color="auto"/>
            </w:tcBorders>
            <w:shd w:val="clear" w:color="auto" w:fill="auto"/>
            <w:noWrap/>
            <w:vAlign w:val="bottom"/>
            <w:hideMark/>
          </w:tcPr>
          <w:p w14:paraId="15E01886"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(12.29)</w:t>
            </w:r>
          </w:p>
        </w:tc>
      </w:tr>
      <w:tr w:rsidR="00717333" w:rsidRPr="00717333" w14:paraId="35E55CAE"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B89E25D"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San Marcos</w:t>
            </w:r>
          </w:p>
        </w:tc>
        <w:tc>
          <w:tcPr>
            <w:tcW w:w="1520" w:type="dxa"/>
            <w:tcBorders>
              <w:top w:val="nil"/>
              <w:left w:val="nil"/>
              <w:bottom w:val="single" w:sz="4" w:space="0" w:color="auto"/>
              <w:right w:val="single" w:sz="4" w:space="0" w:color="auto"/>
            </w:tcBorders>
            <w:shd w:val="clear" w:color="auto" w:fill="auto"/>
            <w:noWrap/>
            <w:vAlign w:val="bottom"/>
            <w:hideMark/>
          </w:tcPr>
          <w:p w14:paraId="53BDF695"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0.34 </w:t>
            </w:r>
          </w:p>
        </w:tc>
        <w:tc>
          <w:tcPr>
            <w:tcW w:w="1420" w:type="dxa"/>
            <w:tcBorders>
              <w:top w:val="nil"/>
              <w:left w:val="nil"/>
              <w:bottom w:val="single" w:sz="4" w:space="0" w:color="auto"/>
              <w:right w:val="single" w:sz="4" w:space="0" w:color="auto"/>
            </w:tcBorders>
            <w:shd w:val="clear" w:color="auto" w:fill="auto"/>
            <w:noWrap/>
            <w:vAlign w:val="bottom"/>
            <w:hideMark/>
          </w:tcPr>
          <w:p w14:paraId="39A9821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0.30 </w:t>
            </w:r>
          </w:p>
        </w:tc>
        <w:tc>
          <w:tcPr>
            <w:tcW w:w="1415" w:type="dxa"/>
            <w:tcBorders>
              <w:top w:val="nil"/>
              <w:left w:val="nil"/>
              <w:bottom w:val="single" w:sz="4" w:space="0" w:color="auto"/>
              <w:right w:val="single" w:sz="4" w:space="0" w:color="auto"/>
            </w:tcBorders>
            <w:shd w:val="clear" w:color="auto" w:fill="auto"/>
            <w:noWrap/>
            <w:vAlign w:val="bottom"/>
            <w:hideMark/>
          </w:tcPr>
          <w:p w14:paraId="36F00BD6"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(0.04)</w:t>
            </w:r>
          </w:p>
        </w:tc>
        <w:tc>
          <w:tcPr>
            <w:tcW w:w="1449" w:type="dxa"/>
            <w:tcBorders>
              <w:top w:val="nil"/>
              <w:left w:val="nil"/>
              <w:bottom w:val="single" w:sz="4" w:space="0" w:color="auto"/>
              <w:right w:val="single" w:sz="4" w:space="0" w:color="auto"/>
            </w:tcBorders>
            <w:shd w:val="clear" w:color="auto" w:fill="auto"/>
            <w:noWrap/>
            <w:vAlign w:val="bottom"/>
            <w:hideMark/>
          </w:tcPr>
          <w:p w14:paraId="3202F107"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(11.70)</w:t>
            </w:r>
          </w:p>
        </w:tc>
      </w:tr>
      <w:tr w:rsidR="00717333" w:rsidRPr="00717333" w14:paraId="39557E04"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B214F76"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Totonicapán</w:t>
            </w:r>
          </w:p>
        </w:tc>
        <w:tc>
          <w:tcPr>
            <w:tcW w:w="1520" w:type="dxa"/>
            <w:tcBorders>
              <w:top w:val="nil"/>
              <w:left w:val="nil"/>
              <w:bottom w:val="single" w:sz="4" w:space="0" w:color="auto"/>
              <w:right w:val="single" w:sz="4" w:space="0" w:color="auto"/>
            </w:tcBorders>
            <w:shd w:val="clear" w:color="auto" w:fill="auto"/>
            <w:noWrap/>
            <w:vAlign w:val="bottom"/>
            <w:hideMark/>
          </w:tcPr>
          <w:p w14:paraId="07F229F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0.13 </w:t>
            </w:r>
          </w:p>
        </w:tc>
        <w:tc>
          <w:tcPr>
            <w:tcW w:w="1420" w:type="dxa"/>
            <w:tcBorders>
              <w:top w:val="nil"/>
              <w:left w:val="nil"/>
              <w:bottom w:val="single" w:sz="4" w:space="0" w:color="auto"/>
              <w:right w:val="single" w:sz="4" w:space="0" w:color="auto"/>
            </w:tcBorders>
            <w:shd w:val="clear" w:color="auto" w:fill="auto"/>
            <w:noWrap/>
            <w:vAlign w:val="bottom"/>
            <w:hideMark/>
          </w:tcPr>
          <w:p w14:paraId="70401F13"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0.12 </w:t>
            </w:r>
          </w:p>
        </w:tc>
        <w:tc>
          <w:tcPr>
            <w:tcW w:w="1415" w:type="dxa"/>
            <w:tcBorders>
              <w:top w:val="nil"/>
              <w:left w:val="nil"/>
              <w:bottom w:val="single" w:sz="4" w:space="0" w:color="auto"/>
              <w:right w:val="single" w:sz="4" w:space="0" w:color="auto"/>
            </w:tcBorders>
            <w:shd w:val="clear" w:color="auto" w:fill="auto"/>
            <w:noWrap/>
            <w:vAlign w:val="bottom"/>
            <w:hideMark/>
          </w:tcPr>
          <w:p w14:paraId="66F506E6"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(0.01)</w:t>
            </w:r>
          </w:p>
        </w:tc>
        <w:tc>
          <w:tcPr>
            <w:tcW w:w="1449" w:type="dxa"/>
            <w:tcBorders>
              <w:top w:val="nil"/>
              <w:left w:val="nil"/>
              <w:bottom w:val="single" w:sz="4" w:space="0" w:color="auto"/>
              <w:right w:val="single" w:sz="4" w:space="0" w:color="auto"/>
            </w:tcBorders>
            <w:shd w:val="clear" w:color="auto" w:fill="auto"/>
            <w:noWrap/>
            <w:vAlign w:val="bottom"/>
            <w:hideMark/>
          </w:tcPr>
          <w:p w14:paraId="61168E1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(10.45)</w:t>
            </w:r>
          </w:p>
        </w:tc>
      </w:tr>
      <w:tr w:rsidR="00717333" w:rsidRPr="00717333" w14:paraId="199930B2"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FD036BF"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Baja Verapaz</w:t>
            </w:r>
          </w:p>
        </w:tc>
        <w:tc>
          <w:tcPr>
            <w:tcW w:w="1520" w:type="dxa"/>
            <w:tcBorders>
              <w:top w:val="nil"/>
              <w:left w:val="nil"/>
              <w:bottom w:val="single" w:sz="4" w:space="0" w:color="auto"/>
              <w:right w:val="single" w:sz="4" w:space="0" w:color="auto"/>
            </w:tcBorders>
            <w:shd w:val="clear" w:color="auto" w:fill="auto"/>
            <w:noWrap/>
            <w:vAlign w:val="bottom"/>
            <w:hideMark/>
          </w:tcPr>
          <w:p w14:paraId="11D1085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0.12 </w:t>
            </w:r>
          </w:p>
        </w:tc>
        <w:tc>
          <w:tcPr>
            <w:tcW w:w="1420" w:type="dxa"/>
            <w:tcBorders>
              <w:top w:val="nil"/>
              <w:left w:val="nil"/>
              <w:bottom w:val="single" w:sz="4" w:space="0" w:color="auto"/>
              <w:right w:val="single" w:sz="4" w:space="0" w:color="auto"/>
            </w:tcBorders>
            <w:shd w:val="clear" w:color="auto" w:fill="auto"/>
            <w:noWrap/>
            <w:vAlign w:val="bottom"/>
            <w:hideMark/>
          </w:tcPr>
          <w:p w14:paraId="1B38D77B"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0.11 </w:t>
            </w:r>
          </w:p>
        </w:tc>
        <w:tc>
          <w:tcPr>
            <w:tcW w:w="1415" w:type="dxa"/>
            <w:tcBorders>
              <w:top w:val="nil"/>
              <w:left w:val="nil"/>
              <w:bottom w:val="single" w:sz="4" w:space="0" w:color="auto"/>
              <w:right w:val="single" w:sz="4" w:space="0" w:color="auto"/>
            </w:tcBorders>
            <w:shd w:val="clear" w:color="auto" w:fill="auto"/>
            <w:noWrap/>
            <w:vAlign w:val="bottom"/>
            <w:hideMark/>
          </w:tcPr>
          <w:p w14:paraId="6EAF4B2B"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(0.01)</w:t>
            </w:r>
          </w:p>
        </w:tc>
        <w:tc>
          <w:tcPr>
            <w:tcW w:w="1449" w:type="dxa"/>
            <w:tcBorders>
              <w:top w:val="nil"/>
              <w:left w:val="nil"/>
              <w:bottom w:val="single" w:sz="4" w:space="0" w:color="auto"/>
              <w:right w:val="single" w:sz="4" w:space="0" w:color="auto"/>
            </w:tcBorders>
            <w:shd w:val="clear" w:color="auto" w:fill="auto"/>
            <w:noWrap/>
            <w:vAlign w:val="bottom"/>
            <w:hideMark/>
          </w:tcPr>
          <w:p w14:paraId="55E3A762"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(9.00)</w:t>
            </w:r>
          </w:p>
        </w:tc>
      </w:tr>
      <w:tr w:rsidR="00717333" w:rsidRPr="00717333" w14:paraId="670C6F8E"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4EDEB3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Jutiapa</w:t>
            </w:r>
          </w:p>
        </w:tc>
        <w:tc>
          <w:tcPr>
            <w:tcW w:w="1520" w:type="dxa"/>
            <w:tcBorders>
              <w:top w:val="nil"/>
              <w:left w:val="nil"/>
              <w:bottom w:val="single" w:sz="4" w:space="0" w:color="auto"/>
              <w:right w:val="single" w:sz="4" w:space="0" w:color="auto"/>
            </w:tcBorders>
            <w:shd w:val="clear" w:color="auto" w:fill="auto"/>
            <w:noWrap/>
            <w:vAlign w:val="bottom"/>
            <w:hideMark/>
          </w:tcPr>
          <w:p w14:paraId="5664781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0.19 </w:t>
            </w:r>
          </w:p>
        </w:tc>
        <w:tc>
          <w:tcPr>
            <w:tcW w:w="1420" w:type="dxa"/>
            <w:tcBorders>
              <w:top w:val="nil"/>
              <w:left w:val="nil"/>
              <w:bottom w:val="single" w:sz="4" w:space="0" w:color="auto"/>
              <w:right w:val="single" w:sz="4" w:space="0" w:color="auto"/>
            </w:tcBorders>
            <w:shd w:val="clear" w:color="auto" w:fill="auto"/>
            <w:noWrap/>
            <w:vAlign w:val="bottom"/>
            <w:hideMark/>
          </w:tcPr>
          <w:p w14:paraId="675EDFAB"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0.18 </w:t>
            </w:r>
          </w:p>
        </w:tc>
        <w:tc>
          <w:tcPr>
            <w:tcW w:w="1415" w:type="dxa"/>
            <w:tcBorders>
              <w:top w:val="nil"/>
              <w:left w:val="nil"/>
              <w:bottom w:val="single" w:sz="4" w:space="0" w:color="auto"/>
              <w:right w:val="single" w:sz="4" w:space="0" w:color="auto"/>
            </w:tcBorders>
            <w:shd w:val="clear" w:color="auto" w:fill="auto"/>
            <w:noWrap/>
            <w:vAlign w:val="bottom"/>
            <w:hideMark/>
          </w:tcPr>
          <w:p w14:paraId="3DB7858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(0.01)</w:t>
            </w:r>
          </w:p>
        </w:tc>
        <w:tc>
          <w:tcPr>
            <w:tcW w:w="1449" w:type="dxa"/>
            <w:tcBorders>
              <w:top w:val="nil"/>
              <w:left w:val="nil"/>
              <w:bottom w:val="single" w:sz="4" w:space="0" w:color="auto"/>
              <w:right w:val="single" w:sz="4" w:space="0" w:color="auto"/>
            </w:tcBorders>
            <w:shd w:val="clear" w:color="auto" w:fill="auto"/>
            <w:noWrap/>
            <w:vAlign w:val="bottom"/>
            <w:hideMark/>
          </w:tcPr>
          <w:p w14:paraId="44896C4C"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(7.17)</w:t>
            </w:r>
          </w:p>
        </w:tc>
      </w:tr>
      <w:tr w:rsidR="00717333" w:rsidRPr="00717333" w14:paraId="24C44017"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209385"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Petén</w:t>
            </w:r>
          </w:p>
        </w:tc>
        <w:tc>
          <w:tcPr>
            <w:tcW w:w="1520" w:type="dxa"/>
            <w:tcBorders>
              <w:top w:val="nil"/>
              <w:left w:val="nil"/>
              <w:bottom w:val="single" w:sz="4" w:space="0" w:color="auto"/>
              <w:right w:val="single" w:sz="4" w:space="0" w:color="auto"/>
            </w:tcBorders>
            <w:shd w:val="clear" w:color="auto" w:fill="auto"/>
            <w:noWrap/>
            <w:vAlign w:val="bottom"/>
            <w:hideMark/>
          </w:tcPr>
          <w:p w14:paraId="73C83599"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0.23 </w:t>
            </w:r>
          </w:p>
        </w:tc>
        <w:tc>
          <w:tcPr>
            <w:tcW w:w="1420" w:type="dxa"/>
            <w:tcBorders>
              <w:top w:val="nil"/>
              <w:left w:val="nil"/>
              <w:bottom w:val="single" w:sz="4" w:space="0" w:color="auto"/>
              <w:right w:val="single" w:sz="4" w:space="0" w:color="auto"/>
            </w:tcBorders>
            <w:shd w:val="clear" w:color="auto" w:fill="auto"/>
            <w:noWrap/>
            <w:vAlign w:val="bottom"/>
            <w:hideMark/>
          </w:tcPr>
          <w:p w14:paraId="62BD181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0.22 </w:t>
            </w:r>
          </w:p>
        </w:tc>
        <w:tc>
          <w:tcPr>
            <w:tcW w:w="1415" w:type="dxa"/>
            <w:tcBorders>
              <w:top w:val="nil"/>
              <w:left w:val="nil"/>
              <w:bottom w:val="single" w:sz="4" w:space="0" w:color="auto"/>
              <w:right w:val="single" w:sz="4" w:space="0" w:color="auto"/>
            </w:tcBorders>
            <w:shd w:val="clear" w:color="auto" w:fill="auto"/>
            <w:noWrap/>
            <w:vAlign w:val="bottom"/>
            <w:hideMark/>
          </w:tcPr>
          <w:p w14:paraId="0B51ADE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(0.01)</w:t>
            </w:r>
          </w:p>
        </w:tc>
        <w:tc>
          <w:tcPr>
            <w:tcW w:w="1449" w:type="dxa"/>
            <w:tcBorders>
              <w:top w:val="nil"/>
              <w:left w:val="nil"/>
              <w:bottom w:val="single" w:sz="4" w:space="0" w:color="auto"/>
              <w:right w:val="single" w:sz="4" w:space="0" w:color="auto"/>
            </w:tcBorders>
            <w:shd w:val="clear" w:color="auto" w:fill="auto"/>
            <w:noWrap/>
            <w:vAlign w:val="bottom"/>
            <w:hideMark/>
          </w:tcPr>
          <w:p w14:paraId="578858D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(4.17)</w:t>
            </w:r>
          </w:p>
        </w:tc>
      </w:tr>
      <w:tr w:rsidR="00717333" w:rsidRPr="00717333" w14:paraId="218180C6"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7DB76FE"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Guatemala</w:t>
            </w:r>
          </w:p>
        </w:tc>
        <w:tc>
          <w:tcPr>
            <w:tcW w:w="1520" w:type="dxa"/>
            <w:tcBorders>
              <w:top w:val="nil"/>
              <w:left w:val="nil"/>
              <w:bottom w:val="single" w:sz="4" w:space="0" w:color="auto"/>
              <w:right w:val="single" w:sz="4" w:space="0" w:color="auto"/>
            </w:tcBorders>
            <w:shd w:val="clear" w:color="auto" w:fill="auto"/>
            <w:noWrap/>
            <w:vAlign w:val="bottom"/>
            <w:hideMark/>
          </w:tcPr>
          <w:p w14:paraId="5970B06F"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3.92 </w:t>
            </w:r>
          </w:p>
        </w:tc>
        <w:tc>
          <w:tcPr>
            <w:tcW w:w="1420" w:type="dxa"/>
            <w:tcBorders>
              <w:top w:val="nil"/>
              <w:left w:val="nil"/>
              <w:bottom w:val="single" w:sz="4" w:space="0" w:color="auto"/>
              <w:right w:val="single" w:sz="4" w:space="0" w:color="auto"/>
            </w:tcBorders>
            <w:shd w:val="clear" w:color="auto" w:fill="auto"/>
            <w:noWrap/>
            <w:vAlign w:val="bottom"/>
            <w:hideMark/>
          </w:tcPr>
          <w:p w14:paraId="532D7B13"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3.88 </w:t>
            </w:r>
          </w:p>
        </w:tc>
        <w:tc>
          <w:tcPr>
            <w:tcW w:w="1415" w:type="dxa"/>
            <w:tcBorders>
              <w:top w:val="nil"/>
              <w:left w:val="nil"/>
              <w:bottom w:val="single" w:sz="4" w:space="0" w:color="auto"/>
              <w:right w:val="single" w:sz="4" w:space="0" w:color="auto"/>
            </w:tcBorders>
            <w:shd w:val="clear" w:color="auto" w:fill="auto"/>
            <w:noWrap/>
            <w:vAlign w:val="bottom"/>
            <w:hideMark/>
          </w:tcPr>
          <w:p w14:paraId="12D75F32"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(0.03)</w:t>
            </w:r>
          </w:p>
        </w:tc>
        <w:tc>
          <w:tcPr>
            <w:tcW w:w="1449" w:type="dxa"/>
            <w:tcBorders>
              <w:top w:val="nil"/>
              <w:left w:val="nil"/>
              <w:bottom w:val="single" w:sz="4" w:space="0" w:color="auto"/>
              <w:right w:val="single" w:sz="4" w:space="0" w:color="auto"/>
            </w:tcBorders>
            <w:shd w:val="clear" w:color="auto" w:fill="auto"/>
            <w:noWrap/>
            <w:vAlign w:val="bottom"/>
            <w:hideMark/>
          </w:tcPr>
          <w:p w14:paraId="6B6BCC17"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(0.81)</w:t>
            </w:r>
          </w:p>
        </w:tc>
      </w:tr>
      <w:tr w:rsidR="00717333" w:rsidRPr="00717333" w14:paraId="3FE4B5B4"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035ED7F"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Quetzaltenango</w:t>
            </w:r>
          </w:p>
        </w:tc>
        <w:tc>
          <w:tcPr>
            <w:tcW w:w="1520" w:type="dxa"/>
            <w:tcBorders>
              <w:top w:val="nil"/>
              <w:left w:val="nil"/>
              <w:bottom w:val="single" w:sz="4" w:space="0" w:color="auto"/>
              <w:right w:val="single" w:sz="4" w:space="0" w:color="auto"/>
            </w:tcBorders>
            <w:shd w:val="clear" w:color="auto" w:fill="auto"/>
            <w:noWrap/>
            <w:vAlign w:val="bottom"/>
            <w:hideMark/>
          </w:tcPr>
          <w:p w14:paraId="2FE4D22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0.33 </w:t>
            </w:r>
          </w:p>
        </w:tc>
        <w:tc>
          <w:tcPr>
            <w:tcW w:w="1420" w:type="dxa"/>
            <w:tcBorders>
              <w:top w:val="nil"/>
              <w:left w:val="nil"/>
              <w:bottom w:val="single" w:sz="4" w:space="0" w:color="auto"/>
              <w:right w:val="single" w:sz="4" w:space="0" w:color="auto"/>
            </w:tcBorders>
            <w:shd w:val="clear" w:color="auto" w:fill="auto"/>
            <w:noWrap/>
            <w:vAlign w:val="bottom"/>
            <w:hideMark/>
          </w:tcPr>
          <w:p w14:paraId="785E80F9"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0.32 </w:t>
            </w:r>
          </w:p>
        </w:tc>
        <w:tc>
          <w:tcPr>
            <w:tcW w:w="1415" w:type="dxa"/>
            <w:tcBorders>
              <w:top w:val="nil"/>
              <w:left w:val="nil"/>
              <w:bottom w:val="single" w:sz="4" w:space="0" w:color="auto"/>
              <w:right w:val="single" w:sz="4" w:space="0" w:color="auto"/>
            </w:tcBorders>
            <w:shd w:val="clear" w:color="auto" w:fill="auto"/>
            <w:noWrap/>
            <w:vAlign w:val="bottom"/>
            <w:hideMark/>
          </w:tcPr>
          <w:p w14:paraId="5C86CD23"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(0.00)</w:t>
            </w:r>
          </w:p>
        </w:tc>
        <w:tc>
          <w:tcPr>
            <w:tcW w:w="1449" w:type="dxa"/>
            <w:tcBorders>
              <w:top w:val="nil"/>
              <w:left w:val="nil"/>
              <w:bottom w:val="single" w:sz="4" w:space="0" w:color="auto"/>
              <w:right w:val="single" w:sz="4" w:space="0" w:color="auto"/>
            </w:tcBorders>
            <w:shd w:val="clear" w:color="auto" w:fill="auto"/>
            <w:noWrap/>
            <w:vAlign w:val="bottom"/>
            <w:hideMark/>
          </w:tcPr>
          <w:p w14:paraId="3A789B25"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(0.79)</w:t>
            </w:r>
          </w:p>
        </w:tc>
      </w:tr>
      <w:tr w:rsidR="00717333" w:rsidRPr="00717333" w14:paraId="55DEAFF9"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41B9D5F"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Chimaltenango</w:t>
            </w:r>
          </w:p>
        </w:tc>
        <w:tc>
          <w:tcPr>
            <w:tcW w:w="1520" w:type="dxa"/>
            <w:tcBorders>
              <w:top w:val="nil"/>
              <w:left w:val="nil"/>
              <w:bottom w:val="single" w:sz="4" w:space="0" w:color="auto"/>
              <w:right w:val="single" w:sz="4" w:space="0" w:color="auto"/>
            </w:tcBorders>
            <w:shd w:val="clear" w:color="auto" w:fill="auto"/>
            <w:noWrap/>
            <w:vAlign w:val="bottom"/>
            <w:hideMark/>
          </w:tcPr>
          <w:p w14:paraId="72711D53"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0.17 </w:t>
            </w:r>
          </w:p>
        </w:tc>
        <w:tc>
          <w:tcPr>
            <w:tcW w:w="1420" w:type="dxa"/>
            <w:tcBorders>
              <w:top w:val="nil"/>
              <w:left w:val="nil"/>
              <w:bottom w:val="single" w:sz="4" w:space="0" w:color="auto"/>
              <w:right w:val="single" w:sz="4" w:space="0" w:color="auto"/>
            </w:tcBorders>
            <w:shd w:val="clear" w:color="auto" w:fill="auto"/>
            <w:noWrap/>
            <w:vAlign w:val="bottom"/>
            <w:hideMark/>
          </w:tcPr>
          <w:p w14:paraId="787EF4DB"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0.17 </w:t>
            </w:r>
          </w:p>
        </w:tc>
        <w:tc>
          <w:tcPr>
            <w:tcW w:w="1415" w:type="dxa"/>
            <w:tcBorders>
              <w:top w:val="nil"/>
              <w:left w:val="nil"/>
              <w:bottom w:val="single" w:sz="4" w:space="0" w:color="auto"/>
              <w:right w:val="single" w:sz="4" w:space="0" w:color="auto"/>
            </w:tcBorders>
            <w:shd w:val="clear" w:color="auto" w:fill="auto"/>
            <w:noWrap/>
            <w:vAlign w:val="bottom"/>
            <w:hideMark/>
          </w:tcPr>
          <w:p w14:paraId="3984719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(0.00)</w:t>
            </w:r>
          </w:p>
        </w:tc>
        <w:tc>
          <w:tcPr>
            <w:tcW w:w="1449" w:type="dxa"/>
            <w:tcBorders>
              <w:top w:val="nil"/>
              <w:left w:val="nil"/>
              <w:bottom w:val="single" w:sz="4" w:space="0" w:color="auto"/>
              <w:right w:val="single" w:sz="4" w:space="0" w:color="auto"/>
            </w:tcBorders>
            <w:shd w:val="clear" w:color="auto" w:fill="auto"/>
            <w:noWrap/>
            <w:vAlign w:val="bottom"/>
            <w:hideMark/>
          </w:tcPr>
          <w:p w14:paraId="290592D5"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(0.68)</w:t>
            </w:r>
          </w:p>
        </w:tc>
      </w:tr>
      <w:tr w:rsidR="00717333" w:rsidRPr="00717333" w14:paraId="623DC44E"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B11BEF1"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Retalhuleu</w:t>
            </w:r>
          </w:p>
        </w:tc>
        <w:tc>
          <w:tcPr>
            <w:tcW w:w="1520" w:type="dxa"/>
            <w:tcBorders>
              <w:top w:val="nil"/>
              <w:left w:val="nil"/>
              <w:bottom w:val="single" w:sz="4" w:space="0" w:color="auto"/>
              <w:right w:val="single" w:sz="4" w:space="0" w:color="auto"/>
            </w:tcBorders>
            <w:shd w:val="clear" w:color="auto" w:fill="auto"/>
            <w:noWrap/>
            <w:vAlign w:val="bottom"/>
            <w:hideMark/>
          </w:tcPr>
          <w:p w14:paraId="52D71B6F"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0.19 </w:t>
            </w:r>
          </w:p>
        </w:tc>
        <w:tc>
          <w:tcPr>
            <w:tcW w:w="1420" w:type="dxa"/>
            <w:tcBorders>
              <w:top w:val="nil"/>
              <w:left w:val="nil"/>
              <w:bottom w:val="single" w:sz="4" w:space="0" w:color="auto"/>
              <w:right w:val="single" w:sz="4" w:space="0" w:color="auto"/>
            </w:tcBorders>
            <w:shd w:val="clear" w:color="auto" w:fill="auto"/>
            <w:noWrap/>
            <w:vAlign w:val="bottom"/>
            <w:hideMark/>
          </w:tcPr>
          <w:p w14:paraId="2144632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0.20 </w:t>
            </w:r>
          </w:p>
        </w:tc>
        <w:tc>
          <w:tcPr>
            <w:tcW w:w="1415" w:type="dxa"/>
            <w:tcBorders>
              <w:top w:val="nil"/>
              <w:left w:val="nil"/>
              <w:bottom w:val="single" w:sz="4" w:space="0" w:color="auto"/>
              <w:right w:val="single" w:sz="4" w:space="0" w:color="auto"/>
            </w:tcBorders>
            <w:shd w:val="clear" w:color="auto" w:fill="auto"/>
            <w:noWrap/>
            <w:vAlign w:val="bottom"/>
            <w:hideMark/>
          </w:tcPr>
          <w:p w14:paraId="579C328B"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0.01 </w:t>
            </w:r>
          </w:p>
        </w:tc>
        <w:tc>
          <w:tcPr>
            <w:tcW w:w="1449" w:type="dxa"/>
            <w:tcBorders>
              <w:top w:val="nil"/>
              <w:left w:val="nil"/>
              <w:bottom w:val="single" w:sz="4" w:space="0" w:color="auto"/>
              <w:right w:val="single" w:sz="4" w:space="0" w:color="auto"/>
            </w:tcBorders>
            <w:shd w:val="clear" w:color="auto" w:fill="auto"/>
            <w:noWrap/>
            <w:vAlign w:val="bottom"/>
            <w:hideMark/>
          </w:tcPr>
          <w:p w14:paraId="1E4BEFDD"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5.97 </w:t>
            </w:r>
          </w:p>
        </w:tc>
      </w:tr>
      <w:tr w:rsidR="00717333" w:rsidRPr="00717333" w14:paraId="46BE30B8" w14:textId="77777777" w:rsidTr="005A1912">
        <w:trPr>
          <w:trHeight w:val="378"/>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6A0C810"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Programa Multirregión</w:t>
            </w:r>
          </w:p>
        </w:tc>
        <w:tc>
          <w:tcPr>
            <w:tcW w:w="1520" w:type="dxa"/>
            <w:tcBorders>
              <w:top w:val="nil"/>
              <w:left w:val="nil"/>
              <w:bottom w:val="single" w:sz="4" w:space="0" w:color="auto"/>
              <w:right w:val="single" w:sz="4" w:space="0" w:color="auto"/>
            </w:tcBorders>
            <w:shd w:val="clear" w:color="auto" w:fill="auto"/>
            <w:noWrap/>
            <w:vAlign w:val="bottom"/>
            <w:hideMark/>
          </w:tcPr>
          <w:p w14:paraId="112804F4"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0.95 </w:t>
            </w:r>
          </w:p>
        </w:tc>
        <w:tc>
          <w:tcPr>
            <w:tcW w:w="1420" w:type="dxa"/>
            <w:tcBorders>
              <w:top w:val="nil"/>
              <w:left w:val="nil"/>
              <w:bottom w:val="single" w:sz="4" w:space="0" w:color="auto"/>
              <w:right w:val="single" w:sz="4" w:space="0" w:color="auto"/>
            </w:tcBorders>
            <w:shd w:val="clear" w:color="auto" w:fill="auto"/>
            <w:noWrap/>
            <w:vAlign w:val="bottom"/>
            <w:hideMark/>
          </w:tcPr>
          <w:p w14:paraId="4752B0EC"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0.46 </w:t>
            </w:r>
          </w:p>
        </w:tc>
        <w:tc>
          <w:tcPr>
            <w:tcW w:w="1415" w:type="dxa"/>
            <w:tcBorders>
              <w:top w:val="nil"/>
              <w:left w:val="nil"/>
              <w:bottom w:val="single" w:sz="4" w:space="0" w:color="auto"/>
              <w:right w:val="single" w:sz="4" w:space="0" w:color="auto"/>
            </w:tcBorders>
            <w:shd w:val="clear" w:color="auto" w:fill="auto"/>
            <w:noWrap/>
            <w:vAlign w:val="bottom"/>
            <w:hideMark/>
          </w:tcPr>
          <w:p w14:paraId="4A5A34FC"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(0.49)</w:t>
            </w:r>
          </w:p>
        </w:tc>
        <w:tc>
          <w:tcPr>
            <w:tcW w:w="1449" w:type="dxa"/>
            <w:tcBorders>
              <w:top w:val="nil"/>
              <w:left w:val="nil"/>
              <w:bottom w:val="single" w:sz="4" w:space="0" w:color="auto"/>
              <w:right w:val="single" w:sz="4" w:space="0" w:color="auto"/>
            </w:tcBorders>
            <w:shd w:val="clear" w:color="auto" w:fill="auto"/>
            <w:noWrap/>
            <w:vAlign w:val="bottom"/>
            <w:hideMark/>
          </w:tcPr>
          <w:p w14:paraId="01AF8CEE" w14:textId="77777777" w:rsidR="00717333" w:rsidRPr="00717333" w:rsidRDefault="00717333" w:rsidP="00717333">
            <w:pPr>
              <w:spacing w:after="0" w:line="240" w:lineRule="auto"/>
              <w:rPr>
                <w:rFonts w:ascii="Calibri" w:eastAsia="Times New Roman" w:hAnsi="Calibri" w:cs="Times New Roman"/>
                <w:color w:val="000000"/>
                <w:sz w:val="20"/>
                <w:lang w:eastAsia="es-GT"/>
              </w:rPr>
            </w:pPr>
            <w:r w:rsidRPr="00717333">
              <w:rPr>
                <w:rFonts w:ascii="Calibri" w:eastAsia="Times New Roman" w:hAnsi="Calibri" w:cs="Times New Roman"/>
                <w:color w:val="000000"/>
                <w:sz w:val="20"/>
                <w:lang w:eastAsia="es-GT"/>
              </w:rPr>
              <w:t xml:space="preserve">               (51.64)</w:t>
            </w:r>
          </w:p>
        </w:tc>
      </w:tr>
      <w:tr w:rsidR="00717333" w:rsidRPr="00717333" w14:paraId="4D13A3F7" w14:textId="77777777" w:rsidTr="00717333">
        <w:trPr>
          <w:trHeight w:val="30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95FEDC6" w14:textId="77777777" w:rsidR="00717333" w:rsidRPr="00717333" w:rsidRDefault="00717333" w:rsidP="00717333">
            <w:pPr>
              <w:spacing w:after="0" w:line="240" w:lineRule="auto"/>
              <w:rPr>
                <w:rFonts w:ascii="Calibri" w:eastAsia="Times New Roman" w:hAnsi="Calibri" w:cs="Times New Roman"/>
                <w:b/>
                <w:bCs/>
                <w:color w:val="000000"/>
                <w:sz w:val="20"/>
                <w:lang w:eastAsia="es-GT"/>
              </w:rPr>
            </w:pPr>
            <w:r w:rsidRPr="00717333">
              <w:rPr>
                <w:rFonts w:ascii="Calibri" w:eastAsia="Times New Roman" w:hAnsi="Calibri" w:cs="Times New Roman"/>
                <w:b/>
                <w:bCs/>
                <w:color w:val="000000"/>
                <w:sz w:val="20"/>
                <w:lang w:eastAsia="es-GT"/>
              </w:rPr>
              <w:t>Total nacional</w:t>
            </w:r>
          </w:p>
        </w:tc>
        <w:tc>
          <w:tcPr>
            <w:tcW w:w="1520" w:type="dxa"/>
            <w:tcBorders>
              <w:top w:val="nil"/>
              <w:left w:val="nil"/>
              <w:bottom w:val="single" w:sz="4" w:space="0" w:color="auto"/>
              <w:right w:val="single" w:sz="4" w:space="0" w:color="auto"/>
            </w:tcBorders>
            <w:shd w:val="clear" w:color="auto" w:fill="auto"/>
            <w:noWrap/>
            <w:vAlign w:val="bottom"/>
            <w:hideMark/>
          </w:tcPr>
          <w:p w14:paraId="403170C3" w14:textId="77777777" w:rsidR="00717333" w:rsidRPr="00717333" w:rsidRDefault="00717333" w:rsidP="00717333">
            <w:pPr>
              <w:spacing w:after="0" w:line="240" w:lineRule="auto"/>
              <w:rPr>
                <w:rFonts w:ascii="Calibri" w:eastAsia="Times New Roman" w:hAnsi="Calibri" w:cs="Times New Roman"/>
                <w:b/>
                <w:bCs/>
                <w:color w:val="000000"/>
                <w:sz w:val="20"/>
                <w:lang w:eastAsia="es-GT"/>
              </w:rPr>
            </w:pPr>
            <w:r w:rsidRPr="00717333">
              <w:rPr>
                <w:rFonts w:ascii="Calibri" w:eastAsia="Times New Roman" w:hAnsi="Calibri" w:cs="Times New Roman"/>
                <w:b/>
                <w:bCs/>
                <w:color w:val="000000"/>
                <w:sz w:val="20"/>
                <w:lang w:eastAsia="es-GT"/>
              </w:rPr>
              <w:t xml:space="preserve">                      9.33 </w:t>
            </w:r>
          </w:p>
        </w:tc>
        <w:tc>
          <w:tcPr>
            <w:tcW w:w="1420" w:type="dxa"/>
            <w:tcBorders>
              <w:top w:val="nil"/>
              <w:left w:val="nil"/>
              <w:bottom w:val="single" w:sz="4" w:space="0" w:color="auto"/>
              <w:right w:val="single" w:sz="4" w:space="0" w:color="auto"/>
            </w:tcBorders>
            <w:shd w:val="clear" w:color="auto" w:fill="auto"/>
            <w:noWrap/>
            <w:vAlign w:val="bottom"/>
            <w:hideMark/>
          </w:tcPr>
          <w:p w14:paraId="43BFCCA5" w14:textId="77777777" w:rsidR="00717333" w:rsidRPr="00717333" w:rsidRDefault="00717333" w:rsidP="00717333">
            <w:pPr>
              <w:spacing w:after="0" w:line="240" w:lineRule="auto"/>
              <w:rPr>
                <w:rFonts w:ascii="Calibri" w:eastAsia="Times New Roman" w:hAnsi="Calibri" w:cs="Times New Roman"/>
                <w:b/>
                <w:bCs/>
                <w:color w:val="000000"/>
                <w:sz w:val="20"/>
                <w:lang w:eastAsia="es-GT"/>
              </w:rPr>
            </w:pPr>
            <w:r w:rsidRPr="00717333">
              <w:rPr>
                <w:rFonts w:ascii="Calibri" w:eastAsia="Times New Roman" w:hAnsi="Calibri" w:cs="Times New Roman"/>
                <w:b/>
                <w:bCs/>
                <w:color w:val="000000"/>
                <w:sz w:val="20"/>
                <w:lang w:eastAsia="es-GT"/>
              </w:rPr>
              <w:t xml:space="preserve">                    8.18 </w:t>
            </w:r>
          </w:p>
        </w:tc>
        <w:tc>
          <w:tcPr>
            <w:tcW w:w="1415" w:type="dxa"/>
            <w:tcBorders>
              <w:top w:val="nil"/>
              <w:left w:val="nil"/>
              <w:bottom w:val="single" w:sz="4" w:space="0" w:color="auto"/>
              <w:right w:val="single" w:sz="4" w:space="0" w:color="auto"/>
            </w:tcBorders>
            <w:shd w:val="clear" w:color="auto" w:fill="auto"/>
            <w:noWrap/>
            <w:vAlign w:val="bottom"/>
            <w:hideMark/>
          </w:tcPr>
          <w:p w14:paraId="301AADAF" w14:textId="77777777" w:rsidR="00717333" w:rsidRPr="00717333" w:rsidRDefault="00717333" w:rsidP="00717333">
            <w:pPr>
              <w:spacing w:after="0" w:line="240" w:lineRule="auto"/>
              <w:rPr>
                <w:rFonts w:ascii="Calibri" w:eastAsia="Times New Roman" w:hAnsi="Calibri" w:cs="Times New Roman"/>
                <w:b/>
                <w:bCs/>
                <w:color w:val="000000"/>
                <w:sz w:val="20"/>
                <w:lang w:eastAsia="es-GT"/>
              </w:rPr>
            </w:pPr>
            <w:r w:rsidRPr="00717333">
              <w:rPr>
                <w:rFonts w:ascii="Calibri" w:eastAsia="Times New Roman" w:hAnsi="Calibri" w:cs="Times New Roman"/>
                <w:b/>
                <w:bCs/>
                <w:color w:val="000000"/>
                <w:sz w:val="20"/>
                <w:lang w:eastAsia="es-GT"/>
              </w:rPr>
              <w:t xml:space="preserve">                 (1.15)</w:t>
            </w:r>
          </w:p>
        </w:tc>
        <w:tc>
          <w:tcPr>
            <w:tcW w:w="1449" w:type="dxa"/>
            <w:tcBorders>
              <w:top w:val="nil"/>
              <w:left w:val="nil"/>
              <w:bottom w:val="single" w:sz="4" w:space="0" w:color="auto"/>
              <w:right w:val="single" w:sz="4" w:space="0" w:color="auto"/>
            </w:tcBorders>
            <w:shd w:val="clear" w:color="auto" w:fill="auto"/>
            <w:noWrap/>
            <w:vAlign w:val="bottom"/>
            <w:hideMark/>
          </w:tcPr>
          <w:p w14:paraId="0A85E0F4" w14:textId="77777777" w:rsidR="00717333" w:rsidRPr="00717333" w:rsidRDefault="00717333" w:rsidP="00717333">
            <w:pPr>
              <w:spacing w:after="0" w:line="240" w:lineRule="auto"/>
              <w:rPr>
                <w:rFonts w:ascii="Calibri" w:eastAsia="Times New Roman" w:hAnsi="Calibri" w:cs="Times New Roman"/>
                <w:b/>
                <w:bCs/>
                <w:color w:val="000000"/>
                <w:sz w:val="20"/>
                <w:lang w:eastAsia="es-GT"/>
              </w:rPr>
            </w:pPr>
            <w:r w:rsidRPr="00717333">
              <w:rPr>
                <w:rFonts w:ascii="Calibri" w:eastAsia="Times New Roman" w:hAnsi="Calibri" w:cs="Times New Roman"/>
                <w:b/>
                <w:bCs/>
                <w:color w:val="000000"/>
                <w:sz w:val="20"/>
                <w:lang w:eastAsia="es-GT"/>
              </w:rPr>
              <w:t xml:space="preserve">               (12.29)</w:t>
            </w:r>
          </w:p>
        </w:tc>
      </w:tr>
    </w:tbl>
    <w:p w14:paraId="058624D5" w14:textId="77777777" w:rsidR="00701B18" w:rsidRPr="004F6CEB" w:rsidRDefault="00701B18" w:rsidP="00701B18">
      <w:pPr>
        <w:jc w:val="both"/>
        <w:rPr>
          <w:sz w:val="18"/>
          <w:szCs w:val="20"/>
        </w:rPr>
      </w:pPr>
      <w:r w:rsidRPr="004F6CEB">
        <w:rPr>
          <w:sz w:val="18"/>
          <w:szCs w:val="20"/>
        </w:rPr>
        <w:t>Fuente: Icefi con base en el Sistema de Contabilidad Integrada (Sicoin) del Ministerio de Finanzas Públicas (Minfin).</w:t>
      </w:r>
    </w:p>
    <w:p w14:paraId="063FBAA7" w14:textId="77777777" w:rsidR="00701B18" w:rsidRPr="005A1912" w:rsidRDefault="00701B18" w:rsidP="00701B18">
      <w:pPr>
        <w:jc w:val="both"/>
        <w:rPr>
          <w:sz w:val="20"/>
          <w:szCs w:val="20"/>
        </w:rPr>
      </w:pPr>
      <w:r w:rsidRPr="005A1912">
        <w:rPr>
          <w:sz w:val="20"/>
          <w:szCs w:val="20"/>
        </w:rPr>
        <w:t>Nota: 1) El Gasto Público Social incluye las funciones de gobierno 705 (Protección del Medio Ambiente); 706 (Vivienda y Servicios Comunitarios); 707 (Salud); 708 (Actividades Recreativas, Cultura y Religión); 709 (Educación) y 710 (Protección Social), según la clasificación de funciones de gobierno del</w:t>
      </w:r>
      <w:r>
        <w:rPr>
          <w:sz w:val="20"/>
          <w:szCs w:val="20"/>
        </w:rPr>
        <w:t xml:space="preserve"> Manual de estadísticas de las finanzas públicas 2014, del</w:t>
      </w:r>
      <w:r w:rsidRPr="005A1912">
        <w:rPr>
          <w:sz w:val="20"/>
          <w:szCs w:val="20"/>
        </w:rPr>
        <w:t xml:space="preserve"> Fondo Monetario Internacional (FMI). </w:t>
      </w:r>
    </w:p>
    <w:p w14:paraId="55E83FC8" w14:textId="77777777" w:rsidR="00762EBF" w:rsidRDefault="00762EBF" w:rsidP="00DA3855">
      <w:pPr>
        <w:jc w:val="both"/>
      </w:pPr>
    </w:p>
    <w:p w14:paraId="49E3AE74" w14:textId="77777777" w:rsidR="00201F67" w:rsidRPr="00701B18" w:rsidRDefault="00B169A3" w:rsidP="00DA3855">
      <w:pPr>
        <w:jc w:val="both"/>
      </w:pPr>
      <w:r w:rsidRPr="00701B18">
        <w:t>Hasta el momento, los ejercicios prospectivos de desarrollo elaborados por el Estado de Guatemala</w:t>
      </w:r>
      <w:r w:rsidR="00DA3855" w:rsidRPr="00701B18">
        <w:t xml:space="preserve">, como en </w:t>
      </w:r>
      <w:r w:rsidRPr="00701B18">
        <w:t xml:space="preserve">el </w:t>
      </w:r>
      <w:r w:rsidR="00DA3855" w:rsidRPr="00701B18">
        <w:t xml:space="preserve">caso del </w:t>
      </w:r>
      <w:r w:rsidR="00DA3855" w:rsidRPr="00701B18">
        <w:rPr>
          <w:i/>
        </w:rPr>
        <w:t>Plan Nacional de Desarrollo K’atun: nuestra Guatemala 2032</w:t>
      </w:r>
      <w:r w:rsidRPr="00701B18">
        <w:t xml:space="preserve">, carecen de mediciones que permitan saber el monto adecuado de gasto público para garantizar a la población el disfrute de todos sus derechos. Sin embargo, </w:t>
      </w:r>
      <w:r w:rsidR="00BE3787" w:rsidRPr="00701B18">
        <w:t xml:space="preserve">tanto los magros resultados en la cobertura y la calidad de los servicios públicos evaluados en los apartados anteriores de este Informe Anual Circunstanciado, como </w:t>
      </w:r>
      <w:r w:rsidRPr="00701B18">
        <w:t xml:space="preserve">las </w:t>
      </w:r>
      <w:r w:rsidR="00B63C37" w:rsidRPr="00701B18">
        <w:t xml:space="preserve">revisiones sobre las asignaciones presupuestarias y las </w:t>
      </w:r>
      <w:r w:rsidRPr="00701B18">
        <w:t xml:space="preserve">comparaciones internacionales son una buena aproximación para advertir la baja e insuficiente inversión pública social. </w:t>
      </w:r>
    </w:p>
    <w:p w14:paraId="3EA866F7" w14:textId="77777777" w:rsidR="00B169A3" w:rsidRPr="00701B18" w:rsidRDefault="00DA3855" w:rsidP="00201F67">
      <w:pPr>
        <w:jc w:val="both"/>
      </w:pPr>
      <w:r w:rsidRPr="00701B18">
        <w:t xml:space="preserve">En ese sentido, </w:t>
      </w:r>
      <w:r w:rsidR="00EA13CE" w:rsidRPr="00701B18">
        <w:t xml:space="preserve">Guatemala es el Estado de Latinoamérica que </w:t>
      </w:r>
      <w:r w:rsidR="008916A0" w:rsidRPr="00701B18">
        <w:t>registra</w:t>
      </w:r>
      <w:r w:rsidR="00EA13CE" w:rsidRPr="00701B18">
        <w:t xml:space="preserve"> el menor gasto </w:t>
      </w:r>
      <w:r w:rsidR="008916A0" w:rsidRPr="00701B18">
        <w:t xml:space="preserve">público </w:t>
      </w:r>
      <w:r w:rsidR="00EA13CE" w:rsidRPr="00701B18">
        <w:t xml:space="preserve">social.  </w:t>
      </w:r>
      <w:r w:rsidR="00F64157" w:rsidRPr="00701B18">
        <w:t>Según datos de la Comisión Económica para América Latina y el Caribe (Cepal), en 2018, el gasto público social de esta región representó</w:t>
      </w:r>
      <w:r w:rsidR="008916A0" w:rsidRPr="00701B18">
        <w:t xml:space="preserve"> en promedio</w:t>
      </w:r>
      <w:r w:rsidR="00F64157" w:rsidRPr="00701B18">
        <w:t xml:space="preserve"> el 11.3% del PIB, mientras el de Guatemala equivalió al 7.0% del PIB.</w:t>
      </w:r>
      <w:r w:rsidR="00F64157" w:rsidRPr="00701B18">
        <w:rPr>
          <w:rStyle w:val="FootnoteReference"/>
        </w:rPr>
        <w:footnoteReference w:id="6"/>
      </w:r>
      <w:r w:rsidR="00F64157" w:rsidRPr="00701B18">
        <w:t xml:space="preserve"> Si se compara </w:t>
      </w:r>
      <w:r w:rsidRPr="00701B18">
        <w:t xml:space="preserve">el gasto público </w:t>
      </w:r>
      <w:r w:rsidR="00F64157" w:rsidRPr="00701B18">
        <w:t>social de Guatemala con el promedio de los países que pertenecen a la Organización para la Cooperación y el Desarrollo Económicos (OCDE), la brecha se acentúa, pues el gasto público social en este grupo de países</w:t>
      </w:r>
      <w:r w:rsidRPr="00701B18">
        <w:t>,</w:t>
      </w:r>
      <w:r w:rsidR="00F64157" w:rsidRPr="00701B18">
        <w:t xml:space="preserve"> con los mayores niveles de desarrollo en el planeta, </w:t>
      </w:r>
      <w:r w:rsidR="008916A0" w:rsidRPr="00701B18">
        <w:t xml:space="preserve">llegó en promedio </w:t>
      </w:r>
      <w:r w:rsidR="00F64157" w:rsidRPr="00701B18">
        <w:t xml:space="preserve">en 2018  </w:t>
      </w:r>
      <w:r w:rsidR="008916A0" w:rsidRPr="00701B18">
        <w:t xml:space="preserve">a </w:t>
      </w:r>
      <w:r w:rsidR="00F64157" w:rsidRPr="00701B18">
        <w:t>20.1% del PIB.</w:t>
      </w:r>
    </w:p>
    <w:p w14:paraId="5D82EEDD" w14:textId="77777777" w:rsidR="00762EBF" w:rsidRDefault="00762EBF" w:rsidP="00D96C6A">
      <w:pPr>
        <w:spacing w:after="0" w:line="240" w:lineRule="auto"/>
        <w:jc w:val="center"/>
      </w:pPr>
    </w:p>
    <w:p w14:paraId="03128C06" w14:textId="77777777" w:rsidR="00B479FE" w:rsidRDefault="00B479FE" w:rsidP="00D96C6A">
      <w:pPr>
        <w:spacing w:after="0" w:line="240" w:lineRule="auto"/>
        <w:jc w:val="center"/>
      </w:pPr>
    </w:p>
    <w:p w14:paraId="79927FB1" w14:textId="77777777" w:rsidR="00B479FE" w:rsidRDefault="00B479FE" w:rsidP="00D96C6A">
      <w:pPr>
        <w:spacing w:after="0" w:line="240" w:lineRule="auto"/>
        <w:jc w:val="center"/>
      </w:pPr>
    </w:p>
    <w:p w14:paraId="0439AE61" w14:textId="77777777" w:rsidR="00B479FE" w:rsidRDefault="00B479FE" w:rsidP="00D96C6A">
      <w:pPr>
        <w:spacing w:after="0" w:line="240" w:lineRule="auto"/>
        <w:jc w:val="center"/>
      </w:pPr>
    </w:p>
    <w:p w14:paraId="33E37A35" w14:textId="77777777" w:rsidR="00762EBF" w:rsidRDefault="00762EBF" w:rsidP="00D96C6A">
      <w:pPr>
        <w:spacing w:after="0" w:line="240" w:lineRule="auto"/>
        <w:jc w:val="center"/>
      </w:pPr>
    </w:p>
    <w:p w14:paraId="38D41B38" w14:textId="77777777" w:rsidR="00762EBF" w:rsidRDefault="00762EBF" w:rsidP="00D96C6A">
      <w:pPr>
        <w:spacing w:after="0" w:line="240" w:lineRule="auto"/>
        <w:jc w:val="center"/>
      </w:pPr>
    </w:p>
    <w:p w14:paraId="3C2516A0" w14:textId="77777777" w:rsidR="00762EBF" w:rsidRDefault="00762EBF" w:rsidP="00D96C6A">
      <w:pPr>
        <w:spacing w:after="0" w:line="240" w:lineRule="auto"/>
        <w:jc w:val="center"/>
      </w:pPr>
    </w:p>
    <w:p w14:paraId="75E1C573" w14:textId="77777777" w:rsidR="00762EBF" w:rsidRDefault="00762EBF" w:rsidP="00D96C6A">
      <w:pPr>
        <w:spacing w:after="0" w:line="240" w:lineRule="auto"/>
        <w:jc w:val="center"/>
      </w:pPr>
    </w:p>
    <w:p w14:paraId="7160B7FF" w14:textId="77777777" w:rsidR="00762EBF" w:rsidRDefault="00762EBF" w:rsidP="00D96C6A">
      <w:pPr>
        <w:spacing w:after="0" w:line="240" w:lineRule="auto"/>
        <w:jc w:val="center"/>
      </w:pPr>
    </w:p>
    <w:p w14:paraId="267FAF25" w14:textId="77777777" w:rsidR="00762EBF" w:rsidRDefault="00762EBF" w:rsidP="00D96C6A">
      <w:pPr>
        <w:spacing w:after="0" w:line="240" w:lineRule="auto"/>
        <w:jc w:val="center"/>
      </w:pPr>
    </w:p>
    <w:p w14:paraId="0B6EDB83" w14:textId="77777777" w:rsidR="00F64157" w:rsidRPr="00701B18" w:rsidRDefault="00F64157" w:rsidP="00D96C6A">
      <w:pPr>
        <w:spacing w:after="0" w:line="240" w:lineRule="auto"/>
        <w:jc w:val="center"/>
      </w:pPr>
      <w:r w:rsidRPr="00701B18">
        <w:t>Gráfica</w:t>
      </w:r>
    </w:p>
    <w:p w14:paraId="36E7E57D" w14:textId="77777777" w:rsidR="00F64157" w:rsidRPr="00701B18" w:rsidRDefault="00F64157" w:rsidP="00D96C6A">
      <w:pPr>
        <w:spacing w:after="0" w:line="240" w:lineRule="auto"/>
        <w:jc w:val="center"/>
      </w:pPr>
      <w:r w:rsidRPr="00701B18">
        <w:t>Gasto público social en 2018, en países seleccionados y como porcentaje del PIB</w:t>
      </w:r>
    </w:p>
    <w:p w14:paraId="795BCF63" w14:textId="77777777" w:rsidR="00EA13CE" w:rsidRDefault="0088592A" w:rsidP="00201F67">
      <w:pPr>
        <w:jc w:val="both"/>
        <w:rPr>
          <w:sz w:val="24"/>
        </w:rPr>
      </w:pPr>
      <w:r>
        <w:rPr>
          <w:noProof/>
          <w:lang w:val="en-GB" w:eastAsia="en-GB"/>
        </w:rPr>
        <w:drawing>
          <wp:inline distT="0" distB="0" distL="0" distR="0" wp14:anchorId="0502D368" wp14:editId="5874EEAF">
            <wp:extent cx="5600700" cy="381952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300725" w14:textId="77777777" w:rsidR="00EA13CE" w:rsidRDefault="00EA13CE" w:rsidP="00201F67">
      <w:pPr>
        <w:jc w:val="both"/>
        <w:rPr>
          <w:sz w:val="16"/>
        </w:rPr>
      </w:pPr>
      <w:r w:rsidRPr="004F6CEB">
        <w:rPr>
          <w:sz w:val="18"/>
        </w:rPr>
        <w:t xml:space="preserve">Fuente: Icefi con base en: para los países de América Latina: Cepal (2019). Panorama social de América Latina 2019; para el resto de países: indicadores sociales de la Organización </w:t>
      </w:r>
      <w:r w:rsidR="00F64157" w:rsidRPr="004F6CEB">
        <w:rPr>
          <w:sz w:val="18"/>
        </w:rPr>
        <w:t xml:space="preserve">para la </w:t>
      </w:r>
      <w:r w:rsidRPr="004F6CEB">
        <w:rPr>
          <w:sz w:val="18"/>
        </w:rPr>
        <w:t xml:space="preserve">Cooperación y el Desarrollo </w:t>
      </w:r>
      <w:r w:rsidR="00F64157" w:rsidRPr="004F6CEB">
        <w:rPr>
          <w:sz w:val="18"/>
        </w:rPr>
        <w:t xml:space="preserve">Económicos </w:t>
      </w:r>
      <w:r w:rsidRPr="004F6CEB">
        <w:rPr>
          <w:sz w:val="18"/>
        </w:rPr>
        <w:t xml:space="preserve">(Ocde), en </w:t>
      </w:r>
      <w:hyperlink r:id="rId11" w:history="1">
        <w:r w:rsidRPr="004F6CEB">
          <w:rPr>
            <w:rStyle w:val="Hyperlink"/>
            <w:sz w:val="16"/>
          </w:rPr>
          <w:t>http://www.oecd.org/social/expenditure.htm</w:t>
        </w:r>
      </w:hyperlink>
      <w:r w:rsidR="00F64157" w:rsidRPr="004F6CEB">
        <w:rPr>
          <w:sz w:val="16"/>
        </w:rPr>
        <w:t>.</w:t>
      </w:r>
    </w:p>
    <w:p w14:paraId="178EEBCA" w14:textId="77777777" w:rsidR="00762EBF" w:rsidRDefault="00762EBF" w:rsidP="00762EBF">
      <w:r>
        <w:br w:type="page"/>
      </w:r>
    </w:p>
    <w:p w14:paraId="60F85396" w14:textId="77777777" w:rsidR="00F8774C" w:rsidRPr="00DA3855" w:rsidRDefault="00BA5397" w:rsidP="005D4B28">
      <w:pPr>
        <w:pStyle w:val="Heading2"/>
      </w:pPr>
      <w:bookmarkStart w:id="5" w:name="_Toc47694495"/>
      <w:r w:rsidRPr="00DA3855">
        <w:t xml:space="preserve">Bajos ingresos </w:t>
      </w:r>
      <w:r w:rsidR="00F8774C" w:rsidRPr="00DA3855">
        <w:t>tributarios</w:t>
      </w:r>
      <w:r w:rsidRPr="00DA3855">
        <w:t xml:space="preserve"> y con tendencia a la reducción</w:t>
      </w:r>
      <w:bookmarkEnd w:id="5"/>
    </w:p>
    <w:p w14:paraId="31AB8BF7" w14:textId="77777777" w:rsidR="005D4B28" w:rsidRDefault="005D4B28" w:rsidP="00F8774C">
      <w:pPr>
        <w:jc w:val="both"/>
      </w:pPr>
    </w:p>
    <w:p w14:paraId="1D2560D8" w14:textId="77777777" w:rsidR="00695904" w:rsidRDefault="00695904" w:rsidP="00F8774C">
      <w:pPr>
        <w:jc w:val="both"/>
      </w:pPr>
      <w:r>
        <w:t xml:space="preserve">El reducido e insuficiente gasto público destinado al cumplimiento de los derechos humanos, es resultado de varios fenómenos, entre los que destaca un sistema tributario poco productivo y regresivo. </w:t>
      </w:r>
    </w:p>
    <w:p w14:paraId="3E00F757" w14:textId="77777777" w:rsidR="00877DA5" w:rsidRDefault="00A6668A" w:rsidP="00F8774C">
      <w:pPr>
        <w:jc w:val="both"/>
      </w:pPr>
      <w:r>
        <w:t xml:space="preserve">En ese sentido, </w:t>
      </w:r>
      <w:r w:rsidR="00695904">
        <w:t>el Pacto Fiscal</w:t>
      </w:r>
      <w:r w:rsidR="000F5841">
        <w:t xml:space="preserve"> para un Futuro con Paz y Desarrollo</w:t>
      </w:r>
      <w:r w:rsidR="00695904">
        <w:t xml:space="preserve"> (2000), ba</w:t>
      </w:r>
      <w:r w:rsidR="00795FFB">
        <w:t>sado en los</w:t>
      </w:r>
      <w:r w:rsidR="00695904">
        <w:t xml:space="preserve"> principios constitucionales</w:t>
      </w:r>
      <w:r w:rsidR="00795FFB">
        <w:t xml:space="preserve"> y en los Acuerdos de Paz,</w:t>
      </w:r>
      <w:r w:rsidR="00695904">
        <w:t xml:space="preserve"> propuso reorganizarlo para que este respondiera a principios de justicia</w:t>
      </w:r>
      <w:r w:rsidR="00795FFB">
        <w:t>,</w:t>
      </w:r>
      <w:r w:rsidR="00E5076F">
        <w:t xml:space="preserve"> eficiencia,</w:t>
      </w:r>
      <w:r w:rsidR="00695904">
        <w:t xml:space="preserve"> </w:t>
      </w:r>
      <w:r w:rsidR="00795FFB">
        <w:t xml:space="preserve">simplicidad, progresividad </w:t>
      </w:r>
      <w:r w:rsidR="00695904">
        <w:t xml:space="preserve">y </w:t>
      </w:r>
      <w:r w:rsidR="00795FFB">
        <w:t>suficiencia, entre otros. Dentro de los compromisos asu</w:t>
      </w:r>
      <w:r w:rsidR="00E5076F">
        <w:t>midos en este acuerdo político destacan primero el que «el sistema tributario deberá diseñarse de tal forma que sea globalmente progresivo, es decir que la carga tributaria promedio, aumente en la medida en que el ingreso de los contribuyentes sea mayor»</w:t>
      </w:r>
      <w:r w:rsidR="00E5076F">
        <w:rPr>
          <w:rStyle w:val="FootnoteReference"/>
        </w:rPr>
        <w:footnoteReference w:id="7"/>
      </w:r>
      <w:r w:rsidR="00E5076F">
        <w:t xml:space="preserve">. </w:t>
      </w:r>
    </w:p>
    <w:p w14:paraId="461D9946" w14:textId="77777777" w:rsidR="00695904" w:rsidRDefault="00E5076F" w:rsidP="00F8774C">
      <w:pPr>
        <w:jc w:val="both"/>
      </w:pPr>
      <w:r>
        <w:t>Asimismo</w:t>
      </w:r>
      <w:r w:rsidR="00011934">
        <w:t xml:space="preserve"> y con el fin de lograr la progresividad</w:t>
      </w:r>
      <w:r>
        <w:t xml:space="preserve">, en el Pacto Fiscal se acuerda que «se </w:t>
      </w:r>
      <w:r w:rsidR="00011934">
        <w:t>impulsará la conformación gradual de un sistema tributario eficiente, mediante la revisión, en el año 2000, de los privilegios, exenciones y exoneraciones fiscales existentes, con el objeto de eliminarlos gradualmente […]»</w:t>
      </w:r>
      <w:r w:rsidR="00011934">
        <w:rPr>
          <w:rStyle w:val="FootnoteReference"/>
        </w:rPr>
        <w:footnoteReference w:id="8"/>
      </w:r>
      <w:r w:rsidR="00011934">
        <w:t>. Finalmente, en cuanto a la suficiencia de recursos, el Pacto refiere que «se asegurará que la carga tributaria se haya incrementado en el año 2002, en por lo menos un 50</w:t>
      </w:r>
      <w:r w:rsidR="00B479FE">
        <w:t>.0</w:t>
      </w:r>
      <w:r w:rsidR="00011934">
        <w:t>% con respecto a la carga tributaria de 1995», asumiendo llevar la recaudación tributaria a ser equivalente al 12.0% del PIB, (actualizada a 13.2% tras cambios en el cálculo de las Cuentas Nacionales).</w:t>
      </w:r>
      <w:r w:rsidR="00020538">
        <w:t xml:space="preserve"> En general, estos principios y compromisos de comportamiento y resultado no se han cumplido, como se verá a continuación.</w:t>
      </w:r>
    </w:p>
    <w:p w14:paraId="788DF602" w14:textId="77777777" w:rsidR="00020538" w:rsidRDefault="00020538" w:rsidP="00F8774C">
      <w:pPr>
        <w:jc w:val="both"/>
      </w:pPr>
      <w:r>
        <w:t>En cuanto a l</w:t>
      </w:r>
      <w:r w:rsidR="0016361A">
        <w:t>a recaudación tributaria, la misma llegó a su punto más alto en 2007, cuando equivalió aproximadamente al 12.1% del PIB. Esto fue resultado, en buena medida, de la puesta en vigencia de la Ley Antievasión</w:t>
      </w:r>
      <w:r w:rsidR="00011ABD">
        <w:t xml:space="preserve"> (Decreto 20-2006)</w:t>
      </w:r>
      <w:r w:rsidR="0016361A">
        <w:t xml:space="preserve">. </w:t>
      </w:r>
      <w:r w:rsidR="006F29B9" w:rsidRPr="006F29B9">
        <w:t xml:space="preserve">La carga tributaria inició en 2013 una trayectoria de descenso que no ha </w:t>
      </w:r>
      <w:r w:rsidR="006F29B9">
        <w:t>sido</w:t>
      </w:r>
      <w:r w:rsidR="006F29B9" w:rsidRPr="006F29B9">
        <w:t xml:space="preserve"> revertida</w:t>
      </w:r>
      <w:r w:rsidR="006F29B9">
        <w:t xml:space="preserve"> por las autoridades</w:t>
      </w:r>
      <w:r w:rsidR="006F29B9" w:rsidRPr="006F29B9">
        <w:t>, pasando de representar un 11.0%</w:t>
      </w:r>
      <w:r w:rsidR="006F29B9">
        <w:t xml:space="preserve"> </w:t>
      </w:r>
      <w:r w:rsidR="006F29B9" w:rsidRPr="006F29B9">
        <w:t>del PIB</w:t>
      </w:r>
      <w:r w:rsidR="006F29B9">
        <w:t xml:space="preserve"> (2013) </w:t>
      </w:r>
      <w:r w:rsidR="006F29B9" w:rsidRPr="006F29B9">
        <w:t>hasta el 10.0% con el que cerr</w:t>
      </w:r>
      <w:r w:rsidR="006F29B9">
        <w:t>ó</w:t>
      </w:r>
      <w:r w:rsidR="006F29B9" w:rsidRPr="006F29B9">
        <w:t xml:space="preserve"> en 2018, constituyendo el peor resultado recaudatorio conseguido por la S</w:t>
      </w:r>
      <w:r w:rsidR="006F29B9">
        <w:t>uperintendencia de Administración Tributaria (SAT) en toda su existencia (desde</w:t>
      </w:r>
      <w:r w:rsidR="006F29B9" w:rsidRPr="006F29B9">
        <w:t xml:space="preserve"> 1999</w:t>
      </w:r>
      <w:r w:rsidR="006F29B9">
        <w:t>)</w:t>
      </w:r>
      <w:r w:rsidR="006F29B9" w:rsidRPr="006F29B9">
        <w:t xml:space="preserve">. </w:t>
      </w:r>
      <w:r w:rsidR="006F29B9">
        <w:t>L</w:t>
      </w:r>
      <w:r w:rsidR="0016361A">
        <w:t xml:space="preserve">a tendencia </w:t>
      </w:r>
      <w:r w:rsidR="006F29B9">
        <w:t>a</w:t>
      </w:r>
      <w:r w:rsidR="0016361A">
        <w:t xml:space="preserve"> la reducción</w:t>
      </w:r>
      <w:r w:rsidR="006F29B9">
        <w:t xml:space="preserve"> de la recaudación es resultado </w:t>
      </w:r>
      <w:r w:rsidR="0016361A">
        <w:t xml:space="preserve">tanto </w:t>
      </w:r>
      <w:r w:rsidR="006F29B9">
        <w:t>de</w:t>
      </w:r>
      <w:r w:rsidR="0016361A">
        <w:t xml:space="preserve"> la crisis económica internacional</w:t>
      </w:r>
      <w:r w:rsidR="006F29B9">
        <w:t xml:space="preserve"> y de menores tasas de crecimiento</w:t>
      </w:r>
      <w:r w:rsidR="0016361A">
        <w:t>, como por las diferentes crisis políticas que ha experimentado el país en los ú</w:t>
      </w:r>
      <w:r w:rsidR="00C269D9">
        <w:t>ltimos años</w:t>
      </w:r>
      <w:r w:rsidR="00011ABD">
        <w:t xml:space="preserve"> y que han afectado a la SAT, directa e indirectamente</w:t>
      </w:r>
      <w:r w:rsidR="00C269D9">
        <w:t xml:space="preserve">. </w:t>
      </w:r>
    </w:p>
    <w:p w14:paraId="792393EC" w14:textId="77777777" w:rsidR="00877DA5" w:rsidRDefault="00877DA5" w:rsidP="00011ABD">
      <w:pPr>
        <w:spacing w:after="0" w:line="240" w:lineRule="auto"/>
        <w:jc w:val="center"/>
      </w:pPr>
    </w:p>
    <w:p w14:paraId="64EEC5D5" w14:textId="77777777" w:rsidR="00762EBF" w:rsidRDefault="00762EBF" w:rsidP="00011ABD">
      <w:pPr>
        <w:spacing w:after="0" w:line="240" w:lineRule="auto"/>
        <w:jc w:val="center"/>
      </w:pPr>
    </w:p>
    <w:p w14:paraId="37287B62" w14:textId="77777777" w:rsidR="00762EBF" w:rsidRDefault="00762EBF" w:rsidP="00011ABD">
      <w:pPr>
        <w:spacing w:after="0" w:line="240" w:lineRule="auto"/>
        <w:jc w:val="center"/>
      </w:pPr>
    </w:p>
    <w:p w14:paraId="271233DF" w14:textId="77777777" w:rsidR="00B479FE" w:rsidRDefault="00B479FE" w:rsidP="00011ABD">
      <w:pPr>
        <w:spacing w:after="0" w:line="240" w:lineRule="auto"/>
        <w:jc w:val="center"/>
      </w:pPr>
    </w:p>
    <w:p w14:paraId="005CC09E" w14:textId="77777777" w:rsidR="00B479FE" w:rsidRDefault="00B479FE" w:rsidP="00011ABD">
      <w:pPr>
        <w:spacing w:after="0" w:line="240" w:lineRule="auto"/>
        <w:jc w:val="center"/>
      </w:pPr>
    </w:p>
    <w:p w14:paraId="01560F45" w14:textId="77777777" w:rsidR="00B479FE" w:rsidRDefault="00B479FE" w:rsidP="00011ABD">
      <w:pPr>
        <w:spacing w:after="0" w:line="240" w:lineRule="auto"/>
        <w:jc w:val="center"/>
      </w:pPr>
    </w:p>
    <w:p w14:paraId="5D948170" w14:textId="77777777" w:rsidR="00762EBF" w:rsidRDefault="00762EBF" w:rsidP="00011ABD">
      <w:pPr>
        <w:spacing w:after="0" w:line="240" w:lineRule="auto"/>
        <w:jc w:val="center"/>
      </w:pPr>
    </w:p>
    <w:p w14:paraId="253696D1" w14:textId="77777777" w:rsidR="00762EBF" w:rsidRDefault="00762EBF" w:rsidP="00011ABD">
      <w:pPr>
        <w:spacing w:after="0" w:line="240" w:lineRule="auto"/>
        <w:jc w:val="center"/>
      </w:pPr>
    </w:p>
    <w:p w14:paraId="3A44A904" w14:textId="77777777" w:rsidR="00872C4A" w:rsidRDefault="00872C4A" w:rsidP="00011ABD">
      <w:pPr>
        <w:spacing w:after="0" w:line="240" w:lineRule="auto"/>
        <w:jc w:val="center"/>
      </w:pPr>
      <w:r>
        <w:t>Gráfica</w:t>
      </w:r>
    </w:p>
    <w:p w14:paraId="7714D72A" w14:textId="77777777" w:rsidR="00872C4A" w:rsidRDefault="00872C4A" w:rsidP="00011ABD">
      <w:pPr>
        <w:spacing w:after="0" w:line="240" w:lineRule="auto"/>
        <w:jc w:val="center"/>
      </w:pPr>
      <w:r>
        <w:t>Ingresos tributarios como porcentaje del PIB</w:t>
      </w:r>
      <w:r w:rsidR="00A4799F">
        <w:t xml:space="preserve"> (Carga tributaria)</w:t>
      </w:r>
    </w:p>
    <w:p w14:paraId="758F68DB" w14:textId="77777777" w:rsidR="00872C4A" w:rsidRDefault="00872C4A" w:rsidP="00011ABD">
      <w:pPr>
        <w:jc w:val="center"/>
      </w:pPr>
      <w:r w:rsidRPr="00C269D9">
        <w:rPr>
          <w:noProof/>
          <w:sz w:val="20"/>
          <w:szCs w:val="20"/>
          <w:lang w:val="en-GB" w:eastAsia="en-GB"/>
        </w:rPr>
        <w:drawing>
          <wp:inline distT="0" distB="0" distL="0" distR="0" wp14:anchorId="18F5885E" wp14:editId="1E7D3AFE">
            <wp:extent cx="4707255" cy="3524250"/>
            <wp:effectExtent l="0" t="0" r="1714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B68A7A" w14:textId="77777777" w:rsidR="00020538" w:rsidRPr="004F6CEB" w:rsidRDefault="00A4799F" w:rsidP="00F8774C">
      <w:pPr>
        <w:jc w:val="both"/>
        <w:rPr>
          <w:sz w:val="18"/>
        </w:rPr>
      </w:pPr>
      <w:r w:rsidRPr="004F6CEB">
        <w:rPr>
          <w:sz w:val="18"/>
        </w:rPr>
        <w:t>Fuente: Icefi con base en estadísticas del Ministerio de Finanzas Públicas.</w:t>
      </w:r>
    </w:p>
    <w:p w14:paraId="0AEB39F9" w14:textId="77777777" w:rsidR="00F8084E" w:rsidRDefault="006F29B9" w:rsidP="00F8774C">
      <w:pPr>
        <w:jc w:val="both"/>
      </w:pPr>
      <w:r w:rsidRPr="006F29B9">
        <w:t>En los últimos cinco años</w:t>
      </w:r>
      <w:r w:rsidR="00D80646">
        <w:t xml:space="preserve">, </w:t>
      </w:r>
      <w:r w:rsidRPr="006F29B9">
        <w:t>entre 2013 y 2018, la sociedad ha conocido diferentes casos de corrupción cuyo foco ha sido la SAT (Caso La Línea y Traficantes de Influencias). Como resultado de esto se aprobaron cambios en su ley orgánica, con el fin de actualizar sus capacidades, cerrar posibles caminos a la corrupción y garantizar su autonomía. Sin embargo, estos cambios no han sido aprovechados por las autoridades.</w:t>
      </w:r>
      <w:r w:rsidR="00F8084E" w:rsidRPr="00F8084E">
        <w:rPr>
          <w:rStyle w:val="FootnoteReference"/>
        </w:rPr>
        <w:t xml:space="preserve"> </w:t>
      </w:r>
      <w:r w:rsidR="00F8084E">
        <w:rPr>
          <w:rStyle w:val="FootnoteReference"/>
        </w:rPr>
        <w:footnoteReference w:id="9"/>
      </w:r>
      <w:r w:rsidRPr="006F29B9">
        <w:t xml:space="preserve"> </w:t>
      </w:r>
    </w:p>
    <w:p w14:paraId="7D1BBC27" w14:textId="77777777" w:rsidR="006F29B9" w:rsidRDefault="006F29B9" w:rsidP="00F8774C">
      <w:pPr>
        <w:jc w:val="both"/>
      </w:pPr>
      <w:r w:rsidRPr="006F29B9">
        <w:t>Otro hecho que ha afectado la recaudación en este período es el creciente nivel de evasión del IVA, que representó, en 2018, el 37.9% del potencial recaudatorio, habiendo aumentado 12.3 puntos desde 2012 cuando constituía el 25.6%</w:t>
      </w:r>
      <w:r w:rsidR="00B17AAC">
        <w:t xml:space="preserve">. En términos nominales, el incumplimiento del IVA representó en 2018, </w:t>
      </w:r>
      <w:r w:rsidR="00F8084E">
        <w:t>Q16,566.9 millones (2.8% del PIB)</w:t>
      </w:r>
      <w:r w:rsidRPr="006F29B9">
        <w:t>.</w:t>
      </w:r>
      <w:r w:rsidR="00B17AAC">
        <w:t xml:space="preserve"> </w:t>
      </w:r>
      <w:r w:rsidR="00F8084E">
        <w:t xml:space="preserve"> Por su parte, e</w:t>
      </w:r>
      <w:r w:rsidR="008C6B01">
        <w:t>l de incumplimiento del impuesto sobre la renta en 2017 llegó a ser del 79.9%, lo que represent</w:t>
      </w:r>
      <w:r w:rsidR="00F8084E">
        <w:t>ó</w:t>
      </w:r>
      <w:r w:rsidR="008C6B01">
        <w:t xml:space="preserve"> cerca de Q24,758.5 millones (</w:t>
      </w:r>
      <w:r w:rsidR="00B17AAC">
        <w:t>4.5% del PIB).</w:t>
      </w:r>
      <w:r w:rsidR="00041DD2">
        <w:rPr>
          <w:rStyle w:val="FootnoteReference"/>
        </w:rPr>
        <w:footnoteReference w:id="10"/>
      </w:r>
      <w:r w:rsidR="00F8084E">
        <w:t xml:space="preserve">  </w:t>
      </w:r>
      <w:r w:rsidRPr="006F29B9">
        <w:t>A pesar de los cambios de Superintendente, ninguno ha logrado revertir la tendencia observada hasta la fecha en la carga tributaria.</w:t>
      </w:r>
    </w:p>
    <w:p w14:paraId="2C0E14F0" w14:textId="77777777" w:rsidR="00F8084E" w:rsidRDefault="000F72F8" w:rsidP="00F8084E">
      <w:pPr>
        <w:jc w:val="both"/>
      </w:pPr>
      <w:r>
        <w:t>E</w:t>
      </w:r>
      <w:r w:rsidR="009E71C2">
        <w:t xml:space="preserve">n el caso del incumplimiento del ISR, </w:t>
      </w:r>
      <w:r w:rsidR="00F8084E">
        <w:t xml:space="preserve">cerca del 32.0% del potencial teórico, </w:t>
      </w:r>
      <w:r>
        <w:t xml:space="preserve">según el Icefi, </w:t>
      </w:r>
      <w:r w:rsidR="00F8084E">
        <w:t xml:space="preserve">lo deducen los empresarios “cumpliendo con lo establecido en la Ley” por medio de la utilización de deducciones </w:t>
      </w:r>
      <w:r w:rsidR="00041DD2">
        <w:t xml:space="preserve">como </w:t>
      </w:r>
      <w:r w:rsidR="00F8084E">
        <w:t>gastos en publicidad por celebraciones navideñas (como explosiones de fuegos artificiales, habilitación de árboles navideños); donaciones de terceros; deducciones de intereses por préstamos de entes relacionados; deducción de gastos por actividades de responsabilidad social empresarial vinculada a mantenimiento de escuelas, jornadas de vacunación, pláticas a la población,   e</w:t>
      </w:r>
      <w:r w:rsidR="00041DD2">
        <w:t>ntre otras</w:t>
      </w:r>
      <w:r w:rsidR="00F8084E">
        <w:t>.  Una de las deducciones muy significativa es el tratamiento especial otorgado al sector construcción en donde la base del cálculo del ISR está reducida hasta el 70</w:t>
      </w:r>
      <w:r w:rsidR="00041DD2">
        <w:t>.0</w:t>
      </w:r>
      <w:r w:rsidR="00F8084E">
        <w:t>% de las ventas, teóricamente por la construcción de infraestructura de bienestar colectivo a los habitantes de los condominios construidos. La utilización de los escudos fiscales, que no se consideran necesarios para producir los bienes y servicios por la empresas, es uno de los mecanismos preferidos por los grupos empresariales para reducir el pago de impuestos y solo en 2012, período analizado por Icefi, implicó que se dejaran de pagar Q16,200.0 millones (4.1% del PIB de 2012).</w:t>
      </w:r>
      <w:r w:rsidR="00041DD2">
        <w:rPr>
          <w:rStyle w:val="FootnoteReference"/>
        </w:rPr>
        <w:footnoteReference w:id="11"/>
      </w:r>
    </w:p>
    <w:p w14:paraId="3345FCE7" w14:textId="77777777" w:rsidR="00973644" w:rsidRDefault="00041DD2" w:rsidP="00F8084E">
      <w:pPr>
        <w:jc w:val="both"/>
      </w:pPr>
      <w:r>
        <w:t>Otra filtración importante del impuesto s</w:t>
      </w:r>
      <w:r w:rsidR="00F8084E">
        <w:t xml:space="preserve">obre la </w:t>
      </w:r>
      <w:r w:rsidR="00725AA2">
        <w:t>r</w:t>
      </w:r>
      <w:r w:rsidR="00F8084E">
        <w:t>enta, la constituyen los movimientos de capital que realizan l</w:t>
      </w:r>
      <w:r w:rsidR="00725AA2">
        <w:t>as personas y empresas</w:t>
      </w:r>
      <w:r w:rsidR="00F8084E">
        <w:t xml:space="preserve"> utilizando planificación fiscal internacional, dentro de ella, los precios de transferencia para esconder ganancias obtenidas en el país.   De acuerdo a un informe de</w:t>
      </w:r>
      <w:r w:rsidR="00725AA2">
        <w:t xml:space="preserve"> </w:t>
      </w:r>
      <w:r w:rsidR="00F8084E">
        <w:t>l</w:t>
      </w:r>
      <w:r w:rsidR="00725AA2">
        <w:t>a</w:t>
      </w:r>
      <w:r w:rsidR="00F8084E">
        <w:t xml:space="preserve"> </w:t>
      </w:r>
      <w:r w:rsidR="00F8084E" w:rsidRPr="00725AA2">
        <w:rPr>
          <w:i/>
        </w:rPr>
        <w:t>Global Financial Integrity</w:t>
      </w:r>
      <w:r w:rsidR="00F8084E">
        <w:t xml:space="preserve"> </w:t>
      </w:r>
      <w:r w:rsidR="00725AA2">
        <w:t xml:space="preserve">(GFI), </w:t>
      </w:r>
      <w:r w:rsidR="00F8084E">
        <w:t>Guatemala presenta un promedio anual</w:t>
      </w:r>
      <w:r w:rsidR="00D02F8B">
        <w:t>, entre 2005 y 2014,</w:t>
      </w:r>
      <w:r w:rsidR="00F8084E">
        <w:t xml:space="preserve"> de USD</w:t>
      </w:r>
      <w:r w:rsidR="00D02F8B">
        <w:t>1</w:t>
      </w:r>
      <w:r w:rsidR="00F8084E">
        <w:t>,</w:t>
      </w:r>
      <w:r w:rsidR="00D02F8B">
        <w:t>877</w:t>
      </w:r>
      <w:r w:rsidR="00F8084E">
        <w:t xml:space="preserve">.0 millones en flujos comerciales </w:t>
      </w:r>
      <w:r w:rsidR="00D02F8B">
        <w:t>relacionados con</w:t>
      </w:r>
      <w:r w:rsidR="00F8084E">
        <w:t xml:space="preserve"> evasión y elusión tributaria</w:t>
      </w:r>
      <w:r w:rsidR="00854A37">
        <w:t>.</w:t>
      </w:r>
      <w:r w:rsidR="00F8084E">
        <w:t xml:space="preserve"> mientras que reporta </w:t>
      </w:r>
      <w:r w:rsidR="00973644">
        <w:t xml:space="preserve">un promedio anual de </w:t>
      </w:r>
      <w:r w:rsidR="00F8084E">
        <w:t>USD</w:t>
      </w:r>
      <w:r w:rsidR="00973644">
        <w:t>216</w:t>
      </w:r>
      <w:r w:rsidR="00F8084E">
        <w:t xml:space="preserve">.0 millones por concepto de </w:t>
      </w:r>
      <w:r w:rsidR="00F8084E" w:rsidRPr="00725AA2">
        <w:rPr>
          <w:i/>
        </w:rPr>
        <w:t>Hot Money</w:t>
      </w:r>
      <w:r w:rsidR="00725AA2">
        <w:rPr>
          <w:i/>
        </w:rPr>
        <w:t xml:space="preserve">, </w:t>
      </w:r>
      <w:r w:rsidR="00725AA2" w:rsidRPr="00725AA2">
        <w:t>concepto</w:t>
      </w:r>
      <w:r w:rsidR="00F8084E">
        <w:t xml:space="preserve"> utiliza</w:t>
      </w:r>
      <w:r w:rsidR="00725AA2">
        <w:t>do</w:t>
      </w:r>
      <w:r w:rsidR="00F8084E">
        <w:t xml:space="preserve"> la GFI para identificar los flujos de recursos que han salido del país para colocarse en el exterior y derivan de transacciones ilícitas dentro de los que se encuentra el contrabando, el tráfico de drogas, corrupción, trata de personas, e</w:t>
      </w:r>
      <w:r w:rsidR="00725AA2">
        <w:t>ntre otros hechos fuera de la ley</w:t>
      </w:r>
      <w:r w:rsidR="00F8084E">
        <w:t>.</w:t>
      </w:r>
      <w:r w:rsidR="00973644" w:rsidRPr="00973644">
        <w:rPr>
          <w:rStyle w:val="FootnoteReference"/>
        </w:rPr>
        <w:t xml:space="preserve"> </w:t>
      </w:r>
      <w:r w:rsidR="00973644">
        <w:rPr>
          <w:rStyle w:val="FootnoteReference"/>
        </w:rPr>
        <w:footnoteReference w:id="12"/>
      </w:r>
      <w:r w:rsidR="00F8084E">
        <w:t xml:space="preserve">  </w:t>
      </w:r>
    </w:p>
    <w:p w14:paraId="1F03E8DC" w14:textId="77777777" w:rsidR="00F8084E" w:rsidRDefault="00F8084E" w:rsidP="00F8084E">
      <w:pPr>
        <w:jc w:val="both"/>
      </w:pPr>
      <w:r>
        <w:t xml:space="preserve">Finalmente, como una </w:t>
      </w:r>
      <w:r w:rsidR="00853C36">
        <w:t>significativa</w:t>
      </w:r>
      <w:r>
        <w:t xml:space="preserve"> filtración tributaria</w:t>
      </w:r>
      <w:r w:rsidR="00853C36">
        <w:t xml:space="preserve"> la constituye </w:t>
      </w:r>
      <w:r>
        <w:t>el gasto tributario otorgado por el Estado en forma de tratamientos tributarios diferenciados a diferentes sectores socioeconómicos o grupos empresariales en el país.  Conforme la matriz de beneficiarios publicada por la SAT</w:t>
      </w:r>
      <w:r w:rsidR="00853C36">
        <w:t xml:space="preserve">, entre 2014 y 2018, el </w:t>
      </w:r>
      <w:r>
        <w:t xml:space="preserve">gasto tributario </w:t>
      </w:r>
      <w:r w:rsidR="00853C36">
        <w:t xml:space="preserve">ha equivalido a entre 2.8 y 2.4% del PIB. </w:t>
      </w:r>
    </w:p>
    <w:p w14:paraId="74090993" w14:textId="77777777" w:rsidR="004F6CEB" w:rsidRDefault="004F6CEB" w:rsidP="004F6CEB">
      <w:pPr>
        <w:spacing w:after="0" w:line="240" w:lineRule="auto"/>
        <w:jc w:val="center"/>
      </w:pPr>
      <w:r>
        <w:t>Cuadro</w:t>
      </w:r>
    </w:p>
    <w:p w14:paraId="19C13B73" w14:textId="77777777" w:rsidR="004F6CEB" w:rsidRDefault="004F6CEB" w:rsidP="004F6CEB">
      <w:pPr>
        <w:spacing w:after="0" w:line="240" w:lineRule="auto"/>
        <w:jc w:val="center"/>
      </w:pPr>
      <w:r>
        <w:t>Gasto tributario distribuido por impuestos, en millones de quetzales de cada año y como porcentaje del PIB</w:t>
      </w:r>
    </w:p>
    <w:tbl>
      <w:tblPr>
        <w:tblW w:w="5000" w:type="pct"/>
        <w:tblCellMar>
          <w:left w:w="70" w:type="dxa"/>
          <w:right w:w="70" w:type="dxa"/>
        </w:tblCellMar>
        <w:tblLook w:val="04A0" w:firstRow="1" w:lastRow="0" w:firstColumn="1" w:lastColumn="0" w:noHBand="0" w:noVBand="1"/>
      </w:tblPr>
      <w:tblGrid>
        <w:gridCol w:w="2643"/>
        <w:gridCol w:w="1031"/>
        <w:gridCol w:w="1031"/>
        <w:gridCol w:w="1031"/>
        <w:gridCol w:w="1031"/>
        <w:gridCol w:w="1032"/>
        <w:gridCol w:w="1029"/>
      </w:tblGrid>
      <w:tr w:rsidR="00853C36" w:rsidRPr="00853C36" w14:paraId="5FB389AA" w14:textId="77777777" w:rsidTr="00853C36">
        <w:trPr>
          <w:trHeight w:val="300"/>
        </w:trPr>
        <w:tc>
          <w:tcPr>
            <w:tcW w:w="1396" w:type="pct"/>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251265BF" w14:textId="77777777" w:rsidR="00853C36" w:rsidRPr="00853C36" w:rsidRDefault="00853C36" w:rsidP="00853C36">
            <w:pPr>
              <w:spacing w:after="0" w:line="240" w:lineRule="auto"/>
              <w:jc w:val="center"/>
              <w:rPr>
                <w:rFonts w:ascii="Calibri" w:eastAsia="Times New Roman" w:hAnsi="Calibri" w:cs="Times New Roman"/>
                <w:color w:val="FFFFFF"/>
                <w:sz w:val="20"/>
                <w:szCs w:val="20"/>
                <w:lang w:eastAsia="es-GT"/>
              </w:rPr>
            </w:pPr>
            <w:r w:rsidRPr="00853C36">
              <w:rPr>
                <w:rFonts w:ascii="Calibri" w:eastAsia="Times New Roman" w:hAnsi="Calibri" w:cs="Times New Roman"/>
                <w:color w:val="FFFFFF"/>
                <w:sz w:val="20"/>
                <w:szCs w:val="20"/>
                <w:lang w:eastAsia="es-GT"/>
              </w:rPr>
              <w:t>Impuestos</w:t>
            </w:r>
          </w:p>
        </w:tc>
        <w:tc>
          <w:tcPr>
            <w:tcW w:w="1201" w:type="pct"/>
            <w:gridSpan w:val="2"/>
            <w:tcBorders>
              <w:top w:val="single" w:sz="4" w:space="0" w:color="auto"/>
              <w:left w:val="nil"/>
              <w:bottom w:val="single" w:sz="4" w:space="0" w:color="auto"/>
              <w:right w:val="single" w:sz="4" w:space="0" w:color="auto"/>
            </w:tcBorders>
            <w:shd w:val="clear" w:color="000000" w:fill="C00000"/>
            <w:noWrap/>
            <w:vAlign w:val="bottom"/>
            <w:hideMark/>
          </w:tcPr>
          <w:p w14:paraId="4DD6285A" w14:textId="77777777" w:rsidR="00853C36" w:rsidRPr="00853C36" w:rsidRDefault="00853C36" w:rsidP="00853C36">
            <w:pPr>
              <w:spacing w:after="0" w:line="240" w:lineRule="auto"/>
              <w:jc w:val="center"/>
              <w:rPr>
                <w:rFonts w:ascii="Calibri" w:eastAsia="Times New Roman" w:hAnsi="Calibri" w:cs="Times New Roman"/>
                <w:color w:val="FFFFFF"/>
                <w:lang w:eastAsia="es-GT"/>
              </w:rPr>
            </w:pPr>
            <w:r w:rsidRPr="00853C36">
              <w:rPr>
                <w:rFonts w:ascii="Calibri" w:eastAsia="Times New Roman" w:hAnsi="Calibri" w:cs="Times New Roman"/>
                <w:color w:val="FFFFFF"/>
                <w:lang w:eastAsia="es-GT"/>
              </w:rPr>
              <w:t>2014</w:t>
            </w:r>
          </w:p>
        </w:tc>
        <w:tc>
          <w:tcPr>
            <w:tcW w:w="1201" w:type="pct"/>
            <w:gridSpan w:val="2"/>
            <w:tcBorders>
              <w:top w:val="single" w:sz="4" w:space="0" w:color="auto"/>
              <w:left w:val="nil"/>
              <w:bottom w:val="single" w:sz="4" w:space="0" w:color="auto"/>
              <w:right w:val="single" w:sz="4" w:space="0" w:color="auto"/>
            </w:tcBorders>
            <w:shd w:val="clear" w:color="000000" w:fill="C00000"/>
            <w:noWrap/>
            <w:vAlign w:val="bottom"/>
            <w:hideMark/>
          </w:tcPr>
          <w:p w14:paraId="2BD6E7FA" w14:textId="77777777" w:rsidR="00853C36" w:rsidRPr="00853C36" w:rsidRDefault="00853C36" w:rsidP="00853C36">
            <w:pPr>
              <w:spacing w:after="0" w:line="240" w:lineRule="auto"/>
              <w:jc w:val="center"/>
              <w:rPr>
                <w:rFonts w:ascii="Calibri" w:eastAsia="Times New Roman" w:hAnsi="Calibri" w:cs="Times New Roman"/>
                <w:color w:val="FFFFFF"/>
                <w:lang w:eastAsia="es-GT"/>
              </w:rPr>
            </w:pPr>
            <w:r w:rsidRPr="00853C36">
              <w:rPr>
                <w:rFonts w:ascii="Calibri" w:eastAsia="Times New Roman" w:hAnsi="Calibri" w:cs="Times New Roman"/>
                <w:color w:val="FFFFFF"/>
                <w:lang w:eastAsia="es-GT"/>
              </w:rPr>
              <w:t>2016</w:t>
            </w:r>
          </w:p>
        </w:tc>
        <w:tc>
          <w:tcPr>
            <w:tcW w:w="1201" w:type="pct"/>
            <w:gridSpan w:val="2"/>
            <w:tcBorders>
              <w:top w:val="single" w:sz="4" w:space="0" w:color="auto"/>
              <w:left w:val="nil"/>
              <w:bottom w:val="single" w:sz="4" w:space="0" w:color="auto"/>
              <w:right w:val="single" w:sz="4" w:space="0" w:color="auto"/>
            </w:tcBorders>
            <w:shd w:val="clear" w:color="000000" w:fill="C00000"/>
            <w:noWrap/>
            <w:vAlign w:val="bottom"/>
            <w:hideMark/>
          </w:tcPr>
          <w:p w14:paraId="6E8E2F25" w14:textId="77777777" w:rsidR="00853C36" w:rsidRPr="00853C36" w:rsidRDefault="00853C36" w:rsidP="00853C36">
            <w:pPr>
              <w:spacing w:after="0" w:line="240" w:lineRule="auto"/>
              <w:jc w:val="center"/>
              <w:rPr>
                <w:rFonts w:ascii="Calibri" w:eastAsia="Times New Roman" w:hAnsi="Calibri" w:cs="Times New Roman"/>
                <w:color w:val="FFFFFF"/>
                <w:lang w:eastAsia="es-GT"/>
              </w:rPr>
            </w:pPr>
            <w:r w:rsidRPr="00853C36">
              <w:rPr>
                <w:rFonts w:ascii="Calibri" w:eastAsia="Times New Roman" w:hAnsi="Calibri" w:cs="Times New Roman"/>
                <w:color w:val="FFFFFF"/>
                <w:lang w:eastAsia="es-GT"/>
              </w:rPr>
              <w:t>2018</w:t>
            </w:r>
          </w:p>
        </w:tc>
      </w:tr>
      <w:tr w:rsidR="00853C36" w:rsidRPr="00853C36" w14:paraId="73B3D777" w14:textId="77777777" w:rsidTr="00853C36">
        <w:trPr>
          <w:trHeight w:val="735"/>
        </w:trPr>
        <w:tc>
          <w:tcPr>
            <w:tcW w:w="1396" w:type="pct"/>
            <w:vMerge/>
            <w:tcBorders>
              <w:top w:val="single" w:sz="4" w:space="0" w:color="auto"/>
              <w:left w:val="single" w:sz="4" w:space="0" w:color="auto"/>
              <w:bottom w:val="single" w:sz="4" w:space="0" w:color="auto"/>
              <w:right w:val="single" w:sz="4" w:space="0" w:color="auto"/>
            </w:tcBorders>
            <w:vAlign w:val="center"/>
            <w:hideMark/>
          </w:tcPr>
          <w:p w14:paraId="05B515E7" w14:textId="77777777" w:rsidR="00853C36" w:rsidRPr="00853C36" w:rsidRDefault="00853C36" w:rsidP="00853C36">
            <w:pPr>
              <w:spacing w:after="0" w:line="240" w:lineRule="auto"/>
              <w:rPr>
                <w:rFonts w:ascii="Calibri" w:eastAsia="Times New Roman" w:hAnsi="Calibri" w:cs="Times New Roman"/>
                <w:color w:val="FFFFFF"/>
                <w:sz w:val="20"/>
                <w:szCs w:val="20"/>
                <w:lang w:eastAsia="es-GT"/>
              </w:rPr>
            </w:pPr>
          </w:p>
        </w:tc>
        <w:tc>
          <w:tcPr>
            <w:tcW w:w="601" w:type="pct"/>
            <w:tcBorders>
              <w:top w:val="nil"/>
              <w:left w:val="nil"/>
              <w:bottom w:val="single" w:sz="4" w:space="0" w:color="auto"/>
              <w:right w:val="single" w:sz="4" w:space="0" w:color="auto"/>
            </w:tcBorders>
            <w:shd w:val="clear" w:color="000000" w:fill="C00000"/>
            <w:vAlign w:val="bottom"/>
            <w:hideMark/>
          </w:tcPr>
          <w:p w14:paraId="0F15FBEA" w14:textId="77777777" w:rsidR="00853C36" w:rsidRPr="00853C36" w:rsidRDefault="00853C36" w:rsidP="00853C36">
            <w:pPr>
              <w:spacing w:after="0" w:line="240" w:lineRule="auto"/>
              <w:jc w:val="center"/>
              <w:rPr>
                <w:rFonts w:ascii="Calibri" w:eastAsia="Times New Roman" w:hAnsi="Calibri" w:cs="Times New Roman"/>
                <w:color w:val="FFFFFF"/>
                <w:sz w:val="18"/>
                <w:szCs w:val="18"/>
                <w:lang w:eastAsia="es-GT"/>
              </w:rPr>
            </w:pPr>
            <w:r w:rsidRPr="00853C36">
              <w:rPr>
                <w:rFonts w:ascii="Calibri" w:eastAsia="Times New Roman" w:hAnsi="Calibri" w:cs="Times New Roman"/>
                <w:color w:val="FFFFFF"/>
                <w:sz w:val="18"/>
                <w:szCs w:val="18"/>
                <w:lang w:eastAsia="es-GT"/>
              </w:rPr>
              <w:t>Millones de Q</w:t>
            </w:r>
          </w:p>
        </w:tc>
        <w:tc>
          <w:tcPr>
            <w:tcW w:w="601" w:type="pct"/>
            <w:tcBorders>
              <w:top w:val="nil"/>
              <w:left w:val="nil"/>
              <w:bottom w:val="single" w:sz="4" w:space="0" w:color="auto"/>
              <w:right w:val="single" w:sz="4" w:space="0" w:color="auto"/>
            </w:tcBorders>
            <w:shd w:val="clear" w:color="000000" w:fill="C00000"/>
            <w:vAlign w:val="bottom"/>
            <w:hideMark/>
          </w:tcPr>
          <w:p w14:paraId="596DEDF0" w14:textId="77777777" w:rsidR="00853C36" w:rsidRPr="00853C36" w:rsidRDefault="00853C36" w:rsidP="00853C36">
            <w:pPr>
              <w:spacing w:after="0" w:line="240" w:lineRule="auto"/>
              <w:jc w:val="center"/>
              <w:rPr>
                <w:rFonts w:ascii="Calibri" w:eastAsia="Times New Roman" w:hAnsi="Calibri" w:cs="Times New Roman"/>
                <w:color w:val="FFFFFF"/>
                <w:sz w:val="18"/>
                <w:szCs w:val="18"/>
                <w:lang w:eastAsia="es-GT"/>
              </w:rPr>
            </w:pPr>
            <w:r w:rsidRPr="00853C36">
              <w:rPr>
                <w:rFonts w:ascii="Calibri" w:eastAsia="Times New Roman" w:hAnsi="Calibri" w:cs="Times New Roman"/>
                <w:color w:val="FFFFFF"/>
                <w:sz w:val="18"/>
                <w:szCs w:val="18"/>
                <w:lang w:eastAsia="es-GT"/>
              </w:rPr>
              <w:t>Como porcentaje del PIB</w:t>
            </w:r>
          </w:p>
        </w:tc>
        <w:tc>
          <w:tcPr>
            <w:tcW w:w="601" w:type="pct"/>
            <w:tcBorders>
              <w:top w:val="nil"/>
              <w:left w:val="nil"/>
              <w:bottom w:val="single" w:sz="4" w:space="0" w:color="auto"/>
              <w:right w:val="single" w:sz="4" w:space="0" w:color="auto"/>
            </w:tcBorders>
            <w:shd w:val="clear" w:color="000000" w:fill="C00000"/>
            <w:vAlign w:val="bottom"/>
            <w:hideMark/>
          </w:tcPr>
          <w:p w14:paraId="694DF749" w14:textId="77777777" w:rsidR="00853C36" w:rsidRPr="00853C36" w:rsidRDefault="00853C36" w:rsidP="00853C36">
            <w:pPr>
              <w:spacing w:after="0" w:line="240" w:lineRule="auto"/>
              <w:jc w:val="center"/>
              <w:rPr>
                <w:rFonts w:ascii="Calibri" w:eastAsia="Times New Roman" w:hAnsi="Calibri" w:cs="Times New Roman"/>
                <w:color w:val="FFFFFF"/>
                <w:sz w:val="18"/>
                <w:szCs w:val="18"/>
                <w:lang w:eastAsia="es-GT"/>
              </w:rPr>
            </w:pPr>
            <w:r w:rsidRPr="00853C36">
              <w:rPr>
                <w:rFonts w:ascii="Calibri" w:eastAsia="Times New Roman" w:hAnsi="Calibri" w:cs="Times New Roman"/>
                <w:color w:val="FFFFFF"/>
                <w:sz w:val="18"/>
                <w:szCs w:val="18"/>
                <w:lang w:eastAsia="es-GT"/>
              </w:rPr>
              <w:t>Millones de Q</w:t>
            </w:r>
          </w:p>
        </w:tc>
        <w:tc>
          <w:tcPr>
            <w:tcW w:w="601" w:type="pct"/>
            <w:tcBorders>
              <w:top w:val="nil"/>
              <w:left w:val="nil"/>
              <w:bottom w:val="single" w:sz="4" w:space="0" w:color="auto"/>
              <w:right w:val="single" w:sz="4" w:space="0" w:color="auto"/>
            </w:tcBorders>
            <w:shd w:val="clear" w:color="000000" w:fill="C00000"/>
            <w:vAlign w:val="bottom"/>
            <w:hideMark/>
          </w:tcPr>
          <w:p w14:paraId="6F14A952" w14:textId="77777777" w:rsidR="00853C36" w:rsidRPr="00853C36" w:rsidRDefault="00853C36" w:rsidP="00853C36">
            <w:pPr>
              <w:spacing w:after="0" w:line="240" w:lineRule="auto"/>
              <w:jc w:val="center"/>
              <w:rPr>
                <w:rFonts w:ascii="Calibri" w:eastAsia="Times New Roman" w:hAnsi="Calibri" w:cs="Times New Roman"/>
                <w:color w:val="FFFFFF"/>
                <w:sz w:val="18"/>
                <w:szCs w:val="18"/>
                <w:lang w:eastAsia="es-GT"/>
              </w:rPr>
            </w:pPr>
            <w:r w:rsidRPr="00853C36">
              <w:rPr>
                <w:rFonts w:ascii="Calibri" w:eastAsia="Times New Roman" w:hAnsi="Calibri" w:cs="Times New Roman"/>
                <w:color w:val="FFFFFF"/>
                <w:sz w:val="18"/>
                <w:szCs w:val="18"/>
                <w:lang w:eastAsia="es-GT"/>
              </w:rPr>
              <w:t>Como porcentaje del PIB</w:t>
            </w:r>
          </w:p>
        </w:tc>
        <w:tc>
          <w:tcPr>
            <w:tcW w:w="601" w:type="pct"/>
            <w:tcBorders>
              <w:top w:val="nil"/>
              <w:left w:val="nil"/>
              <w:bottom w:val="single" w:sz="4" w:space="0" w:color="auto"/>
              <w:right w:val="single" w:sz="4" w:space="0" w:color="auto"/>
            </w:tcBorders>
            <w:shd w:val="clear" w:color="000000" w:fill="C00000"/>
            <w:vAlign w:val="bottom"/>
            <w:hideMark/>
          </w:tcPr>
          <w:p w14:paraId="06B0AE05" w14:textId="77777777" w:rsidR="00853C36" w:rsidRPr="00853C36" w:rsidRDefault="00853C36" w:rsidP="00853C36">
            <w:pPr>
              <w:spacing w:after="0" w:line="240" w:lineRule="auto"/>
              <w:jc w:val="center"/>
              <w:rPr>
                <w:rFonts w:ascii="Calibri" w:eastAsia="Times New Roman" w:hAnsi="Calibri" w:cs="Times New Roman"/>
                <w:color w:val="FFFFFF"/>
                <w:sz w:val="18"/>
                <w:szCs w:val="18"/>
                <w:lang w:eastAsia="es-GT"/>
              </w:rPr>
            </w:pPr>
            <w:r w:rsidRPr="00853C36">
              <w:rPr>
                <w:rFonts w:ascii="Calibri" w:eastAsia="Times New Roman" w:hAnsi="Calibri" w:cs="Times New Roman"/>
                <w:color w:val="FFFFFF"/>
                <w:sz w:val="18"/>
                <w:szCs w:val="18"/>
                <w:lang w:eastAsia="es-GT"/>
              </w:rPr>
              <w:t>Millones de Q</w:t>
            </w:r>
          </w:p>
        </w:tc>
        <w:tc>
          <w:tcPr>
            <w:tcW w:w="601" w:type="pct"/>
            <w:tcBorders>
              <w:top w:val="nil"/>
              <w:left w:val="nil"/>
              <w:bottom w:val="single" w:sz="4" w:space="0" w:color="auto"/>
              <w:right w:val="single" w:sz="4" w:space="0" w:color="auto"/>
            </w:tcBorders>
            <w:shd w:val="clear" w:color="000000" w:fill="C00000"/>
            <w:vAlign w:val="bottom"/>
            <w:hideMark/>
          </w:tcPr>
          <w:p w14:paraId="4310B9C7" w14:textId="77777777" w:rsidR="00853C36" w:rsidRPr="00853C36" w:rsidRDefault="00853C36" w:rsidP="00853C36">
            <w:pPr>
              <w:spacing w:after="0" w:line="240" w:lineRule="auto"/>
              <w:jc w:val="center"/>
              <w:rPr>
                <w:rFonts w:ascii="Calibri" w:eastAsia="Times New Roman" w:hAnsi="Calibri" w:cs="Times New Roman"/>
                <w:color w:val="FFFFFF"/>
                <w:sz w:val="18"/>
                <w:szCs w:val="18"/>
                <w:lang w:eastAsia="es-GT"/>
              </w:rPr>
            </w:pPr>
            <w:r w:rsidRPr="00853C36">
              <w:rPr>
                <w:rFonts w:ascii="Calibri" w:eastAsia="Times New Roman" w:hAnsi="Calibri" w:cs="Times New Roman"/>
                <w:color w:val="FFFFFF"/>
                <w:sz w:val="18"/>
                <w:szCs w:val="18"/>
                <w:lang w:eastAsia="es-GT"/>
              </w:rPr>
              <w:t>Como porcentaje del PIB</w:t>
            </w:r>
          </w:p>
        </w:tc>
      </w:tr>
      <w:tr w:rsidR="00853C36" w:rsidRPr="00853C36" w14:paraId="6BC3D2D2" w14:textId="77777777" w:rsidTr="00853C36">
        <w:trPr>
          <w:trHeight w:val="315"/>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555DD7B5" w14:textId="77777777" w:rsidR="00853C36" w:rsidRPr="00853C36" w:rsidRDefault="00853C36" w:rsidP="00853C36">
            <w:pPr>
              <w:spacing w:after="0" w:line="240" w:lineRule="auto"/>
              <w:rPr>
                <w:rFonts w:ascii="Calibri" w:eastAsia="Times New Roman" w:hAnsi="Calibri" w:cs="Times New Roman"/>
                <w:b/>
                <w:color w:val="000000"/>
                <w:sz w:val="20"/>
                <w:szCs w:val="20"/>
                <w:lang w:eastAsia="es-GT"/>
              </w:rPr>
            </w:pPr>
            <w:r w:rsidRPr="00853C36">
              <w:rPr>
                <w:rFonts w:ascii="Calibri" w:eastAsia="Times New Roman" w:hAnsi="Calibri" w:cs="Times New Roman"/>
                <w:b/>
                <w:color w:val="000000"/>
                <w:sz w:val="20"/>
                <w:szCs w:val="20"/>
                <w:lang w:eastAsia="es-GT"/>
              </w:rPr>
              <w:t>Al comercio exterior</w:t>
            </w:r>
            <w:r w:rsidRPr="00853C36">
              <w:rPr>
                <w:rFonts w:ascii="Century Gothic" w:eastAsia="Times New Roman" w:hAnsi="Century Gothic" w:cs="Times New Roman"/>
                <w:b/>
                <w:bCs/>
                <w:color w:val="44546A"/>
                <w:sz w:val="20"/>
                <w:szCs w:val="20"/>
                <w:vertAlign w:val="superscript"/>
                <w:lang w:eastAsia="es-GT"/>
              </w:rPr>
              <w:t>/1</w:t>
            </w:r>
          </w:p>
        </w:tc>
        <w:tc>
          <w:tcPr>
            <w:tcW w:w="601" w:type="pct"/>
            <w:tcBorders>
              <w:top w:val="nil"/>
              <w:left w:val="nil"/>
              <w:bottom w:val="single" w:sz="4" w:space="0" w:color="auto"/>
              <w:right w:val="single" w:sz="4" w:space="0" w:color="auto"/>
            </w:tcBorders>
            <w:shd w:val="clear" w:color="auto" w:fill="auto"/>
            <w:noWrap/>
            <w:vAlign w:val="bottom"/>
            <w:hideMark/>
          </w:tcPr>
          <w:p w14:paraId="0C290EC1"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563.1</w:t>
            </w:r>
          </w:p>
        </w:tc>
        <w:tc>
          <w:tcPr>
            <w:tcW w:w="601" w:type="pct"/>
            <w:tcBorders>
              <w:top w:val="nil"/>
              <w:left w:val="nil"/>
              <w:bottom w:val="single" w:sz="4" w:space="0" w:color="auto"/>
              <w:right w:val="single" w:sz="4" w:space="0" w:color="auto"/>
            </w:tcBorders>
            <w:shd w:val="clear" w:color="auto" w:fill="auto"/>
            <w:noWrap/>
            <w:vAlign w:val="bottom"/>
            <w:hideMark/>
          </w:tcPr>
          <w:p w14:paraId="1E27A6FB"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0.1</w:t>
            </w:r>
          </w:p>
        </w:tc>
        <w:tc>
          <w:tcPr>
            <w:tcW w:w="601" w:type="pct"/>
            <w:tcBorders>
              <w:top w:val="nil"/>
              <w:left w:val="nil"/>
              <w:bottom w:val="single" w:sz="4" w:space="0" w:color="auto"/>
              <w:right w:val="single" w:sz="4" w:space="0" w:color="auto"/>
            </w:tcBorders>
            <w:shd w:val="clear" w:color="auto" w:fill="auto"/>
            <w:noWrap/>
            <w:vAlign w:val="bottom"/>
            <w:hideMark/>
          </w:tcPr>
          <w:p w14:paraId="723DACBE"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369.3</w:t>
            </w:r>
          </w:p>
        </w:tc>
        <w:tc>
          <w:tcPr>
            <w:tcW w:w="601" w:type="pct"/>
            <w:tcBorders>
              <w:top w:val="nil"/>
              <w:left w:val="nil"/>
              <w:bottom w:val="single" w:sz="4" w:space="0" w:color="auto"/>
              <w:right w:val="single" w:sz="4" w:space="0" w:color="auto"/>
            </w:tcBorders>
            <w:shd w:val="clear" w:color="auto" w:fill="auto"/>
            <w:noWrap/>
            <w:vAlign w:val="bottom"/>
            <w:hideMark/>
          </w:tcPr>
          <w:p w14:paraId="4318F2C1"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0.1</w:t>
            </w:r>
          </w:p>
        </w:tc>
        <w:tc>
          <w:tcPr>
            <w:tcW w:w="601" w:type="pct"/>
            <w:tcBorders>
              <w:top w:val="nil"/>
              <w:left w:val="nil"/>
              <w:bottom w:val="single" w:sz="4" w:space="0" w:color="auto"/>
              <w:right w:val="single" w:sz="4" w:space="0" w:color="auto"/>
            </w:tcBorders>
            <w:shd w:val="clear" w:color="auto" w:fill="auto"/>
            <w:noWrap/>
            <w:vAlign w:val="bottom"/>
            <w:hideMark/>
          </w:tcPr>
          <w:p w14:paraId="2F25A829"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444.5</w:t>
            </w:r>
          </w:p>
        </w:tc>
        <w:tc>
          <w:tcPr>
            <w:tcW w:w="601" w:type="pct"/>
            <w:tcBorders>
              <w:top w:val="nil"/>
              <w:left w:val="nil"/>
              <w:bottom w:val="single" w:sz="4" w:space="0" w:color="auto"/>
              <w:right w:val="single" w:sz="4" w:space="0" w:color="auto"/>
            </w:tcBorders>
            <w:shd w:val="clear" w:color="auto" w:fill="auto"/>
            <w:noWrap/>
            <w:vAlign w:val="bottom"/>
            <w:hideMark/>
          </w:tcPr>
          <w:p w14:paraId="52B102C3"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0.1</w:t>
            </w:r>
          </w:p>
        </w:tc>
      </w:tr>
      <w:tr w:rsidR="00853C36" w:rsidRPr="00853C36" w14:paraId="7E629803" w14:textId="77777777" w:rsidTr="00853C36">
        <w:trPr>
          <w:trHeight w:val="300"/>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527BB647" w14:textId="77777777" w:rsidR="00853C36" w:rsidRPr="00853C36" w:rsidRDefault="00853C36" w:rsidP="00853C36">
            <w:pPr>
              <w:spacing w:after="0" w:line="240" w:lineRule="auto"/>
              <w:rPr>
                <w:rFonts w:ascii="Calibri" w:eastAsia="Times New Roman" w:hAnsi="Calibri" w:cs="Times New Roman"/>
                <w:b/>
                <w:color w:val="000000"/>
                <w:sz w:val="20"/>
                <w:szCs w:val="20"/>
                <w:lang w:eastAsia="es-GT"/>
              </w:rPr>
            </w:pPr>
            <w:r w:rsidRPr="00853C36">
              <w:rPr>
                <w:rFonts w:ascii="Calibri" w:eastAsia="Times New Roman" w:hAnsi="Calibri" w:cs="Times New Roman"/>
                <w:b/>
                <w:color w:val="000000"/>
                <w:sz w:val="20"/>
                <w:szCs w:val="20"/>
                <w:lang w:eastAsia="es-GT"/>
              </w:rPr>
              <w:t>Internos</w:t>
            </w:r>
          </w:p>
        </w:tc>
        <w:tc>
          <w:tcPr>
            <w:tcW w:w="601" w:type="pct"/>
            <w:tcBorders>
              <w:top w:val="nil"/>
              <w:left w:val="nil"/>
              <w:bottom w:val="single" w:sz="4" w:space="0" w:color="auto"/>
              <w:right w:val="single" w:sz="4" w:space="0" w:color="auto"/>
            </w:tcBorders>
            <w:shd w:val="clear" w:color="auto" w:fill="auto"/>
            <w:noWrap/>
            <w:vAlign w:val="bottom"/>
            <w:hideMark/>
          </w:tcPr>
          <w:p w14:paraId="6F0CA286"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11,928.7</w:t>
            </w:r>
          </w:p>
        </w:tc>
        <w:tc>
          <w:tcPr>
            <w:tcW w:w="601" w:type="pct"/>
            <w:tcBorders>
              <w:top w:val="nil"/>
              <w:left w:val="nil"/>
              <w:bottom w:val="single" w:sz="4" w:space="0" w:color="auto"/>
              <w:right w:val="single" w:sz="4" w:space="0" w:color="auto"/>
            </w:tcBorders>
            <w:shd w:val="clear" w:color="auto" w:fill="auto"/>
            <w:noWrap/>
            <w:vAlign w:val="bottom"/>
            <w:hideMark/>
          </w:tcPr>
          <w:p w14:paraId="52C3DBA0"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2.6</w:t>
            </w:r>
          </w:p>
        </w:tc>
        <w:tc>
          <w:tcPr>
            <w:tcW w:w="601" w:type="pct"/>
            <w:tcBorders>
              <w:top w:val="nil"/>
              <w:left w:val="nil"/>
              <w:bottom w:val="single" w:sz="4" w:space="0" w:color="auto"/>
              <w:right w:val="single" w:sz="4" w:space="0" w:color="auto"/>
            </w:tcBorders>
            <w:shd w:val="clear" w:color="auto" w:fill="auto"/>
            <w:noWrap/>
            <w:vAlign w:val="bottom"/>
            <w:hideMark/>
          </w:tcPr>
          <w:p w14:paraId="3ECD6729"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11,438.5</w:t>
            </w:r>
          </w:p>
        </w:tc>
        <w:tc>
          <w:tcPr>
            <w:tcW w:w="601" w:type="pct"/>
            <w:tcBorders>
              <w:top w:val="nil"/>
              <w:left w:val="nil"/>
              <w:bottom w:val="single" w:sz="4" w:space="0" w:color="auto"/>
              <w:right w:val="single" w:sz="4" w:space="0" w:color="auto"/>
            </w:tcBorders>
            <w:shd w:val="clear" w:color="auto" w:fill="auto"/>
            <w:noWrap/>
            <w:vAlign w:val="bottom"/>
            <w:hideMark/>
          </w:tcPr>
          <w:p w14:paraId="68FB6828"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2.2</w:t>
            </w:r>
          </w:p>
        </w:tc>
        <w:tc>
          <w:tcPr>
            <w:tcW w:w="601" w:type="pct"/>
            <w:tcBorders>
              <w:top w:val="nil"/>
              <w:left w:val="nil"/>
              <w:bottom w:val="single" w:sz="4" w:space="0" w:color="auto"/>
              <w:right w:val="single" w:sz="4" w:space="0" w:color="auto"/>
            </w:tcBorders>
            <w:shd w:val="clear" w:color="auto" w:fill="auto"/>
            <w:noWrap/>
            <w:vAlign w:val="bottom"/>
            <w:hideMark/>
          </w:tcPr>
          <w:p w14:paraId="0FD7C5B0"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13,615.9</w:t>
            </w:r>
          </w:p>
        </w:tc>
        <w:tc>
          <w:tcPr>
            <w:tcW w:w="601" w:type="pct"/>
            <w:tcBorders>
              <w:top w:val="nil"/>
              <w:left w:val="nil"/>
              <w:bottom w:val="single" w:sz="4" w:space="0" w:color="auto"/>
              <w:right w:val="single" w:sz="4" w:space="0" w:color="auto"/>
            </w:tcBorders>
            <w:shd w:val="clear" w:color="auto" w:fill="auto"/>
            <w:noWrap/>
            <w:vAlign w:val="bottom"/>
            <w:hideMark/>
          </w:tcPr>
          <w:p w14:paraId="63C7ADC7"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2.3</w:t>
            </w:r>
          </w:p>
        </w:tc>
      </w:tr>
      <w:tr w:rsidR="00853C36" w:rsidRPr="00853C36" w14:paraId="62C2E42B" w14:textId="77777777" w:rsidTr="00853C36">
        <w:trPr>
          <w:trHeight w:val="300"/>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276E9A6F" w14:textId="77777777" w:rsidR="00853C36" w:rsidRPr="00853C36" w:rsidRDefault="00853C36" w:rsidP="00853C36">
            <w:pPr>
              <w:spacing w:after="0" w:line="240" w:lineRule="auto"/>
              <w:ind w:firstLineChars="100" w:firstLine="200"/>
              <w:rPr>
                <w:rFonts w:ascii="Calibri" w:eastAsia="Times New Roman" w:hAnsi="Calibri" w:cs="Times New Roman"/>
                <w:b/>
                <w:color w:val="000000"/>
                <w:sz w:val="20"/>
                <w:szCs w:val="20"/>
                <w:lang w:eastAsia="es-GT"/>
              </w:rPr>
            </w:pPr>
            <w:r w:rsidRPr="00853C36">
              <w:rPr>
                <w:rFonts w:ascii="Calibri" w:eastAsia="Times New Roman" w:hAnsi="Calibri" w:cs="Times New Roman"/>
                <w:b/>
                <w:color w:val="000000"/>
                <w:sz w:val="20"/>
                <w:szCs w:val="20"/>
                <w:lang w:eastAsia="es-GT"/>
              </w:rPr>
              <w:t>Directos</w:t>
            </w:r>
          </w:p>
        </w:tc>
        <w:tc>
          <w:tcPr>
            <w:tcW w:w="601" w:type="pct"/>
            <w:tcBorders>
              <w:top w:val="nil"/>
              <w:left w:val="nil"/>
              <w:bottom w:val="single" w:sz="4" w:space="0" w:color="auto"/>
              <w:right w:val="single" w:sz="4" w:space="0" w:color="auto"/>
            </w:tcBorders>
            <w:shd w:val="clear" w:color="auto" w:fill="auto"/>
            <w:noWrap/>
            <w:vAlign w:val="bottom"/>
            <w:hideMark/>
          </w:tcPr>
          <w:p w14:paraId="59276B2A"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4,892.2</w:t>
            </w:r>
          </w:p>
        </w:tc>
        <w:tc>
          <w:tcPr>
            <w:tcW w:w="601" w:type="pct"/>
            <w:tcBorders>
              <w:top w:val="nil"/>
              <w:left w:val="nil"/>
              <w:bottom w:val="single" w:sz="4" w:space="0" w:color="auto"/>
              <w:right w:val="single" w:sz="4" w:space="0" w:color="auto"/>
            </w:tcBorders>
            <w:shd w:val="clear" w:color="auto" w:fill="auto"/>
            <w:noWrap/>
            <w:vAlign w:val="bottom"/>
            <w:hideMark/>
          </w:tcPr>
          <w:p w14:paraId="5847181A"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1.1</w:t>
            </w:r>
          </w:p>
        </w:tc>
        <w:tc>
          <w:tcPr>
            <w:tcW w:w="601" w:type="pct"/>
            <w:tcBorders>
              <w:top w:val="nil"/>
              <w:left w:val="nil"/>
              <w:bottom w:val="single" w:sz="4" w:space="0" w:color="auto"/>
              <w:right w:val="single" w:sz="4" w:space="0" w:color="auto"/>
            </w:tcBorders>
            <w:shd w:val="clear" w:color="auto" w:fill="auto"/>
            <w:noWrap/>
            <w:vAlign w:val="bottom"/>
            <w:hideMark/>
          </w:tcPr>
          <w:p w14:paraId="3A748239"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4,260.2</w:t>
            </w:r>
          </w:p>
        </w:tc>
        <w:tc>
          <w:tcPr>
            <w:tcW w:w="601" w:type="pct"/>
            <w:tcBorders>
              <w:top w:val="nil"/>
              <w:left w:val="nil"/>
              <w:bottom w:val="single" w:sz="4" w:space="0" w:color="auto"/>
              <w:right w:val="single" w:sz="4" w:space="0" w:color="auto"/>
            </w:tcBorders>
            <w:shd w:val="clear" w:color="auto" w:fill="auto"/>
            <w:noWrap/>
            <w:vAlign w:val="bottom"/>
            <w:hideMark/>
          </w:tcPr>
          <w:p w14:paraId="22B4AA50"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0.8</w:t>
            </w:r>
          </w:p>
        </w:tc>
        <w:tc>
          <w:tcPr>
            <w:tcW w:w="601" w:type="pct"/>
            <w:tcBorders>
              <w:top w:val="nil"/>
              <w:left w:val="nil"/>
              <w:bottom w:val="single" w:sz="4" w:space="0" w:color="auto"/>
              <w:right w:val="single" w:sz="4" w:space="0" w:color="auto"/>
            </w:tcBorders>
            <w:shd w:val="clear" w:color="auto" w:fill="auto"/>
            <w:noWrap/>
            <w:vAlign w:val="bottom"/>
            <w:hideMark/>
          </w:tcPr>
          <w:p w14:paraId="07F67E3B"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4,703.5</w:t>
            </w:r>
          </w:p>
        </w:tc>
        <w:tc>
          <w:tcPr>
            <w:tcW w:w="601" w:type="pct"/>
            <w:tcBorders>
              <w:top w:val="nil"/>
              <w:left w:val="nil"/>
              <w:bottom w:val="single" w:sz="4" w:space="0" w:color="auto"/>
              <w:right w:val="single" w:sz="4" w:space="0" w:color="auto"/>
            </w:tcBorders>
            <w:shd w:val="clear" w:color="auto" w:fill="auto"/>
            <w:noWrap/>
            <w:vAlign w:val="bottom"/>
            <w:hideMark/>
          </w:tcPr>
          <w:p w14:paraId="165555A2"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0.8</w:t>
            </w:r>
          </w:p>
        </w:tc>
      </w:tr>
      <w:tr w:rsidR="00853C36" w:rsidRPr="00853C36" w14:paraId="1AAB8066" w14:textId="77777777" w:rsidTr="00853C36">
        <w:trPr>
          <w:trHeight w:val="300"/>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69B827ED"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Sobre la Renta</w:t>
            </w:r>
          </w:p>
        </w:tc>
        <w:tc>
          <w:tcPr>
            <w:tcW w:w="601" w:type="pct"/>
            <w:tcBorders>
              <w:top w:val="nil"/>
              <w:left w:val="nil"/>
              <w:bottom w:val="single" w:sz="4" w:space="0" w:color="auto"/>
              <w:right w:val="single" w:sz="4" w:space="0" w:color="auto"/>
            </w:tcBorders>
            <w:shd w:val="clear" w:color="auto" w:fill="auto"/>
            <w:noWrap/>
            <w:vAlign w:val="bottom"/>
            <w:hideMark/>
          </w:tcPr>
          <w:p w14:paraId="58E094ED"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3,545.0</w:t>
            </w:r>
          </w:p>
        </w:tc>
        <w:tc>
          <w:tcPr>
            <w:tcW w:w="601" w:type="pct"/>
            <w:tcBorders>
              <w:top w:val="nil"/>
              <w:left w:val="nil"/>
              <w:bottom w:val="single" w:sz="4" w:space="0" w:color="auto"/>
              <w:right w:val="single" w:sz="4" w:space="0" w:color="auto"/>
            </w:tcBorders>
            <w:shd w:val="clear" w:color="auto" w:fill="auto"/>
            <w:noWrap/>
            <w:vAlign w:val="bottom"/>
            <w:hideMark/>
          </w:tcPr>
          <w:p w14:paraId="3ABE1C2B"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0.8</w:t>
            </w:r>
          </w:p>
        </w:tc>
        <w:tc>
          <w:tcPr>
            <w:tcW w:w="601" w:type="pct"/>
            <w:tcBorders>
              <w:top w:val="nil"/>
              <w:left w:val="nil"/>
              <w:bottom w:val="single" w:sz="4" w:space="0" w:color="auto"/>
              <w:right w:val="single" w:sz="4" w:space="0" w:color="auto"/>
            </w:tcBorders>
            <w:shd w:val="clear" w:color="auto" w:fill="auto"/>
            <w:noWrap/>
            <w:vAlign w:val="bottom"/>
            <w:hideMark/>
          </w:tcPr>
          <w:p w14:paraId="2A4B6FD2"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3,481.8</w:t>
            </w:r>
          </w:p>
        </w:tc>
        <w:tc>
          <w:tcPr>
            <w:tcW w:w="601" w:type="pct"/>
            <w:tcBorders>
              <w:top w:val="nil"/>
              <w:left w:val="nil"/>
              <w:bottom w:val="single" w:sz="4" w:space="0" w:color="auto"/>
              <w:right w:val="single" w:sz="4" w:space="0" w:color="auto"/>
            </w:tcBorders>
            <w:shd w:val="clear" w:color="auto" w:fill="auto"/>
            <w:noWrap/>
            <w:vAlign w:val="bottom"/>
            <w:hideMark/>
          </w:tcPr>
          <w:p w14:paraId="2B0D88BB"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0.7</w:t>
            </w:r>
          </w:p>
        </w:tc>
        <w:tc>
          <w:tcPr>
            <w:tcW w:w="601" w:type="pct"/>
            <w:tcBorders>
              <w:top w:val="nil"/>
              <w:left w:val="nil"/>
              <w:bottom w:val="single" w:sz="4" w:space="0" w:color="auto"/>
              <w:right w:val="single" w:sz="4" w:space="0" w:color="auto"/>
            </w:tcBorders>
            <w:shd w:val="clear" w:color="auto" w:fill="auto"/>
            <w:noWrap/>
            <w:vAlign w:val="bottom"/>
            <w:hideMark/>
          </w:tcPr>
          <w:p w14:paraId="414345AD"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3,991.9</w:t>
            </w:r>
          </w:p>
        </w:tc>
        <w:tc>
          <w:tcPr>
            <w:tcW w:w="601" w:type="pct"/>
            <w:tcBorders>
              <w:top w:val="nil"/>
              <w:left w:val="nil"/>
              <w:bottom w:val="single" w:sz="4" w:space="0" w:color="auto"/>
              <w:right w:val="single" w:sz="4" w:space="0" w:color="auto"/>
            </w:tcBorders>
            <w:shd w:val="clear" w:color="auto" w:fill="auto"/>
            <w:noWrap/>
            <w:vAlign w:val="bottom"/>
            <w:hideMark/>
          </w:tcPr>
          <w:p w14:paraId="4CD4CC39"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0.7</w:t>
            </w:r>
          </w:p>
        </w:tc>
      </w:tr>
      <w:tr w:rsidR="00853C36" w:rsidRPr="00853C36" w14:paraId="5C4EF0E0" w14:textId="77777777" w:rsidTr="00853C36">
        <w:trPr>
          <w:trHeight w:val="300"/>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40698CCA"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Impuesto de Solidaridad</w:t>
            </w:r>
          </w:p>
        </w:tc>
        <w:tc>
          <w:tcPr>
            <w:tcW w:w="601" w:type="pct"/>
            <w:tcBorders>
              <w:top w:val="nil"/>
              <w:left w:val="nil"/>
              <w:bottom w:val="single" w:sz="4" w:space="0" w:color="auto"/>
              <w:right w:val="single" w:sz="4" w:space="0" w:color="auto"/>
            </w:tcBorders>
            <w:shd w:val="clear" w:color="auto" w:fill="auto"/>
            <w:noWrap/>
            <w:vAlign w:val="bottom"/>
            <w:hideMark/>
          </w:tcPr>
          <w:p w14:paraId="2C4B0304"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1,347.2</w:t>
            </w:r>
          </w:p>
        </w:tc>
        <w:tc>
          <w:tcPr>
            <w:tcW w:w="601" w:type="pct"/>
            <w:tcBorders>
              <w:top w:val="nil"/>
              <w:left w:val="nil"/>
              <w:bottom w:val="single" w:sz="4" w:space="0" w:color="auto"/>
              <w:right w:val="single" w:sz="4" w:space="0" w:color="auto"/>
            </w:tcBorders>
            <w:shd w:val="clear" w:color="auto" w:fill="auto"/>
            <w:noWrap/>
            <w:vAlign w:val="bottom"/>
            <w:hideMark/>
          </w:tcPr>
          <w:p w14:paraId="54BF7DEE"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0.3</w:t>
            </w:r>
          </w:p>
        </w:tc>
        <w:tc>
          <w:tcPr>
            <w:tcW w:w="601" w:type="pct"/>
            <w:tcBorders>
              <w:top w:val="nil"/>
              <w:left w:val="nil"/>
              <w:bottom w:val="single" w:sz="4" w:space="0" w:color="auto"/>
              <w:right w:val="single" w:sz="4" w:space="0" w:color="auto"/>
            </w:tcBorders>
            <w:shd w:val="clear" w:color="auto" w:fill="auto"/>
            <w:noWrap/>
            <w:vAlign w:val="bottom"/>
            <w:hideMark/>
          </w:tcPr>
          <w:p w14:paraId="514EE642"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778.4</w:t>
            </w:r>
          </w:p>
        </w:tc>
        <w:tc>
          <w:tcPr>
            <w:tcW w:w="601" w:type="pct"/>
            <w:tcBorders>
              <w:top w:val="nil"/>
              <w:left w:val="nil"/>
              <w:bottom w:val="single" w:sz="4" w:space="0" w:color="auto"/>
              <w:right w:val="single" w:sz="4" w:space="0" w:color="auto"/>
            </w:tcBorders>
            <w:shd w:val="clear" w:color="auto" w:fill="auto"/>
            <w:noWrap/>
            <w:vAlign w:val="bottom"/>
            <w:hideMark/>
          </w:tcPr>
          <w:p w14:paraId="5AE440CD"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0.1</w:t>
            </w:r>
          </w:p>
        </w:tc>
        <w:tc>
          <w:tcPr>
            <w:tcW w:w="601" w:type="pct"/>
            <w:tcBorders>
              <w:top w:val="nil"/>
              <w:left w:val="nil"/>
              <w:bottom w:val="single" w:sz="4" w:space="0" w:color="auto"/>
              <w:right w:val="single" w:sz="4" w:space="0" w:color="auto"/>
            </w:tcBorders>
            <w:shd w:val="clear" w:color="auto" w:fill="auto"/>
            <w:noWrap/>
            <w:vAlign w:val="bottom"/>
            <w:hideMark/>
          </w:tcPr>
          <w:p w14:paraId="0196D59D"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711.5</w:t>
            </w:r>
          </w:p>
        </w:tc>
        <w:tc>
          <w:tcPr>
            <w:tcW w:w="601" w:type="pct"/>
            <w:tcBorders>
              <w:top w:val="nil"/>
              <w:left w:val="nil"/>
              <w:bottom w:val="single" w:sz="4" w:space="0" w:color="auto"/>
              <w:right w:val="single" w:sz="4" w:space="0" w:color="auto"/>
            </w:tcBorders>
            <w:shd w:val="clear" w:color="auto" w:fill="auto"/>
            <w:noWrap/>
            <w:vAlign w:val="bottom"/>
            <w:hideMark/>
          </w:tcPr>
          <w:p w14:paraId="128D930C"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0.1</w:t>
            </w:r>
          </w:p>
        </w:tc>
      </w:tr>
      <w:tr w:rsidR="00853C36" w:rsidRPr="00853C36" w14:paraId="7DD09989" w14:textId="77777777" w:rsidTr="00853C36">
        <w:trPr>
          <w:trHeight w:val="300"/>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5B7BAB96" w14:textId="77777777" w:rsidR="00853C36" w:rsidRPr="00853C36" w:rsidRDefault="00853C36" w:rsidP="00853C36">
            <w:pPr>
              <w:spacing w:after="0" w:line="240" w:lineRule="auto"/>
              <w:ind w:firstLineChars="100" w:firstLine="200"/>
              <w:rPr>
                <w:rFonts w:ascii="Calibri" w:eastAsia="Times New Roman" w:hAnsi="Calibri" w:cs="Times New Roman"/>
                <w:b/>
                <w:color w:val="000000"/>
                <w:sz w:val="20"/>
                <w:szCs w:val="20"/>
                <w:lang w:eastAsia="es-GT"/>
              </w:rPr>
            </w:pPr>
            <w:r w:rsidRPr="00853C36">
              <w:rPr>
                <w:rFonts w:ascii="Calibri" w:eastAsia="Times New Roman" w:hAnsi="Calibri" w:cs="Times New Roman"/>
                <w:b/>
                <w:color w:val="000000"/>
                <w:sz w:val="20"/>
                <w:szCs w:val="20"/>
                <w:lang w:eastAsia="es-GT"/>
              </w:rPr>
              <w:t>Indirectos</w:t>
            </w:r>
          </w:p>
        </w:tc>
        <w:tc>
          <w:tcPr>
            <w:tcW w:w="601" w:type="pct"/>
            <w:tcBorders>
              <w:top w:val="nil"/>
              <w:left w:val="nil"/>
              <w:bottom w:val="single" w:sz="4" w:space="0" w:color="auto"/>
              <w:right w:val="single" w:sz="4" w:space="0" w:color="auto"/>
            </w:tcBorders>
            <w:shd w:val="clear" w:color="auto" w:fill="auto"/>
            <w:noWrap/>
            <w:vAlign w:val="bottom"/>
            <w:hideMark/>
          </w:tcPr>
          <w:p w14:paraId="3272725C"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7,599.6</w:t>
            </w:r>
          </w:p>
        </w:tc>
        <w:tc>
          <w:tcPr>
            <w:tcW w:w="601" w:type="pct"/>
            <w:tcBorders>
              <w:top w:val="nil"/>
              <w:left w:val="nil"/>
              <w:bottom w:val="single" w:sz="4" w:space="0" w:color="auto"/>
              <w:right w:val="single" w:sz="4" w:space="0" w:color="auto"/>
            </w:tcBorders>
            <w:shd w:val="clear" w:color="auto" w:fill="auto"/>
            <w:noWrap/>
            <w:vAlign w:val="bottom"/>
            <w:hideMark/>
          </w:tcPr>
          <w:p w14:paraId="6B99F73B"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1.7</w:t>
            </w:r>
          </w:p>
        </w:tc>
        <w:tc>
          <w:tcPr>
            <w:tcW w:w="601" w:type="pct"/>
            <w:tcBorders>
              <w:top w:val="nil"/>
              <w:left w:val="nil"/>
              <w:bottom w:val="single" w:sz="4" w:space="0" w:color="auto"/>
              <w:right w:val="single" w:sz="4" w:space="0" w:color="auto"/>
            </w:tcBorders>
            <w:shd w:val="clear" w:color="auto" w:fill="auto"/>
            <w:noWrap/>
            <w:vAlign w:val="bottom"/>
            <w:hideMark/>
          </w:tcPr>
          <w:p w14:paraId="0CAE7B09"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7,547.6</w:t>
            </w:r>
          </w:p>
        </w:tc>
        <w:tc>
          <w:tcPr>
            <w:tcW w:w="601" w:type="pct"/>
            <w:tcBorders>
              <w:top w:val="nil"/>
              <w:left w:val="nil"/>
              <w:bottom w:val="single" w:sz="4" w:space="0" w:color="auto"/>
              <w:right w:val="single" w:sz="4" w:space="0" w:color="auto"/>
            </w:tcBorders>
            <w:shd w:val="clear" w:color="auto" w:fill="auto"/>
            <w:noWrap/>
            <w:vAlign w:val="bottom"/>
            <w:hideMark/>
          </w:tcPr>
          <w:p w14:paraId="1CB2D1A0"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1.4</w:t>
            </w:r>
          </w:p>
        </w:tc>
        <w:tc>
          <w:tcPr>
            <w:tcW w:w="601" w:type="pct"/>
            <w:tcBorders>
              <w:top w:val="nil"/>
              <w:left w:val="nil"/>
              <w:bottom w:val="single" w:sz="4" w:space="0" w:color="auto"/>
              <w:right w:val="single" w:sz="4" w:space="0" w:color="auto"/>
            </w:tcBorders>
            <w:shd w:val="clear" w:color="auto" w:fill="auto"/>
            <w:noWrap/>
            <w:vAlign w:val="bottom"/>
            <w:hideMark/>
          </w:tcPr>
          <w:p w14:paraId="1320BA4C"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9,356.9</w:t>
            </w:r>
          </w:p>
        </w:tc>
        <w:tc>
          <w:tcPr>
            <w:tcW w:w="601" w:type="pct"/>
            <w:tcBorders>
              <w:top w:val="nil"/>
              <w:left w:val="nil"/>
              <w:bottom w:val="single" w:sz="4" w:space="0" w:color="auto"/>
              <w:right w:val="single" w:sz="4" w:space="0" w:color="auto"/>
            </w:tcBorders>
            <w:shd w:val="clear" w:color="auto" w:fill="auto"/>
            <w:noWrap/>
            <w:vAlign w:val="bottom"/>
            <w:hideMark/>
          </w:tcPr>
          <w:p w14:paraId="6997C0E9" w14:textId="77777777" w:rsidR="00853C36" w:rsidRPr="00853C36" w:rsidRDefault="00853C36" w:rsidP="00853C36">
            <w:pPr>
              <w:spacing w:after="0" w:line="240" w:lineRule="auto"/>
              <w:jc w:val="right"/>
              <w:rPr>
                <w:rFonts w:ascii="Calibri" w:eastAsia="Times New Roman" w:hAnsi="Calibri" w:cs="Times New Roman"/>
                <w:b/>
                <w:color w:val="000000"/>
                <w:sz w:val="18"/>
                <w:szCs w:val="18"/>
                <w:lang w:eastAsia="es-GT"/>
              </w:rPr>
            </w:pPr>
            <w:r w:rsidRPr="00853C36">
              <w:rPr>
                <w:rFonts w:ascii="Calibri" w:eastAsia="Times New Roman" w:hAnsi="Calibri" w:cs="Times New Roman"/>
                <w:b/>
                <w:color w:val="000000"/>
                <w:sz w:val="18"/>
                <w:szCs w:val="18"/>
                <w:lang w:eastAsia="es-GT"/>
              </w:rPr>
              <w:t>1.6</w:t>
            </w:r>
          </w:p>
        </w:tc>
      </w:tr>
      <w:tr w:rsidR="00853C36" w:rsidRPr="00853C36" w14:paraId="4A2293A0" w14:textId="77777777" w:rsidTr="00853C36">
        <w:trPr>
          <w:trHeight w:val="315"/>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469F1661"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Al Valor Agregado</w:t>
            </w:r>
            <w:r w:rsidRPr="00853C36">
              <w:rPr>
                <w:rFonts w:ascii="Century Gothic" w:eastAsia="Times New Roman" w:hAnsi="Century Gothic" w:cs="Times New Roman"/>
                <w:color w:val="44546A"/>
                <w:sz w:val="20"/>
                <w:szCs w:val="20"/>
                <w:vertAlign w:val="superscript"/>
                <w:lang w:eastAsia="es-GT"/>
              </w:rPr>
              <w:t>/2</w:t>
            </w:r>
          </w:p>
        </w:tc>
        <w:tc>
          <w:tcPr>
            <w:tcW w:w="601" w:type="pct"/>
            <w:tcBorders>
              <w:top w:val="nil"/>
              <w:left w:val="nil"/>
              <w:bottom w:val="single" w:sz="4" w:space="0" w:color="auto"/>
              <w:right w:val="single" w:sz="4" w:space="0" w:color="auto"/>
            </w:tcBorders>
            <w:shd w:val="clear" w:color="auto" w:fill="auto"/>
            <w:noWrap/>
            <w:vAlign w:val="bottom"/>
            <w:hideMark/>
          </w:tcPr>
          <w:p w14:paraId="602A5995"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7,254.2</w:t>
            </w:r>
          </w:p>
        </w:tc>
        <w:tc>
          <w:tcPr>
            <w:tcW w:w="601" w:type="pct"/>
            <w:tcBorders>
              <w:top w:val="nil"/>
              <w:left w:val="nil"/>
              <w:bottom w:val="single" w:sz="4" w:space="0" w:color="auto"/>
              <w:right w:val="single" w:sz="4" w:space="0" w:color="auto"/>
            </w:tcBorders>
            <w:shd w:val="clear" w:color="auto" w:fill="auto"/>
            <w:noWrap/>
            <w:vAlign w:val="bottom"/>
            <w:hideMark/>
          </w:tcPr>
          <w:p w14:paraId="53BB9ADF"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1.6</w:t>
            </w:r>
          </w:p>
        </w:tc>
        <w:tc>
          <w:tcPr>
            <w:tcW w:w="601" w:type="pct"/>
            <w:tcBorders>
              <w:top w:val="nil"/>
              <w:left w:val="nil"/>
              <w:bottom w:val="single" w:sz="4" w:space="0" w:color="auto"/>
              <w:right w:val="single" w:sz="4" w:space="0" w:color="auto"/>
            </w:tcBorders>
            <w:shd w:val="clear" w:color="auto" w:fill="auto"/>
            <w:noWrap/>
            <w:vAlign w:val="bottom"/>
            <w:hideMark/>
          </w:tcPr>
          <w:p w14:paraId="5F312C82"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7,246.0</w:t>
            </w:r>
          </w:p>
        </w:tc>
        <w:tc>
          <w:tcPr>
            <w:tcW w:w="601" w:type="pct"/>
            <w:tcBorders>
              <w:top w:val="nil"/>
              <w:left w:val="nil"/>
              <w:bottom w:val="single" w:sz="4" w:space="0" w:color="auto"/>
              <w:right w:val="single" w:sz="4" w:space="0" w:color="auto"/>
            </w:tcBorders>
            <w:shd w:val="clear" w:color="auto" w:fill="auto"/>
            <w:noWrap/>
            <w:vAlign w:val="bottom"/>
            <w:hideMark/>
          </w:tcPr>
          <w:p w14:paraId="7C856CB6"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1.4</w:t>
            </w:r>
          </w:p>
        </w:tc>
        <w:tc>
          <w:tcPr>
            <w:tcW w:w="601" w:type="pct"/>
            <w:tcBorders>
              <w:top w:val="nil"/>
              <w:left w:val="nil"/>
              <w:bottom w:val="single" w:sz="4" w:space="0" w:color="auto"/>
              <w:right w:val="single" w:sz="4" w:space="0" w:color="auto"/>
            </w:tcBorders>
            <w:shd w:val="clear" w:color="auto" w:fill="auto"/>
            <w:noWrap/>
            <w:vAlign w:val="bottom"/>
            <w:hideMark/>
          </w:tcPr>
          <w:p w14:paraId="25A87B21"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9,094.4</w:t>
            </w:r>
          </w:p>
        </w:tc>
        <w:tc>
          <w:tcPr>
            <w:tcW w:w="601" w:type="pct"/>
            <w:tcBorders>
              <w:top w:val="nil"/>
              <w:left w:val="nil"/>
              <w:bottom w:val="single" w:sz="4" w:space="0" w:color="auto"/>
              <w:right w:val="single" w:sz="4" w:space="0" w:color="auto"/>
            </w:tcBorders>
            <w:shd w:val="clear" w:color="auto" w:fill="auto"/>
            <w:noWrap/>
            <w:vAlign w:val="bottom"/>
            <w:hideMark/>
          </w:tcPr>
          <w:p w14:paraId="4B8861F3"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1.5</w:t>
            </w:r>
          </w:p>
        </w:tc>
      </w:tr>
      <w:tr w:rsidR="00853C36" w:rsidRPr="00853C36" w14:paraId="20056A40" w14:textId="77777777" w:rsidTr="00853C36">
        <w:trPr>
          <w:trHeight w:val="525"/>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2B862DA1"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Derechos Arancelarios a las Importaciones</w:t>
            </w:r>
          </w:p>
        </w:tc>
        <w:tc>
          <w:tcPr>
            <w:tcW w:w="601" w:type="pct"/>
            <w:tcBorders>
              <w:top w:val="nil"/>
              <w:left w:val="nil"/>
              <w:bottom w:val="single" w:sz="4" w:space="0" w:color="auto"/>
              <w:right w:val="single" w:sz="4" w:space="0" w:color="auto"/>
            </w:tcBorders>
            <w:shd w:val="clear" w:color="auto" w:fill="auto"/>
            <w:noWrap/>
            <w:vAlign w:val="bottom"/>
            <w:hideMark/>
          </w:tcPr>
          <w:p w14:paraId="55913E6C"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246.6</w:t>
            </w:r>
          </w:p>
        </w:tc>
        <w:tc>
          <w:tcPr>
            <w:tcW w:w="601" w:type="pct"/>
            <w:tcBorders>
              <w:top w:val="nil"/>
              <w:left w:val="nil"/>
              <w:bottom w:val="single" w:sz="4" w:space="0" w:color="auto"/>
              <w:right w:val="single" w:sz="4" w:space="0" w:color="auto"/>
            </w:tcBorders>
            <w:shd w:val="clear" w:color="auto" w:fill="auto"/>
            <w:noWrap/>
            <w:vAlign w:val="bottom"/>
            <w:hideMark/>
          </w:tcPr>
          <w:p w14:paraId="40149345"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0.1</w:t>
            </w:r>
          </w:p>
        </w:tc>
        <w:tc>
          <w:tcPr>
            <w:tcW w:w="601" w:type="pct"/>
            <w:tcBorders>
              <w:top w:val="nil"/>
              <w:left w:val="nil"/>
              <w:bottom w:val="single" w:sz="4" w:space="0" w:color="auto"/>
              <w:right w:val="single" w:sz="4" w:space="0" w:color="auto"/>
            </w:tcBorders>
            <w:shd w:val="clear" w:color="auto" w:fill="auto"/>
            <w:noWrap/>
            <w:vAlign w:val="bottom"/>
            <w:hideMark/>
          </w:tcPr>
          <w:p w14:paraId="70629654"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187.4</w:t>
            </w:r>
          </w:p>
        </w:tc>
        <w:tc>
          <w:tcPr>
            <w:tcW w:w="601" w:type="pct"/>
            <w:tcBorders>
              <w:top w:val="nil"/>
              <w:left w:val="nil"/>
              <w:bottom w:val="single" w:sz="4" w:space="0" w:color="auto"/>
              <w:right w:val="single" w:sz="4" w:space="0" w:color="auto"/>
            </w:tcBorders>
            <w:shd w:val="clear" w:color="auto" w:fill="auto"/>
            <w:noWrap/>
            <w:vAlign w:val="bottom"/>
            <w:hideMark/>
          </w:tcPr>
          <w:p w14:paraId="112E13AC"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2FB56A67"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136.2</w:t>
            </w:r>
          </w:p>
        </w:tc>
        <w:tc>
          <w:tcPr>
            <w:tcW w:w="601" w:type="pct"/>
            <w:tcBorders>
              <w:top w:val="nil"/>
              <w:left w:val="nil"/>
              <w:bottom w:val="single" w:sz="4" w:space="0" w:color="auto"/>
              <w:right w:val="single" w:sz="4" w:space="0" w:color="auto"/>
            </w:tcBorders>
            <w:shd w:val="clear" w:color="auto" w:fill="auto"/>
            <w:noWrap/>
            <w:vAlign w:val="bottom"/>
            <w:hideMark/>
          </w:tcPr>
          <w:p w14:paraId="5DBFBEBE"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r>
      <w:tr w:rsidR="00853C36" w:rsidRPr="00853C36" w14:paraId="50676082" w14:textId="77777777" w:rsidTr="00853C36">
        <w:trPr>
          <w:trHeight w:val="300"/>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0AC9C9F5"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Al Tabaco y sus Productos</w:t>
            </w:r>
          </w:p>
        </w:tc>
        <w:tc>
          <w:tcPr>
            <w:tcW w:w="601" w:type="pct"/>
            <w:tcBorders>
              <w:top w:val="nil"/>
              <w:left w:val="nil"/>
              <w:bottom w:val="single" w:sz="4" w:space="0" w:color="auto"/>
              <w:right w:val="single" w:sz="4" w:space="0" w:color="auto"/>
            </w:tcBorders>
            <w:shd w:val="clear" w:color="auto" w:fill="auto"/>
            <w:noWrap/>
            <w:vAlign w:val="bottom"/>
            <w:hideMark/>
          </w:tcPr>
          <w:p w14:paraId="7A557206"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1.9</w:t>
            </w:r>
          </w:p>
        </w:tc>
        <w:tc>
          <w:tcPr>
            <w:tcW w:w="601" w:type="pct"/>
            <w:tcBorders>
              <w:top w:val="nil"/>
              <w:left w:val="nil"/>
              <w:bottom w:val="single" w:sz="4" w:space="0" w:color="auto"/>
              <w:right w:val="single" w:sz="4" w:space="0" w:color="auto"/>
            </w:tcBorders>
            <w:shd w:val="clear" w:color="auto" w:fill="auto"/>
            <w:noWrap/>
            <w:vAlign w:val="bottom"/>
            <w:hideMark/>
          </w:tcPr>
          <w:p w14:paraId="3B044EF5"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2F55F3BB"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4.2</w:t>
            </w:r>
          </w:p>
        </w:tc>
        <w:tc>
          <w:tcPr>
            <w:tcW w:w="601" w:type="pct"/>
            <w:tcBorders>
              <w:top w:val="nil"/>
              <w:left w:val="nil"/>
              <w:bottom w:val="single" w:sz="4" w:space="0" w:color="auto"/>
              <w:right w:val="single" w:sz="4" w:space="0" w:color="auto"/>
            </w:tcBorders>
            <w:shd w:val="clear" w:color="auto" w:fill="auto"/>
            <w:noWrap/>
            <w:vAlign w:val="bottom"/>
            <w:hideMark/>
          </w:tcPr>
          <w:p w14:paraId="0F7427E6"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762B69A9"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5.6</w:t>
            </w:r>
          </w:p>
        </w:tc>
        <w:tc>
          <w:tcPr>
            <w:tcW w:w="601" w:type="pct"/>
            <w:tcBorders>
              <w:top w:val="nil"/>
              <w:left w:val="nil"/>
              <w:bottom w:val="single" w:sz="4" w:space="0" w:color="auto"/>
              <w:right w:val="single" w:sz="4" w:space="0" w:color="auto"/>
            </w:tcBorders>
            <w:shd w:val="clear" w:color="auto" w:fill="auto"/>
            <w:noWrap/>
            <w:vAlign w:val="bottom"/>
            <w:hideMark/>
          </w:tcPr>
          <w:p w14:paraId="7A8160B1"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r>
      <w:tr w:rsidR="00853C36" w:rsidRPr="00853C36" w14:paraId="1BB65A8B" w14:textId="77777777" w:rsidTr="00853C36">
        <w:trPr>
          <w:trHeight w:val="525"/>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28EE3EF5"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A la Distribución de Bebidas</w:t>
            </w:r>
          </w:p>
        </w:tc>
        <w:tc>
          <w:tcPr>
            <w:tcW w:w="601" w:type="pct"/>
            <w:tcBorders>
              <w:top w:val="nil"/>
              <w:left w:val="nil"/>
              <w:bottom w:val="single" w:sz="4" w:space="0" w:color="auto"/>
              <w:right w:val="single" w:sz="4" w:space="0" w:color="auto"/>
            </w:tcBorders>
            <w:shd w:val="clear" w:color="auto" w:fill="auto"/>
            <w:noWrap/>
            <w:vAlign w:val="bottom"/>
            <w:hideMark/>
          </w:tcPr>
          <w:p w14:paraId="56F20DC7"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0.3</w:t>
            </w:r>
          </w:p>
        </w:tc>
        <w:tc>
          <w:tcPr>
            <w:tcW w:w="601" w:type="pct"/>
            <w:tcBorders>
              <w:top w:val="nil"/>
              <w:left w:val="nil"/>
              <w:bottom w:val="single" w:sz="4" w:space="0" w:color="auto"/>
              <w:right w:val="single" w:sz="4" w:space="0" w:color="auto"/>
            </w:tcBorders>
            <w:shd w:val="clear" w:color="auto" w:fill="auto"/>
            <w:noWrap/>
            <w:vAlign w:val="bottom"/>
            <w:hideMark/>
          </w:tcPr>
          <w:p w14:paraId="1F075DCB"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78A5E7B2"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0.5</w:t>
            </w:r>
          </w:p>
        </w:tc>
        <w:tc>
          <w:tcPr>
            <w:tcW w:w="601" w:type="pct"/>
            <w:tcBorders>
              <w:top w:val="nil"/>
              <w:left w:val="nil"/>
              <w:bottom w:val="single" w:sz="4" w:space="0" w:color="auto"/>
              <w:right w:val="single" w:sz="4" w:space="0" w:color="auto"/>
            </w:tcBorders>
            <w:shd w:val="clear" w:color="auto" w:fill="auto"/>
            <w:noWrap/>
            <w:vAlign w:val="bottom"/>
            <w:hideMark/>
          </w:tcPr>
          <w:p w14:paraId="0FB6854A"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68241177"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1.5</w:t>
            </w:r>
          </w:p>
        </w:tc>
        <w:tc>
          <w:tcPr>
            <w:tcW w:w="601" w:type="pct"/>
            <w:tcBorders>
              <w:top w:val="nil"/>
              <w:left w:val="nil"/>
              <w:bottom w:val="single" w:sz="4" w:space="0" w:color="auto"/>
              <w:right w:val="single" w:sz="4" w:space="0" w:color="auto"/>
            </w:tcBorders>
            <w:shd w:val="clear" w:color="auto" w:fill="auto"/>
            <w:noWrap/>
            <w:vAlign w:val="bottom"/>
            <w:hideMark/>
          </w:tcPr>
          <w:p w14:paraId="4ABEFB2A"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r>
      <w:tr w:rsidR="00853C36" w:rsidRPr="00853C36" w14:paraId="32D2A180" w14:textId="77777777" w:rsidTr="00853C36">
        <w:trPr>
          <w:trHeight w:val="525"/>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3DBC49A2"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A la Distribución de Cemento</w:t>
            </w:r>
          </w:p>
        </w:tc>
        <w:tc>
          <w:tcPr>
            <w:tcW w:w="601" w:type="pct"/>
            <w:tcBorders>
              <w:top w:val="nil"/>
              <w:left w:val="nil"/>
              <w:bottom w:val="single" w:sz="4" w:space="0" w:color="auto"/>
              <w:right w:val="single" w:sz="4" w:space="0" w:color="auto"/>
            </w:tcBorders>
            <w:shd w:val="clear" w:color="auto" w:fill="auto"/>
            <w:noWrap/>
            <w:vAlign w:val="bottom"/>
            <w:hideMark/>
          </w:tcPr>
          <w:p w14:paraId="7B619C19"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1.2</w:t>
            </w:r>
          </w:p>
        </w:tc>
        <w:tc>
          <w:tcPr>
            <w:tcW w:w="601" w:type="pct"/>
            <w:tcBorders>
              <w:top w:val="nil"/>
              <w:left w:val="nil"/>
              <w:bottom w:val="single" w:sz="4" w:space="0" w:color="auto"/>
              <w:right w:val="single" w:sz="4" w:space="0" w:color="auto"/>
            </w:tcBorders>
            <w:shd w:val="clear" w:color="auto" w:fill="auto"/>
            <w:noWrap/>
            <w:vAlign w:val="bottom"/>
            <w:hideMark/>
          </w:tcPr>
          <w:p w14:paraId="6AAE5986"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3DAD5FFE"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2.9</w:t>
            </w:r>
          </w:p>
        </w:tc>
        <w:tc>
          <w:tcPr>
            <w:tcW w:w="601" w:type="pct"/>
            <w:tcBorders>
              <w:top w:val="nil"/>
              <w:left w:val="nil"/>
              <w:bottom w:val="single" w:sz="4" w:space="0" w:color="auto"/>
              <w:right w:val="single" w:sz="4" w:space="0" w:color="auto"/>
            </w:tcBorders>
            <w:shd w:val="clear" w:color="auto" w:fill="auto"/>
            <w:noWrap/>
            <w:vAlign w:val="bottom"/>
            <w:hideMark/>
          </w:tcPr>
          <w:p w14:paraId="3F4865D8"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5777EFC0"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3.2</w:t>
            </w:r>
          </w:p>
        </w:tc>
        <w:tc>
          <w:tcPr>
            <w:tcW w:w="601" w:type="pct"/>
            <w:tcBorders>
              <w:top w:val="nil"/>
              <w:left w:val="nil"/>
              <w:bottom w:val="single" w:sz="4" w:space="0" w:color="auto"/>
              <w:right w:val="single" w:sz="4" w:space="0" w:color="auto"/>
            </w:tcBorders>
            <w:shd w:val="clear" w:color="auto" w:fill="auto"/>
            <w:noWrap/>
            <w:vAlign w:val="bottom"/>
            <w:hideMark/>
          </w:tcPr>
          <w:p w14:paraId="2F358240"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r>
      <w:tr w:rsidR="00853C36" w:rsidRPr="00853C36" w14:paraId="3A6FDFC5" w14:textId="77777777" w:rsidTr="00853C36">
        <w:trPr>
          <w:trHeight w:val="525"/>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558A7394"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A la Distribución de Petróleo</w:t>
            </w:r>
          </w:p>
        </w:tc>
        <w:tc>
          <w:tcPr>
            <w:tcW w:w="601" w:type="pct"/>
            <w:tcBorders>
              <w:top w:val="nil"/>
              <w:left w:val="nil"/>
              <w:bottom w:val="single" w:sz="4" w:space="0" w:color="auto"/>
              <w:right w:val="single" w:sz="4" w:space="0" w:color="auto"/>
            </w:tcBorders>
            <w:shd w:val="clear" w:color="auto" w:fill="auto"/>
            <w:noWrap/>
            <w:vAlign w:val="bottom"/>
            <w:hideMark/>
          </w:tcPr>
          <w:p w14:paraId="3B80EAEE"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77.5</w:t>
            </w:r>
          </w:p>
        </w:tc>
        <w:tc>
          <w:tcPr>
            <w:tcW w:w="601" w:type="pct"/>
            <w:tcBorders>
              <w:top w:val="nil"/>
              <w:left w:val="nil"/>
              <w:bottom w:val="single" w:sz="4" w:space="0" w:color="auto"/>
              <w:right w:val="single" w:sz="4" w:space="0" w:color="auto"/>
            </w:tcBorders>
            <w:shd w:val="clear" w:color="auto" w:fill="auto"/>
            <w:noWrap/>
            <w:vAlign w:val="bottom"/>
            <w:hideMark/>
          </w:tcPr>
          <w:p w14:paraId="5BC17118"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271C8E3F"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87.3</w:t>
            </w:r>
          </w:p>
        </w:tc>
        <w:tc>
          <w:tcPr>
            <w:tcW w:w="601" w:type="pct"/>
            <w:tcBorders>
              <w:top w:val="nil"/>
              <w:left w:val="nil"/>
              <w:bottom w:val="single" w:sz="4" w:space="0" w:color="auto"/>
              <w:right w:val="single" w:sz="4" w:space="0" w:color="auto"/>
            </w:tcBorders>
            <w:shd w:val="clear" w:color="auto" w:fill="auto"/>
            <w:noWrap/>
            <w:vAlign w:val="bottom"/>
            <w:hideMark/>
          </w:tcPr>
          <w:p w14:paraId="0D89C947"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79FB59B8"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98.1</w:t>
            </w:r>
          </w:p>
        </w:tc>
        <w:tc>
          <w:tcPr>
            <w:tcW w:w="601" w:type="pct"/>
            <w:tcBorders>
              <w:top w:val="nil"/>
              <w:left w:val="nil"/>
              <w:bottom w:val="single" w:sz="4" w:space="0" w:color="auto"/>
              <w:right w:val="single" w:sz="4" w:space="0" w:color="auto"/>
            </w:tcBorders>
            <w:shd w:val="clear" w:color="auto" w:fill="auto"/>
            <w:noWrap/>
            <w:vAlign w:val="bottom"/>
            <w:hideMark/>
          </w:tcPr>
          <w:p w14:paraId="3AADD923"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r>
      <w:tr w:rsidR="00853C36" w:rsidRPr="00853C36" w14:paraId="14F35C42" w14:textId="77777777" w:rsidTr="00853C36">
        <w:trPr>
          <w:trHeight w:val="300"/>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70E84A0D"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A la Primera Matrícula</w:t>
            </w:r>
          </w:p>
        </w:tc>
        <w:tc>
          <w:tcPr>
            <w:tcW w:w="601" w:type="pct"/>
            <w:tcBorders>
              <w:top w:val="nil"/>
              <w:left w:val="nil"/>
              <w:bottom w:val="single" w:sz="4" w:space="0" w:color="auto"/>
              <w:right w:val="single" w:sz="4" w:space="0" w:color="auto"/>
            </w:tcBorders>
            <w:shd w:val="clear" w:color="auto" w:fill="auto"/>
            <w:noWrap/>
            <w:vAlign w:val="bottom"/>
            <w:hideMark/>
          </w:tcPr>
          <w:p w14:paraId="1A6DCB7D"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6.8</w:t>
            </w:r>
          </w:p>
        </w:tc>
        <w:tc>
          <w:tcPr>
            <w:tcW w:w="601" w:type="pct"/>
            <w:tcBorders>
              <w:top w:val="nil"/>
              <w:left w:val="nil"/>
              <w:bottom w:val="single" w:sz="4" w:space="0" w:color="auto"/>
              <w:right w:val="single" w:sz="4" w:space="0" w:color="auto"/>
            </w:tcBorders>
            <w:shd w:val="clear" w:color="auto" w:fill="auto"/>
            <w:noWrap/>
            <w:vAlign w:val="bottom"/>
            <w:hideMark/>
          </w:tcPr>
          <w:p w14:paraId="01242A25"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6371759A"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9.8</w:t>
            </w:r>
          </w:p>
        </w:tc>
        <w:tc>
          <w:tcPr>
            <w:tcW w:w="601" w:type="pct"/>
            <w:tcBorders>
              <w:top w:val="nil"/>
              <w:left w:val="nil"/>
              <w:bottom w:val="single" w:sz="4" w:space="0" w:color="auto"/>
              <w:right w:val="single" w:sz="4" w:space="0" w:color="auto"/>
            </w:tcBorders>
            <w:shd w:val="clear" w:color="auto" w:fill="auto"/>
            <w:noWrap/>
            <w:vAlign w:val="bottom"/>
            <w:hideMark/>
          </w:tcPr>
          <w:p w14:paraId="12B97C93"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70ECDA5B"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9.1</w:t>
            </w:r>
          </w:p>
        </w:tc>
        <w:tc>
          <w:tcPr>
            <w:tcW w:w="601" w:type="pct"/>
            <w:tcBorders>
              <w:top w:val="nil"/>
              <w:left w:val="nil"/>
              <w:bottom w:val="single" w:sz="4" w:space="0" w:color="auto"/>
              <w:right w:val="single" w:sz="4" w:space="0" w:color="auto"/>
            </w:tcBorders>
            <w:shd w:val="clear" w:color="auto" w:fill="auto"/>
            <w:noWrap/>
            <w:vAlign w:val="bottom"/>
            <w:hideMark/>
          </w:tcPr>
          <w:p w14:paraId="4981D5C9"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r>
      <w:tr w:rsidR="00853C36" w:rsidRPr="00853C36" w14:paraId="5C03812F" w14:textId="77777777" w:rsidTr="00853C36">
        <w:trPr>
          <w:trHeight w:val="525"/>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57271A74" w14:textId="77777777" w:rsidR="00853C36" w:rsidRPr="00853C36" w:rsidRDefault="00853C36" w:rsidP="00853C36">
            <w:pPr>
              <w:spacing w:after="0" w:line="240" w:lineRule="auto"/>
              <w:ind w:firstLineChars="200" w:firstLine="400"/>
              <w:rPr>
                <w:rFonts w:ascii="Calibri" w:eastAsia="Times New Roman" w:hAnsi="Calibri" w:cs="Times New Roman"/>
                <w:color w:val="000000"/>
                <w:sz w:val="20"/>
                <w:szCs w:val="20"/>
                <w:lang w:eastAsia="es-GT"/>
              </w:rPr>
            </w:pPr>
            <w:r w:rsidRPr="00853C36">
              <w:rPr>
                <w:rFonts w:ascii="Calibri" w:eastAsia="Times New Roman" w:hAnsi="Calibri" w:cs="Times New Roman"/>
                <w:color w:val="000000"/>
                <w:sz w:val="20"/>
                <w:szCs w:val="20"/>
                <w:lang w:eastAsia="es-GT"/>
              </w:rPr>
              <w:t>Sobre Circulación de Vehículos</w:t>
            </w:r>
          </w:p>
        </w:tc>
        <w:tc>
          <w:tcPr>
            <w:tcW w:w="601" w:type="pct"/>
            <w:tcBorders>
              <w:top w:val="nil"/>
              <w:left w:val="nil"/>
              <w:bottom w:val="single" w:sz="4" w:space="0" w:color="auto"/>
              <w:right w:val="single" w:sz="4" w:space="0" w:color="auto"/>
            </w:tcBorders>
            <w:shd w:val="clear" w:color="auto" w:fill="auto"/>
            <w:noWrap/>
            <w:vAlign w:val="bottom"/>
            <w:hideMark/>
          </w:tcPr>
          <w:p w14:paraId="122EC31D"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11.1</w:t>
            </w:r>
          </w:p>
        </w:tc>
        <w:tc>
          <w:tcPr>
            <w:tcW w:w="601" w:type="pct"/>
            <w:tcBorders>
              <w:top w:val="nil"/>
              <w:left w:val="nil"/>
              <w:bottom w:val="single" w:sz="4" w:space="0" w:color="auto"/>
              <w:right w:val="single" w:sz="4" w:space="0" w:color="auto"/>
            </w:tcBorders>
            <w:shd w:val="clear" w:color="auto" w:fill="auto"/>
            <w:noWrap/>
            <w:vAlign w:val="bottom"/>
            <w:hideMark/>
          </w:tcPr>
          <w:p w14:paraId="26FFE363"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41C31B1E"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9.5</w:t>
            </w:r>
          </w:p>
        </w:tc>
        <w:tc>
          <w:tcPr>
            <w:tcW w:w="601" w:type="pct"/>
            <w:tcBorders>
              <w:top w:val="nil"/>
              <w:left w:val="nil"/>
              <w:bottom w:val="single" w:sz="4" w:space="0" w:color="auto"/>
              <w:right w:val="single" w:sz="4" w:space="0" w:color="auto"/>
            </w:tcBorders>
            <w:shd w:val="clear" w:color="auto" w:fill="auto"/>
            <w:noWrap/>
            <w:vAlign w:val="bottom"/>
            <w:hideMark/>
          </w:tcPr>
          <w:p w14:paraId="74F412AE"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c>
          <w:tcPr>
            <w:tcW w:w="601" w:type="pct"/>
            <w:tcBorders>
              <w:top w:val="nil"/>
              <w:left w:val="nil"/>
              <w:bottom w:val="single" w:sz="4" w:space="0" w:color="auto"/>
              <w:right w:val="single" w:sz="4" w:space="0" w:color="auto"/>
            </w:tcBorders>
            <w:shd w:val="clear" w:color="auto" w:fill="auto"/>
            <w:noWrap/>
            <w:vAlign w:val="bottom"/>
            <w:hideMark/>
          </w:tcPr>
          <w:p w14:paraId="527D93AC"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8.8</w:t>
            </w:r>
          </w:p>
        </w:tc>
        <w:tc>
          <w:tcPr>
            <w:tcW w:w="601" w:type="pct"/>
            <w:tcBorders>
              <w:top w:val="nil"/>
              <w:left w:val="nil"/>
              <w:bottom w:val="single" w:sz="4" w:space="0" w:color="auto"/>
              <w:right w:val="single" w:sz="4" w:space="0" w:color="auto"/>
            </w:tcBorders>
            <w:shd w:val="clear" w:color="auto" w:fill="auto"/>
            <w:noWrap/>
            <w:vAlign w:val="bottom"/>
            <w:hideMark/>
          </w:tcPr>
          <w:p w14:paraId="36970E11" w14:textId="77777777" w:rsidR="00853C36" w:rsidRPr="00853C36" w:rsidRDefault="00853C36" w:rsidP="00853C36">
            <w:pPr>
              <w:spacing w:after="0" w:line="240" w:lineRule="auto"/>
              <w:jc w:val="right"/>
              <w:rPr>
                <w:rFonts w:ascii="Calibri" w:eastAsia="Times New Roman" w:hAnsi="Calibri" w:cs="Times New Roman"/>
                <w:color w:val="000000"/>
                <w:sz w:val="18"/>
                <w:szCs w:val="18"/>
                <w:lang w:eastAsia="es-GT"/>
              </w:rPr>
            </w:pPr>
            <w:r w:rsidRPr="00853C36">
              <w:rPr>
                <w:rFonts w:ascii="Calibri" w:eastAsia="Times New Roman" w:hAnsi="Calibri" w:cs="Times New Roman"/>
                <w:color w:val="000000"/>
                <w:sz w:val="18"/>
                <w:szCs w:val="18"/>
                <w:lang w:eastAsia="es-GT"/>
              </w:rPr>
              <w:t>0.0</w:t>
            </w:r>
          </w:p>
        </w:tc>
      </w:tr>
      <w:tr w:rsidR="00853C36" w:rsidRPr="00853C36" w14:paraId="6DF0CA3A" w14:textId="77777777" w:rsidTr="00853C36">
        <w:trPr>
          <w:trHeight w:val="300"/>
        </w:trPr>
        <w:tc>
          <w:tcPr>
            <w:tcW w:w="1396" w:type="pct"/>
            <w:tcBorders>
              <w:top w:val="nil"/>
              <w:left w:val="single" w:sz="4" w:space="0" w:color="auto"/>
              <w:bottom w:val="single" w:sz="4" w:space="0" w:color="auto"/>
              <w:right w:val="single" w:sz="4" w:space="0" w:color="auto"/>
            </w:tcBorders>
            <w:shd w:val="clear" w:color="auto" w:fill="auto"/>
            <w:noWrap/>
            <w:vAlign w:val="bottom"/>
            <w:hideMark/>
          </w:tcPr>
          <w:p w14:paraId="0D7FCE34" w14:textId="77777777" w:rsidR="00853C36" w:rsidRPr="00853C36" w:rsidRDefault="00853C36" w:rsidP="00853C36">
            <w:pPr>
              <w:spacing w:after="0" w:line="240" w:lineRule="auto"/>
              <w:rPr>
                <w:rFonts w:ascii="Calibri" w:eastAsia="Times New Roman" w:hAnsi="Calibri" w:cs="Times New Roman"/>
                <w:b/>
                <w:bCs/>
                <w:color w:val="000000"/>
                <w:lang w:eastAsia="es-GT"/>
              </w:rPr>
            </w:pPr>
            <w:r w:rsidRPr="00853C36">
              <w:rPr>
                <w:rFonts w:ascii="Calibri" w:eastAsia="Times New Roman" w:hAnsi="Calibri" w:cs="Times New Roman"/>
                <w:b/>
                <w:bCs/>
                <w:color w:val="000000"/>
                <w:lang w:eastAsia="es-GT"/>
              </w:rPr>
              <w:t>Gasto tributario total</w:t>
            </w:r>
          </w:p>
        </w:tc>
        <w:tc>
          <w:tcPr>
            <w:tcW w:w="601" w:type="pct"/>
            <w:tcBorders>
              <w:top w:val="nil"/>
              <w:left w:val="nil"/>
              <w:bottom w:val="single" w:sz="4" w:space="0" w:color="auto"/>
              <w:right w:val="single" w:sz="4" w:space="0" w:color="auto"/>
            </w:tcBorders>
            <w:shd w:val="clear" w:color="auto" w:fill="auto"/>
            <w:noWrap/>
            <w:vAlign w:val="bottom"/>
            <w:hideMark/>
          </w:tcPr>
          <w:p w14:paraId="7B166A78" w14:textId="77777777" w:rsidR="00853C36" w:rsidRPr="00853C36" w:rsidRDefault="00853C36" w:rsidP="00853C36">
            <w:pPr>
              <w:spacing w:after="0" w:line="240" w:lineRule="auto"/>
              <w:jc w:val="right"/>
              <w:rPr>
                <w:rFonts w:ascii="Calibri" w:eastAsia="Times New Roman" w:hAnsi="Calibri" w:cs="Times New Roman"/>
                <w:b/>
                <w:bCs/>
                <w:color w:val="000000"/>
                <w:sz w:val="18"/>
                <w:szCs w:val="18"/>
                <w:lang w:eastAsia="es-GT"/>
              </w:rPr>
            </w:pPr>
            <w:r w:rsidRPr="00853C36">
              <w:rPr>
                <w:rFonts w:ascii="Calibri" w:eastAsia="Times New Roman" w:hAnsi="Calibri" w:cs="Times New Roman"/>
                <w:b/>
                <w:bCs/>
                <w:color w:val="000000"/>
                <w:sz w:val="18"/>
                <w:szCs w:val="18"/>
                <w:lang w:eastAsia="es-GT"/>
              </w:rPr>
              <w:t>12,491.8</w:t>
            </w:r>
          </w:p>
        </w:tc>
        <w:tc>
          <w:tcPr>
            <w:tcW w:w="601" w:type="pct"/>
            <w:tcBorders>
              <w:top w:val="nil"/>
              <w:left w:val="nil"/>
              <w:bottom w:val="single" w:sz="4" w:space="0" w:color="auto"/>
              <w:right w:val="single" w:sz="4" w:space="0" w:color="auto"/>
            </w:tcBorders>
            <w:shd w:val="clear" w:color="auto" w:fill="auto"/>
            <w:noWrap/>
            <w:vAlign w:val="bottom"/>
            <w:hideMark/>
          </w:tcPr>
          <w:p w14:paraId="25FF65AC" w14:textId="77777777" w:rsidR="00853C36" w:rsidRPr="00853C36" w:rsidRDefault="00853C36" w:rsidP="00853C36">
            <w:pPr>
              <w:spacing w:after="0" w:line="240" w:lineRule="auto"/>
              <w:jc w:val="right"/>
              <w:rPr>
                <w:rFonts w:ascii="Calibri" w:eastAsia="Times New Roman" w:hAnsi="Calibri" w:cs="Times New Roman"/>
                <w:b/>
                <w:bCs/>
                <w:color w:val="000000"/>
                <w:sz w:val="18"/>
                <w:szCs w:val="18"/>
                <w:lang w:eastAsia="es-GT"/>
              </w:rPr>
            </w:pPr>
            <w:r w:rsidRPr="00853C36">
              <w:rPr>
                <w:rFonts w:ascii="Calibri" w:eastAsia="Times New Roman" w:hAnsi="Calibri" w:cs="Times New Roman"/>
                <w:b/>
                <w:bCs/>
                <w:color w:val="000000"/>
                <w:sz w:val="18"/>
                <w:szCs w:val="18"/>
                <w:lang w:eastAsia="es-GT"/>
              </w:rPr>
              <w:t>2.8</w:t>
            </w:r>
          </w:p>
        </w:tc>
        <w:tc>
          <w:tcPr>
            <w:tcW w:w="601" w:type="pct"/>
            <w:tcBorders>
              <w:top w:val="nil"/>
              <w:left w:val="nil"/>
              <w:bottom w:val="single" w:sz="4" w:space="0" w:color="auto"/>
              <w:right w:val="single" w:sz="4" w:space="0" w:color="auto"/>
            </w:tcBorders>
            <w:shd w:val="clear" w:color="auto" w:fill="auto"/>
            <w:noWrap/>
            <w:vAlign w:val="bottom"/>
            <w:hideMark/>
          </w:tcPr>
          <w:p w14:paraId="51EC3680" w14:textId="77777777" w:rsidR="00853C36" w:rsidRPr="00853C36" w:rsidRDefault="00853C36" w:rsidP="00853C36">
            <w:pPr>
              <w:spacing w:after="0" w:line="240" w:lineRule="auto"/>
              <w:jc w:val="right"/>
              <w:rPr>
                <w:rFonts w:ascii="Calibri" w:eastAsia="Times New Roman" w:hAnsi="Calibri" w:cs="Times New Roman"/>
                <w:b/>
                <w:bCs/>
                <w:color w:val="000000"/>
                <w:sz w:val="18"/>
                <w:szCs w:val="18"/>
                <w:lang w:eastAsia="es-GT"/>
              </w:rPr>
            </w:pPr>
            <w:r w:rsidRPr="00853C36">
              <w:rPr>
                <w:rFonts w:ascii="Calibri" w:eastAsia="Times New Roman" w:hAnsi="Calibri" w:cs="Times New Roman"/>
                <w:b/>
                <w:bCs/>
                <w:color w:val="000000"/>
                <w:sz w:val="18"/>
                <w:szCs w:val="18"/>
                <w:lang w:eastAsia="es-GT"/>
              </w:rPr>
              <w:t>11,807.8</w:t>
            </w:r>
          </w:p>
        </w:tc>
        <w:tc>
          <w:tcPr>
            <w:tcW w:w="601" w:type="pct"/>
            <w:tcBorders>
              <w:top w:val="nil"/>
              <w:left w:val="nil"/>
              <w:bottom w:val="single" w:sz="4" w:space="0" w:color="auto"/>
              <w:right w:val="single" w:sz="4" w:space="0" w:color="auto"/>
            </w:tcBorders>
            <w:shd w:val="clear" w:color="auto" w:fill="auto"/>
            <w:noWrap/>
            <w:vAlign w:val="bottom"/>
            <w:hideMark/>
          </w:tcPr>
          <w:p w14:paraId="6DF39D1F" w14:textId="77777777" w:rsidR="00853C36" w:rsidRPr="00853C36" w:rsidRDefault="00853C36" w:rsidP="00853C36">
            <w:pPr>
              <w:spacing w:after="0" w:line="240" w:lineRule="auto"/>
              <w:jc w:val="right"/>
              <w:rPr>
                <w:rFonts w:ascii="Calibri" w:eastAsia="Times New Roman" w:hAnsi="Calibri" w:cs="Times New Roman"/>
                <w:b/>
                <w:bCs/>
                <w:color w:val="000000"/>
                <w:sz w:val="18"/>
                <w:szCs w:val="18"/>
                <w:lang w:eastAsia="es-GT"/>
              </w:rPr>
            </w:pPr>
            <w:r w:rsidRPr="00853C36">
              <w:rPr>
                <w:rFonts w:ascii="Calibri" w:eastAsia="Times New Roman" w:hAnsi="Calibri" w:cs="Times New Roman"/>
                <w:b/>
                <w:bCs/>
                <w:color w:val="000000"/>
                <w:sz w:val="18"/>
                <w:szCs w:val="18"/>
                <w:lang w:eastAsia="es-GT"/>
              </w:rPr>
              <w:t>2.3</w:t>
            </w:r>
          </w:p>
        </w:tc>
        <w:tc>
          <w:tcPr>
            <w:tcW w:w="601" w:type="pct"/>
            <w:tcBorders>
              <w:top w:val="nil"/>
              <w:left w:val="nil"/>
              <w:bottom w:val="single" w:sz="4" w:space="0" w:color="auto"/>
              <w:right w:val="single" w:sz="4" w:space="0" w:color="auto"/>
            </w:tcBorders>
            <w:shd w:val="clear" w:color="auto" w:fill="auto"/>
            <w:noWrap/>
            <w:vAlign w:val="bottom"/>
            <w:hideMark/>
          </w:tcPr>
          <w:p w14:paraId="35DF992F" w14:textId="77777777" w:rsidR="00853C36" w:rsidRPr="00853C36" w:rsidRDefault="00853C36" w:rsidP="00853C36">
            <w:pPr>
              <w:spacing w:after="0" w:line="240" w:lineRule="auto"/>
              <w:jc w:val="right"/>
              <w:rPr>
                <w:rFonts w:ascii="Calibri" w:eastAsia="Times New Roman" w:hAnsi="Calibri" w:cs="Times New Roman"/>
                <w:b/>
                <w:bCs/>
                <w:color w:val="000000"/>
                <w:sz w:val="18"/>
                <w:szCs w:val="18"/>
                <w:lang w:eastAsia="es-GT"/>
              </w:rPr>
            </w:pPr>
            <w:r w:rsidRPr="00853C36">
              <w:rPr>
                <w:rFonts w:ascii="Calibri" w:eastAsia="Times New Roman" w:hAnsi="Calibri" w:cs="Times New Roman"/>
                <w:b/>
                <w:bCs/>
                <w:color w:val="000000"/>
                <w:sz w:val="18"/>
                <w:szCs w:val="18"/>
                <w:lang w:eastAsia="es-GT"/>
              </w:rPr>
              <w:t>14,060.4</w:t>
            </w:r>
          </w:p>
        </w:tc>
        <w:tc>
          <w:tcPr>
            <w:tcW w:w="601" w:type="pct"/>
            <w:tcBorders>
              <w:top w:val="nil"/>
              <w:left w:val="nil"/>
              <w:bottom w:val="single" w:sz="4" w:space="0" w:color="auto"/>
              <w:right w:val="single" w:sz="4" w:space="0" w:color="auto"/>
            </w:tcBorders>
            <w:shd w:val="clear" w:color="auto" w:fill="auto"/>
            <w:noWrap/>
            <w:vAlign w:val="bottom"/>
            <w:hideMark/>
          </w:tcPr>
          <w:p w14:paraId="5E0481B4" w14:textId="77777777" w:rsidR="00853C36" w:rsidRPr="00853C36" w:rsidRDefault="00853C36" w:rsidP="00853C36">
            <w:pPr>
              <w:spacing w:after="0" w:line="240" w:lineRule="auto"/>
              <w:jc w:val="right"/>
              <w:rPr>
                <w:rFonts w:ascii="Calibri" w:eastAsia="Times New Roman" w:hAnsi="Calibri" w:cs="Times New Roman"/>
                <w:b/>
                <w:bCs/>
                <w:color w:val="000000"/>
                <w:sz w:val="18"/>
                <w:szCs w:val="18"/>
                <w:lang w:eastAsia="es-GT"/>
              </w:rPr>
            </w:pPr>
            <w:r w:rsidRPr="00853C36">
              <w:rPr>
                <w:rFonts w:ascii="Calibri" w:eastAsia="Times New Roman" w:hAnsi="Calibri" w:cs="Times New Roman"/>
                <w:b/>
                <w:bCs/>
                <w:color w:val="000000"/>
                <w:sz w:val="18"/>
                <w:szCs w:val="18"/>
                <w:lang w:eastAsia="es-GT"/>
              </w:rPr>
              <w:t>2.4</w:t>
            </w:r>
          </w:p>
        </w:tc>
      </w:tr>
    </w:tbl>
    <w:p w14:paraId="498B0C3B" w14:textId="77777777" w:rsidR="004F6CEB" w:rsidRPr="004F6CEB" w:rsidRDefault="004F6CEB" w:rsidP="00F8084E">
      <w:pPr>
        <w:jc w:val="both"/>
        <w:rPr>
          <w:sz w:val="18"/>
        </w:rPr>
      </w:pPr>
      <w:r w:rsidRPr="004F6CEB">
        <w:rPr>
          <w:sz w:val="18"/>
        </w:rPr>
        <w:t xml:space="preserve">Fuente: Icefi con base en datos de la SAT, disponibles en: </w:t>
      </w:r>
      <w:hyperlink r:id="rId13" w:anchor="1506976607233-cfdb5baf-4926" w:history="1">
        <w:r w:rsidRPr="004F6CEB">
          <w:rPr>
            <w:rStyle w:val="Hyperlink"/>
            <w:sz w:val="18"/>
          </w:rPr>
          <w:t>https://portal.sat.gob.gt/portal/analisis-estudios-tributarios/#1506976607233-cfdb5baf-4926</w:t>
        </w:r>
      </w:hyperlink>
      <w:r w:rsidRPr="004F6CEB">
        <w:rPr>
          <w:sz w:val="18"/>
        </w:rPr>
        <w:t>.</w:t>
      </w:r>
    </w:p>
    <w:p w14:paraId="76610255" w14:textId="77777777" w:rsidR="004F6CEB" w:rsidRPr="004F6CEB" w:rsidRDefault="004F6CEB" w:rsidP="00F8084E">
      <w:pPr>
        <w:jc w:val="both"/>
        <w:rPr>
          <w:sz w:val="18"/>
        </w:rPr>
      </w:pPr>
      <w:r w:rsidRPr="004F6CEB">
        <w:rPr>
          <w:sz w:val="18"/>
        </w:rPr>
        <w:t>1/ Incluye los DAI y el IVA de Importaciones.</w:t>
      </w:r>
    </w:p>
    <w:p w14:paraId="02A35AFD" w14:textId="77777777" w:rsidR="004F6CEB" w:rsidRPr="004F6CEB" w:rsidRDefault="004F6CEB" w:rsidP="00F8084E">
      <w:pPr>
        <w:jc w:val="both"/>
        <w:rPr>
          <w:sz w:val="18"/>
        </w:rPr>
      </w:pPr>
      <w:r w:rsidRPr="004F6CEB">
        <w:rPr>
          <w:sz w:val="18"/>
        </w:rPr>
        <w:t>2/Se refiera a la recaudación total de IVA (Doméstico y de Importaciones).</w:t>
      </w:r>
    </w:p>
    <w:p w14:paraId="4FE642CC" w14:textId="77777777" w:rsidR="00C93C62" w:rsidRDefault="00C93C62" w:rsidP="00F8084E">
      <w:pPr>
        <w:jc w:val="both"/>
      </w:pPr>
      <w:r>
        <w:t xml:space="preserve">Cerca del 20.0% del gasto tributario está relacionado con beneficios en materia tributaria establecidos en la Constitución de la República, concedidos a las universidades, los centros educativos, el Instituto Guatemalteco de Seguridad Social, al Comité Olímpico Guatemalteco y a la Confederación Deportiva Autónoma de Guatemala. El 80.0% restante del gasto tributario proviene de leyes ordinarias que benefician a empresas diversas, incluyendo algunas en el negocio de la intermediación financiera, iglesias e instituciones de asistencia social, entre otras. </w:t>
      </w:r>
      <w:r w:rsidR="004F6CEB">
        <w:t xml:space="preserve">Parte del gasto tributario </w:t>
      </w:r>
      <w:r>
        <w:t xml:space="preserve">beneficia </w:t>
      </w:r>
      <w:r w:rsidR="004F6CEB">
        <w:t xml:space="preserve">a los </w:t>
      </w:r>
      <w:r>
        <w:t>trabajadores en relación de dependencia</w:t>
      </w:r>
      <w:r w:rsidR="004F6CEB">
        <w:t>, tanto para reforzar el principio de justicia tributaria, como para simplificar la administración de los impuestos</w:t>
      </w:r>
      <w:r>
        <w:t>, aunque este gasto tributario apenas representa el 4.0% del total</w:t>
      </w:r>
      <w:r w:rsidR="004F6CEB">
        <w:t xml:space="preserve">.   </w:t>
      </w:r>
    </w:p>
    <w:p w14:paraId="4F9D705D" w14:textId="77777777" w:rsidR="00C93C62" w:rsidRDefault="00C93C62" w:rsidP="00C93C62">
      <w:pPr>
        <w:spacing w:after="0" w:line="240" w:lineRule="auto"/>
        <w:jc w:val="center"/>
      </w:pPr>
      <w:r>
        <w:t>Cuadro</w:t>
      </w:r>
    </w:p>
    <w:p w14:paraId="65EC91F9" w14:textId="77777777" w:rsidR="00F8084E" w:rsidRDefault="00C93C62" w:rsidP="00C93C62">
      <w:pPr>
        <w:spacing w:after="0" w:line="240" w:lineRule="auto"/>
        <w:jc w:val="center"/>
      </w:pPr>
      <w:r>
        <w:t>Gasto tributario distribuido por beneficiarios, en millones de quetzales de cada año y como porcentaje del PIB</w:t>
      </w:r>
    </w:p>
    <w:tbl>
      <w:tblPr>
        <w:tblW w:w="8820" w:type="dxa"/>
        <w:tblCellMar>
          <w:left w:w="70" w:type="dxa"/>
          <w:right w:w="70" w:type="dxa"/>
        </w:tblCellMar>
        <w:tblLook w:val="04A0" w:firstRow="1" w:lastRow="0" w:firstColumn="1" w:lastColumn="0" w:noHBand="0" w:noVBand="1"/>
      </w:tblPr>
      <w:tblGrid>
        <w:gridCol w:w="2340"/>
        <w:gridCol w:w="1060"/>
        <w:gridCol w:w="1120"/>
        <w:gridCol w:w="1060"/>
        <w:gridCol w:w="1120"/>
        <w:gridCol w:w="1000"/>
        <w:gridCol w:w="1120"/>
      </w:tblGrid>
      <w:tr w:rsidR="007D4001" w:rsidRPr="007D4001" w14:paraId="172CFEBA" w14:textId="77777777" w:rsidTr="00B31ECE">
        <w:trPr>
          <w:trHeight w:val="300"/>
          <w:tblHeader/>
        </w:trPr>
        <w:tc>
          <w:tcPr>
            <w:tcW w:w="2340"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3FA8F6C4" w14:textId="77777777" w:rsidR="007D4001" w:rsidRPr="007D4001" w:rsidRDefault="007D4001" w:rsidP="007D4001">
            <w:pPr>
              <w:spacing w:after="0" w:line="240" w:lineRule="auto"/>
              <w:jc w:val="center"/>
              <w:rPr>
                <w:rFonts w:ascii="Calibri" w:eastAsia="Times New Roman" w:hAnsi="Calibri" w:cs="Times New Roman"/>
                <w:color w:val="FFFFFF"/>
                <w:sz w:val="20"/>
                <w:szCs w:val="20"/>
                <w:lang w:eastAsia="es-GT"/>
              </w:rPr>
            </w:pPr>
            <w:r w:rsidRPr="007D4001">
              <w:rPr>
                <w:rFonts w:ascii="Calibri" w:eastAsia="Times New Roman" w:hAnsi="Calibri" w:cs="Times New Roman"/>
                <w:color w:val="FFFFFF"/>
                <w:sz w:val="20"/>
                <w:szCs w:val="20"/>
                <w:lang w:eastAsia="es-GT"/>
              </w:rPr>
              <w:t>Beneficiarios</w:t>
            </w:r>
          </w:p>
        </w:tc>
        <w:tc>
          <w:tcPr>
            <w:tcW w:w="2180" w:type="dxa"/>
            <w:gridSpan w:val="2"/>
            <w:tcBorders>
              <w:top w:val="single" w:sz="4" w:space="0" w:color="auto"/>
              <w:left w:val="nil"/>
              <w:bottom w:val="single" w:sz="4" w:space="0" w:color="auto"/>
              <w:right w:val="single" w:sz="4" w:space="0" w:color="auto"/>
            </w:tcBorders>
            <w:shd w:val="clear" w:color="000000" w:fill="C00000"/>
            <w:noWrap/>
            <w:vAlign w:val="bottom"/>
            <w:hideMark/>
          </w:tcPr>
          <w:p w14:paraId="500F99F7" w14:textId="77777777" w:rsidR="007D4001" w:rsidRPr="007D4001" w:rsidRDefault="007D4001" w:rsidP="007D4001">
            <w:pPr>
              <w:spacing w:after="0" w:line="240" w:lineRule="auto"/>
              <w:jc w:val="center"/>
              <w:rPr>
                <w:rFonts w:ascii="Calibri" w:eastAsia="Times New Roman" w:hAnsi="Calibri" w:cs="Times New Roman"/>
                <w:color w:val="FFFFFF"/>
                <w:lang w:eastAsia="es-GT"/>
              </w:rPr>
            </w:pPr>
            <w:r w:rsidRPr="007D4001">
              <w:rPr>
                <w:rFonts w:ascii="Calibri" w:eastAsia="Times New Roman" w:hAnsi="Calibri" w:cs="Times New Roman"/>
                <w:color w:val="FFFFFF"/>
                <w:lang w:eastAsia="es-GT"/>
              </w:rPr>
              <w:t>2014</w:t>
            </w:r>
          </w:p>
        </w:tc>
        <w:tc>
          <w:tcPr>
            <w:tcW w:w="2180" w:type="dxa"/>
            <w:gridSpan w:val="2"/>
            <w:tcBorders>
              <w:top w:val="single" w:sz="4" w:space="0" w:color="auto"/>
              <w:left w:val="nil"/>
              <w:bottom w:val="single" w:sz="4" w:space="0" w:color="auto"/>
              <w:right w:val="single" w:sz="4" w:space="0" w:color="auto"/>
            </w:tcBorders>
            <w:shd w:val="clear" w:color="000000" w:fill="C00000"/>
            <w:noWrap/>
            <w:vAlign w:val="bottom"/>
            <w:hideMark/>
          </w:tcPr>
          <w:p w14:paraId="01926DA1" w14:textId="77777777" w:rsidR="007D4001" w:rsidRPr="007D4001" w:rsidRDefault="007D4001" w:rsidP="007D4001">
            <w:pPr>
              <w:spacing w:after="0" w:line="240" w:lineRule="auto"/>
              <w:jc w:val="center"/>
              <w:rPr>
                <w:rFonts w:ascii="Calibri" w:eastAsia="Times New Roman" w:hAnsi="Calibri" w:cs="Times New Roman"/>
                <w:color w:val="FFFFFF"/>
                <w:lang w:eastAsia="es-GT"/>
              </w:rPr>
            </w:pPr>
            <w:r w:rsidRPr="007D4001">
              <w:rPr>
                <w:rFonts w:ascii="Calibri" w:eastAsia="Times New Roman" w:hAnsi="Calibri" w:cs="Times New Roman"/>
                <w:color w:val="FFFFFF"/>
                <w:lang w:eastAsia="es-GT"/>
              </w:rPr>
              <w:t>2016</w:t>
            </w:r>
          </w:p>
        </w:tc>
        <w:tc>
          <w:tcPr>
            <w:tcW w:w="2120" w:type="dxa"/>
            <w:gridSpan w:val="2"/>
            <w:tcBorders>
              <w:top w:val="single" w:sz="4" w:space="0" w:color="auto"/>
              <w:left w:val="nil"/>
              <w:bottom w:val="single" w:sz="4" w:space="0" w:color="auto"/>
              <w:right w:val="single" w:sz="4" w:space="0" w:color="auto"/>
            </w:tcBorders>
            <w:shd w:val="clear" w:color="000000" w:fill="C00000"/>
            <w:noWrap/>
            <w:vAlign w:val="bottom"/>
            <w:hideMark/>
          </w:tcPr>
          <w:p w14:paraId="6984653F" w14:textId="77777777" w:rsidR="007D4001" w:rsidRPr="007D4001" w:rsidRDefault="007D4001" w:rsidP="007D4001">
            <w:pPr>
              <w:spacing w:after="0" w:line="240" w:lineRule="auto"/>
              <w:jc w:val="center"/>
              <w:rPr>
                <w:rFonts w:ascii="Calibri" w:eastAsia="Times New Roman" w:hAnsi="Calibri" w:cs="Times New Roman"/>
                <w:color w:val="FFFFFF"/>
                <w:lang w:eastAsia="es-GT"/>
              </w:rPr>
            </w:pPr>
            <w:r w:rsidRPr="007D4001">
              <w:rPr>
                <w:rFonts w:ascii="Calibri" w:eastAsia="Times New Roman" w:hAnsi="Calibri" w:cs="Times New Roman"/>
                <w:color w:val="FFFFFF"/>
                <w:lang w:eastAsia="es-GT"/>
              </w:rPr>
              <w:t>2018</w:t>
            </w:r>
          </w:p>
        </w:tc>
      </w:tr>
      <w:tr w:rsidR="007D4001" w:rsidRPr="007D4001" w14:paraId="30E9FCCA" w14:textId="77777777" w:rsidTr="00B31ECE">
        <w:trPr>
          <w:trHeight w:val="735"/>
          <w:tblHeader/>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3434E689" w14:textId="77777777" w:rsidR="007D4001" w:rsidRPr="007D4001" w:rsidRDefault="007D4001" w:rsidP="007D4001">
            <w:pPr>
              <w:spacing w:after="0" w:line="240" w:lineRule="auto"/>
              <w:rPr>
                <w:rFonts w:ascii="Calibri" w:eastAsia="Times New Roman" w:hAnsi="Calibri" w:cs="Times New Roman"/>
                <w:color w:val="FFFFFF"/>
                <w:sz w:val="20"/>
                <w:szCs w:val="20"/>
                <w:lang w:eastAsia="es-GT"/>
              </w:rPr>
            </w:pPr>
          </w:p>
        </w:tc>
        <w:tc>
          <w:tcPr>
            <w:tcW w:w="1060" w:type="dxa"/>
            <w:tcBorders>
              <w:top w:val="nil"/>
              <w:left w:val="nil"/>
              <w:bottom w:val="single" w:sz="4" w:space="0" w:color="auto"/>
              <w:right w:val="single" w:sz="4" w:space="0" w:color="auto"/>
            </w:tcBorders>
            <w:shd w:val="clear" w:color="000000" w:fill="C00000"/>
            <w:vAlign w:val="bottom"/>
            <w:hideMark/>
          </w:tcPr>
          <w:p w14:paraId="6C7CDBC0" w14:textId="77777777" w:rsidR="007D4001" w:rsidRPr="007D4001" w:rsidRDefault="007D4001" w:rsidP="007D4001">
            <w:pPr>
              <w:spacing w:after="0" w:line="240" w:lineRule="auto"/>
              <w:jc w:val="center"/>
              <w:rPr>
                <w:rFonts w:ascii="Calibri" w:eastAsia="Times New Roman" w:hAnsi="Calibri" w:cs="Times New Roman"/>
                <w:color w:val="FFFFFF"/>
                <w:sz w:val="18"/>
                <w:szCs w:val="18"/>
                <w:lang w:eastAsia="es-GT"/>
              </w:rPr>
            </w:pPr>
            <w:r w:rsidRPr="007D4001">
              <w:rPr>
                <w:rFonts w:ascii="Calibri" w:eastAsia="Times New Roman" w:hAnsi="Calibri" w:cs="Times New Roman"/>
                <w:color w:val="FFFFFF"/>
                <w:sz w:val="18"/>
                <w:szCs w:val="18"/>
                <w:lang w:eastAsia="es-GT"/>
              </w:rPr>
              <w:t>Millones de Q</w:t>
            </w:r>
          </w:p>
        </w:tc>
        <w:tc>
          <w:tcPr>
            <w:tcW w:w="1120" w:type="dxa"/>
            <w:tcBorders>
              <w:top w:val="nil"/>
              <w:left w:val="nil"/>
              <w:bottom w:val="single" w:sz="4" w:space="0" w:color="auto"/>
              <w:right w:val="single" w:sz="4" w:space="0" w:color="auto"/>
            </w:tcBorders>
            <w:shd w:val="clear" w:color="000000" w:fill="C00000"/>
            <w:vAlign w:val="bottom"/>
            <w:hideMark/>
          </w:tcPr>
          <w:p w14:paraId="0D07479E" w14:textId="77777777" w:rsidR="007D4001" w:rsidRPr="007D4001" w:rsidRDefault="007D4001" w:rsidP="007D4001">
            <w:pPr>
              <w:spacing w:after="0" w:line="240" w:lineRule="auto"/>
              <w:jc w:val="center"/>
              <w:rPr>
                <w:rFonts w:ascii="Calibri" w:eastAsia="Times New Roman" w:hAnsi="Calibri" w:cs="Times New Roman"/>
                <w:color w:val="FFFFFF"/>
                <w:sz w:val="18"/>
                <w:szCs w:val="18"/>
                <w:lang w:eastAsia="es-GT"/>
              </w:rPr>
            </w:pPr>
            <w:r w:rsidRPr="007D4001">
              <w:rPr>
                <w:rFonts w:ascii="Calibri" w:eastAsia="Times New Roman" w:hAnsi="Calibri" w:cs="Times New Roman"/>
                <w:color w:val="FFFFFF"/>
                <w:sz w:val="18"/>
                <w:szCs w:val="18"/>
                <w:lang w:eastAsia="es-GT"/>
              </w:rPr>
              <w:t>Como porcentaje del PIB</w:t>
            </w:r>
          </w:p>
        </w:tc>
        <w:tc>
          <w:tcPr>
            <w:tcW w:w="1060" w:type="dxa"/>
            <w:tcBorders>
              <w:top w:val="nil"/>
              <w:left w:val="nil"/>
              <w:bottom w:val="single" w:sz="4" w:space="0" w:color="auto"/>
              <w:right w:val="single" w:sz="4" w:space="0" w:color="auto"/>
            </w:tcBorders>
            <w:shd w:val="clear" w:color="000000" w:fill="C00000"/>
            <w:vAlign w:val="bottom"/>
            <w:hideMark/>
          </w:tcPr>
          <w:p w14:paraId="6B533D68" w14:textId="77777777" w:rsidR="007D4001" w:rsidRPr="007D4001" w:rsidRDefault="007D4001" w:rsidP="007D4001">
            <w:pPr>
              <w:spacing w:after="0" w:line="240" w:lineRule="auto"/>
              <w:jc w:val="center"/>
              <w:rPr>
                <w:rFonts w:ascii="Calibri" w:eastAsia="Times New Roman" w:hAnsi="Calibri" w:cs="Times New Roman"/>
                <w:color w:val="FFFFFF"/>
                <w:sz w:val="18"/>
                <w:szCs w:val="18"/>
                <w:lang w:eastAsia="es-GT"/>
              </w:rPr>
            </w:pPr>
            <w:r w:rsidRPr="007D4001">
              <w:rPr>
                <w:rFonts w:ascii="Calibri" w:eastAsia="Times New Roman" w:hAnsi="Calibri" w:cs="Times New Roman"/>
                <w:color w:val="FFFFFF"/>
                <w:sz w:val="18"/>
                <w:szCs w:val="18"/>
                <w:lang w:eastAsia="es-GT"/>
              </w:rPr>
              <w:t>Millones de Q</w:t>
            </w:r>
          </w:p>
        </w:tc>
        <w:tc>
          <w:tcPr>
            <w:tcW w:w="1120" w:type="dxa"/>
            <w:tcBorders>
              <w:top w:val="nil"/>
              <w:left w:val="nil"/>
              <w:bottom w:val="single" w:sz="4" w:space="0" w:color="auto"/>
              <w:right w:val="single" w:sz="4" w:space="0" w:color="auto"/>
            </w:tcBorders>
            <w:shd w:val="clear" w:color="000000" w:fill="C00000"/>
            <w:vAlign w:val="bottom"/>
            <w:hideMark/>
          </w:tcPr>
          <w:p w14:paraId="7367A3C8" w14:textId="77777777" w:rsidR="007D4001" w:rsidRPr="007D4001" w:rsidRDefault="007D4001" w:rsidP="007D4001">
            <w:pPr>
              <w:spacing w:after="0" w:line="240" w:lineRule="auto"/>
              <w:jc w:val="center"/>
              <w:rPr>
                <w:rFonts w:ascii="Calibri" w:eastAsia="Times New Roman" w:hAnsi="Calibri" w:cs="Times New Roman"/>
                <w:color w:val="FFFFFF"/>
                <w:sz w:val="18"/>
                <w:szCs w:val="18"/>
                <w:lang w:eastAsia="es-GT"/>
              </w:rPr>
            </w:pPr>
            <w:r w:rsidRPr="007D4001">
              <w:rPr>
                <w:rFonts w:ascii="Calibri" w:eastAsia="Times New Roman" w:hAnsi="Calibri" w:cs="Times New Roman"/>
                <w:color w:val="FFFFFF"/>
                <w:sz w:val="18"/>
                <w:szCs w:val="18"/>
                <w:lang w:eastAsia="es-GT"/>
              </w:rPr>
              <w:t>Como porcentaje del PIB</w:t>
            </w:r>
          </w:p>
        </w:tc>
        <w:tc>
          <w:tcPr>
            <w:tcW w:w="1000" w:type="dxa"/>
            <w:tcBorders>
              <w:top w:val="nil"/>
              <w:left w:val="nil"/>
              <w:bottom w:val="single" w:sz="4" w:space="0" w:color="auto"/>
              <w:right w:val="single" w:sz="4" w:space="0" w:color="auto"/>
            </w:tcBorders>
            <w:shd w:val="clear" w:color="000000" w:fill="C00000"/>
            <w:vAlign w:val="bottom"/>
            <w:hideMark/>
          </w:tcPr>
          <w:p w14:paraId="6A032A29" w14:textId="77777777" w:rsidR="007D4001" w:rsidRPr="007D4001" w:rsidRDefault="007D4001" w:rsidP="007D4001">
            <w:pPr>
              <w:spacing w:after="0" w:line="240" w:lineRule="auto"/>
              <w:jc w:val="center"/>
              <w:rPr>
                <w:rFonts w:ascii="Calibri" w:eastAsia="Times New Roman" w:hAnsi="Calibri" w:cs="Times New Roman"/>
                <w:color w:val="FFFFFF"/>
                <w:sz w:val="18"/>
                <w:szCs w:val="18"/>
                <w:lang w:eastAsia="es-GT"/>
              </w:rPr>
            </w:pPr>
            <w:r w:rsidRPr="007D4001">
              <w:rPr>
                <w:rFonts w:ascii="Calibri" w:eastAsia="Times New Roman" w:hAnsi="Calibri" w:cs="Times New Roman"/>
                <w:color w:val="FFFFFF"/>
                <w:sz w:val="18"/>
                <w:szCs w:val="18"/>
                <w:lang w:eastAsia="es-GT"/>
              </w:rPr>
              <w:t>Millones de Q</w:t>
            </w:r>
          </w:p>
        </w:tc>
        <w:tc>
          <w:tcPr>
            <w:tcW w:w="1120" w:type="dxa"/>
            <w:tcBorders>
              <w:top w:val="nil"/>
              <w:left w:val="nil"/>
              <w:bottom w:val="single" w:sz="4" w:space="0" w:color="auto"/>
              <w:right w:val="nil"/>
            </w:tcBorders>
            <w:shd w:val="clear" w:color="000000" w:fill="C00000"/>
            <w:vAlign w:val="bottom"/>
            <w:hideMark/>
          </w:tcPr>
          <w:p w14:paraId="16756680" w14:textId="77777777" w:rsidR="007D4001" w:rsidRPr="007D4001" w:rsidRDefault="007D4001" w:rsidP="007D4001">
            <w:pPr>
              <w:spacing w:after="0" w:line="240" w:lineRule="auto"/>
              <w:jc w:val="center"/>
              <w:rPr>
                <w:rFonts w:ascii="Calibri" w:eastAsia="Times New Roman" w:hAnsi="Calibri" w:cs="Times New Roman"/>
                <w:color w:val="FFFFFF"/>
                <w:sz w:val="18"/>
                <w:szCs w:val="18"/>
                <w:lang w:eastAsia="es-GT"/>
              </w:rPr>
            </w:pPr>
            <w:r w:rsidRPr="007D4001">
              <w:rPr>
                <w:rFonts w:ascii="Calibri" w:eastAsia="Times New Roman" w:hAnsi="Calibri" w:cs="Times New Roman"/>
                <w:color w:val="FFFFFF"/>
                <w:sz w:val="18"/>
                <w:szCs w:val="18"/>
                <w:lang w:eastAsia="es-GT"/>
              </w:rPr>
              <w:t>Como porcentaje del PIB</w:t>
            </w:r>
          </w:p>
        </w:tc>
      </w:tr>
      <w:tr w:rsidR="007D4001" w:rsidRPr="007D4001" w14:paraId="0D9D2015"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B93A561" w14:textId="77777777" w:rsidR="007D4001" w:rsidRPr="007D4001" w:rsidRDefault="007D4001" w:rsidP="007D4001">
            <w:pPr>
              <w:spacing w:after="0" w:line="240" w:lineRule="auto"/>
              <w:rPr>
                <w:rFonts w:ascii="Calibri" w:eastAsia="Times New Roman" w:hAnsi="Calibri" w:cs="Times New Roman"/>
                <w:b/>
                <w:bCs/>
                <w:color w:val="000000"/>
                <w:sz w:val="20"/>
                <w:szCs w:val="20"/>
                <w:lang w:eastAsia="es-GT"/>
              </w:rPr>
            </w:pPr>
            <w:r w:rsidRPr="007D4001">
              <w:rPr>
                <w:rFonts w:ascii="Calibri" w:eastAsia="Times New Roman" w:hAnsi="Calibri" w:cs="Times New Roman"/>
                <w:b/>
                <w:bCs/>
                <w:color w:val="000000"/>
                <w:sz w:val="20"/>
                <w:szCs w:val="20"/>
                <w:lang w:eastAsia="es-GT"/>
              </w:rPr>
              <w:t>I. Constitucionales</w:t>
            </w:r>
          </w:p>
        </w:tc>
        <w:tc>
          <w:tcPr>
            <w:tcW w:w="1060" w:type="dxa"/>
            <w:tcBorders>
              <w:top w:val="nil"/>
              <w:left w:val="nil"/>
              <w:bottom w:val="single" w:sz="4" w:space="0" w:color="auto"/>
              <w:right w:val="single" w:sz="4" w:space="0" w:color="auto"/>
            </w:tcBorders>
            <w:shd w:val="clear" w:color="auto" w:fill="auto"/>
            <w:noWrap/>
            <w:vAlign w:val="bottom"/>
            <w:hideMark/>
          </w:tcPr>
          <w:p w14:paraId="0A3C4578"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2,117.3</w:t>
            </w:r>
          </w:p>
        </w:tc>
        <w:tc>
          <w:tcPr>
            <w:tcW w:w="1120" w:type="dxa"/>
            <w:tcBorders>
              <w:top w:val="nil"/>
              <w:left w:val="nil"/>
              <w:bottom w:val="single" w:sz="4" w:space="0" w:color="auto"/>
              <w:right w:val="single" w:sz="4" w:space="0" w:color="auto"/>
            </w:tcBorders>
            <w:shd w:val="clear" w:color="auto" w:fill="auto"/>
            <w:noWrap/>
            <w:vAlign w:val="bottom"/>
            <w:hideMark/>
          </w:tcPr>
          <w:p w14:paraId="4541CE28"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0.5</w:t>
            </w:r>
          </w:p>
        </w:tc>
        <w:tc>
          <w:tcPr>
            <w:tcW w:w="1060" w:type="dxa"/>
            <w:tcBorders>
              <w:top w:val="nil"/>
              <w:left w:val="nil"/>
              <w:bottom w:val="single" w:sz="4" w:space="0" w:color="auto"/>
              <w:right w:val="single" w:sz="4" w:space="0" w:color="auto"/>
            </w:tcBorders>
            <w:shd w:val="clear" w:color="auto" w:fill="auto"/>
            <w:noWrap/>
            <w:vAlign w:val="bottom"/>
            <w:hideMark/>
          </w:tcPr>
          <w:p w14:paraId="088EABE7"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2,553.2</w:t>
            </w:r>
          </w:p>
        </w:tc>
        <w:tc>
          <w:tcPr>
            <w:tcW w:w="1120" w:type="dxa"/>
            <w:tcBorders>
              <w:top w:val="nil"/>
              <w:left w:val="nil"/>
              <w:bottom w:val="single" w:sz="4" w:space="0" w:color="auto"/>
              <w:right w:val="single" w:sz="4" w:space="0" w:color="auto"/>
            </w:tcBorders>
            <w:shd w:val="clear" w:color="auto" w:fill="auto"/>
            <w:noWrap/>
            <w:vAlign w:val="bottom"/>
            <w:hideMark/>
          </w:tcPr>
          <w:p w14:paraId="64656873"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0.5</w:t>
            </w:r>
          </w:p>
        </w:tc>
        <w:tc>
          <w:tcPr>
            <w:tcW w:w="1000" w:type="dxa"/>
            <w:tcBorders>
              <w:top w:val="nil"/>
              <w:left w:val="nil"/>
              <w:bottom w:val="single" w:sz="4" w:space="0" w:color="auto"/>
              <w:right w:val="single" w:sz="4" w:space="0" w:color="auto"/>
            </w:tcBorders>
            <w:shd w:val="clear" w:color="auto" w:fill="auto"/>
            <w:noWrap/>
            <w:vAlign w:val="bottom"/>
            <w:hideMark/>
          </w:tcPr>
          <w:p w14:paraId="2164F213"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2,789.4</w:t>
            </w:r>
          </w:p>
        </w:tc>
        <w:tc>
          <w:tcPr>
            <w:tcW w:w="1120" w:type="dxa"/>
            <w:tcBorders>
              <w:top w:val="nil"/>
              <w:left w:val="nil"/>
              <w:bottom w:val="single" w:sz="4" w:space="0" w:color="auto"/>
              <w:right w:val="single" w:sz="4" w:space="0" w:color="auto"/>
            </w:tcBorders>
            <w:shd w:val="clear" w:color="auto" w:fill="auto"/>
            <w:noWrap/>
            <w:vAlign w:val="bottom"/>
            <w:hideMark/>
          </w:tcPr>
          <w:p w14:paraId="38A784C4"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0.5</w:t>
            </w:r>
          </w:p>
        </w:tc>
      </w:tr>
      <w:tr w:rsidR="007D4001" w:rsidRPr="007D4001" w14:paraId="22F11552"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FE4870A"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Universidades</w:t>
            </w:r>
          </w:p>
        </w:tc>
        <w:tc>
          <w:tcPr>
            <w:tcW w:w="1060" w:type="dxa"/>
            <w:tcBorders>
              <w:top w:val="nil"/>
              <w:left w:val="nil"/>
              <w:bottom w:val="single" w:sz="4" w:space="0" w:color="auto"/>
              <w:right w:val="single" w:sz="4" w:space="0" w:color="auto"/>
            </w:tcBorders>
            <w:shd w:val="clear" w:color="auto" w:fill="auto"/>
            <w:noWrap/>
            <w:vAlign w:val="bottom"/>
            <w:hideMark/>
          </w:tcPr>
          <w:p w14:paraId="5D1D7A6D"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451.5</w:t>
            </w:r>
          </w:p>
        </w:tc>
        <w:tc>
          <w:tcPr>
            <w:tcW w:w="1120" w:type="dxa"/>
            <w:tcBorders>
              <w:top w:val="nil"/>
              <w:left w:val="nil"/>
              <w:bottom w:val="single" w:sz="4" w:space="0" w:color="auto"/>
              <w:right w:val="single" w:sz="4" w:space="0" w:color="auto"/>
            </w:tcBorders>
            <w:shd w:val="clear" w:color="auto" w:fill="auto"/>
            <w:noWrap/>
            <w:vAlign w:val="bottom"/>
            <w:hideMark/>
          </w:tcPr>
          <w:p w14:paraId="4EEE81BC"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60" w:type="dxa"/>
            <w:tcBorders>
              <w:top w:val="nil"/>
              <w:left w:val="nil"/>
              <w:bottom w:val="single" w:sz="4" w:space="0" w:color="auto"/>
              <w:right w:val="single" w:sz="4" w:space="0" w:color="auto"/>
            </w:tcBorders>
            <w:shd w:val="clear" w:color="auto" w:fill="auto"/>
            <w:noWrap/>
            <w:vAlign w:val="bottom"/>
            <w:hideMark/>
          </w:tcPr>
          <w:p w14:paraId="2EF3F6D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504.3</w:t>
            </w:r>
          </w:p>
        </w:tc>
        <w:tc>
          <w:tcPr>
            <w:tcW w:w="1120" w:type="dxa"/>
            <w:tcBorders>
              <w:top w:val="nil"/>
              <w:left w:val="nil"/>
              <w:bottom w:val="single" w:sz="4" w:space="0" w:color="auto"/>
              <w:right w:val="single" w:sz="4" w:space="0" w:color="auto"/>
            </w:tcBorders>
            <w:shd w:val="clear" w:color="auto" w:fill="auto"/>
            <w:noWrap/>
            <w:vAlign w:val="bottom"/>
            <w:hideMark/>
          </w:tcPr>
          <w:p w14:paraId="6051855F"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00" w:type="dxa"/>
            <w:tcBorders>
              <w:top w:val="nil"/>
              <w:left w:val="nil"/>
              <w:bottom w:val="single" w:sz="4" w:space="0" w:color="auto"/>
              <w:right w:val="single" w:sz="4" w:space="0" w:color="auto"/>
            </w:tcBorders>
            <w:shd w:val="clear" w:color="auto" w:fill="auto"/>
            <w:noWrap/>
            <w:vAlign w:val="bottom"/>
            <w:hideMark/>
          </w:tcPr>
          <w:p w14:paraId="3276839A"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573.9</w:t>
            </w:r>
          </w:p>
        </w:tc>
        <w:tc>
          <w:tcPr>
            <w:tcW w:w="1120" w:type="dxa"/>
            <w:tcBorders>
              <w:top w:val="nil"/>
              <w:left w:val="nil"/>
              <w:bottom w:val="single" w:sz="4" w:space="0" w:color="auto"/>
              <w:right w:val="single" w:sz="4" w:space="0" w:color="auto"/>
            </w:tcBorders>
            <w:shd w:val="clear" w:color="auto" w:fill="auto"/>
            <w:noWrap/>
            <w:vAlign w:val="bottom"/>
            <w:hideMark/>
          </w:tcPr>
          <w:p w14:paraId="07A3689D"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r>
      <w:tr w:rsidR="007D4001" w:rsidRPr="007D4001" w14:paraId="4FA299F5"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5CBACCE"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Centros Educativos</w:t>
            </w:r>
          </w:p>
        </w:tc>
        <w:tc>
          <w:tcPr>
            <w:tcW w:w="1060" w:type="dxa"/>
            <w:tcBorders>
              <w:top w:val="nil"/>
              <w:left w:val="nil"/>
              <w:bottom w:val="single" w:sz="4" w:space="0" w:color="auto"/>
              <w:right w:val="single" w:sz="4" w:space="0" w:color="auto"/>
            </w:tcBorders>
            <w:shd w:val="clear" w:color="auto" w:fill="auto"/>
            <w:noWrap/>
            <w:vAlign w:val="bottom"/>
            <w:hideMark/>
          </w:tcPr>
          <w:p w14:paraId="41B10F49"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633.5</w:t>
            </w:r>
          </w:p>
        </w:tc>
        <w:tc>
          <w:tcPr>
            <w:tcW w:w="1120" w:type="dxa"/>
            <w:tcBorders>
              <w:top w:val="nil"/>
              <w:left w:val="nil"/>
              <w:bottom w:val="single" w:sz="4" w:space="0" w:color="auto"/>
              <w:right w:val="single" w:sz="4" w:space="0" w:color="auto"/>
            </w:tcBorders>
            <w:shd w:val="clear" w:color="auto" w:fill="auto"/>
            <w:noWrap/>
            <w:vAlign w:val="bottom"/>
            <w:hideMark/>
          </w:tcPr>
          <w:p w14:paraId="40A4430E"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60" w:type="dxa"/>
            <w:tcBorders>
              <w:top w:val="nil"/>
              <w:left w:val="nil"/>
              <w:bottom w:val="single" w:sz="4" w:space="0" w:color="auto"/>
              <w:right w:val="single" w:sz="4" w:space="0" w:color="auto"/>
            </w:tcBorders>
            <w:shd w:val="clear" w:color="auto" w:fill="auto"/>
            <w:noWrap/>
            <w:vAlign w:val="bottom"/>
            <w:hideMark/>
          </w:tcPr>
          <w:p w14:paraId="78AD3A43"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823.4</w:t>
            </w:r>
          </w:p>
        </w:tc>
        <w:tc>
          <w:tcPr>
            <w:tcW w:w="1120" w:type="dxa"/>
            <w:tcBorders>
              <w:top w:val="nil"/>
              <w:left w:val="nil"/>
              <w:bottom w:val="single" w:sz="4" w:space="0" w:color="auto"/>
              <w:right w:val="single" w:sz="4" w:space="0" w:color="auto"/>
            </w:tcBorders>
            <w:shd w:val="clear" w:color="auto" w:fill="auto"/>
            <w:noWrap/>
            <w:vAlign w:val="bottom"/>
            <w:hideMark/>
          </w:tcPr>
          <w:p w14:paraId="28A115CD"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c>
          <w:tcPr>
            <w:tcW w:w="1000" w:type="dxa"/>
            <w:tcBorders>
              <w:top w:val="nil"/>
              <w:left w:val="nil"/>
              <w:bottom w:val="single" w:sz="4" w:space="0" w:color="auto"/>
              <w:right w:val="single" w:sz="4" w:space="0" w:color="auto"/>
            </w:tcBorders>
            <w:shd w:val="clear" w:color="auto" w:fill="auto"/>
            <w:noWrap/>
            <w:vAlign w:val="bottom"/>
            <w:hideMark/>
          </w:tcPr>
          <w:p w14:paraId="46CE1DE2"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952.1</w:t>
            </w:r>
          </w:p>
        </w:tc>
        <w:tc>
          <w:tcPr>
            <w:tcW w:w="1120" w:type="dxa"/>
            <w:tcBorders>
              <w:top w:val="nil"/>
              <w:left w:val="nil"/>
              <w:bottom w:val="single" w:sz="4" w:space="0" w:color="auto"/>
              <w:right w:val="single" w:sz="4" w:space="0" w:color="auto"/>
            </w:tcBorders>
            <w:shd w:val="clear" w:color="auto" w:fill="auto"/>
            <w:noWrap/>
            <w:vAlign w:val="bottom"/>
            <w:hideMark/>
          </w:tcPr>
          <w:p w14:paraId="6C5D3AB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r>
      <w:tr w:rsidR="007D4001" w:rsidRPr="007D4001" w14:paraId="4923438F"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BF9223F"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IGSS</w:t>
            </w:r>
          </w:p>
        </w:tc>
        <w:tc>
          <w:tcPr>
            <w:tcW w:w="1060" w:type="dxa"/>
            <w:tcBorders>
              <w:top w:val="nil"/>
              <w:left w:val="nil"/>
              <w:bottom w:val="single" w:sz="4" w:space="0" w:color="auto"/>
              <w:right w:val="single" w:sz="4" w:space="0" w:color="auto"/>
            </w:tcBorders>
            <w:shd w:val="clear" w:color="auto" w:fill="auto"/>
            <w:noWrap/>
            <w:vAlign w:val="bottom"/>
            <w:hideMark/>
          </w:tcPr>
          <w:p w14:paraId="0FA3A75A"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1,022.6</w:t>
            </w:r>
          </w:p>
        </w:tc>
        <w:tc>
          <w:tcPr>
            <w:tcW w:w="1120" w:type="dxa"/>
            <w:tcBorders>
              <w:top w:val="nil"/>
              <w:left w:val="nil"/>
              <w:bottom w:val="single" w:sz="4" w:space="0" w:color="auto"/>
              <w:right w:val="single" w:sz="4" w:space="0" w:color="auto"/>
            </w:tcBorders>
            <w:shd w:val="clear" w:color="auto" w:fill="auto"/>
            <w:noWrap/>
            <w:vAlign w:val="bottom"/>
            <w:hideMark/>
          </w:tcPr>
          <w:p w14:paraId="1457E0B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c>
          <w:tcPr>
            <w:tcW w:w="1060" w:type="dxa"/>
            <w:tcBorders>
              <w:top w:val="nil"/>
              <w:left w:val="nil"/>
              <w:bottom w:val="single" w:sz="4" w:space="0" w:color="auto"/>
              <w:right w:val="single" w:sz="4" w:space="0" w:color="auto"/>
            </w:tcBorders>
            <w:shd w:val="clear" w:color="auto" w:fill="auto"/>
            <w:noWrap/>
            <w:vAlign w:val="bottom"/>
            <w:hideMark/>
          </w:tcPr>
          <w:p w14:paraId="0A54AF17"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1,220.0</w:t>
            </w:r>
          </w:p>
        </w:tc>
        <w:tc>
          <w:tcPr>
            <w:tcW w:w="1120" w:type="dxa"/>
            <w:tcBorders>
              <w:top w:val="nil"/>
              <w:left w:val="nil"/>
              <w:bottom w:val="single" w:sz="4" w:space="0" w:color="auto"/>
              <w:right w:val="single" w:sz="4" w:space="0" w:color="auto"/>
            </w:tcBorders>
            <w:shd w:val="clear" w:color="auto" w:fill="auto"/>
            <w:noWrap/>
            <w:vAlign w:val="bottom"/>
            <w:hideMark/>
          </w:tcPr>
          <w:p w14:paraId="6DCDBA54"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c>
          <w:tcPr>
            <w:tcW w:w="1000" w:type="dxa"/>
            <w:tcBorders>
              <w:top w:val="nil"/>
              <w:left w:val="nil"/>
              <w:bottom w:val="single" w:sz="4" w:space="0" w:color="auto"/>
              <w:right w:val="single" w:sz="4" w:space="0" w:color="auto"/>
            </w:tcBorders>
            <w:shd w:val="clear" w:color="auto" w:fill="auto"/>
            <w:noWrap/>
            <w:vAlign w:val="bottom"/>
            <w:hideMark/>
          </w:tcPr>
          <w:p w14:paraId="0872127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1,254.3</w:t>
            </w:r>
          </w:p>
        </w:tc>
        <w:tc>
          <w:tcPr>
            <w:tcW w:w="1120" w:type="dxa"/>
            <w:tcBorders>
              <w:top w:val="nil"/>
              <w:left w:val="nil"/>
              <w:bottom w:val="single" w:sz="4" w:space="0" w:color="auto"/>
              <w:right w:val="single" w:sz="4" w:space="0" w:color="auto"/>
            </w:tcBorders>
            <w:shd w:val="clear" w:color="auto" w:fill="auto"/>
            <w:noWrap/>
            <w:vAlign w:val="bottom"/>
            <w:hideMark/>
          </w:tcPr>
          <w:p w14:paraId="1B3B3314"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r>
      <w:tr w:rsidR="007D4001" w:rsidRPr="007D4001" w14:paraId="3C74E3BF"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8E38EC0"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COG Y CDAG</w:t>
            </w:r>
          </w:p>
        </w:tc>
        <w:tc>
          <w:tcPr>
            <w:tcW w:w="1060" w:type="dxa"/>
            <w:tcBorders>
              <w:top w:val="nil"/>
              <w:left w:val="nil"/>
              <w:bottom w:val="single" w:sz="4" w:space="0" w:color="auto"/>
              <w:right w:val="single" w:sz="4" w:space="0" w:color="auto"/>
            </w:tcBorders>
            <w:shd w:val="clear" w:color="auto" w:fill="auto"/>
            <w:noWrap/>
            <w:vAlign w:val="bottom"/>
            <w:hideMark/>
          </w:tcPr>
          <w:p w14:paraId="7CE858BA"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9.7</w:t>
            </w:r>
          </w:p>
        </w:tc>
        <w:tc>
          <w:tcPr>
            <w:tcW w:w="1120" w:type="dxa"/>
            <w:tcBorders>
              <w:top w:val="nil"/>
              <w:left w:val="nil"/>
              <w:bottom w:val="single" w:sz="4" w:space="0" w:color="auto"/>
              <w:right w:val="single" w:sz="4" w:space="0" w:color="auto"/>
            </w:tcBorders>
            <w:shd w:val="clear" w:color="auto" w:fill="auto"/>
            <w:noWrap/>
            <w:vAlign w:val="bottom"/>
            <w:hideMark/>
          </w:tcPr>
          <w:p w14:paraId="78A0D6DF"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c>
          <w:tcPr>
            <w:tcW w:w="1060" w:type="dxa"/>
            <w:tcBorders>
              <w:top w:val="nil"/>
              <w:left w:val="nil"/>
              <w:bottom w:val="single" w:sz="4" w:space="0" w:color="auto"/>
              <w:right w:val="single" w:sz="4" w:space="0" w:color="auto"/>
            </w:tcBorders>
            <w:shd w:val="clear" w:color="auto" w:fill="auto"/>
            <w:noWrap/>
            <w:vAlign w:val="bottom"/>
            <w:hideMark/>
          </w:tcPr>
          <w:p w14:paraId="4D601A3A"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5.5</w:t>
            </w:r>
          </w:p>
        </w:tc>
        <w:tc>
          <w:tcPr>
            <w:tcW w:w="1120" w:type="dxa"/>
            <w:tcBorders>
              <w:top w:val="nil"/>
              <w:left w:val="nil"/>
              <w:bottom w:val="single" w:sz="4" w:space="0" w:color="auto"/>
              <w:right w:val="single" w:sz="4" w:space="0" w:color="auto"/>
            </w:tcBorders>
            <w:shd w:val="clear" w:color="auto" w:fill="auto"/>
            <w:noWrap/>
            <w:vAlign w:val="bottom"/>
            <w:hideMark/>
          </w:tcPr>
          <w:p w14:paraId="7ADB0E97"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c>
          <w:tcPr>
            <w:tcW w:w="1000" w:type="dxa"/>
            <w:tcBorders>
              <w:top w:val="nil"/>
              <w:left w:val="nil"/>
              <w:bottom w:val="single" w:sz="4" w:space="0" w:color="auto"/>
              <w:right w:val="single" w:sz="4" w:space="0" w:color="auto"/>
            </w:tcBorders>
            <w:shd w:val="clear" w:color="auto" w:fill="auto"/>
            <w:noWrap/>
            <w:vAlign w:val="bottom"/>
            <w:hideMark/>
          </w:tcPr>
          <w:p w14:paraId="40CBA9CC"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9.1</w:t>
            </w:r>
          </w:p>
        </w:tc>
        <w:tc>
          <w:tcPr>
            <w:tcW w:w="1120" w:type="dxa"/>
            <w:tcBorders>
              <w:top w:val="nil"/>
              <w:left w:val="nil"/>
              <w:bottom w:val="single" w:sz="4" w:space="0" w:color="auto"/>
              <w:right w:val="single" w:sz="4" w:space="0" w:color="auto"/>
            </w:tcBorders>
            <w:shd w:val="clear" w:color="auto" w:fill="auto"/>
            <w:noWrap/>
            <w:vAlign w:val="bottom"/>
            <w:hideMark/>
          </w:tcPr>
          <w:p w14:paraId="603DC329"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r>
      <w:tr w:rsidR="007D4001" w:rsidRPr="007D4001" w14:paraId="6613ABDA"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B51E6C8" w14:textId="77777777" w:rsidR="007D4001" w:rsidRPr="007D4001" w:rsidRDefault="007D4001" w:rsidP="007D4001">
            <w:pPr>
              <w:spacing w:after="0" w:line="240" w:lineRule="auto"/>
              <w:rPr>
                <w:rFonts w:ascii="Calibri" w:eastAsia="Times New Roman" w:hAnsi="Calibri" w:cs="Times New Roman"/>
                <w:b/>
                <w:bCs/>
                <w:color w:val="000000"/>
                <w:sz w:val="20"/>
                <w:szCs w:val="20"/>
                <w:lang w:eastAsia="es-GT"/>
              </w:rPr>
            </w:pPr>
            <w:r w:rsidRPr="007D4001">
              <w:rPr>
                <w:rFonts w:ascii="Calibri" w:eastAsia="Times New Roman" w:hAnsi="Calibri" w:cs="Times New Roman"/>
                <w:b/>
                <w:bCs/>
                <w:color w:val="000000"/>
                <w:sz w:val="20"/>
                <w:szCs w:val="20"/>
                <w:lang w:eastAsia="es-GT"/>
              </w:rPr>
              <w:t>II. Leyes ordinarias</w:t>
            </w:r>
          </w:p>
        </w:tc>
        <w:tc>
          <w:tcPr>
            <w:tcW w:w="1060" w:type="dxa"/>
            <w:tcBorders>
              <w:top w:val="nil"/>
              <w:left w:val="nil"/>
              <w:bottom w:val="single" w:sz="4" w:space="0" w:color="auto"/>
              <w:right w:val="single" w:sz="4" w:space="0" w:color="auto"/>
            </w:tcBorders>
            <w:shd w:val="clear" w:color="auto" w:fill="auto"/>
            <w:noWrap/>
            <w:vAlign w:val="bottom"/>
            <w:hideMark/>
          </w:tcPr>
          <w:p w14:paraId="400F830A"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10,374.4</w:t>
            </w:r>
          </w:p>
        </w:tc>
        <w:tc>
          <w:tcPr>
            <w:tcW w:w="1120" w:type="dxa"/>
            <w:tcBorders>
              <w:top w:val="nil"/>
              <w:left w:val="nil"/>
              <w:bottom w:val="single" w:sz="4" w:space="0" w:color="auto"/>
              <w:right w:val="single" w:sz="4" w:space="0" w:color="auto"/>
            </w:tcBorders>
            <w:shd w:val="clear" w:color="auto" w:fill="auto"/>
            <w:noWrap/>
            <w:vAlign w:val="bottom"/>
            <w:hideMark/>
          </w:tcPr>
          <w:p w14:paraId="2E22DE31"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2.3</w:t>
            </w:r>
          </w:p>
        </w:tc>
        <w:tc>
          <w:tcPr>
            <w:tcW w:w="1060" w:type="dxa"/>
            <w:tcBorders>
              <w:top w:val="nil"/>
              <w:left w:val="nil"/>
              <w:bottom w:val="single" w:sz="4" w:space="0" w:color="auto"/>
              <w:right w:val="single" w:sz="4" w:space="0" w:color="auto"/>
            </w:tcBorders>
            <w:shd w:val="clear" w:color="auto" w:fill="auto"/>
            <w:noWrap/>
            <w:vAlign w:val="bottom"/>
            <w:hideMark/>
          </w:tcPr>
          <w:p w14:paraId="0AB2C330"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9,254.6</w:t>
            </w:r>
          </w:p>
        </w:tc>
        <w:tc>
          <w:tcPr>
            <w:tcW w:w="1120" w:type="dxa"/>
            <w:tcBorders>
              <w:top w:val="nil"/>
              <w:left w:val="nil"/>
              <w:bottom w:val="single" w:sz="4" w:space="0" w:color="auto"/>
              <w:right w:val="single" w:sz="4" w:space="0" w:color="auto"/>
            </w:tcBorders>
            <w:shd w:val="clear" w:color="auto" w:fill="auto"/>
            <w:noWrap/>
            <w:vAlign w:val="bottom"/>
            <w:hideMark/>
          </w:tcPr>
          <w:p w14:paraId="06F6C38F"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1.8</w:t>
            </w:r>
          </w:p>
        </w:tc>
        <w:tc>
          <w:tcPr>
            <w:tcW w:w="1000" w:type="dxa"/>
            <w:tcBorders>
              <w:top w:val="nil"/>
              <w:left w:val="nil"/>
              <w:bottom w:val="single" w:sz="4" w:space="0" w:color="auto"/>
              <w:right w:val="single" w:sz="4" w:space="0" w:color="auto"/>
            </w:tcBorders>
            <w:shd w:val="clear" w:color="auto" w:fill="auto"/>
            <w:noWrap/>
            <w:vAlign w:val="bottom"/>
            <w:hideMark/>
          </w:tcPr>
          <w:p w14:paraId="43B9047D"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11,271.0</w:t>
            </w:r>
          </w:p>
        </w:tc>
        <w:tc>
          <w:tcPr>
            <w:tcW w:w="1120" w:type="dxa"/>
            <w:tcBorders>
              <w:top w:val="nil"/>
              <w:left w:val="nil"/>
              <w:bottom w:val="single" w:sz="4" w:space="0" w:color="auto"/>
              <w:right w:val="single" w:sz="4" w:space="0" w:color="auto"/>
            </w:tcBorders>
            <w:shd w:val="clear" w:color="auto" w:fill="auto"/>
            <w:noWrap/>
            <w:vAlign w:val="bottom"/>
            <w:hideMark/>
          </w:tcPr>
          <w:p w14:paraId="2BEE0A73" w14:textId="77777777" w:rsidR="007D4001" w:rsidRPr="007D4001" w:rsidRDefault="007D4001" w:rsidP="007D4001">
            <w:pPr>
              <w:spacing w:after="0" w:line="240" w:lineRule="auto"/>
              <w:jc w:val="right"/>
              <w:rPr>
                <w:rFonts w:ascii="Calibri" w:eastAsia="Times New Roman" w:hAnsi="Calibri" w:cs="Times New Roman"/>
                <w:b/>
                <w:bCs/>
                <w:color w:val="000000"/>
                <w:sz w:val="18"/>
                <w:szCs w:val="18"/>
                <w:lang w:eastAsia="es-GT"/>
              </w:rPr>
            </w:pPr>
            <w:r w:rsidRPr="007D4001">
              <w:rPr>
                <w:rFonts w:ascii="Calibri" w:eastAsia="Times New Roman" w:hAnsi="Calibri" w:cs="Times New Roman"/>
                <w:b/>
                <w:bCs/>
                <w:color w:val="000000"/>
                <w:sz w:val="18"/>
                <w:szCs w:val="18"/>
                <w:lang w:eastAsia="es-GT"/>
              </w:rPr>
              <w:t>1.9</w:t>
            </w:r>
          </w:p>
        </w:tc>
      </w:tr>
      <w:tr w:rsidR="007D4001" w:rsidRPr="007D4001" w14:paraId="5440C81A"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BB4AE61"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Beneficiarios D 29-89*</w:t>
            </w:r>
          </w:p>
        </w:tc>
        <w:tc>
          <w:tcPr>
            <w:tcW w:w="1060" w:type="dxa"/>
            <w:tcBorders>
              <w:top w:val="nil"/>
              <w:left w:val="nil"/>
              <w:bottom w:val="single" w:sz="4" w:space="0" w:color="auto"/>
              <w:right w:val="single" w:sz="4" w:space="0" w:color="auto"/>
            </w:tcBorders>
            <w:shd w:val="clear" w:color="auto" w:fill="auto"/>
            <w:noWrap/>
            <w:vAlign w:val="bottom"/>
            <w:hideMark/>
          </w:tcPr>
          <w:p w14:paraId="7D926D17"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1,938.0</w:t>
            </w:r>
          </w:p>
        </w:tc>
        <w:tc>
          <w:tcPr>
            <w:tcW w:w="1120" w:type="dxa"/>
            <w:tcBorders>
              <w:top w:val="nil"/>
              <w:left w:val="nil"/>
              <w:bottom w:val="single" w:sz="4" w:space="0" w:color="auto"/>
              <w:right w:val="single" w:sz="4" w:space="0" w:color="auto"/>
            </w:tcBorders>
            <w:shd w:val="clear" w:color="auto" w:fill="auto"/>
            <w:noWrap/>
            <w:vAlign w:val="bottom"/>
            <w:hideMark/>
          </w:tcPr>
          <w:p w14:paraId="757011D9"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0.4</w:t>
            </w:r>
          </w:p>
        </w:tc>
        <w:tc>
          <w:tcPr>
            <w:tcW w:w="1060" w:type="dxa"/>
            <w:tcBorders>
              <w:top w:val="nil"/>
              <w:left w:val="nil"/>
              <w:bottom w:val="single" w:sz="4" w:space="0" w:color="auto"/>
              <w:right w:val="single" w:sz="4" w:space="0" w:color="auto"/>
            </w:tcBorders>
            <w:shd w:val="clear" w:color="auto" w:fill="auto"/>
            <w:noWrap/>
            <w:vAlign w:val="bottom"/>
            <w:hideMark/>
          </w:tcPr>
          <w:p w14:paraId="6769B3D5"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965.5</w:t>
            </w:r>
          </w:p>
        </w:tc>
        <w:tc>
          <w:tcPr>
            <w:tcW w:w="1120" w:type="dxa"/>
            <w:tcBorders>
              <w:top w:val="nil"/>
              <w:left w:val="nil"/>
              <w:bottom w:val="single" w:sz="4" w:space="0" w:color="auto"/>
              <w:right w:val="single" w:sz="4" w:space="0" w:color="auto"/>
            </w:tcBorders>
            <w:shd w:val="clear" w:color="auto" w:fill="auto"/>
            <w:noWrap/>
            <w:vAlign w:val="bottom"/>
            <w:hideMark/>
          </w:tcPr>
          <w:p w14:paraId="5D24D1E9"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c>
          <w:tcPr>
            <w:tcW w:w="1000" w:type="dxa"/>
            <w:tcBorders>
              <w:top w:val="nil"/>
              <w:left w:val="nil"/>
              <w:bottom w:val="single" w:sz="4" w:space="0" w:color="auto"/>
              <w:right w:val="single" w:sz="4" w:space="0" w:color="auto"/>
            </w:tcBorders>
            <w:shd w:val="clear" w:color="auto" w:fill="auto"/>
            <w:noWrap/>
            <w:vAlign w:val="bottom"/>
            <w:hideMark/>
          </w:tcPr>
          <w:p w14:paraId="6895C82F"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905.4</w:t>
            </w:r>
          </w:p>
        </w:tc>
        <w:tc>
          <w:tcPr>
            <w:tcW w:w="1120" w:type="dxa"/>
            <w:tcBorders>
              <w:top w:val="nil"/>
              <w:left w:val="nil"/>
              <w:bottom w:val="single" w:sz="4" w:space="0" w:color="auto"/>
              <w:right w:val="single" w:sz="4" w:space="0" w:color="auto"/>
            </w:tcBorders>
            <w:shd w:val="clear" w:color="auto" w:fill="auto"/>
            <w:noWrap/>
            <w:vAlign w:val="bottom"/>
            <w:hideMark/>
          </w:tcPr>
          <w:p w14:paraId="552DAC8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r>
      <w:tr w:rsidR="007D4001" w:rsidRPr="007D4001" w14:paraId="44E8238F"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4498076"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Beneficiarios D 65-89*</w:t>
            </w:r>
          </w:p>
        </w:tc>
        <w:tc>
          <w:tcPr>
            <w:tcW w:w="1060" w:type="dxa"/>
            <w:tcBorders>
              <w:top w:val="nil"/>
              <w:left w:val="nil"/>
              <w:bottom w:val="single" w:sz="4" w:space="0" w:color="auto"/>
              <w:right w:val="single" w:sz="4" w:space="0" w:color="auto"/>
            </w:tcBorders>
            <w:shd w:val="clear" w:color="auto" w:fill="auto"/>
            <w:noWrap/>
            <w:vAlign w:val="bottom"/>
            <w:hideMark/>
          </w:tcPr>
          <w:p w14:paraId="22D201BD"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307.0</w:t>
            </w:r>
          </w:p>
        </w:tc>
        <w:tc>
          <w:tcPr>
            <w:tcW w:w="1120" w:type="dxa"/>
            <w:tcBorders>
              <w:top w:val="nil"/>
              <w:left w:val="nil"/>
              <w:bottom w:val="single" w:sz="4" w:space="0" w:color="auto"/>
              <w:right w:val="single" w:sz="4" w:space="0" w:color="auto"/>
            </w:tcBorders>
            <w:shd w:val="clear" w:color="auto" w:fill="auto"/>
            <w:noWrap/>
            <w:vAlign w:val="bottom"/>
            <w:hideMark/>
          </w:tcPr>
          <w:p w14:paraId="6D998573"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60" w:type="dxa"/>
            <w:tcBorders>
              <w:top w:val="nil"/>
              <w:left w:val="nil"/>
              <w:bottom w:val="single" w:sz="4" w:space="0" w:color="auto"/>
              <w:right w:val="single" w:sz="4" w:space="0" w:color="auto"/>
            </w:tcBorders>
            <w:shd w:val="clear" w:color="auto" w:fill="auto"/>
            <w:noWrap/>
            <w:vAlign w:val="bottom"/>
            <w:hideMark/>
          </w:tcPr>
          <w:p w14:paraId="35A18C2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152.8</w:t>
            </w:r>
          </w:p>
        </w:tc>
        <w:tc>
          <w:tcPr>
            <w:tcW w:w="1120" w:type="dxa"/>
            <w:tcBorders>
              <w:top w:val="nil"/>
              <w:left w:val="nil"/>
              <w:bottom w:val="single" w:sz="4" w:space="0" w:color="auto"/>
              <w:right w:val="single" w:sz="4" w:space="0" w:color="auto"/>
            </w:tcBorders>
            <w:shd w:val="clear" w:color="auto" w:fill="auto"/>
            <w:noWrap/>
            <w:vAlign w:val="bottom"/>
            <w:hideMark/>
          </w:tcPr>
          <w:p w14:paraId="118AAC4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c>
          <w:tcPr>
            <w:tcW w:w="1000" w:type="dxa"/>
            <w:tcBorders>
              <w:top w:val="nil"/>
              <w:left w:val="nil"/>
              <w:bottom w:val="single" w:sz="4" w:space="0" w:color="auto"/>
              <w:right w:val="single" w:sz="4" w:space="0" w:color="auto"/>
            </w:tcBorders>
            <w:shd w:val="clear" w:color="auto" w:fill="auto"/>
            <w:noWrap/>
            <w:vAlign w:val="bottom"/>
            <w:hideMark/>
          </w:tcPr>
          <w:p w14:paraId="10000027"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137.3</w:t>
            </w:r>
          </w:p>
        </w:tc>
        <w:tc>
          <w:tcPr>
            <w:tcW w:w="1120" w:type="dxa"/>
            <w:tcBorders>
              <w:top w:val="nil"/>
              <w:left w:val="nil"/>
              <w:bottom w:val="single" w:sz="4" w:space="0" w:color="auto"/>
              <w:right w:val="single" w:sz="4" w:space="0" w:color="auto"/>
            </w:tcBorders>
            <w:shd w:val="clear" w:color="auto" w:fill="auto"/>
            <w:noWrap/>
            <w:vAlign w:val="bottom"/>
            <w:hideMark/>
          </w:tcPr>
          <w:p w14:paraId="6B12A245"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r>
      <w:tr w:rsidR="007D4001" w:rsidRPr="007D4001" w14:paraId="3F3E738F"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8A8ED68"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Actividades mercantiles</w:t>
            </w:r>
          </w:p>
        </w:tc>
        <w:tc>
          <w:tcPr>
            <w:tcW w:w="1060" w:type="dxa"/>
            <w:tcBorders>
              <w:top w:val="nil"/>
              <w:left w:val="nil"/>
              <w:bottom w:val="single" w:sz="4" w:space="0" w:color="auto"/>
              <w:right w:val="single" w:sz="4" w:space="0" w:color="auto"/>
            </w:tcBorders>
            <w:shd w:val="clear" w:color="auto" w:fill="auto"/>
            <w:noWrap/>
            <w:vAlign w:val="bottom"/>
            <w:hideMark/>
          </w:tcPr>
          <w:p w14:paraId="23A87B0F"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1,340.7</w:t>
            </w:r>
          </w:p>
        </w:tc>
        <w:tc>
          <w:tcPr>
            <w:tcW w:w="1120" w:type="dxa"/>
            <w:tcBorders>
              <w:top w:val="nil"/>
              <w:left w:val="nil"/>
              <w:bottom w:val="single" w:sz="4" w:space="0" w:color="auto"/>
              <w:right w:val="single" w:sz="4" w:space="0" w:color="auto"/>
            </w:tcBorders>
            <w:shd w:val="clear" w:color="auto" w:fill="auto"/>
            <w:noWrap/>
            <w:vAlign w:val="bottom"/>
            <w:hideMark/>
          </w:tcPr>
          <w:p w14:paraId="1185C4D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0.3</w:t>
            </w:r>
          </w:p>
        </w:tc>
        <w:tc>
          <w:tcPr>
            <w:tcW w:w="1060" w:type="dxa"/>
            <w:tcBorders>
              <w:top w:val="nil"/>
              <w:left w:val="nil"/>
              <w:bottom w:val="single" w:sz="4" w:space="0" w:color="auto"/>
              <w:right w:val="single" w:sz="4" w:space="0" w:color="auto"/>
            </w:tcBorders>
            <w:shd w:val="clear" w:color="auto" w:fill="auto"/>
            <w:noWrap/>
            <w:vAlign w:val="bottom"/>
            <w:hideMark/>
          </w:tcPr>
          <w:p w14:paraId="53DD5681"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1,043.2</w:t>
            </w:r>
          </w:p>
        </w:tc>
        <w:tc>
          <w:tcPr>
            <w:tcW w:w="1120" w:type="dxa"/>
            <w:tcBorders>
              <w:top w:val="nil"/>
              <w:left w:val="nil"/>
              <w:bottom w:val="single" w:sz="4" w:space="0" w:color="auto"/>
              <w:right w:val="single" w:sz="4" w:space="0" w:color="auto"/>
            </w:tcBorders>
            <w:shd w:val="clear" w:color="auto" w:fill="auto"/>
            <w:noWrap/>
            <w:vAlign w:val="bottom"/>
            <w:hideMark/>
          </w:tcPr>
          <w:p w14:paraId="6D4C6A01"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c>
          <w:tcPr>
            <w:tcW w:w="1000" w:type="dxa"/>
            <w:tcBorders>
              <w:top w:val="nil"/>
              <w:left w:val="nil"/>
              <w:bottom w:val="single" w:sz="4" w:space="0" w:color="auto"/>
              <w:right w:val="single" w:sz="4" w:space="0" w:color="auto"/>
            </w:tcBorders>
            <w:shd w:val="clear" w:color="auto" w:fill="auto"/>
            <w:noWrap/>
            <w:vAlign w:val="bottom"/>
            <w:hideMark/>
          </w:tcPr>
          <w:p w14:paraId="278B8BB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1,550.4</w:t>
            </w:r>
          </w:p>
        </w:tc>
        <w:tc>
          <w:tcPr>
            <w:tcW w:w="1120" w:type="dxa"/>
            <w:tcBorders>
              <w:top w:val="nil"/>
              <w:left w:val="nil"/>
              <w:bottom w:val="single" w:sz="4" w:space="0" w:color="auto"/>
              <w:right w:val="single" w:sz="4" w:space="0" w:color="auto"/>
            </w:tcBorders>
            <w:shd w:val="clear" w:color="auto" w:fill="auto"/>
            <w:noWrap/>
            <w:vAlign w:val="bottom"/>
            <w:hideMark/>
          </w:tcPr>
          <w:p w14:paraId="2F7BE64A"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0.3</w:t>
            </w:r>
          </w:p>
        </w:tc>
      </w:tr>
      <w:tr w:rsidR="007D4001" w:rsidRPr="007D4001" w14:paraId="3683CEE5"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9E40426"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Iglesias</w:t>
            </w:r>
          </w:p>
        </w:tc>
        <w:tc>
          <w:tcPr>
            <w:tcW w:w="1060" w:type="dxa"/>
            <w:tcBorders>
              <w:top w:val="nil"/>
              <w:left w:val="nil"/>
              <w:bottom w:val="single" w:sz="4" w:space="0" w:color="auto"/>
              <w:right w:val="single" w:sz="4" w:space="0" w:color="auto"/>
            </w:tcBorders>
            <w:shd w:val="clear" w:color="auto" w:fill="auto"/>
            <w:noWrap/>
            <w:vAlign w:val="bottom"/>
            <w:hideMark/>
          </w:tcPr>
          <w:p w14:paraId="1B7FFF6C"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89.3</w:t>
            </w:r>
          </w:p>
        </w:tc>
        <w:tc>
          <w:tcPr>
            <w:tcW w:w="1120" w:type="dxa"/>
            <w:tcBorders>
              <w:top w:val="nil"/>
              <w:left w:val="nil"/>
              <w:bottom w:val="single" w:sz="4" w:space="0" w:color="auto"/>
              <w:right w:val="single" w:sz="4" w:space="0" w:color="auto"/>
            </w:tcBorders>
            <w:shd w:val="clear" w:color="auto" w:fill="auto"/>
            <w:noWrap/>
            <w:vAlign w:val="bottom"/>
            <w:hideMark/>
          </w:tcPr>
          <w:p w14:paraId="18768F01"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c>
          <w:tcPr>
            <w:tcW w:w="1060" w:type="dxa"/>
            <w:tcBorders>
              <w:top w:val="nil"/>
              <w:left w:val="nil"/>
              <w:bottom w:val="single" w:sz="4" w:space="0" w:color="auto"/>
              <w:right w:val="single" w:sz="4" w:space="0" w:color="auto"/>
            </w:tcBorders>
            <w:shd w:val="clear" w:color="auto" w:fill="auto"/>
            <w:noWrap/>
            <w:vAlign w:val="bottom"/>
            <w:hideMark/>
          </w:tcPr>
          <w:p w14:paraId="1758D8C1"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62.4</w:t>
            </w:r>
          </w:p>
        </w:tc>
        <w:tc>
          <w:tcPr>
            <w:tcW w:w="1120" w:type="dxa"/>
            <w:tcBorders>
              <w:top w:val="nil"/>
              <w:left w:val="nil"/>
              <w:bottom w:val="single" w:sz="4" w:space="0" w:color="auto"/>
              <w:right w:val="single" w:sz="4" w:space="0" w:color="auto"/>
            </w:tcBorders>
            <w:shd w:val="clear" w:color="auto" w:fill="auto"/>
            <w:noWrap/>
            <w:vAlign w:val="bottom"/>
            <w:hideMark/>
          </w:tcPr>
          <w:p w14:paraId="46803137"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c>
          <w:tcPr>
            <w:tcW w:w="1000" w:type="dxa"/>
            <w:tcBorders>
              <w:top w:val="nil"/>
              <w:left w:val="nil"/>
              <w:bottom w:val="single" w:sz="4" w:space="0" w:color="auto"/>
              <w:right w:val="single" w:sz="4" w:space="0" w:color="auto"/>
            </w:tcBorders>
            <w:shd w:val="clear" w:color="auto" w:fill="auto"/>
            <w:noWrap/>
            <w:vAlign w:val="bottom"/>
            <w:hideMark/>
          </w:tcPr>
          <w:p w14:paraId="3EECE14C"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57.7</w:t>
            </w:r>
          </w:p>
        </w:tc>
        <w:tc>
          <w:tcPr>
            <w:tcW w:w="1120" w:type="dxa"/>
            <w:tcBorders>
              <w:top w:val="nil"/>
              <w:left w:val="nil"/>
              <w:bottom w:val="single" w:sz="4" w:space="0" w:color="auto"/>
              <w:right w:val="single" w:sz="4" w:space="0" w:color="auto"/>
            </w:tcBorders>
            <w:shd w:val="clear" w:color="auto" w:fill="auto"/>
            <w:noWrap/>
            <w:vAlign w:val="bottom"/>
            <w:hideMark/>
          </w:tcPr>
          <w:p w14:paraId="208C040B"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r>
      <w:tr w:rsidR="007D4001" w:rsidRPr="007D4001" w14:paraId="3F898D92" w14:textId="77777777" w:rsidTr="007D4001">
        <w:trPr>
          <w:trHeight w:val="52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9A50A2B"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Instituciones de asistencia social</w:t>
            </w:r>
          </w:p>
        </w:tc>
        <w:tc>
          <w:tcPr>
            <w:tcW w:w="1060" w:type="dxa"/>
            <w:tcBorders>
              <w:top w:val="nil"/>
              <w:left w:val="nil"/>
              <w:bottom w:val="single" w:sz="4" w:space="0" w:color="auto"/>
              <w:right w:val="single" w:sz="4" w:space="0" w:color="auto"/>
            </w:tcBorders>
            <w:shd w:val="clear" w:color="auto" w:fill="auto"/>
            <w:noWrap/>
            <w:vAlign w:val="bottom"/>
            <w:hideMark/>
          </w:tcPr>
          <w:p w14:paraId="4B8411CD"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846.9</w:t>
            </w:r>
          </w:p>
        </w:tc>
        <w:tc>
          <w:tcPr>
            <w:tcW w:w="1120" w:type="dxa"/>
            <w:tcBorders>
              <w:top w:val="nil"/>
              <w:left w:val="nil"/>
              <w:bottom w:val="single" w:sz="4" w:space="0" w:color="auto"/>
              <w:right w:val="single" w:sz="4" w:space="0" w:color="auto"/>
            </w:tcBorders>
            <w:shd w:val="clear" w:color="auto" w:fill="auto"/>
            <w:noWrap/>
            <w:vAlign w:val="bottom"/>
            <w:hideMark/>
          </w:tcPr>
          <w:p w14:paraId="24ABBAD1"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c>
          <w:tcPr>
            <w:tcW w:w="1060" w:type="dxa"/>
            <w:tcBorders>
              <w:top w:val="nil"/>
              <w:left w:val="nil"/>
              <w:bottom w:val="single" w:sz="4" w:space="0" w:color="auto"/>
              <w:right w:val="single" w:sz="4" w:space="0" w:color="auto"/>
            </w:tcBorders>
            <w:shd w:val="clear" w:color="auto" w:fill="auto"/>
            <w:noWrap/>
            <w:vAlign w:val="bottom"/>
            <w:hideMark/>
          </w:tcPr>
          <w:p w14:paraId="6B2AB97E"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995.0</w:t>
            </w:r>
          </w:p>
        </w:tc>
        <w:tc>
          <w:tcPr>
            <w:tcW w:w="1120" w:type="dxa"/>
            <w:tcBorders>
              <w:top w:val="nil"/>
              <w:left w:val="nil"/>
              <w:bottom w:val="single" w:sz="4" w:space="0" w:color="auto"/>
              <w:right w:val="single" w:sz="4" w:space="0" w:color="auto"/>
            </w:tcBorders>
            <w:shd w:val="clear" w:color="auto" w:fill="auto"/>
            <w:noWrap/>
            <w:vAlign w:val="bottom"/>
            <w:hideMark/>
          </w:tcPr>
          <w:p w14:paraId="611B013F"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c>
          <w:tcPr>
            <w:tcW w:w="1000" w:type="dxa"/>
            <w:tcBorders>
              <w:top w:val="nil"/>
              <w:left w:val="nil"/>
              <w:bottom w:val="single" w:sz="4" w:space="0" w:color="auto"/>
              <w:right w:val="single" w:sz="4" w:space="0" w:color="auto"/>
            </w:tcBorders>
            <w:shd w:val="clear" w:color="auto" w:fill="auto"/>
            <w:noWrap/>
            <w:vAlign w:val="bottom"/>
            <w:hideMark/>
          </w:tcPr>
          <w:p w14:paraId="640BAC12"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1,117.7</w:t>
            </w:r>
          </w:p>
        </w:tc>
        <w:tc>
          <w:tcPr>
            <w:tcW w:w="1120" w:type="dxa"/>
            <w:tcBorders>
              <w:top w:val="nil"/>
              <w:left w:val="nil"/>
              <w:bottom w:val="single" w:sz="4" w:space="0" w:color="auto"/>
              <w:right w:val="single" w:sz="4" w:space="0" w:color="auto"/>
            </w:tcBorders>
            <w:shd w:val="clear" w:color="auto" w:fill="auto"/>
            <w:noWrap/>
            <w:vAlign w:val="bottom"/>
            <w:hideMark/>
          </w:tcPr>
          <w:p w14:paraId="2ED514BE"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0.2</w:t>
            </w:r>
          </w:p>
        </w:tc>
      </w:tr>
      <w:tr w:rsidR="007D4001" w:rsidRPr="007D4001" w14:paraId="63B2CE7B" w14:textId="77777777" w:rsidTr="007D4001">
        <w:trPr>
          <w:trHeight w:val="52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B08FDFF"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Generación de energía eléctrica</w:t>
            </w:r>
          </w:p>
        </w:tc>
        <w:tc>
          <w:tcPr>
            <w:tcW w:w="1060" w:type="dxa"/>
            <w:tcBorders>
              <w:top w:val="nil"/>
              <w:left w:val="nil"/>
              <w:bottom w:val="single" w:sz="4" w:space="0" w:color="auto"/>
              <w:right w:val="single" w:sz="4" w:space="0" w:color="auto"/>
            </w:tcBorders>
            <w:shd w:val="clear" w:color="auto" w:fill="auto"/>
            <w:noWrap/>
            <w:vAlign w:val="bottom"/>
            <w:hideMark/>
          </w:tcPr>
          <w:p w14:paraId="4304DEF4"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257.9</w:t>
            </w:r>
          </w:p>
        </w:tc>
        <w:tc>
          <w:tcPr>
            <w:tcW w:w="1120" w:type="dxa"/>
            <w:tcBorders>
              <w:top w:val="nil"/>
              <w:left w:val="nil"/>
              <w:bottom w:val="single" w:sz="4" w:space="0" w:color="auto"/>
              <w:right w:val="single" w:sz="4" w:space="0" w:color="auto"/>
            </w:tcBorders>
            <w:shd w:val="clear" w:color="auto" w:fill="auto"/>
            <w:noWrap/>
            <w:vAlign w:val="bottom"/>
            <w:hideMark/>
          </w:tcPr>
          <w:p w14:paraId="2CE9FCC6"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60" w:type="dxa"/>
            <w:tcBorders>
              <w:top w:val="nil"/>
              <w:left w:val="nil"/>
              <w:bottom w:val="single" w:sz="4" w:space="0" w:color="auto"/>
              <w:right w:val="single" w:sz="4" w:space="0" w:color="auto"/>
            </w:tcBorders>
            <w:shd w:val="clear" w:color="auto" w:fill="auto"/>
            <w:noWrap/>
            <w:vAlign w:val="bottom"/>
            <w:hideMark/>
          </w:tcPr>
          <w:p w14:paraId="2793125F"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83.8</w:t>
            </w:r>
          </w:p>
        </w:tc>
        <w:tc>
          <w:tcPr>
            <w:tcW w:w="1120" w:type="dxa"/>
            <w:tcBorders>
              <w:top w:val="nil"/>
              <w:left w:val="nil"/>
              <w:bottom w:val="single" w:sz="4" w:space="0" w:color="auto"/>
              <w:right w:val="single" w:sz="4" w:space="0" w:color="auto"/>
            </w:tcBorders>
            <w:shd w:val="clear" w:color="auto" w:fill="auto"/>
            <w:noWrap/>
            <w:vAlign w:val="bottom"/>
            <w:hideMark/>
          </w:tcPr>
          <w:p w14:paraId="50348334"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c>
          <w:tcPr>
            <w:tcW w:w="1000" w:type="dxa"/>
            <w:tcBorders>
              <w:top w:val="nil"/>
              <w:left w:val="nil"/>
              <w:bottom w:val="single" w:sz="4" w:space="0" w:color="auto"/>
              <w:right w:val="single" w:sz="4" w:space="0" w:color="auto"/>
            </w:tcBorders>
            <w:shd w:val="clear" w:color="auto" w:fill="auto"/>
            <w:noWrap/>
            <w:vAlign w:val="bottom"/>
            <w:hideMark/>
          </w:tcPr>
          <w:p w14:paraId="099A40AE"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128.0</w:t>
            </w:r>
          </w:p>
        </w:tc>
        <w:tc>
          <w:tcPr>
            <w:tcW w:w="1120" w:type="dxa"/>
            <w:tcBorders>
              <w:top w:val="nil"/>
              <w:left w:val="nil"/>
              <w:bottom w:val="single" w:sz="4" w:space="0" w:color="auto"/>
              <w:right w:val="single" w:sz="4" w:space="0" w:color="auto"/>
            </w:tcBorders>
            <w:shd w:val="clear" w:color="auto" w:fill="auto"/>
            <w:noWrap/>
            <w:vAlign w:val="bottom"/>
            <w:hideMark/>
          </w:tcPr>
          <w:p w14:paraId="7DAFFE11"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0.0</w:t>
            </w:r>
          </w:p>
        </w:tc>
      </w:tr>
      <w:tr w:rsidR="007D4001" w:rsidRPr="007D4001" w14:paraId="3DF2AA9B" w14:textId="77777777" w:rsidTr="007D4001">
        <w:trPr>
          <w:trHeight w:val="52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DA82BB5"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Empleados en relación de dependencia</w:t>
            </w:r>
          </w:p>
        </w:tc>
        <w:tc>
          <w:tcPr>
            <w:tcW w:w="1060" w:type="dxa"/>
            <w:tcBorders>
              <w:top w:val="nil"/>
              <w:left w:val="nil"/>
              <w:bottom w:val="single" w:sz="4" w:space="0" w:color="auto"/>
              <w:right w:val="single" w:sz="4" w:space="0" w:color="auto"/>
            </w:tcBorders>
            <w:shd w:val="clear" w:color="auto" w:fill="auto"/>
            <w:noWrap/>
            <w:vAlign w:val="bottom"/>
            <w:hideMark/>
          </w:tcPr>
          <w:p w14:paraId="17A1B59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444.0</w:t>
            </w:r>
          </w:p>
        </w:tc>
        <w:tc>
          <w:tcPr>
            <w:tcW w:w="1120" w:type="dxa"/>
            <w:tcBorders>
              <w:top w:val="nil"/>
              <w:left w:val="nil"/>
              <w:bottom w:val="single" w:sz="4" w:space="0" w:color="auto"/>
              <w:right w:val="single" w:sz="4" w:space="0" w:color="auto"/>
            </w:tcBorders>
            <w:shd w:val="clear" w:color="auto" w:fill="auto"/>
            <w:noWrap/>
            <w:vAlign w:val="bottom"/>
            <w:hideMark/>
          </w:tcPr>
          <w:p w14:paraId="31C03ED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60" w:type="dxa"/>
            <w:tcBorders>
              <w:top w:val="nil"/>
              <w:left w:val="nil"/>
              <w:bottom w:val="single" w:sz="4" w:space="0" w:color="auto"/>
              <w:right w:val="single" w:sz="4" w:space="0" w:color="auto"/>
            </w:tcBorders>
            <w:shd w:val="clear" w:color="auto" w:fill="auto"/>
            <w:noWrap/>
            <w:vAlign w:val="bottom"/>
            <w:hideMark/>
          </w:tcPr>
          <w:p w14:paraId="3737A7E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486.0</w:t>
            </w:r>
          </w:p>
        </w:tc>
        <w:tc>
          <w:tcPr>
            <w:tcW w:w="1120" w:type="dxa"/>
            <w:tcBorders>
              <w:top w:val="nil"/>
              <w:left w:val="nil"/>
              <w:bottom w:val="single" w:sz="4" w:space="0" w:color="auto"/>
              <w:right w:val="single" w:sz="4" w:space="0" w:color="auto"/>
            </w:tcBorders>
            <w:shd w:val="clear" w:color="auto" w:fill="auto"/>
            <w:noWrap/>
            <w:vAlign w:val="bottom"/>
            <w:hideMark/>
          </w:tcPr>
          <w:p w14:paraId="6D313509"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00" w:type="dxa"/>
            <w:tcBorders>
              <w:top w:val="nil"/>
              <w:left w:val="nil"/>
              <w:bottom w:val="single" w:sz="4" w:space="0" w:color="auto"/>
              <w:right w:val="single" w:sz="4" w:space="0" w:color="auto"/>
            </w:tcBorders>
            <w:shd w:val="clear" w:color="auto" w:fill="auto"/>
            <w:noWrap/>
            <w:vAlign w:val="bottom"/>
            <w:hideMark/>
          </w:tcPr>
          <w:p w14:paraId="13CC9E99"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618.5</w:t>
            </w:r>
          </w:p>
        </w:tc>
        <w:tc>
          <w:tcPr>
            <w:tcW w:w="1120" w:type="dxa"/>
            <w:tcBorders>
              <w:top w:val="nil"/>
              <w:left w:val="nil"/>
              <w:bottom w:val="single" w:sz="4" w:space="0" w:color="auto"/>
              <w:right w:val="single" w:sz="4" w:space="0" w:color="auto"/>
            </w:tcBorders>
            <w:shd w:val="clear" w:color="auto" w:fill="auto"/>
            <w:noWrap/>
            <w:vAlign w:val="bottom"/>
            <w:hideMark/>
          </w:tcPr>
          <w:p w14:paraId="2BECFEAB"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r>
      <w:tr w:rsidR="007D4001" w:rsidRPr="007D4001" w14:paraId="23681120" w14:textId="77777777" w:rsidTr="007D4001">
        <w:trPr>
          <w:trHeight w:val="52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2187D6E6"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Personas individuales, familias</w:t>
            </w:r>
          </w:p>
        </w:tc>
        <w:tc>
          <w:tcPr>
            <w:tcW w:w="1060" w:type="dxa"/>
            <w:tcBorders>
              <w:top w:val="nil"/>
              <w:left w:val="nil"/>
              <w:bottom w:val="single" w:sz="4" w:space="0" w:color="auto"/>
              <w:right w:val="single" w:sz="4" w:space="0" w:color="auto"/>
            </w:tcBorders>
            <w:shd w:val="clear" w:color="auto" w:fill="auto"/>
            <w:noWrap/>
            <w:vAlign w:val="bottom"/>
            <w:hideMark/>
          </w:tcPr>
          <w:p w14:paraId="734C002E"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3,200.7</w:t>
            </w:r>
          </w:p>
        </w:tc>
        <w:tc>
          <w:tcPr>
            <w:tcW w:w="1120" w:type="dxa"/>
            <w:tcBorders>
              <w:top w:val="nil"/>
              <w:left w:val="nil"/>
              <w:bottom w:val="single" w:sz="4" w:space="0" w:color="auto"/>
              <w:right w:val="single" w:sz="4" w:space="0" w:color="auto"/>
            </w:tcBorders>
            <w:shd w:val="clear" w:color="auto" w:fill="auto"/>
            <w:noWrap/>
            <w:vAlign w:val="bottom"/>
            <w:hideMark/>
          </w:tcPr>
          <w:p w14:paraId="45AFE19E"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0.7</w:t>
            </w:r>
          </w:p>
        </w:tc>
        <w:tc>
          <w:tcPr>
            <w:tcW w:w="1060" w:type="dxa"/>
            <w:tcBorders>
              <w:top w:val="nil"/>
              <w:left w:val="nil"/>
              <w:bottom w:val="single" w:sz="4" w:space="0" w:color="auto"/>
              <w:right w:val="single" w:sz="4" w:space="0" w:color="auto"/>
            </w:tcBorders>
            <w:shd w:val="clear" w:color="auto" w:fill="auto"/>
            <w:noWrap/>
            <w:vAlign w:val="bottom"/>
            <w:hideMark/>
          </w:tcPr>
          <w:p w14:paraId="076F3C73"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3,403.3</w:t>
            </w:r>
          </w:p>
        </w:tc>
        <w:tc>
          <w:tcPr>
            <w:tcW w:w="1120" w:type="dxa"/>
            <w:tcBorders>
              <w:top w:val="nil"/>
              <w:left w:val="nil"/>
              <w:bottom w:val="single" w:sz="4" w:space="0" w:color="auto"/>
              <w:right w:val="single" w:sz="4" w:space="0" w:color="auto"/>
            </w:tcBorders>
            <w:shd w:val="clear" w:color="auto" w:fill="auto"/>
            <w:noWrap/>
            <w:vAlign w:val="bottom"/>
            <w:hideMark/>
          </w:tcPr>
          <w:p w14:paraId="516EB74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0.7</w:t>
            </w:r>
          </w:p>
        </w:tc>
        <w:tc>
          <w:tcPr>
            <w:tcW w:w="1000" w:type="dxa"/>
            <w:tcBorders>
              <w:top w:val="nil"/>
              <w:left w:val="nil"/>
              <w:bottom w:val="single" w:sz="4" w:space="0" w:color="auto"/>
              <w:right w:val="single" w:sz="4" w:space="0" w:color="auto"/>
            </w:tcBorders>
            <w:shd w:val="clear" w:color="auto" w:fill="auto"/>
            <w:noWrap/>
            <w:vAlign w:val="bottom"/>
            <w:hideMark/>
          </w:tcPr>
          <w:p w14:paraId="1F7A2524"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3,845.4</w:t>
            </w:r>
          </w:p>
        </w:tc>
        <w:tc>
          <w:tcPr>
            <w:tcW w:w="1120" w:type="dxa"/>
            <w:tcBorders>
              <w:top w:val="nil"/>
              <w:left w:val="nil"/>
              <w:bottom w:val="single" w:sz="4" w:space="0" w:color="auto"/>
              <w:right w:val="single" w:sz="4" w:space="0" w:color="auto"/>
            </w:tcBorders>
            <w:shd w:val="clear" w:color="auto" w:fill="auto"/>
            <w:noWrap/>
            <w:vAlign w:val="bottom"/>
            <w:hideMark/>
          </w:tcPr>
          <w:p w14:paraId="2BEFA3B5"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0.7</w:t>
            </w:r>
          </w:p>
        </w:tc>
      </w:tr>
      <w:tr w:rsidR="007D4001" w:rsidRPr="007D4001" w14:paraId="70009E90"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A65BF35"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Intermediación financiera</w:t>
            </w:r>
          </w:p>
        </w:tc>
        <w:tc>
          <w:tcPr>
            <w:tcW w:w="1060" w:type="dxa"/>
            <w:tcBorders>
              <w:top w:val="nil"/>
              <w:left w:val="nil"/>
              <w:bottom w:val="single" w:sz="4" w:space="0" w:color="auto"/>
              <w:right w:val="single" w:sz="4" w:space="0" w:color="auto"/>
            </w:tcBorders>
            <w:shd w:val="clear" w:color="auto" w:fill="auto"/>
            <w:noWrap/>
            <w:vAlign w:val="bottom"/>
            <w:hideMark/>
          </w:tcPr>
          <w:p w14:paraId="5C653223"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1,265.9</w:t>
            </w:r>
          </w:p>
        </w:tc>
        <w:tc>
          <w:tcPr>
            <w:tcW w:w="1120" w:type="dxa"/>
            <w:tcBorders>
              <w:top w:val="nil"/>
              <w:left w:val="nil"/>
              <w:bottom w:val="single" w:sz="4" w:space="0" w:color="auto"/>
              <w:right w:val="single" w:sz="4" w:space="0" w:color="auto"/>
            </w:tcBorders>
            <w:shd w:val="clear" w:color="auto" w:fill="auto"/>
            <w:noWrap/>
            <w:vAlign w:val="bottom"/>
            <w:hideMark/>
          </w:tcPr>
          <w:p w14:paraId="31415969"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0.3</w:t>
            </w:r>
          </w:p>
        </w:tc>
        <w:tc>
          <w:tcPr>
            <w:tcW w:w="1060" w:type="dxa"/>
            <w:tcBorders>
              <w:top w:val="nil"/>
              <w:left w:val="nil"/>
              <w:bottom w:val="single" w:sz="4" w:space="0" w:color="auto"/>
              <w:right w:val="single" w:sz="4" w:space="0" w:color="auto"/>
            </w:tcBorders>
            <w:shd w:val="clear" w:color="auto" w:fill="auto"/>
            <w:noWrap/>
            <w:vAlign w:val="bottom"/>
            <w:hideMark/>
          </w:tcPr>
          <w:p w14:paraId="330FCBD1"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1,307.2</w:t>
            </w:r>
          </w:p>
        </w:tc>
        <w:tc>
          <w:tcPr>
            <w:tcW w:w="1120" w:type="dxa"/>
            <w:tcBorders>
              <w:top w:val="nil"/>
              <w:left w:val="nil"/>
              <w:bottom w:val="single" w:sz="4" w:space="0" w:color="auto"/>
              <w:right w:val="single" w:sz="4" w:space="0" w:color="auto"/>
            </w:tcBorders>
            <w:shd w:val="clear" w:color="auto" w:fill="auto"/>
            <w:noWrap/>
            <w:vAlign w:val="bottom"/>
            <w:hideMark/>
          </w:tcPr>
          <w:p w14:paraId="000ACD06"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0.3</w:t>
            </w:r>
          </w:p>
        </w:tc>
        <w:tc>
          <w:tcPr>
            <w:tcW w:w="1000" w:type="dxa"/>
            <w:tcBorders>
              <w:top w:val="nil"/>
              <w:left w:val="nil"/>
              <w:bottom w:val="single" w:sz="4" w:space="0" w:color="auto"/>
              <w:right w:val="single" w:sz="4" w:space="0" w:color="auto"/>
            </w:tcBorders>
            <w:shd w:val="clear" w:color="auto" w:fill="auto"/>
            <w:noWrap/>
            <w:vAlign w:val="bottom"/>
            <w:hideMark/>
          </w:tcPr>
          <w:p w14:paraId="3968063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1,967.2</w:t>
            </w:r>
          </w:p>
        </w:tc>
        <w:tc>
          <w:tcPr>
            <w:tcW w:w="1120" w:type="dxa"/>
            <w:tcBorders>
              <w:top w:val="nil"/>
              <w:left w:val="nil"/>
              <w:bottom w:val="single" w:sz="4" w:space="0" w:color="auto"/>
              <w:right w:val="single" w:sz="4" w:space="0" w:color="auto"/>
            </w:tcBorders>
            <w:shd w:val="clear" w:color="auto" w:fill="auto"/>
            <w:noWrap/>
            <w:vAlign w:val="bottom"/>
            <w:hideMark/>
          </w:tcPr>
          <w:p w14:paraId="66C35E2C"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0.3</w:t>
            </w:r>
          </w:p>
        </w:tc>
      </w:tr>
      <w:tr w:rsidR="007D4001" w:rsidRPr="007D4001" w14:paraId="448811EE" w14:textId="77777777" w:rsidTr="007D4001">
        <w:trPr>
          <w:trHeight w:val="52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2CFFFAF"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Instituciones gubernamentales</w:t>
            </w:r>
          </w:p>
        </w:tc>
        <w:tc>
          <w:tcPr>
            <w:tcW w:w="1060" w:type="dxa"/>
            <w:tcBorders>
              <w:top w:val="nil"/>
              <w:left w:val="nil"/>
              <w:bottom w:val="single" w:sz="4" w:space="0" w:color="auto"/>
              <w:right w:val="single" w:sz="4" w:space="0" w:color="auto"/>
            </w:tcBorders>
            <w:shd w:val="clear" w:color="auto" w:fill="auto"/>
            <w:noWrap/>
            <w:vAlign w:val="bottom"/>
            <w:hideMark/>
          </w:tcPr>
          <w:p w14:paraId="6090C2B3"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343.9</w:t>
            </w:r>
          </w:p>
        </w:tc>
        <w:tc>
          <w:tcPr>
            <w:tcW w:w="1120" w:type="dxa"/>
            <w:tcBorders>
              <w:top w:val="nil"/>
              <w:left w:val="nil"/>
              <w:bottom w:val="single" w:sz="4" w:space="0" w:color="auto"/>
              <w:right w:val="single" w:sz="4" w:space="0" w:color="auto"/>
            </w:tcBorders>
            <w:shd w:val="clear" w:color="auto" w:fill="auto"/>
            <w:noWrap/>
            <w:vAlign w:val="bottom"/>
            <w:hideMark/>
          </w:tcPr>
          <w:p w14:paraId="2C8A3CF9"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60" w:type="dxa"/>
            <w:tcBorders>
              <w:top w:val="nil"/>
              <w:left w:val="nil"/>
              <w:bottom w:val="single" w:sz="4" w:space="0" w:color="auto"/>
              <w:right w:val="single" w:sz="4" w:space="0" w:color="auto"/>
            </w:tcBorders>
            <w:shd w:val="clear" w:color="auto" w:fill="auto"/>
            <w:noWrap/>
            <w:vAlign w:val="bottom"/>
            <w:hideMark/>
          </w:tcPr>
          <w:p w14:paraId="4E51DE2B"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407.0</w:t>
            </w:r>
          </w:p>
        </w:tc>
        <w:tc>
          <w:tcPr>
            <w:tcW w:w="1120" w:type="dxa"/>
            <w:tcBorders>
              <w:top w:val="nil"/>
              <w:left w:val="nil"/>
              <w:bottom w:val="single" w:sz="4" w:space="0" w:color="auto"/>
              <w:right w:val="single" w:sz="4" w:space="0" w:color="auto"/>
            </w:tcBorders>
            <w:shd w:val="clear" w:color="auto" w:fill="auto"/>
            <w:noWrap/>
            <w:vAlign w:val="bottom"/>
            <w:hideMark/>
          </w:tcPr>
          <w:p w14:paraId="35C4FCED"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00" w:type="dxa"/>
            <w:tcBorders>
              <w:top w:val="nil"/>
              <w:left w:val="nil"/>
              <w:bottom w:val="single" w:sz="4" w:space="0" w:color="auto"/>
              <w:right w:val="single" w:sz="4" w:space="0" w:color="auto"/>
            </w:tcBorders>
            <w:shd w:val="clear" w:color="auto" w:fill="auto"/>
            <w:noWrap/>
            <w:vAlign w:val="bottom"/>
            <w:hideMark/>
          </w:tcPr>
          <w:p w14:paraId="6127D9C0"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480.9</w:t>
            </w:r>
          </w:p>
        </w:tc>
        <w:tc>
          <w:tcPr>
            <w:tcW w:w="1120" w:type="dxa"/>
            <w:tcBorders>
              <w:top w:val="nil"/>
              <w:left w:val="nil"/>
              <w:bottom w:val="single" w:sz="4" w:space="0" w:color="auto"/>
              <w:right w:val="single" w:sz="4" w:space="0" w:color="auto"/>
            </w:tcBorders>
            <w:shd w:val="clear" w:color="auto" w:fill="auto"/>
            <w:noWrap/>
            <w:vAlign w:val="bottom"/>
            <w:hideMark/>
          </w:tcPr>
          <w:p w14:paraId="50D989CB"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r>
      <w:tr w:rsidR="007D4001" w:rsidRPr="007D4001" w14:paraId="7F8A4526"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3324A17E" w14:textId="77777777" w:rsidR="007D4001" w:rsidRPr="007D4001" w:rsidRDefault="007D4001" w:rsidP="007D4001">
            <w:pPr>
              <w:spacing w:after="0" w:line="240" w:lineRule="auto"/>
              <w:ind w:firstLineChars="100" w:firstLine="200"/>
              <w:rPr>
                <w:rFonts w:ascii="Calibri" w:eastAsia="Times New Roman" w:hAnsi="Calibri" w:cs="Times New Roman"/>
                <w:color w:val="000000"/>
                <w:sz w:val="20"/>
                <w:szCs w:val="20"/>
                <w:lang w:eastAsia="es-GT"/>
              </w:rPr>
            </w:pPr>
            <w:r w:rsidRPr="007D4001">
              <w:rPr>
                <w:rFonts w:ascii="Calibri" w:eastAsia="Times New Roman" w:hAnsi="Calibri" w:cs="Times New Roman"/>
                <w:color w:val="000000"/>
                <w:sz w:val="20"/>
                <w:szCs w:val="20"/>
                <w:lang w:eastAsia="es-GT"/>
              </w:rPr>
              <w:t>Otros beneficiarios</w:t>
            </w:r>
          </w:p>
        </w:tc>
        <w:tc>
          <w:tcPr>
            <w:tcW w:w="1060" w:type="dxa"/>
            <w:tcBorders>
              <w:top w:val="nil"/>
              <w:left w:val="nil"/>
              <w:bottom w:val="single" w:sz="4" w:space="0" w:color="auto"/>
              <w:right w:val="single" w:sz="4" w:space="0" w:color="auto"/>
            </w:tcBorders>
            <w:shd w:val="clear" w:color="auto" w:fill="auto"/>
            <w:noWrap/>
            <w:vAlign w:val="bottom"/>
            <w:hideMark/>
          </w:tcPr>
          <w:p w14:paraId="1F5423EF"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340.1</w:t>
            </w:r>
          </w:p>
        </w:tc>
        <w:tc>
          <w:tcPr>
            <w:tcW w:w="1120" w:type="dxa"/>
            <w:tcBorders>
              <w:top w:val="nil"/>
              <w:left w:val="nil"/>
              <w:bottom w:val="single" w:sz="4" w:space="0" w:color="auto"/>
              <w:right w:val="single" w:sz="4" w:space="0" w:color="auto"/>
            </w:tcBorders>
            <w:shd w:val="clear" w:color="auto" w:fill="auto"/>
            <w:noWrap/>
            <w:vAlign w:val="bottom"/>
            <w:hideMark/>
          </w:tcPr>
          <w:p w14:paraId="79F35466"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60" w:type="dxa"/>
            <w:tcBorders>
              <w:top w:val="nil"/>
              <w:left w:val="nil"/>
              <w:bottom w:val="single" w:sz="4" w:space="0" w:color="auto"/>
              <w:right w:val="single" w:sz="4" w:space="0" w:color="auto"/>
            </w:tcBorders>
            <w:shd w:val="clear" w:color="auto" w:fill="auto"/>
            <w:noWrap/>
            <w:vAlign w:val="bottom"/>
            <w:hideMark/>
          </w:tcPr>
          <w:p w14:paraId="06F9BF53"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348.5</w:t>
            </w:r>
          </w:p>
        </w:tc>
        <w:tc>
          <w:tcPr>
            <w:tcW w:w="1120" w:type="dxa"/>
            <w:tcBorders>
              <w:top w:val="nil"/>
              <w:left w:val="nil"/>
              <w:bottom w:val="single" w:sz="4" w:space="0" w:color="auto"/>
              <w:right w:val="single" w:sz="4" w:space="0" w:color="auto"/>
            </w:tcBorders>
            <w:shd w:val="clear" w:color="auto" w:fill="auto"/>
            <w:noWrap/>
            <w:vAlign w:val="bottom"/>
            <w:hideMark/>
          </w:tcPr>
          <w:p w14:paraId="362D86C7"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c>
          <w:tcPr>
            <w:tcW w:w="1000" w:type="dxa"/>
            <w:tcBorders>
              <w:top w:val="nil"/>
              <w:left w:val="nil"/>
              <w:bottom w:val="single" w:sz="4" w:space="0" w:color="auto"/>
              <w:right w:val="single" w:sz="4" w:space="0" w:color="auto"/>
            </w:tcBorders>
            <w:shd w:val="clear" w:color="auto" w:fill="auto"/>
            <w:noWrap/>
            <w:vAlign w:val="bottom"/>
            <w:hideMark/>
          </w:tcPr>
          <w:p w14:paraId="0B985FE8"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462.6</w:t>
            </w:r>
          </w:p>
        </w:tc>
        <w:tc>
          <w:tcPr>
            <w:tcW w:w="1120" w:type="dxa"/>
            <w:tcBorders>
              <w:top w:val="nil"/>
              <w:left w:val="nil"/>
              <w:bottom w:val="single" w:sz="4" w:space="0" w:color="auto"/>
              <w:right w:val="single" w:sz="4" w:space="0" w:color="auto"/>
            </w:tcBorders>
            <w:shd w:val="clear" w:color="auto" w:fill="auto"/>
            <w:noWrap/>
            <w:vAlign w:val="bottom"/>
            <w:hideMark/>
          </w:tcPr>
          <w:p w14:paraId="6FA3F210" w14:textId="77777777" w:rsidR="007D4001" w:rsidRPr="007D4001" w:rsidRDefault="007D4001" w:rsidP="007D4001">
            <w:pPr>
              <w:spacing w:after="0" w:line="240" w:lineRule="auto"/>
              <w:jc w:val="right"/>
              <w:rPr>
                <w:rFonts w:ascii="Calibri" w:eastAsia="Times New Roman" w:hAnsi="Calibri" w:cs="Times New Roman"/>
                <w:color w:val="000000"/>
                <w:sz w:val="18"/>
                <w:szCs w:val="18"/>
                <w:lang w:eastAsia="es-GT"/>
              </w:rPr>
            </w:pPr>
            <w:r w:rsidRPr="007D4001">
              <w:rPr>
                <w:rFonts w:ascii="Calibri" w:eastAsia="Times New Roman" w:hAnsi="Calibri" w:cs="Times New Roman"/>
                <w:color w:val="000000"/>
                <w:sz w:val="18"/>
                <w:szCs w:val="18"/>
                <w:lang w:eastAsia="es-GT"/>
              </w:rPr>
              <w:t>0.1</w:t>
            </w:r>
          </w:p>
        </w:tc>
      </w:tr>
      <w:tr w:rsidR="007D4001" w:rsidRPr="007D4001" w14:paraId="2031150E" w14:textId="77777777" w:rsidTr="007D4001">
        <w:trPr>
          <w:trHeight w:val="30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68BAE06" w14:textId="77777777" w:rsidR="007D4001" w:rsidRPr="007D4001" w:rsidRDefault="007D4001" w:rsidP="007D4001">
            <w:pPr>
              <w:spacing w:after="0" w:line="240" w:lineRule="auto"/>
              <w:ind w:firstLineChars="200" w:firstLine="440"/>
              <w:rPr>
                <w:rFonts w:ascii="Calibri" w:eastAsia="Times New Roman" w:hAnsi="Calibri" w:cs="Times New Roman"/>
                <w:b/>
                <w:bCs/>
                <w:color w:val="000000"/>
                <w:lang w:eastAsia="es-GT"/>
              </w:rPr>
            </w:pPr>
            <w:r w:rsidRPr="007D4001">
              <w:rPr>
                <w:rFonts w:ascii="Calibri" w:eastAsia="Times New Roman" w:hAnsi="Calibri" w:cs="Times New Roman"/>
                <w:b/>
                <w:bCs/>
                <w:color w:val="000000"/>
                <w:lang w:eastAsia="es-GT"/>
              </w:rPr>
              <w:t>TOTAL</w:t>
            </w:r>
          </w:p>
        </w:tc>
        <w:tc>
          <w:tcPr>
            <w:tcW w:w="1060" w:type="dxa"/>
            <w:tcBorders>
              <w:top w:val="nil"/>
              <w:left w:val="nil"/>
              <w:bottom w:val="single" w:sz="4" w:space="0" w:color="auto"/>
              <w:right w:val="single" w:sz="4" w:space="0" w:color="auto"/>
            </w:tcBorders>
            <w:shd w:val="clear" w:color="auto" w:fill="auto"/>
            <w:noWrap/>
            <w:vAlign w:val="bottom"/>
            <w:hideMark/>
          </w:tcPr>
          <w:p w14:paraId="67A019AF" w14:textId="77777777" w:rsidR="007D4001" w:rsidRPr="007D4001" w:rsidRDefault="007D4001" w:rsidP="007D4001">
            <w:pPr>
              <w:spacing w:after="0" w:line="240" w:lineRule="auto"/>
              <w:jc w:val="right"/>
              <w:rPr>
                <w:rFonts w:ascii="Calibri" w:eastAsia="Times New Roman" w:hAnsi="Calibri" w:cs="Times New Roman"/>
                <w:b/>
                <w:bCs/>
                <w:color w:val="000000"/>
                <w:lang w:eastAsia="es-GT"/>
              </w:rPr>
            </w:pPr>
            <w:r w:rsidRPr="007D4001">
              <w:rPr>
                <w:rFonts w:ascii="Calibri" w:eastAsia="Times New Roman" w:hAnsi="Calibri" w:cs="Times New Roman"/>
                <w:b/>
                <w:bCs/>
                <w:color w:val="000000"/>
                <w:lang w:eastAsia="es-GT"/>
              </w:rPr>
              <w:t>12,491.8</w:t>
            </w:r>
          </w:p>
        </w:tc>
        <w:tc>
          <w:tcPr>
            <w:tcW w:w="1120" w:type="dxa"/>
            <w:tcBorders>
              <w:top w:val="nil"/>
              <w:left w:val="nil"/>
              <w:bottom w:val="single" w:sz="4" w:space="0" w:color="auto"/>
              <w:right w:val="single" w:sz="4" w:space="0" w:color="auto"/>
            </w:tcBorders>
            <w:shd w:val="clear" w:color="auto" w:fill="auto"/>
            <w:noWrap/>
            <w:vAlign w:val="bottom"/>
            <w:hideMark/>
          </w:tcPr>
          <w:p w14:paraId="04063202" w14:textId="77777777" w:rsidR="007D4001" w:rsidRPr="007D4001" w:rsidRDefault="007D4001" w:rsidP="007D4001">
            <w:pPr>
              <w:spacing w:after="0" w:line="240" w:lineRule="auto"/>
              <w:jc w:val="right"/>
              <w:rPr>
                <w:rFonts w:ascii="Calibri" w:eastAsia="Times New Roman" w:hAnsi="Calibri" w:cs="Times New Roman"/>
                <w:b/>
                <w:bCs/>
                <w:color w:val="000000"/>
                <w:lang w:eastAsia="es-GT"/>
              </w:rPr>
            </w:pPr>
            <w:r w:rsidRPr="007D4001">
              <w:rPr>
                <w:rFonts w:ascii="Calibri" w:eastAsia="Times New Roman" w:hAnsi="Calibri" w:cs="Times New Roman"/>
                <w:b/>
                <w:bCs/>
                <w:color w:val="000000"/>
                <w:lang w:eastAsia="es-GT"/>
              </w:rPr>
              <w:t>2.8</w:t>
            </w:r>
          </w:p>
        </w:tc>
        <w:tc>
          <w:tcPr>
            <w:tcW w:w="1060" w:type="dxa"/>
            <w:tcBorders>
              <w:top w:val="nil"/>
              <w:left w:val="nil"/>
              <w:bottom w:val="single" w:sz="4" w:space="0" w:color="auto"/>
              <w:right w:val="single" w:sz="4" w:space="0" w:color="auto"/>
            </w:tcBorders>
            <w:shd w:val="clear" w:color="auto" w:fill="auto"/>
            <w:noWrap/>
            <w:vAlign w:val="bottom"/>
            <w:hideMark/>
          </w:tcPr>
          <w:p w14:paraId="7CB92B9F" w14:textId="77777777" w:rsidR="007D4001" w:rsidRPr="007D4001" w:rsidRDefault="007D4001" w:rsidP="007D4001">
            <w:pPr>
              <w:spacing w:after="0" w:line="240" w:lineRule="auto"/>
              <w:jc w:val="right"/>
              <w:rPr>
                <w:rFonts w:ascii="Calibri" w:eastAsia="Times New Roman" w:hAnsi="Calibri" w:cs="Times New Roman"/>
                <w:b/>
                <w:bCs/>
                <w:color w:val="000000"/>
                <w:lang w:eastAsia="es-GT"/>
              </w:rPr>
            </w:pPr>
            <w:r w:rsidRPr="007D4001">
              <w:rPr>
                <w:rFonts w:ascii="Calibri" w:eastAsia="Times New Roman" w:hAnsi="Calibri" w:cs="Times New Roman"/>
                <w:b/>
                <w:bCs/>
                <w:color w:val="000000"/>
                <w:lang w:eastAsia="es-GT"/>
              </w:rPr>
              <w:t>11,807.8</w:t>
            </w:r>
          </w:p>
        </w:tc>
        <w:tc>
          <w:tcPr>
            <w:tcW w:w="1120" w:type="dxa"/>
            <w:tcBorders>
              <w:top w:val="nil"/>
              <w:left w:val="nil"/>
              <w:bottom w:val="single" w:sz="4" w:space="0" w:color="auto"/>
              <w:right w:val="single" w:sz="4" w:space="0" w:color="auto"/>
            </w:tcBorders>
            <w:shd w:val="clear" w:color="auto" w:fill="auto"/>
            <w:noWrap/>
            <w:vAlign w:val="bottom"/>
            <w:hideMark/>
          </w:tcPr>
          <w:p w14:paraId="66CB7C1A" w14:textId="77777777" w:rsidR="007D4001" w:rsidRPr="007D4001" w:rsidRDefault="007D4001" w:rsidP="007D4001">
            <w:pPr>
              <w:spacing w:after="0" w:line="240" w:lineRule="auto"/>
              <w:jc w:val="right"/>
              <w:rPr>
                <w:rFonts w:ascii="Calibri" w:eastAsia="Times New Roman" w:hAnsi="Calibri" w:cs="Times New Roman"/>
                <w:b/>
                <w:bCs/>
                <w:color w:val="000000"/>
                <w:lang w:eastAsia="es-GT"/>
              </w:rPr>
            </w:pPr>
            <w:r w:rsidRPr="007D4001">
              <w:rPr>
                <w:rFonts w:ascii="Calibri" w:eastAsia="Times New Roman" w:hAnsi="Calibri" w:cs="Times New Roman"/>
                <w:b/>
                <w:bCs/>
                <w:color w:val="000000"/>
                <w:lang w:eastAsia="es-GT"/>
              </w:rPr>
              <w:t>2.3</w:t>
            </w:r>
          </w:p>
        </w:tc>
        <w:tc>
          <w:tcPr>
            <w:tcW w:w="1000" w:type="dxa"/>
            <w:tcBorders>
              <w:top w:val="nil"/>
              <w:left w:val="nil"/>
              <w:bottom w:val="single" w:sz="4" w:space="0" w:color="auto"/>
              <w:right w:val="single" w:sz="4" w:space="0" w:color="auto"/>
            </w:tcBorders>
            <w:shd w:val="clear" w:color="auto" w:fill="auto"/>
            <w:noWrap/>
            <w:vAlign w:val="bottom"/>
            <w:hideMark/>
          </w:tcPr>
          <w:p w14:paraId="2764EFB4" w14:textId="77777777" w:rsidR="007D4001" w:rsidRPr="007D4001" w:rsidRDefault="007D4001" w:rsidP="007D4001">
            <w:pPr>
              <w:spacing w:after="0" w:line="240" w:lineRule="auto"/>
              <w:jc w:val="right"/>
              <w:rPr>
                <w:rFonts w:ascii="Calibri" w:eastAsia="Times New Roman" w:hAnsi="Calibri" w:cs="Times New Roman"/>
                <w:b/>
                <w:bCs/>
                <w:color w:val="000000"/>
                <w:lang w:eastAsia="es-GT"/>
              </w:rPr>
            </w:pPr>
            <w:r w:rsidRPr="007D4001">
              <w:rPr>
                <w:rFonts w:ascii="Calibri" w:eastAsia="Times New Roman" w:hAnsi="Calibri" w:cs="Times New Roman"/>
                <w:b/>
                <w:bCs/>
                <w:color w:val="000000"/>
                <w:lang w:eastAsia="es-GT"/>
              </w:rPr>
              <w:t>14,060.4</w:t>
            </w:r>
          </w:p>
        </w:tc>
        <w:tc>
          <w:tcPr>
            <w:tcW w:w="1120" w:type="dxa"/>
            <w:tcBorders>
              <w:top w:val="nil"/>
              <w:left w:val="nil"/>
              <w:bottom w:val="single" w:sz="4" w:space="0" w:color="auto"/>
              <w:right w:val="single" w:sz="4" w:space="0" w:color="auto"/>
            </w:tcBorders>
            <w:shd w:val="clear" w:color="auto" w:fill="auto"/>
            <w:noWrap/>
            <w:vAlign w:val="bottom"/>
            <w:hideMark/>
          </w:tcPr>
          <w:p w14:paraId="664C8256" w14:textId="77777777" w:rsidR="007D4001" w:rsidRPr="007D4001" w:rsidRDefault="007D4001" w:rsidP="007D4001">
            <w:pPr>
              <w:spacing w:after="0" w:line="240" w:lineRule="auto"/>
              <w:jc w:val="right"/>
              <w:rPr>
                <w:rFonts w:ascii="Calibri" w:eastAsia="Times New Roman" w:hAnsi="Calibri" w:cs="Times New Roman"/>
                <w:b/>
                <w:bCs/>
                <w:color w:val="000000"/>
                <w:lang w:eastAsia="es-GT"/>
              </w:rPr>
            </w:pPr>
            <w:r w:rsidRPr="007D4001">
              <w:rPr>
                <w:rFonts w:ascii="Calibri" w:eastAsia="Times New Roman" w:hAnsi="Calibri" w:cs="Times New Roman"/>
                <w:b/>
                <w:bCs/>
                <w:color w:val="000000"/>
                <w:lang w:eastAsia="es-GT"/>
              </w:rPr>
              <w:t>2.4</w:t>
            </w:r>
          </w:p>
        </w:tc>
      </w:tr>
    </w:tbl>
    <w:p w14:paraId="16017E93" w14:textId="77777777" w:rsidR="00C93C62" w:rsidRPr="004F6CEB" w:rsidRDefault="00C93C62" w:rsidP="00C93C62">
      <w:pPr>
        <w:jc w:val="both"/>
        <w:rPr>
          <w:sz w:val="18"/>
        </w:rPr>
      </w:pPr>
      <w:r w:rsidRPr="004F6CEB">
        <w:rPr>
          <w:sz w:val="18"/>
        </w:rPr>
        <w:t xml:space="preserve">Fuente: Icefi con base en datos de la SAT, disponibles en: </w:t>
      </w:r>
      <w:hyperlink r:id="rId14" w:anchor="1506976607233-cfdb5baf-4926" w:history="1">
        <w:r w:rsidRPr="004F6CEB">
          <w:rPr>
            <w:rStyle w:val="Hyperlink"/>
            <w:sz w:val="18"/>
          </w:rPr>
          <w:t>https://portal.sat.gob.gt/portal/analisis-estudios-tributarios/#1506976607233-cfdb5baf-4926</w:t>
        </w:r>
      </w:hyperlink>
      <w:r w:rsidRPr="004F6CEB">
        <w:rPr>
          <w:sz w:val="18"/>
        </w:rPr>
        <w:t>.</w:t>
      </w:r>
    </w:p>
    <w:p w14:paraId="526181A0" w14:textId="77777777" w:rsidR="007D4001" w:rsidRDefault="007D4001" w:rsidP="00F8774C">
      <w:pPr>
        <w:jc w:val="both"/>
      </w:pPr>
    </w:p>
    <w:p w14:paraId="01B6C81F" w14:textId="77777777" w:rsidR="00020538" w:rsidRDefault="007D4001" w:rsidP="00F8774C">
      <w:pPr>
        <w:jc w:val="both"/>
      </w:pPr>
      <w:r>
        <w:t xml:space="preserve">Las filtraciones comentadas en los párrafos previos, condicionan la </w:t>
      </w:r>
      <w:r w:rsidR="00C93C62">
        <w:t xml:space="preserve">capacidad </w:t>
      </w:r>
      <w:r>
        <w:t>de</w:t>
      </w:r>
      <w:r w:rsidR="00C93C62">
        <w:t>l Estado de</w:t>
      </w:r>
      <w:r>
        <w:t xml:space="preserve"> Guatemala para alcanzar un</w:t>
      </w:r>
      <w:r w:rsidR="00C93C62">
        <w:t>a recaudación de impuestos mayor.</w:t>
      </w:r>
      <w:r>
        <w:t xml:space="preserve">  </w:t>
      </w:r>
      <w:r w:rsidR="00B31ECE">
        <w:t>Asimismo, a</w:t>
      </w:r>
      <w:r w:rsidR="00AF5B2F">
        <w:t xml:space="preserve"> pesar de que la re</w:t>
      </w:r>
      <w:r w:rsidR="00AF5B2F" w:rsidRPr="00AF5B2F">
        <w:t>caudación</w:t>
      </w:r>
      <w:r w:rsidR="00AF5B2F">
        <w:t>,</w:t>
      </w:r>
      <w:r w:rsidR="00AF5B2F" w:rsidRPr="00AF5B2F">
        <w:t xml:space="preserve"> en términos </w:t>
      </w:r>
      <w:r w:rsidR="00AF5B2F">
        <w:t xml:space="preserve">del PIB, ha caído en los últimos años, </w:t>
      </w:r>
      <w:r w:rsidR="00AF5B2F" w:rsidRPr="00AF5B2F">
        <w:t>tanto el Min</w:t>
      </w:r>
      <w:r w:rsidR="006F29B9">
        <w:t>isterio de Finanzas</w:t>
      </w:r>
      <w:r w:rsidR="00AF5B2F" w:rsidRPr="00AF5B2F">
        <w:t xml:space="preserve"> </w:t>
      </w:r>
      <w:r w:rsidR="006F29B9">
        <w:t xml:space="preserve">—ente rector </w:t>
      </w:r>
      <w:r w:rsidR="00AF5B2F" w:rsidRPr="00AF5B2F">
        <w:t>de la política tributaria del país</w:t>
      </w:r>
      <w:r w:rsidR="006F29B9">
        <w:t>—</w:t>
      </w:r>
      <w:r w:rsidR="00AF5B2F" w:rsidRPr="00AF5B2F">
        <w:t xml:space="preserve">, como la SAT, no han </w:t>
      </w:r>
      <w:r w:rsidR="006F29B9">
        <w:t xml:space="preserve">puesto en marcha </w:t>
      </w:r>
      <w:r w:rsidR="00AF5B2F" w:rsidRPr="00AF5B2F">
        <w:t xml:space="preserve">ninguna acción concreta, ya sea en materia de política o en materia administrativa, que permita un cambio real en la trayectoria recaudatoria. </w:t>
      </w:r>
      <w:r w:rsidR="00D80646">
        <w:t xml:space="preserve"> </w:t>
      </w:r>
      <w:r w:rsidR="00020538">
        <w:t xml:space="preserve">El incremento de la recaudación tributaria para el Estado de Guatemala reviste una vital importancia pues </w:t>
      </w:r>
      <w:r w:rsidR="00BB5544">
        <w:t xml:space="preserve">esta constituye el 93.9% (promedio de 2010 a 2018) de los ingresos con los que cuenta el Estado para financiar </w:t>
      </w:r>
      <w:r w:rsidR="00020538">
        <w:t xml:space="preserve">el gasto y las inversiones sociales. </w:t>
      </w:r>
    </w:p>
    <w:p w14:paraId="5C27FD70" w14:textId="77777777" w:rsidR="00540B2A" w:rsidRDefault="00540B2A" w:rsidP="00F8774C">
      <w:pPr>
        <w:jc w:val="both"/>
      </w:pPr>
    </w:p>
    <w:p w14:paraId="0532AA07" w14:textId="77777777" w:rsidR="00540B2A" w:rsidRDefault="00540B2A" w:rsidP="00F8774C">
      <w:pPr>
        <w:jc w:val="both"/>
      </w:pPr>
    </w:p>
    <w:p w14:paraId="03B18E16" w14:textId="77777777" w:rsidR="00540B2A" w:rsidRDefault="00540B2A" w:rsidP="00F8774C">
      <w:pPr>
        <w:jc w:val="both"/>
      </w:pPr>
    </w:p>
    <w:p w14:paraId="4DA496AB" w14:textId="77777777" w:rsidR="00540B2A" w:rsidRDefault="00540B2A" w:rsidP="00F8774C">
      <w:pPr>
        <w:jc w:val="both"/>
      </w:pPr>
    </w:p>
    <w:p w14:paraId="3E34EC32" w14:textId="77777777" w:rsidR="00540B2A" w:rsidRDefault="00540B2A" w:rsidP="00F8774C">
      <w:pPr>
        <w:jc w:val="both"/>
      </w:pPr>
    </w:p>
    <w:p w14:paraId="0F561E59" w14:textId="77777777" w:rsidR="001B7870" w:rsidRPr="00DA3855" w:rsidRDefault="001B7870" w:rsidP="005D4B28">
      <w:pPr>
        <w:pStyle w:val="Heading2"/>
      </w:pPr>
      <w:bookmarkStart w:id="6" w:name="_Toc47694496"/>
      <w:r>
        <w:t>Una estructura tributaria poco progresiva, basada en impuestos indirectos</w:t>
      </w:r>
      <w:bookmarkEnd w:id="6"/>
    </w:p>
    <w:p w14:paraId="75D6EA2F" w14:textId="77777777" w:rsidR="005D4B28" w:rsidRDefault="005D4B28" w:rsidP="00F8774C">
      <w:pPr>
        <w:jc w:val="both"/>
      </w:pPr>
    </w:p>
    <w:p w14:paraId="50E31392" w14:textId="77777777" w:rsidR="00011ABD" w:rsidRDefault="00011ABD" w:rsidP="00F8774C">
      <w:pPr>
        <w:jc w:val="both"/>
      </w:pPr>
      <w:r>
        <w:t>L</w:t>
      </w:r>
      <w:r w:rsidRPr="00011ABD">
        <w:t xml:space="preserve">a estructura de la recaudación </w:t>
      </w:r>
      <w:r w:rsidR="001B7870">
        <w:t xml:space="preserve">se ha modificado muy poco </w:t>
      </w:r>
      <w:r w:rsidRPr="00011ABD">
        <w:t xml:space="preserve">y continúa siendo </w:t>
      </w:r>
      <w:r>
        <w:t>muy</w:t>
      </w:r>
      <w:r w:rsidRPr="00011ABD">
        <w:t xml:space="preserve"> dependiente de los impuestos indirectos</w:t>
      </w:r>
      <w:r w:rsidR="00BE7E6B">
        <w:t>, que han representado en promedio, entre 2010 y 2018, el 65.7%. L</w:t>
      </w:r>
      <w:r w:rsidRPr="00011ABD">
        <w:t>a mayor parte de la recaudación, el 47.</w:t>
      </w:r>
      <w:r w:rsidR="00BE7E6B">
        <w:t>2</w:t>
      </w:r>
      <w:r w:rsidRPr="00011ABD">
        <w:t xml:space="preserve">%, </w:t>
      </w:r>
      <w:r w:rsidR="00BE7E6B">
        <w:t xml:space="preserve">proviene del cobro del </w:t>
      </w:r>
      <w:r w:rsidRPr="00011ABD">
        <w:t>impuesto al valor agregado (IVA)</w:t>
      </w:r>
      <w:r w:rsidR="00BE7E6B">
        <w:t>.</w:t>
      </w:r>
    </w:p>
    <w:p w14:paraId="3272A3AD" w14:textId="77777777" w:rsidR="003F7123" w:rsidRDefault="003F7123" w:rsidP="00540B2A">
      <w:pPr>
        <w:spacing w:after="0" w:line="240" w:lineRule="auto"/>
        <w:jc w:val="center"/>
      </w:pPr>
      <w:r>
        <w:t>Cuadro</w:t>
      </w:r>
    </w:p>
    <w:p w14:paraId="72FE034E" w14:textId="77777777" w:rsidR="003F7123" w:rsidRDefault="003F7123" w:rsidP="00540B2A">
      <w:pPr>
        <w:spacing w:after="0" w:line="240" w:lineRule="auto"/>
        <w:jc w:val="center"/>
      </w:pPr>
      <w:r>
        <w:t>Estructura</w:t>
      </w:r>
      <w:r w:rsidR="001B7870">
        <w:t xml:space="preserve"> promedio</w:t>
      </w:r>
      <w:r>
        <w:t xml:space="preserve"> de la recaudación tributaria</w:t>
      </w:r>
    </w:p>
    <w:tbl>
      <w:tblPr>
        <w:tblW w:w="7962" w:type="dxa"/>
        <w:jc w:val="center"/>
        <w:tblCellMar>
          <w:left w:w="70" w:type="dxa"/>
          <w:right w:w="70" w:type="dxa"/>
        </w:tblCellMar>
        <w:tblLook w:val="04A0" w:firstRow="1" w:lastRow="0" w:firstColumn="1" w:lastColumn="0" w:noHBand="0" w:noVBand="1"/>
      </w:tblPr>
      <w:tblGrid>
        <w:gridCol w:w="3162"/>
        <w:gridCol w:w="1200"/>
        <w:gridCol w:w="1200"/>
        <w:gridCol w:w="1200"/>
        <w:gridCol w:w="1200"/>
      </w:tblGrid>
      <w:tr w:rsidR="003F7123" w:rsidRPr="003F7123" w14:paraId="52C30F1D" w14:textId="77777777" w:rsidTr="001B7870">
        <w:trPr>
          <w:trHeight w:val="300"/>
          <w:jc w:val="center"/>
        </w:trPr>
        <w:tc>
          <w:tcPr>
            <w:tcW w:w="3162"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15D1B0EA" w14:textId="77777777" w:rsidR="003F7123" w:rsidRPr="003F7123" w:rsidRDefault="003F7123" w:rsidP="003F7123">
            <w:pPr>
              <w:spacing w:after="0" w:line="240" w:lineRule="auto"/>
              <w:jc w:val="center"/>
              <w:rPr>
                <w:rFonts w:ascii="Calibri" w:eastAsia="Times New Roman" w:hAnsi="Calibri" w:cs="Times New Roman"/>
                <w:color w:val="FFFFFF"/>
                <w:lang w:eastAsia="es-GT"/>
              </w:rPr>
            </w:pPr>
            <w:r w:rsidRPr="003F7123">
              <w:rPr>
                <w:rFonts w:ascii="Calibri" w:eastAsia="Times New Roman" w:hAnsi="Calibri" w:cs="Times New Roman"/>
                <w:color w:val="FFFFFF"/>
                <w:lang w:eastAsia="es-GT"/>
              </w:rPr>
              <w:t>Variable</w:t>
            </w:r>
          </w:p>
        </w:tc>
        <w:tc>
          <w:tcPr>
            <w:tcW w:w="4800" w:type="dxa"/>
            <w:gridSpan w:val="4"/>
            <w:tcBorders>
              <w:top w:val="single" w:sz="4" w:space="0" w:color="auto"/>
              <w:left w:val="nil"/>
              <w:bottom w:val="single" w:sz="4" w:space="0" w:color="auto"/>
              <w:right w:val="single" w:sz="4" w:space="0" w:color="auto"/>
            </w:tcBorders>
            <w:shd w:val="clear" w:color="000000" w:fill="C00000"/>
            <w:noWrap/>
            <w:vAlign w:val="bottom"/>
            <w:hideMark/>
          </w:tcPr>
          <w:p w14:paraId="287CB1F0" w14:textId="77777777" w:rsidR="003F7123" w:rsidRPr="003F7123" w:rsidRDefault="003F7123" w:rsidP="003F7123">
            <w:pPr>
              <w:spacing w:after="0" w:line="240" w:lineRule="auto"/>
              <w:jc w:val="center"/>
              <w:rPr>
                <w:rFonts w:ascii="Calibri" w:eastAsia="Times New Roman" w:hAnsi="Calibri" w:cs="Times New Roman"/>
                <w:color w:val="FFFFFF"/>
                <w:lang w:eastAsia="es-GT"/>
              </w:rPr>
            </w:pPr>
            <w:r w:rsidRPr="003F7123">
              <w:rPr>
                <w:rFonts w:ascii="Calibri" w:eastAsia="Times New Roman" w:hAnsi="Calibri" w:cs="Times New Roman"/>
                <w:color w:val="FFFFFF"/>
                <w:lang w:eastAsia="es-GT"/>
              </w:rPr>
              <w:t>Promedio</w:t>
            </w:r>
          </w:p>
        </w:tc>
      </w:tr>
      <w:tr w:rsidR="003F7123" w:rsidRPr="003F7123" w14:paraId="49C84844" w14:textId="77777777" w:rsidTr="001B7870">
        <w:trPr>
          <w:trHeight w:val="300"/>
          <w:jc w:val="center"/>
        </w:trPr>
        <w:tc>
          <w:tcPr>
            <w:tcW w:w="3162" w:type="dxa"/>
            <w:vMerge/>
            <w:tcBorders>
              <w:top w:val="single" w:sz="4" w:space="0" w:color="auto"/>
              <w:left w:val="single" w:sz="4" w:space="0" w:color="auto"/>
              <w:bottom w:val="single" w:sz="4" w:space="0" w:color="auto"/>
              <w:right w:val="single" w:sz="4" w:space="0" w:color="auto"/>
            </w:tcBorders>
            <w:vAlign w:val="center"/>
            <w:hideMark/>
          </w:tcPr>
          <w:p w14:paraId="2027BDF4" w14:textId="77777777" w:rsidR="003F7123" w:rsidRPr="003F7123" w:rsidRDefault="003F7123" w:rsidP="003F7123">
            <w:pPr>
              <w:spacing w:after="0" w:line="240" w:lineRule="auto"/>
              <w:rPr>
                <w:rFonts w:ascii="Calibri" w:eastAsia="Times New Roman" w:hAnsi="Calibri" w:cs="Times New Roman"/>
                <w:color w:val="FFFFFF"/>
                <w:lang w:eastAsia="es-GT"/>
              </w:rPr>
            </w:pPr>
          </w:p>
        </w:tc>
        <w:tc>
          <w:tcPr>
            <w:tcW w:w="1200" w:type="dxa"/>
            <w:tcBorders>
              <w:top w:val="nil"/>
              <w:left w:val="nil"/>
              <w:bottom w:val="single" w:sz="4" w:space="0" w:color="auto"/>
              <w:right w:val="single" w:sz="4" w:space="0" w:color="auto"/>
            </w:tcBorders>
            <w:shd w:val="clear" w:color="000000" w:fill="C00000"/>
            <w:noWrap/>
            <w:vAlign w:val="bottom"/>
            <w:hideMark/>
          </w:tcPr>
          <w:p w14:paraId="2FAEFB21" w14:textId="77777777" w:rsidR="003F7123" w:rsidRPr="003F7123" w:rsidRDefault="003F7123" w:rsidP="003F7123">
            <w:pPr>
              <w:spacing w:after="0" w:line="240" w:lineRule="auto"/>
              <w:jc w:val="center"/>
              <w:rPr>
                <w:rFonts w:ascii="Calibri" w:eastAsia="Times New Roman" w:hAnsi="Calibri" w:cs="Times New Roman"/>
                <w:color w:val="FFFFFF"/>
                <w:lang w:eastAsia="es-GT"/>
              </w:rPr>
            </w:pPr>
            <w:r w:rsidRPr="003F7123">
              <w:rPr>
                <w:rFonts w:ascii="Calibri" w:eastAsia="Times New Roman" w:hAnsi="Calibri" w:cs="Times New Roman"/>
                <w:color w:val="FFFFFF"/>
                <w:lang w:eastAsia="es-GT"/>
              </w:rPr>
              <w:t>1999-2003</w:t>
            </w:r>
          </w:p>
        </w:tc>
        <w:tc>
          <w:tcPr>
            <w:tcW w:w="1200" w:type="dxa"/>
            <w:tcBorders>
              <w:top w:val="nil"/>
              <w:left w:val="nil"/>
              <w:bottom w:val="single" w:sz="4" w:space="0" w:color="auto"/>
              <w:right w:val="single" w:sz="4" w:space="0" w:color="auto"/>
            </w:tcBorders>
            <w:shd w:val="clear" w:color="000000" w:fill="C00000"/>
            <w:noWrap/>
            <w:vAlign w:val="bottom"/>
            <w:hideMark/>
          </w:tcPr>
          <w:p w14:paraId="66E4F162" w14:textId="77777777" w:rsidR="003F7123" w:rsidRPr="003F7123" w:rsidRDefault="003F7123" w:rsidP="003F7123">
            <w:pPr>
              <w:spacing w:after="0" w:line="240" w:lineRule="auto"/>
              <w:jc w:val="center"/>
              <w:rPr>
                <w:rFonts w:ascii="Calibri" w:eastAsia="Times New Roman" w:hAnsi="Calibri" w:cs="Times New Roman"/>
                <w:color w:val="FFFFFF"/>
                <w:lang w:eastAsia="es-GT"/>
              </w:rPr>
            </w:pPr>
            <w:r w:rsidRPr="003F7123">
              <w:rPr>
                <w:rFonts w:ascii="Calibri" w:eastAsia="Times New Roman" w:hAnsi="Calibri" w:cs="Times New Roman"/>
                <w:color w:val="FFFFFF"/>
                <w:lang w:eastAsia="es-GT"/>
              </w:rPr>
              <w:t>2004-2008</w:t>
            </w:r>
          </w:p>
        </w:tc>
        <w:tc>
          <w:tcPr>
            <w:tcW w:w="1200" w:type="dxa"/>
            <w:tcBorders>
              <w:top w:val="nil"/>
              <w:left w:val="nil"/>
              <w:bottom w:val="single" w:sz="4" w:space="0" w:color="auto"/>
              <w:right w:val="single" w:sz="4" w:space="0" w:color="auto"/>
            </w:tcBorders>
            <w:shd w:val="clear" w:color="000000" w:fill="C00000"/>
            <w:noWrap/>
            <w:vAlign w:val="bottom"/>
            <w:hideMark/>
          </w:tcPr>
          <w:p w14:paraId="780D38FB" w14:textId="77777777" w:rsidR="003F7123" w:rsidRPr="003F7123" w:rsidRDefault="003F7123" w:rsidP="003F7123">
            <w:pPr>
              <w:spacing w:after="0" w:line="240" w:lineRule="auto"/>
              <w:jc w:val="center"/>
              <w:rPr>
                <w:rFonts w:ascii="Calibri" w:eastAsia="Times New Roman" w:hAnsi="Calibri" w:cs="Times New Roman"/>
                <w:color w:val="FFFFFF"/>
                <w:lang w:eastAsia="es-GT"/>
              </w:rPr>
            </w:pPr>
            <w:r w:rsidRPr="003F7123">
              <w:rPr>
                <w:rFonts w:ascii="Calibri" w:eastAsia="Times New Roman" w:hAnsi="Calibri" w:cs="Times New Roman"/>
                <w:color w:val="FFFFFF"/>
                <w:lang w:eastAsia="es-GT"/>
              </w:rPr>
              <w:t>2009-2013</w:t>
            </w:r>
          </w:p>
        </w:tc>
        <w:tc>
          <w:tcPr>
            <w:tcW w:w="1200" w:type="dxa"/>
            <w:tcBorders>
              <w:top w:val="nil"/>
              <w:left w:val="nil"/>
              <w:bottom w:val="single" w:sz="4" w:space="0" w:color="auto"/>
              <w:right w:val="single" w:sz="4" w:space="0" w:color="auto"/>
            </w:tcBorders>
            <w:shd w:val="clear" w:color="000000" w:fill="C00000"/>
            <w:noWrap/>
            <w:vAlign w:val="bottom"/>
            <w:hideMark/>
          </w:tcPr>
          <w:p w14:paraId="2E4FE31B" w14:textId="77777777" w:rsidR="003F7123" w:rsidRPr="003F7123" w:rsidRDefault="003F7123" w:rsidP="003F7123">
            <w:pPr>
              <w:spacing w:after="0" w:line="240" w:lineRule="auto"/>
              <w:jc w:val="center"/>
              <w:rPr>
                <w:rFonts w:ascii="Calibri" w:eastAsia="Times New Roman" w:hAnsi="Calibri" w:cs="Times New Roman"/>
                <w:color w:val="FFFFFF"/>
                <w:lang w:eastAsia="es-GT"/>
              </w:rPr>
            </w:pPr>
            <w:r w:rsidRPr="003F7123">
              <w:rPr>
                <w:rFonts w:ascii="Calibri" w:eastAsia="Times New Roman" w:hAnsi="Calibri" w:cs="Times New Roman"/>
                <w:color w:val="FFFFFF"/>
                <w:lang w:eastAsia="es-GT"/>
              </w:rPr>
              <w:t>2014-2018</w:t>
            </w:r>
          </w:p>
        </w:tc>
      </w:tr>
      <w:tr w:rsidR="003F7123" w:rsidRPr="003F7123" w14:paraId="4FDFAA50" w14:textId="77777777" w:rsidTr="001B7870">
        <w:trPr>
          <w:trHeight w:val="600"/>
          <w:jc w:val="center"/>
        </w:trPr>
        <w:tc>
          <w:tcPr>
            <w:tcW w:w="3162" w:type="dxa"/>
            <w:tcBorders>
              <w:top w:val="nil"/>
              <w:left w:val="single" w:sz="4" w:space="0" w:color="auto"/>
              <w:bottom w:val="single" w:sz="4" w:space="0" w:color="auto"/>
              <w:right w:val="single" w:sz="4" w:space="0" w:color="auto"/>
            </w:tcBorders>
            <w:shd w:val="clear" w:color="auto" w:fill="auto"/>
            <w:vAlign w:val="center"/>
            <w:hideMark/>
          </w:tcPr>
          <w:p w14:paraId="23894128" w14:textId="77777777" w:rsidR="003F7123" w:rsidRPr="003F7123" w:rsidRDefault="003F7123" w:rsidP="003F7123">
            <w:pPr>
              <w:spacing w:after="0" w:line="240" w:lineRule="auto"/>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Carta tributaria como porcentaje del PIB</w:t>
            </w:r>
          </w:p>
        </w:tc>
        <w:tc>
          <w:tcPr>
            <w:tcW w:w="1200" w:type="dxa"/>
            <w:tcBorders>
              <w:top w:val="nil"/>
              <w:left w:val="nil"/>
              <w:bottom w:val="single" w:sz="4" w:space="0" w:color="auto"/>
              <w:right w:val="single" w:sz="4" w:space="0" w:color="auto"/>
            </w:tcBorders>
            <w:shd w:val="clear" w:color="auto" w:fill="auto"/>
            <w:noWrap/>
            <w:vAlign w:val="bottom"/>
            <w:hideMark/>
          </w:tcPr>
          <w:p w14:paraId="639556F3"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11.3</w:t>
            </w:r>
          </w:p>
        </w:tc>
        <w:tc>
          <w:tcPr>
            <w:tcW w:w="1200" w:type="dxa"/>
            <w:tcBorders>
              <w:top w:val="nil"/>
              <w:left w:val="nil"/>
              <w:bottom w:val="single" w:sz="4" w:space="0" w:color="auto"/>
              <w:right w:val="single" w:sz="4" w:space="0" w:color="auto"/>
            </w:tcBorders>
            <w:shd w:val="clear" w:color="auto" w:fill="auto"/>
            <w:noWrap/>
            <w:vAlign w:val="bottom"/>
            <w:hideMark/>
          </w:tcPr>
          <w:p w14:paraId="733583B0"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11.6</w:t>
            </w:r>
          </w:p>
        </w:tc>
        <w:tc>
          <w:tcPr>
            <w:tcW w:w="1200" w:type="dxa"/>
            <w:tcBorders>
              <w:top w:val="nil"/>
              <w:left w:val="nil"/>
              <w:bottom w:val="single" w:sz="4" w:space="0" w:color="auto"/>
              <w:right w:val="single" w:sz="4" w:space="0" w:color="auto"/>
            </w:tcBorders>
            <w:shd w:val="clear" w:color="auto" w:fill="auto"/>
            <w:noWrap/>
            <w:vAlign w:val="bottom"/>
            <w:hideMark/>
          </w:tcPr>
          <w:p w14:paraId="6709E7DA"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10.7</w:t>
            </w:r>
          </w:p>
        </w:tc>
        <w:tc>
          <w:tcPr>
            <w:tcW w:w="1200" w:type="dxa"/>
            <w:tcBorders>
              <w:top w:val="nil"/>
              <w:left w:val="nil"/>
              <w:bottom w:val="single" w:sz="4" w:space="0" w:color="auto"/>
              <w:right w:val="single" w:sz="4" w:space="0" w:color="auto"/>
            </w:tcBorders>
            <w:shd w:val="clear" w:color="auto" w:fill="auto"/>
            <w:noWrap/>
            <w:vAlign w:val="bottom"/>
            <w:hideMark/>
          </w:tcPr>
          <w:p w14:paraId="02108C36"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10.3</w:t>
            </w:r>
          </w:p>
        </w:tc>
      </w:tr>
      <w:tr w:rsidR="003F7123" w:rsidRPr="003F7123" w14:paraId="3F446683" w14:textId="77777777" w:rsidTr="001B7870">
        <w:trPr>
          <w:trHeight w:val="300"/>
          <w:jc w:val="center"/>
        </w:trPr>
        <w:tc>
          <w:tcPr>
            <w:tcW w:w="3162" w:type="dxa"/>
            <w:tcBorders>
              <w:top w:val="nil"/>
              <w:left w:val="single" w:sz="4" w:space="0" w:color="auto"/>
              <w:bottom w:val="single" w:sz="4" w:space="0" w:color="auto"/>
              <w:right w:val="single" w:sz="4" w:space="0" w:color="auto"/>
            </w:tcBorders>
            <w:shd w:val="clear" w:color="auto" w:fill="auto"/>
            <w:vAlign w:val="center"/>
            <w:hideMark/>
          </w:tcPr>
          <w:p w14:paraId="5295AFD5" w14:textId="77777777" w:rsidR="003F7123" w:rsidRPr="003F7123" w:rsidRDefault="003F7123" w:rsidP="003F7123">
            <w:pPr>
              <w:spacing w:after="0" w:line="240" w:lineRule="auto"/>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Total impuestos</w:t>
            </w:r>
          </w:p>
        </w:tc>
        <w:tc>
          <w:tcPr>
            <w:tcW w:w="1200" w:type="dxa"/>
            <w:tcBorders>
              <w:top w:val="nil"/>
              <w:left w:val="nil"/>
              <w:bottom w:val="single" w:sz="4" w:space="0" w:color="auto"/>
              <w:right w:val="single" w:sz="4" w:space="0" w:color="auto"/>
            </w:tcBorders>
            <w:shd w:val="clear" w:color="auto" w:fill="auto"/>
            <w:noWrap/>
            <w:vAlign w:val="bottom"/>
            <w:hideMark/>
          </w:tcPr>
          <w:p w14:paraId="53875705"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0A223017"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5C9B8A97"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100.0</w:t>
            </w:r>
          </w:p>
        </w:tc>
        <w:tc>
          <w:tcPr>
            <w:tcW w:w="1200" w:type="dxa"/>
            <w:tcBorders>
              <w:top w:val="nil"/>
              <w:left w:val="nil"/>
              <w:bottom w:val="single" w:sz="4" w:space="0" w:color="auto"/>
              <w:right w:val="single" w:sz="4" w:space="0" w:color="auto"/>
            </w:tcBorders>
            <w:shd w:val="clear" w:color="auto" w:fill="auto"/>
            <w:noWrap/>
            <w:vAlign w:val="bottom"/>
            <w:hideMark/>
          </w:tcPr>
          <w:p w14:paraId="5620B173"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100.0</w:t>
            </w:r>
          </w:p>
        </w:tc>
      </w:tr>
      <w:tr w:rsidR="003F7123" w:rsidRPr="003F7123" w14:paraId="0DEE11B6" w14:textId="77777777" w:rsidTr="001B7870">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14:paraId="3E1D9259" w14:textId="77777777" w:rsidR="003F7123" w:rsidRPr="003F7123" w:rsidRDefault="003F7123" w:rsidP="003F7123">
            <w:pPr>
              <w:spacing w:after="0" w:line="240" w:lineRule="auto"/>
              <w:ind w:firstLineChars="100" w:firstLine="220"/>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Impuestos directos</w:t>
            </w:r>
          </w:p>
        </w:tc>
        <w:tc>
          <w:tcPr>
            <w:tcW w:w="1200" w:type="dxa"/>
            <w:tcBorders>
              <w:top w:val="nil"/>
              <w:left w:val="nil"/>
              <w:bottom w:val="single" w:sz="4" w:space="0" w:color="auto"/>
              <w:right w:val="single" w:sz="4" w:space="0" w:color="auto"/>
            </w:tcBorders>
            <w:shd w:val="clear" w:color="auto" w:fill="auto"/>
            <w:noWrap/>
            <w:vAlign w:val="bottom"/>
            <w:hideMark/>
          </w:tcPr>
          <w:p w14:paraId="0F84233F"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24.1</w:t>
            </w:r>
          </w:p>
        </w:tc>
        <w:tc>
          <w:tcPr>
            <w:tcW w:w="1200" w:type="dxa"/>
            <w:tcBorders>
              <w:top w:val="nil"/>
              <w:left w:val="nil"/>
              <w:bottom w:val="single" w:sz="4" w:space="0" w:color="auto"/>
              <w:right w:val="single" w:sz="4" w:space="0" w:color="auto"/>
            </w:tcBorders>
            <w:shd w:val="clear" w:color="auto" w:fill="auto"/>
            <w:noWrap/>
            <w:vAlign w:val="bottom"/>
            <w:hideMark/>
          </w:tcPr>
          <w:p w14:paraId="5B48E33B"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27.0</w:t>
            </w:r>
          </w:p>
        </w:tc>
        <w:tc>
          <w:tcPr>
            <w:tcW w:w="1200" w:type="dxa"/>
            <w:tcBorders>
              <w:top w:val="nil"/>
              <w:left w:val="nil"/>
              <w:bottom w:val="single" w:sz="4" w:space="0" w:color="auto"/>
              <w:right w:val="single" w:sz="4" w:space="0" w:color="auto"/>
            </w:tcBorders>
            <w:shd w:val="clear" w:color="auto" w:fill="auto"/>
            <w:noWrap/>
            <w:vAlign w:val="bottom"/>
            <w:hideMark/>
          </w:tcPr>
          <w:p w14:paraId="164222E1"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31.6</w:t>
            </w:r>
          </w:p>
        </w:tc>
        <w:tc>
          <w:tcPr>
            <w:tcW w:w="1200" w:type="dxa"/>
            <w:tcBorders>
              <w:top w:val="nil"/>
              <w:left w:val="nil"/>
              <w:bottom w:val="single" w:sz="4" w:space="0" w:color="auto"/>
              <w:right w:val="single" w:sz="4" w:space="0" w:color="auto"/>
            </w:tcBorders>
            <w:shd w:val="clear" w:color="auto" w:fill="auto"/>
            <w:noWrap/>
            <w:vAlign w:val="bottom"/>
            <w:hideMark/>
          </w:tcPr>
          <w:p w14:paraId="0240E06B"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36.3</w:t>
            </w:r>
          </w:p>
        </w:tc>
      </w:tr>
      <w:tr w:rsidR="003F7123" w:rsidRPr="003F7123" w14:paraId="3ACE168F" w14:textId="77777777" w:rsidTr="001B7870">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14:paraId="012A2660" w14:textId="77777777" w:rsidR="003F7123" w:rsidRPr="003F7123" w:rsidRDefault="003F7123" w:rsidP="003F7123">
            <w:pPr>
              <w:spacing w:after="0" w:line="240" w:lineRule="auto"/>
              <w:ind w:firstLineChars="200" w:firstLine="440"/>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Impuestos sobre la renta</w:t>
            </w:r>
          </w:p>
        </w:tc>
        <w:tc>
          <w:tcPr>
            <w:tcW w:w="1200" w:type="dxa"/>
            <w:tcBorders>
              <w:top w:val="nil"/>
              <w:left w:val="nil"/>
              <w:bottom w:val="single" w:sz="4" w:space="0" w:color="auto"/>
              <w:right w:val="single" w:sz="4" w:space="0" w:color="auto"/>
            </w:tcBorders>
            <w:shd w:val="clear" w:color="auto" w:fill="auto"/>
            <w:noWrap/>
            <w:vAlign w:val="bottom"/>
            <w:hideMark/>
          </w:tcPr>
          <w:p w14:paraId="490EDE48"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13.6</w:t>
            </w:r>
          </w:p>
        </w:tc>
        <w:tc>
          <w:tcPr>
            <w:tcW w:w="1200" w:type="dxa"/>
            <w:tcBorders>
              <w:top w:val="nil"/>
              <w:left w:val="nil"/>
              <w:bottom w:val="single" w:sz="4" w:space="0" w:color="auto"/>
              <w:right w:val="single" w:sz="4" w:space="0" w:color="auto"/>
            </w:tcBorders>
            <w:shd w:val="clear" w:color="auto" w:fill="auto"/>
            <w:noWrap/>
            <w:vAlign w:val="bottom"/>
            <w:hideMark/>
          </w:tcPr>
          <w:p w14:paraId="5A724CD8"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19.3</w:t>
            </w:r>
          </w:p>
        </w:tc>
        <w:tc>
          <w:tcPr>
            <w:tcW w:w="1200" w:type="dxa"/>
            <w:tcBorders>
              <w:top w:val="nil"/>
              <w:left w:val="nil"/>
              <w:bottom w:val="single" w:sz="4" w:space="0" w:color="auto"/>
              <w:right w:val="single" w:sz="4" w:space="0" w:color="auto"/>
            </w:tcBorders>
            <w:shd w:val="clear" w:color="auto" w:fill="auto"/>
            <w:noWrap/>
            <w:vAlign w:val="bottom"/>
            <w:hideMark/>
          </w:tcPr>
          <w:p w14:paraId="6DFAD3DB"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24.4</w:t>
            </w:r>
          </w:p>
        </w:tc>
        <w:tc>
          <w:tcPr>
            <w:tcW w:w="1200" w:type="dxa"/>
            <w:tcBorders>
              <w:top w:val="nil"/>
              <w:left w:val="nil"/>
              <w:bottom w:val="single" w:sz="4" w:space="0" w:color="auto"/>
              <w:right w:val="single" w:sz="4" w:space="0" w:color="auto"/>
            </w:tcBorders>
            <w:shd w:val="clear" w:color="auto" w:fill="auto"/>
            <w:noWrap/>
            <w:vAlign w:val="bottom"/>
            <w:hideMark/>
          </w:tcPr>
          <w:p w14:paraId="4A9E6D26"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28.6</w:t>
            </w:r>
          </w:p>
        </w:tc>
      </w:tr>
      <w:tr w:rsidR="003F7123" w:rsidRPr="003F7123" w14:paraId="0A368F53" w14:textId="77777777" w:rsidTr="001B7870">
        <w:trPr>
          <w:trHeight w:val="629"/>
          <w:jc w:val="center"/>
        </w:trPr>
        <w:tc>
          <w:tcPr>
            <w:tcW w:w="3162" w:type="dxa"/>
            <w:tcBorders>
              <w:top w:val="nil"/>
              <w:left w:val="single" w:sz="4" w:space="0" w:color="auto"/>
              <w:bottom w:val="single" w:sz="4" w:space="0" w:color="auto"/>
              <w:right w:val="single" w:sz="4" w:space="0" w:color="auto"/>
            </w:tcBorders>
            <w:shd w:val="clear" w:color="auto" w:fill="auto"/>
            <w:vAlign w:val="bottom"/>
            <w:hideMark/>
          </w:tcPr>
          <w:p w14:paraId="0F4437EE" w14:textId="77777777" w:rsidR="003F7123" w:rsidRPr="003F7123" w:rsidRDefault="003F7123" w:rsidP="003F7123">
            <w:pPr>
              <w:spacing w:after="0" w:line="240" w:lineRule="auto"/>
              <w:ind w:firstLineChars="200" w:firstLine="440"/>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Extraordinario y Temporal de Apoyo a los Acuerdos de Paz</w:t>
            </w:r>
          </w:p>
        </w:tc>
        <w:tc>
          <w:tcPr>
            <w:tcW w:w="1200" w:type="dxa"/>
            <w:tcBorders>
              <w:top w:val="nil"/>
              <w:left w:val="nil"/>
              <w:bottom w:val="single" w:sz="4" w:space="0" w:color="auto"/>
              <w:right w:val="single" w:sz="4" w:space="0" w:color="auto"/>
            </w:tcBorders>
            <w:shd w:val="clear" w:color="auto" w:fill="auto"/>
            <w:noWrap/>
            <w:vAlign w:val="bottom"/>
            <w:hideMark/>
          </w:tcPr>
          <w:p w14:paraId="47225FFB"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0.0</w:t>
            </w:r>
          </w:p>
        </w:tc>
        <w:tc>
          <w:tcPr>
            <w:tcW w:w="1200" w:type="dxa"/>
            <w:tcBorders>
              <w:top w:val="nil"/>
              <w:left w:val="nil"/>
              <w:bottom w:val="single" w:sz="4" w:space="0" w:color="auto"/>
              <w:right w:val="single" w:sz="4" w:space="0" w:color="auto"/>
            </w:tcBorders>
            <w:shd w:val="clear" w:color="auto" w:fill="auto"/>
            <w:noWrap/>
            <w:vAlign w:val="bottom"/>
            <w:hideMark/>
          </w:tcPr>
          <w:p w14:paraId="0CC8F4B5"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6.8</w:t>
            </w:r>
          </w:p>
        </w:tc>
        <w:tc>
          <w:tcPr>
            <w:tcW w:w="1200" w:type="dxa"/>
            <w:tcBorders>
              <w:top w:val="nil"/>
              <w:left w:val="nil"/>
              <w:bottom w:val="single" w:sz="4" w:space="0" w:color="auto"/>
              <w:right w:val="single" w:sz="4" w:space="0" w:color="auto"/>
            </w:tcBorders>
            <w:shd w:val="clear" w:color="auto" w:fill="auto"/>
            <w:noWrap/>
            <w:vAlign w:val="bottom"/>
            <w:hideMark/>
          </w:tcPr>
          <w:p w14:paraId="14607309"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0.5</w:t>
            </w:r>
          </w:p>
        </w:tc>
        <w:tc>
          <w:tcPr>
            <w:tcW w:w="1200" w:type="dxa"/>
            <w:tcBorders>
              <w:top w:val="nil"/>
              <w:left w:val="nil"/>
              <w:bottom w:val="single" w:sz="4" w:space="0" w:color="auto"/>
              <w:right w:val="single" w:sz="4" w:space="0" w:color="auto"/>
            </w:tcBorders>
            <w:shd w:val="clear" w:color="auto" w:fill="auto"/>
            <w:noWrap/>
            <w:vAlign w:val="bottom"/>
            <w:hideMark/>
          </w:tcPr>
          <w:p w14:paraId="5329EB59"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0.0</w:t>
            </w:r>
          </w:p>
        </w:tc>
      </w:tr>
      <w:tr w:rsidR="003F7123" w:rsidRPr="003F7123" w14:paraId="678043D9" w14:textId="77777777" w:rsidTr="001B7870">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14:paraId="6A251C65" w14:textId="77777777" w:rsidR="003F7123" w:rsidRPr="003F7123" w:rsidRDefault="003F7123" w:rsidP="003F7123">
            <w:pPr>
              <w:spacing w:after="0" w:line="240" w:lineRule="auto"/>
              <w:ind w:firstLineChars="200" w:firstLine="440"/>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Impuesto de Solidaridad</w:t>
            </w:r>
          </w:p>
        </w:tc>
        <w:tc>
          <w:tcPr>
            <w:tcW w:w="1200" w:type="dxa"/>
            <w:tcBorders>
              <w:top w:val="nil"/>
              <w:left w:val="nil"/>
              <w:bottom w:val="single" w:sz="4" w:space="0" w:color="auto"/>
              <w:right w:val="single" w:sz="4" w:space="0" w:color="auto"/>
            </w:tcBorders>
            <w:shd w:val="clear" w:color="auto" w:fill="auto"/>
            <w:noWrap/>
            <w:vAlign w:val="bottom"/>
            <w:hideMark/>
          </w:tcPr>
          <w:p w14:paraId="2CBF4634"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0.0</w:t>
            </w:r>
          </w:p>
        </w:tc>
        <w:tc>
          <w:tcPr>
            <w:tcW w:w="1200" w:type="dxa"/>
            <w:tcBorders>
              <w:top w:val="nil"/>
              <w:left w:val="nil"/>
              <w:bottom w:val="single" w:sz="4" w:space="0" w:color="auto"/>
              <w:right w:val="single" w:sz="4" w:space="0" w:color="auto"/>
            </w:tcBorders>
            <w:shd w:val="clear" w:color="auto" w:fill="auto"/>
            <w:noWrap/>
            <w:vAlign w:val="bottom"/>
            <w:hideMark/>
          </w:tcPr>
          <w:p w14:paraId="40F507DE"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0.0</w:t>
            </w:r>
          </w:p>
        </w:tc>
        <w:tc>
          <w:tcPr>
            <w:tcW w:w="1200" w:type="dxa"/>
            <w:tcBorders>
              <w:top w:val="nil"/>
              <w:left w:val="nil"/>
              <w:bottom w:val="single" w:sz="4" w:space="0" w:color="auto"/>
              <w:right w:val="single" w:sz="4" w:space="0" w:color="auto"/>
            </w:tcBorders>
            <w:shd w:val="clear" w:color="auto" w:fill="auto"/>
            <w:noWrap/>
            <w:vAlign w:val="bottom"/>
            <w:hideMark/>
          </w:tcPr>
          <w:p w14:paraId="133B945C"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6.6</w:t>
            </w:r>
          </w:p>
        </w:tc>
        <w:tc>
          <w:tcPr>
            <w:tcW w:w="1200" w:type="dxa"/>
            <w:tcBorders>
              <w:top w:val="nil"/>
              <w:left w:val="nil"/>
              <w:bottom w:val="single" w:sz="4" w:space="0" w:color="auto"/>
              <w:right w:val="single" w:sz="4" w:space="0" w:color="auto"/>
            </w:tcBorders>
            <w:shd w:val="clear" w:color="auto" w:fill="auto"/>
            <w:noWrap/>
            <w:vAlign w:val="bottom"/>
            <w:hideMark/>
          </w:tcPr>
          <w:p w14:paraId="6FB7568D"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7.6</w:t>
            </w:r>
          </w:p>
        </w:tc>
      </w:tr>
      <w:tr w:rsidR="003F7123" w:rsidRPr="003F7123" w14:paraId="5F17F3F4" w14:textId="77777777" w:rsidTr="001B7870">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14:paraId="3EB7D9F0" w14:textId="77777777" w:rsidR="003F7123" w:rsidRPr="003F7123" w:rsidRDefault="003F7123" w:rsidP="003F7123">
            <w:pPr>
              <w:spacing w:after="0" w:line="240" w:lineRule="auto"/>
              <w:ind w:firstLineChars="200" w:firstLine="440"/>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Otros impuestos directos</w:t>
            </w:r>
          </w:p>
        </w:tc>
        <w:tc>
          <w:tcPr>
            <w:tcW w:w="1200" w:type="dxa"/>
            <w:tcBorders>
              <w:top w:val="nil"/>
              <w:left w:val="nil"/>
              <w:bottom w:val="single" w:sz="4" w:space="0" w:color="auto"/>
              <w:right w:val="single" w:sz="4" w:space="0" w:color="auto"/>
            </w:tcBorders>
            <w:shd w:val="clear" w:color="auto" w:fill="auto"/>
            <w:noWrap/>
            <w:vAlign w:val="bottom"/>
            <w:hideMark/>
          </w:tcPr>
          <w:p w14:paraId="2E309A90"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10.4</w:t>
            </w:r>
          </w:p>
        </w:tc>
        <w:tc>
          <w:tcPr>
            <w:tcW w:w="1200" w:type="dxa"/>
            <w:tcBorders>
              <w:top w:val="nil"/>
              <w:left w:val="nil"/>
              <w:bottom w:val="single" w:sz="4" w:space="0" w:color="auto"/>
              <w:right w:val="single" w:sz="4" w:space="0" w:color="auto"/>
            </w:tcBorders>
            <w:shd w:val="clear" w:color="auto" w:fill="auto"/>
            <w:noWrap/>
            <w:vAlign w:val="bottom"/>
            <w:hideMark/>
          </w:tcPr>
          <w:p w14:paraId="19A66001"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0.9</w:t>
            </w:r>
          </w:p>
        </w:tc>
        <w:tc>
          <w:tcPr>
            <w:tcW w:w="1200" w:type="dxa"/>
            <w:tcBorders>
              <w:top w:val="nil"/>
              <w:left w:val="nil"/>
              <w:bottom w:val="single" w:sz="4" w:space="0" w:color="auto"/>
              <w:right w:val="single" w:sz="4" w:space="0" w:color="auto"/>
            </w:tcBorders>
            <w:shd w:val="clear" w:color="auto" w:fill="auto"/>
            <w:noWrap/>
            <w:vAlign w:val="bottom"/>
            <w:hideMark/>
          </w:tcPr>
          <w:p w14:paraId="1EBDCA1A"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0.0</w:t>
            </w:r>
          </w:p>
        </w:tc>
        <w:tc>
          <w:tcPr>
            <w:tcW w:w="1200" w:type="dxa"/>
            <w:tcBorders>
              <w:top w:val="nil"/>
              <w:left w:val="nil"/>
              <w:bottom w:val="single" w:sz="4" w:space="0" w:color="auto"/>
              <w:right w:val="single" w:sz="4" w:space="0" w:color="auto"/>
            </w:tcBorders>
            <w:shd w:val="clear" w:color="auto" w:fill="auto"/>
            <w:noWrap/>
            <w:vAlign w:val="bottom"/>
            <w:hideMark/>
          </w:tcPr>
          <w:p w14:paraId="71FF02B6"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0.0</w:t>
            </w:r>
          </w:p>
        </w:tc>
      </w:tr>
      <w:tr w:rsidR="003F7123" w:rsidRPr="003F7123" w14:paraId="22BAC679" w14:textId="77777777" w:rsidTr="001B7870">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14:paraId="34F6D0F3" w14:textId="77777777" w:rsidR="003F7123" w:rsidRPr="003F7123" w:rsidRDefault="003F7123" w:rsidP="003F7123">
            <w:pPr>
              <w:spacing w:after="0" w:line="240" w:lineRule="auto"/>
              <w:ind w:firstLineChars="100" w:firstLine="220"/>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Impuestos indirectos</w:t>
            </w:r>
          </w:p>
        </w:tc>
        <w:tc>
          <w:tcPr>
            <w:tcW w:w="1200" w:type="dxa"/>
            <w:tcBorders>
              <w:top w:val="nil"/>
              <w:left w:val="nil"/>
              <w:bottom w:val="single" w:sz="4" w:space="0" w:color="auto"/>
              <w:right w:val="single" w:sz="4" w:space="0" w:color="auto"/>
            </w:tcBorders>
            <w:shd w:val="clear" w:color="auto" w:fill="auto"/>
            <w:noWrap/>
            <w:vAlign w:val="bottom"/>
            <w:hideMark/>
          </w:tcPr>
          <w:p w14:paraId="7BBAD709"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75.9</w:t>
            </w:r>
          </w:p>
        </w:tc>
        <w:tc>
          <w:tcPr>
            <w:tcW w:w="1200" w:type="dxa"/>
            <w:tcBorders>
              <w:top w:val="nil"/>
              <w:left w:val="nil"/>
              <w:bottom w:val="single" w:sz="4" w:space="0" w:color="auto"/>
              <w:right w:val="single" w:sz="4" w:space="0" w:color="auto"/>
            </w:tcBorders>
            <w:shd w:val="clear" w:color="auto" w:fill="auto"/>
            <w:noWrap/>
            <w:vAlign w:val="bottom"/>
            <w:hideMark/>
          </w:tcPr>
          <w:p w14:paraId="49D86F87"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73.0</w:t>
            </w:r>
          </w:p>
        </w:tc>
        <w:tc>
          <w:tcPr>
            <w:tcW w:w="1200" w:type="dxa"/>
            <w:tcBorders>
              <w:top w:val="nil"/>
              <w:left w:val="nil"/>
              <w:bottom w:val="single" w:sz="4" w:space="0" w:color="auto"/>
              <w:right w:val="single" w:sz="4" w:space="0" w:color="auto"/>
            </w:tcBorders>
            <w:shd w:val="clear" w:color="auto" w:fill="auto"/>
            <w:noWrap/>
            <w:vAlign w:val="bottom"/>
            <w:hideMark/>
          </w:tcPr>
          <w:p w14:paraId="0F3B603E"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68.4</w:t>
            </w:r>
          </w:p>
        </w:tc>
        <w:tc>
          <w:tcPr>
            <w:tcW w:w="1200" w:type="dxa"/>
            <w:tcBorders>
              <w:top w:val="nil"/>
              <w:left w:val="nil"/>
              <w:bottom w:val="single" w:sz="4" w:space="0" w:color="auto"/>
              <w:right w:val="single" w:sz="4" w:space="0" w:color="auto"/>
            </w:tcBorders>
            <w:shd w:val="clear" w:color="auto" w:fill="auto"/>
            <w:noWrap/>
            <w:vAlign w:val="bottom"/>
            <w:hideMark/>
          </w:tcPr>
          <w:p w14:paraId="73E7E7F6" w14:textId="77777777" w:rsidR="003F7123" w:rsidRPr="003F7123" w:rsidRDefault="003F7123" w:rsidP="003F7123">
            <w:pPr>
              <w:spacing w:after="0" w:line="240" w:lineRule="auto"/>
              <w:jc w:val="right"/>
              <w:rPr>
                <w:rFonts w:ascii="Calibri" w:eastAsia="Times New Roman" w:hAnsi="Calibri" w:cs="Times New Roman"/>
                <w:b/>
                <w:bCs/>
                <w:color w:val="000000"/>
                <w:lang w:eastAsia="es-GT"/>
              </w:rPr>
            </w:pPr>
            <w:r w:rsidRPr="003F7123">
              <w:rPr>
                <w:rFonts w:ascii="Calibri" w:eastAsia="Times New Roman" w:hAnsi="Calibri" w:cs="Times New Roman"/>
                <w:b/>
                <w:bCs/>
                <w:color w:val="000000"/>
                <w:lang w:eastAsia="es-GT"/>
              </w:rPr>
              <w:t>63.7</w:t>
            </w:r>
          </w:p>
        </w:tc>
      </w:tr>
      <w:tr w:rsidR="003F7123" w:rsidRPr="003F7123" w14:paraId="25E18788" w14:textId="77777777" w:rsidTr="001B7870">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14:paraId="725CDE67" w14:textId="77777777" w:rsidR="003F7123" w:rsidRPr="003F7123" w:rsidRDefault="003F7123" w:rsidP="003F7123">
            <w:pPr>
              <w:spacing w:after="0" w:line="240" w:lineRule="auto"/>
              <w:ind w:firstLineChars="200" w:firstLine="440"/>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Impuesto al valor agregado</w:t>
            </w:r>
          </w:p>
        </w:tc>
        <w:tc>
          <w:tcPr>
            <w:tcW w:w="1200" w:type="dxa"/>
            <w:tcBorders>
              <w:top w:val="nil"/>
              <w:left w:val="nil"/>
              <w:bottom w:val="single" w:sz="4" w:space="0" w:color="auto"/>
              <w:right w:val="single" w:sz="4" w:space="0" w:color="auto"/>
            </w:tcBorders>
            <w:shd w:val="clear" w:color="auto" w:fill="auto"/>
            <w:noWrap/>
            <w:vAlign w:val="bottom"/>
            <w:hideMark/>
          </w:tcPr>
          <w:p w14:paraId="6FCD1C70"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45.7</w:t>
            </w:r>
          </w:p>
        </w:tc>
        <w:tc>
          <w:tcPr>
            <w:tcW w:w="1200" w:type="dxa"/>
            <w:tcBorders>
              <w:top w:val="nil"/>
              <w:left w:val="nil"/>
              <w:bottom w:val="single" w:sz="4" w:space="0" w:color="auto"/>
              <w:right w:val="single" w:sz="4" w:space="0" w:color="auto"/>
            </w:tcBorders>
            <w:shd w:val="clear" w:color="auto" w:fill="auto"/>
            <w:noWrap/>
            <w:vAlign w:val="bottom"/>
            <w:hideMark/>
          </w:tcPr>
          <w:p w14:paraId="2AC8DAD1"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47.4</w:t>
            </w:r>
          </w:p>
        </w:tc>
        <w:tc>
          <w:tcPr>
            <w:tcW w:w="1200" w:type="dxa"/>
            <w:tcBorders>
              <w:top w:val="nil"/>
              <w:left w:val="nil"/>
              <w:bottom w:val="single" w:sz="4" w:space="0" w:color="auto"/>
              <w:right w:val="single" w:sz="4" w:space="0" w:color="auto"/>
            </w:tcBorders>
            <w:shd w:val="clear" w:color="auto" w:fill="auto"/>
            <w:noWrap/>
            <w:vAlign w:val="bottom"/>
            <w:hideMark/>
          </w:tcPr>
          <w:p w14:paraId="767F4D94"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48.1</w:t>
            </w:r>
          </w:p>
        </w:tc>
        <w:tc>
          <w:tcPr>
            <w:tcW w:w="1200" w:type="dxa"/>
            <w:tcBorders>
              <w:top w:val="nil"/>
              <w:left w:val="nil"/>
              <w:bottom w:val="single" w:sz="4" w:space="0" w:color="auto"/>
              <w:right w:val="single" w:sz="4" w:space="0" w:color="auto"/>
            </w:tcBorders>
            <w:shd w:val="clear" w:color="auto" w:fill="auto"/>
            <w:noWrap/>
            <w:vAlign w:val="bottom"/>
            <w:hideMark/>
          </w:tcPr>
          <w:p w14:paraId="0CD015D0"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46.4</w:t>
            </w:r>
          </w:p>
        </w:tc>
      </w:tr>
      <w:tr w:rsidR="003F7123" w:rsidRPr="003F7123" w14:paraId="282DB8AB" w14:textId="77777777" w:rsidTr="001B7870">
        <w:trPr>
          <w:trHeight w:val="600"/>
          <w:jc w:val="center"/>
        </w:trPr>
        <w:tc>
          <w:tcPr>
            <w:tcW w:w="3162" w:type="dxa"/>
            <w:tcBorders>
              <w:top w:val="nil"/>
              <w:left w:val="single" w:sz="4" w:space="0" w:color="auto"/>
              <w:bottom w:val="single" w:sz="4" w:space="0" w:color="auto"/>
              <w:right w:val="single" w:sz="4" w:space="0" w:color="auto"/>
            </w:tcBorders>
            <w:shd w:val="clear" w:color="auto" w:fill="auto"/>
            <w:vAlign w:val="center"/>
            <w:hideMark/>
          </w:tcPr>
          <w:p w14:paraId="5819445F" w14:textId="77777777" w:rsidR="003F7123" w:rsidRPr="003F7123" w:rsidRDefault="003F7123" w:rsidP="003F7123">
            <w:pPr>
              <w:spacing w:after="0" w:line="240" w:lineRule="auto"/>
              <w:ind w:firstLineChars="200" w:firstLine="440"/>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Derechos arancelarios a la importación</w:t>
            </w:r>
          </w:p>
        </w:tc>
        <w:tc>
          <w:tcPr>
            <w:tcW w:w="1200" w:type="dxa"/>
            <w:tcBorders>
              <w:top w:val="nil"/>
              <w:left w:val="nil"/>
              <w:bottom w:val="single" w:sz="4" w:space="0" w:color="auto"/>
              <w:right w:val="single" w:sz="4" w:space="0" w:color="auto"/>
            </w:tcBorders>
            <w:shd w:val="clear" w:color="auto" w:fill="auto"/>
            <w:noWrap/>
            <w:vAlign w:val="bottom"/>
            <w:hideMark/>
          </w:tcPr>
          <w:p w14:paraId="5C60D3CA"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12.3</w:t>
            </w:r>
          </w:p>
        </w:tc>
        <w:tc>
          <w:tcPr>
            <w:tcW w:w="1200" w:type="dxa"/>
            <w:tcBorders>
              <w:top w:val="nil"/>
              <w:left w:val="nil"/>
              <w:bottom w:val="single" w:sz="4" w:space="0" w:color="auto"/>
              <w:right w:val="single" w:sz="4" w:space="0" w:color="auto"/>
            </w:tcBorders>
            <w:shd w:val="clear" w:color="auto" w:fill="auto"/>
            <w:noWrap/>
            <w:vAlign w:val="bottom"/>
            <w:hideMark/>
          </w:tcPr>
          <w:p w14:paraId="09A9E013"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10.4</w:t>
            </w:r>
          </w:p>
        </w:tc>
        <w:tc>
          <w:tcPr>
            <w:tcW w:w="1200" w:type="dxa"/>
            <w:tcBorders>
              <w:top w:val="nil"/>
              <w:left w:val="nil"/>
              <w:bottom w:val="single" w:sz="4" w:space="0" w:color="auto"/>
              <w:right w:val="single" w:sz="4" w:space="0" w:color="auto"/>
            </w:tcBorders>
            <w:shd w:val="clear" w:color="auto" w:fill="auto"/>
            <w:noWrap/>
            <w:vAlign w:val="bottom"/>
            <w:hideMark/>
          </w:tcPr>
          <w:p w14:paraId="5505FDC3"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5.9</w:t>
            </w:r>
          </w:p>
        </w:tc>
        <w:tc>
          <w:tcPr>
            <w:tcW w:w="1200" w:type="dxa"/>
            <w:tcBorders>
              <w:top w:val="nil"/>
              <w:left w:val="nil"/>
              <w:bottom w:val="single" w:sz="4" w:space="0" w:color="auto"/>
              <w:right w:val="single" w:sz="4" w:space="0" w:color="auto"/>
            </w:tcBorders>
            <w:shd w:val="clear" w:color="auto" w:fill="auto"/>
            <w:noWrap/>
            <w:vAlign w:val="bottom"/>
            <w:hideMark/>
          </w:tcPr>
          <w:p w14:paraId="61E4F8E8"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4.3</w:t>
            </w:r>
          </w:p>
        </w:tc>
      </w:tr>
      <w:tr w:rsidR="003F7123" w:rsidRPr="003F7123" w14:paraId="6A6BD6CD" w14:textId="77777777" w:rsidTr="001B7870">
        <w:trPr>
          <w:trHeight w:val="600"/>
          <w:jc w:val="center"/>
        </w:trPr>
        <w:tc>
          <w:tcPr>
            <w:tcW w:w="3162" w:type="dxa"/>
            <w:tcBorders>
              <w:top w:val="nil"/>
              <w:left w:val="single" w:sz="4" w:space="0" w:color="auto"/>
              <w:bottom w:val="single" w:sz="4" w:space="0" w:color="auto"/>
              <w:right w:val="single" w:sz="4" w:space="0" w:color="auto"/>
            </w:tcBorders>
            <w:shd w:val="clear" w:color="auto" w:fill="auto"/>
            <w:vAlign w:val="center"/>
            <w:hideMark/>
          </w:tcPr>
          <w:p w14:paraId="7D125088" w14:textId="77777777" w:rsidR="003F7123" w:rsidRPr="003F7123" w:rsidRDefault="003F7123" w:rsidP="003F7123">
            <w:pPr>
              <w:spacing w:after="0" w:line="240" w:lineRule="auto"/>
              <w:ind w:firstLineChars="200" w:firstLine="440"/>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Distribución de Petróleo y sus Derivados</w:t>
            </w:r>
          </w:p>
        </w:tc>
        <w:tc>
          <w:tcPr>
            <w:tcW w:w="1200" w:type="dxa"/>
            <w:tcBorders>
              <w:top w:val="nil"/>
              <w:left w:val="nil"/>
              <w:bottom w:val="single" w:sz="4" w:space="0" w:color="auto"/>
              <w:right w:val="single" w:sz="4" w:space="0" w:color="auto"/>
            </w:tcBorders>
            <w:shd w:val="clear" w:color="auto" w:fill="auto"/>
            <w:noWrap/>
            <w:vAlign w:val="bottom"/>
            <w:hideMark/>
          </w:tcPr>
          <w:p w14:paraId="42A87E7F"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9.1</w:t>
            </w:r>
          </w:p>
        </w:tc>
        <w:tc>
          <w:tcPr>
            <w:tcW w:w="1200" w:type="dxa"/>
            <w:tcBorders>
              <w:top w:val="nil"/>
              <w:left w:val="nil"/>
              <w:bottom w:val="single" w:sz="4" w:space="0" w:color="auto"/>
              <w:right w:val="single" w:sz="4" w:space="0" w:color="auto"/>
            </w:tcBorders>
            <w:shd w:val="clear" w:color="auto" w:fill="auto"/>
            <w:noWrap/>
            <w:vAlign w:val="bottom"/>
            <w:hideMark/>
          </w:tcPr>
          <w:p w14:paraId="5509A92C"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5.9</w:t>
            </w:r>
          </w:p>
        </w:tc>
        <w:tc>
          <w:tcPr>
            <w:tcW w:w="1200" w:type="dxa"/>
            <w:tcBorders>
              <w:top w:val="nil"/>
              <w:left w:val="nil"/>
              <w:bottom w:val="single" w:sz="4" w:space="0" w:color="auto"/>
              <w:right w:val="single" w:sz="4" w:space="0" w:color="auto"/>
            </w:tcBorders>
            <w:shd w:val="clear" w:color="auto" w:fill="auto"/>
            <w:noWrap/>
            <w:vAlign w:val="bottom"/>
            <w:hideMark/>
          </w:tcPr>
          <w:p w14:paraId="6EABF16C"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5.7</w:t>
            </w:r>
          </w:p>
        </w:tc>
        <w:tc>
          <w:tcPr>
            <w:tcW w:w="1200" w:type="dxa"/>
            <w:tcBorders>
              <w:top w:val="nil"/>
              <w:left w:val="nil"/>
              <w:bottom w:val="single" w:sz="4" w:space="0" w:color="auto"/>
              <w:right w:val="single" w:sz="4" w:space="0" w:color="auto"/>
            </w:tcBorders>
            <w:shd w:val="clear" w:color="auto" w:fill="auto"/>
            <w:noWrap/>
            <w:vAlign w:val="bottom"/>
            <w:hideMark/>
          </w:tcPr>
          <w:p w14:paraId="5559A06A"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5.7</w:t>
            </w:r>
          </w:p>
        </w:tc>
      </w:tr>
      <w:tr w:rsidR="003F7123" w:rsidRPr="003F7123" w14:paraId="05A15183" w14:textId="77777777" w:rsidTr="001B7870">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14:paraId="461C5D93" w14:textId="77777777" w:rsidR="003F7123" w:rsidRPr="003F7123" w:rsidRDefault="003F7123" w:rsidP="003F7123">
            <w:pPr>
              <w:spacing w:after="0" w:line="240" w:lineRule="auto"/>
              <w:ind w:firstLineChars="200" w:firstLine="440"/>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Circulación de vehículos</w:t>
            </w:r>
          </w:p>
        </w:tc>
        <w:tc>
          <w:tcPr>
            <w:tcW w:w="1200" w:type="dxa"/>
            <w:tcBorders>
              <w:top w:val="nil"/>
              <w:left w:val="nil"/>
              <w:bottom w:val="single" w:sz="4" w:space="0" w:color="auto"/>
              <w:right w:val="single" w:sz="4" w:space="0" w:color="auto"/>
            </w:tcBorders>
            <w:shd w:val="clear" w:color="auto" w:fill="auto"/>
            <w:noWrap/>
            <w:vAlign w:val="bottom"/>
            <w:hideMark/>
          </w:tcPr>
          <w:p w14:paraId="493EA7D8"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1.3</w:t>
            </w:r>
          </w:p>
        </w:tc>
        <w:tc>
          <w:tcPr>
            <w:tcW w:w="1200" w:type="dxa"/>
            <w:tcBorders>
              <w:top w:val="nil"/>
              <w:left w:val="nil"/>
              <w:bottom w:val="single" w:sz="4" w:space="0" w:color="auto"/>
              <w:right w:val="single" w:sz="4" w:space="0" w:color="auto"/>
            </w:tcBorders>
            <w:shd w:val="clear" w:color="auto" w:fill="auto"/>
            <w:noWrap/>
            <w:vAlign w:val="bottom"/>
            <w:hideMark/>
          </w:tcPr>
          <w:p w14:paraId="03B9E256"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1.2</w:t>
            </w:r>
          </w:p>
        </w:tc>
        <w:tc>
          <w:tcPr>
            <w:tcW w:w="1200" w:type="dxa"/>
            <w:tcBorders>
              <w:top w:val="nil"/>
              <w:left w:val="nil"/>
              <w:bottom w:val="single" w:sz="4" w:space="0" w:color="auto"/>
              <w:right w:val="single" w:sz="4" w:space="0" w:color="auto"/>
            </w:tcBorders>
            <w:shd w:val="clear" w:color="auto" w:fill="auto"/>
            <w:noWrap/>
            <w:vAlign w:val="bottom"/>
            <w:hideMark/>
          </w:tcPr>
          <w:p w14:paraId="0D2CC10E"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1.5</w:t>
            </w:r>
          </w:p>
        </w:tc>
        <w:tc>
          <w:tcPr>
            <w:tcW w:w="1200" w:type="dxa"/>
            <w:tcBorders>
              <w:top w:val="nil"/>
              <w:left w:val="nil"/>
              <w:bottom w:val="single" w:sz="4" w:space="0" w:color="auto"/>
              <w:right w:val="single" w:sz="4" w:space="0" w:color="auto"/>
            </w:tcBorders>
            <w:shd w:val="clear" w:color="auto" w:fill="auto"/>
            <w:noWrap/>
            <w:vAlign w:val="bottom"/>
            <w:hideMark/>
          </w:tcPr>
          <w:p w14:paraId="08F6F854"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1.4</w:t>
            </w:r>
          </w:p>
        </w:tc>
      </w:tr>
      <w:tr w:rsidR="003F7123" w:rsidRPr="003F7123" w14:paraId="6354D811" w14:textId="77777777" w:rsidTr="001B7870">
        <w:trPr>
          <w:trHeight w:val="300"/>
          <w:jc w:val="center"/>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14:paraId="18C0BB66" w14:textId="77777777" w:rsidR="003F7123" w:rsidRPr="003F7123" w:rsidRDefault="003F7123" w:rsidP="003F7123">
            <w:pPr>
              <w:spacing w:after="0" w:line="240" w:lineRule="auto"/>
              <w:ind w:firstLineChars="200" w:firstLine="440"/>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Otros impuestos indirectos</w:t>
            </w:r>
          </w:p>
        </w:tc>
        <w:tc>
          <w:tcPr>
            <w:tcW w:w="1200" w:type="dxa"/>
            <w:tcBorders>
              <w:top w:val="nil"/>
              <w:left w:val="nil"/>
              <w:bottom w:val="single" w:sz="4" w:space="0" w:color="auto"/>
              <w:right w:val="single" w:sz="4" w:space="0" w:color="auto"/>
            </w:tcBorders>
            <w:shd w:val="clear" w:color="auto" w:fill="auto"/>
            <w:noWrap/>
            <w:vAlign w:val="bottom"/>
            <w:hideMark/>
          </w:tcPr>
          <w:p w14:paraId="34E2035C"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7.6</w:t>
            </w:r>
          </w:p>
        </w:tc>
        <w:tc>
          <w:tcPr>
            <w:tcW w:w="1200" w:type="dxa"/>
            <w:tcBorders>
              <w:top w:val="nil"/>
              <w:left w:val="nil"/>
              <w:bottom w:val="single" w:sz="4" w:space="0" w:color="auto"/>
              <w:right w:val="single" w:sz="4" w:space="0" w:color="auto"/>
            </w:tcBorders>
            <w:shd w:val="clear" w:color="auto" w:fill="auto"/>
            <w:noWrap/>
            <w:vAlign w:val="bottom"/>
            <w:hideMark/>
          </w:tcPr>
          <w:p w14:paraId="5DA7A8F3"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8.0</w:t>
            </w:r>
          </w:p>
        </w:tc>
        <w:tc>
          <w:tcPr>
            <w:tcW w:w="1200" w:type="dxa"/>
            <w:tcBorders>
              <w:top w:val="nil"/>
              <w:left w:val="nil"/>
              <w:bottom w:val="single" w:sz="4" w:space="0" w:color="auto"/>
              <w:right w:val="single" w:sz="4" w:space="0" w:color="auto"/>
            </w:tcBorders>
            <w:shd w:val="clear" w:color="auto" w:fill="auto"/>
            <w:noWrap/>
            <w:vAlign w:val="bottom"/>
            <w:hideMark/>
          </w:tcPr>
          <w:p w14:paraId="04096BE4"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7.3</w:t>
            </w:r>
          </w:p>
        </w:tc>
        <w:tc>
          <w:tcPr>
            <w:tcW w:w="1200" w:type="dxa"/>
            <w:tcBorders>
              <w:top w:val="nil"/>
              <w:left w:val="nil"/>
              <w:bottom w:val="single" w:sz="4" w:space="0" w:color="auto"/>
              <w:right w:val="single" w:sz="4" w:space="0" w:color="auto"/>
            </w:tcBorders>
            <w:shd w:val="clear" w:color="auto" w:fill="auto"/>
            <w:noWrap/>
            <w:vAlign w:val="bottom"/>
            <w:hideMark/>
          </w:tcPr>
          <w:p w14:paraId="787CB5BC" w14:textId="77777777" w:rsidR="003F7123" w:rsidRPr="003F7123" w:rsidRDefault="003F7123" w:rsidP="003F7123">
            <w:pPr>
              <w:spacing w:after="0" w:line="240" w:lineRule="auto"/>
              <w:jc w:val="right"/>
              <w:rPr>
                <w:rFonts w:ascii="Calibri" w:eastAsia="Times New Roman" w:hAnsi="Calibri" w:cs="Times New Roman"/>
                <w:color w:val="000000"/>
                <w:lang w:eastAsia="es-GT"/>
              </w:rPr>
            </w:pPr>
            <w:r w:rsidRPr="003F7123">
              <w:rPr>
                <w:rFonts w:ascii="Calibri" w:eastAsia="Times New Roman" w:hAnsi="Calibri" w:cs="Times New Roman"/>
                <w:color w:val="000000"/>
                <w:lang w:eastAsia="es-GT"/>
              </w:rPr>
              <w:t>5.9</w:t>
            </w:r>
          </w:p>
        </w:tc>
      </w:tr>
    </w:tbl>
    <w:p w14:paraId="48F1FE3C" w14:textId="77777777" w:rsidR="00BE7E6B" w:rsidRPr="00877DA5" w:rsidRDefault="001B7870" w:rsidP="00F8774C">
      <w:pPr>
        <w:jc w:val="both"/>
        <w:rPr>
          <w:sz w:val="18"/>
        </w:rPr>
      </w:pPr>
      <w:r w:rsidRPr="00877DA5">
        <w:rPr>
          <w:sz w:val="18"/>
        </w:rPr>
        <w:t>Fuente: Icefi base en estadísticas del Ministerio de Finanzas Públicas.</w:t>
      </w:r>
    </w:p>
    <w:p w14:paraId="06B31985" w14:textId="77777777" w:rsidR="00DD6753" w:rsidRDefault="00011ABD" w:rsidP="00BE7E6B">
      <w:pPr>
        <w:jc w:val="both"/>
      </w:pPr>
      <w:r>
        <w:t>De los impuestos vigentes, en esencia solo existen cuatro que pueden considerarse impuestos directos, siendo e</w:t>
      </w:r>
      <w:r w:rsidR="00BE7E6B">
        <w:t>stos e</w:t>
      </w:r>
      <w:r>
        <w:t xml:space="preserve">l impuesto sobre la renta, el impuesto de solidaridad, las regalías e hidrocarburos compartibles (no es un impuesto, pero el Ministerio de Finanzas Públicas lo califica de esa forma) y el impuesto sobre herencias, legados y donaciones.  </w:t>
      </w:r>
      <w:r w:rsidR="00BE7E6B">
        <w:t xml:space="preserve">Estos impuestos han aportado el 34.3% de la recaudación total obtenida entre 2010 y 2018, </w:t>
      </w:r>
      <w:r>
        <w:t xml:space="preserve">por lo que se puede concluir preliminarmente que la carga tributaria presenta una estructura regresiva.  </w:t>
      </w:r>
    </w:p>
    <w:p w14:paraId="1FE6AF00" w14:textId="77777777" w:rsidR="00011ABD" w:rsidRDefault="00DD6753" w:rsidP="00BE7E6B">
      <w:pPr>
        <w:jc w:val="both"/>
      </w:pPr>
      <w:r>
        <w:t>E</w:t>
      </w:r>
      <w:r w:rsidR="00011ABD">
        <w:t>n un estudio realizado por Icefi, en asocio con FIDA (2016) muestra que en general la tributación del país, que la estructura de la tributación en Guatemala aumenta la pobreza de los guatemaltecos.</w:t>
      </w:r>
      <w:r w:rsidR="00BE7E6B">
        <w:t xml:space="preserve"> A nivel general la tributación aunque es regresiva, resulta tener un impacto menor en el área rural, lo cual puede ser consecuencia de la relativa desgravación existente en el </w:t>
      </w:r>
      <w:r w:rsidR="001B7870">
        <w:t>i</w:t>
      </w:r>
      <w:r w:rsidR="00BE7E6B">
        <w:t xml:space="preserve">mpuesto al </w:t>
      </w:r>
      <w:r w:rsidR="001B7870">
        <w:t>v</w:t>
      </w:r>
      <w:r w:rsidR="00BE7E6B">
        <w:t xml:space="preserve">alor </w:t>
      </w:r>
      <w:r w:rsidR="001B7870">
        <w:t>a</w:t>
      </w:r>
      <w:r w:rsidR="00BE7E6B">
        <w:t>gregado que contempla la exención de</w:t>
      </w:r>
      <w:r w:rsidR="001B7870">
        <w:t xml:space="preserve"> su</w:t>
      </w:r>
      <w:r w:rsidR="00BE7E6B">
        <w:t xml:space="preserve"> cobro en las compras </w:t>
      </w:r>
      <w:r w:rsidR="001B7870">
        <w:t xml:space="preserve">realizadas </w:t>
      </w:r>
      <w:r w:rsidR="00BE7E6B">
        <w:t>en los mercados cantonales del país, los cuales son más abundantes en el interior del país.</w:t>
      </w:r>
    </w:p>
    <w:p w14:paraId="6FD468DD" w14:textId="77777777" w:rsidR="00BE7E6B" w:rsidRDefault="00BE7E6B" w:rsidP="00BE7E6B">
      <w:pPr>
        <w:spacing w:after="0" w:line="240" w:lineRule="auto"/>
        <w:jc w:val="center"/>
      </w:pPr>
      <w:r>
        <w:t>Cuadro</w:t>
      </w:r>
    </w:p>
    <w:p w14:paraId="42C7ECA2" w14:textId="77777777" w:rsidR="00BE7E6B" w:rsidRDefault="00BE7E6B" w:rsidP="00BE7E6B">
      <w:pPr>
        <w:spacing w:after="0" w:line="240" w:lineRule="auto"/>
        <w:jc w:val="center"/>
      </w:pPr>
      <w:r>
        <w:t>P</w:t>
      </w:r>
      <w:r w:rsidRPr="00BE7E6B">
        <w:t>rogresividad tributaria medida por el Índice de Kakwani, datos de 2011.  Clasifica</w:t>
      </w:r>
      <w:r>
        <w:t>ción en áreas rural y urbana</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3556"/>
        <w:gridCol w:w="2882"/>
        <w:gridCol w:w="2883"/>
      </w:tblGrid>
      <w:tr w:rsidR="00D4423D" w:rsidRPr="00D4423D" w14:paraId="21E57E90" w14:textId="77777777" w:rsidTr="00D4423D">
        <w:trPr>
          <w:trHeight w:val="174"/>
        </w:trPr>
        <w:tc>
          <w:tcPr>
            <w:tcW w:w="3556" w:type="dxa"/>
            <w:vMerge w:val="restart"/>
            <w:shd w:val="clear" w:color="auto" w:fill="C00000"/>
            <w:tcMar>
              <w:top w:w="15" w:type="dxa"/>
              <w:left w:w="70" w:type="dxa"/>
              <w:bottom w:w="0" w:type="dxa"/>
              <w:right w:w="70" w:type="dxa"/>
            </w:tcMar>
            <w:vAlign w:val="center"/>
            <w:hideMark/>
          </w:tcPr>
          <w:p w14:paraId="0ACDD08E" w14:textId="77777777" w:rsidR="00BE7E6B" w:rsidRPr="00D4423D" w:rsidRDefault="00BE7E6B" w:rsidP="00BE7E6B">
            <w:pPr>
              <w:spacing w:after="0" w:line="256" w:lineRule="auto"/>
              <w:jc w:val="center"/>
              <w:rPr>
                <w:rFonts w:eastAsia="Times New Roman" w:cstheme="minorHAnsi"/>
                <w:color w:val="FFFFFF" w:themeColor="background1"/>
                <w:szCs w:val="16"/>
                <w:lang w:eastAsia="es-GT"/>
              </w:rPr>
            </w:pPr>
            <w:r w:rsidRPr="00D4423D">
              <w:rPr>
                <w:rFonts w:eastAsia="Times New Roman" w:cstheme="minorHAnsi"/>
                <w:bCs/>
                <w:color w:val="FFFFFF" w:themeColor="background1"/>
                <w:kern w:val="24"/>
                <w:szCs w:val="16"/>
                <w:lang w:val="es-ES" w:eastAsia="es-GT"/>
              </w:rPr>
              <w:t>Tipo de impuestos</w:t>
            </w:r>
          </w:p>
        </w:tc>
        <w:tc>
          <w:tcPr>
            <w:tcW w:w="5765" w:type="dxa"/>
            <w:gridSpan w:val="2"/>
            <w:shd w:val="clear" w:color="auto" w:fill="C00000"/>
            <w:tcMar>
              <w:top w:w="15" w:type="dxa"/>
              <w:left w:w="70" w:type="dxa"/>
              <w:bottom w:w="0" w:type="dxa"/>
              <w:right w:w="70" w:type="dxa"/>
            </w:tcMar>
            <w:vAlign w:val="center"/>
            <w:hideMark/>
          </w:tcPr>
          <w:p w14:paraId="14C698ED" w14:textId="77777777" w:rsidR="00BE7E6B" w:rsidRPr="00D4423D" w:rsidRDefault="00BE7E6B" w:rsidP="00BE7E6B">
            <w:pPr>
              <w:spacing w:after="0" w:line="256" w:lineRule="auto"/>
              <w:jc w:val="center"/>
              <w:rPr>
                <w:rFonts w:eastAsia="Times New Roman" w:cstheme="minorHAnsi"/>
                <w:color w:val="FFFFFF" w:themeColor="background1"/>
                <w:szCs w:val="16"/>
                <w:lang w:eastAsia="es-GT"/>
              </w:rPr>
            </w:pPr>
            <w:r w:rsidRPr="00D4423D">
              <w:rPr>
                <w:rFonts w:eastAsia="Times New Roman" w:cstheme="minorHAnsi"/>
                <w:b/>
                <w:bCs/>
                <w:color w:val="FFFFFF" w:themeColor="background1"/>
                <w:kern w:val="24"/>
                <w:szCs w:val="16"/>
                <w:lang w:val="es-ES" w:eastAsia="es-GT"/>
              </w:rPr>
              <w:t>Índice de Kakwani</w:t>
            </w:r>
          </w:p>
        </w:tc>
      </w:tr>
      <w:tr w:rsidR="00D4423D" w:rsidRPr="00D4423D" w14:paraId="4E13AC61" w14:textId="77777777" w:rsidTr="00D4423D">
        <w:trPr>
          <w:trHeight w:val="174"/>
        </w:trPr>
        <w:tc>
          <w:tcPr>
            <w:tcW w:w="0" w:type="auto"/>
            <w:vMerge/>
            <w:shd w:val="clear" w:color="auto" w:fill="C00000"/>
            <w:vAlign w:val="center"/>
            <w:hideMark/>
          </w:tcPr>
          <w:p w14:paraId="7C351235" w14:textId="77777777" w:rsidR="00BE7E6B" w:rsidRPr="00D4423D" w:rsidRDefault="00BE7E6B" w:rsidP="00BE7E6B">
            <w:pPr>
              <w:spacing w:after="0" w:line="240" w:lineRule="auto"/>
              <w:rPr>
                <w:rFonts w:eastAsia="Times New Roman" w:cstheme="minorHAnsi"/>
                <w:color w:val="FFFFFF" w:themeColor="background1"/>
                <w:szCs w:val="16"/>
                <w:lang w:eastAsia="es-GT"/>
              </w:rPr>
            </w:pPr>
          </w:p>
        </w:tc>
        <w:tc>
          <w:tcPr>
            <w:tcW w:w="2882" w:type="dxa"/>
            <w:shd w:val="clear" w:color="auto" w:fill="C00000"/>
            <w:tcMar>
              <w:top w:w="15" w:type="dxa"/>
              <w:left w:w="70" w:type="dxa"/>
              <w:bottom w:w="0" w:type="dxa"/>
              <w:right w:w="70" w:type="dxa"/>
            </w:tcMar>
            <w:vAlign w:val="center"/>
            <w:hideMark/>
          </w:tcPr>
          <w:p w14:paraId="1B08686D" w14:textId="77777777" w:rsidR="00BE7E6B" w:rsidRPr="00D4423D" w:rsidRDefault="00BE7E6B" w:rsidP="00BE7E6B">
            <w:pPr>
              <w:spacing w:after="0" w:line="256" w:lineRule="auto"/>
              <w:jc w:val="center"/>
              <w:rPr>
                <w:rFonts w:eastAsia="Times New Roman" w:cstheme="minorHAnsi"/>
                <w:color w:val="FFFFFF" w:themeColor="background1"/>
                <w:szCs w:val="16"/>
                <w:lang w:eastAsia="es-GT"/>
              </w:rPr>
            </w:pPr>
            <w:r w:rsidRPr="00D4423D">
              <w:rPr>
                <w:rFonts w:eastAsia="Times New Roman" w:cstheme="minorHAnsi"/>
                <w:b/>
                <w:bCs/>
                <w:color w:val="FFFFFF" w:themeColor="background1"/>
                <w:kern w:val="24"/>
                <w:szCs w:val="16"/>
                <w:lang w:val="es-ES" w:eastAsia="es-GT"/>
              </w:rPr>
              <w:t>Rural</w:t>
            </w:r>
          </w:p>
        </w:tc>
        <w:tc>
          <w:tcPr>
            <w:tcW w:w="2883" w:type="dxa"/>
            <w:shd w:val="clear" w:color="auto" w:fill="C00000"/>
            <w:tcMar>
              <w:top w:w="15" w:type="dxa"/>
              <w:left w:w="70" w:type="dxa"/>
              <w:bottom w:w="0" w:type="dxa"/>
              <w:right w:w="70" w:type="dxa"/>
            </w:tcMar>
            <w:vAlign w:val="center"/>
            <w:hideMark/>
          </w:tcPr>
          <w:p w14:paraId="2C9AEA1A" w14:textId="77777777" w:rsidR="00BE7E6B" w:rsidRPr="00D4423D" w:rsidRDefault="00BE7E6B" w:rsidP="00BE7E6B">
            <w:pPr>
              <w:spacing w:after="0" w:line="256" w:lineRule="auto"/>
              <w:jc w:val="center"/>
              <w:rPr>
                <w:rFonts w:eastAsia="Times New Roman" w:cstheme="minorHAnsi"/>
                <w:color w:val="FFFFFF" w:themeColor="background1"/>
                <w:szCs w:val="16"/>
                <w:lang w:eastAsia="es-GT"/>
              </w:rPr>
            </w:pPr>
            <w:r w:rsidRPr="00D4423D">
              <w:rPr>
                <w:rFonts w:eastAsia="Times New Roman" w:cstheme="minorHAnsi"/>
                <w:b/>
                <w:bCs/>
                <w:color w:val="FFFFFF" w:themeColor="background1"/>
                <w:kern w:val="24"/>
                <w:szCs w:val="16"/>
                <w:lang w:val="es-ES" w:eastAsia="es-GT"/>
              </w:rPr>
              <w:t>Urbano</w:t>
            </w:r>
          </w:p>
        </w:tc>
      </w:tr>
      <w:tr w:rsidR="00BE7E6B" w:rsidRPr="00BE7E6B" w14:paraId="3D8EC259" w14:textId="77777777" w:rsidTr="007D4001">
        <w:trPr>
          <w:trHeight w:val="305"/>
        </w:trPr>
        <w:tc>
          <w:tcPr>
            <w:tcW w:w="3556" w:type="dxa"/>
            <w:shd w:val="clear" w:color="auto" w:fill="FFFFFF" w:themeFill="background1"/>
            <w:tcMar>
              <w:top w:w="15" w:type="dxa"/>
              <w:left w:w="70" w:type="dxa"/>
              <w:bottom w:w="0" w:type="dxa"/>
              <w:right w:w="70" w:type="dxa"/>
            </w:tcMar>
            <w:vAlign w:val="center"/>
            <w:hideMark/>
          </w:tcPr>
          <w:p w14:paraId="63C8E345" w14:textId="77777777" w:rsidR="00BE7E6B" w:rsidRPr="00BE7E6B" w:rsidRDefault="00BE7E6B" w:rsidP="00BE7E6B">
            <w:pPr>
              <w:spacing w:after="0" w:line="256" w:lineRule="auto"/>
              <w:jc w:val="center"/>
              <w:rPr>
                <w:rFonts w:eastAsia="Times New Roman" w:cstheme="minorHAnsi"/>
                <w:szCs w:val="16"/>
                <w:lang w:eastAsia="es-GT"/>
              </w:rPr>
            </w:pPr>
            <w:r w:rsidRPr="00BE7E6B">
              <w:rPr>
                <w:rFonts w:eastAsia="Times New Roman" w:cstheme="minorHAnsi"/>
                <w:bCs/>
                <w:kern w:val="24"/>
                <w:szCs w:val="16"/>
                <w:lang w:val="es-ES" w:eastAsia="es-GT"/>
              </w:rPr>
              <w:t>Impuestos directos</w:t>
            </w:r>
          </w:p>
        </w:tc>
        <w:tc>
          <w:tcPr>
            <w:tcW w:w="2882" w:type="dxa"/>
            <w:shd w:val="clear" w:color="auto" w:fill="FFFFFF" w:themeFill="background1"/>
            <w:tcMar>
              <w:top w:w="15" w:type="dxa"/>
              <w:left w:w="70" w:type="dxa"/>
              <w:bottom w:w="0" w:type="dxa"/>
              <w:right w:w="70" w:type="dxa"/>
            </w:tcMar>
            <w:vAlign w:val="bottom"/>
            <w:hideMark/>
          </w:tcPr>
          <w:p w14:paraId="2CC3CCB2" w14:textId="77777777" w:rsidR="00BE7E6B" w:rsidRPr="00BE7E6B" w:rsidRDefault="00BE7E6B" w:rsidP="00BE7E6B">
            <w:pPr>
              <w:spacing w:after="0" w:line="256" w:lineRule="auto"/>
              <w:jc w:val="right"/>
              <w:rPr>
                <w:rFonts w:eastAsia="Times New Roman" w:cstheme="minorHAnsi"/>
                <w:szCs w:val="16"/>
                <w:lang w:eastAsia="es-GT"/>
              </w:rPr>
            </w:pPr>
            <w:r w:rsidRPr="00BE7E6B">
              <w:rPr>
                <w:rFonts w:eastAsia="Times New Roman" w:cstheme="minorHAnsi"/>
                <w:kern w:val="24"/>
                <w:szCs w:val="16"/>
                <w:lang w:eastAsia="es-GT"/>
              </w:rPr>
              <w:t>0.530301</w:t>
            </w:r>
          </w:p>
        </w:tc>
        <w:tc>
          <w:tcPr>
            <w:tcW w:w="2883" w:type="dxa"/>
            <w:shd w:val="clear" w:color="auto" w:fill="FFFFFF" w:themeFill="background1"/>
            <w:tcMar>
              <w:top w:w="15" w:type="dxa"/>
              <w:left w:w="70" w:type="dxa"/>
              <w:bottom w:w="0" w:type="dxa"/>
              <w:right w:w="70" w:type="dxa"/>
            </w:tcMar>
            <w:vAlign w:val="bottom"/>
            <w:hideMark/>
          </w:tcPr>
          <w:p w14:paraId="6E90A174" w14:textId="77777777" w:rsidR="00BE7E6B" w:rsidRPr="00BE7E6B" w:rsidRDefault="00BE7E6B" w:rsidP="00BE7E6B">
            <w:pPr>
              <w:spacing w:after="0" w:line="256" w:lineRule="auto"/>
              <w:jc w:val="right"/>
              <w:rPr>
                <w:rFonts w:eastAsia="Times New Roman" w:cstheme="minorHAnsi"/>
                <w:szCs w:val="16"/>
                <w:lang w:eastAsia="es-GT"/>
              </w:rPr>
            </w:pPr>
            <w:r w:rsidRPr="00BE7E6B">
              <w:rPr>
                <w:rFonts w:eastAsia="Times New Roman" w:cstheme="minorHAnsi"/>
                <w:kern w:val="24"/>
                <w:szCs w:val="16"/>
                <w:lang w:eastAsia="es-GT"/>
              </w:rPr>
              <w:t>0.408255</w:t>
            </w:r>
          </w:p>
        </w:tc>
      </w:tr>
      <w:tr w:rsidR="00BE7E6B" w:rsidRPr="00BE7E6B" w14:paraId="2FAF79BE" w14:textId="77777777" w:rsidTr="007D4001">
        <w:trPr>
          <w:trHeight w:val="305"/>
        </w:trPr>
        <w:tc>
          <w:tcPr>
            <w:tcW w:w="3556" w:type="dxa"/>
            <w:shd w:val="clear" w:color="auto" w:fill="FFFFFF" w:themeFill="background1"/>
            <w:tcMar>
              <w:top w:w="15" w:type="dxa"/>
              <w:left w:w="70" w:type="dxa"/>
              <w:bottom w:w="0" w:type="dxa"/>
              <w:right w:w="70" w:type="dxa"/>
            </w:tcMar>
            <w:vAlign w:val="center"/>
            <w:hideMark/>
          </w:tcPr>
          <w:p w14:paraId="28C296B1" w14:textId="77777777" w:rsidR="00BE7E6B" w:rsidRPr="00BE7E6B" w:rsidRDefault="00BE7E6B" w:rsidP="00BE7E6B">
            <w:pPr>
              <w:spacing w:after="0" w:line="256" w:lineRule="auto"/>
              <w:jc w:val="center"/>
              <w:rPr>
                <w:rFonts w:eastAsia="Times New Roman" w:cstheme="minorHAnsi"/>
                <w:szCs w:val="16"/>
                <w:lang w:eastAsia="es-GT"/>
              </w:rPr>
            </w:pPr>
            <w:r w:rsidRPr="00BE7E6B">
              <w:rPr>
                <w:rFonts w:eastAsia="Times New Roman" w:cstheme="minorHAnsi"/>
                <w:bCs/>
                <w:kern w:val="24"/>
                <w:szCs w:val="16"/>
                <w:lang w:val="es-ES" w:eastAsia="es-GT"/>
              </w:rPr>
              <w:t>Impuestos indirectos</w:t>
            </w:r>
          </w:p>
        </w:tc>
        <w:tc>
          <w:tcPr>
            <w:tcW w:w="2882" w:type="dxa"/>
            <w:shd w:val="clear" w:color="auto" w:fill="FFFFFF" w:themeFill="background1"/>
            <w:tcMar>
              <w:top w:w="15" w:type="dxa"/>
              <w:left w:w="70" w:type="dxa"/>
              <w:bottom w:w="0" w:type="dxa"/>
              <w:right w:w="70" w:type="dxa"/>
            </w:tcMar>
            <w:vAlign w:val="bottom"/>
            <w:hideMark/>
          </w:tcPr>
          <w:p w14:paraId="4C1BCD48" w14:textId="77777777" w:rsidR="00BE7E6B" w:rsidRPr="00BE7E6B" w:rsidRDefault="00BE7E6B" w:rsidP="00BE7E6B">
            <w:pPr>
              <w:spacing w:after="0" w:line="256" w:lineRule="auto"/>
              <w:jc w:val="right"/>
              <w:rPr>
                <w:rFonts w:eastAsia="Times New Roman" w:cstheme="minorHAnsi"/>
                <w:szCs w:val="16"/>
                <w:lang w:eastAsia="es-GT"/>
              </w:rPr>
            </w:pPr>
            <w:r w:rsidRPr="00BE7E6B">
              <w:rPr>
                <w:rFonts w:eastAsia="Times New Roman" w:cstheme="minorHAnsi"/>
                <w:kern w:val="24"/>
                <w:szCs w:val="16"/>
                <w:lang w:eastAsia="es-GT"/>
              </w:rPr>
              <w:t>-0.070066</w:t>
            </w:r>
          </w:p>
        </w:tc>
        <w:tc>
          <w:tcPr>
            <w:tcW w:w="2883" w:type="dxa"/>
            <w:shd w:val="clear" w:color="auto" w:fill="FFFFFF" w:themeFill="background1"/>
            <w:tcMar>
              <w:top w:w="15" w:type="dxa"/>
              <w:left w:w="70" w:type="dxa"/>
              <w:bottom w:w="0" w:type="dxa"/>
              <w:right w:w="70" w:type="dxa"/>
            </w:tcMar>
            <w:vAlign w:val="bottom"/>
            <w:hideMark/>
          </w:tcPr>
          <w:p w14:paraId="619F19D9" w14:textId="77777777" w:rsidR="00BE7E6B" w:rsidRPr="00BE7E6B" w:rsidRDefault="00BE7E6B" w:rsidP="00BE7E6B">
            <w:pPr>
              <w:spacing w:after="0" w:line="256" w:lineRule="auto"/>
              <w:jc w:val="right"/>
              <w:rPr>
                <w:rFonts w:eastAsia="Times New Roman" w:cstheme="minorHAnsi"/>
                <w:szCs w:val="16"/>
                <w:lang w:eastAsia="es-GT"/>
              </w:rPr>
            </w:pPr>
            <w:r w:rsidRPr="00BE7E6B">
              <w:rPr>
                <w:rFonts w:eastAsia="Times New Roman" w:cstheme="minorHAnsi"/>
                <w:kern w:val="24"/>
                <w:szCs w:val="16"/>
                <w:lang w:eastAsia="es-GT"/>
              </w:rPr>
              <w:t>-0.126039</w:t>
            </w:r>
          </w:p>
        </w:tc>
      </w:tr>
      <w:tr w:rsidR="00BE7E6B" w:rsidRPr="00BE7E6B" w14:paraId="2A85D6C0" w14:textId="77777777" w:rsidTr="007D4001">
        <w:trPr>
          <w:trHeight w:val="305"/>
        </w:trPr>
        <w:tc>
          <w:tcPr>
            <w:tcW w:w="3556" w:type="dxa"/>
            <w:shd w:val="clear" w:color="auto" w:fill="FFFFFF" w:themeFill="background1"/>
            <w:tcMar>
              <w:top w:w="15" w:type="dxa"/>
              <w:left w:w="70" w:type="dxa"/>
              <w:bottom w:w="0" w:type="dxa"/>
              <w:right w:w="70" w:type="dxa"/>
            </w:tcMar>
            <w:vAlign w:val="center"/>
            <w:hideMark/>
          </w:tcPr>
          <w:p w14:paraId="79DE34AD" w14:textId="77777777" w:rsidR="00BE7E6B" w:rsidRPr="00BE7E6B" w:rsidRDefault="00BE7E6B" w:rsidP="00BE7E6B">
            <w:pPr>
              <w:spacing w:after="0" w:line="256" w:lineRule="auto"/>
              <w:jc w:val="center"/>
              <w:rPr>
                <w:rFonts w:eastAsia="Times New Roman" w:cstheme="minorHAnsi"/>
                <w:szCs w:val="16"/>
                <w:lang w:eastAsia="es-GT"/>
              </w:rPr>
            </w:pPr>
            <w:r w:rsidRPr="00BE7E6B">
              <w:rPr>
                <w:rFonts w:eastAsia="Times New Roman" w:cstheme="minorHAnsi"/>
                <w:bCs/>
                <w:kern w:val="24"/>
                <w:szCs w:val="16"/>
                <w:lang w:val="es-ES" w:eastAsia="es-GT"/>
              </w:rPr>
              <w:t>Todos los impuestos</w:t>
            </w:r>
          </w:p>
        </w:tc>
        <w:tc>
          <w:tcPr>
            <w:tcW w:w="2882" w:type="dxa"/>
            <w:shd w:val="clear" w:color="auto" w:fill="FFFFFF" w:themeFill="background1"/>
            <w:tcMar>
              <w:top w:w="15" w:type="dxa"/>
              <w:left w:w="70" w:type="dxa"/>
              <w:bottom w:w="0" w:type="dxa"/>
              <w:right w:w="70" w:type="dxa"/>
            </w:tcMar>
            <w:vAlign w:val="bottom"/>
            <w:hideMark/>
          </w:tcPr>
          <w:p w14:paraId="5C97DC10" w14:textId="77777777" w:rsidR="00BE7E6B" w:rsidRPr="00BE7E6B" w:rsidRDefault="00BE7E6B" w:rsidP="00BE7E6B">
            <w:pPr>
              <w:spacing w:after="0" w:line="256" w:lineRule="auto"/>
              <w:jc w:val="right"/>
              <w:rPr>
                <w:rFonts w:eastAsia="Times New Roman" w:cstheme="minorHAnsi"/>
                <w:szCs w:val="16"/>
                <w:lang w:eastAsia="es-GT"/>
              </w:rPr>
            </w:pPr>
            <w:r w:rsidRPr="00BE7E6B">
              <w:rPr>
                <w:rFonts w:eastAsia="Times New Roman" w:cstheme="minorHAnsi"/>
                <w:kern w:val="24"/>
                <w:szCs w:val="16"/>
                <w:lang w:eastAsia="es-GT"/>
              </w:rPr>
              <w:t>-0.005589</w:t>
            </w:r>
          </w:p>
        </w:tc>
        <w:tc>
          <w:tcPr>
            <w:tcW w:w="2883" w:type="dxa"/>
            <w:shd w:val="clear" w:color="auto" w:fill="FFFFFF" w:themeFill="background1"/>
            <w:tcMar>
              <w:top w:w="15" w:type="dxa"/>
              <w:left w:w="70" w:type="dxa"/>
              <w:bottom w:w="0" w:type="dxa"/>
              <w:right w:w="70" w:type="dxa"/>
            </w:tcMar>
            <w:vAlign w:val="bottom"/>
            <w:hideMark/>
          </w:tcPr>
          <w:p w14:paraId="48E23E89" w14:textId="77777777" w:rsidR="00BE7E6B" w:rsidRPr="00BE7E6B" w:rsidRDefault="00BE7E6B" w:rsidP="00BE7E6B">
            <w:pPr>
              <w:spacing w:after="0" w:line="256" w:lineRule="auto"/>
              <w:jc w:val="right"/>
              <w:rPr>
                <w:rFonts w:eastAsia="Times New Roman" w:cstheme="minorHAnsi"/>
                <w:szCs w:val="16"/>
                <w:lang w:eastAsia="es-GT"/>
              </w:rPr>
            </w:pPr>
            <w:r w:rsidRPr="00BE7E6B">
              <w:rPr>
                <w:rFonts w:eastAsia="Times New Roman" w:cstheme="minorHAnsi"/>
                <w:kern w:val="24"/>
                <w:szCs w:val="16"/>
                <w:lang w:eastAsia="es-GT"/>
              </w:rPr>
              <w:t>-0.010934</w:t>
            </w:r>
          </w:p>
        </w:tc>
      </w:tr>
    </w:tbl>
    <w:p w14:paraId="6B8C5A71" w14:textId="77777777" w:rsidR="00BE7E6B" w:rsidRPr="00BE7E6B" w:rsidRDefault="00BE7E6B" w:rsidP="00BE7E6B">
      <w:pPr>
        <w:jc w:val="both"/>
        <w:rPr>
          <w:rFonts w:cstheme="minorHAnsi"/>
          <w:sz w:val="20"/>
          <w:szCs w:val="16"/>
        </w:rPr>
      </w:pPr>
      <w:r w:rsidRPr="00BE7E6B">
        <w:rPr>
          <w:rFonts w:cstheme="minorHAnsi"/>
          <w:sz w:val="20"/>
          <w:szCs w:val="16"/>
        </w:rPr>
        <w:t>Fuente: Icefi / FIDA (2016)</w:t>
      </w:r>
      <w:r>
        <w:rPr>
          <w:rFonts w:cstheme="minorHAnsi"/>
          <w:sz w:val="20"/>
          <w:szCs w:val="16"/>
        </w:rPr>
        <w:t>.</w:t>
      </w:r>
    </w:p>
    <w:p w14:paraId="027680F7" w14:textId="77777777" w:rsidR="00DD6753" w:rsidRDefault="00DD6753">
      <w:r>
        <w:br w:type="page"/>
      </w:r>
    </w:p>
    <w:p w14:paraId="173E2407" w14:textId="77777777" w:rsidR="00BE7E6B" w:rsidRDefault="00BE7E6B" w:rsidP="00BE7E6B">
      <w:pPr>
        <w:jc w:val="both"/>
      </w:pPr>
    </w:p>
    <w:p w14:paraId="45F8DF09" w14:textId="77777777" w:rsidR="00BE7E6B" w:rsidRPr="00310D72" w:rsidRDefault="00310D72" w:rsidP="005D4B28">
      <w:pPr>
        <w:pStyle w:val="Heading2"/>
      </w:pPr>
      <w:bookmarkStart w:id="7" w:name="_Toc47694497"/>
      <w:r w:rsidRPr="00310D72">
        <w:t xml:space="preserve">El </w:t>
      </w:r>
      <w:r w:rsidR="00341AE2">
        <w:t>costo de la deuda pública va en aumento</w:t>
      </w:r>
      <w:bookmarkEnd w:id="7"/>
    </w:p>
    <w:p w14:paraId="7791397A" w14:textId="77777777" w:rsidR="005D4B28" w:rsidRDefault="005D4B28" w:rsidP="0065348F">
      <w:pPr>
        <w:jc w:val="both"/>
      </w:pPr>
    </w:p>
    <w:p w14:paraId="1956FC07" w14:textId="77777777" w:rsidR="00F8774C" w:rsidRDefault="00C809E2" w:rsidP="0065348F">
      <w:pPr>
        <w:jc w:val="both"/>
      </w:pPr>
      <w:r>
        <w:t>El déficit fiscal (ingresos</w:t>
      </w:r>
      <w:r w:rsidR="00E92338">
        <w:t xml:space="preserve"> públicos</w:t>
      </w:r>
      <w:r>
        <w:t xml:space="preserve"> </w:t>
      </w:r>
      <w:r w:rsidR="00E92338">
        <w:t xml:space="preserve">totales </w:t>
      </w:r>
      <w:r>
        <w:t>menos gasto</w:t>
      </w:r>
      <w:r w:rsidR="00E92338">
        <w:t>s públicos totales</w:t>
      </w:r>
      <w:r>
        <w:t>) ha</w:t>
      </w:r>
      <w:r w:rsidR="00AC63CF">
        <w:t xml:space="preserve"> estado presente en los presupuestos públicos de los últimos años. </w:t>
      </w:r>
      <w:r w:rsidR="00E92338">
        <w:t xml:space="preserve"> Sin embargo, e</w:t>
      </w:r>
      <w:r w:rsidR="00AC63CF">
        <w:t>ntre 2010 y 201</w:t>
      </w:r>
      <w:r w:rsidR="00E92338">
        <w:t>6</w:t>
      </w:r>
      <w:r w:rsidR="00AC63CF">
        <w:t>, se puede adve</w:t>
      </w:r>
      <w:r w:rsidR="00E92338">
        <w:t>rtir cómo la reducción del déficit fiscal se debe más a los recortes, en términos reales, del gasto y la inversión pública que al aumento de los ingresos públicos. Por el contrario, entre 2017 y 2018, el déficit fiscal fue resultado de la contracción de los ingresos públicos que se registró al tiempo en que el gasto público total registraba leves incrementos.</w:t>
      </w:r>
    </w:p>
    <w:p w14:paraId="390F5204" w14:textId="77777777" w:rsidR="00E92338" w:rsidRDefault="00E92338" w:rsidP="00E92338">
      <w:pPr>
        <w:spacing w:after="0" w:line="240" w:lineRule="auto"/>
        <w:jc w:val="center"/>
      </w:pPr>
      <w:r>
        <w:t>Cuadro</w:t>
      </w:r>
    </w:p>
    <w:p w14:paraId="1BCA2325" w14:textId="77777777" w:rsidR="00E92338" w:rsidRDefault="00E92338" w:rsidP="00E92338">
      <w:pPr>
        <w:spacing w:after="0" w:line="240" w:lineRule="auto"/>
        <w:jc w:val="center"/>
      </w:pPr>
      <w:r>
        <w:t>Administración central: déficit fiscal, ingreso público total y gasto público total registrados entre 1999 y 2018</w:t>
      </w:r>
    </w:p>
    <w:tbl>
      <w:tblPr>
        <w:tblW w:w="7620" w:type="dxa"/>
        <w:jc w:val="center"/>
        <w:tblCellMar>
          <w:left w:w="70" w:type="dxa"/>
          <w:right w:w="70" w:type="dxa"/>
        </w:tblCellMar>
        <w:tblLook w:val="04A0" w:firstRow="1" w:lastRow="0" w:firstColumn="1" w:lastColumn="0" w:noHBand="0" w:noVBand="1"/>
      </w:tblPr>
      <w:tblGrid>
        <w:gridCol w:w="1140"/>
        <w:gridCol w:w="1020"/>
        <w:gridCol w:w="1140"/>
        <w:gridCol w:w="1020"/>
        <w:gridCol w:w="1140"/>
        <w:gridCol w:w="1020"/>
        <w:gridCol w:w="1140"/>
      </w:tblGrid>
      <w:tr w:rsidR="00E92338" w:rsidRPr="00E92338" w14:paraId="1D2A913E" w14:textId="77777777" w:rsidTr="00E92338">
        <w:trPr>
          <w:trHeight w:val="300"/>
          <w:tblHeader/>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34B3050E" w14:textId="77777777" w:rsidR="00E92338" w:rsidRPr="00E92338" w:rsidRDefault="00E92338" w:rsidP="00E92338">
            <w:pPr>
              <w:spacing w:after="0" w:line="240" w:lineRule="auto"/>
              <w:jc w:val="center"/>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Año</w:t>
            </w:r>
          </w:p>
        </w:tc>
        <w:tc>
          <w:tcPr>
            <w:tcW w:w="2160" w:type="dxa"/>
            <w:gridSpan w:val="2"/>
            <w:tcBorders>
              <w:top w:val="single" w:sz="4" w:space="0" w:color="auto"/>
              <w:left w:val="nil"/>
              <w:bottom w:val="single" w:sz="4" w:space="0" w:color="auto"/>
              <w:right w:val="single" w:sz="4" w:space="0" w:color="auto"/>
            </w:tcBorders>
            <w:shd w:val="clear" w:color="000000" w:fill="C00000"/>
            <w:noWrap/>
            <w:vAlign w:val="bottom"/>
            <w:hideMark/>
          </w:tcPr>
          <w:p w14:paraId="52D5AFEB" w14:textId="77777777" w:rsidR="00E92338" w:rsidRPr="00E92338" w:rsidRDefault="00E92338" w:rsidP="00E92338">
            <w:pPr>
              <w:spacing w:after="0" w:line="240" w:lineRule="auto"/>
              <w:jc w:val="center"/>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Déficit fiscal</w:t>
            </w:r>
          </w:p>
        </w:tc>
        <w:tc>
          <w:tcPr>
            <w:tcW w:w="2160" w:type="dxa"/>
            <w:gridSpan w:val="2"/>
            <w:tcBorders>
              <w:top w:val="single" w:sz="4" w:space="0" w:color="auto"/>
              <w:left w:val="nil"/>
              <w:bottom w:val="single" w:sz="4" w:space="0" w:color="auto"/>
              <w:right w:val="single" w:sz="4" w:space="0" w:color="auto"/>
            </w:tcBorders>
            <w:shd w:val="clear" w:color="000000" w:fill="C00000"/>
            <w:noWrap/>
            <w:vAlign w:val="bottom"/>
            <w:hideMark/>
          </w:tcPr>
          <w:p w14:paraId="6ACAAF4C" w14:textId="77777777" w:rsidR="00E92338" w:rsidRPr="00E92338" w:rsidRDefault="00E92338" w:rsidP="00E92338">
            <w:pPr>
              <w:spacing w:after="0" w:line="240" w:lineRule="auto"/>
              <w:jc w:val="center"/>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Ingreso público total</w:t>
            </w:r>
          </w:p>
        </w:tc>
        <w:tc>
          <w:tcPr>
            <w:tcW w:w="2160" w:type="dxa"/>
            <w:gridSpan w:val="2"/>
            <w:tcBorders>
              <w:top w:val="single" w:sz="4" w:space="0" w:color="auto"/>
              <w:left w:val="nil"/>
              <w:bottom w:val="single" w:sz="4" w:space="0" w:color="auto"/>
              <w:right w:val="single" w:sz="4" w:space="0" w:color="auto"/>
            </w:tcBorders>
            <w:shd w:val="clear" w:color="000000" w:fill="C00000"/>
            <w:noWrap/>
            <w:vAlign w:val="bottom"/>
            <w:hideMark/>
          </w:tcPr>
          <w:p w14:paraId="7CB3EA25" w14:textId="77777777" w:rsidR="00E92338" w:rsidRPr="00E92338" w:rsidRDefault="00E92338" w:rsidP="00E92338">
            <w:pPr>
              <w:spacing w:after="0" w:line="240" w:lineRule="auto"/>
              <w:jc w:val="center"/>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Gasto público total</w:t>
            </w:r>
          </w:p>
        </w:tc>
      </w:tr>
      <w:tr w:rsidR="00E92338" w:rsidRPr="00E92338" w14:paraId="4328D46A" w14:textId="77777777" w:rsidTr="00E92338">
        <w:trPr>
          <w:trHeight w:val="1020"/>
          <w:tblHeader/>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0512BE7C" w14:textId="77777777" w:rsidR="00E92338" w:rsidRPr="00E92338" w:rsidRDefault="00E92338" w:rsidP="00E92338">
            <w:pPr>
              <w:spacing w:after="0" w:line="240" w:lineRule="auto"/>
              <w:rPr>
                <w:rFonts w:ascii="Calibri" w:eastAsia="Times New Roman" w:hAnsi="Calibri" w:cs="Times New Roman"/>
                <w:color w:val="FFFFFF"/>
                <w:sz w:val="20"/>
                <w:szCs w:val="20"/>
                <w:lang w:eastAsia="es-GT"/>
              </w:rPr>
            </w:pPr>
          </w:p>
        </w:tc>
        <w:tc>
          <w:tcPr>
            <w:tcW w:w="1020" w:type="dxa"/>
            <w:tcBorders>
              <w:top w:val="nil"/>
              <w:left w:val="nil"/>
              <w:bottom w:val="single" w:sz="4" w:space="0" w:color="auto"/>
              <w:right w:val="single" w:sz="4" w:space="0" w:color="auto"/>
            </w:tcBorders>
            <w:shd w:val="clear" w:color="000000" w:fill="C00000"/>
            <w:vAlign w:val="center"/>
            <w:hideMark/>
          </w:tcPr>
          <w:p w14:paraId="3B224F0C" w14:textId="77777777" w:rsidR="00E92338" w:rsidRPr="00E92338" w:rsidRDefault="00E92338" w:rsidP="00E92338">
            <w:pPr>
              <w:spacing w:after="0" w:line="240" w:lineRule="auto"/>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Como porcentaje del PIB</w:t>
            </w:r>
          </w:p>
        </w:tc>
        <w:tc>
          <w:tcPr>
            <w:tcW w:w="1140" w:type="dxa"/>
            <w:tcBorders>
              <w:top w:val="nil"/>
              <w:left w:val="nil"/>
              <w:bottom w:val="single" w:sz="4" w:space="0" w:color="auto"/>
              <w:right w:val="single" w:sz="4" w:space="0" w:color="auto"/>
            </w:tcBorders>
            <w:shd w:val="clear" w:color="000000" w:fill="C00000"/>
            <w:vAlign w:val="center"/>
            <w:hideMark/>
          </w:tcPr>
          <w:p w14:paraId="2E3F5B73" w14:textId="77777777" w:rsidR="00E92338" w:rsidRPr="00E92338" w:rsidRDefault="00E92338" w:rsidP="00E92338">
            <w:pPr>
              <w:spacing w:after="0" w:line="240" w:lineRule="auto"/>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Variación relativa con respecto al año anterior</w:t>
            </w:r>
          </w:p>
        </w:tc>
        <w:tc>
          <w:tcPr>
            <w:tcW w:w="1020" w:type="dxa"/>
            <w:tcBorders>
              <w:top w:val="nil"/>
              <w:left w:val="nil"/>
              <w:bottom w:val="single" w:sz="4" w:space="0" w:color="auto"/>
              <w:right w:val="single" w:sz="4" w:space="0" w:color="auto"/>
            </w:tcBorders>
            <w:shd w:val="clear" w:color="000000" w:fill="C00000"/>
            <w:vAlign w:val="center"/>
            <w:hideMark/>
          </w:tcPr>
          <w:p w14:paraId="4FA40752" w14:textId="77777777" w:rsidR="00E92338" w:rsidRPr="00E92338" w:rsidRDefault="00E92338" w:rsidP="00E92338">
            <w:pPr>
              <w:spacing w:after="0" w:line="240" w:lineRule="auto"/>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Como porcentaje del PIB</w:t>
            </w:r>
          </w:p>
        </w:tc>
        <w:tc>
          <w:tcPr>
            <w:tcW w:w="1140" w:type="dxa"/>
            <w:tcBorders>
              <w:top w:val="nil"/>
              <w:left w:val="nil"/>
              <w:bottom w:val="single" w:sz="4" w:space="0" w:color="auto"/>
              <w:right w:val="single" w:sz="4" w:space="0" w:color="auto"/>
            </w:tcBorders>
            <w:shd w:val="clear" w:color="000000" w:fill="C00000"/>
            <w:vAlign w:val="center"/>
            <w:hideMark/>
          </w:tcPr>
          <w:p w14:paraId="62B9A5A3" w14:textId="77777777" w:rsidR="00E92338" w:rsidRPr="00E92338" w:rsidRDefault="00E92338" w:rsidP="00E92338">
            <w:pPr>
              <w:spacing w:after="0" w:line="240" w:lineRule="auto"/>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Variación relativa con respecto al año anterior</w:t>
            </w:r>
          </w:p>
        </w:tc>
        <w:tc>
          <w:tcPr>
            <w:tcW w:w="1020" w:type="dxa"/>
            <w:tcBorders>
              <w:top w:val="nil"/>
              <w:left w:val="nil"/>
              <w:bottom w:val="single" w:sz="4" w:space="0" w:color="auto"/>
              <w:right w:val="single" w:sz="4" w:space="0" w:color="auto"/>
            </w:tcBorders>
            <w:shd w:val="clear" w:color="000000" w:fill="C00000"/>
            <w:vAlign w:val="center"/>
            <w:hideMark/>
          </w:tcPr>
          <w:p w14:paraId="071437AF" w14:textId="77777777" w:rsidR="00E92338" w:rsidRPr="00E92338" w:rsidRDefault="00E92338" w:rsidP="00E92338">
            <w:pPr>
              <w:spacing w:after="0" w:line="240" w:lineRule="auto"/>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Como porcentaje del PIB</w:t>
            </w:r>
          </w:p>
        </w:tc>
        <w:tc>
          <w:tcPr>
            <w:tcW w:w="1140" w:type="dxa"/>
            <w:tcBorders>
              <w:top w:val="nil"/>
              <w:left w:val="nil"/>
              <w:bottom w:val="single" w:sz="4" w:space="0" w:color="auto"/>
              <w:right w:val="single" w:sz="4" w:space="0" w:color="auto"/>
            </w:tcBorders>
            <w:shd w:val="clear" w:color="000000" w:fill="C00000"/>
            <w:vAlign w:val="center"/>
            <w:hideMark/>
          </w:tcPr>
          <w:p w14:paraId="2DA8E368" w14:textId="77777777" w:rsidR="00E92338" w:rsidRPr="00E92338" w:rsidRDefault="00E92338" w:rsidP="00E92338">
            <w:pPr>
              <w:spacing w:after="0" w:line="240" w:lineRule="auto"/>
              <w:rPr>
                <w:rFonts w:ascii="Calibri" w:eastAsia="Times New Roman" w:hAnsi="Calibri" w:cs="Times New Roman"/>
                <w:color w:val="FFFFFF"/>
                <w:sz w:val="20"/>
                <w:szCs w:val="20"/>
                <w:lang w:eastAsia="es-GT"/>
              </w:rPr>
            </w:pPr>
            <w:r w:rsidRPr="00E92338">
              <w:rPr>
                <w:rFonts w:ascii="Calibri" w:eastAsia="Times New Roman" w:hAnsi="Calibri" w:cs="Times New Roman"/>
                <w:color w:val="FFFFFF"/>
                <w:sz w:val="20"/>
                <w:szCs w:val="20"/>
                <w:lang w:eastAsia="es-GT"/>
              </w:rPr>
              <w:t>Variación relativa con respecto al año anterior</w:t>
            </w:r>
          </w:p>
        </w:tc>
      </w:tr>
      <w:tr w:rsidR="00E92338" w:rsidRPr="00E92338" w14:paraId="39E6B1DA"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069B2DD"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1999</w:t>
            </w:r>
          </w:p>
        </w:tc>
        <w:tc>
          <w:tcPr>
            <w:tcW w:w="1020" w:type="dxa"/>
            <w:tcBorders>
              <w:top w:val="nil"/>
              <w:left w:val="nil"/>
              <w:bottom w:val="single" w:sz="4" w:space="0" w:color="auto"/>
              <w:right w:val="single" w:sz="4" w:space="0" w:color="auto"/>
            </w:tcBorders>
            <w:shd w:val="clear" w:color="auto" w:fill="auto"/>
            <w:noWrap/>
            <w:vAlign w:val="bottom"/>
            <w:hideMark/>
          </w:tcPr>
          <w:p w14:paraId="41FF7F48"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-3.1</w:t>
            </w:r>
          </w:p>
        </w:tc>
        <w:tc>
          <w:tcPr>
            <w:tcW w:w="1140" w:type="dxa"/>
            <w:tcBorders>
              <w:top w:val="nil"/>
              <w:left w:val="nil"/>
              <w:bottom w:val="single" w:sz="4" w:space="0" w:color="auto"/>
              <w:right w:val="single" w:sz="4" w:space="0" w:color="auto"/>
            </w:tcBorders>
            <w:shd w:val="clear" w:color="auto" w:fill="auto"/>
            <w:noWrap/>
            <w:vAlign w:val="bottom"/>
            <w:hideMark/>
          </w:tcPr>
          <w:p w14:paraId="01C2D370" w14:textId="77777777" w:rsidR="00E92338" w:rsidRPr="00E92338" w:rsidRDefault="00E92338" w:rsidP="00E92338">
            <w:pPr>
              <w:spacing w:after="0" w:line="240" w:lineRule="auto"/>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 </w:t>
            </w:r>
          </w:p>
        </w:tc>
        <w:tc>
          <w:tcPr>
            <w:tcW w:w="1020" w:type="dxa"/>
            <w:tcBorders>
              <w:top w:val="nil"/>
              <w:left w:val="nil"/>
              <w:bottom w:val="single" w:sz="4" w:space="0" w:color="auto"/>
              <w:right w:val="single" w:sz="4" w:space="0" w:color="auto"/>
            </w:tcBorders>
            <w:shd w:val="clear" w:color="auto" w:fill="auto"/>
            <w:noWrap/>
            <w:vAlign w:val="bottom"/>
            <w:hideMark/>
          </w:tcPr>
          <w:p w14:paraId="2A3620D8"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12.3</w:t>
            </w:r>
          </w:p>
        </w:tc>
        <w:tc>
          <w:tcPr>
            <w:tcW w:w="1140" w:type="dxa"/>
            <w:tcBorders>
              <w:top w:val="nil"/>
              <w:left w:val="nil"/>
              <w:bottom w:val="single" w:sz="4" w:space="0" w:color="auto"/>
              <w:right w:val="single" w:sz="4" w:space="0" w:color="auto"/>
            </w:tcBorders>
            <w:shd w:val="clear" w:color="auto" w:fill="auto"/>
            <w:noWrap/>
            <w:vAlign w:val="bottom"/>
            <w:hideMark/>
          </w:tcPr>
          <w:p w14:paraId="7996B7F0" w14:textId="77777777" w:rsidR="00E92338" w:rsidRPr="00E92338" w:rsidRDefault="00E92338" w:rsidP="00E92338">
            <w:pPr>
              <w:spacing w:after="0" w:line="240" w:lineRule="auto"/>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1B6F3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15.4</w:t>
            </w:r>
          </w:p>
        </w:tc>
        <w:tc>
          <w:tcPr>
            <w:tcW w:w="1140" w:type="dxa"/>
            <w:tcBorders>
              <w:top w:val="nil"/>
              <w:left w:val="nil"/>
              <w:bottom w:val="single" w:sz="4" w:space="0" w:color="auto"/>
              <w:right w:val="single" w:sz="4" w:space="0" w:color="auto"/>
            </w:tcBorders>
            <w:shd w:val="clear" w:color="auto" w:fill="auto"/>
            <w:noWrap/>
            <w:vAlign w:val="bottom"/>
            <w:hideMark/>
          </w:tcPr>
          <w:p w14:paraId="05877D83" w14:textId="77777777" w:rsidR="00E92338" w:rsidRPr="00E92338" w:rsidRDefault="00E92338" w:rsidP="00E92338">
            <w:pPr>
              <w:spacing w:after="0" w:line="240" w:lineRule="auto"/>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 </w:t>
            </w:r>
          </w:p>
        </w:tc>
      </w:tr>
      <w:tr w:rsidR="00E92338" w:rsidRPr="00E92338" w14:paraId="28495412"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241D8ED"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2000</w:t>
            </w:r>
          </w:p>
        </w:tc>
        <w:tc>
          <w:tcPr>
            <w:tcW w:w="1020" w:type="dxa"/>
            <w:tcBorders>
              <w:top w:val="nil"/>
              <w:left w:val="nil"/>
              <w:bottom w:val="single" w:sz="4" w:space="0" w:color="auto"/>
              <w:right w:val="single" w:sz="4" w:space="0" w:color="auto"/>
            </w:tcBorders>
            <w:shd w:val="clear" w:color="auto" w:fill="auto"/>
            <w:noWrap/>
            <w:vAlign w:val="bottom"/>
            <w:hideMark/>
          </w:tcPr>
          <w:p w14:paraId="132BE90C"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w:t>
            </w:r>
          </w:p>
        </w:tc>
        <w:tc>
          <w:tcPr>
            <w:tcW w:w="1140" w:type="dxa"/>
            <w:tcBorders>
              <w:top w:val="nil"/>
              <w:left w:val="nil"/>
              <w:bottom w:val="single" w:sz="4" w:space="0" w:color="auto"/>
              <w:right w:val="single" w:sz="4" w:space="0" w:color="auto"/>
            </w:tcBorders>
            <w:shd w:val="clear" w:color="auto" w:fill="auto"/>
            <w:noWrap/>
            <w:vAlign w:val="bottom"/>
            <w:hideMark/>
          </w:tcPr>
          <w:p w14:paraId="169828E2"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-36.2</w:t>
            </w:r>
          </w:p>
        </w:tc>
        <w:tc>
          <w:tcPr>
            <w:tcW w:w="1020" w:type="dxa"/>
            <w:tcBorders>
              <w:top w:val="nil"/>
              <w:left w:val="nil"/>
              <w:bottom w:val="single" w:sz="4" w:space="0" w:color="auto"/>
              <w:right w:val="single" w:sz="4" w:space="0" w:color="auto"/>
            </w:tcBorders>
            <w:shd w:val="clear" w:color="auto" w:fill="auto"/>
            <w:noWrap/>
            <w:vAlign w:val="bottom"/>
            <w:hideMark/>
          </w:tcPr>
          <w:p w14:paraId="6665306E"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12.3</w:t>
            </w:r>
          </w:p>
        </w:tc>
        <w:tc>
          <w:tcPr>
            <w:tcW w:w="1140" w:type="dxa"/>
            <w:tcBorders>
              <w:top w:val="nil"/>
              <w:left w:val="nil"/>
              <w:bottom w:val="single" w:sz="4" w:space="0" w:color="auto"/>
              <w:right w:val="single" w:sz="4" w:space="0" w:color="auto"/>
            </w:tcBorders>
            <w:shd w:val="clear" w:color="auto" w:fill="auto"/>
            <w:noWrap/>
            <w:vAlign w:val="bottom"/>
            <w:hideMark/>
          </w:tcPr>
          <w:p w14:paraId="52FFCCFE"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0.4</w:t>
            </w:r>
          </w:p>
        </w:tc>
        <w:tc>
          <w:tcPr>
            <w:tcW w:w="1020" w:type="dxa"/>
            <w:tcBorders>
              <w:top w:val="nil"/>
              <w:left w:val="nil"/>
              <w:bottom w:val="single" w:sz="4" w:space="0" w:color="auto"/>
              <w:right w:val="single" w:sz="4" w:space="0" w:color="auto"/>
            </w:tcBorders>
            <w:shd w:val="clear" w:color="auto" w:fill="auto"/>
            <w:noWrap/>
            <w:vAlign w:val="bottom"/>
            <w:hideMark/>
          </w:tcPr>
          <w:p w14:paraId="3A680EBB"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14.3</w:t>
            </w:r>
          </w:p>
        </w:tc>
        <w:tc>
          <w:tcPr>
            <w:tcW w:w="1140" w:type="dxa"/>
            <w:tcBorders>
              <w:top w:val="nil"/>
              <w:left w:val="nil"/>
              <w:bottom w:val="single" w:sz="4" w:space="0" w:color="auto"/>
              <w:right w:val="single" w:sz="4" w:space="0" w:color="auto"/>
            </w:tcBorders>
            <w:shd w:val="clear" w:color="auto" w:fill="auto"/>
            <w:noWrap/>
            <w:vAlign w:val="bottom"/>
            <w:hideMark/>
          </w:tcPr>
          <w:p w14:paraId="4509E95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-7.0</w:t>
            </w:r>
          </w:p>
        </w:tc>
      </w:tr>
      <w:tr w:rsidR="00E92338" w:rsidRPr="00E92338" w14:paraId="75AAB953"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02B097D"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2001</w:t>
            </w:r>
          </w:p>
        </w:tc>
        <w:tc>
          <w:tcPr>
            <w:tcW w:w="1020" w:type="dxa"/>
            <w:tcBorders>
              <w:top w:val="nil"/>
              <w:left w:val="nil"/>
              <w:bottom w:val="single" w:sz="4" w:space="0" w:color="auto"/>
              <w:right w:val="single" w:sz="4" w:space="0" w:color="auto"/>
            </w:tcBorders>
            <w:shd w:val="clear" w:color="auto" w:fill="auto"/>
            <w:noWrap/>
            <w:vAlign w:val="bottom"/>
            <w:hideMark/>
          </w:tcPr>
          <w:p w14:paraId="2E17B6C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-2.1</w:t>
            </w:r>
          </w:p>
        </w:tc>
        <w:tc>
          <w:tcPr>
            <w:tcW w:w="1140" w:type="dxa"/>
            <w:tcBorders>
              <w:top w:val="nil"/>
              <w:left w:val="nil"/>
              <w:bottom w:val="single" w:sz="4" w:space="0" w:color="auto"/>
              <w:right w:val="single" w:sz="4" w:space="0" w:color="auto"/>
            </w:tcBorders>
            <w:shd w:val="clear" w:color="auto" w:fill="auto"/>
            <w:noWrap/>
            <w:vAlign w:val="bottom"/>
            <w:hideMark/>
          </w:tcPr>
          <w:p w14:paraId="5ECCF817"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6.8</w:t>
            </w:r>
          </w:p>
        </w:tc>
        <w:tc>
          <w:tcPr>
            <w:tcW w:w="1020" w:type="dxa"/>
            <w:tcBorders>
              <w:top w:val="nil"/>
              <w:left w:val="nil"/>
              <w:bottom w:val="single" w:sz="4" w:space="0" w:color="auto"/>
              <w:right w:val="single" w:sz="4" w:space="0" w:color="auto"/>
            </w:tcBorders>
            <w:shd w:val="clear" w:color="auto" w:fill="auto"/>
            <w:noWrap/>
            <w:vAlign w:val="bottom"/>
            <w:hideMark/>
          </w:tcPr>
          <w:p w14:paraId="785682D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12.4</w:t>
            </w:r>
          </w:p>
        </w:tc>
        <w:tc>
          <w:tcPr>
            <w:tcW w:w="1140" w:type="dxa"/>
            <w:tcBorders>
              <w:top w:val="nil"/>
              <w:left w:val="nil"/>
              <w:bottom w:val="single" w:sz="4" w:space="0" w:color="auto"/>
              <w:right w:val="single" w:sz="4" w:space="0" w:color="auto"/>
            </w:tcBorders>
            <w:shd w:val="clear" w:color="auto" w:fill="auto"/>
            <w:noWrap/>
            <w:vAlign w:val="bottom"/>
            <w:hideMark/>
          </w:tcPr>
          <w:p w14:paraId="29E64EF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0.4</w:t>
            </w:r>
          </w:p>
        </w:tc>
        <w:tc>
          <w:tcPr>
            <w:tcW w:w="1020" w:type="dxa"/>
            <w:tcBorders>
              <w:top w:val="nil"/>
              <w:left w:val="nil"/>
              <w:bottom w:val="single" w:sz="4" w:space="0" w:color="auto"/>
              <w:right w:val="single" w:sz="4" w:space="0" w:color="auto"/>
            </w:tcBorders>
            <w:shd w:val="clear" w:color="auto" w:fill="auto"/>
            <w:noWrap/>
            <w:vAlign w:val="bottom"/>
            <w:hideMark/>
          </w:tcPr>
          <w:p w14:paraId="036F4F7E"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14.5</w:t>
            </w:r>
          </w:p>
        </w:tc>
        <w:tc>
          <w:tcPr>
            <w:tcW w:w="1140" w:type="dxa"/>
            <w:tcBorders>
              <w:top w:val="nil"/>
              <w:left w:val="nil"/>
              <w:bottom w:val="single" w:sz="4" w:space="0" w:color="auto"/>
              <w:right w:val="single" w:sz="4" w:space="0" w:color="auto"/>
            </w:tcBorders>
            <w:shd w:val="clear" w:color="auto" w:fill="auto"/>
            <w:noWrap/>
            <w:vAlign w:val="bottom"/>
            <w:hideMark/>
          </w:tcPr>
          <w:p w14:paraId="6049436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1.3</w:t>
            </w:r>
          </w:p>
        </w:tc>
      </w:tr>
      <w:tr w:rsidR="00E92338" w:rsidRPr="00E92338" w14:paraId="24BDB107"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194A43B"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2002</w:t>
            </w:r>
          </w:p>
        </w:tc>
        <w:tc>
          <w:tcPr>
            <w:tcW w:w="1020" w:type="dxa"/>
            <w:tcBorders>
              <w:top w:val="nil"/>
              <w:left w:val="nil"/>
              <w:bottom w:val="single" w:sz="4" w:space="0" w:color="auto"/>
              <w:right w:val="single" w:sz="4" w:space="0" w:color="auto"/>
            </w:tcBorders>
            <w:shd w:val="clear" w:color="auto" w:fill="auto"/>
            <w:noWrap/>
            <w:vAlign w:val="bottom"/>
            <w:hideMark/>
          </w:tcPr>
          <w:p w14:paraId="2E6D47AC"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w:t>
            </w:r>
          </w:p>
        </w:tc>
        <w:tc>
          <w:tcPr>
            <w:tcW w:w="1140" w:type="dxa"/>
            <w:tcBorders>
              <w:top w:val="nil"/>
              <w:left w:val="nil"/>
              <w:bottom w:val="single" w:sz="4" w:space="0" w:color="auto"/>
              <w:right w:val="single" w:sz="4" w:space="0" w:color="auto"/>
            </w:tcBorders>
            <w:shd w:val="clear" w:color="auto" w:fill="auto"/>
            <w:noWrap/>
            <w:vAlign w:val="bottom"/>
            <w:hideMark/>
          </w:tcPr>
          <w:p w14:paraId="31635BF7"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-48.5</w:t>
            </w:r>
          </w:p>
        </w:tc>
        <w:tc>
          <w:tcPr>
            <w:tcW w:w="1020" w:type="dxa"/>
            <w:tcBorders>
              <w:top w:val="nil"/>
              <w:left w:val="nil"/>
              <w:bottom w:val="single" w:sz="4" w:space="0" w:color="auto"/>
              <w:right w:val="single" w:sz="4" w:space="0" w:color="auto"/>
            </w:tcBorders>
            <w:shd w:val="clear" w:color="auto" w:fill="auto"/>
            <w:noWrap/>
            <w:vAlign w:val="bottom"/>
            <w:hideMark/>
          </w:tcPr>
          <w:p w14:paraId="4BCBDB5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12.8</w:t>
            </w:r>
          </w:p>
        </w:tc>
        <w:tc>
          <w:tcPr>
            <w:tcW w:w="1140" w:type="dxa"/>
            <w:tcBorders>
              <w:top w:val="nil"/>
              <w:left w:val="nil"/>
              <w:bottom w:val="single" w:sz="4" w:space="0" w:color="auto"/>
              <w:right w:val="single" w:sz="4" w:space="0" w:color="auto"/>
            </w:tcBorders>
            <w:shd w:val="clear" w:color="auto" w:fill="auto"/>
            <w:noWrap/>
            <w:vAlign w:val="bottom"/>
            <w:hideMark/>
          </w:tcPr>
          <w:p w14:paraId="66AA4C74"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3.1</w:t>
            </w:r>
          </w:p>
        </w:tc>
        <w:tc>
          <w:tcPr>
            <w:tcW w:w="1020" w:type="dxa"/>
            <w:tcBorders>
              <w:top w:val="nil"/>
              <w:left w:val="nil"/>
              <w:bottom w:val="single" w:sz="4" w:space="0" w:color="auto"/>
              <w:right w:val="single" w:sz="4" w:space="0" w:color="auto"/>
            </w:tcBorders>
            <w:shd w:val="clear" w:color="auto" w:fill="auto"/>
            <w:noWrap/>
            <w:vAlign w:val="bottom"/>
            <w:hideMark/>
          </w:tcPr>
          <w:p w14:paraId="2E43F2A8"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13.9</w:t>
            </w:r>
          </w:p>
        </w:tc>
        <w:tc>
          <w:tcPr>
            <w:tcW w:w="1140" w:type="dxa"/>
            <w:tcBorders>
              <w:top w:val="nil"/>
              <w:left w:val="nil"/>
              <w:bottom w:val="single" w:sz="4" w:space="0" w:color="auto"/>
              <w:right w:val="single" w:sz="4" w:space="0" w:color="auto"/>
            </w:tcBorders>
            <w:shd w:val="clear" w:color="auto" w:fill="auto"/>
            <w:noWrap/>
            <w:vAlign w:val="bottom"/>
            <w:hideMark/>
          </w:tcPr>
          <w:p w14:paraId="7FC0DBD0"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-4.4</w:t>
            </w:r>
          </w:p>
        </w:tc>
      </w:tr>
      <w:tr w:rsidR="00E92338" w:rsidRPr="00E92338" w14:paraId="3B9A6C44"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C3D13C4"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2003</w:t>
            </w:r>
          </w:p>
        </w:tc>
        <w:tc>
          <w:tcPr>
            <w:tcW w:w="1020" w:type="dxa"/>
            <w:tcBorders>
              <w:top w:val="nil"/>
              <w:left w:val="nil"/>
              <w:bottom w:val="single" w:sz="4" w:space="0" w:color="auto"/>
              <w:right w:val="single" w:sz="4" w:space="0" w:color="auto"/>
            </w:tcBorders>
            <w:shd w:val="clear" w:color="auto" w:fill="auto"/>
            <w:noWrap/>
            <w:vAlign w:val="bottom"/>
            <w:hideMark/>
          </w:tcPr>
          <w:p w14:paraId="6E2BFED9"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-2.6</w:t>
            </w:r>
          </w:p>
        </w:tc>
        <w:tc>
          <w:tcPr>
            <w:tcW w:w="1140" w:type="dxa"/>
            <w:tcBorders>
              <w:top w:val="nil"/>
              <w:left w:val="nil"/>
              <w:bottom w:val="single" w:sz="4" w:space="0" w:color="auto"/>
              <w:right w:val="single" w:sz="4" w:space="0" w:color="auto"/>
            </w:tcBorders>
            <w:shd w:val="clear" w:color="auto" w:fill="auto"/>
            <w:noWrap/>
            <w:vAlign w:val="bottom"/>
            <w:hideMark/>
          </w:tcPr>
          <w:p w14:paraId="28DCB0F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138.7</w:t>
            </w:r>
          </w:p>
        </w:tc>
        <w:tc>
          <w:tcPr>
            <w:tcW w:w="1020" w:type="dxa"/>
            <w:tcBorders>
              <w:top w:val="nil"/>
              <w:left w:val="nil"/>
              <w:bottom w:val="single" w:sz="4" w:space="0" w:color="auto"/>
              <w:right w:val="single" w:sz="4" w:space="0" w:color="auto"/>
            </w:tcBorders>
            <w:shd w:val="clear" w:color="auto" w:fill="auto"/>
            <w:noWrap/>
            <w:vAlign w:val="bottom"/>
            <w:hideMark/>
          </w:tcPr>
          <w:p w14:paraId="357D970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12.5</w:t>
            </w:r>
          </w:p>
        </w:tc>
        <w:tc>
          <w:tcPr>
            <w:tcW w:w="1140" w:type="dxa"/>
            <w:tcBorders>
              <w:top w:val="nil"/>
              <w:left w:val="nil"/>
              <w:bottom w:val="single" w:sz="4" w:space="0" w:color="auto"/>
              <w:right w:val="single" w:sz="4" w:space="0" w:color="auto"/>
            </w:tcBorders>
            <w:shd w:val="clear" w:color="auto" w:fill="auto"/>
            <w:noWrap/>
            <w:vAlign w:val="bottom"/>
            <w:hideMark/>
          </w:tcPr>
          <w:p w14:paraId="2E1789DD"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w:t>
            </w:r>
          </w:p>
        </w:tc>
        <w:tc>
          <w:tcPr>
            <w:tcW w:w="1020" w:type="dxa"/>
            <w:tcBorders>
              <w:top w:val="nil"/>
              <w:left w:val="nil"/>
              <w:bottom w:val="single" w:sz="4" w:space="0" w:color="auto"/>
              <w:right w:val="single" w:sz="4" w:space="0" w:color="auto"/>
            </w:tcBorders>
            <w:shd w:val="clear" w:color="auto" w:fill="auto"/>
            <w:noWrap/>
            <w:vAlign w:val="bottom"/>
            <w:hideMark/>
          </w:tcPr>
          <w:p w14:paraId="58109E1A"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15.1</w:t>
            </w:r>
          </w:p>
        </w:tc>
        <w:tc>
          <w:tcPr>
            <w:tcW w:w="1140" w:type="dxa"/>
            <w:tcBorders>
              <w:top w:val="nil"/>
              <w:left w:val="nil"/>
              <w:bottom w:val="single" w:sz="4" w:space="0" w:color="auto"/>
              <w:right w:val="single" w:sz="4" w:space="0" w:color="auto"/>
            </w:tcBorders>
            <w:shd w:val="clear" w:color="auto" w:fill="auto"/>
            <w:noWrap/>
            <w:vAlign w:val="bottom"/>
            <w:hideMark/>
          </w:tcPr>
          <w:p w14:paraId="108E3BD7"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9.1</w:t>
            </w:r>
          </w:p>
        </w:tc>
      </w:tr>
      <w:tr w:rsidR="00E92338" w:rsidRPr="00E92338" w14:paraId="24FC4C6C"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E383948"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2004</w:t>
            </w:r>
          </w:p>
        </w:tc>
        <w:tc>
          <w:tcPr>
            <w:tcW w:w="1020" w:type="dxa"/>
            <w:tcBorders>
              <w:top w:val="nil"/>
              <w:left w:val="nil"/>
              <w:bottom w:val="single" w:sz="4" w:space="0" w:color="auto"/>
              <w:right w:val="single" w:sz="4" w:space="0" w:color="auto"/>
            </w:tcBorders>
            <w:shd w:val="clear" w:color="auto" w:fill="auto"/>
            <w:noWrap/>
            <w:vAlign w:val="bottom"/>
            <w:hideMark/>
          </w:tcPr>
          <w:p w14:paraId="3DFA4B0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w:t>
            </w:r>
          </w:p>
        </w:tc>
        <w:tc>
          <w:tcPr>
            <w:tcW w:w="1140" w:type="dxa"/>
            <w:tcBorders>
              <w:top w:val="nil"/>
              <w:left w:val="nil"/>
              <w:bottom w:val="single" w:sz="4" w:space="0" w:color="auto"/>
              <w:right w:val="single" w:sz="4" w:space="0" w:color="auto"/>
            </w:tcBorders>
            <w:shd w:val="clear" w:color="auto" w:fill="auto"/>
            <w:noWrap/>
            <w:vAlign w:val="bottom"/>
            <w:hideMark/>
          </w:tcPr>
          <w:p w14:paraId="461E585D"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-58.0</w:t>
            </w:r>
          </w:p>
        </w:tc>
        <w:tc>
          <w:tcPr>
            <w:tcW w:w="1020" w:type="dxa"/>
            <w:tcBorders>
              <w:top w:val="nil"/>
              <w:left w:val="nil"/>
              <w:bottom w:val="single" w:sz="4" w:space="0" w:color="auto"/>
              <w:right w:val="single" w:sz="4" w:space="0" w:color="auto"/>
            </w:tcBorders>
            <w:shd w:val="clear" w:color="auto" w:fill="auto"/>
            <w:noWrap/>
            <w:vAlign w:val="bottom"/>
            <w:hideMark/>
          </w:tcPr>
          <w:p w14:paraId="1530C06E"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12.3</w:t>
            </w:r>
          </w:p>
        </w:tc>
        <w:tc>
          <w:tcPr>
            <w:tcW w:w="1140" w:type="dxa"/>
            <w:tcBorders>
              <w:top w:val="nil"/>
              <w:left w:val="nil"/>
              <w:bottom w:val="single" w:sz="4" w:space="0" w:color="auto"/>
              <w:right w:val="single" w:sz="4" w:space="0" w:color="auto"/>
            </w:tcBorders>
            <w:shd w:val="clear" w:color="auto" w:fill="auto"/>
            <w:noWrap/>
            <w:vAlign w:val="bottom"/>
            <w:hideMark/>
          </w:tcPr>
          <w:p w14:paraId="0A52EAD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-1.7</w:t>
            </w:r>
          </w:p>
        </w:tc>
        <w:tc>
          <w:tcPr>
            <w:tcW w:w="1020" w:type="dxa"/>
            <w:tcBorders>
              <w:top w:val="nil"/>
              <w:left w:val="nil"/>
              <w:bottom w:val="single" w:sz="4" w:space="0" w:color="auto"/>
              <w:right w:val="single" w:sz="4" w:space="0" w:color="auto"/>
            </w:tcBorders>
            <w:shd w:val="clear" w:color="auto" w:fill="auto"/>
            <w:noWrap/>
            <w:vAlign w:val="bottom"/>
            <w:hideMark/>
          </w:tcPr>
          <w:p w14:paraId="2A091540"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13.4</w:t>
            </w:r>
          </w:p>
        </w:tc>
        <w:tc>
          <w:tcPr>
            <w:tcW w:w="1140" w:type="dxa"/>
            <w:tcBorders>
              <w:top w:val="nil"/>
              <w:left w:val="nil"/>
              <w:bottom w:val="single" w:sz="4" w:space="0" w:color="auto"/>
              <w:right w:val="single" w:sz="4" w:space="0" w:color="auto"/>
            </w:tcBorders>
            <w:shd w:val="clear" w:color="auto" w:fill="auto"/>
            <w:noWrap/>
            <w:vAlign w:val="bottom"/>
            <w:hideMark/>
          </w:tcPr>
          <w:p w14:paraId="3981007B"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-11.4</w:t>
            </w:r>
          </w:p>
        </w:tc>
      </w:tr>
      <w:tr w:rsidR="00E92338" w:rsidRPr="00E92338" w14:paraId="39C06118"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E0C87A0"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2005</w:t>
            </w:r>
          </w:p>
        </w:tc>
        <w:tc>
          <w:tcPr>
            <w:tcW w:w="1020" w:type="dxa"/>
            <w:tcBorders>
              <w:top w:val="nil"/>
              <w:left w:val="nil"/>
              <w:bottom w:val="single" w:sz="4" w:space="0" w:color="auto"/>
              <w:right w:val="single" w:sz="4" w:space="0" w:color="auto"/>
            </w:tcBorders>
            <w:shd w:val="clear" w:color="auto" w:fill="auto"/>
            <w:noWrap/>
            <w:vAlign w:val="bottom"/>
            <w:hideMark/>
          </w:tcPr>
          <w:p w14:paraId="41BBEE6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-1.7</w:t>
            </w:r>
          </w:p>
        </w:tc>
        <w:tc>
          <w:tcPr>
            <w:tcW w:w="1140" w:type="dxa"/>
            <w:tcBorders>
              <w:top w:val="nil"/>
              <w:left w:val="nil"/>
              <w:bottom w:val="single" w:sz="4" w:space="0" w:color="auto"/>
              <w:right w:val="single" w:sz="4" w:space="0" w:color="auto"/>
            </w:tcBorders>
            <w:shd w:val="clear" w:color="auto" w:fill="auto"/>
            <w:noWrap/>
            <w:vAlign w:val="bottom"/>
            <w:hideMark/>
          </w:tcPr>
          <w:p w14:paraId="61B5A0D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58.4</w:t>
            </w:r>
          </w:p>
        </w:tc>
        <w:tc>
          <w:tcPr>
            <w:tcW w:w="1020" w:type="dxa"/>
            <w:tcBorders>
              <w:top w:val="nil"/>
              <w:left w:val="nil"/>
              <w:bottom w:val="single" w:sz="4" w:space="0" w:color="auto"/>
              <w:right w:val="single" w:sz="4" w:space="0" w:color="auto"/>
            </w:tcBorders>
            <w:shd w:val="clear" w:color="auto" w:fill="auto"/>
            <w:noWrap/>
            <w:vAlign w:val="bottom"/>
            <w:hideMark/>
          </w:tcPr>
          <w:p w14:paraId="0FE80D28"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12.0</w:t>
            </w:r>
          </w:p>
        </w:tc>
        <w:tc>
          <w:tcPr>
            <w:tcW w:w="1140" w:type="dxa"/>
            <w:tcBorders>
              <w:top w:val="nil"/>
              <w:left w:val="nil"/>
              <w:bottom w:val="single" w:sz="4" w:space="0" w:color="auto"/>
              <w:right w:val="single" w:sz="4" w:space="0" w:color="auto"/>
            </w:tcBorders>
            <w:shd w:val="clear" w:color="auto" w:fill="auto"/>
            <w:noWrap/>
            <w:vAlign w:val="bottom"/>
            <w:hideMark/>
          </w:tcPr>
          <w:p w14:paraId="544D821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-2.7</w:t>
            </w:r>
          </w:p>
        </w:tc>
        <w:tc>
          <w:tcPr>
            <w:tcW w:w="1020" w:type="dxa"/>
            <w:tcBorders>
              <w:top w:val="nil"/>
              <w:left w:val="nil"/>
              <w:bottom w:val="single" w:sz="4" w:space="0" w:color="auto"/>
              <w:right w:val="single" w:sz="4" w:space="0" w:color="auto"/>
            </w:tcBorders>
            <w:shd w:val="clear" w:color="auto" w:fill="auto"/>
            <w:noWrap/>
            <w:vAlign w:val="bottom"/>
            <w:hideMark/>
          </w:tcPr>
          <w:p w14:paraId="3C84559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13.7</w:t>
            </w:r>
          </w:p>
        </w:tc>
        <w:tc>
          <w:tcPr>
            <w:tcW w:w="1140" w:type="dxa"/>
            <w:tcBorders>
              <w:top w:val="nil"/>
              <w:left w:val="nil"/>
              <w:bottom w:val="single" w:sz="4" w:space="0" w:color="auto"/>
              <w:right w:val="single" w:sz="4" w:space="0" w:color="auto"/>
            </w:tcBorders>
            <w:shd w:val="clear" w:color="auto" w:fill="auto"/>
            <w:noWrap/>
            <w:vAlign w:val="bottom"/>
            <w:hideMark/>
          </w:tcPr>
          <w:p w14:paraId="3BD371C5"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2.3</w:t>
            </w:r>
          </w:p>
        </w:tc>
      </w:tr>
      <w:tr w:rsidR="00E92338" w:rsidRPr="00E92338" w14:paraId="04E3265D"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45996FC"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2006</w:t>
            </w:r>
          </w:p>
        </w:tc>
        <w:tc>
          <w:tcPr>
            <w:tcW w:w="1020" w:type="dxa"/>
            <w:tcBorders>
              <w:top w:val="nil"/>
              <w:left w:val="nil"/>
              <w:bottom w:val="single" w:sz="4" w:space="0" w:color="auto"/>
              <w:right w:val="single" w:sz="4" w:space="0" w:color="auto"/>
            </w:tcBorders>
            <w:shd w:val="clear" w:color="auto" w:fill="auto"/>
            <w:noWrap/>
            <w:vAlign w:val="bottom"/>
            <w:hideMark/>
          </w:tcPr>
          <w:p w14:paraId="1C01FD0B"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-1.9</w:t>
            </w:r>
          </w:p>
        </w:tc>
        <w:tc>
          <w:tcPr>
            <w:tcW w:w="1140" w:type="dxa"/>
            <w:tcBorders>
              <w:top w:val="nil"/>
              <w:left w:val="nil"/>
              <w:bottom w:val="single" w:sz="4" w:space="0" w:color="auto"/>
              <w:right w:val="single" w:sz="4" w:space="0" w:color="auto"/>
            </w:tcBorders>
            <w:shd w:val="clear" w:color="auto" w:fill="auto"/>
            <w:noWrap/>
            <w:vAlign w:val="bottom"/>
            <w:hideMark/>
          </w:tcPr>
          <w:p w14:paraId="13554B04"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12.4</w:t>
            </w:r>
          </w:p>
        </w:tc>
        <w:tc>
          <w:tcPr>
            <w:tcW w:w="1020" w:type="dxa"/>
            <w:tcBorders>
              <w:top w:val="nil"/>
              <w:left w:val="nil"/>
              <w:bottom w:val="single" w:sz="4" w:space="0" w:color="auto"/>
              <w:right w:val="single" w:sz="4" w:space="0" w:color="auto"/>
            </w:tcBorders>
            <w:shd w:val="clear" w:color="auto" w:fill="auto"/>
            <w:noWrap/>
            <w:vAlign w:val="bottom"/>
            <w:hideMark/>
          </w:tcPr>
          <w:p w14:paraId="4A2B9EE3"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12.7</w:t>
            </w:r>
          </w:p>
        </w:tc>
        <w:tc>
          <w:tcPr>
            <w:tcW w:w="1140" w:type="dxa"/>
            <w:tcBorders>
              <w:top w:val="nil"/>
              <w:left w:val="nil"/>
              <w:bottom w:val="single" w:sz="4" w:space="0" w:color="auto"/>
              <w:right w:val="single" w:sz="4" w:space="0" w:color="auto"/>
            </w:tcBorders>
            <w:shd w:val="clear" w:color="auto" w:fill="auto"/>
            <w:noWrap/>
            <w:vAlign w:val="bottom"/>
            <w:hideMark/>
          </w:tcPr>
          <w:p w14:paraId="067B3A6B"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6.1</w:t>
            </w:r>
          </w:p>
        </w:tc>
        <w:tc>
          <w:tcPr>
            <w:tcW w:w="1020" w:type="dxa"/>
            <w:tcBorders>
              <w:top w:val="nil"/>
              <w:left w:val="nil"/>
              <w:bottom w:val="single" w:sz="4" w:space="0" w:color="auto"/>
              <w:right w:val="single" w:sz="4" w:space="0" w:color="auto"/>
            </w:tcBorders>
            <w:shd w:val="clear" w:color="auto" w:fill="auto"/>
            <w:noWrap/>
            <w:vAlign w:val="bottom"/>
            <w:hideMark/>
          </w:tcPr>
          <w:p w14:paraId="407CC714"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14.7</w:t>
            </w:r>
          </w:p>
        </w:tc>
        <w:tc>
          <w:tcPr>
            <w:tcW w:w="1140" w:type="dxa"/>
            <w:tcBorders>
              <w:top w:val="nil"/>
              <w:left w:val="nil"/>
              <w:bottom w:val="single" w:sz="4" w:space="0" w:color="auto"/>
              <w:right w:val="single" w:sz="4" w:space="0" w:color="auto"/>
            </w:tcBorders>
            <w:shd w:val="clear" w:color="auto" w:fill="auto"/>
            <w:noWrap/>
            <w:vAlign w:val="bottom"/>
            <w:hideMark/>
          </w:tcPr>
          <w:p w14:paraId="0DEE2A8D"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6.9</w:t>
            </w:r>
          </w:p>
        </w:tc>
      </w:tr>
      <w:tr w:rsidR="00E92338" w:rsidRPr="00E92338" w14:paraId="1115AEBF"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94367AC"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2007</w:t>
            </w:r>
          </w:p>
        </w:tc>
        <w:tc>
          <w:tcPr>
            <w:tcW w:w="1020" w:type="dxa"/>
            <w:tcBorders>
              <w:top w:val="nil"/>
              <w:left w:val="nil"/>
              <w:bottom w:val="single" w:sz="4" w:space="0" w:color="auto"/>
              <w:right w:val="single" w:sz="4" w:space="0" w:color="auto"/>
            </w:tcBorders>
            <w:shd w:val="clear" w:color="auto" w:fill="auto"/>
            <w:noWrap/>
            <w:vAlign w:val="bottom"/>
            <w:hideMark/>
          </w:tcPr>
          <w:p w14:paraId="49ECF99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w:t>
            </w:r>
          </w:p>
        </w:tc>
        <w:tc>
          <w:tcPr>
            <w:tcW w:w="1140" w:type="dxa"/>
            <w:tcBorders>
              <w:top w:val="nil"/>
              <w:left w:val="nil"/>
              <w:bottom w:val="single" w:sz="4" w:space="0" w:color="auto"/>
              <w:right w:val="single" w:sz="4" w:space="0" w:color="auto"/>
            </w:tcBorders>
            <w:shd w:val="clear" w:color="auto" w:fill="auto"/>
            <w:noWrap/>
            <w:vAlign w:val="bottom"/>
            <w:hideMark/>
          </w:tcPr>
          <w:p w14:paraId="232EFF7A"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-25.9</w:t>
            </w:r>
          </w:p>
        </w:tc>
        <w:tc>
          <w:tcPr>
            <w:tcW w:w="1020" w:type="dxa"/>
            <w:tcBorders>
              <w:top w:val="nil"/>
              <w:left w:val="nil"/>
              <w:bottom w:val="single" w:sz="4" w:space="0" w:color="auto"/>
              <w:right w:val="single" w:sz="4" w:space="0" w:color="auto"/>
            </w:tcBorders>
            <w:shd w:val="clear" w:color="auto" w:fill="auto"/>
            <w:noWrap/>
            <w:vAlign w:val="bottom"/>
            <w:hideMark/>
          </w:tcPr>
          <w:p w14:paraId="5D0BAFF4"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12.8</w:t>
            </w:r>
          </w:p>
        </w:tc>
        <w:tc>
          <w:tcPr>
            <w:tcW w:w="1140" w:type="dxa"/>
            <w:tcBorders>
              <w:top w:val="nil"/>
              <w:left w:val="nil"/>
              <w:bottom w:val="single" w:sz="4" w:space="0" w:color="auto"/>
              <w:right w:val="single" w:sz="4" w:space="0" w:color="auto"/>
            </w:tcBorders>
            <w:shd w:val="clear" w:color="auto" w:fill="auto"/>
            <w:noWrap/>
            <w:vAlign w:val="bottom"/>
            <w:hideMark/>
          </w:tcPr>
          <w:p w14:paraId="246A0C2B"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0.9</w:t>
            </w:r>
          </w:p>
        </w:tc>
        <w:tc>
          <w:tcPr>
            <w:tcW w:w="1020" w:type="dxa"/>
            <w:tcBorders>
              <w:top w:val="nil"/>
              <w:left w:val="nil"/>
              <w:bottom w:val="single" w:sz="4" w:space="0" w:color="auto"/>
              <w:right w:val="single" w:sz="4" w:space="0" w:color="auto"/>
            </w:tcBorders>
            <w:shd w:val="clear" w:color="auto" w:fill="auto"/>
            <w:noWrap/>
            <w:vAlign w:val="bottom"/>
            <w:hideMark/>
          </w:tcPr>
          <w:p w14:paraId="13619003"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14.3</w:t>
            </w:r>
          </w:p>
        </w:tc>
        <w:tc>
          <w:tcPr>
            <w:tcW w:w="1140" w:type="dxa"/>
            <w:tcBorders>
              <w:top w:val="nil"/>
              <w:left w:val="nil"/>
              <w:bottom w:val="single" w:sz="4" w:space="0" w:color="auto"/>
              <w:right w:val="single" w:sz="4" w:space="0" w:color="auto"/>
            </w:tcBorders>
            <w:shd w:val="clear" w:color="auto" w:fill="auto"/>
            <w:noWrap/>
            <w:vAlign w:val="bottom"/>
            <w:hideMark/>
          </w:tcPr>
          <w:p w14:paraId="20DE7405"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-2.7</w:t>
            </w:r>
          </w:p>
        </w:tc>
      </w:tr>
      <w:tr w:rsidR="00E92338" w:rsidRPr="00E92338" w14:paraId="4A377313"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7DDA171"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2008</w:t>
            </w:r>
          </w:p>
        </w:tc>
        <w:tc>
          <w:tcPr>
            <w:tcW w:w="1020" w:type="dxa"/>
            <w:tcBorders>
              <w:top w:val="nil"/>
              <w:left w:val="nil"/>
              <w:bottom w:val="single" w:sz="4" w:space="0" w:color="auto"/>
              <w:right w:val="single" w:sz="4" w:space="0" w:color="auto"/>
            </w:tcBorders>
            <w:shd w:val="clear" w:color="auto" w:fill="auto"/>
            <w:noWrap/>
            <w:vAlign w:val="bottom"/>
            <w:hideMark/>
          </w:tcPr>
          <w:p w14:paraId="5C872D89"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-1.6</w:t>
            </w:r>
          </w:p>
        </w:tc>
        <w:tc>
          <w:tcPr>
            <w:tcW w:w="1140" w:type="dxa"/>
            <w:tcBorders>
              <w:top w:val="nil"/>
              <w:left w:val="nil"/>
              <w:bottom w:val="single" w:sz="4" w:space="0" w:color="auto"/>
              <w:right w:val="single" w:sz="4" w:space="0" w:color="auto"/>
            </w:tcBorders>
            <w:shd w:val="clear" w:color="auto" w:fill="auto"/>
            <w:noWrap/>
            <w:vAlign w:val="bottom"/>
            <w:hideMark/>
          </w:tcPr>
          <w:p w14:paraId="48EAD788"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12.1</w:t>
            </w:r>
          </w:p>
        </w:tc>
        <w:tc>
          <w:tcPr>
            <w:tcW w:w="1020" w:type="dxa"/>
            <w:tcBorders>
              <w:top w:val="nil"/>
              <w:left w:val="nil"/>
              <w:bottom w:val="single" w:sz="4" w:space="0" w:color="auto"/>
              <w:right w:val="single" w:sz="4" w:space="0" w:color="auto"/>
            </w:tcBorders>
            <w:shd w:val="clear" w:color="auto" w:fill="auto"/>
            <w:noWrap/>
            <w:vAlign w:val="bottom"/>
            <w:hideMark/>
          </w:tcPr>
          <w:p w14:paraId="745B526C"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12.0</w:t>
            </w:r>
          </w:p>
        </w:tc>
        <w:tc>
          <w:tcPr>
            <w:tcW w:w="1140" w:type="dxa"/>
            <w:tcBorders>
              <w:top w:val="nil"/>
              <w:left w:val="nil"/>
              <w:bottom w:val="single" w:sz="4" w:space="0" w:color="auto"/>
              <w:right w:val="single" w:sz="4" w:space="0" w:color="auto"/>
            </w:tcBorders>
            <w:shd w:val="clear" w:color="auto" w:fill="auto"/>
            <w:noWrap/>
            <w:vAlign w:val="bottom"/>
            <w:hideMark/>
          </w:tcPr>
          <w:p w14:paraId="6E75E727"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-6.4</w:t>
            </w:r>
          </w:p>
        </w:tc>
        <w:tc>
          <w:tcPr>
            <w:tcW w:w="1020" w:type="dxa"/>
            <w:tcBorders>
              <w:top w:val="nil"/>
              <w:left w:val="nil"/>
              <w:bottom w:val="single" w:sz="4" w:space="0" w:color="auto"/>
              <w:right w:val="single" w:sz="4" w:space="0" w:color="auto"/>
            </w:tcBorders>
            <w:shd w:val="clear" w:color="auto" w:fill="auto"/>
            <w:noWrap/>
            <w:vAlign w:val="bottom"/>
            <w:hideMark/>
          </w:tcPr>
          <w:p w14:paraId="3C31AEFE"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13.6</w:t>
            </w:r>
          </w:p>
        </w:tc>
        <w:tc>
          <w:tcPr>
            <w:tcW w:w="1140" w:type="dxa"/>
            <w:tcBorders>
              <w:top w:val="nil"/>
              <w:left w:val="nil"/>
              <w:bottom w:val="single" w:sz="4" w:space="0" w:color="auto"/>
              <w:right w:val="single" w:sz="4" w:space="0" w:color="auto"/>
            </w:tcBorders>
            <w:shd w:val="clear" w:color="auto" w:fill="auto"/>
            <w:noWrap/>
            <w:vAlign w:val="bottom"/>
            <w:hideMark/>
          </w:tcPr>
          <w:p w14:paraId="5913086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-4.5</w:t>
            </w:r>
          </w:p>
        </w:tc>
      </w:tr>
      <w:tr w:rsidR="00E92338" w:rsidRPr="00E92338" w14:paraId="3034D49C"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C467732"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2009</w:t>
            </w:r>
          </w:p>
        </w:tc>
        <w:tc>
          <w:tcPr>
            <w:tcW w:w="1020" w:type="dxa"/>
            <w:tcBorders>
              <w:top w:val="nil"/>
              <w:left w:val="nil"/>
              <w:bottom w:val="single" w:sz="4" w:space="0" w:color="auto"/>
              <w:right w:val="single" w:sz="4" w:space="0" w:color="auto"/>
            </w:tcBorders>
            <w:shd w:val="clear" w:color="auto" w:fill="auto"/>
            <w:noWrap/>
            <w:vAlign w:val="bottom"/>
            <w:hideMark/>
          </w:tcPr>
          <w:p w14:paraId="46578418"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-3.1</w:t>
            </w:r>
          </w:p>
        </w:tc>
        <w:tc>
          <w:tcPr>
            <w:tcW w:w="1140" w:type="dxa"/>
            <w:tcBorders>
              <w:top w:val="nil"/>
              <w:left w:val="nil"/>
              <w:bottom w:val="single" w:sz="4" w:space="0" w:color="auto"/>
              <w:right w:val="single" w:sz="4" w:space="0" w:color="auto"/>
            </w:tcBorders>
            <w:shd w:val="clear" w:color="auto" w:fill="auto"/>
            <w:noWrap/>
            <w:vAlign w:val="bottom"/>
            <w:hideMark/>
          </w:tcPr>
          <w:p w14:paraId="267358C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94.5</w:t>
            </w:r>
          </w:p>
        </w:tc>
        <w:tc>
          <w:tcPr>
            <w:tcW w:w="1020" w:type="dxa"/>
            <w:tcBorders>
              <w:top w:val="nil"/>
              <w:left w:val="nil"/>
              <w:bottom w:val="single" w:sz="4" w:space="0" w:color="auto"/>
              <w:right w:val="single" w:sz="4" w:space="0" w:color="auto"/>
            </w:tcBorders>
            <w:shd w:val="clear" w:color="auto" w:fill="auto"/>
            <w:noWrap/>
            <w:vAlign w:val="bottom"/>
            <w:hideMark/>
          </w:tcPr>
          <w:p w14:paraId="3221656B"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11.1</w:t>
            </w:r>
          </w:p>
        </w:tc>
        <w:tc>
          <w:tcPr>
            <w:tcW w:w="1140" w:type="dxa"/>
            <w:tcBorders>
              <w:top w:val="nil"/>
              <w:left w:val="nil"/>
              <w:bottom w:val="single" w:sz="4" w:space="0" w:color="auto"/>
              <w:right w:val="single" w:sz="4" w:space="0" w:color="auto"/>
            </w:tcBorders>
            <w:shd w:val="clear" w:color="auto" w:fill="auto"/>
            <w:noWrap/>
            <w:vAlign w:val="bottom"/>
            <w:hideMark/>
          </w:tcPr>
          <w:p w14:paraId="463C8A45"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-8.1</w:t>
            </w:r>
          </w:p>
        </w:tc>
        <w:tc>
          <w:tcPr>
            <w:tcW w:w="1020" w:type="dxa"/>
            <w:tcBorders>
              <w:top w:val="nil"/>
              <w:left w:val="nil"/>
              <w:bottom w:val="single" w:sz="4" w:space="0" w:color="auto"/>
              <w:right w:val="single" w:sz="4" w:space="0" w:color="auto"/>
            </w:tcBorders>
            <w:shd w:val="clear" w:color="auto" w:fill="auto"/>
            <w:noWrap/>
            <w:vAlign w:val="bottom"/>
            <w:hideMark/>
          </w:tcPr>
          <w:p w14:paraId="1B914F1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14.2</w:t>
            </w:r>
          </w:p>
        </w:tc>
        <w:tc>
          <w:tcPr>
            <w:tcW w:w="1140" w:type="dxa"/>
            <w:tcBorders>
              <w:top w:val="nil"/>
              <w:left w:val="nil"/>
              <w:bottom w:val="single" w:sz="4" w:space="0" w:color="auto"/>
              <w:right w:val="single" w:sz="4" w:space="0" w:color="auto"/>
            </w:tcBorders>
            <w:shd w:val="clear" w:color="auto" w:fill="auto"/>
            <w:noWrap/>
            <w:vAlign w:val="bottom"/>
            <w:hideMark/>
          </w:tcPr>
          <w:p w14:paraId="3093C68D"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4.1</w:t>
            </w:r>
          </w:p>
        </w:tc>
      </w:tr>
      <w:tr w:rsidR="00E92338" w:rsidRPr="00E92338" w14:paraId="660E6928"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5CD1FCA"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2010</w:t>
            </w:r>
          </w:p>
        </w:tc>
        <w:tc>
          <w:tcPr>
            <w:tcW w:w="1020" w:type="dxa"/>
            <w:tcBorders>
              <w:top w:val="nil"/>
              <w:left w:val="nil"/>
              <w:bottom w:val="single" w:sz="4" w:space="0" w:color="auto"/>
              <w:right w:val="single" w:sz="4" w:space="0" w:color="auto"/>
            </w:tcBorders>
            <w:shd w:val="clear" w:color="auto" w:fill="auto"/>
            <w:noWrap/>
            <w:vAlign w:val="bottom"/>
            <w:hideMark/>
          </w:tcPr>
          <w:p w14:paraId="59496E49"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-3.3</w:t>
            </w:r>
          </w:p>
        </w:tc>
        <w:tc>
          <w:tcPr>
            <w:tcW w:w="1140" w:type="dxa"/>
            <w:tcBorders>
              <w:top w:val="nil"/>
              <w:left w:val="nil"/>
              <w:bottom w:val="single" w:sz="4" w:space="0" w:color="auto"/>
              <w:right w:val="single" w:sz="4" w:space="0" w:color="auto"/>
            </w:tcBorders>
            <w:shd w:val="clear" w:color="auto" w:fill="auto"/>
            <w:noWrap/>
            <w:vAlign w:val="bottom"/>
            <w:hideMark/>
          </w:tcPr>
          <w:p w14:paraId="7118C18E"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4.8</w:t>
            </w:r>
          </w:p>
        </w:tc>
        <w:tc>
          <w:tcPr>
            <w:tcW w:w="1020" w:type="dxa"/>
            <w:tcBorders>
              <w:top w:val="nil"/>
              <w:left w:val="nil"/>
              <w:bottom w:val="single" w:sz="4" w:space="0" w:color="auto"/>
              <w:right w:val="single" w:sz="4" w:space="0" w:color="auto"/>
            </w:tcBorders>
            <w:shd w:val="clear" w:color="auto" w:fill="auto"/>
            <w:noWrap/>
            <w:vAlign w:val="bottom"/>
            <w:hideMark/>
          </w:tcPr>
          <w:p w14:paraId="5DC6590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11.2</w:t>
            </w:r>
          </w:p>
        </w:tc>
        <w:tc>
          <w:tcPr>
            <w:tcW w:w="1140" w:type="dxa"/>
            <w:tcBorders>
              <w:top w:val="nil"/>
              <w:left w:val="nil"/>
              <w:bottom w:val="single" w:sz="4" w:space="0" w:color="auto"/>
              <w:right w:val="single" w:sz="4" w:space="0" w:color="auto"/>
            </w:tcBorders>
            <w:shd w:val="clear" w:color="auto" w:fill="auto"/>
            <w:noWrap/>
            <w:vAlign w:val="bottom"/>
            <w:hideMark/>
          </w:tcPr>
          <w:p w14:paraId="1D521F83"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1.7</w:t>
            </w:r>
          </w:p>
        </w:tc>
        <w:tc>
          <w:tcPr>
            <w:tcW w:w="1020" w:type="dxa"/>
            <w:tcBorders>
              <w:top w:val="nil"/>
              <w:left w:val="nil"/>
              <w:bottom w:val="single" w:sz="4" w:space="0" w:color="auto"/>
              <w:right w:val="single" w:sz="4" w:space="0" w:color="auto"/>
            </w:tcBorders>
            <w:shd w:val="clear" w:color="auto" w:fill="auto"/>
            <w:noWrap/>
            <w:vAlign w:val="bottom"/>
            <w:hideMark/>
          </w:tcPr>
          <w:p w14:paraId="728FA06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14.5</w:t>
            </w:r>
          </w:p>
        </w:tc>
        <w:tc>
          <w:tcPr>
            <w:tcW w:w="1140" w:type="dxa"/>
            <w:tcBorders>
              <w:top w:val="nil"/>
              <w:left w:val="nil"/>
              <w:bottom w:val="single" w:sz="4" w:space="0" w:color="auto"/>
              <w:right w:val="single" w:sz="4" w:space="0" w:color="auto"/>
            </w:tcBorders>
            <w:shd w:val="clear" w:color="auto" w:fill="auto"/>
            <w:noWrap/>
            <w:vAlign w:val="bottom"/>
            <w:hideMark/>
          </w:tcPr>
          <w:p w14:paraId="0B08A77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2.3</w:t>
            </w:r>
          </w:p>
        </w:tc>
      </w:tr>
      <w:tr w:rsidR="00E92338" w:rsidRPr="00E92338" w14:paraId="212C0462"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1E5224F"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2011</w:t>
            </w:r>
          </w:p>
        </w:tc>
        <w:tc>
          <w:tcPr>
            <w:tcW w:w="1020" w:type="dxa"/>
            <w:tcBorders>
              <w:top w:val="nil"/>
              <w:left w:val="nil"/>
              <w:bottom w:val="single" w:sz="4" w:space="0" w:color="auto"/>
              <w:right w:val="single" w:sz="4" w:space="0" w:color="auto"/>
            </w:tcBorders>
            <w:shd w:val="clear" w:color="auto" w:fill="auto"/>
            <w:noWrap/>
            <w:vAlign w:val="bottom"/>
            <w:hideMark/>
          </w:tcPr>
          <w:p w14:paraId="5E62176D"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-2.8</w:t>
            </w:r>
          </w:p>
        </w:tc>
        <w:tc>
          <w:tcPr>
            <w:tcW w:w="1140" w:type="dxa"/>
            <w:tcBorders>
              <w:top w:val="nil"/>
              <w:left w:val="nil"/>
              <w:bottom w:val="single" w:sz="4" w:space="0" w:color="auto"/>
              <w:right w:val="single" w:sz="4" w:space="0" w:color="auto"/>
            </w:tcBorders>
            <w:shd w:val="clear" w:color="auto" w:fill="auto"/>
            <w:noWrap/>
            <w:vAlign w:val="bottom"/>
            <w:hideMark/>
          </w:tcPr>
          <w:p w14:paraId="74298B8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-15.2</w:t>
            </w:r>
          </w:p>
        </w:tc>
        <w:tc>
          <w:tcPr>
            <w:tcW w:w="1020" w:type="dxa"/>
            <w:tcBorders>
              <w:top w:val="nil"/>
              <w:left w:val="nil"/>
              <w:bottom w:val="single" w:sz="4" w:space="0" w:color="auto"/>
              <w:right w:val="single" w:sz="4" w:space="0" w:color="auto"/>
            </w:tcBorders>
            <w:shd w:val="clear" w:color="auto" w:fill="auto"/>
            <w:noWrap/>
            <w:vAlign w:val="bottom"/>
            <w:hideMark/>
          </w:tcPr>
          <w:p w14:paraId="78DBDA6B"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11.6</w:t>
            </w:r>
          </w:p>
        </w:tc>
        <w:tc>
          <w:tcPr>
            <w:tcW w:w="1140" w:type="dxa"/>
            <w:tcBorders>
              <w:top w:val="nil"/>
              <w:left w:val="nil"/>
              <w:bottom w:val="single" w:sz="4" w:space="0" w:color="auto"/>
              <w:right w:val="single" w:sz="4" w:space="0" w:color="auto"/>
            </w:tcBorders>
            <w:shd w:val="clear" w:color="auto" w:fill="auto"/>
            <w:noWrap/>
            <w:vAlign w:val="bottom"/>
            <w:hideMark/>
          </w:tcPr>
          <w:p w14:paraId="25572340"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3.5</w:t>
            </w:r>
          </w:p>
        </w:tc>
        <w:tc>
          <w:tcPr>
            <w:tcW w:w="1020" w:type="dxa"/>
            <w:tcBorders>
              <w:top w:val="nil"/>
              <w:left w:val="nil"/>
              <w:bottom w:val="single" w:sz="4" w:space="0" w:color="auto"/>
              <w:right w:val="single" w:sz="4" w:space="0" w:color="auto"/>
            </w:tcBorders>
            <w:shd w:val="clear" w:color="auto" w:fill="auto"/>
            <w:noWrap/>
            <w:vAlign w:val="bottom"/>
            <w:hideMark/>
          </w:tcPr>
          <w:p w14:paraId="1AF002C7"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14.4</w:t>
            </w:r>
          </w:p>
        </w:tc>
        <w:tc>
          <w:tcPr>
            <w:tcW w:w="1140" w:type="dxa"/>
            <w:tcBorders>
              <w:top w:val="nil"/>
              <w:left w:val="nil"/>
              <w:bottom w:val="single" w:sz="4" w:space="0" w:color="auto"/>
              <w:right w:val="single" w:sz="4" w:space="0" w:color="auto"/>
            </w:tcBorders>
            <w:shd w:val="clear" w:color="auto" w:fill="auto"/>
            <w:noWrap/>
            <w:vAlign w:val="bottom"/>
            <w:hideMark/>
          </w:tcPr>
          <w:p w14:paraId="04A74C6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-0.7</w:t>
            </w:r>
          </w:p>
        </w:tc>
      </w:tr>
      <w:tr w:rsidR="00E92338" w:rsidRPr="00E92338" w14:paraId="5F42BC6A"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0B0F713"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2012</w:t>
            </w:r>
          </w:p>
        </w:tc>
        <w:tc>
          <w:tcPr>
            <w:tcW w:w="1020" w:type="dxa"/>
            <w:tcBorders>
              <w:top w:val="nil"/>
              <w:left w:val="nil"/>
              <w:bottom w:val="single" w:sz="4" w:space="0" w:color="auto"/>
              <w:right w:val="single" w:sz="4" w:space="0" w:color="auto"/>
            </w:tcBorders>
            <w:shd w:val="clear" w:color="auto" w:fill="auto"/>
            <w:noWrap/>
            <w:vAlign w:val="bottom"/>
            <w:hideMark/>
          </w:tcPr>
          <w:p w14:paraId="100354B8"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-2.4</w:t>
            </w:r>
          </w:p>
        </w:tc>
        <w:tc>
          <w:tcPr>
            <w:tcW w:w="1140" w:type="dxa"/>
            <w:tcBorders>
              <w:top w:val="nil"/>
              <w:left w:val="nil"/>
              <w:bottom w:val="single" w:sz="4" w:space="0" w:color="auto"/>
              <w:right w:val="single" w:sz="4" w:space="0" w:color="auto"/>
            </w:tcBorders>
            <w:shd w:val="clear" w:color="auto" w:fill="auto"/>
            <w:noWrap/>
            <w:vAlign w:val="bottom"/>
            <w:hideMark/>
          </w:tcPr>
          <w:p w14:paraId="6AD5CEE3"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-14.3</w:t>
            </w:r>
          </w:p>
        </w:tc>
        <w:tc>
          <w:tcPr>
            <w:tcW w:w="1020" w:type="dxa"/>
            <w:tcBorders>
              <w:top w:val="nil"/>
              <w:left w:val="nil"/>
              <w:bottom w:val="single" w:sz="4" w:space="0" w:color="auto"/>
              <w:right w:val="single" w:sz="4" w:space="0" w:color="auto"/>
            </w:tcBorders>
            <w:shd w:val="clear" w:color="auto" w:fill="auto"/>
            <w:noWrap/>
            <w:vAlign w:val="bottom"/>
            <w:hideMark/>
          </w:tcPr>
          <w:p w14:paraId="276ED593"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11.6</w:t>
            </w:r>
          </w:p>
        </w:tc>
        <w:tc>
          <w:tcPr>
            <w:tcW w:w="1140" w:type="dxa"/>
            <w:tcBorders>
              <w:top w:val="nil"/>
              <w:left w:val="nil"/>
              <w:bottom w:val="single" w:sz="4" w:space="0" w:color="auto"/>
              <w:right w:val="single" w:sz="4" w:space="0" w:color="auto"/>
            </w:tcBorders>
            <w:shd w:val="clear" w:color="auto" w:fill="auto"/>
            <w:noWrap/>
            <w:vAlign w:val="bottom"/>
            <w:hideMark/>
          </w:tcPr>
          <w:p w14:paraId="62042CA9"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-0.1</w:t>
            </w:r>
          </w:p>
        </w:tc>
        <w:tc>
          <w:tcPr>
            <w:tcW w:w="1020" w:type="dxa"/>
            <w:tcBorders>
              <w:top w:val="nil"/>
              <w:left w:val="nil"/>
              <w:bottom w:val="single" w:sz="4" w:space="0" w:color="auto"/>
              <w:right w:val="single" w:sz="4" w:space="0" w:color="auto"/>
            </w:tcBorders>
            <w:shd w:val="clear" w:color="auto" w:fill="auto"/>
            <w:noWrap/>
            <w:vAlign w:val="bottom"/>
            <w:hideMark/>
          </w:tcPr>
          <w:p w14:paraId="55323B7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14.0</w:t>
            </w:r>
          </w:p>
        </w:tc>
        <w:tc>
          <w:tcPr>
            <w:tcW w:w="1140" w:type="dxa"/>
            <w:tcBorders>
              <w:top w:val="nil"/>
              <w:left w:val="nil"/>
              <w:bottom w:val="single" w:sz="4" w:space="0" w:color="auto"/>
              <w:right w:val="single" w:sz="4" w:space="0" w:color="auto"/>
            </w:tcBorders>
            <w:shd w:val="clear" w:color="auto" w:fill="auto"/>
            <w:noWrap/>
            <w:vAlign w:val="bottom"/>
            <w:hideMark/>
          </w:tcPr>
          <w:p w14:paraId="031F350C"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-2.8</w:t>
            </w:r>
          </w:p>
        </w:tc>
      </w:tr>
      <w:tr w:rsidR="00E92338" w:rsidRPr="00E92338" w14:paraId="1A9A145D"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E430B0D"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2013</w:t>
            </w:r>
          </w:p>
        </w:tc>
        <w:tc>
          <w:tcPr>
            <w:tcW w:w="1020" w:type="dxa"/>
            <w:tcBorders>
              <w:top w:val="nil"/>
              <w:left w:val="nil"/>
              <w:bottom w:val="single" w:sz="4" w:space="0" w:color="auto"/>
              <w:right w:val="single" w:sz="4" w:space="0" w:color="auto"/>
            </w:tcBorders>
            <w:shd w:val="clear" w:color="auto" w:fill="auto"/>
            <w:noWrap/>
            <w:vAlign w:val="bottom"/>
            <w:hideMark/>
          </w:tcPr>
          <w:p w14:paraId="0D0BA25B"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-2.1</w:t>
            </w:r>
          </w:p>
        </w:tc>
        <w:tc>
          <w:tcPr>
            <w:tcW w:w="1140" w:type="dxa"/>
            <w:tcBorders>
              <w:top w:val="nil"/>
              <w:left w:val="nil"/>
              <w:bottom w:val="single" w:sz="4" w:space="0" w:color="auto"/>
              <w:right w:val="single" w:sz="4" w:space="0" w:color="auto"/>
            </w:tcBorders>
            <w:shd w:val="clear" w:color="auto" w:fill="auto"/>
            <w:noWrap/>
            <w:vAlign w:val="bottom"/>
            <w:hideMark/>
          </w:tcPr>
          <w:p w14:paraId="12602C1E"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-11.0</w:t>
            </w:r>
          </w:p>
        </w:tc>
        <w:tc>
          <w:tcPr>
            <w:tcW w:w="1020" w:type="dxa"/>
            <w:tcBorders>
              <w:top w:val="nil"/>
              <w:left w:val="nil"/>
              <w:bottom w:val="single" w:sz="4" w:space="0" w:color="auto"/>
              <w:right w:val="single" w:sz="4" w:space="0" w:color="auto"/>
            </w:tcBorders>
            <w:shd w:val="clear" w:color="auto" w:fill="auto"/>
            <w:noWrap/>
            <w:vAlign w:val="bottom"/>
            <w:hideMark/>
          </w:tcPr>
          <w:p w14:paraId="0E893113"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11.6</w:t>
            </w:r>
          </w:p>
        </w:tc>
        <w:tc>
          <w:tcPr>
            <w:tcW w:w="1140" w:type="dxa"/>
            <w:tcBorders>
              <w:top w:val="nil"/>
              <w:left w:val="nil"/>
              <w:bottom w:val="single" w:sz="4" w:space="0" w:color="auto"/>
              <w:right w:val="single" w:sz="4" w:space="0" w:color="auto"/>
            </w:tcBorders>
            <w:shd w:val="clear" w:color="auto" w:fill="auto"/>
            <w:noWrap/>
            <w:vAlign w:val="bottom"/>
            <w:hideMark/>
          </w:tcPr>
          <w:p w14:paraId="402C65E4"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0.2</w:t>
            </w:r>
          </w:p>
        </w:tc>
        <w:tc>
          <w:tcPr>
            <w:tcW w:w="1020" w:type="dxa"/>
            <w:tcBorders>
              <w:top w:val="nil"/>
              <w:left w:val="nil"/>
              <w:bottom w:val="single" w:sz="4" w:space="0" w:color="auto"/>
              <w:right w:val="single" w:sz="4" w:space="0" w:color="auto"/>
            </w:tcBorders>
            <w:shd w:val="clear" w:color="auto" w:fill="auto"/>
            <w:noWrap/>
            <w:vAlign w:val="bottom"/>
            <w:hideMark/>
          </w:tcPr>
          <w:p w14:paraId="024DBA5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13.8</w:t>
            </w:r>
          </w:p>
        </w:tc>
        <w:tc>
          <w:tcPr>
            <w:tcW w:w="1140" w:type="dxa"/>
            <w:tcBorders>
              <w:top w:val="nil"/>
              <w:left w:val="nil"/>
              <w:bottom w:val="single" w:sz="4" w:space="0" w:color="auto"/>
              <w:right w:val="single" w:sz="4" w:space="0" w:color="auto"/>
            </w:tcBorders>
            <w:shd w:val="clear" w:color="auto" w:fill="auto"/>
            <w:noWrap/>
            <w:vAlign w:val="bottom"/>
            <w:hideMark/>
          </w:tcPr>
          <w:p w14:paraId="7AF16AC5"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-1.7</w:t>
            </w:r>
          </w:p>
        </w:tc>
      </w:tr>
      <w:tr w:rsidR="00E92338" w:rsidRPr="00E92338" w14:paraId="11E5B80D"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40BE384"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2014</w:t>
            </w:r>
          </w:p>
        </w:tc>
        <w:tc>
          <w:tcPr>
            <w:tcW w:w="1020" w:type="dxa"/>
            <w:tcBorders>
              <w:top w:val="nil"/>
              <w:left w:val="nil"/>
              <w:bottom w:val="single" w:sz="4" w:space="0" w:color="auto"/>
              <w:right w:val="single" w:sz="4" w:space="0" w:color="auto"/>
            </w:tcBorders>
            <w:shd w:val="clear" w:color="auto" w:fill="auto"/>
            <w:noWrap/>
            <w:vAlign w:val="bottom"/>
            <w:hideMark/>
          </w:tcPr>
          <w:p w14:paraId="77240D7A"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-1.9</w:t>
            </w:r>
          </w:p>
        </w:tc>
        <w:tc>
          <w:tcPr>
            <w:tcW w:w="1140" w:type="dxa"/>
            <w:tcBorders>
              <w:top w:val="nil"/>
              <w:left w:val="nil"/>
              <w:bottom w:val="single" w:sz="4" w:space="0" w:color="auto"/>
              <w:right w:val="single" w:sz="4" w:space="0" w:color="auto"/>
            </w:tcBorders>
            <w:shd w:val="clear" w:color="auto" w:fill="auto"/>
            <w:noWrap/>
            <w:vAlign w:val="bottom"/>
            <w:hideMark/>
          </w:tcPr>
          <w:p w14:paraId="3D25E8F2"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-11.1</w:t>
            </w:r>
          </w:p>
        </w:tc>
        <w:tc>
          <w:tcPr>
            <w:tcW w:w="1020" w:type="dxa"/>
            <w:tcBorders>
              <w:top w:val="nil"/>
              <w:left w:val="nil"/>
              <w:bottom w:val="single" w:sz="4" w:space="0" w:color="auto"/>
              <w:right w:val="single" w:sz="4" w:space="0" w:color="auto"/>
            </w:tcBorders>
            <w:shd w:val="clear" w:color="auto" w:fill="auto"/>
            <w:noWrap/>
            <w:vAlign w:val="bottom"/>
            <w:hideMark/>
          </w:tcPr>
          <w:p w14:paraId="72666DD8"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11.5</w:t>
            </w:r>
          </w:p>
        </w:tc>
        <w:tc>
          <w:tcPr>
            <w:tcW w:w="1140" w:type="dxa"/>
            <w:tcBorders>
              <w:top w:val="nil"/>
              <w:left w:val="nil"/>
              <w:bottom w:val="single" w:sz="4" w:space="0" w:color="auto"/>
              <w:right w:val="single" w:sz="4" w:space="0" w:color="auto"/>
            </w:tcBorders>
            <w:shd w:val="clear" w:color="auto" w:fill="auto"/>
            <w:noWrap/>
            <w:vAlign w:val="bottom"/>
            <w:hideMark/>
          </w:tcPr>
          <w:p w14:paraId="5E90E0D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w:t>
            </w:r>
          </w:p>
        </w:tc>
        <w:tc>
          <w:tcPr>
            <w:tcW w:w="1020" w:type="dxa"/>
            <w:tcBorders>
              <w:top w:val="nil"/>
              <w:left w:val="nil"/>
              <w:bottom w:val="single" w:sz="4" w:space="0" w:color="auto"/>
              <w:right w:val="single" w:sz="4" w:space="0" w:color="auto"/>
            </w:tcBorders>
            <w:shd w:val="clear" w:color="auto" w:fill="auto"/>
            <w:noWrap/>
            <w:vAlign w:val="bottom"/>
            <w:hideMark/>
          </w:tcPr>
          <w:p w14:paraId="770D9AB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13.4</w:t>
            </w:r>
          </w:p>
        </w:tc>
        <w:tc>
          <w:tcPr>
            <w:tcW w:w="1140" w:type="dxa"/>
            <w:tcBorders>
              <w:top w:val="nil"/>
              <w:left w:val="nil"/>
              <w:bottom w:val="single" w:sz="4" w:space="0" w:color="auto"/>
              <w:right w:val="single" w:sz="4" w:space="0" w:color="auto"/>
            </w:tcBorders>
            <w:shd w:val="clear" w:color="auto" w:fill="auto"/>
            <w:noWrap/>
            <w:vAlign w:val="bottom"/>
            <w:hideMark/>
          </w:tcPr>
          <w:p w14:paraId="5FF69602"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-2.7</w:t>
            </w:r>
          </w:p>
        </w:tc>
      </w:tr>
      <w:tr w:rsidR="00E92338" w:rsidRPr="00E92338" w14:paraId="7613FF0C"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4D27EB9"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2015</w:t>
            </w:r>
          </w:p>
        </w:tc>
        <w:tc>
          <w:tcPr>
            <w:tcW w:w="1020" w:type="dxa"/>
            <w:tcBorders>
              <w:top w:val="nil"/>
              <w:left w:val="nil"/>
              <w:bottom w:val="single" w:sz="4" w:space="0" w:color="auto"/>
              <w:right w:val="single" w:sz="4" w:space="0" w:color="auto"/>
            </w:tcBorders>
            <w:shd w:val="clear" w:color="auto" w:fill="auto"/>
            <w:noWrap/>
            <w:vAlign w:val="bottom"/>
            <w:hideMark/>
          </w:tcPr>
          <w:p w14:paraId="0A545B4C"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-1.4</w:t>
            </w:r>
          </w:p>
        </w:tc>
        <w:tc>
          <w:tcPr>
            <w:tcW w:w="1140" w:type="dxa"/>
            <w:tcBorders>
              <w:top w:val="nil"/>
              <w:left w:val="nil"/>
              <w:bottom w:val="single" w:sz="4" w:space="0" w:color="auto"/>
              <w:right w:val="single" w:sz="4" w:space="0" w:color="auto"/>
            </w:tcBorders>
            <w:shd w:val="clear" w:color="auto" w:fill="auto"/>
            <w:noWrap/>
            <w:vAlign w:val="bottom"/>
            <w:hideMark/>
          </w:tcPr>
          <w:p w14:paraId="613F2F2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-24.2</w:t>
            </w:r>
          </w:p>
        </w:tc>
        <w:tc>
          <w:tcPr>
            <w:tcW w:w="1020" w:type="dxa"/>
            <w:tcBorders>
              <w:top w:val="nil"/>
              <w:left w:val="nil"/>
              <w:bottom w:val="single" w:sz="4" w:space="0" w:color="auto"/>
              <w:right w:val="single" w:sz="4" w:space="0" w:color="auto"/>
            </w:tcBorders>
            <w:shd w:val="clear" w:color="auto" w:fill="auto"/>
            <w:noWrap/>
            <w:vAlign w:val="bottom"/>
            <w:hideMark/>
          </w:tcPr>
          <w:p w14:paraId="5000BC04"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10.8</w:t>
            </w:r>
          </w:p>
        </w:tc>
        <w:tc>
          <w:tcPr>
            <w:tcW w:w="1140" w:type="dxa"/>
            <w:tcBorders>
              <w:top w:val="nil"/>
              <w:left w:val="nil"/>
              <w:bottom w:val="single" w:sz="4" w:space="0" w:color="auto"/>
              <w:right w:val="single" w:sz="4" w:space="0" w:color="auto"/>
            </w:tcBorders>
            <w:shd w:val="clear" w:color="auto" w:fill="auto"/>
            <w:noWrap/>
            <w:vAlign w:val="bottom"/>
            <w:hideMark/>
          </w:tcPr>
          <w:p w14:paraId="4739BEEB"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-5.8</w:t>
            </w:r>
          </w:p>
        </w:tc>
        <w:tc>
          <w:tcPr>
            <w:tcW w:w="1020" w:type="dxa"/>
            <w:tcBorders>
              <w:top w:val="nil"/>
              <w:left w:val="nil"/>
              <w:bottom w:val="single" w:sz="4" w:space="0" w:color="auto"/>
              <w:right w:val="single" w:sz="4" w:space="0" w:color="auto"/>
            </w:tcBorders>
            <w:shd w:val="clear" w:color="auto" w:fill="auto"/>
            <w:noWrap/>
            <w:vAlign w:val="bottom"/>
            <w:hideMark/>
          </w:tcPr>
          <w:p w14:paraId="0D5E129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12.3</w:t>
            </w:r>
          </w:p>
        </w:tc>
        <w:tc>
          <w:tcPr>
            <w:tcW w:w="1140" w:type="dxa"/>
            <w:tcBorders>
              <w:top w:val="nil"/>
              <w:left w:val="nil"/>
              <w:bottom w:val="single" w:sz="4" w:space="0" w:color="auto"/>
              <w:right w:val="single" w:sz="4" w:space="0" w:color="auto"/>
            </w:tcBorders>
            <w:shd w:val="clear" w:color="auto" w:fill="auto"/>
            <w:noWrap/>
            <w:vAlign w:val="bottom"/>
            <w:hideMark/>
          </w:tcPr>
          <w:p w14:paraId="6CFB0C4E"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-8.4</w:t>
            </w:r>
          </w:p>
        </w:tc>
      </w:tr>
      <w:tr w:rsidR="00E92338" w:rsidRPr="00E92338" w14:paraId="1A6E3397"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82C7328"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2016</w:t>
            </w:r>
          </w:p>
        </w:tc>
        <w:tc>
          <w:tcPr>
            <w:tcW w:w="1020" w:type="dxa"/>
            <w:tcBorders>
              <w:top w:val="nil"/>
              <w:left w:val="nil"/>
              <w:bottom w:val="single" w:sz="4" w:space="0" w:color="auto"/>
              <w:right w:val="single" w:sz="4" w:space="0" w:color="auto"/>
            </w:tcBorders>
            <w:shd w:val="clear" w:color="auto" w:fill="auto"/>
            <w:noWrap/>
            <w:vAlign w:val="bottom"/>
            <w:hideMark/>
          </w:tcPr>
          <w:p w14:paraId="5C4AB2DA"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w:t>
            </w:r>
          </w:p>
        </w:tc>
        <w:tc>
          <w:tcPr>
            <w:tcW w:w="1140" w:type="dxa"/>
            <w:tcBorders>
              <w:top w:val="nil"/>
              <w:left w:val="nil"/>
              <w:bottom w:val="single" w:sz="4" w:space="0" w:color="auto"/>
              <w:right w:val="single" w:sz="4" w:space="0" w:color="auto"/>
            </w:tcBorders>
            <w:shd w:val="clear" w:color="auto" w:fill="auto"/>
            <w:noWrap/>
            <w:vAlign w:val="bottom"/>
            <w:hideMark/>
          </w:tcPr>
          <w:p w14:paraId="38BC2FA2"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-25.6</w:t>
            </w:r>
          </w:p>
        </w:tc>
        <w:tc>
          <w:tcPr>
            <w:tcW w:w="1020" w:type="dxa"/>
            <w:tcBorders>
              <w:top w:val="nil"/>
              <w:left w:val="nil"/>
              <w:bottom w:val="single" w:sz="4" w:space="0" w:color="auto"/>
              <w:right w:val="single" w:sz="4" w:space="0" w:color="auto"/>
            </w:tcBorders>
            <w:shd w:val="clear" w:color="auto" w:fill="auto"/>
            <w:noWrap/>
            <w:vAlign w:val="bottom"/>
            <w:hideMark/>
          </w:tcPr>
          <w:p w14:paraId="267C3CE9"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11.0</w:t>
            </w:r>
          </w:p>
        </w:tc>
        <w:tc>
          <w:tcPr>
            <w:tcW w:w="1140" w:type="dxa"/>
            <w:tcBorders>
              <w:top w:val="nil"/>
              <w:left w:val="nil"/>
              <w:bottom w:val="single" w:sz="4" w:space="0" w:color="auto"/>
              <w:right w:val="single" w:sz="4" w:space="0" w:color="auto"/>
            </w:tcBorders>
            <w:shd w:val="clear" w:color="auto" w:fill="auto"/>
            <w:noWrap/>
            <w:vAlign w:val="bottom"/>
            <w:hideMark/>
          </w:tcPr>
          <w:p w14:paraId="07396F12"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1.7</w:t>
            </w:r>
          </w:p>
        </w:tc>
        <w:tc>
          <w:tcPr>
            <w:tcW w:w="1020" w:type="dxa"/>
            <w:tcBorders>
              <w:top w:val="nil"/>
              <w:left w:val="nil"/>
              <w:bottom w:val="single" w:sz="4" w:space="0" w:color="auto"/>
              <w:right w:val="single" w:sz="4" w:space="0" w:color="auto"/>
            </w:tcBorders>
            <w:shd w:val="clear" w:color="auto" w:fill="auto"/>
            <w:noWrap/>
            <w:vAlign w:val="bottom"/>
            <w:hideMark/>
          </w:tcPr>
          <w:p w14:paraId="4166B06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12.1</w:t>
            </w:r>
          </w:p>
        </w:tc>
        <w:tc>
          <w:tcPr>
            <w:tcW w:w="1140" w:type="dxa"/>
            <w:tcBorders>
              <w:top w:val="nil"/>
              <w:left w:val="nil"/>
              <w:bottom w:val="single" w:sz="4" w:space="0" w:color="auto"/>
              <w:right w:val="single" w:sz="4" w:space="0" w:color="auto"/>
            </w:tcBorders>
            <w:shd w:val="clear" w:color="auto" w:fill="auto"/>
            <w:noWrap/>
            <w:vAlign w:val="bottom"/>
            <w:hideMark/>
          </w:tcPr>
          <w:p w14:paraId="1B8A0F00"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-1.5</w:t>
            </w:r>
          </w:p>
        </w:tc>
      </w:tr>
      <w:tr w:rsidR="00E92338" w:rsidRPr="00E92338" w14:paraId="4BB2FDC5"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0BDF15D"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2017</w:t>
            </w:r>
          </w:p>
        </w:tc>
        <w:tc>
          <w:tcPr>
            <w:tcW w:w="1020" w:type="dxa"/>
            <w:tcBorders>
              <w:top w:val="nil"/>
              <w:left w:val="nil"/>
              <w:bottom w:val="single" w:sz="4" w:space="0" w:color="auto"/>
              <w:right w:val="single" w:sz="4" w:space="0" w:color="auto"/>
            </w:tcBorders>
            <w:shd w:val="clear" w:color="auto" w:fill="auto"/>
            <w:noWrap/>
            <w:vAlign w:val="bottom"/>
            <w:hideMark/>
          </w:tcPr>
          <w:p w14:paraId="61E13787"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-1.3</w:t>
            </w:r>
          </w:p>
        </w:tc>
        <w:tc>
          <w:tcPr>
            <w:tcW w:w="1140" w:type="dxa"/>
            <w:tcBorders>
              <w:top w:val="nil"/>
              <w:left w:val="nil"/>
              <w:bottom w:val="single" w:sz="4" w:space="0" w:color="auto"/>
              <w:right w:val="single" w:sz="4" w:space="0" w:color="auto"/>
            </w:tcBorders>
            <w:shd w:val="clear" w:color="auto" w:fill="auto"/>
            <w:noWrap/>
            <w:vAlign w:val="bottom"/>
            <w:hideMark/>
          </w:tcPr>
          <w:p w14:paraId="181C1F78"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22.8</w:t>
            </w:r>
          </w:p>
        </w:tc>
        <w:tc>
          <w:tcPr>
            <w:tcW w:w="1020" w:type="dxa"/>
            <w:tcBorders>
              <w:top w:val="nil"/>
              <w:left w:val="nil"/>
              <w:bottom w:val="single" w:sz="4" w:space="0" w:color="auto"/>
              <w:right w:val="single" w:sz="4" w:space="0" w:color="auto"/>
            </w:tcBorders>
            <w:shd w:val="clear" w:color="auto" w:fill="auto"/>
            <w:noWrap/>
            <w:vAlign w:val="bottom"/>
            <w:hideMark/>
          </w:tcPr>
          <w:p w14:paraId="09F007E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10.8</w:t>
            </w:r>
          </w:p>
        </w:tc>
        <w:tc>
          <w:tcPr>
            <w:tcW w:w="1140" w:type="dxa"/>
            <w:tcBorders>
              <w:top w:val="nil"/>
              <w:left w:val="nil"/>
              <w:bottom w:val="single" w:sz="4" w:space="0" w:color="auto"/>
              <w:right w:val="single" w:sz="4" w:space="0" w:color="auto"/>
            </w:tcBorders>
            <w:shd w:val="clear" w:color="auto" w:fill="auto"/>
            <w:noWrap/>
            <w:vAlign w:val="bottom"/>
            <w:hideMark/>
          </w:tcPr>
          <w:p w14:paraId="586AE893"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w:t>
            </w:r>
          </w:p>
        </w:tc>
        <w:tc>
          <w:tcPr>
            <w:tcW w:w="1020" w:type="dxa"/>
            <w:tcBorders>
              <w:top w:val="nil"/>
              <w:left w:val="nil"/>
              <w:bottom w:val="single" w:sz="4" w:space="0" w:color="auto"/>
              <w:right w:val="single" w:sz="4" w:space="0" w:color="auto"/>
            </w:tcBorders>
            <w:shd w:val="clear" w:color="auto" w:fill="auto"/>
            <w:noWrap/>
            <w:vAlign w:val="bottom"/>
            <w:hideMark/>
          </w:tcPr>
          <w:p w14:paraId="1869453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12.1</w:t>
            </w:r>
          </w:p>
        </w:tc>
        <w:tc>
          <w:tcPr>
            <w:tcW w:w="1140" w:type="dxa"/>
            <w:tcBorders>
              <w:top w:val="nil"/>
              <w:left w:val="nil"/>
              <w:bottom w:val="single" w:sz="4" w:space="0" w:color="auto"/>
              <w:right w:val="single" w:sz="4" w:space="0" w:color="auto"/>
            </w:tcBorders>
            <w:shd w:val="clear" w:color="auto" w:fill="auto"/>
            <w:noWrap/>
            <w:vAlign w:val="bottom"/>
            <w:hideMark/>
          </w:tcPr>
          <w:p w14:paraId="199030F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0.2</w:t>
            </w:r>
          </w:p>
        </w:tc>
      </w:tr>
      <w:tr w:rsidR="00E92338" w:rsidRPr="00E92338" w14:paraId="25245EF7" w14:textId="77777777" w:rsidTr="00E92338">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CBE5572" w14:textId="77777777" w:rsidR="00E92338" w:rsidRPr="00E92338" w:rsidRDefault="00E92338" w:rsidP="00E92338">
            <w:pPr>
              <w:spacing w:after="0" w:line="240" w:lineRule="auto"/>
              <w:jc w:val="center"/>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2018</w:t>
            </w:r>
          </w:p>
        </w:tc>
        <w:tc>
          <w:tcPr>
            <w:tcW w:w="1020" w:type="dxa"/>
            <w:tcBorders>
              <w:top w:val="nil"/>
              <w:left w:val="nil"/>
              <w:bottom w:val="single" w:sz="4" w:space="0" w:color="auto"/>
              <w:right w:val="single" w:sz="4" w:space="0" w:color="auto"/>
            </w:tcBorders>
            <w:shd w:val="clear" w:color="auto" w:fill="auto"/>
            <w:noWrap/>
            <w:vAlign w:val="bottom"/>
            <w:hideMark/>
          </w:tcPr>
          <w:p w14:paraId="1CE0B8F4"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-1.8</w:t>
            </w:r>
          </w:p>
        </w:tc>
        <w:tc>
          <w:tcPr>
            <w:tcW w:w="1140" w:type="dxa"/>
            <w:tcBorders>
              <w:top w:val="nil"/>
              <w:left w:val="nil"/>
              <w:bottom w:val="single" w:sz="4" w:space="0" w:color="auto"/>
              <w:right w:val="single" w:sz="4" w:space="0" w:color="auto"/>
            </w:tcBorders>
            <w:shd w:val="clear" w:color="auto" w:fill="auto"/>
            <w:noWrap/>
            <w:vAlign w:val="bottom"/>
            <w:hideMark/>
          </w:tcPr>
          <w:p w14:paraId="74242781"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34.0</w:t>
            </w:r>
          </w:p>
        </w:tc>
        <w:tc>
          <w:tcPr>
            <w:tcW w:w="1020" w:type="dxa"/>
            <w:tcBorders>
              <w:top w:val="nil"/>
              <w:left w:val="nil"/>
              <w:bottom w:val="single" w:sz="4" w:space="0" w:color="auto"/>
              <w:right w:val="single" w:sz="4" w:space="0" w:color="auto"/>
            </w:tcBorders>
            <w:shd w:val="clear" w:color="auto" w:fill="auto"/>
            <w:noWrap/>
            <w:vAlign w:val="bottom"/>
            <w:hideMark/>
          </w:tcPr>
          <w:p w14:paraId="2A0C68EA"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10.6</w:t>
            </w:r>
          </w:p>
        </w:tc>
        <w:tc>
          <w:tcPr>
            <w:tcW w:w="1140" w:type="dxa"/>
            <w:tcBorders>
              <w:top w:val="nil"/>
              <w:left w:val="nil"/>
              <w:bottom w:val="single" w:sz="4" w:space="0" w:color="auto"/>
              <w:right w:val="single" w:sz="4" w:space="0" w:color="auto"/>
            </w:tcBorders>
            <w:shd w:val="clear" w:color="auto" w:fill="auto"/>
            <w:noWrap/>
            <w:vAlign w:val="bottom"/>
            <w:hideMark/>
          </w:tcPr>
          <w:p w14:paraId="3921A5F6"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-2.1</w:t>
            </w:r>
          </w:p>
        </w:tc>
        <w:tc>
          <w:tcPr>
            <w:tcW w:w="1020" w:type="dxa"/>
            <w:tcBorders>
              <w:top w:val="nil"/>
              <w:left w:val="nil"/>
              <w:bottom w:val="single" w:sz="4" w:space="0" w:color="auto"/>
              <w:right w:val="single" w:sz="4" w:space="0" w:color="auto"/>
            </w:tcBorders>
            <w:shd w:val="clear" w:color="auto" w:fill="auto"/>
            <w:noWrap/>
            <w:vAlign w:val="bottom"/>
            <w:hideMark/>
          </w:tcPr>
          <w:p w14:paraId="5AE896B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12.3</w:t>
            </w:r>
          </w:p>
        </w:tc>
        <w:tc>
          <w:tcPr>
            <w:tcW w:w="1140" w:type="dxa"/>
            <w:tcBorders>
              <w:top w:val="nil"/>
              <w:left w:val="nil"/>
              <w:bottom w:val="single" w:sz="4" w:space="0" w:color="auto"/>
              <w:right w:val="single" w:sz="4" w:space="0" w:color="auto"/>
            </w:tcBorders>
            <w:shd w:val="clear" w:color="auto" w:fill="auto"/>
            <w:noWrap/>
            <w:vAlign w:val="bottom"/>
            <w:hideMark/>
          </w:tcPr>
          <w:p w14:paraId="27EC090F" w14:textId="77777777" w:rsidR="00E92338" w:rsidRPr="00E92338" w:rsidRDefault="00E92338" w:rsidP="00E92338">
            <w:pPr>
              <w:spacing w:after="0" w:line="240" w:lineRule="auto"/>
              <w:jc w:val="right"/>
              <w:rPr>
                <w:rFonts w:ascii="Calibri" w:eastAsia="Times New Roman" w:hAnsi="Calibri" w:cs="Times New Roman"/>
                <w:color w:val="000000"/>
                <w:sz w:val="20"/>
                <w:szCs w:val="20"/>
                <w:lang w:eastAsia="es-GT"/>
              </w:rPr>
            </w:pPr>
            <w:r w:rsidRPr="00E92338">
              <w:rPr>
                <w:rFonts w:ascii="Calibri" w:eastAsia="Times New Roman" w:hAnsi="Calibri" w:cs="Times New Roman"/>
                <w:color w:val="000000"/>
                <w:sz w:val="20"/>
                <w:szCs w:val="20"/>
                <w:lang w:eastAsia="es-GT"/>
              </w:rPr>
              <w:t>1.8</w:t>
            </w:r>
          </w:p>
        </w:tc>
      </w:tr>
    </w:tbl>
    <w:p w14:paraId="7F5BED63" w14:textId="77777777" w:rsidR="00E92338" w:rsidRPr="00E92338" w:rsidRDefault="00E92338" w:rsidP="0065348F">
      <w:pPr>
        <w:jc w:val="both"/>
        <w:rPr>
          <w:sz w:val="18"/>
        </w:rPr>
      </w:pPr>
      <w:r w:rsidRPr="00E92338">
        <w:rPr>
          <w:sz w:val="18"/>
        </w:rPr>
        <w:t>Fuente: Icefi con base en estadísticas del Ministerio de Finanzas Públicas.</w:t>
      </w:r>
    </w:p>
    <w:p w14:paraId="04AEEFFF" w14:textId="77777777" w:rsidR="00F507BA" w:rsidRDefault="00F507BA" w:rsidP="0065348F">
      <w:pPr>
        <w:jc w:val="both"/>
      </w:pPr>
    </w:p>
    <w:p w14:paraId="4639B505" w14:textId="77777777" w:rsidR="00617CD2" w:rsidRDefault="00D90954" w:rsidP="00D90954">
      <w:pPr>
        <w:jc w:val="both"/>
      </w:pPr>
      <w:r>
        <w:t>Al revisar el endeudamiento utilizado para financiar el déficit fiscal, según el tipo de acreedor, se puede constatar que la</w:t>
      </w:r>
      <w:r w:rsidRPr="00D90954">
        <w:t xml:space="preserve"> política de crédito público </w:t>
      </w:r>
      <w:r>
        <w:t xml:space="preserve">está enfocada en la utilización </w:t>
      </w:r>
      <w:r w:rsidRPr="00D90954">
        <w:t xml:space="preserve">creciente </w:t>
      </w:r>
      <w:r>
        <w:t xml:space="preserve">de </w:t>
      </w:r>
      <w:r w:rsidRPr="00D90954">
        <w:t xml:space="preserve">deuda bonificada interna, la cual en términos generales es contratada en condiciones </w:t>
      </w:r>
      <w:r>
        <w:t>d</w:t>
      </w:r>
      <w:r w:rsidRPr="00D90954">
        <w:t xml:space="preserve">esfavorables, especialmente </w:t>
      </w:r>
      <w:r>
        <w:t xml:space="preserve">por </w:t>
      </w:r>
      <w:r w:rsidRPr="00D90954">
        <w:t>plazos más cortos y tasas de interés más altas, cuando se le compara con los préstamos externos.</w:t>
      </w:r>
      <w:r w:rsidR="00617CD2">
        <w:t xml:space="preserve"> </w:t>
      </w:r>
    </w:p>
    <w:p w14:paraId="2EE2612D" w14:textId="77777777" w:rsidR="00272227" w:rsidRDefault="00617CD2" w:rsidP="00D90954">
      <w:pPr>
        <w:jc w:val="both"/>
      </w:pPr>
      <w:r>
        <w:t xml:space="preserve">Entre 2015 y 2018, el saldo de la deuda pública interna pasó de Q61,459.7  millones (12.6% del PIB), a Q79,424.7 millones (13.5% del PIB). La tasa de interés promedio ponderada de esta deuda </w:t>
      </w:r>
      <w:r w:rsidR="00CE17E9">
        <w:t>transitó</w:t>
      </w:r>
      <w:r>
        <w:t xml:space="preserve"> de 7.91% a 7.51%. A pesar de la reducción en la tasa de interés, la misma todavía está muy lejos de la tasa de interés promedio ponderada registrada en la deuda externa (bilateral, multilateral y Eurobonos), la que registró 4.36% en 2015 y 4.60% en 2018.</w:t>
      </w:r>
    </w:p>
    <w:p w14:paraId="3DB6C574" w14:textId="77777777" w:rsidR="00617CD2" w:rsidRDefault="00617CD2" w:rsidP="00617CD2">
      <w:pPr>
        <w:spacing w:after="0" w:line="240" w:lineRule="auto"/>
        <w:jc w:val="center"/>
      </w:pPr>
      <w:r>
        <w:t>Cuadro</w:t>
      </w:r>
    </w:p>
    <w:p w14:paraId="27C1BF45" w14:textId="77777777" w:rsidR="00617CD2" w:rsidRDefault="00617CD2" w:rsidP="00617CD2">
      <w:pPr>
        <w:jc w:val="center"/>
      </w:pPr>
      <w:r>
        <w:t>Saldo y tasa de interés promedio ponderada de la deuda pública, interna y externa</w:t>
      </w:r>
    </w:p>
    <w:tbl>
      <w:tblPr>
        <w:tblW w:w="8220" w:type="dxa"/>
        <w:jc w:val="center"/>
        <w:tblCellMar>
          <w:left w:w="70" w:type="dxa"/>
          <w:right w:w="70" w:type="dxa"/>
        </w:tblCellMar>
        <w:tblLook w:val="04A0" w:firstRow="1" w:lastRow="0" w:firstColumn="1" w:lastColumn="0" w:noHBand="0" w:noVBand="1"/>
      </w:tblPr>
      <w:tblGrid>
        <w:gridCol w:w="1842"/>
        <w:gridCol w:w="1578"/>
        <w:gridCol w:w="1200"/>
        <w:gridCol w:w="1200"/>
        <w:gridCol w:w="1200"/>
        <w:gridCol w:w="1200"/>
      </w:tblGrid>
      <w:tr w:rsidR="005412A2" w:rsidRPr="005412A2" w14:paraId="0ADDA092" w14:textId="77777777" w:rsidTr="00617CD2">
        <w:trPr>
          <w:trHeight w:val="480"/>
          <w:jc w:val="center"/>
        </w:trPr>
        <w:tc>
          <w:tcPr>
            <w:tcW w:w="3420" w:type="dxa"/>
            <w:gridSpan w:val="2"/>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4ED38286" w14:textId="77777777" w:rsidR="005412A2" w:rsidRPr="005412A2" w:rsidRDefault="005412A2" w:rsidP="005412A2">
            <w:pPr>
              <w:spacing w:after="0" w:line="240" w:lineRule="auto"/>
              <w:jc w:val="center"/>
              <w:rPr>
                <w:rFonts w:ascii="Calibri" w:eastAsia="Times New Roman" w:hAnsi="Calibri" w:cs="Times New Roman"/>
                <w:color w:val="FFFFFF"/>
                <w:lang w:eastAsia="es-GT"/>
              </w:rPr>
            </w:pPr>
            <w:r w:rsidRPr="005412A2">
              <w:rPr>
                <w:rFonts w:ascii="Calibri" w:eastAsia="Times New Roman" w:hAnsi="Calibri" w:cs="Times New Roman"/>
                <w:color w:val="FFFFFF"/>
                <w:lang w:eastAsia="es-GT"/>
              </w:rPr>
              <w:t>Concepto</w:t>
            </w:r>
          </w:p>
        </w:tc>
        <w:tc>
          <w:tcPr>
            <w:tcW w:w="1200" w:type="dxa"/>
            <w:tcBorders>
              <w:top w:val="single" w:sz="4" w:space="0" w:color="auto"/>
              <w:left w:val="nil"/>
              <w:bottom w:val="single" w:sz="4" w:space="0" w:color="auto"/>
              <w:right w:val="single" w:sz="4" w:space="0" w:color="auto"/>
            </w:tcBorders>
            <w:shd w:val="clear" w:color="000000" w:fill="C00000"/>
            <w:noWrap/>
            <w:vAlign w:val="center"/>
            <w:hideMark/>
          </w:tcPr>
          <w:p w14:paraId="23431AF5" w14:textId="77777777" w:rsidR="005412A2" w:rsidRPr="005412A2" w:rsidRDefault="005412A2" w:rsidP="005412A2">
            <w:pPr>
              <w:spacing w:after="0" w:line="240" w:lineRule="auto"/>
              <w:jc w:val="center"/>
              <w:rPr>
                <w:rFonts w:ascii="Calibri" w:eastAsia="Times New Roman" w:hAnsi="Calibri" w:cs="Times New Roman"/>
                <w:color w:val="FFFFFF"/>
                <w:lang w:eastAsia="es-GT"/>
              </w:rPr>
            </w:pPr>
            <w:r w:rsidRPr="005412A2">
              <w:rPr>
                <w:rFonts w:ascii="Calibri" w:eastAsia="Times New Roman" w:hAnsi="Calibri" w:cs="Times New Roman"/>
                <w:color w:val="FFFFFF"/>
                <w:lang w:eastAsia="es-GT"/>
              </w:rPr>
              <w:t>2015</w:t>
            </w:r>
          </w:p>
        </w:tc>
        <w:tc>
          <w:tcPr>
            <w:tcW w:w="1200" w:type="dxa"/>
            <w:tcBorders>
              <w:top w:val="single" w:sz="4" w:space="0" w:color="auto"/>
              <w:left w:val="nil"/>
              <w:bottom w:val="single" w:sz="4" w:space="0" w:color="auto"/>
              <w:right w:val="single" w:sz="4" w:space="0" w:color="auto"/>
            </w:tcBorders>
            <w:shd w:val="clear" w:color="000000" w:fill="C00000"/>
            <w:noWrap/>
            <w:vAlign w:val="center"/>
            <w:hideMark/>
          </w:tcPr>
          <w:p w14:paraId="606DFF65" w14:textId="77777777" w:rsidR="005412A2" w:rsidRPr="005412A2" w:rsidRDefault="005412A2" w:rsidP="005412A2">
            <w:pPr>
              <w:spacing w:after="0" w:line="240" w:lineRule="auto"/>
              <w:jc w:val="center"/>
              <w:rPr>
                <w:rFonts w:ascii="Calibri" w:eastAsia="Times New Roman" w:hAnsi="Calibri" w:cs="Times New Roman"/>
                <w:color w:val="FFFFFF"/>
                <w:lang w:eastAsia="es-GT"/>
              </w:rPr>
            </w:pPr>
            <w:r w:rsidRPr="005412A2">
              <w:rPr>
                <w:rFonts w:ascii="Calibri" w:eastAsia="Times New Roman" w:hAnsi="Calibri" w:cs="Times New Roman"/>
                <w:color w:val="FFFFFF"/>
                <w:lang w:eastAsia="es-GT"/>
              </w:rPr>
              <w:t>2016</w:t>
            </w:r>
          </w:p>
        </w:tc>
        <w:tc>
          <w:tcPr>
            <w:tcW w:w="1200" w:type="dxa"/>
            <w:tcBorders>
              <w:top w:val="single" w:sz="4" w:space="0" w:color="auto"/>
              <w:left w:val="nil"/>
              <w:bottom w:val="single" w:sz="4" w:space="0" w:color="auto"/>
              <w:right w:val="single" w:sz="4" w:space="0" w:color="auto"/>
            </w:tcBorders>
            <w:shd w:val="clear" w:color="000000" w:fill="C00000"/>
            <w:noWrap/>
            <w:vAlign w:val="center"/>
            <w:hideMark/>
          </w:tcPr>
          <w:p w14:paraId="76EBB016" w14:textId="77777777" w:rsidR="005412A2" w:rsidRPr="005412A2" w:rsidRDefault="005412A2" w:rsidP="005412A2">
            <w:pPr>
              <w:spacing w:after="0" w:line="240" w:lineRule="auto"/>
              <w:jc w:val="center"/>
              <w:rPr>
                <w:rFonts w:ascii="Calibri" w:eastAsia="Times New Roman" w:hAnsi="Calibri" w:cs="Times New Roman"/>
                <w:color w:val="FFFFFF"/>
                <w:lang w:eastAsia="es-GT"/>
              </w:rPr>
            </w:pPr>
            <w:r w:rsidRPr="005412A2">
              <w:rPr>
                <w:rFonts w:ascii="Calibri" w:eastAsia="Times New Roman" w:hAnsi="Calibri" w:cs="Times New Roman"/>
                <w:color w:val="FFFFFF"/>
                <w:lang w:eastAsia="es-GT"/>
              </w:rPr>
              <w:t>2017</w:t>
            </w:r>
          </w:p>
        </w:tc>
        <w:tc>
          <w:tcPr>
            <w:tcW w:w="1200" w:type="dxa"/>
            <w:tcBorders>
              <w:top w:val="single" w:sz="4" w:space="0" w:color="auto"/>
              <w:left w:val="nil"/>
              <w:bottom w:val="single" w:sz="4" w:space="0" w:color="auto"/>
              <w:right w:val="single" w:sz="4" w:space="0" w:color="auto"/>
            </w:tcBorders>
            <w:shd w:val="clear" w:color="000000" w:fill="C00000"/>
            <w:noWrap/>
            <w:vAlign w:val="center"/>
            <w:hideMark/>
          </w:tcPr>
          <w:p w14:paraId="4ACF397F" w14:textId="77777777" w:rsidR="005412A2" w:rsidRPr="005412A2" w:rsidRDefault="005412A2" w:rsidP="005412A2">
            <w:pPr>
              <w:spacing w:after="0" w:line="240" w:lineRule="auto"/>
              <w:jc w:val="center"/>
              <w:rPr>
                <w:rFonts w:ascii="Calibri" w:eastAsia="Times New Roman" w:hAnsi="Calibri" w:cs="Times New Roman"/>
                <w:color w:val="FFFFFF"/>
                <w:lang w:eastAsia="es-GT"/>
              </w:rPr>
            </w:pPr>
            <w:r w:rsidRPr="005412A2">
              <w:rPr>
                <w:rFonts w:ascii="Calibri" w:eastAsia="Times New Roman" w:hAnsi="Calibri" w:cs="Times New Roman"/>
                <w:color w:val="FFFFFF"/>
                <w:lang w:eastAsia="es-GT"/>
              </w:rPr>
              <w:t>2018</w:t>
            </w:r>
          </w:p>
        </w:tc>
      </w:tr>
      <w:tr w:rsidR="005412A2" w:rsidRPr="005412A2" w14:paraId="352C0371" w14:textId="77777777" w:rsidTr="00190E20">
        <w:trPr>
          <w:trHeight w:val="626"/>
          <w:jc w:val="center"/>
        </w:trPr>
        <w:tc>
          <w:tcPr>
            <w:tcW w:w="1842" w:type="dxa"/>
            <w:vMerge w:val="restart"/>
            <w:tcBorders>
              <w:top w:val="nil"/>
              <w:left w:val="single" w:sz="4" w:space="0" w:color="auto"/>
              <w:bottom w:val="single" w:sz="4" w:space="0" w:color="auto"/>
              <w:right w:val="single" w:sz="4" w:space="0" w:color="auto"/>
            </w:tcBorders>
            <w:shd w:val="clear" w:color="000000" w:fill="C00000"/>
            <w:noWrap/>
            <w:vAlign w:val="center"/>
            <w:hideMark/>
          </w:tcPr>
          <w:p w14:paraId="7365B5F0" w14:textId="77777777" w:rsidR="005412A2" w:rsidRPr="005412A2" w:rsidRDefault="005412A2" w:rsidP="005412A2">
            <w:pPr>
              <w:spacing w:after="0" w:line="240" w:lineRule="auto"/>
              <w:jc w:val="center"/>
              <w:rPr>
                <w:rFonts w:ascii="Calibri" w:eastAsia="Times New Roman" w:hAnsi="Calibri" w:cs="Times New Roman"/>
                <w:color w:val="FFFFFF"/>
                <w:lang w:eastAsia="es-GT"/>
              </w:rPr>
            </w:pPr>
            <w:r w:rsidRPr="005412A2">
              <w:rPr>
                <w:rFonts w:ascii="Calibri" w:eastAsia="Times New Roman" w:hAnsi="Calibri" w:cs="Times New Roman"/>
                <w:color w:val="FFFFFF"/>
                <w:lang w:eastAsia="es-GT"/>
              </w:rPr>
              <w:t>Deuda externa</w:t>
            </w:r>
          </w:p>
        </w:tc>
        <w:tc>
          <w:tcPr>
            <w:tcW w:w="1578" w:type="dxa"/>
            <w:tcBorders>
              <w:top w:val="nil"/>
              <w:left w:val="nil"/>
              <w:bottom w:val="single" w:sz="4" w:space="0" w:color="auto"/>
              <w:right w:val="single" w:sz="4" w:space="0" w:color="auto"/>
            </w:tcBorders>
            <w:shd w:val="clear" w:color="000000" w:fill="C00000"/>
            <w:vAlign w:val="center"/>
            <w:hideMark/>
          </w:tcPr>
          <w:p w14:paraId="20019B2C" w14:textId="77777777" w:rsidR="005412A2" w:rsidRPr="005412A2" w:rsidRDefault="005412A2" w:rsidP="005412A2">
            <w:pPr>
              <w:spacing w:after="0" w:line="240" w:lineRule="auto"/>
              <w:jc w:val="center"/>
              <w:rPr>
                <w:rFonts w:ascii="Calibri" w:eastAsia="Times New Roman" w:hAnsi="Calibri" w:cs="Times New Roman"/>
                <w:color w:val="FFFFFF"/>
                <w:sz w:val="18"/>
                <w:szCs w:val="18"/>
                <w:lang w:eastAsia="es-GT"/>
              </w:rPr>
            </w:pPr>
            <w:r w:rsidRPr="005412A2">
              <w:rPr>
                <w:rFonts w:ascii="Calibri" w:eastAsia="Times New Roman" w:hAnsi="Calibri" w:cs="Times New Roman"/>
                <w:color w:val="FFFFFF"/>
                <w:sz w:val="18"/>
                <w:szCs w:val="18"/>
                <w:lang w:eastAsia="es-GT"/>
              </w:rPr>
              <w:t>Saldo en millones de quetzales</w:t>
            </w:r>
          </w:p>
        </w:tc>
        <w:tc>
          <w:tcPr>
            <w:tcW w:w="1200" w:type="dxa"/>
            <w:tcBorders>
              <w:top w:val="nil"/>
              <w:left w:val="nil"/>
              <w:bottom w:val="single" w:sz="4" w:space="0" w:color="auto"/>
              <w:right w:val="single" w:sz="4" w:space="0" w:color="auto"/>
            </w:tcBorders>
            <w:shd w:val="clear" w:color="auto" w:fill="auto"/>
            <w:noWrap/>
            <w:vAlign w:val="center"/>
            <w:hideMark/>
          </w:tcPr>
          <w:p w14:paraId="78AA9882"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57,166.15</w:t>
            </w:r>
          </w:p>
        </w:tc>
        <w:tc>
          <w:tcPr>
            <w:tcW w:w="1200" w:type="dxa"/>
            <w:tcBorders>
              <w:top w:val="nil"/>
              <w:left w:val="nil"/>
              <w:bottom w:val="single" w:sz="4" w:space="0" w:color="auto"/>
              <w:right w:val="single" w:sz="4" w:space="0" w:color="auto"/>
            </w:tcBorders>
            <w:shd w:val="clear" w:color="auto" w:fill="auto"/>
            <w:noWrap/>
            <w:vAlign w:val="center"/>
            <w:hideMark/>
          </w:tcPr>
          <w:p w14:paraId="43A9B5E7"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60,293.63</w:t>
            </w:r>
          </w:p>
        </w:tc>
        <w:tc>
          <w:tcPr>
            <w:tcW w:w="1200" w:type="dxa"/>
            <w:tcBorders>
              <w:top w:val="nil"/>
              <w:left w:val="nil"/>
              <w:bottom w:val="single" w:sz="4" w:space="0" w:color="auto"/>
              <w:right w:val="single" w:sz="4" w:space="0" w:color="auto"/>
            </w:tcBorders>
            <w:shd w:val="clear" w:color="auto" w:fill="auto"/>
            <w:noWrap/>
            <w:vAlign w:val="center"/>
            <w:hideMark/>
          </w:tcPr>
          <w:p w14:paraId="60B4305D"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60,103.94</w:t>
            </w:r>
          </w:p>
        </w:tc>
        <w:tc>
          <w:tcPr>
            <w:tcW w:w="1200" w:type="dxa"/>
            <w:tcBorders>
              <w:top w:val="nil"/>
              <w:left w:val="nil"/>
              <w:bottom w:val="single" w:sz="4" w:space="0" w:color="auto"/>
              <w:right w:val="single" w:sz="4" w:space="0" w:color="auto"/>
            </w:tcBorders>
            <w:shd w:val="clear" w:color="auto" w:fill="auto"/>
            <w:noWrap/>
            <w:vAlign w:val="center"/>
            <w:hideMark/>
          </w:tcPr>
          <w:p w14:paraId="7BB04AA1"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63,633.63</w:t>
            </w:r>
          </w:p>
        </w:tc>
      </w:tr>
      <w:tr w:rsidR="005412A2" w:rsidRPr="005412A2" w14:paraId="6692864F" w14:textId="77777777" w:rsidTr="00190E20">
        <w:trPr>
          <w:trHeight w:val="538"/>
          <w:jc w:val="center"/>
        </w:trPr>
        <w:tc>
          <w:tcPr>
            <w:tcW w:w="1842" w:type="dxa"/>
            <w:vMerge/>
            <w:tcBorders>
              <w:top w:val="nil"/>
              <w:left w:val="single" w:sz="4" w:space="0" w:color="auto"/>
              <w:bottom w:val="single" w:sz="4" w:space="0" w:color="auto"/>
              <w:right w:val="single" w:sz="4" w:space="0" w:color="auto"/>
            </w:tcBorders>
            <w:vAlign w:val="center"/>
            <w:hideMark/>
          </w:tcPr>
          <w:p w14:paraId="748CD0C0" w14:textId="77777777" w:rsidR="005412A2" w:rsidRPr="005412A2" w:rsidRDefault="005412A2" w:rsidP="005412A2">
            <w:pPr>
              <w:spacing w:after="0" w:line="240" w:lineRule="auto"/>
              <w:rPr>
                <w:rFonts w:ascii="Calibri" w:eastAsia="Times New Roman" w:hAnsi="Calibri" w:cs="Times New Roman"/>
                <w:color w:val="FFFFFF"/>
                <w:lang w:eastAsia="es-GT"/>
              </w:rPr>
            </w:pPr>
          </w:p>
        </w:tc>
        <w:tc>
          <w:tcPr>
            <w:tcW w:w="1578" w:type="dxa"/>
            <w:tcBorders>
              <w:top w:val="nil"/>
              <w:left w:val="nil"/>
              <w:bottom w:val="single" w:sz="4" w:space="0" w:color="auto"/>
              <w:right w:val="single" w:sz="4" w:space="0" w:color="auto"/>
            </w:tcBorders>
            <w:shd w:val="clear" w:color="000000" w:fill="C00000"/>
            <w:vAlign w:val="bottom"/>
            <w:hideMark/>
          </w:tcPr>
          <w:p w14:paraId="5931599F" w14:textId="77777777" w:rsidR="005412A2" w:rsidRPr="005412A2" w:rsidRDefault="005412A2" w:rsidP="005412A2">
            <w:pPr>
              <w:spacing w:after="0" w:line="240" w:lineRule="auto"/>
              <w:jc w:val="center"/>
              <w:rPr>
                <w:rFonts w:ascii="Calibri" w:eastAsia="Times New Roman" w:hAnsi="Calibri" w:cs="Times New Roman"/>
                <w:color w:val="FFFFFF"/>
                <w:sz w:val="18"/>
                <w:szCs w:val="18"/>
                <w:lang w:eastAsia="es-GT"/>
              </w:rPr>
            </w:pPr>
            <w:r w:rsidRPr="005412A2">
              <w:rPr>
                <w:rFonts w:ascii="Calibri" w:eastAsia="Times New Roman" w:hAnsi="Calibri" w:cs="Times New Roman"/>
                <w:color w:val="FFFFFF"/>
                <w:sz w:val="18"/>
                <w:szCs w:val="18"/>
                <w:lang w:eastAsia="es-GT"/>
              </w:rPr>
              <w:t>Tasa de interés promedio ponderada</w:t>
            </w:r>
          </w:p>
        </w:tc>
        <w:tc>
          <w:tcPr>
            <w:tcW w:w="1200" w:type="dxa"/>
            <w:tcBorders>
              <w:top w:val="nil"/>
              <w:left w:val="nil"/>
              <w:bottom w:val="single" w:sz="4" w:space="0" w:color="auto"/>
              <w:right w:val="single" w:sz="4" w:space="0" w:color="auto"/>
            </w:tcBorders>
            <w:shd w:val="clear" w:color="auto" w:fill="auto"/>
            <w:noWrap/>
            <w:vAlign w:val="center"/>
            <w:hideMark/>
          </w:tcPr>
          <w:p w14:paraId="55481CF9"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4.36</w:t>
            </w:r>
          </w:p>
        </w:tc>
        <w:tc>
          <w:tcPr>
            <w:tcW w:w="1200" w:type="dxa"/>
            <w:tcBorders>
              <w:top w:val="nil"/>
              <w:left w:val="nil"/>
              <w:bottom w:val="single" w:sz="4" w:space="0" w:color="auto"/>
              <w:right w:val="single" w:sz="4" w:space="0" w:color="auto"/>
            </w:tcBorders>
            <w:shd w:val="clear" w:color="auto" w:fill="auto"/>
            <w:noWrap/>
            <w:vAlign w:val="center"/>
            <w:hideMark/>
          </w:tcPr>
          <w:p w14:paraId="4A8C7218"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4.50</w:t>
            </w:r>
          </w:p>
        </w:tc>
        <w:tc>
          <w:tcPr>
            <w:tcW w:w="1200" w:type="dxa"/>
            <w:tcBorders>
              <w:top w:val="nil"/>
              <w:left w:val="nil"/>
              <w:bottom w:val="single" w:sz="4" w:space="0" w:color="auto"/>
              <w:right w:val="single" w:sz="4" w:space="0" w:color="auto"/>
            </w:tcBorders>
            <w:shd w:val="clear" w:color="auto" w:fill="auto"/>
            <w:noWrap/>
            <w:vAlign w:val="center"/>
            <w:hideMark/>
          </w:tcPr>
          <w:p w14:paraId="0901E34E"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4.50</w:t>
            </w:r>
          </w:p>
        </w:tc>
        <w:tc>
          <w:tcPr>
            <w:tcW w:w="1200" w:type="dxa"/>
            <w:tcBorders>
              <w:top w:val="nil"/>
              <w:left w:val="nil"/>
              <w:bottom w:val="single" w:sz="4" w:space="0" w:color="auto"/>
              <w:right w:val="single" w:sz="4" w:space="0" w:color="auto"/>
            </w:tcBorders>
            <w:shd w:val="clear" w:color="auto" w:fill="auto"/>
            <w:noWrap/>
            <w:vAlign w:val="center"/>
            <w:hideMark/>
          </w:tcPr>
          <w:p w14:paraId="2879DFFC"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4.60</w:t>
            </w:r>
          </w:p>
        </w:tc>
      </w:tr>
      <w:tr w:rsidR="005412A2" w:rsidRPr="005412A2" w14:paraId="06A6D14A" w14:textId="77777777" w:rsidTr="00190E20">
        <w:trPr>
          <w:trHeight w:val="537"/>
          <w:jc w:val="center"/>
        </w:trPr>
        <w:tc>
          <w:tcPr>
            <w:tcW w:w="1842" w:type="dxa"/>
            <w:vMerge/>
            <w:tcBorders>
              <w:top w:val="nil"/>
              <w:left w:val="single" w:sz="4" w:space="0" w:color="auto"/>
              <w:bottom w:val="single" w:sz="4" w:space="0" w:color="auto"/>
              <w:right w:val="single" w:sz="4" w:space="0" w:color="auto"/>
            </w:tcBorders>
            <w:vAlign w:val="center"/>
            <w:hideMark/>
          </w:tcPr>
          <w:p w14:paraId="1E3774A5" w14:textId="77777777" w:rsidR="005412A2" w:rsidRPr="005412A2" w:rsidRDefault="005412A2" w:rsidP="005412A2">
            <w:pPr>
              <w:spacing w:after="0" w:line="240" w:lineRule="auto"/>
              <w:rPr>
                <w:rFonts w:ascii="Calibri" w:eastAsia="Times New Roman" w:hAnsi="Calibri" w:cs="Times New Roman"/>
                <w:color w:val="FFFFFF"/>
                <w:lang w:eastAsia="es-GT"/>
              </w:rPr>
            </w:pPr>
          </w:p>
        </w:tc>
        <w:tc>
          <w:tcPr>
            <w:tcW w:w="1578" w:type="dxa"/>
            <w:tcBorders>
              <w:top w:val="nil"/>
              <w:left w:val="nil"/>
              <w:bottom w:val="single" w:sz="4" w:space="0" w:color="auto"/>
              <w:right w:val="single" w:sz="4" w:space="0" w:color="auto"/>
            </w:tcBorders>
            <w:shd w:val="clear" w:color="000000" w:fill="C00000"/>
            <w:vAlign w:val="bottom"/>
            <w:hideMark/>
          </w:tcPr>
          <w:p w14:paraId="50829FA7" w14:textId="77777777" w:rsidR="005412A2" w:rsidRPr="005412A2" w:rsidRDefault="005412A2" w:rsidP="005412A2">
            <w:pPr>
              <w:spacing w:after="0" w:line="240" w:lineRule="auto"/>
              <w:jc w:val="center"/>
              <w:rPr>
                <w:rFonts w:ascii="Calibri" w:eastAsia="Times New Roman" w:hAnsi="Calibri" w:cs="Times New Roman"/>
                <w:color w:val="FFFFFF"/>
                <w:sz w:val="18"/>
                <w:szCs w:val="18"/>
                <w:lang w:eastAsia="es-GT"/>
              </w:rPr>
            </w:pPr>
            <w:r w:rsidRPr="005412A2">
              <w:rPr>
                <w:rFonts w:ascii="Calibri" w:eastAsia="Times New Roman" w:hAnsi="Calibri" w:cs="Times New Roman"/>
                <w:color w:val="FFFFFF"/>
                <w:sz w:val="18"/>
                <w:szCs w:val="18"/>
                <w:lang w:eastAsia="es-GT"/>
              </w:rPr>
              <w:t>Como porcentaje del PIB</w:t>
            </w:r>
          </w:p>
        </w:tc>
        <w:tc>
          <w:tcPr>
            <w:tcW w:w="1200" w:type="dxa"/>
            <w:tcBorders>
              <w:top w:val="nil"/>
              <w:left w:val="nil"/>
              <w:bottom w:val="single" w:sz="4" w:space="0" w:color="auto"/>
              <w:right w:val="single" w:sz="4" w:space="0" w:color="auto"/>
            </w:tcBorders>
            <w:shd w:val="clear" w:color="auto" w:fill="auto"/>
            <w:noWrap/>
            <w:vAlign w:val="center"/>
            <w:hideMark/>
          </w:tcPr>
          <w:p w14:paraId="3E33AEF9"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11.71</w:t>
            </w:r>
          </w:p>
        </w:tc>
        <w:tc>
          <w:tcPr>
            <w:tcW w:w="1200" w:type="dxa"/>
            <w:tcBorders>
              <w:top w:val="nil"/>
              <w:left w:val="nil"/>
              <w:bottom w:val="single" w:sz="4" w:space="0" w:color="auto"/>
              <w:right w:val="single" w:sz="4" w:space="0" w:color="auto"/>
            </w:tcBorders>
            <w:shd w:val="clear" w:color="auto" w:fill="auto"/>
            <w:noWrap/>
            <w:vAlign w:val="center"/>
            <w:hideMark/>
          </w:tcPr>
          <w:p w14:paraId="5FCC501C"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11.55</w:t>
            </w:r>
          </w:p>
        </w:tc>
        <w:tc>
          <w:tcPr>
            <w:tcW w:w="1200" w:type="dxa"/>
            <w:tcBorders>
              <w:top w:val="nil"/>
              <w:left w:val="nil"/>
              <w:bottom w:val="single" w:sz="4" w:space="0" w:color="auto"/>
              <w:right w:val="single" w:sz="4" w:space="0" w:color="auto"/>
            </w:tcBorders>
            <w:shd w:val="clear" w:color="auto" w:fill="auto"/>
            <w:noWrap/>
            <w:vAlign w:val="center"/>
            <w:hideMark/>
          </w:tcPr>
          <w:p w14:paraId="3C2A3137"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10.82</w:t>
            </w:r>
          </w:p>
        </w:tc>
        <w:tc>
          <w:tcPr>
            <w:tcW w:w="1200" w:type="dxa"/>
            <w:tcBorders>
              <w:top w:val="nil"/>
              <w:left w:val="nil"/>
              <w:bottom w:val="single" w:sz="4" w:space="0" w:color="auto"/>
              <w:right w:val="single" w:sz="4" w:space="0" w:color="auto"/>
            </w:tcBorders>
            <w:shd w:val="clear" w:color="auto" w:fill="auto"/>
            <w:noWrap/>
            <w:vAlign w:val="center"/>
            <w:hideMark/>
          </w:tcPr>
          <w:p w14:paraId="39AEEC2A"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10.79</w:t>
            </w:r>
          </w:p>
        </w:tc>
      </w:tr>
      <w:tr w:rsidR="005412A2" w:rsidRPr="005412A2" w14:paraId="14ABD4AF" w14:textId="77777777" w:rsidTr="00190E20">
        <w:trPr>
          <w:trHeight w:val="598"/>
          <w:jc w:val="center"/>
        </w:trPr>
        <w:tc>
          <w:tcPr>
            <w:tcW w:w="1842" w:type="dxa"/>
            <w:vMerge w:val="restart"/>
            <w:tcBorders>
              <w:top w:val="nil"/>
              <w:left w:val="single" w:sz="4" w:space="0" w:color="auto"/>
              <w:bottom w:val="single" w:sz="4" w:space="0" w:color="auto"/>
              <w:right w:val="single" w:sz="4" w:space="0" w:color="auto"/>
            </w:tcBorders>
            <w:shd w:val="clear" w:color="000000" w:fill="C00000"/>
            <w:noWrap/>
            <w:vAlign w:val="center"/>
            <w:hideMark/>
          </w:tcPr>
          <w:p w14:paraId="48B7C90B" w14:textId="77777777" w:rsidR="005412A2" w:rsidRPr="005412A2" w:rsidRDefault="005412A2" w:rsidP="005412A2">
            <w:pPr>
              <w:spacing w:after="0" w:line="240" w:lineRule="auto"/>
              <w:jc w:val="center"/>
              <w:rPr>
                <w:rFonts w:ascii="Calibri" w:eastAsia="Times New Roman" w:hAnsi="Calibri" w:cs="Times New Roman"/>
                <w:color w:val="FFFFFF"/>
                <w:lang w:eastAsia="es-GT"/>
              </w:rPr>
            </w:pPr>
            <w:r w:rsidRPr="005412A2">
              <w:rPr>
                <w:rFonts w:ascii="Calibri" w:eastAsia="Times New Roman" w:hAnsi="Calibri" w:cs="Times New Roman"/>
                <w:color w:val="FFFFFF"/>
                <w:lang w:eastAsia="es-GT"/>
              </w:rPr>
              <w:t>Deuda interna</w:t>
            </w:r>
          </w:p>
        </w:tc>
        <w:tc>
          <w:tcPr>
            <w:tcW w:w="1578" w:type="dxa"/>
            <w:tcBorders>
              <w:top w:val="nil"/>
              <w:left w:val="nil"/>
              <w:bottom w:val="single" w:sz="4" w:space="0" w:color="auto"/>
              <w:right w:val="single" w:sz="4" w:space="0" w:color="auto"/>
            </w:tcBorders>
            <w:shd w:val="clear" w:color="000000" w:fill="C00000"/>
            <w:vAlign w:val="center"/>
            <w:hideMark/>
          </w:tcPr>
          <w:p w14:paraId="4DA87793" w14:textId="77777777" w:rsidR="005412A2" w:rsidRPr="005412A2" w:rsidRDefault="005412A2" w:rsidP="005412A2">
            <w:pPr>
              <w:spacing w:after="0" w:line="240" w:lineRule="auto"/>
              <w:jc w:val="center"/>
              <w:rPr>
                <w:rFonts w:ascii="Calibri" w:eastAsia="Times New Roman" w:hAnsi="Calibri" w:cs="Times New Roman"/>
                <w:color w:val="FFFFFF"/>
                <w:sz w:val="18"/>
                <w:szCs w:val="18"/>
                <w:lang w:eastAsia="es-GT"/>
              </w:rPr>
            </w:pPr>
            <w:r w:rsidRPr="005412A2">
              <w:rPr>
                <w:rFonts w:ascii="Calibri" w:eastAsia="Times New Roman" w:hAnsi="Calibri" w:cs="Times New Roman"/>
                <w:color w:val="FFFFFF"/>
                <w:sz w:val="18"/>
                <w:szCs w:val="18"/>
                <w:lang w:eastAsia="es-GT"/>
              </w:rPr>
              <w:t>Saldo en millones de quetzales</w:t>
            </w:r>
          </w:p>
        </w:tc>
        <w:tc>
          <w:tcPr>
            <w:tcW w:w="1200" w:type="dxa"/>
            <w:tcBorders>
              <w:top w:val="nil"/>
              <w:left w:val="nil"/>
              <w:bottom w:val="single" w:sz="4" w:space="0" w:color="auto"/>
              <w:right w:val="single" w:sz="4" w:space="0" w:color="auto"/>
            </w:tcBorders>
            <w:shd w:val="clear" w:color="auto" w:fill="auto"/>
            <w:noWrap/>
            <w:vAlign w:val="center"/>
            <w:hideMark/>
          </w:tcPr>
          <w:p w14:paraId="53000E4E"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61,459.66</w:t>
            </w:r>
          </w:p>
        </w:tc>
        <w:tc>
          <w:tcPr>
            <w:tcW w:w="1200" w:type="dxa"/>
            <w:tcBorders>
              <w:top w:val="nil"/>
              <w:left w:val="nil"/>
              <w:bottom w:val="single" w:sz="4" w:space="0" w:color="auto"/>
              <w:right w:val="single" w:sz="4" w:space="0" w:color="auto"/>
            </w:tcBorders>
            <w:shd w:val="clear" w:color="auto" w:fill="auto"/>
            <w:noWrap/>
            <w:vAlign w:val="center"/>
            <w:hideMark/>
          </w:tcPr>
          <w:p w14:paraId="4431A040"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65,382.43</w:t>
            </w:r>
          </w:p>
        </w:tc>
        <w:tc>
          <w:tcPr>
            <w:tcW w:w="1200" w:type="dxa"/>
            <w:tcBorders>
              <w:top w:val="nil"/>
              <w:left w:val="nil"/>
              <w:bottom w:val="single" w:sz="4" w:space="0" w:color="auto"/>
              <w:right w:val="single" w:sz="4" w:space="0" w:color="auto"/>
            </w:tcBorders>
            <w:shd w:val="clear" w:color="auto" w:fill="auto"/>
            <w:noWrap/>
            <w:vAlign w:val="center"/>
            <w:hideMark/>
          </w:tcPr>
          <w:p w14:paraId="3EDD8FE4"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69,908.70</w:t>
            </w:r>
          </w:p>
        </w:tc>
        <w:tc>
          <w:tcPr>
            <w:tcW w:w="1200" w:type="dxa"/>
            <w:tcBorders>
              <w:top w:val="nil"/>
              <w:left w:val="nil"/>
              <w:bottom w:val="single" w:sz="4" w:space="0" w:color="auto"/>
              <w:right w:val="single" w:sz="4" w:space="0" w:color="auto"/>
            </w:tcBorders>
            <w:shd w:val="clear" w:color="auto" w:fill="auto"/>
            <w:noWrap/>
            <w:vAlign w:val="center"/>
            <w:hideMark/>
          </w:tcPr>
          <w:p w14:paraId="54E5F318"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79,424.74</w:t>
            </w:r>
          </w:p>
        </w:tc>
      </w:tr>
      <w:tr w:rsidR="005412A2" w:rsidRPr="005412A2" w14:paraId="5CF40D60" w14:textId="77777777" w:rsidTr="00617CD2">
        <w:trPr>
          <w:trHeight w:val="735"/>
          <w:jc w:val="center"/>
        </w:trPr>
        <w:tc>
          <w:tcPr>
            <w:tcW w:w="1842" w:type="dxa"/>
            <w:vMerge/>
            <w:tcBorders>
              <w:top w:val="nil"/>
              <w:left w:val="single" w:sz="4" w:space="0" w:color="auto"/>
              <w:bottom w:val="single" w:sz="4" w:space="0" w:color="auto"/>
              <w:right w:val="single" w:sz="4" w:space="0" w:color="auto"/>
            </w:tcBorders>
            <w:vAlign w:val="center"/>
            <w:hideMark/>
          </w:tcPr>
          <w:p w14:paraId="1F0B05CF" w14:textId="77777777" w:rsidR="005412A2" w:rsidRPr="005412A2" w:rsidRDefault="005412A2" w:rsidP="005412A2">
            <w:pPr>
              <w:spacing w:after="0" w:line="240" w:lineRule="auto"/>
              <w:rPr>
                <w:rFonts w:ascii="Calibri" w:eastAsia="Times New Roman" w:hAnsi="Calibri" w:cs="Times New Roman"/>
                <w:color w:val="FFFFFF"/>
                <w:lang w:eastAsia="es-GT"/>
              </w:rPr>
            </w:pPr>
          </w:p>
        </w:tc>
        <w:tc>
          <w:tcPr>
            <w:tcW w:w="1578" w:type="dxa"/>
            <w:tcBorders>
              <w:top w:val="nil"/>
              <w:left w:val="nil"/>
              <w:bottom w:val="single" w:sz="4" w:space="0" w:color="auto"/>
              <w:right w:val="single" w:sz="4" w:space="0" w:color="auto"/>
            </w:tcBorders>
            <w:shd w:val="clear" w:color="000000" w:fill="C00000"/>
            <w:vAlign w:val="bottom"/>
            <w:hideMark/>
          </w:tcPr>
          <w:p w14:paraId="04EA8D93" w14:textId="77777777" w:rsidR="005412A2" w:rsidRPr="005412A2" w:rsidRDefault="005412A2" w:rsidP="005412A2">
            <w:pPr>
              <w:spacing w:after="0" w:line="240" w:lineRule="auto"/>
              <w:jc w:val="center"/>
              <w:rPr>
                <w:rFonts w:ascii="Calibri" w:eastAsia="Times New Roman" w:hAnsi="Calibri" w:cs="Times New Roman"/>
                <w:color w:val="FFFFFF"/>
                <w:sz w:val="18"/>
                <w:szCs w:val="18"/>
                <w:lang w:eastAsia="es-GT"/>
              </w:rPr>
            </w:pPr>
            <w:r w:rsidRPr="005412A2">
              <w:rPr>
                <w:rFonts w:ascii="Calibri" w:eastAsia="Times New Roman" w:hAnsi="Calibri" w:cs="Times New Roman"/>
                <w:color w:val="FFFFFF"/>
                <w:sz w:val="18"/>
                <w:szCs w:val="18"/>
                <w:lang w:eastAsia="es-GT"/>
              </w:rPr>
              <w:t>Tasa de interés promedio ponderada</w:t>
            </w:r>
          </w:p>
        </w:tc>
        <w:tc>
          <w:tcPr>
            <w:tcW w:w="1200" w:type="dxa"/>
            <w:tcBorders>
              <w:top w:val="nil"/>
              <w:left w:val="nil"/>
              <w:bottom w:val="single" w:sz="4" w:space="0" w:color="auto"/>
              <w:right w:val="single" w:sz="4" w:space="0" w:color="auto"/>
            </w:tcBorders>
            <w:shd w:val="clear" w:color="auto" w:fill="auto"/>
            <w:noWrap/>
            <w:vAlign w:val="center"/>
            <w:hideMark/>
          </w:tcPr>
          <w:p w14:paraId="3545FCCC"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7.91</w:t>
            </w:r>
          </w:p>
        </w:tc>
        <w:tc>
          <w:tcPr>
            <w:tcW w:w="1200" w:type="dxa"/>
            <w:tcBorders>
              <w:top w:val="nil"/>
              <w:left w:val="nil"/>
              <w:bottom w:val="single" w:sz="4" w:space="0" w:color="auto"/>
              <w:right w:val="single" w:sz="4" w:space="0" w:color="auto"/>
            </w:tcBorders>
            <w:shd w:val="clear" w:color="auto" w:fill="auto"/>
            <w:noWrap/>
            <w:vAlign w:val="center"/>
            <w:hideMark/>
          </w:tcPr>
          <w:p w14:paraId="58FFE105"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7.68</w:t>
            </w:r>
          </w:p>
        </w:tc>
        <w:tc>
          <w:tcPr>
            <w:tcW w:w="1200" w:type="dxa"/>
            <w:tcBorders>
              <w:top w:val="nil"/>
              <w:left w:val="nil"/>
              <w:bottom w:val="single" w:sz="4" w:space="0" w:color="auto"/>
              <w:right w:val="single" w:sz="4" w:space="0" w:color="auto"/>
            </w:tcBorders>
            <w:shd w:val="clear" w:color="auto" w:fill="auto"/>
            <w:noWrap/>
            <w:vAlign w:val="center"/>
            <w:hideMark/>
          </w:tcPr>
          <w:p w14:paraId="6B685E85"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7.62</w:t>
            </w:r>
          </w:p>
        </w:tc>
        <w:tc>
          <w:tcPr>
            <w:tcW w:w="1200" w:type="dxa"/>
            <w:tcBorders>
              <w:top w:val="nil"/>
              <w:left w:val="nil"/>
              <w:bottom w:val="single" w:sz="4" w:space="0" w:color="auto"/>
              <w:right w:val="single" w:sz="4" w:space="0" w:color="auto"/>
            </w:tcBorders>
            <w:shd w:val="clear" w:color="auto" w:fill="auto"/>
            <w:noWrap/>
            <w:vAlign w:val="center"/>
            <w:hideMark/>
          </w:tcPr>
          <w:p w14:paraId="1DFF0F20"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7.51</w:t>
            </w:r>
          </w:p>
        </w:tc>
      </w:tr>
      <w:tr w:rsidR="005412A2" w:rsidRPr="005412A2" w14:paraId="32F2EF8D" w14:textId="77777777" w:rsidTr="00190E20">
        <w:trPr>
          <w:trHeight w:val="260"/>
          <w:jc w:val="center"/>
        </w:trPr>
        <w:tc>
          <w:tcPr>
            <w:tcW w:w="1842" w:type="dxa"/>
            <w:vMerge/>
            <w:tcBorders>
              <w:top w:val="nil"/>
              <w:left w:val="single" w:sz="4" w:space="0" w:color="auto"/>
              <w:bottom w:val="single" w:sz="4" w:space="0" w:color="auto"/>
              <w:right w:val="single" w:sz="4" w:space="0" w:color="auto"/>
            </w:tcBorders>
            <w:vAlign w:val="center"/>
            <w:hideMark/>
          </w:tcPr>
          <w:p w14:paraId="19B1F20C" w14:textId="77777777" w:rsidR="005412A2" w:rsidRPr="005412A2" w:rsidRDefault="005412A2" w:rsidP="005412A2">
            <w:pPr>
              <w:spacing w:after="0" w:line="240" w:lineRule="auto"/>
              <w:rPr>
                <w:rFonts w:ascii="Calibri" w:eastAsia="Times New Roman" w:hAnsi="Calibri" w:cs="Times New Roman"/>
                <w:color w:val="FFFFFF"/>
                <w:lang w:eastAsia="es-GT"/>
              </w:rPr>
            </w:pPr>
          </w:p>
        </w:tc>
        <w:tc>
          <w:tcPr>
            <w:tcW w:w="1578" w:type="dxa"/>
            <w:tcBorders>
              <w:top w:val="nil"/>
              <w:left w:val="nil"/>
              <w:bottom w:val="single" w:sz="4" w:space="0" w:color="auto"/>
              <w:right w:val="single" w:sz="4" w:space="0" w:color="auto"/>
            </w:tcBorders>
            <w:shd w:val="clear" w:color="000000" w:fill="C00000"/>
            <w:vAlign w:val="bottom"/>
            <w:hideMark/>
          </w:tcPr>
          <w:p w14:paraId="5A9F657D" w14:textId="77777777" w:rsidR="005412A2" w:rsidRPr="005412A2" w:rsidRDefault="005412A2" w:rsidP="005412A2">
            <w:pPr>
              <w:spacing w:after="0" w:line="240" w:lineRule="auto"/>
              <w:jc w:val="center"/>
              <w:rPr>
                <w:rFonts w:ascii="Calibri" w:eastAsia="Times New Roman" w:hAnsi="Calibri" w:cs="Times New Roman"/>
                <w:color w:val="FFFFFF"/>
                <w:sz w:val="18"/>
                <w:szCs w:val="18"/>
                <w:lang w:eastAsia="es-GT"/>
              </w:rPr>
            </w:pPr>
            <w:r w:rsidRPr="005412A2">
              <w:rPr>
                <w:rFonts w:ascii="Calibri" w:eastAsia="Times New Roman" w:hAnsi="Calibri" w:cs="Times New Roman"/>
                <w:color w:val="FFFFFF"/>
                <w:sz w:val="18"/>
                <w:szCs w:val="18"/>
                <w:lang w:eastAsia="es-GT"/>
              </w:rPr>
              <w:t>Como porcentaje del PIB</w:t>
            </w:r>
          </w:p>
        </w:tc>
        <w:tc>
          <w:tcPr>
            <w:tcW w:w="1200" w:type="dxa"/>
            <w:tcBorders>
              <w:top w:val="nil"/>
              <w:left w:val="nil"/>
              <w:bottom w:val="single" w:sz="4" w:space="0" w:color="auto"/>
              <w:right w:val="single" w:sz="4" w:space="0" w:color="auto"/>
            </w:tcBorders>
            <w:shd w:val="clear" w:color="auto" w:fill="auto"/>
            <w:noWrap/>
            <w:vAlign w:val="center"/>
            <w:hideMark/>
          </w:tcPr>
          <w:p w14:paraId="30054FEB"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12.59</w:t>
            </w:r>
          </w:p>
        </w:tc>
        <w:tc>
          <w:tcPr>
            <w:tcW w:w="1200" w:type="dxa"/>
            <w:tcBorders>
              <w:top w:val="nil"/>
              <w:left w:val="nil"/>
              <w:bottom w:val="single" w:sz="4" w:space="0" w:color="auto"/>
              <w:right w:val="single" w:sz="4" w:space="0" w:color="auto"/>
            </w:tcBorders>
            <w:shd w:val="clear" w:color="auto" w:fill="auto"/>
            <w:noWrap/>
            <w:vAlign w:val="center"/>
            <w:hideMark/>
          </w:tcPr>
          <w:p w14:paraId="56D7A63D"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12.53</w:t>
            </w:r>
          </w:p>
        </w:tc>
        <w:tc>
          <w:tcPr>
            <w:tcW w:w="1200" w:type="dxa"/>
            <w:tcBorders>
              <w:top w:val="nil"/>
              <w:left w:val="nil"/>
              <w:bottom w:val="single" w:sz="4" w:space="0" w:color="auto"/>
              <w:right w:val="single" w:sz="4" w:space="0" w:color="auto"/>
            </w:tcBorders>
            <w:shd w:val="clear" w:color="auto" w:fill="auto"/>
            <w:noWrap/>
            <w:vAlign w:val="center"/>
            <w:hideMark/>
          </w:tcPr>
          <w:p w14:paraId="2A115105"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12.58</w:t>
            </w:r>
          </w:p>
        </w:tc>
        <w:tc>
          <w:tcPr>
            <w:tcW w:w="1200" w:type="dxa"/>
            <w:tcBorders>
              <w:top w:val="nil"/>
              <w:left w:val="nil"/>
              <w:bottom w:val="single" w:sz="4" w:space="0" w:color="auto"/>
              <w:right w:val="single" w:sz="4" w:space="0" w:color="auto"/>
            </w:tcBorders>
            <w:shd w:val="clear" w:color="auto" w:fill="auto"/>
            <w:noWrap/>
            <w:vAlign w:val="center"/>
            <w:hideMark/>
          </w:tcPr>
          <w:p w14:paraId="755E0501" w14:textId="77777777" w:rsidR="005412A2" w:rsidRPr="005412A2" w:rsidRDefault="005412A2" w:rsidP="005412A2">
            <w:pPr>
              <w:spacing w:after="0" w:line="240" w:lineRule="auto"/>
              <w:jc w:val="center"/>
              <w:rPr>
                <w:rFonts w:ascii="Calibri" w:eastAsia="Times New Roman" w:hAnsi="Calibri" w:cs="Times New Roman"/>
                <w:color w:val="000000"/>
                <w:sz w:val="20"/>
                <w:lang w:eastAsia="es-GT"/>
              </w:rPr>
            </w:pPr>
            <w:r w:rsidRPr="005412A2">
              <w:rPr>
                <w:rFonts w:ascii="Calibri" w:eastAsia="Times New Roman" w:hAnsi="Calibri" w:cs="Times New Roman"/>
                <w:color w:val="000000"/>
                <w:sz w:val="20"/>
                <w:lang w:eastAsia="es-GT"/>
              </w:rPr>
              <w:t>13.46</w:t>
            </w:r>
          </w:p>
        </w:tc>
      </w:tr>
    </w:tbl>
    <w:p w14:paraId="2CDCB530" w14:textId="77777777" w:rsidR="00D90954" w:rsidRPr="00617CD2" w:rsidRDefault="00617CD2" w:rsidP="00D90954">
      <w:pPr>
        <w:jc w:val="both"/>
        <w:rPr>
          <w:sz w:val="18"/>
        </w:rPr>
      </w:pPr>
      <w:r w:rsidRPr="00617CD2">
        <w:rPr>
          <w:sz w:val="18"/>
        </w:rPr>
        <w:t>Fuente: Icefi con base en estadísticas del Ministerio de Finanzas Públicas.</w:t>
      </w:r>
    </w:p>
    <w:p w14:paraId="2A1FB86C" w14:textId="77777777" w:rsidR="00D90954" w:rsidRDefault="00190E20" w:rsidP="00D90954">
      <w:pPr>
        <w:jc w:val="both"/>
      </w:pPr>
      <w:r>
        <w:t xml:space="preserve">El saldo de la deuda pública total ha pasado de representar 23.9% del PIB en 2011 a 24.3% en 2018. </w:t>
      </w:r>
      <w:r w:rsidR="00D90954" w:rsidRPr="00D90954">
        <w:t xml:space="preserve">Aunque los indicadores técnicos no evalúan a la política fiscal guatemalteca como vulnerable, algunos como el de Blanchard de corto plazo, </w:t>
      </w:r>
      <w:r w:rsidR="00BA2FBF">
        <w:t xml:space="preserve">comienzan </w:t>
      </w:r>
      <w:r w:rsidR="00D90954" w:rsidRPr="00D90954">
        <w:t>a levantar alarmas en términos de la sostenibilidad en el tiempo de la política fiscal</w:t>
      </w:r>
      <w:r>
        <w:t xml:space="preserve"> del Estado guatemalteco</w:t>
      </w:r>
      <w:r w:rsidR="00D90954" w:rsidRPr="00D90954">
        <w:t>.</w:t>
      </w:r>
    </w:p>
    <w:p w14:paraId="1DF2D3BD" w14:textId="77777777" w:rsidR="00190E20" w:rsidRDefault="00190E20" w:rsidP="00190E20">
      <w:pPr>
        <w:spacing w:after="0" w:line="240" w:lineRule="auto"/>
        <w:jc w:val="center"/>
      </w:pPr>
      <w:r>
        <w:t>Cuadro</w:t>
      </w:r>
    </w:p>
    <w:p w14:paraId="07B1BE99" w14:textId="77777777" w:rsidR="00190E20" w:rsidRDefault="00190E20" w:rsidP="00190E20">
      <w:pPr>
        <w:spacing w:after="0" w:line="240" w:lineRule="auto"/>
        <w:jc w:val="center"/>
      </w:pPr>
      <w:r>
        <w:t>I</w:t>
      </w:r>
      <w:r w:rsidRPr="00190E20">
        <w:t>ndicadores de sostenibilidad y vulnerabilidad fiscales</w:t>
      </w:r>
    </w:p>
    <w:tbl>
      <w:tblPr>
        <w:tblW w:w="8604" w:type="dxa"/>
        <w:tblCellMar>
          <w:left w:w="70" w:type="dxa"/>
          <w:right w:w="70" w:type="dxa"/>
        </w:tblCellMar>
        <w:tblLook w:val="0000" w:firstRow="0" w:lastRow="0" w:firstColumn="0" w:lastColumn="0" w:noHBand="0" w:noVBand="0"/>
      </w:tblPr>
      <w:tblGrid>
        <w:gridCol w:w="1324"/>
        <w:gridCol w:w="1021"/>
        <w:gridCol w:w="1080"/>
        <w:gridCol w:w="799"/>
        <w:gridCol w:w="799"/>
        <w:gridCol w:w="799"/>
        <w:gridCol w:w="799"/>
        <w:gridCol w:w="743"/>
        <w:gridCol w:w="1240"/>
      </w:tblGrid>
      <w:tr w:rsidR="002C2B81" w:rsidRPr="00EF33F8" w14:paraId="354CB132" w14:textId="77777777" w:rsidTr="002C2B81">
        <w:trPr>
          <w:trHeight w:val="255"/>
        </w:trPr>
        <w:tc>
          <w:tcPr>
            <w:tcW w:w="1324" w:type="dxa"/>
            <w:tcBorders>
              <w:top w:val="single" w:sz="4" w:space="0" w:color="auto"/>
              <w:left w:val="single" w:sz="4" w:space="0" w:color="auto"/>
              <w:bottom w:val="single" w:sz="4" w:space="0" w:color="auto"/>
              <w:right w:val="single" w:sz="4" w:space="0" w:color="auto"/>
            </w:tcBorders>
            <w:shd w:val="clear" w:color="auto" w:fill="C00000"/>
            <w:noWrap/>
            <w:vAlign w:val="center"/>
          </w:tcPr>
          <w:p w14:paraId="48E9AB41" w14:textId="77777777" w:rsidR="002C2B81" w:rsidRPr="00190E20" w:rsidRDefault="002C2B81" w:rsidP="005D4B28">
            <w:pPr>
              <w:spacing w:after="0" w:line="240" w:lineRule="auto"/>
              <w:jc w:val="center"/>
              <w:rPr>
                <w:rFonts w:eastAsia="Times New Roman" w:cs="Times New Roman"/>
                <w:b/>
                <w:color w:val="FFFFFF" w:themeColor="background1"/>
                <w:sz w:val="20"/>
                <w:szCs w:val="20"/>
                <w:lang w:val="es-ES" w:eastAsia="es-ES"/>
              </w:rPr>
            </w:pPr>
            <w:r w:rsidRPr="00190E20">
              <w:rPr>
                <w:rFonts w:eastAsia="Times New Roman" w:cs="Times New Roman"/>
                <w:b/>
                <w:color w:val="FFFFFF" w:themeColor="background1"/>
                <w:sz w:val="20"/>
                <w:szCs w:val="20"/>
                <w:lang w:val="es-ES" w:eastAsia="es-ES"/>
              </w:rPr>
              <w:t>Tipo</w:t>
            </w:r>
          </w:p>
        </w:tc>
        <w:tc>
          <w:tcPr>
            <w:tcW w:w="2101" w:type="dxa"/>
            <w:gridSpan w:val="2"/>
            <w:tcBorders>
              <w:top w:val="single" w:sz="4" w:space="0" w:color="auto"/>
              <w:left w:val="nil"/>
              <w:bottom w:val="single" w:sz="4" w:space="0" w:color="auto"/>
              <w:right w:val="single" w:sz="4" w:space="0" w:color="auto"/>
            </w:tcBorders>
            <w:shd w:val="clear" w:color="auto" w:fill="C00000"/>
            <w:noWrap/>
            <w:vAlign w:val="center"/>
          </w:tcPr>
          <w:p w14:paraId="475BB4E1" w14:textId="77777777" w:rsidR="002C2B81" w:rsidRPr="00190E20" w:rsidRDefault="002C2B81" w:rsidP="005D4B28">
            <w:pPr>
              <w:spacing w:after="0" w:line="240" w:lineRule="auto"/>
              <w:jc w:val="center"/>
              <w:rPr>
                <w:rFonts w:eastAsia="Times New Roman" w:cs="Times New Roman"/>
                <w:b/>
                <w:color w:val="FFFFFF" w:themeColor="background1"/>
                <w:sz w:val="20"/>
                <w:szCs w:val="20"/>
                <w:lang w:val="es-ES" w:eastAsia="es-ES"/>
              </w:rPr>
            </w:pPr>
            <w:r w:rsidRPr="00190E20">
              <w:rPr>
                <w:rFonts w:eastAsia="Times New Roman" w:cs="Times New Roman"/>
                <w:b/>
                <w:color w:val="FFFFFF" w:themeColor="background1"/>
                <w:sz w:val="20"/>
                <w:szCs w:val="20"/>
                <w:lang w:val="es-ES" w:eastAsia="es-ES"/>
              </w:rPr>
              <w:t>Indicador</w:t>
            </w:r>
          </w:p>
        </w:tc>
        <w:tc>
          <w:tcPr>
            <w:tcW w:w="799" w:type="dxa"/>
            <w:tcBorders>
              <w:top w:val="single" w:sz="4" w:space="0" w:color="auto"/>
              <w:left w:val="nil"/>
              <w:bottom w:val="single" w:sz="4" w:space="0" w:color="auto"/>
              <w:right w:val="single" w:sz="4" w:space="0" w:color="auto"/>
            </w:tcBorders>
            <w:shd w:val="clear" w:color="auto" w:fill="C00000"/>
            <w:vAlign w:val="center"/>
          </w:tcPr>
          <w:p w14:paraId="2436F488" w14:textId="77777777" w:rsidR="002C2B81" w:rsidRPr="00190E20" w:rsidRDefault="002C2B81" w:rsidP="005D4B28">
            <w:pPr>
              <w:spacing w:after="0" w:line="240" w:lineRule="auto"/>
              <w:jc w:val="center"/>
              <w:rPr>
                <w:rFonts w:eastAsia="Times New Roman" w:cs="Times New Roman"/>
                <w:b/>
                <w:bCs/>
                <w:color w:val="FFFFFF" w:themeColor="background1"/>
                <w:sz w:val="20"/>
                <w:szCs w:val="20"/>
                <w:lang w:val="es-ES" w:eastAsia="es-ES"/>
              </w:rPr>
            </w:pPr>
            <w:r w:rsidRPr="00190E20">
              <w:rPr>
                <w:rFonts w:eastAsia="Times New Roman" w:cs="Times New Roman"/>
                <w:b/>
                <w:bCs/>
                <w:color w:val="FFFFFF" w:themeColor="background1"/>
                <w:sz w:val="20"/>
                <w:szCs w:val="20"/>
                <w:lang w:eastAsia="es-ES"/>
              </w:rPr>
              <w:t>2015</w:t>
            </w:r>
          </w:p>
        </w:tc>
        <w:tc>
          <w:tcPr>
            <w:tcW w:w="799" w:type="dxa"/>
            <w:tcBorders>
              <w:top w:val="single" w:sz="4" w:space="0" w:color="auto"/>
              <w:left w:val="nil"/>
              <w:bottom w:val="single" w:sz="4" w:space="0" w:color="auto"/>
              <w:right w:val="single" w:sz="4" w:space="0" w:color="auto"/>
            </w:tcBorders>
            <w:shd w:val="clear" w:color="auto" w:fill="C00000"/>
            <w:vAlign w:val="center"/>
          </w:tcPr>
          <w:p w14:paraId="6B4FC23F" w14:textId="77777777" w:rsidR="002C2B81" w:rsidRPr="00190E20" w:rsidRDefault="002C2B81" w:rsidP="005D4B28">
            <w:pPr>
              <w:spacing w:after="0" w:line="240" w:lineRule="auto"/>
              <w:jc w:val="center"/>
              <w:rPr>
                <w:rFonts w:eastAsia="Times New Roman" w:cs="Times New Roman"/>
                <w:b/>
                <w:bCs/>
                <w:color w:val="FFFFFF" w:themeColor="background1"/>
                <w:sz w:val="20"/>
                <w:szCs w:val="20"/>
                <w:lang w:val="es-ES" w:eastAsia="es-ES"/>
              </w:rPr>
            </w:pPr>
            <w:r w:rsidRPr="00190E20">
              <w:rPr>
                <w:rFonts w:eastAsia="Times New Roman" w:cs="Times New Roman"/>
                <w:b/>
                <w:bCs/>
                <w:color w:val="FFFFFF" w:themeColor="background1"/>
                <w:sz w:val="20"/>
                <w:szCs w:val="20"/>
                <w:lang w:eastAsia="es-ES"/>
              </w:rPr>
              <w:t>2016</w:t>
            </w:r>
          </w:p>
        </w:tc>
        <w:tc>
          <w:tcPr>
            <w:tcW w:w="799" w:type="dxa"/>
            <w:tcBorders>
              <w:top w:val="single" w:sz="4" w:space="0" w:color="auto"/>
              <w:left w:val="nil"/>
              <w:bottom w:val="single" w:sz="4" w:space="0" w:color="auto"/>
              <w:right w:val="single" w:sz="4" w:space="0" w:color="auto"/>
            </w:tcBorders>
            <w:shd w:val="clear" w:color="auto" w:fill="C00000"/>
            <w:noWrap/>
            <w:vAlign w:val="center"/>
          </w:tcPr>
          <w:p w14:paraId="6DDBD79B" w14:textId="77777777" w:rsidR="002C2B81" w:rsidRPr="00190E20" w:rsidRDefault="002C2B81" w:rsidP="005D4B28">
            <w:pPr>
              <w:spacing w:after="0" w:line="240" w:lineRule="auto"/>
              <w:jc w:val="center"/>
              <w:rPr>
                <w:rFonts w:eastAsia="Times New Roman" w:cs="Times New Roman"/>
                <w:b/>
                <w:color w:val="FFFFFF" w:themeColor="background1"/>
                <w:sz w:val="20"/>
                <w:szCs w:val="20"/>
                <w:lang w:val="es-ES" w:eastAsia="es-ES"/>
              </w:rPr>
            </w:pPr>
            <w:r w:rsidRPr="00190E20">
              <w:rPr>
                <w:rFonts w:eastAsia="Times New Roman" w:cs="Times New Roman"/>
                <w:b/>
                <w:color w:val="FFFFFF" w:themeColor="background1"/>
                <w:sz w:val="20"/>
                <w:szCs w:val="20"/>
                <w:lang w:eastAsia="es-ES"/>
              </w:rPr>
              <w:t>2017</w:t>
            </w:r>
          </w:p>
        </w:tc>
        <w:tc>
          <w:tcPr>
            <w:tcW w:w="799" w:type="dxa"/>
            <w:tcBorders>
              <w:top w:val="single" w:sz="4" w:space="0" w:color="auto"/>
              <w:left w:val="nil"/>
              <w:bottom w:val="single" w:sz="4" w:space="0" w:color="auto"/>
              <w:right w:val="single" w:sz="4" w:space="0" w:color="auto"/>
            </w:tcBorders>
            <w:shd w:val="clear" w:color="auto" w:fill="C00000"/>
            <w:noWrap/>
            <w:vAlign w:val="center"/>
          </w:tcPr>
          <w:p w14:paraId="25EB44BB" w14:textId="77777777" w:rsidR="002C2B81" w:rsidRPr="00190E20" w:rsidRDefault="002C2B81" w:rsidP="005D4B28">
            <w:pPr>
              <w:spacing w:after="0" w:line="240" w:lineRule="auto"/>
              <w:jc w:val="center"/>
              <w:rPr>
                <w:rFonts w:eastAsia="Times New Roman" w:cs="Times New Roman"/>
                <w:b/>
                <w:color w:val="FFFFFF" w:themeColor="background1"/>
                <w:sz w:val="20"/>
                <w:szCs w:val="20"/>
                <w:lang w:val="es-ES" w:eastAsia="es-ES"/>
              </w:rPr>
            </w:pPr>
            <w:r w:rsidRPr="00190E20">
              <w:rPr>
                <w:rFonts w:eastAsia="Times New Roman" w:cs="Times New Roman"/>
                <w:b/>
                <w:color w:val="FFFFFF" w:themeColor="background1"/>
                <w:sz w:val="20"/>
                <w:szCs w:val="20"/>
                <w:lang w:eastAsia="es-ES"/>
              </w:rPr>
              <w:t>2018</w:t>
            </w:r>
          </w:p>
        </w:tc>
        <w:tc>
          <w:tcPr>
            <w:tcW w:w="743" w:type="dxa"/>
            <w:tcBorders>
              <w:top w:val="single" w:sz="4" w:space="0" w:color="auto"/>
              <w:left w:val="nil"/>
              <w:bottom w:val="single" w:sz="4" w:space="0" w:color="auto"/>
              <w:right w:val="single" w:sz="4" w:space="0" w:color="auto"/>
            </w:tcBorders>
            <w:shd w:val="clear" w:color="auto" w:fill="C00000"/>
            <w:noWrap/>
            <w:vAlign w:val="center"/>
          </w:tcPr>
          <w:p w14:paraId="4DB8714E" w14:textId="77777777" w:rsidR="002C2B81" w:rsidRPr="00190E20" w:rsidRDefault="002C2B81" w:rsidP="005D4B28">
            <w:pPr>
              <w:spacing w:after="0" w:line="240" w:lineRule="auto"/>
              <w:jc w:val="center"/>
              <w:rPr>
                <w:rFonts w:eastAsia="Times New Roman" w:cs="Times New Roman"/>
                <w:b/>
                <w:color w:val="FFFFFF" w:themeColor="background1"/>
                <w:sz w:val="20"/>
                <w:szCs w:val="20"/>
                <w:lang w:eastAsia="es-ES"/>
              </w:rPr>
            </w:pPr>
            <w:r w:rsidRPr="00190E20">
              <w:rPr>
                <w:rFonts w:eastAsia="Times New Roman" w:cs="Times New Roman"/>
                <w:b/>
                <w:color w:val="FFFFFF" w:themeColor="background1"/>
                <w:sz w:val="20"/>
                <w:szCs w:val="20"/>
                <w:lang w:eastAsia="es-ES"/>
              </w:rPr>
              <w:t>Valor</w:t>
            </w:r>
          </w:p>
          <w:p w14:paraId="37DFA018" w14:textId="77777777" w:rsidR="002C2B81" w:rsidRPr="00190E20" w:rsidRDefault="002C2B81" w:rsidP="005D4B28">
            <w:pPr>
              <w:spacing w:after="0" w:line="240" w:lineRule="auto"/>
              <w:jc w:val="center"/>
              <w:rPr>
                <w:rFonts w:eastAsia="Times New Roman" w:cs="Times New Roman"/>
                <w:b/>
                <w:color w:val="FFFFFF" w:themeColor="background1"/>
                <w:sz w:val="20"/>
                <w:szCs w:val="20"/>
                <w:lang w:val="es-ES" w:eastAsia="es-ES"/>
              </w:rPr>
            </w:pPr>
            <w:r w:rsidRPr="00190E20">
              <w:rPr>
                <w:rFonts w:eastAsia="Times New Roman" w:cs="Times New Roman"/>
                <w:b/>
                <w:color w:val="FFFFFF" w:themeColor="background1"/>
                <w:sz w:val="20"/>
                <w:szCs w:val="20"/>
                <w:lang w:eastAsia="es-ES"/>
              </w:rPr>
              <w:t>crítico</w:t>
            </w:r>
          </w:p>
        </w:tc>
        <w:tc>
          <w:tcPr>
            <w:tcW w:w="1240" w:type="dxa"/>
            <w:tcBorders>
              <w:top w:val="single" w:sz="4" w:space="0" w:color="auto"/>
              <w:left w:val="nil"/>
              <w:bottom w:val="single" w:sz="4" w:space="0" w:color="auto"/>
              <w:right w:val="single" w:sz="4" w:space="0" w:color="auto"/>
            </w:tcBorders>
            <w:shd w:val="clear" w:color="auto" w:fill="C00000"/>
            <w:noWrap/>
            <w:vAlign w:val="center"/>
          </w:tcPr>
          <w:p w14:paraId="190D7BA2" w14:textId="77777777" w:rsidR="002C2B81" w:rsidRPr="00190E20" w:rsidRDefault="002C2B81" w:rsidP="005D4B28">
            <w:pPr>
              <w:spacing w:after="0" w:line="240" w:lineRule="auto"/>
              <w:jc w:val="center"/>
              <w:rPr>
                <w:rFonts w:eastAsia="Times New Roman" w:cs="Times New Roman"/>
                <w:b/>
                <w:color w:val="FFFFFF" w:themeColor="background1"/>
                <w:sz w:val="20"/>
                <w:szCs w:val="20"/>
                <w:lang w:val="es-ES" w:eastAsia="es-ES"/>
              </w:rPr>
            </w:pPr>
            <w:r w:rsidRPr="00190E20">
              <w:rPr>
                <w:rFonts w:eastAsia="Times New Roman" w:cs="Times New Roman"/>
                <w:b/>
                <w:color w:val="FFFFFF" w:themeColor="background1"/>
                <w:sz w:val="20"/>
                <w:szCs w:val="20"/>
                <w:lang w:eastAsia="es-ES"/>
              </w:rPr>
              <w:t>Situación</w:t>
            </w:r>
          </w:p>
        </w:tc>
      </w:tr>
      <w:tr w:rsidR="002C2B81" w:rsidRPr="00EF33F8" w14:paraId="3045C342" w14:textId="77777777" w:rsidTr="002C2B81">
        <w:trPr>
          <w:trHeight w:val="453"/>
        </w:trPr>
        <w:tc>
          <w:tcPr>
            <w:tcW w:w="1324" w:type="dxa"/>
            <w:vMerge w:val="restart"/>
            <w:tcBorders>
              <w:top w:val="single" w:sz="4" w:space="0" w:color="auto"/>
              <w:left w:val="single" w:sz="4" w:space="0" w:color="auto"/>
              <w:right w:val="single" w:sz="4" w:space="0" w:color="auto"/>
            </w:tcBorders>
            <w:shd w:val="clear" w:color="auto" w:fill="auto"/>
            <w:noWrap/>
            <w:vAlign w:val="center"/>
          </w:tcPr>
          <w:p w14:paraId="5A369F9B" w14:textId="77777777" w:rsidR="002C2B81" w:rsidRPr="00EF33F8" w:rsidRDefault="002C2B81" w:rsidP="005D4B28">
            <w:pPr>
              <w:jc w:val="center"/>
              <w:rPr>
                <w:rFonts w:eastAsia="Times New Roman" w:cs="Times New Roman"/>
                <w:sz w:val="20"/>
                <w:szCs w:val="20"/>
                <w:lang w:val="es-ES" w:eastAsia="es-ES"/>
              </w:rPr>
            </w:pPr>
            <w:r w:rsidRPr="00EF33F8">
              <w:rPr>
                <w:rFonts w:eastAsia="Times New Roman" w:cs="Times New Roman"/>
                <w:sz w:val="20"/>
                <w:szCs w:val="20"/>
                <w:lang w:val="es-ES" w:eastAsia="es-ES"/>
              </w:rPr>
              <w:t>Vulnerabilidad</w:t>
            </w:r>
          </w:p>
        </w:tc>
        <w:tc>
          <w:tcPr>
            <w:tcW w:w="2101" w:type="dxa"/>
            <w:gridSpan w:val="2"/>
            <w:tcBorders>
              <w:top w:val="single" w:sz="4" w:space="0" w:color="auto"/>
              <w:left w:val="nil"/>
              <w:bottom w:val="single" w:sz="4" w:space="0" w:color="auto"/>
              <w:right w:val="single" w:sz="4" w:space="0" w:color="auto"/>
            </w:tcBorders>
            <w:shd w:val="clear" w:color="auto" w:fill="auto"/>
            <w:vAlign w:val="center"/>
          </w:tcPr>
          <w:p w14:paraId="7C95F258" w14:textId="77777777" w:rsidR="002C2B81" w:rsidRPr="00EF33F8" w:rsidRDefault="002C2B81" w:rsidP="005D4B28">
            <w:pPr>
              <w:spacing w:after="0" w:line="240" w:lineRule="auto"/>
              <w:jc w:val="center"/>
              <w:rPr>
                <w:rFonts w:eastAsia="Times New Roman" w:cs="Times New Roman"/>
                <w:sz w:val="20"/>
                <w:szCs w:val="20"/>
                <w:lang w:val="es-ES" w:eastAsia="es-ES"/>
              </w:rPr>
            </w:pPr>
            <w:r w:rsidRPr="00EF33F8">
              <w:rPr>
                <w:rFonts w:eastAsia="Times New Roman" w:cs="Times New Roman"/>
                <w:color w:val="000000"/>
                <w:sz w:val="20"/>
                <w:szCs w:val="20"/>
                <w:lang w:eastAsia="es-ES"/>
              </w:rPr>
              <w:t>Deuda total / ingresos tributarios</w:t>
            </w:r>
          </w:p>
        </w:tc>
        <w:tc>
          <w:tcPr>
            <w:tcW w:w="799" w:type="dxa"/>
            <w:tcBorders>
              <w:top w:val="single" w:sz="4" w:space="0" w:color="auto"/>
              <w:left w:val="nil"/>
              <w:bottom w:val="single" w:sz="4" w:space="0" w:color="auto"/>
              <w:right w:val="single" w:sz="4" w:space="0" w:color="auto"/>
            </w:tcBorders>
            <w:shd w:val="clear" w:color="auto" w:fill="auto"/>
            <w:vAlign w:val="center"/>
          </w:tcPr>
          <w:p w14:paraId="1F7F0F89"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238.5</w:t>
            </w:r>
          </w:p>
        </w:tc>
        <w:tc>
          <w:tcPr>
            <w:tcW w:w="799" w:type="dxa"/>
            <w:tcBorders>
              <w:top w:val="single" w:sz="4" w:space="0" w:color="auto"/>
              <w:left w:val="nil"/>
              <w:bottom w:val="single" w:sz="4" w:space="0" w:color="auto"/>
              <w:right w:val="single" w:sz="4" w:space="0" w:color="auto"/>
            </w:tcBorders>
            <w:shd w:val="clear" w:color="auto" w:fill="auto"/>
            <w:vAlign w:val="center"/>
          </w:tcPr>
          <w:p w14:paraId="6883AE18"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232.3</w:t>
            </w:r>
          </w:p>
        </w:tc>
        <w:tc>
          <w:tcPr>
            <w:tcW w:w="799" w:type="dxa"/>
            <w:tcBorders>
              <w:top w:val="single" w:sz="4" w:space="0" w:color="auto"/>
              <w:left w:val="nil"/>
              <w:bottom w:val="single" w:sz="4" w:space="0" w:color="auto"/>
              <w:right w:val="single" w:sz="4" w:space="0" w:color="auto"/>
            </w:tcBorders>
            <w:shd w:val="clear" w:color="auto" w:fill="auto"/>
            <w:vAlign w:val="center"/>
          </w:tcPr>
          <w:p w14:paraId="1EBAB8D2"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229.4</w:t>
            </w:r>
          </w:p>
        </w:tc>
        <w:tc>
          <w:tcPr>
            <w:tcW w:w="799" w:type="dxa"/>
            <w:tcBorders>
              <w:top w:val="single" w:sz="4" w:space="0" w:color="auto"/>
              <w:left w:val="nil"/>
              <w:bottom w:val="single" w:sz="4" w:space="0" w:color="auto"/>
              <w:right w:val="single" w:sz="4" w:space="0" w:color="auto"/>
            </w:tcBorders>
            <w:shd w:val="clear" w:color="auto" w:fill="auto"/>
            <w:vAlign w:val="center"/>
          </w:tcPr>
          <w:p w14:paraId="7C510B8E"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243.1</w:t>
            </w:r>
          </w:p>
        </w:tc>
        <w:tc>
          <w:tcPr>
            <w:tcW w:w="743" w:type="dxa"/>
            <w:tcBorders>
              <w:top w:val="single" w:sz="4" w:space="0" w:color="auto"/>
              <w:left w:val="nil"/>
              <w:bottom w:val="single" w:sz="4" w:space="0" w:color="auto"/>
              <w:right w:val="single" w:sz="4" w:space="0" w:color="auto"/>
            </w:tcBorders>
            <w:shd w:val="clear" w:color="auto" w:fill="auto"/>
            <w:vAlign w:val="center"/>
          </w:tcPr>
          <w:p w14:paraId="4C353A6D"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250%</w:t>
            </w:r>
          </w:p>
        </w:tc>
        <w:tc>
          <w:tcPr>
            <w:tcW w:w="1240" w:type="dxa"/>
            <w:tcBorders>
              <w:top w:val="single" w:sz="4" w:space="0" w:color="auto"/>
              <w:left w:val="nil"/>
              <w:bottom w:val="single" w:sz="4" w:space="0" w:color="auto"/>
              <w:right w:val="single" w:sz="4" w:space="0" w:color="auto"/>
            </w:tcBorders>
            <w:shd w:val="clear" w:color="auto" w:fill="auto"/>
            <w:vAlign w:val="center"/>
          </w:tcPr>
          <w:p w14:paraId="310F3A8B"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Pr>
                <w:rFonts w:eastAsia="Times New Roman" w:cs="Times New Roman"/>
                <w:color w:val="000000"/>
                <w:sz w:val="20"/>
                <w:szCs w:val="20"/>
                <w:lang w:eastAsia="es-ES"/>
              </w:rPr>
              <w:t>V</w:t>
            </w:r>
            <w:r w:rsidRPr="00EF33F8">
              <w:rPr>
                <w:rFonts w:eastAsia="Times New Roman" w:cs="Times New Roman"/>
                <w:color w:val="000000"/>
                <w:sz w:val="20"/>
                <w:szCs w:val="20"/>
                <w:lang w:eastAsia="es-ES"/>
              </w:rPr>
              <w:t>ulnerable</w:t>
            </w:r>
          </w:p>
        </w:tc>
      </w:tr>
      <w:tr w:rsidR="002C2B81" w:rsidRPr="00EF33F8" w14:paraId="4B0E7535" w14:textId="77777777" w:rsidTr="002C2B81">
        <w:trPr>
          <w:trHeight w:val="489"/>
        </w:trPr>
        <w:tc>
          <w:tcPr>
            <w:tcW w:w="1324" w:type="dxa"/>
            <w:vMerge/>
            <w:tcBorders>
              <w:left w:val="single" w:sz="4" w:space="0" w:color="auto"/>
              <w:right w:val="single" w:sz="4" w:space="0" w:color="auto"/>
            </w:tcBorders>
            <w:shd w:val="clear" w:color="auto" w:fill="auto"/>
            <w:noWrap/>
            <w:vAlign w:val="center"/>
          </w:tcPr>
          <w:p w14:paraId="7F608FDE" w14:textId="77777777" w:rsidR="002C2B81" w:rsidRPr="00EF33F8" w:rsidRDefault="002C2B81" w:rsidP="005D4B28">
            <w:pPr>
              <w:jc w:val="center"/>
              <w:rPr>
                <w:rFonts w:eastAsia="Times New Roman" w:cs="Times New Roman"/>
                <w:sz w:val="20"/>
                <w:szCs w:val="20"/>
                <w:lang w:val="es-ES" w:eastAsia="es-ES"/>
              </w:rPr>
            </w:pPr>
          </w:p>
        </w:tc>
        <w:tc>
          <w:tcPr>
            <w:tcW w:w="2101" w:type="dxa"/>
            <w:gridSpan w:val="2"/>
            <w:tcBorders>
              <w:top w:val="nil"/>
              <w:left w:val="nil"/>
              <w:bottom w:val="single" w:sz="4" w:space="0" w:color="auto"/>
              <w:right w:val="single" w:sz="4" w:space="0" w:color="auto"/>
            </w:tcBorders>
            <w:shd w:val="clear" w:color="auto" w:fill="auto"/>
            <w:vAlign w:val="center"/>
          </w:tcPr>
          <w:p w14:paraId="367C3022" w14:textId="77777777" w:rsidR="002C2B81" w:rsidRPr="00EF33F8" w:rsidRDefault="002C2B81" w:rsidP="005D4B28">
            <w:pPr>
              <w:spacing w:after="0" w:line="240" w:lineRule="auto"/>
              <w:jc w:val="center"/>
              <w:rPr>
                <w:rFonts w:eastAsia="Times New Roman" w:cs="Times New Roman"/>
                <w:sz w:val="20"/>
                <w:szCs w:val="20"/>
                <w:lang w:val="es-ES" w:eastAsia="es-ES"/>
              </w:rPr>
            </w:pPr>
            <w:r w:rsidRPr="00EF33F8">
              <w:rPr>
                <w:rFonts w:eastAsia="Times New Roman" w:cs="Times New Roman"/>
                <w:color w:val="000000"/>
                <w:sz w:val="20"/>
                <w:szCs w:val="20"/>
                <w:lang w:eastAsia="es-ES"/>
              </w:rPr>
              <w:t>Deuda total / PIB</w:t>
            </w:r>
          </w:p>
        </w:tc>
        <w:tc>
          <w:tcPr>
            <w:tcW w:w="799" w:type="dxa"/>
            <w:tcBorders>
              <w:top w:val="nil"/>
              <w:left w:val="nil"/>
              <w:bottom w:val="single" w:sz="4" w:space="0" w:color="auto"/>
              <w:right w:val="single" w:sz="4" w:space="0" w:color="auto"/>
            </w:tcBorders>
            <w:shd w:val="clear" w:color="auto" w:fill="auto"/>
            <w:vAlign w:val="center"/>
          </w:tcPr>
          <w:p w14:paraId="554F6530"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24.3</w:t>
            </w:r>
          </w:p>
        </w:tc>
        <w:tc>
          <w:tcPr>
            <w:tcW w:w="799" w:type="dxa"/>
            <w:tcBorders>
              <w:top w:val="nil"/>
              <w:left w:val="nil"/>
              <w:bottom w:val="single" w:sz="4" w:space="0" w:color="auto"/>
              <w:right w:val="single" w:sz="4" w:space="0" w:color="auto"/>
            </w:tcBorders>
            <w:shd w:val="clear" w:color="auto" w:fill="auto"/>
            <w:vAlign w:val="center"/>
          </w:tcPr>
          <w:p w14:paraId="61E9BE4C"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24.1</w:t>
            </w:r>
          </w:p>
        </w:tc>
        <w:tc>
          <w:tcPr>
            <w:tcW w:w="799" w:type="dxa"/>
            <w:tcBorders>
              <w:top w:val="nil"/>
              <w:left w:val="nil"/>
              <w:bottom w:val="single" w:sz="4" w:space="0" w:color="auto"/>
              <w:right w:val="single" w:sz="4" w:space="0" w:color="auto"/>
            </w:tcBorders>
            <w:shd w:val="clear" w:color="auto" w:fill="auto"/>
            <w:vAlign w:val="center"/>
          </w:tcPr>
          <w:p w14:paraId="5F365DF9"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23.4</w:t>
            </w:r>
          </w:p>
        </w:tc>
        <w:tc>
          <w:tcPr>
            <w:tcW w:w="799" w:type="dxa"/>
            <w:tcBorders>
              <w:top w:val="nil"/>
              <w:left w:val="nil"/>
              <w:bottom w:val="single" w:sz="4" w:space="0" w:color="auto"/>
              <w:right w:val="single" w:sz="4" w:space="0" w:color="auto"/>
            </w:tcBorders>
            <w:shd w:val="clear" w:color="auto" w:fill="auto"/>
            <w:vAlign w:val="center"/>
          </w:tcPr>
          <w:p w14:paraId="43BFF6AB"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24.2</w:t>
            </w:r>
          </w:p>
        </w:tc>
        <w:tc>
          <w:tcPr>
            <w:tcW w:w="743" w:type="dxa"/>
            <w:tcBorders>
              <w:top w:val="nil"/>
              <w:left w:val="nil"/>
              <w:bottom w:val="single" w:sz="4" w:space="0" w:color="auto"/>
              <w:right w:val="single" w:sz="4" w:space="0" w:color="auto"/>
            </w:tcBorders>
            <w:shd w:val="clear" w:color="auto" w:fill="auto"/>
            <w:vAlign w:val="center"/>
          </w:tcPr>
          <w:p w14:paraId="3666D676"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40%</w:t>
            </w:r>
          </w:p>
        </w:tc>
        <w:tc>
          <w:tcPr>
            <w:tcW w:w="1240" w:type="dxa"/>
            <w:tcBorders>
              <w:top w:val="nil"/>
              <w:left w:val="nil"/>
              <w:bottom w:val="single" w:sz="4" w:space="0" w:color="auto"/>
              <w:right w:val="single" w:sz="4" w:space="0" w:color="auto"/>
            </w:tcBorders>
            <w:shd w:val="clear" w:color="auto" w:fill="auto"/>
            <w:vAlign w:val="center"/>
          </w:tcPr>
          <w:p w14:paraId="223E4CA1"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Pr>
                <w:rFonts w:eastAsia="Times New Roman" w:cs="Times New Roman"/>
                <w:color w:val="000000"/>
                <w:sz w:val="20"/>
                <w:szCs w:val="20"/>
                <w:lang w:eastAsia="es-ES"/>
              </w:rPr>
              <w:t>Manejable</w:t>
            </w:r>
          </w:p>
        </w:tc>
      </w:tr>
      <w:tr w:rsidR="002C2B81" w:rsidRPr="00EF33F8" w14:paraId="0D691760" w14:textId="77777777" w:rsidTr="002C2B81">
        <w:trPr>
          <w:trHeight w:val="181"/>
        </w:trPr>
        <w:tc>
          <w:tcPr>
            <w:tcW w:w="1324" w:type="dxa"/>
            <w:vMerge/>
            <w:tcBorders>
              <w:left w:val="single" w:sz="4" w:space="0" w:color="auto"/>
              <w:right w:val="single" w:sz="4" w:space="0" w:color="auto"/>
            </w:tcBorders>
            <w:shd w:val="clear" w:color="auto" w:fill="auto"/>
            <w:noWrap/>
            <w:vAlign w:val="center"/>
          </w:tcPr>
          <w:p w14:paraId="04B35F5A" w14:textId="77777777" w:rsidR="002C2B81" w:rsidRPr="00EF33F8" w:rsidRDefault="002C2B81" w:rsidP="005D4B28">
            <w:pPr>
              <w:jc w:val="center"/>
              <w:rPr>
                <w:rFonts w:eastAsia="Times New Roman" w:cs="Times New Roman"/>
                <w:sz w:val="20"/>
                <w:szCs w:val="20"/>
                <w:lang w:val="es-ES" w:eastAsia="es-ES"/>
              </w:rPr>
            </w:pPr>
          </w:p>
        </w:tc>
        <w:tc>
          <w:tcPr>
            <w:tcW w:w="2101" w:type="dxa"/>
            <w:gridSpan w:val="2"/>
            <w:tcBorders>
              <w:top w:val="nil"/>
              <w:left w:val="nil"/>
              <w:bottom w:val="single" w:sz="4" w:space="0" w:color="auto"/>
              <w:right w:val="single" w:sz="4" w:space="0" w:color="auto"/>
            </w:tcBorders>
            <w:shd w:val="clear" w:color="auto" w:fill="auto"/>
            <w:vAlign w:val="center"/>
          </w:tcPr>
          <w:p w14:paraId="705DC527" w14:textId="77777777" w:rsidR="002C2B81" w:rsidRPr="00EF33F8" w:rsidRDefault="002C2B81" w:rsidP="005D4B28">
            <w:pPr>
              <w:spacing w:after="0" w:line="240" w:lineRule="auto"/>
              <w:jc w:val="center"/>
              <w:rPr>
                <w:rFonts w:eastAsia="Times New Roman" w:cs="Times New Roman"/>
                <w:sz w:val="20"/>
                <w:szCs w:val="20"/>
                <w:lang w:val="es-ES" w:eastAsia="es-ES"/>
              </w:rPr>
            </w:pPr>
            <w:r w:rsidRPr="00EF33F8">
              <w:rPr>
                <w:rFonts w:eastAsia="Times New Roman" w:cs="Times New Roman"/>
                <w:color w:val="000000"/>
                <w:sz w:val="20"/>
                <w:szCs w:val="20"/>
                <w:lang w:eastAsia="es-ES"/>
              </w:rPr>
              <w:t>Intereses / ingresos totales</w:t>
            </w:r>
          </w:p>
        </w:tc>
        <w:tc>
          <w:tcPr>
            <w:tcW w:w="799" w:type="dxa"/>
            <w:tcBorders>
              <w:top w:val="nil"/>
              <w:left w:val="nil"/>
              <w:bottom w:val="single" w:sz="4" w:space="0" w:color="auto"/>
              <w:right w:val="single" w:sz="4" w:space="0" w:color="auto"/>
            </w:tcBorders>
            <w:shd w:val="clear" w:color="auto" w:fill="auto"/>
            <w:vAlign w:val="center"/>
          </w:tcPr>
          <w:p w14:paraId="5861519E"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14.4</w:t>
            </w:r>
          </w:p>
        </w:tc>
        <w:tc>
          <w:tcPr>
            <w:tcW w:w="799" w:type="dxa"/>
            <w:tcBorders>
              <w:top w:val="nil"/>
              <w:left w:val="nil"/>
              <w:bottom w:val="single" w:sz="4" w:space="0" w:color="auto"/>
              <w:right w:val="single" w:sz="4" w:space="0" w:color="auto"/>
            </w:tcBorders>
            <w:shd w:val="clear" w:color="auto" w:fill="auto"/>
            <w:vAlign w:val="center"/>
          </w:tcPr>
          <w:p w14:paraId="2884FC55"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13.4</w:t>
            </w:r>
          </w:p>
        </w:tc>
        <w:tc>
          <w:tcPr>
            <w:tcW w:w="799" w:type="dxa"/>
            <w:tcBorders>
              <w:top w:val="nil"/>
              <w:left w:val="nil"/>
              <w:bottom w:val="single" w:sz="4" w:space="0" w:color="auto"/>
              <w:right w:val="single" w:sz="4" w:space="0" w:color="auto"/>
            </w:tcBorders>
            <w:shd w:val="clear" w:color="auto" w:fill="auto"/>
            <w:vAlign w:val="center"/>
          </w:tcPr>
          <w:p w14:paraId="10D10BDE"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13.3</w:t>
            </w:r>
          </w:p>
        </w:tc>
        <w:tc>
          <w:tcPr>
            <w:tcW w:w="799" w:type="dxa"/>
            <w:tcBorders>
              <w:top w:val="nil"/>
              <w:left w:val="nil"/>
              <w:bottom w:val="single" w:sz="4" w:space="0" w:color="auto"/>
              <w:right w:val="single" w:sz="4" w:space="0" w:color="auto"/>
            </w:tcBorders>
            <w:shd w:val="clear" w:color="auto" w:fill="auto"/>
            <w:vAlign w:val="center"/>
          </w:tcPr>
          <w:p w14:paraId="3EC105F6"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13.6</w:t>
            </w:r>
          </w:p>
        </w:tc>
        <w:tc>
          <w:tcPr>
            <w:tcW w:w="743" w:type="dxa"/>
            <w:tcBorders>
              <w:top w:val="nil"/>
              <w:left w:val="nil"/>
              <w:bottom w:val="single" w:sz="4" w:space="0" w:color="auto"/>
              <w:right w:val="single" w:sz="4" w:space="0" w:color="auto"/>
            </w:tcBorders>
            <w:shd w:val="clear" w:color="auto" w:fill="auto"/>
            <w:vAlign w:val="center"/>
          </w:tcPr>
          <w:p w14:paraId="0E0E7EB2"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25%</w:t>
            </w:r>
          </w:p>
        </w:tc>
        <w:tc>
          <w:tcPr>
            <w:tcW w:w="1240" w:type="dxa"/>
            <w:tcBorders>
              <w:top w:val="nil"/>
              <w:left w:val="nil"/>
              <w:bottom w:val="single" w:sz="4" w:space="0" w:color="auto"/>
              <w:right w:val="single" w:sz="4" w:space="0" w:color="auto"/>
            </w:tcBorders>
            <w:shd w:val="clear" w:color="auto" w:fill="auto"/>
            <w:vAlign w:val="center"/>
          </w:tcPr>
          <w:p w14:paraId="5D1F1B59"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Pr>
                <w:rFonts w:eastAsia="Times New Roman" w:cs="Times New Roman"/>
                <w:color w:val="000000"/>
                <w:sz w:val="20"/>
                <w:szCs w:val="20"/>
                <w:lang w:eastAsia="es-ES"/>
              </w:rPr>
              <w:t>Manejable</w:t>
            </w:r>
          </w:p>
        </w:tc>
      </w:tr>
      <w:tr w:rsidR="002C2B81" w:rsidRPr="00EF33F8" w14:paraId="741C0AB7" w14:textId="77777777" w:rsidTr="002C2B81">
        <w:trPr>
          <w:trHeight w:val="383"/>
        </w:trPr>
        <w:tc>
          <w:tcPr>
            <w:tcW w:w="1324" w:type="dxa"/>
            <w:vMerge/>
            <w:tcBorders>
              <w:left w:val="single" w:sz="4" w:space="0" w:color="auto"/>
              <w:bottom w:val="single" w:sz="4" w:space="0" w:color="auto"/>
              <w:right w:val="single" w:sz="4" w:space="0" w:color="auto"/>
            </w:tcBorders>
            <w:shd w:val="clear" w:color="auto" w:fill="auto"/>
            <w:noWrap/>
            <w:vAlign w:val="center"/>
          </w:tcPr>
          <w:p w14:paraId="13B282E3" w14:textId="77777777" w:rsidR="002C2B81" w:rsidRPr="00EF33F8" w:rsidRDefault="002C2B81" w:rsidP="005D4B28">
            <w:pPr>
              <w:spacing w:after="0" w:line="240" w:lineRule="auto"/>
              <w:jc w:val="center"/>
              <w:rPr>
                <w:rFonts w:eastAsia="Times New Roman" w:cs="Times New Roman"/>
                <w:sz w:val="20"/>
                <w:szCs w:val="20"/>
                <w:lang w:val="es-ES" w:eastAsia="es-ES"/>
              </w:rPr>
            </w:pPr>
          </w:p>
        </w:tc>
        <w:tc>
          <w:tcPr>
            <w:tcW w:w="2101" w:type="dxa"/>
            <w:gridSpan w:val="2"/>
            <w:tcBorders>
              <w:top w:val="nil"/>
              <w:left w:val="nil"/>
              <w:bottom w:val="single" w:sz="4" w:space="0" w:color="auto"/>
              <w:right w:val="single" w:sz="4" w:space="0" w:color="auto"/>
            </w:tcBorders>
            <w:shd w:val="clear" w:color="auto" w:fill="auto"/>
            <w:vAlign w:val="center"/>
          </w:tcPr>
          <w:p w14:paraId="4253FD1B" w14:textId="77777777" w:rsidR="002C2B81" w:rsidRPr="00EF33F8" w:rsidRDefault="002C2B81" w:rsidP="005D4B28">
            <w:pPr>
              <w:spacing w:after="0" w:line="240" w:lineRule="auto"/>
              <w:jc w:val="center"/>
              <w:rPr>
                <w:rFonts w:eastAsia="Times New Roman" w:cs="Times New Roman"/>
                <w:sz w:val="20"/>
                <w:szCs w:val="20"/>
                <w:lang w:val="es-ES" w:eastAsia="es-ES"/>
              </w:rPr>
            </w:pPr>
            <w:r w:rsidRPr="00EF33F8">
              <w:rPr>
                <w:rFonts w:eastAsia="Times New Roman" w:cs="Times New Roman"/>
                <w:color w:val="000000"/>
                <w:sz w:val="20"/>
                <w:szCs w:val="20"/>
                <w:lang w:eastAsia="es-ES"/>
              </w:rPr>
              <w:t>Intereses / PIB</w:t>
            </w:r>
          </w:p>
        </w:tc>
        <w:tc>
          <w:tcPr>
            <w:tcW w:w="799" w:type="dxa"/>
            <w:tcBorders>
              <w:top w:val="nil"/>
              <w:left w:val="nil"/>
              <w:bottom w:val="single" w:sz="4" w:space="0" w:color="auto"/>
              <w:right w:val="single" w:sz="4" w:space="0" w:color="auto"/>
            </w:tcBorders>
            <w:shd w:val="clear" w:color="auto" w:fill="auto"/>
            <w:vAlign w:val="center"/>
          </w:tcPr>
          <w:p w14:paraId="2B21C8F4"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1.6</w:t>
            </w:r>
          </w:p>
        </w:tc>
        <w:tc>
          <w:tcPr>
            <w:tcW w:w="799" w:type="dxa"/>
            <w:tcBorders>
              <w:top w:val="nil"/>
              <w:left w:val="nil"/>
              <w:bottom w:val="single" w:sz="4" w:space="0" w:color="auto"/>
              <w:right w:val="single" w:sz="4" w:space="0" w:color="auto"/>
            </w:tcBorders>
            <w:shd w:val="clear" w:color="auto" w:fill="auto"/>
            <w:vAlign w:val="center"/>
          </w:tcPr>
          <w:p w14:paraId="4A2711CE"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1.5</w:t>
            </w:r>
          </w:p>
        </w:tc>
        <w:tc>
          <w:tcPr>
            <w:tcW w:w="799" w:type="dxa"/>
            <w:tcBorders>
              <w:top w:val="nil"/>
              <w:left w:val="nil"/>
              <w:bottom w:val="single" w:sz="4" w:space="0" w:color="auto"/>
              <w:right w:val="single" w:sz="4" w:space="0" w:color="auto"/>
            </w:tcBorders>
            <w:shd w:val="clear" w:color="auto" w:fill="auto"/>
            <w:vAlign w:val="center"/>
          </w:tcPr>
          <w:p w14:paraId="57E2EB85"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1.4</w:t>
            </w:r>
          </w:p>
        </w:tc>
        <w:tc>
          <w:tcPr>
            <w:tcW w:w="799" w:type="dxa"/>
            <w:tcBorders>
              <w:top w:val="nil"/>
              <w:left w:val="nil"/>
              <w:bottom w:val="single" w:sz="4" w:space="0" w:color="auto"/>
              <w:right w:val="single" w:sz="4" w:space="0" w:color="auto"/>
            </w:tcBorders>
            <w:shd w:val="clear" w:color="auto" w:fill="auto"/>
            <w:vAlign w:val="center"/>
          </w:tcPr>
          <w:p w14:paraId="3772256F"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1.4</w:t>
            </w:r>
          </w:p>
        </w:tc>
        <w:tc>
          <w:tcPr>
            <w:tcW w:w="743" w:type="dxa"/>
            <w:tcBorders>
              <w:top w:val="nil"/>
              <w:left w:val="nil"/>
              <w:bottom w:val="single" w:sz="4" w:space="0" w:color="auto"/>
              <w:right w:val="single" w:sz="4" w:space="0" w:color="auto"/>
            </w:tcBorders>
            <w:shd w:val="clear" w:color="auto" w:fill="auto"/>
            <w:vAlign w:val="center"/>
          </w:tcPr>
          <w:p w14:paraId="3112DE2E"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3%</w:t>
            </w:r>
          </w:p>
        </w:tc>
        <w:tc>
          <w:tcPr>
            <w:tcW w:w="1240" w:type="dxa"/>
            <w:tcBorders>
              <w:top w:val="nil"/>
              <w:left w:val="nil"/>
              <w:bottom w:val="single" w:sz="4" w:space="0" w:color="auto"/>
              <w:right w:val="single" w:sz="4" w:space="0" w:color="auto"/>
            </w:tcBorders>
            <w:shd w:val="clear" w:color="auto" w:fill="auto"/>
            <w:vAlign w:val="center"/>
          </w:tcPr>
          <w:p w14:paraId="3BE24FCC"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Pr>
                <w:rFonts w:eastAsia="Times New Roman" w:cs="Times New Roman"/>
                <w:color w:val="000000"/>
                <w:sz w:val="20"/>
                <w:szCs w:val="20"/>
                <w:lang w:eastAsia="es-ES"/>
              </w:rPr>
              <w:t>Manejable</w:t>
            </w:r>
          </w:p>
        </w:tc>
      </w:tr>
      <w:tr w:rsidR="002C2B81" w:rsidRPr="00EF33F8" w14:paraId="4688F8A8" w14:textId="77777777" w:rsidTr="002C2B81">
        <w:trPr>
          <w:trHeight w:val="765"/>
        </w:trPr>
        <w:tc>
          <w:tcPr>
            <w:tcW w:w="1324" w:type="dxa"/>
            <w:vMerge w:val="restart"/>
            <w:tcBorders>
              <w:top w:val="nil"/>
              <w:left w:val="single" w:sz="4" w:space="0" w:color="auto"/>
              <w:right w:val="single" w:sz="4" w:space="0" w:color="auto"/>
            </w:tcBorders>
            <w:shd w:val="clear" w:color="auto" w:fill="C0C0C0"/>
            <w:noWrap/>
            <w:vAlign w:val="center"/>
          </w:tcPr>
          <w:p w14:paraId="72D404DD" w14:textId="77777777" w:rsidR="002C2B81" w:rsidRPr="00EF33F8" w:rsidRDefault="002C2B81" w:rsidP="005D4B28">
            <w:pPr>
              <w:jc w:val="center"/>
              <w:rPr>
                <w:rFonts w:eastAsia="Times New Roman" w:cs="Times New Roman"/>
                <w:sz w:val="20"/>
                <w:szCs w:val="20"/>
                <w:lang w:val="es-ES" w:eastAsia="es-ES"/>
              </w:rPr>
            </w:pPr>
            <w:r w:rsidRPr="00EF33F8">
              <w:rPr>
                <w:rFonts w:eastAsia="Times New Roman" w:cs="Times New Roman"/>
                <w:sz w:val="20"/>
                <w:szCs w:val="20"/>
                <w:lang w:val="es-ES" w:eastAsia="es-ES"/>
              </w:rPr>
              <w:t>Sostenibilidad</w:t>
            </w:r>
          </w:p>
        </w:tc>
        <w:tc>
          <w:tcPr>
            <w:tcW w:w="1021" w:type="dxa"/>
            <w:vMerge w:val="restart"/>
            <w:tcBorders>
              <w:top w:val="nil"/>
              <w:left w:val="nil"/>
              <w:right w:val="single" w:sz="4" w:space="0" w:color="auto"/>
            </w:tcBorders>
            <w:shd w:val="clear" w:color="auto" w:fill="C0C0C0"/>
            <w:vAlign w:val="center"/>
          </w:tcPr>
          <w:p w14:paraId="4ACB9230" w14:textId="77777777" w:rsidR="002C2B81"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val="es-ES" w:eastAsia="es-ES"/>
              </w:rPr>
              <w:t>Corto</w:t>
            </w:r>
          </w:p>
          <w:p w14:paraId="7EB417AC" w14:textId="77777777" w:rsidR="002C2B81" w:rsidRPr="00EF33F8" w:rsidRDefault="002C2B81" w:rsidP="005D4B28">
            <w:pPr>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val="es-ES" w:eastAsia="es-ES"/>
              </w:rPr>
              <w:t>plazo Blanchard</w:t>
            </w:r>
          </w:p>
        </w:tc>
        <w:tc>
          <w:tcPr>
            <w:tcW w:w="1080" w:type="dxa"/>
            <w:tcBorders>
              <w:top w:val="nil"/>
              <w:left w:val="nil"/>
              <w:bottom w:val="single" w:sz="4" w:space="0" w:color="auto"/>
              <w:right w:val="single" w:sz="4" w:space="0" w:color="auto"/>
            </w:tcBorders>
            <w:shd w:val="clear" w:color="auto" w:fill="C0C0C0"/>
            <w:vAlign w:val="center"/>
          </w:tcPr>
          <w:p w14:paraId="5DFD1253"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Resultado primario requerido</w:t>
            </w:r>
          </w:p>
        </w:tc>
        <w:tc>
          <w:tcPr>
            <w:tcW w:w="799" w:type="dxa"/>
            <w:tcBorders>
              <w:top w:val="nil"/>
              <w:left w:val="nil"/>
              <w:bottom w:val="single" w:sz="4" w:space="0" w:color="auto"/>
              <w:right w:val="single" w:sz="4" w:space="0" w:color="auto"/>
            </w:tcBorders>
            <w:shd w:val="clear" w:color="auto" w:fill="C0C0C0"/>
            <w:vAlign w:val="center"/>
          </w:tcPr>
          <w:p w14:paraId="50B4E945"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-0.15%</w:t>
            </w:r>
          </w:p>
        </w:tc>
        <w:tc>
          <w:tcPr>
            <w:tcW w:w="799" w:type="dxa"/>
            <w:tcBorders>
              <w:top w:val="nil"/>
              <w:left w:val="nil"/>
              <w:bottom w:val="single" w:sz="4" w:space="0" w:color="auto"/>
              <w:right w:val="single" w:sz="4" w:space="0" w:color="auto"/>
            </w:tcBorders>
            <w:shd w:val="clear" w:color="auto" w:fill="C0C0C0"/>
            <w:vAlign w:val="center"/>
          </w:tcPr>
          <w:p w14:paraId="4765E437"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-0.09%</w:t>
            </w:r>
          </w:p>
        </w:tc>
        <w:tc>
          <w:tcPr>
            <w:tcW w:w="799" w:type="dxa"/>
            <w:tcBorders>
              <w:top w:val="nil"/>
              <w:left w:val="nil"/>
              <w:bottom w:val="single" w:sz="4" w:space="0" w:color="auto"/>
              <w:right w:val="single" w:sz="4" w:space="0" w:color="auto"/>
            </w:tcBorders>
            <w:shd w:val="clear" w:color="auto" w:fill="C0C0C0"/>
            <w:vAlign w:val="center"/>
          </w:tcPr>
          <w:p w14:paraId="2AF0FE41"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-0.03%</w:t>
            </w:r>
          </w:p>
        </w:tc>
        <w:tc>
          <w:tcPr>
            <w:tcW w:w="799" w:type="dxa"/>
            <w:tcBorders>
              <w:top w:val="nil"/>
              <w:left w:val="nil"/>
              <w:bottom w:val="single" w:sz="4" w:space="0" w:color="auto"/>
              <w:right w:val="single" w:sz="4" w:space="0" w:color="auto"/>
            </w:tcBorders>
            <w:shd w:val="clear" w:color="auto" w:fill="C0C0C0"/>
            <w:vAlign w:val="center"/>
          </w:tcPr>
          <w:p w14:paraId="7A56C925"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-0.08%</w:t>
            </w:r>
          </w:p>
        </w:tc>
        <w:tc>
          <w:tcPr>
            <w:tcW w:w="1983" w:type="dxa"/>
            <w:gridSpan w:val="2"/>
            <w:vMerge w:val="restart"/>
            <w:tcBorders>
              <w:top w:val="single" w:sz="4" w:space="0" w:color="auto"/>
              <w:left w:val="nil"/>
              <w:right w:val="single" w:sz="4" w:space="0" w:color="auto"/>
            </w:tcBorders>
            <w:shd w:val="clear" w:color="auto" w:fill="C0C0C0"/>
            <w:noWrap/>
            <w:vAlign w:val="center"/>
          </w:tcPr>
          <w:p w14:paraId="6E6F7FDB" w14:textId="77777777" w:rsidR="002C2B81" w:rsidRPr="00EF33F8" w:rsidRDefault="002C2B81" w:rsidP="005D4B28">
            <w:pPr>
              <w:jc w:val="center"/>
              <w:rPr>
                <w:rFonts w:eastAsia="Times New Roman" w:cs="Times New Roman"/>
                <w:color w:val="000000"/>
                <w:sz w:val="20"/>
                <w:szCs w:val="20"/>
                <w:lang w:val="es-ES" w:eastAsia="es-ES"/>
              </w:rPr>
            </w:pPr>
            <w:r w:rsidRPr="00EF33F8">
              <w:rPr>
                <w:rFonts w:eastAsia="Times New Roman" w:cs="Times New Roman"/>
                <w:sz w:val="20"/>
                <w:szCs w:val="20"/>
                <w:lang w:eastAsia="es-ES"/>
              </w:rPr>
              <w:t>Insostenible</w:t>
            </w:r>
          </w:p>
        </w:tc>
      </w:tr>
      <w:tr w:rsidR="002C2B81" w:rsidRPr="00EF33F8" w14:paraId="56415E9D" w14:textId="77777777" w:rsidTr="002C2B81">
        <w:trPr>
          <w:trHeight w:val="765"/>
        </w:trPr>
        <w:tc>
          <w:tcPr>
            <w:tcW w:w="1324" w:type="dxa"/>
            <w:vMerge/>
            <w:tcBorders>
              <w:left w:val="single" w:sz="4" w:space="0" w:color="auto"/>
              <w:bottom w:val="single" w:sz="4" w:space="0" w:color="auto"/>
              <w:right w:val="single" w:sz="4" w:space="0" w:color="auto"/>
            </w:tcBorders>
            <w:shd w:val="clear" w:color="auto" w:fill="auto"/>
            <w:noWrap/>
            <w:vAlign w:val="bottom"/>
          </w:tcPr>
          <w:p w14:paraId="0FB827DD" w14:textId="77777777" w:rsidR="002C2B81" w:rsidRPr="00EF33F8" w:rsidRDefault="002C2B81" w:rsidP="005D4B28">
            <w:pPr>
              <w:spacing w:after="0" w:line="240" w:lineRule="auto"/>
              <w:rPr>
                <w:rFonts w:eastAsia="Times New Roman" w:cs="Times New Roman"/>
                <w:sz w:val="20"/>
                <w:szCs w:val="20"/>
                <w:lang w:val="es-ES" w:eastAsia="es-ES"/>
              </w:rPr>
            </w:pPr>
          </w:p>
        </w:tc>
        <w:tc>
          <w:tcPr>
            <w:tcW w:w="1021" w:type="dxa"/>
            <w:vMerge/>
            <w:tcBorders>
              <w:left w:val="nil"/>
              <w:bottom w:val="single" w:sz="4" w:space="0" w:color="auto"/>
              <w:right w:val="single" w:sz="4" w:space="0" w:color="auto"/>
            </w:tcBorders>
            <w:shd w:val="clear" w:color="auto" w:fill="auto"/>
            <w:noWrap/>
            <w:vAlign w:val="bottom"/>
          </w:tcPr>
          <w:p w14:paraId="26DE132B" w14:textId="77777777" w:rsidR="002C2B81" w:rsidRPr="00EF33F8" w:rsidRDefault="002C2B81" w:rsidP="005D4B28">
            <w:pPr>
              <w:spacing w:after="0" w:line="240" w:lineRule="auto"/>
              <w:rPr>
                <w:rFonts w:eastAsia="Times New Roman" w:cs="Times New Roman"/>
                <w:sz w:val="20"/>
                <w:szCs w:val="20"/>
                <w:lang w:val="es-ES" w:eastAsia="es-ES"/>
              </w:rPr>
            </w:pPr>
          </w:p>
        </w:tc>
        <w:tc>
          <w:tcPr>
            <w:tcW w:w="1080" w:type="dxa"/>
            <w:tcBorders>
              <w:top w:val="nil"/>
              <w:left w:val="nil"/>
              <w:bottom w:val="single" w:sz="4" w:space="0" w:color="auto"/>
              <w:right w:val="single" w:sz="4" w:space="0" w:color="auto"/>
            </w:tcBorders>
            <w:shd w:val="clear" w:color="auto" w:fill="C0C0C0"/>
            <w:vAlign w:val="center"/>
          </w:tcPr>
          <w:p w14:paraId="30920FD8"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Resultado primario obtenido</w:t>
            </w:r>
          </w:p>
        </w:tc>
        <w:tc>
          <w:tcPr>
            <w:tcW w:w="799" w:type="dxa"/>
            <w:tcBorders>
              <w:top w:val="nil"/>
              <w:left w:val="nil"/>
              <w:bottom w:val="single" w:sz="4" w:space="0" w:color="auto"/>
              <w:right w:val="single" w:sz="4" w:space="0" w:color="auto"/>
            </w:tcBorders>
            <w:shd w:val="clear" w:color="auto" w:fill="C0C0C0"/>
            <w:vAlign w:val="center"/>
          </w:tcPr>
          <w:p w14:paraId="6E76A649"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0.12%</w:t>
            </w:r>
          </w:p>
        </w:tc>
        <w:tc>
          <w:tcPr>
            <w:tcW w:w="799" w:type="dxa"/>
            <w:tcBorders>
              <w:top w:val="nil"/>
              <w:left w:val="nil"/>
              <w:bottom w:val="single" w:sz="4" w:space="0" w:color="auto"/>
              <w:right w:val="single" w:sz="4" w:space="0" w:color="auto"/>
            </w:tcBorders>
            <w:shd w:val="clear" w:color="auto" w:fill="C0C0C0"/>
            <w:vAlign w:val="center"/>
          </w:tcPr>
          <w:p w14:paraId="58D63009"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0.41%</w:t>
            </w:r>
          </w:p>
        </w:tc>
        <w:tc>
          <w:tcPr>
            <w:tcW w:w="799" w:type="dxa"/>
            <w:tcBorders>
              <w:top w:val="nil"/>
              <w:left w:val="nil"/>
              <w:bottom w:val="single" w:sz="4" w:space="0" w:color="auto"/>
              <w:right w:val="single" w:sz="4" w:space="0" w:color="auto"/>
            </w:tcBorders>
            <w:shd w:val="clear" w:color="auto" w:fill="C0C0C0"/>
            <w:vAlign w:val="center"/>
          </w:tcPr>
          <w:p w14:paraId="2BFDAA4E"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0.13%</w:t>
            </w:r>
          </w:p>
        </w:tc>
        <w:tc>
          <w:tcPr>
            <w:tcW w:w="799" w:type="dxa"/>
            <w:tcBorders>
              <w:top w:val="nil"/>
              <w:left w:val="nil"/>
              <w:bottom w:val="single" w:sz="4" w:space="0" w:color="auto"/>
              <w:right w:val="single" w:sz="4" w:space="0" w:color="auto"/>
            </w:tcBorders>
            <w:shd w:val="clear" w:color="auto" w:fill="C0C0C0"/>
            <w:vAlign w:val="center"/>
          </w:tcPr>
          <w:p w14:paraId="3D7B2E6E" w14:textId="77777777" w:rsidR="002C2B81" w:rsidRPr="00EF33F8" w:rsidRDefault="002C2B81" w:rsidP="005D4B28">
            <w:pPr>
              <w:spacing w:after="0" w:line="240" w:lineRule="auto"/>
              <w:jc w:val="center"/>
              <w:rPr>
                <w:rFonts w:eastAsia="Times New Roman" w:cs="Times New Roman"/>
                <w:color w:val="000000"/>
                <w:sz w:val="20"/>
                <w:szCs w:val="20"/>
                <w:lang w:val="es-ES" w:eastAsia="es-ES"/>
              </w:rPr>
            </w:pPr>
            <w:r w:rsidRPr="00EF33F8">
              <w:rPr>
                <w:rFonts w:eastAsia="Times New Roman" w:cs="Times New Roman"/>
                <w:color w:val="000000"/>
                <w:sz w:val="20"/>
                <w:szCs w:val="20"/>
                <w:lang w:eastAsia="es-ES"/>
              </w:rPr>
              <w:t>0.32%</w:t>
            </w:r>
          </w:p>
        </w:tc>
        <w:tc>
          <w:tcPr>
            <w:tcW w:w="1983" w:type="dxa"/>
            <w:gridSpan w:val="2"/>
            <w:vMerge/>
            <w:tcBorders>
              <w:left w:val="nil"/>
              <w:bottom w:val="single" w:sz="4" w:space="0" w:color="auto"/>
              <w:right w:val="single" w:sz="4" w:space="0" w:color="auto"/>
            </w:tcBorders>
            <w:shd w:val="clear" w:color="auto" w:fill="auto"/>
            <w:noWrap/>
            <w:vAlign w:val="bottom"/>
          </w:tcPr>
          <w:p w14:paraId="39B0FF5D" w14:textId="77777777" w:rsidR="002C2B81" w:rsidRPr="00EF33F8" w:rsidRDefault="002C2B81" w:rsidP="005D4B28">
            <w:pPr>
              <w:spacing w:after="0" w:line="240" w:lineRule="auto"/>
              <w:rPr>
                <w:rFonts w:eastAsia="Times New Roman" w:cs="Times New Roman"/>
                <w:sz w:val="20"/>
                <w:szCs w:val="20"/>
                <w:lang w:val="es-ES" w:eastAsia="es-ES"/>
              </w:rPr>
            </w:pPr>
          </w:p>
        </w:tc>
      </w:tr>
    </w:tbl>
    <w:p w14:paraId="24D77FFC" w14:textId="77777777" w:rsidR="00190E20" w:rsidRPr="002C2B81" w:rsidRDefault="00190E20" w:rsidP="00D90954">
      <w:pPr>
        <w:jc w:val="both"/>
        <w:rPr>
          <w:sz w:val="18"/>
        </w:rPr>
      </w:pPr>
      <w:r w:rsidRPr="002C2B81">
        <w:rPr>
          <w:sz w:val="18"/>
        </w:rPr>
        <w:t>Fuente: Icefi con base en estadísticas del Ministerio de Finanzas Públicas.</w:t>
      </w:r>
    </w:p>
    <w:p w14:paraId="7A559CF1" w14:textId="77777777" w:rsidR="00386F41" w:rsidRDefault="00386F41" w:rsidP="0065348F">
      <w:pPr>
        <w:jc w:val="both"/>
      </w:pPr>
    </w:p>
    <w:p w14:paraId="4172C4CF" w14:textId="77777777" w:rsidR="00386F41" w:rsidRDefault="00386F41" w:rsidP="005D4B28">
      <w:pPr>
        <w:pStyle w:val="Heading2"/>
      </w:pPr>
      <w:bookmarkStart w:id="8" w:name="_Toc47694498"/>
      <w:r>
        <w:t>La opacidad y la corrupción</w:t>
      </w:r>
      <w:bookmarkEnd w:id="8"/>
    </w:p>
    <w:p w14:paraId="6AF50B65" w14:textId="77777777" w:rsidR="005D4B28" w:rsidRDefault="005D4B28" w:rsidP="00616273">
      <w:pPr>
        <w:jc w:val="both"/>
      </w:pPr>
    </w:p>
    <w:p w14:paraId="55C3057F" w14:textId="77777777" w:rsidR="00410CD1" w:rsidRDefault="00FC4080" w:rsidP="00616273">
      <w:pPr>
        <w:jc w:val="both"/>
      </w:pPr>
      <w:r>
        <w:t>L</w:t>
      </w:r>
      <w:r w:rsidR="00616273">
        <w:t xml:space="preserve">a política fiscal guatemalteca está caracterizada por problemas de falta de transparencia y corrupción que </w:t>
      </w:r>
      <w:r>
        <w:t>dificultan o imposibilitan</w:t>
      </w:r>
      <w:r w:rsidR="00616273">
        <w:t xml:space="preserve"> la rendición de cuentas de los </w:t>
      </w:r>
      <w:r>
        <w:t xml:space="preserve">empleados públicos y </w:t>
      </w:r>
      <w:r w:rsidR="00616273">
        <w:t xml:space="preserve">funcionarios, la determinación de los resultados de la utilización de los recursos públicos, la evaluación de la pertinencia de la ejecución </w:t>
      </w:r>
      <w:r>
        <w:t>políticas y</w:t>
      </w:r>
      <w:r w:rsidR="00616273">
        <w:t xml:space="preserve"> programas, y el buen uso de</w:t>
      </w:r>
      <w:r>
        <w:t xml:space="preserve">l poder público para la construcción del bien común y el máximo disfrute de los derechos humanos. </w:t>
      </w:r>
    </w:p>
    <w:p w14:paraId="35B6B0E1" w14:textId="77777777" w:rsidR="00410CD1" w:rsidRDefault="00410CD1" w:rsidP="00410CD1">
      <w:pPr>
        <w:jc w:val="both"/>
      </w:pPr>
      <w:r>
        <w:t xml:space="preserve">La corrupción como una forma de ejercicio del poder de unos cuantos en detrimento de la mayoría, tiene efectos negativos sobre el acceso, la calidad, aceptabilidad y la disponibilidad de bienes y servicios públicos que garantizan los derechos humanos. Asimismo, </w:t>
      </w:r>
      <w:r w:rsidRPr="00410CD1">
        <w:t xml:space="preserve">la corrupción es un freno al desarrollo democrático </w:t>
      </w:r>
      <w:r>
        <w:t>pues</w:t>
      </w:r>
      <w:r w:rsidRPr="00410CD1">
        <w:t xml:space="preserve"> </w:t>
      </w:r>
      <w:r>
        <w:t>destruye</w:t>
      </w:r>
      <w:r w:rsidRPr="00410CD1">
        <w:t xml:space="preserve"> la confianza </w:t>
      </w:r>
      <w:r>
        <w:t xml:space="preserve">ciudadana en </w:t>
      </w:r>
      <w:r w:rsidRPr="00410CD1">
        <w:t xml:space="preserve">sus autoridades y </w:t>
      </w:r>
      <w:r>
        <w:t>disminuye</w:t>
      </w:r>
      <w:r w:rsidRPr="00410CD1">
        <w:t xml:space="preserve"> </w:t>
      </w:r>
      <w:r>
        <w:t xml:space="preserve">las </w:t>
      </w:r>
      <w:r w:rsidRPr="00410CD1">
        <w:t>capacidades del Estado para cumplir sus funciones</w:t>
      </w:r>
      <w:r>
        <w:t>, incluidas aquellas relacionadas con la garantía, promoción y protección de los derechos humanos.</w:t>
      </w:r>
    </w:p>
    <w:p w14:paraId="3CAC761D" w14:textId="77777777" w:rsidR="00410CD1" w:rsidRDefault="00410CD1" w:rsidP="00410CD1">
      <w:pPr>
        <w:jc w:val="both"/>
      </w:pPr>
      <w:r>
        <w:t>En Guatemala, se pueden puntualizar ocho elementos que abren las puertas a la corrupción</w:t>
      </w:r>
      <w:r>
        <w:rPr>
          <w:rStyle w:val="FootnoteReference"/>
        </w:rPr>
        <w:footnoteReference w:id="13"/>
      </w:r>
      <w:r>
        <w:t>:</w:t>
      </w:r>
    </w:p>
    <w:p w14:paraId="3F3C103A" w14:textId="77777777" w:rsidR="00410CD1" w:rsidRDefault="00410CD1" w:rsidP="00410CD1">
      <w:pPr>
        <w:pStyle w:val="ListParagraph"/>
        <w:numPr>
          <w:ilvl w:val="0"/>
          <w:numId w:val="1"/>
        </w:numPr>
        <w:jc w:val="both"/>
      </w:pPr>
      <w:r w:rsidRPr="00410CD1">
        <w:rPr>
          <w:b/>
        </w:rPr>
        <w:t>Legislación desactualizada.</w:t>
      </w:r>
      <w:r>
        <w:t xml:space="preserve"> La falta de actualización del marco normativo necesario para combatir la corrupción incluye varias particularidades. Primero, la falta de revisión frecuente u oportuna de las disposiciones que confieren altos niveles de discrecionalidad a los tomadores de decisión o a los servidores públicos que tienen contacto con los usuarios de servicios administrativos. En este caso, el problema no radica en la discrecionalidad misma, como potestad conferida por ley o por disposiciones de inferior jerarquía (por ejemplo, reglamentos), sino en el abuso en su ejercicio o aplicación, que puede originar opacidad o actos de corrupción. En segundo lugar, destaca la existencia de leyes desactualizadas o «parchadas». Ello implica la pervivencia de normativas que no han sido revisadas desde hace mucho tiempo y que afectan el establecimiento de mecanismos modernos o innovadores para el aseguramiento de una gestión pública capaz de prevenir y combatir la corrupción. El ejemplo perfecto en este sentido lo comparten los tres países en un ámbito imprescindible para contar con administraciones públicas profesionales, eficaces y eficientes: el servicio civil.</w:t>
      </w:r>
    </w:p>
    <w:p w14:paraId="7E4744CD" w14:textId="77777777" w:rsidR="00410CD1" w:rsidRDefault="00410CD1" w:rsidP="00410CD1">
      <w:pPr>
        <w:jc w:val="both"/>
      </w:pPr>
    </w:p>
    <w:p w14:paraId="0F277479" w14:textId="77777777" w:rsidR="00410CD1" w:rsidRDefault="00410CD1" w:rsidP="001B45B4">
      <w:pPr>
        <w:pStyle w:val="ListParagraph"/>
        <w:numPr>
          <w:ilvl w:val="0"/>
          <w:numId w:val="1"/>
        </w:numPr>
        <w:jc w:val="both"/>
      </w:pPr>
      <w:r w:rsidRPr="001B45B4">
        <w:rPr>
          <w:b/>
        </w:rPr>
        <w:t>Institucionalidad débil</w:t>
      </w:r>
      <w:r>
        <w:t xml:space="preserve">. Para promover la transparencia y combatir eficazmente la corrupción es necesario contar con órganos de control externo, principalmente las entidades fiscalizadoras superiores y las fiscalías del Ministerio Público y dependencias públicas con funciones supervisoras, oficinas de auditoría interna que cumplan de manera efectiva con sus atribuciones legales. Sin embargo, </w:t>
      </w:r>
      <w:r w:rsidR="001B45B4">
        <w:t xml:space="preserve">con períodos y contexto excepcionales, </w:t>
      </w:r>
      <w:r>
        <w:t>ha prevalecido la inefectividad e inoperancia de las acciones a cargo de estas instituciones para prevenir, detectar y sancionar los actos de corrupción, incluyendo a: las entidades fiscalizadoras superiores; la auditoría interna gubernamental; el rol de las instituciones que ostentan la titularidad en el ejercicio de la acción penal pública y la responsabilidad de llevar a cabo las investigaciones de los delitos relacionados con la corrupción; y, aunque el Organismo Ejecutivo cuenta con una agencia especializada en materia de transparencia, la revelación de numerosos actos de corrupción y los resultados de las principales mediciones de este flagelo social han hecho que esas oficinas sean criticadas por incumplir con sus promesas de combatir la corrupción eficazmente.</w:t>
      </w:r>
    </w:p>
    <w:p w14:paraId="77ABED24" w14:textId="77777777" w:rsidR="001B45B4" w:rsidRDefault="001B45B4" w:rsidP="001B45B4">
      <w:pPr>
        <w:pStyle w:val="ListParagraph"/>
        <w:jc w:val="both"/>
      </w:pPr>
    </w:p>
    <w:p w14:paraId="19B57E35" w14:textId="77777777" w:rsidR="00410CD1" w:rsidRDefault="00410CD1" w:rsidP="001B45B4">
      <w:pPr>
        <w:pStyle w:val="ListParagraph"/>
        <w:numPr>
          <w:ilvl w:val="0"/>
          <w:numId w:val="1"/>
        </w:numPr>
        <w:jc w:val="both"/>
      </w:pPr>
      <w:r w:rsidRPr="001B45B4">
        <w:rPr>
          <w:b/>
        </w:rPr>
        <w:t>Sistema de administración de justicia con limitadas capacidades y recursos</w:t>
      </w:r>
      <w:r>
        <w:t xml:space="preserve">. Las redes criminales o político-económicas ilícitas son cada vez más mutables, adaptables, ágiles y poderosas, de manera tal que la ilegalidad suele avanzar a gran velocidad. Son capaces de detectar las debilidades sistémicas y abusar de ellas, sin más atadura que notar la posibilidad del ilícito, perfeccionar el plan y llevarlo a cabo. Por el contrario, la legalidad está sujeta a las garantías del debido proceso, la presunción de inocencia del acusado, los principios del derecho penal, los derechos humanos, las regulaciones procesales, la válida exigencia de construir casos fundados en evidencias y argumentos racionalmente defendibles, entre otros. Todos, aspectos centrales y absolutamente prioritarios, pero </w:t>
      </w:r>
      <w:r w:rsidR="001B45B4">
        <w:t xml:space="preserve">sin mejoras de gestión, capacidades y financiamiento, ofrecen pocas oportunidades para detener la corrupción y evitar la captura del propio sistema de justicia. </w:t>
      </w:r>
    </w:p>
    <w:p w14:paraId="62B7821B" w14:textId="77777777" w:rsidR="005E7732" w:rsidRDefault="005E7732" w:rsidP="005E7732">
      <w:pPr>
        <w:pStyle w:val="ListParagraph"/>
      </w:pPr>
    </w:p>
    <w:p w14:paraId="35073142" w14:textId="77777777" w:rsidR="00410CD1" w:rsidRDefault="00410CD1" w:rsidP="001B45B4">
      <w:pPr>
        <w:pStyle w:val="ListParagraph"/>
        <w:numPr>
          <w:ilvl w:val="0"/>
          <w:numId w:val="1"/>
        </w:numPr>
        <w:jc w:val="both"/>
      </w:pPr>
      <w:r w:rsidRPr="001B45B4">
        <w:rPr>
          <w:b/>
        </w:rPr>
        <w:t>Sistemas electorales y de partidos políticos sin el rigor democrático</w:t>
      </w:r>
      <w:r>
        <w:t xml:space="preserve">. </w:t>
      </w:r>
      <w:r w:rsidR="001B45B4">
        <w:t>U</w:t>
      </w:r>
      <w:r>
        <w:t xml:space="preserve">no de los temas que se ha ubicado en el centro de la discusión pública en las sociedades contemporáneas es la regulación entre dinero y política. La práctica ha demostrado que la ausencia de una normativa adecuada y efectivamente aplicada al control del financiamiento de los partidos políticos crea condiciones en las que el dinero es capaz de introducir distorsiones graves y generar una amplia gama de riesgos. </w:t>
      </w:r>
      <w:r w:rsidR="0012786E">
        <w:t>E</w:t>
      </w:r>
      <w:r>
        <w:t>st</w:t>
      </w:r>
      <w:r w:rsidR="0012786E">
        <w:t xml:space="preserve">a relación (dinero/política) </w:t>
      </w:r>
      <w:r>
        <w:t xml:space="preserve">constituye un asunto prioritario que se debe abordar en la discusión de reformas estructurales para combatir la corrupción, pues se percibe que los aportes a partidos políticos no suelen ser desinteresados. </w:t>
      </w:r>
      <w:r w:rsidR="0012786E">
        <w:t>L</w:t>
      </w:r>
      <w:r>
        <w:t>a Comisión Internacional Contra la Impunidad en Guatemala (Cicig) identifica algunos tipos de casos que ocurren en el financiamiento ilícito de la política, destacando los mecanismos que tienen las élites empresariales para otorgar financiamiento; los medios de comunicación y el financiamiento indirecto de la política; los entramados de corrupción en torno a la obra pública (correlación entre adjudicaciones e influencia política que se adquiere por la vía de las contribuciones políticas); y las variables que presenta la relación entre crimen organizado y financiamiento de la política.</w:t>
      </w:r>
      <w:r w:rsidR="003D439C">
        <w:rPr>
          <w:rStyle w:val="FootnoteReference"/>
        </w:rPr>
        <w:footnoteReference w:id="14"/>
      </w:r>
    </w:p>
    <w:p w14:paraId="6FF97695" w14:textId="77777777" w:rsidR="00410CD1" w:rsidRDefault="00410CD1" w:rsidP="00410CD1">
      <w:pPr>
        <w:jc w:val="both"/>
      </w:pPr>
    </w:p>
    <w:p w14:paraId="50472884" w14:textId="77777777" w:rsidR="00410CD1" w:rsidRDefault="00410CD1" w:rsidP="0012786E">
      <w:pPr>
        <w:pStyle w:val="ListParagraph"/>
        <w:numPr>
          <w:ilvl w:val="0"/>
          <w:numId w:val="1"/>
        </w:numPr>
        <w:jc w:val="both"/>
      </w:pPr>
      <w:r w:rsidRPr="0012786E">
        <w:rPr>
          <w:b/>
        </w:rPr>
        <w:t>Acceso deficiente a la información pública</w:t>
      </w:r>
      <w:r>
        <w:t xml:space="preserve">. A pesar de </w:t>
      </w:r>
      <w:r w:rsidR="0012786E">
        <w:t xml:space="preserve">la existencia de </w:t>
      </w:r>
      <w:r>
        <w:t xml:space="preserve">leyes de </w:t>
      </w:r>
      <w:r w:rsidR="0012786E">
        <w:t>acceso a la información pública</w:t>
      </w:r>
      <w:r>
        <w:t xml:space="preserve">, la realidad muestra que persisten obstáculos que evidencian la resistencia de muchos sujetos obligados a entregar o actualizar información pública. </w:t>
      </w:r>
      <w:r w:rsidR="0012786E">
        <w:t xml:space="preserve">Prevalece </w:t>
      </w:r>
      <w:r>
        <w:t>la cultura de secretismo y la falta de voluntad política en el cumplimiento de las leyes de acceso a la información. Ello ha permitido abusos en la aplicación de reservas en casos que incomodan al poder político (nacional y local); falta de adopción de los mecanismos de organización y resguardo de la información pública (sistemas de archivos institucionales); ausencia de capacitación para los empleados gubernamentales (particularmente desde los sujetos obligados); existencia de una relación tensa entre los encargados de las unidades de información y sus superiores o jefes de área; falta de certeza jurídica en el procesamiento de las solicitudes y en la actualización de la información de oficio, así como incumplimiento de obligaciones de generar y divulgar información.</w:t>
      </w:r>
    </w:p>
    <w:p w14:paraId="54EA297E" w14:textId="77777777" w:rsidR="005E7732" w:rsidRDefault="005E7732" w:rsidP="005E7732">
      <w:pPr>
        <w:pStyle w:val="ListParagraph"/>
      </w:pPr>
    </w:p>
    <w:p w14:paraId="3646A2F0" w14:textId="77777777" w:rsidR="00410CD1" w:rsidRDefault="00410CD1" w:rsidP="0012786E">
      <w:pPr>
        <w:pStyle w:val="ListParagraph"/>
        <w:numPr>
          <w:ilvl w:val="0"/>
          <w:numId w:val="1"/>
        </w:numPr>
        <w:jc w:val="both"/>
      </w:pPr>
      <w:r w:rsidRPr="0012786E">
        <w:rPr>
          <w:b/>
        </w:rPr>
        <w:t>Participación ciudadana escasa.</w:t>
      </w:r>
      <w:r>
        <w:t xml:space="preserve"> Las barreras a la participación ciudadana incluyen una amplia brecha entre las normas jurídicas y el ejercicio de mecanismos participativos regulados; dificultades para el acceso a información pública de calidad, de manera que esto se convierte en un impedimento para lograr una auditoría social y participación e incidencia informadas y propositivas; escasa sostenibilidad de los esfuerzos, particularmente cuando ocurren los cambios de gobierno; lucha de intereses entre actores políticos, que lleva muchas veces a desvirtuar la participación de la comunidad, personas y organizaciones sociales; y el desencanto social debido a los limitados resultados que algunos ejercicios de participación ciudadana producen. También se agregan la apatía, la desconfianza y el desinterés de la ciudadanía por lo que acontece en el sector público, expresados en la dificultad de conseguir suficientes participantes para los ejercicios de auditoría social; y la fragmentación de la ciudadanía, en especial cuando las organizaciones sociales defienden intereses contrapuestos, erosionando la participación y debilitando el tejido social. Como una última faceta del problema de la escasa participación ciudadana figura la realidad de una inclinación pragmática de segmentos de la ciudadanía con necesidades ingentes, en situación de pobreza extrema, o por simple conveniencia, a los cuales les resulta aceptable tolerar niveles «razonables» de corrupción, siempre y cuando obtengan algún beneficio.</w:t>
      </w:r>
    </w:p>
    <w:p w14:paraId="4EE594B3" w14:textId="77777777" w:rsidR="005E7732" w:rsidRPr="005E7732" w:rsidRDefault="005E7732" w:rsidP="005E7732">
      <w:pPr>
        <w:pStyle w:val="ListParagraph"/>
        <w:jc w:val="both"/>
      </w:pPr>
    </w:p>
    <w:p w14:paraId="588663C1" w14:textId="77777777" w:rsidR="00410CD1" w:rsidRDefault="00410CD1" w:rsidP="0012786E">
      <w:pPr>
        <w:pStyle w:val="ListParagraph"/>
        <w:numPr>
          <w:ilvl w:val="0"/>
          <w:numId w:val="1"/>
        </w:numPr>
        <w:jc w:val="both"/>
      </w:pPr>
      <w:r w:rsidRPr="0012786E">
        <w:rPr>
          <w:b/>
        </w:rPr>
        <w:t>Conflictos de intereses.</w:t>
      </w:r>
      <w:r>
        <w:t xml:space="preserve"> La falta de regulación en la materia aplicable a todos los servidores públicos ha provocado que, en casos notorios, expuestos a la opinión pública por los medios de comunicación, las decisiones públicas se cuestionen pero no se puedan revertir, y que los funcionarios se limiten a minimizar o desmentir que sus actuaciones constituyan conflictos de esta naturaleza. Debido a que estos conflictos pueden surgir por intereses financieros y no financieros, en otras palabras, pueden concretarse por el uso del tiempo (actividades pre empleo y actividades postempleo), pertenencia a ciertas asociaciones, relaciones familiares o de amistad, ejercicio de otras actividades, relaciones con sectores afectados, contraviniendo el principio de probidad administrativa, es un peligro que se mantengan brechas que posibiliten la distorsión en el funcionamiento de los deberes y responsabilidades de los servidores públicos.</w:t>
      </w:r>
    </w:p>
    <w:p w14:paraId="36ADBCF4" w14:textId="77777777" w:rsidR="005E7732" w:rsidRPr="005E7732" w:rsidRDefault="005E7732" w:rsidP="005E7732">
      <w:pPr>
        <w:pStyle w:val="ListParagraph"/>
        <w:jc w:val="both"/>
      </w:pPr>
    </w:p>
    <w:p w14:paraId="4236AE50" w14:textId="77777777" w:rsidR="00410CD1" w:rsidRDefault="00410CD1" w:rsidP="0012786E">
      <w:pPr>
        <w:pStyle w:val="ListParagraph"/>
        <w:numPr>
          <w:ilvl w:val="0"/>
          <w:numId w:val="1"/>
        </w:numPr>
        <w:jc w:val="both"/>
      </w:pPr>
      <w:r w:rsidRPr="0012786E">
        <w:rPr>
          <w:b/>
        </w:rPr>
        <w:t>Impunidad.</w:t>
      </w:r>
      <w:r>
        <w:t xml:space="preserve"> Representa la posibilidad de que una persona pueda cometer un delito, de cualquier naturaleza, incluyendo aquellos relacionados con actos de corrupción, y quedar sin castigo. Un estudio publicado por la Cicig</w:t>
      </w:r>
      <w:r w:rsidR="003D439C">
        <w:t xml:space="preserve"> —siguiendo lo prescrito por la Comisión de los Derechos Humanos de las Naciones Unidas—, </w:t>
      </w:r>
      <w:r>
        <w:t>la definió como la «falta de denuncia, investigación, captura, enjuiciamiento, soluciones positivas para las víctimas y/o condena de los responsables de los delitos tipificados en la legislación de Guatemala».</w:t>
      </w:r>
      <w:r w:rsidR="0012786E">
        <w:rPr>
          <w:rStyle w:val="FootnoteReference"/>
        </w:rPr>
        <w:footnoteReference w:id="15"/>
      </w:r>
      <w:r>
        <w:t xml:space="preserve"> Como resultado, la impunidad conduce a la pérdida de confianza de la ciudadanía en las instituciones democráticas. De acuerdo con la Oficina en</w:t>
      </w:r>
      <w:r w:rsidR="0012786E">
        <w:t xml:space="preserve"> Washington para América Latina</w:t>
      </w:r>
      <w:r w:rsidR="003D439C">
        <w:t xml:space="preserve"> (Wola, por sus siglas en inglés)</w:t>
      </w:r>
      <w:r>
        <w:t xml:space="preserve"> </w:t>
      </w:r>
      <w:r w:rsidR="00AC1950">
        <w:t>«</w:t>
      </w:r>
      <w:r>
        <w:t>Centroamérica es un buen ejemplo de una región en donde la debilidad de las instituciones de seguridad y justicia y su corrupción por actores criminales y políticos ha dejado al Estado sin la capacidad de responder a la violencia y criminalidad o atender los factores estructurales que están detrás de estos flagelos.</w:t>
      </w:r>
      <w:r w:rsidR="00AC1950">
        <w:t>»</w:t>
      </w:r>
      <w:r w:rsidR="0012786E">
        <w:rPr>
          <w:rStyle w:val="FootnoteReference"/>
        </w:rPr>
        <w:footnoteReference w:id="16"/>
      </w:r>
      <w:r>
        <w:t xml:space="preserve"> </w:t>
      </w:r>
    </w:p>
    <w:p w14:paraId="46CA0C74" w14:textId="77777777" w:rsidR="005559C0" w:rsidRDefault="001B6725" w:rsidP="005559C0">
      <w:pPr>
        <w:jc w:val="both"/>
      </w:pPr>
      <w:r>
        <w:t xml:space="preserve">Para estudiar la corrupción en el Estado de Guatemala, se puede recurrir a los </w:t>
      </w:r>
      <w:r w:rsidR="005559C0">
        <w:t xml:space="preserve">numerosos casos de alto impacto presentados ante los tribunales por el Ministerio Público y la Cicig. La abundante documentación disponible </w:t>
      </w:r>
      <w:r>
        <w:t>permite advertir siete categorías ge</w:t>
      </w:r>
      <w:r w:rsidR="005559C0">
        <w:t>nerales</w:t>
      </w:r>
      <w:r>
        <w:t xml:space="preserve"> de corrupción</w:t>
      </w:r>
      <w:r w:rsidR="005559C0">
        <w:t>:</w:t>
      </w:r>
    </w:p>
    <w:p w14:paraId="504C8C5D" w14:textId="77777777" w:rsidR="005559C0" w:rsidRDefault="005559C0" w:rsidP="001B6725">
      <w:pPr>
        <w:pStyle w:val="ListParagraph"/>
        <w:numPr>
          <w:ilvl w:val="1"/>
          <w:numId w:val="3"/>
        </w:numPr>
        <w:jc w:val="both"/>
      </w:pPr>
      <w:r>
        <w:t>Captura de instituciones</w:t>
      </w:r>
    </w:p>
    <w:p w14:paraId="23B1BDE7" w14:textId="77777777" w:rsidR="005559C0" w:rsidRDefault="005559C0" w:rsidP="001B6725">
      <w:pPr>
        <w:pStyle w:val="ListParagraph"/>
        <w:numPr>
          <w:ilvl w:val="1"/>
          <w:numId w:val="3"/>
        </w:numPr>
        <w:jc w:val="both"/>
      </w:pPr>
      <w:r>
        <w:t>Casos de defraudación aduanera y tributaria</w:t>
      </w:r>
    </w:p>
    <w:p w14:paraId="74CF12E4" w14:textId="77777777" w:rsidR="005559C0" w:rsidRDefault="005559C0" w:rsidP="001B6725">
      <w:pPr>
        <w:pStyle w:val="ListParagraph"/>
        <w:numPr>
          <w:ilvl w:val="1"/>
          <w:numId w:val="3"/>
        </w:numPr>
        <w:jc w:val="both"/>
      </w:pPr>
      <w:r>
        <w:t>Casos de corrupción administrativa</w:t>
      </w:r>
    </w:p>
    <w:p w14:paraId="4714BC13" w14:textId="77777777" w:rsidR="005559C0" w:rsidRDefault="005559C0" w:rsidP="001B6725">
      <w:pPr>
        <w:pStyle w:val="ListParagraph"/>
        <w:numPr>
          <w:ilvl w:val="1"/>
          <w:numId w:val="3"/>
        </w:numPr>
        <w:jc w:val="both"/>
      </w:pPr>
      <w:r>
        <w:t>Casos de corrupción en las adquisiciones públicas que afectan el derecho a la salud</w:t>
      </w:r>
    </w:p>
    <w:p w14:paraId="017FF980" w14:textId="77777777" w:rsidR="005559C0" w:rsidRDefault="005559C0" w:rsidP="001B6725">
      <w:pPr>
        <w:pStyle w:val="ListParagraph"/>
        <w:numPr>
          <w:ilvl w:val="1"/>
          <w:numId w:val="3"/>
        </w:numPr>
        <w:jc w:val="both"/>
      </w:pPr>
      <w:r>
        <w:t>Casos de tráfico de influencias, enriquecimiento ilícito y «plazas fantasma»</w:t>
      </w:r>
    </w:p>
    <w:p w14:paraId="259359C0" w14:textId="77777777" w:rsidR="005559C0" w:rsidRDefault="005559C0" w:rsidP="001B6725">
      <w:pPr>
        <w:pStyle w:val="ListParagraph"/>
        <w:numPr>
          <w:ilvl w:val="1"/>
          <w:numId w:val="3"/>
        </w:numPr>
        <w:jc w:val="both"/>
      </w:pPr>
      <w:r>
        <w:t>Casos de corrupción judicial</w:t>
      </w:r>
    </w:p>
    <w:p w14:paraId="20E6E1B6" w14:textId="77777777" w:rsidR="005559C0" w:rsidRDefault="005559C0" w:rsidP="001B6725">
      <w:pPr>
        <w:pStyle w:val="ListParagraph"/>
        <w:numPr>
          <w:ilvl w:val="1"/>
          <w:numId w:val="3"/>
        </w:numPr>
        <w:jc w:val="both"/>
      </w:pPr>
      <w:r>
        <w:t>Casos de corrupción en el ámbito municipal</w:t>
      </w:r>
    </w:p>
    <w:p w14:paraId="546DC29E" w14:textId="77777777" w:rsidR="005559C0" w:rsidRDefault="005559C0" w:rsidP="005559C0">
      <w:pPr>
        <w:jc w:val="both"/>
      </w:pPr>
      <w:r>
        <w:t xml:space="preserve">Los casos </w:t>
      </w:r>
      <w:r w:rsidR="001B6725">
        <w:t xml:space="preserve">conocidos </w:t>
      </w:r>
      <w:r>
        <w:t xml:space="preserve">confirman </w:t>
      </w:r>
      <w:r w:rsidR="001B6725">
        <w:t>que en el Estado guatemalteco</w:t>
      </w:r>
      <w:r>
        <w:t xml:space="preserve"> la corrupción ha afectado con severidad todos los niveles del sector público y a los tres poderes del Estado. </w:t>
      </w:r>
      <w:r w:rsidR="001B6725">
        <w:t>A</w:t>
      </w:r>
      <w:r>
        <w:t xml:space="preserve">unque hasta la fecha los documentos y fuentes de información sobre las investigaciones de la Cicig y el Ministerio Público abundan en detalles y aspectos técnicos propios de </w:t>
      </w:r>
      <w:r w:rsidR="001B6725">
        <w:t>l</w:t>
      </w:r>
      <w:r>
        <w:t xml:space="preserve">os estándares internacionales </w:t>
      </w:r>
      <w:r w:rsidR="001B6725">
        <w:t>de investigación criminalística</w:t>
      </w:r>
      <w:r>
        <w:t xml:space="preserve">, muchos no incluyen montos totales defraudados o involucrados. </w:t>
      </w:r>
    </w:p>
    <w:p w14:paraId="11D01223" w14:textId="77777777" w:rsidR="001B6725" w:rsidRDefault="005559C0" w:rsidP="005559C0">
      <w:pPr>
        <w:jc w:val="both"/>
      </w:pPr>
      <w:r>
        <w:t>No obstante, en el informe de investigación La corrupción, sus caminos, su impacto en la sociedad y una agenda para su eliminación, el Icefi propuso una herramienta técnica que proveyó un insumo indicativo que ayudara a ilustrar la magnitud de los costos económicos y sociales de la corrupción en Guatemala. En ese trabajo, el Icefi partió del análisis de los casos emblemáticos de corrupción para identificar los rubros del presupuesto general de ingresos y egresos del Estado que se consideraran más expuestos o vulnerables a la corrupción.</w:t>
      </w:r>
      <w:r w:rsidR="00F6492C">
        <w:rPr>
          <w:rStyle w:val="FootnoteReference"/>
        </w:rPr>
        <w:footnoteReference w:id="17"/>
      </w:r>
      <w:r>
        <w:t xml:space="preserve"> </w:t>
      </w:r>
    </w:p>
    <w:p w14:paraId="765485B4" w14:textId="77777777" w:rsidR="005559C0" w:rsidRDefault="001B6725" w:rsidP="005559C0">
      <w:pPr>
        <w:jc w:val="both"/>
      </w:pPr>
      <w:r>
        <w:t>En ese sentido, s</w:t>
      </w:r>
      <w:r w:rsidR="005559C0">
        <w:t>e identificaron las asignaciones de gasto aprobadas para 2015 en esos rubros expuestos, para luego aplicar un supuesto técnico de pérdida por corrupción. En ese trabajo, se consideró que, en promedio, el 20</w:t>
      </w:r>
      <w:r>
        <w:t>.0</w:t>
      </w:r>
      <w:r w:rsidR="005559C0">
        <w:t>% de las cantidades evaluadas no se destina a su propósito original debido a la corrupción. Aunque este es un supuesto sin un fundamento técnico sólido, guarda cierta consistencia con el nivel de comisiones ilícitas o sobornos mencionados en los casos relevantes analizados.</w:t>
      </w:r>
      <w:r>
        <w:t xml:space="preserve">  </w:t>
      </w:r>
      <w:r w:rsidR="005559C0">
        <w:t xml:space="preserve">Se insiste en cuanto a que este es un supuesto técnico, es decir, una herramienta que permite evaluar y hacer comparaciones, pero en cuyo uso perfectamente puede aplicarse el 15 o el 25%, o cualquier otro porcentaje. </w:t>
      </w:r>
    </w:p>
    <w:p w14:paraId="239A450D" w14:textId="77777777" w:rsidR="005559C0" w:rsidRDefault="005559C0" w:rsidP="005559C0">
      <w:pPr>
        <w:jc w:val="both"/>
      </w:pPr>
      <w:r>
        <w:t>Usando los resultados que el Icefi obtuvo al aplicar el supuesto técnico de que la pérdida fiscal por corrupción en los rubros considerados vulnerables o expuestos a la corrupción en el Presupuesto General de Ingresos y Egresos del Estado para el Ejercicio Fiscal 2015 fue del 2</w:t>
      </w:r>
      <w:r w:rsidR="00DE2640">
        <w:t>0</w:t>
      </w:r>
      <w:r w:rsidR="001B6725">
        <w:t>.</w:t>
      </w:r>
      <w:r>
        <w:t>0% del total.</w:t>
      </w:r>
      <w:r w:rsidR="00DE2640">
        <w:t xml:space="preserve"> D</w:t>
      </w:r>
      <w:r>
        <w:t>ichos costos se comparan con rubros prioritarios del presupuesto, en especial, los ministerios de Salud Pública y Asistencia Social, Gobernación, Cultura y Deportes, de Desarrollo Social, de Educación, y de Trabajo y Previsión Social.</w:t>
      </w:r>
    </w:p>
    <w:p w14:paraId="7057C488" w14:textId="77777777" w:rsidR="005559C0" w:rsidRDefault="005559C0" w:rsidP="005559C0">
      <w:pPr>
        <w:jc w:val="both"/>
      </w:pPr>
      <w:r>
        <w:t>Así, con esta metodología, el 20</w:t>
      </w:r>
      <w:r w:rsidR="00DE2640">
        <w:t>.0</w:t>
      </w:r>
      <w:r>
        <w:t xml:space="preserve">% de los Q11,514 millones asignados en 2015 al CIV, las municipalidades y los </w:t>
      </w:r>
      <w:r w:rsidR="00DE2640">
        <w:t>C</w:t>
      </w:r>
      <w:r>
        <w:t>onsejos departamentales de desarrollo, que a la luz de los casos relevantes analizados efectivamente han demostrado ser vulnerables o expuestos a la corrupción, equivale a daños sociales como los siguientes:</w:t>
      </w:r>
    </w:p>
    <w:p w14:paraId="721B9A2D" w14:textId="77777777" w:rsidR="005559C0" w:rsidRDefault="005559C0" w:rsidP="005559C0">
      <w:pPr>
        <w:jc w:val="both"/>
      </w:pPr>
      <w:r>
        <w:t>-</w:t>
      </w:r>
      <w:r>
        <w:tab/>
        <w:t>En materia de educación: que 2.6 millones de niños y niñas de los niveles preprimario y primario no reciban alimentación ni útiles escolares.</w:t>
      </w:r>
    </w:p>
    <w:p w14:paraId="27F6AB75" w14:textId="77777777" w:rsidR="005559C0" w:rsidRDefault="005559C0" w:rsidP="005559C0">
      <w:pPr>
        <w:jc w:val="both"/>
      </w:pPr>
      <w:r>
        <w:t>-</w:t>
      </w:r>
      <w:r>
        <w:tab/>
        <w:t>En materia de protección social: que se dejen de entregar 1.2 millones de aportes económicos a los adultos mayores, y 2.9 millones de aportes económicos a familias con niños y niñas menores de 5 años, mujeres embarazadas o en período de lactancia, por concepto del bono de salud.</w:t>
      </w:r>
    </w:p>
    <w:p w14:paraId="3D1C6BC4" w14:textId="77777777" w:rsidR="005559C0" w:rsidRDefault="005559C0" w:rsidP="005559C0">
      <w:pPr>
        <w:jc w:val="both"/>
      </w:pPr>
      <w:r>
        <w:t>-</w:t>
      </w:r>
      <w:r>
        <w:tab/>
        <w:t>En materia de salud y nutrición: que más de 400,000 niños y niñas de 1 a 5 años no reciban los refuerzos de vacunación; que el monitoreo de crecimiento de 1.4 millones de niños y niñas menores de 5 años no se lleve a cabo; que 1.2 millones de niños y niñas menores de 5 años carezca de atención médica por causa de infección respiratoria aguda; y que 1.2 millones de personas carezcan de acceso a atención médica por accidentes y violencia.</w:t>
      </w:r>
    </w:p>
    <w:p w14:paraId="065F03E4" w14:textId="77777777" w:rsidR="005559C0" w:rsidRDefault="005559C0" w:rsidP="005559C0">
      <w:pPr>
        <w:jc w:val="both"/>
      </w:pPr>
      <w:r>
        <w:t>En el segundo caso, el 20% de los Q5,891</w:t>
      </w:r>
      <w:r w:rsidR="00DE2640">
        <w:t>.0</w:t>
      </w:r>
      <w:r>
        <w:t xml:space="preserve"> millones asignados en 2015 a los rubros vulnerables a la corrupción en las adquisiciones públicas y el contrato abierto de medicamentos equivalen a los daños sociales siguientes:</w:t>
      </w:r>
    </w:p>
    <w:p w14:paraId="0624F276" w14:textId="77777777" w:rsidR="005559C0" w:rsidRDefault="005559C0" w:rsidP="005559C0">
      <w:pPr>
        <w:jc w:val="both"/>
      </w:pPr>
      <w:r>
        <w:t>-</w:t>
      </w:r>
      <w:r>
        <w:tab/>
        <w:t>En materia de educación: que 22,000 estudiantes de nivel diversificado con formación para maestros dejen de ser atendidos por el sistema educativo y que cerca de un millón de estudiantes del nivel preprimario no reciban la dotación de cuadernos de trabajo para el año escolar.</w:t>
      </w:r>
    </w:p>
    <w:p w14:paraId="527647EC" w14:textId="77777777" w:rsidR="005559C0" w:rsidRDefault="005559C0" w:rsidP="005559C0">
      <w:pPr>
        <w:jc w:val="both"/>
      </w:pPr>
      <w:r>
        <w:t>-</w:t>
      </w:r>
      <w:r>
        <w:tab/>
        <w:t>En materia de salud y nutrición: que más de 500,000 mujeres carezcan de atención prenatal oportuna; que más de 300,000 mujeres dejen de recibir atención del parto por personal calificado; que cerca de 20,000 niños y niñas menores de cinco años no reciban el diagnóstico y tratamiento por desnutrición aguda; que 1.2 millones de niñas y niños menores de cinco años no reciban suplementos de micronutrientes; que se deje de brindar alimentación complementaria de Vitacereal a más de 700,000 niños y niñas mayores de 6 meses pero menores de 24, madres lactantes y mujeres embarazadas; y que más de 700,000 niños y niñas mayores de dos años pero menores de cinco no cuenten con tratamientos para desparasitación. También, que 7.9 millones de personas dejen de ser beneficiadas con acciones de prevención, control y vigilancia de la malaria y del dengue.</w:t>
      </w:r>
    </w:p>
    <w:p w14:paraId="1EB20546" w14:textId="77777777" w:rsidR="005559C0" w:rsidRDefault="005559C0" w:rsidP="005559C0">
      <w:pPr>
        <w:jc w:val="both"/>
      </w:pPr>
      <w:r>
        <w:t>-</w:t>
      </w:r>
      <w:r>
        <w:tab/>
        <w:t>En materia de protección social: que se dejen de entregar más de 5,000 becas de educación media destinadas a adolescentes y jóvenes (hombres y mujeres) en situación de riesgo y vulnerabilidad social; que ya no se realicen talleres y eventos de educación no formal dirigidos a 50,000 adolescentes y jóvenes en situación de riesgo y vulnerabilidad social; que cerca de un millón de bolsas de alimentos ya no se distribuyan entre familias que viven en pobreza y pobreza extrema o sufren de emergencia, crisis o conflictos sociales; que se eliminen 1.7 millones de aportes por concepto de bono de educación a familias con niños, niñas y adolescentes de 6 a 15 años; y que se deje de brindar atención integral en hogares comunitarios a 17,000 niños y niñas de 0 a 6 años en situación de pobreza y pobreza extrema.</w:t>
      </w:r>
    </w:p>
    <w:p w14:paraId="2E810E6B" w14:textId="77777777" w:rsidR="005559C0" w:rsidRDefault="005559C0" w:rsidP="005559C0">
      <w:pPr>
        <w:jc w:val="both"/>
      </w:pPr>
      <w:r>
        <w:t>-</w:t>
      </w:r>
      <w:r>
        <w:tab/>
        <w:t>En materia de cultura y deportes: que 11.2 millones de personas dejen de ser beneficiadas con actividades deportivas no escolares, no federadas y de recreación.</w:t>
      </w:r>
    </w:p>
    <w:p w14:paraId="2812FD5C" w14:textId="77777777" w:rsidR="005559C0" w:rsidRDefault="005559C0" w:rsidP="005559C0">
      <w:pPr>
        <w:jc w:val="both"/>
      </w:pPr>
      <w:r>
        <w:t>Por último, el 20</w:t>
      </w:r>
      <w:r w:rsidR="001B6725">
        <w:t>.0</w:t>
      </w:r>
      <w:r>
        <w:t>% de los Q3,409</w:t>
      </w:r>
      <w:r w:rsidR="001B6725">
        <w:t>.0</w:t>
      </w:r>
      <w:r>
        <w:t xml:space="preserve"> millones asignados en 2015 a la ejecución mediante fideicomisos públicos equivale a los daños sociales siguientes:</w:t>
      </w:r>
    </w:p>
    <w:p w14:paraId="7B8E67C4" w14:textId="77777777" w:rsidR="005559C0" w:rsidRDefault="005559C0" w:rsidP="005559C0">
      <w:pPr>
        <w:jc w:val="both"/>
      </w:pPr>
      <w:r>
        <w:t>-</w:t>
      </w:r>
      <w:r>
        <w:tab/>
        <w:t>En materia de educación: que se dejen de producir y entregar cerca de 300,000 libros escolares para el nivel de educación primaria bilingüe intercultural; que más de 100,000 estudiantes del ciclo básico vía telesecundaria dejen de ser atendidos por el sistema escolar; y que más de 100,000 docentes de los niveles preprimario y primario carezcan de la valija didáctica.</w:t>
      </w:r>
    </w:p>
    <w:p w14:paraId="212FD6FF" w14:textId="77777777" w:rsidR="005559C0" w:rsidRDefault="005559C0" w:rsidP="005559C0">
      <w:pPr>
        <w:jc w:val="both"/>
      </w:pPr>
      <w:r>
        <w:t>-</w:t>
      </w:r>
      <w:r>
        <w:tab/>
        <w:t>En materia de protección social: que más de 3,000 adolescentes y jóvenes dejen de recibir el beneficio de becas de educación superior, empleo y «Becas Artesano».</w:t>
      </w:r>
    </w:p>
    <w:p w14:paraId="4357B3CD" w14:textId="77777777" w:rsidR="005559C0" w:rsidRDefault="005559C0" w:rsidP="005559C0">
      <w:pPr>
        <w:jc w:val="both"/>
      </w:pPr>
      <w:r>
        <w:t>-</w:t>
      </w:r>
      <w:r>
        <w:tab/>
        <w:t>En materia de salud y nutrición: que se deje de vacunar a más de un millón de niños y niñas de 0 a 1 año, de acuerdo con su edad y según el esquema de vacunación vigente; que ya no se brinde consejería sobre prácticas para el cuidado infantil a 1.3 millones de madres de niños y niñas menores de 5 años; y que 1.2 millones de personas carezcan de acceso a métodos de planificación familiar.</w:t>
      </w:r>
    </w:p>
    <w:p w14:paraId="16999E09" w14:textId="77777777" w:rsidR="005559C0" w:rsidRDefault="005559C0" w:rsidP="005559C0">
      <w:pPr>
        <w:jc w:val="both"/>
      </w:pPr>
      <w:r>
        <w:t>-</w:t>
      </w:r>
      <w:r>
        <w:tab/>
        <w:t>En materia de seguridad: que más de 80,000 jóvenes dejen de participar en actividades de prevención de la violencia, y que más de 9,000 policías ya no participen en actividades de formación y especialización.</w:t>
      </w:r>
    </w:p>
    <w:p w14:paraId="1E507B97" w14:textId="77777777" w:rsidR="00EC0251" w:rsidRDefault="005559C0" w:rsidP="005559C0">
      <w:pPr>
        <w:jc w:val="both"/>
      </w:pPr>
      <w:r>
        <w:t>Sin pretender defender el rigor del supuesto del 20%, este ejercicio muestra con claridad que los costos fiscales de la corrupción en Guatemala equivalen a un golpe enorme para los grupos sociales más vulnerables y para garantizar la plena vigencia de los derechos humanos en este país.</w:t>
      </w:r>
    </w:p>
    <w:p w14:paraId="10A20BCD" w14:textId="77777777" w:rsidR="00EC0251" w:rsidRPr="00341AE2" w:rsidRDefault="00341AE2" w:rsidP="00CE7332">
      <w:pPr>
        <w:pStyle w:val="Heading2"/>
      </w:pPr>
      <w:bookmarkStart w:id="9" w:name="_Toc47694499"/>
      <w:r w:rsidRPr="00341AE2">
        <w:t>Recomendaciones</w:t>
      </w:r>
      <w:r w:rsidR="00CE7332">
        <w:t xml:space="preserve"> para avanzar hacia un Estado </w:t>
      </w:r>
      <w:r w:rsidR="00947324">
        <w:t xml:space="preserve">que garantice </w:t>
      </w:r>
      <w:r w:rsidR="00CE7332">
        <w:t>los derechos humanos</w:t>
      </w:r>
      <w:bookmarkEnd w:id="9"/>
    </w:p>
    <w:p w14:paraId="33AB76F0" w14:textId="77777777" w:rsidR="00947324" w:rsidRDefault="00947324" w:rsidP="00947324">
      <w:pPr>
        <w:jc w:val="both"/>
      </w:pPr>
      <w:r>
        <w:t xml:space="preserve">Los problemas descritos a lo largo de este informe, se están exacerbando por los los efectos del Covid-19. El Icefi, </w:t>
      </w:r>
      <w:r w:rsidRPr="00947324">
        <w:t>proyecta que la crisis podría</w:t>
      </w:r>
      <w:r>
        <w:t>,</w:t>
      </w:r>
      <w:r w:rsidRPr="00947324">
        <w:t xml:space="preserve"> en 2020</w:t>
      </w:r>
      <w:r>
        <w:t xml:space="preserve">, </w:t>
      </w:r>
      <w:r w:rsidRPr="00947324">
        <w:t xml:space="preserve">provocar </w:t>
      </w:r>
      <w:r>
        <w:t>una caída del producto inter</w:t>
      </w:r>
      <w:r w:rsidR="008629D0">
        <w:t>no bruto, de hasta 4.7</w:t>
      </w:r>
      <w:r>
        <w:t xml:space="preserve">%, </w:t>
      </w:r>
      <w:r w:rsidRPr="00947324">
        <w:t xml:space="preserve">la pérdida de </w:t>
      </w:r>
      <w:r w:rsidR="008629D0">
        <w:t xml:space="preserve">entre 376,160 y </w:t>
      </w:r>
      <w:r w:rsidRPr="00947324">
        <w:t>555,000 empleos y el incremento de 1.2 millones de guatemaltecos en condiciones de pobreza</w:t>
      </w:r>
      <w:r w:rsidR="008629D0">
        <w:t>, afectando principalmente a la población rural e indígena</w:t>
      </w:r>
      <w:r>
        <w:t>.</w:t>
      </w:r>
      <w:r>
        <w:rPr>
          <w:rStyle w:val="FootnoteReference"/>
        </w:rPr>
        <w:footnoteReference w:id="18"/>
      </w:r>
      <w:r>
        <w:t xml:space="preserve"> </w:t>
      </w:r>
      <w:r w:rsidRPr="00947324">
        <w:t xml:space="preserve"> </w:t>
      </w:r>
      <w:r>
        <w:t>Este escenario advierte un retroceso en el largo y arduo camino para s</w:t>
      </w:r>
      <w:r w:rsidR="008629D0">
        <w:t>uperar las trampas del</w:t>
      </w:r>
      <w:r>
        <w:t xml:space="preserve"> subdesarrollo y cumplir con los derechos humanos.   </w:t>
      </w:r>
    </w:p>
    <w:p w14:paraId="53FEA942" w14:textId="77777777" w:rsidR="008629D0" w:rsidRDefault="008629D0" w:rsidP="008629D0">
      <w:pPr>
        <w:spacing w:after="0" w:line="240" w:lineRule="auto"/>
        <w:jc w:val="center"/>
      </w:pPr>
      <w:r>
        <w:t>Gráfica</w:t>
      </w:r>
    </w:p>
    <w:p w14:paraId="6BB01B2C" w14:textId="77777777" w:rsidR="008629D0" w:rsidRDefault="008629D0" w:rsidP="008629D0">
      <w:pPr>
        <w:spacing w:after="0" w:line="240" w:lineRule="auto"/>
        <w:jc w:val="center"/>
      </w:pPr>
      <w:r w:rsidRPr="008629D0">
        <w:t>Aumento de</w:t>
      </w:r>
      <w:r>
        <w:t xml:space="preserve"> personas en</w:t>
      </w:r>
      <w:r w:rsidRPr="008629D0">
        <w:t xml:space="preserve"> pobreza </w:t>
      </w:r>
      <w:r>
        <w:t xml:space="preserve">en </w:t>
      </w:r>
      <w:r w:rsidRPr="008629D0">
        <w:t>2020,</w:t>
      </w:r>
      <w:r>
        <w:t xml:space="preserve"> ante la</w:t>
      </w:r>
      <w:r w:rsidRPr="008629D0">
        <w:t xml:space="preserve"> pérdida de ingresos por cuatro meses</w:t>
      </w:r>
    </w:p>
    <w:p w14:paraId="5E0F4ACA" w14:textId="77777777" w:rsidR="008629D0" w:rsidRDefault="008629D0" w:rsidP="008629D0">
      <w:pPr>
        <w:jc w:val="center"/>
      </w:pPr>
      <w:r w:rsidRPr="008629D0">
        <w:rPr>
          <w:noProof/>
          <w:lang w:val="en-GB" w:eastAsia="en-GB"/>
        </w:rPr>
        <w:drawing>
          <wp:inline distT="0" distB="0" distL="0" distR="0" wp14:anchorId="454CE8A2" wp14:editId="328557D5">
            <wp:extent cx="5221605" cy="2933700"/>
            <wp:effectExtent l="0" t="0" r="1714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B4FF21" w14:textId="77777777" w:rsidR="008629D0" w:rsidRDefault="008629D0" w:rsidP="005E7732">
      <w:pPr>
        <w:tabs>
          <w:tab w:val="left" w:pos="0"/>
        </w:tabs>
        <w:jc w:val="both"/>
      </w:pPr>
      <w:r w:rsidRPr="008629D0">
        <w:rPr>
          <w:sz w:val="20"/>
        </w:rPr>
        <w:t xml:space="preserve">Fuente: Icefi utilizando el método de </w:t>
      </w:r>
      <w:r w:rsidRPr="008629D0">
        <w:rPr>
          <w:i/>
          <w:sz w:val="20"/>
        </w:rPr>
        <w:t>Machine Learning</w:t>
      </w:r>
      <w:r w:rsidRPr="008629D0">
        <w:rPr>
          <w:sz w:val="20"/>
        </w:rPr>
        <w:t xml:space="preserve"> con base en datos del Censo2018 y Encovi2015</w:t>
      </w:r>
    </w:p>
    <w:p w14:paraId="39AC3D00" w14:textId="77777777" w:rsidR="008629D0" w:rsidRDefault="008629D0" w:rsidP="005E7732">
      <w:pPr>
        <w:tabs>
          <w:tab w:val="left" w:pos="0"/>
        </w:tabs>
        <w:jc w:val="both"/>
      </w:pPr>
      <w:r>
        <w:t xml:space="preserve">Es por ello que se hace las siguientes recomendaciones a los organismos Ejecutivo y Legislativo de Guatemala. </w:t>
      </w:r>
    </w:p>
    <w:p w14:paraId="1FAD02B1" w14:textId="77777777" w:rsidR="00AC4399" w:rsidRDefault="00351A1D" w:rsidP="005E7732">
      <w:pPr>
        <w:tabs>
          <w:tab w:val="left" w:pos="0"/>
        </w:tabs>
        <w:jc w:val="both"/>
      </w:pPr>
      <w:r>
        <w:t xml:space="preserve">Al </w:t>
      </w:r>
      <w:r w:rsidR="00AC4399">
        <w:t xml:space="preserve">gobierno </w:t>
      </w:r>
      <w:r w:rsidR="00947324">
        <w:t xml:space="preserve">de Guatemala, </w:t>
      </w:r>
      <w:r w:rsidR="00AC4399">
        <w:t xml:space="preserve">en particular al </w:t>
      </w:r>
      <w:r>
        <w:t>ministerio de Finanzas Públicas —ente rector de la política fiscal—</w:t>
      </w:r>
      <w:r w:rsidR="00AC4399">
        <w:t>:</w:t>
      </w:r>
    </w:p>
    <w:p w14:paraId="4B4D0409" w14:textId="77777777" w:rsidR="00351A1D" w:rsidRPr="00AC4399" w:rsidRDefault="00351A1D" w:rsidP="005E7732">
      <w:pPr>
        <w:pStyle w:val="ListParagraph"/>
        <w:numPr>
          <w:ilvl w:val="0"/>
          <w:numId w:val="7"/>
        </w:numPr>
        <w:tabs>
          <w:tab w:val="left" w:pos="0"/>
        </w:tabs>
        <w:jc w:val="both"/>
      </w:pPr>
      <w:r w:rsidRPr="00AC4399">
        <w:rPr>
          <w:szCs w:val="21"/>
        </w:rPr>
        <w:t xml:space="preserve">Elaborar y consensuar con la sociedad guatemalteca una hoja de ruta (técnica y política) cuyo objetivo sea revertir la aguda caída de la carga tributaria. Entre las medidas que debería contener esta hoja de ruta están las siguientes:  </w:t>
      </w:r>
    </w:p>
    <w:p w14:paraId="64A0AEE6" w14:textId="77777777" w:rsidR="00351A1D" w:rsidRDefault="00351A1D" w:rsidP="005E7732">
      <w:pPr>
        <w:pStyle w:val="ListParagraph"/>
        <w:numPr>
          <w:ilvl w:val="1"/>
          <w:numId w:val="7"/>
        </w:numPr>
        <w:spacing w:line="240" w:lineRule="auto"/>
        <w:jc w:val="both"/>
        <w:rPr>
          <w:szCs w:val="21"/>
        </w:rPr>
      </w:pPr>
      <w:r w:rsidRPr="00351A1D">
        <w:rPr>
          <w:szCs w:val="21"/>
        </w:rPr>
        <w:t>M</w:t>
      </w:r>
      <w:r w:rsidR="00CE7332" w:rsidRPr="005E7732">
        <w:rPr>
          <w:szCs w:val="21"/>
        </w:rPr>
        <w:t xml:space="preserve">odernizar </w:t>
      </w:r>
      <w:r w:rsidR="00CE7332" w:rsidRPr="00351A1D">
        <w:rPr>
          <w:szCs w:val="21"/>
        </w:rPr>
        <w:t xml:space="preserve">el marco legal y </w:t>
      </w:r>
      <w:r w:rsidR="00CE7332" w:rsidRPr="005E7732">
        <w:rPr>
          <w:szCs w:val="21"/>
        </w:rPr>
        <w:t>operativ</w:t>
      </w:r>
      <w:r w:rsidR="00CE7332" w:rsidRPr="00351A1D">
        <w:rPr>
          <w:szCs w:val="21"/>
        </w:rPr>
        <w:t>o</w:t>
      </w:r>
      <w:r w:rsidR="00CE7332" w:rsidRPr="005E7732">
        <w:rPr>
          <w:szCs w:val="21"/>
        </w:rPr>
        <w:t xml:space="preserve"> relacionad</w:t>
      </w:r>
      <w:r w:rsidR="00CE7332" w:rsidRPr="00351A1D">
        <w:rPr>
          <w:szCs w:val="21"/>
        </w:rPr>
        <w:t>o</w:t>
      </w:r>
      <w:r w:rsidR="00CE7332" w:rsidRPr="005E7732">
        <w:rPr>
          <w:szCs w:val="21"/>
        </w:rPr>
        <w:t xml:space="preserve"> con el control de precios de transferencia y la reducción de flujos ilícitos de capital</w:t>
      </w:r>
      <w:r w:rsidR="00952B46">
        <w:rPr>
          <w:szCs w:val="21"/>
        </w:rPr>
        <w:t>.</w:t>
      </w:r>
      <w:r w:rsidR="00CE7332" w:rsidRPr="005E7732">
        <w:rPr>
          <w:szCs w:val="21"/>
        </w:rPr>
        <w:t xml:space="preserve"> </w:t>
      </w:r>
    </w:p>
    <w:p w14:paraId="0362A166" w14:textId="77777777" w:rsidR="00351A1D" w:rsidRPr="00AC4399" w:rsidRDefault="00351A1D" w:rsidP="005E7732">
      <w:pPr>
        <w:pStyle w:val="ListParagraph"/>
        <w:numPr>
          <w:ilvl w:val="1"/>
          <w:numId w:val="7"/>
        </w:numPr>
        <w:spacing w:line="240" w:lineRule="auto"/>
        <w:jc w:val="both"/>
        <w:rPr>
          <w:szCs w:val="21"/>
        </w:rPr>
      </w:pPr>
      <w:r w:rsidRPr="00351A1D">
        <w:rPr>
          <w:szCs w:val="21"/>
        </w:rPr>
        <w:t>L</w:t>
      </w:r>
      <w:r w:rsidR="00CE7332" w:rsidRPr="00351A1D">
        <w:rPr>
          <w:szCs w:val="21"/>
        </w:rPr>
        <w:t>a SAT debe publicar y someter al escrutinio ciudadano su Plan Anual de Recauda</w:t>
      </w:r>
      <w:r w:rsidRPr="00351A1D">
        <w:rPr>
          <w:szCs w:val="21"/>
        </w:rPr>
        <w:t>ción, Control y Fiscalización</w:t>
      </w:r>
      <w:r w:rsidR="00CE7332" w:rsidRPr="00AC4399">
        <w:rPr>
          <w:szCs w:val="21"/>
        </w:rPr>
        <w:t xml:space="preserve">, </w:t>
      </w:r>
      <w:r w:rsidRPr="00AC4399">
        <w:rPr>
          <w:szCs w:val="21"/>
        </w:rPr>
        <w:t xml:space="preserve">incluyendo metas evaluables de reducción de </w:t>
      </w:r>
      <w:r w:rsidR="00CE7332" w:rsidRPr="00AC4399">
        <w:rPr>
          <w:szCs w:val="21"/>
        </w:rPr>
        <w:t>la evasión del IVA y del ISR</w:t>
      </w:r>
      <w:r w:rsidR="00952B46">
        <w:rPr>
          <w:szCs w:val="21"/>
        </w:rPr>
        <w:t>.</w:t>
      </w:r>
    </w:p>
    <w:p w14:paraId="79D6727C" w14:textId="77777777" w:rsidR="00CE7332" w:rsidRDefault="00351A1D" w:rsidP="005E7732">
      <w:pPr>
        <w:pStyle w:val="ListParagraph"/>
        <w:numPr>
          <w:ilvl w:val="1"/>
          <w:numId w:val="7"/>
        </w:numPr>
        <w:spacing w:line="240" w:lineRule="auto"/>
        <w:jc w:val="both"/>
        <w:rPr>
          <w:szCs w:val="21"/>
        </w:rPr>
      </w:pPr>
      <w:r w:rsidRPr="00351A1D">
        <w:rPr>
          <w:szCs w:val="21"/>
        </w:rPr>
        <w:t>Liderar una estrategia integral para c</w:t>
      </w:r>
      <w:r w:rsidR="00CE7332" w:rsidRPr="005E7732">
        <w:rPr>
          <w:szCs w:val="21"/>
        </w:rPr>
        <w:t>ombatir con mayor eficacia el contrabando y la informalidad</w:t>
      </w:r>
      <w:r w:rsidR="00952B46">
        <w:rPr>
          <w:szCs w:val="21"/>
        </w:rPr>
        <w:t>.</w:t>
      </w:r>
      <w:r w:rsidR="00CE7332" w:rsidRPr="005E7732">
        <w:rPr>
          <w:szCs w:val="21"/>
        </w:rPr>
        <w:t xml:space="preserve"> </w:t>
      </w:r>
    </w:p>
    <w:p w14:paraId="32F2F43C" w14:textId="77777777" w:rsidR="00457FAC" w:rsidRDefault="00457FAC" w:rsidP="005E7732">
      <w:pPr>
        <w:pStyle w:val="ListParagraph"/>
        <w:numPr>
          <w:ilvl w:val="1"/>
          <w:numId w:val="7"/>
        </w:numPr>
        <w:spacing w:line="240" w:lineRule="auto"/>
        <w:jc w:val="both"/>
        <w:rPr>
          <w:szCs w:val="21"/>
        </w:rPr>
      </w:pPr>
      <w:r>
        <w:rPr>
          <w:szCs w:val="21"/>
        </w:rPr>
        <w:t xml:space="preserve">Estudiar y publicar un análisis sobre los avances y retrocesos con respecto a los acuerdos alcanzados por la sociedad guatemalteca en el Pacto Fiscal. </w:t>
      </w:r>
    </w:p>
    <w:p w14:paraId="2D907EEF" w14:textId="77777777" w:rsidR="008D0032" w:rsidRDefault="008D0032" w:rsidP="005E7732">
      <w:pPr>
        <w:pStyle w:val="ListParagraph"/>
        <w:numPr>
          <w:ilvl w:val="1"/>
          <w:numId w:val="7"/>
        </w:numPr>
        <w:spacing w:line="240" w:lineRule="auto"/>
        <w:jc w:val="both"/>
        <w:rPr>
          <w:szCs w:val="21"/>
        </w:rPr>
      </w:pPr>
      <w:r>
        <w:rPr>
          <w:szCs w:val="21"/>
        </w:rPr>
        <w:t>Elaborar y publicar un estudio técnico, en conjunto con el ministerio de Economía, que evalúe el costo y la efectividad de los regímenes tributarios que mediante tratamientos diferenciados, disminuyen los recursos del Estado. Con base en este estudio, promover reformas legales que disminuyan el gasto tributario</w:t>
      </w:r>
      <w:r w:rsidR="00952B46">
        <w:rPr>
          <w:szCs w:val="21"/>
        </w:rPr>
        <w:t>.</w:t>
      </w:r>
    </w:p>
    <w:p w14:paraId="1B626833" w14:textId="77777777" w:rsidR="00952B46" w:rsidRDefault="00952B46" w:rsidP="005E7732">
      <w:pPr>
        <w:pStyle w:val="ListParagraph"/>
        <w:numPr>
          <w:ilvl w:val="1"/>
          <w:numId w:val="7"/>
        </w:numPr>
        <w:spacing w:line="240" w:lineRule="auto"/>
        <w:jc w:val="both"/>
        <w:rPr>
          <w:szCs w:val="21"/>
        </w:rPr>
      </w:pPr>
      <w:r>
        <w:rPr>
          <w:szCs w:val="21"/>
        </w:rPr>
        <w:t>Evitar la promoción de nuevos incentivos tributarios sin contar con estudios técnicos e independientes que evalúen sus costos y beneficios.</w:t>
      </w:r>
    </w:p>
    <w:p w14:paraId="29442A0C" w14:textId="77777777" w:rsidR="00947324" w:rsidRDefault="00947324" w:rsidP="005E7732">
      <w:pPr>
        <w:pStyle w:val="ListParagraph"/>
        <w:numPr>
          <w:ilvl w:val="1"/>
          <w:numId w:val="7"/>
        </w:numPr>
        <w:spacing w:line="240" w:lineRule="auto"/>
        <w:jc w:val="both"/>
        <w:rPr>
          <w:szCs w:val="21"/>
        </w:rPr>
      </w:pPr>
      <w:r>
        <w:rPr>
          <w:szCs w:val="21"/>
        </w:rPr>
        <w:t>Impulsar una reforma al impuesto sobre la renta que incremente algunos tramos para el pago de este impuesto, por parte de personas y empresas, con el fin de recaudar más y de forma más progresiva.</w:t>
      </w:r>
    </w:p>
    <w:p w14:paraId="370DC6B5" w14:textId="77777777" w:rsidR="00952B46" w:rsidRDefault="00952B46" w:rsidP="005E7732">
      <w:pPr>
        <w:pStyle w:val="ListParagraph"/>
        <w:spacing w:line="240" w:lineRule="auto"/>
        <w:jc w:val="both"/>
        <w:rPr>
          <w:szCs w:val="21"/>
        </w:rPr>
      </w:pPr>
    </w:p>
    <w:p w14:paraId="268CD802" w14:textId="77777777" w:rsidR="00952B46" w:rsidRDefault="00AA1F7A" w:rsidP="00952B46">
      <w:pPr>
        <w:pStyle w:val="ListParagraph"/>
        <w:numPr>
          <w:ilvl w:val="0"/>
          <w:numId w:val="7"/>
        </w:numPr>
        <w:spacing w:line="240" w:lineRule="auto"/>
        <w:jc w:val="both"/>
        <w:rPr>
          <w:szCs w:val="21"/>
        </w:rPr>
      </w:pPr>
      <w:r>
        <w:rPr>
          <w:szCs w:val="21"/>
        </w:rPr>
        <w:t>Estudiar cómo ha impact</w:t>
      </w:r>
      <w:r w:rsidR="00762EBF">
        <w:rPr>
          <w:szCs w:val="21"/>
        </w:rPr>
        <w:t>ad</w:t>
      </w:r>
      <w:r>
        <w:rPr>
          <w:szCs w:val="21"/>
        </w:rPr>
        <w:t>o</w:t>
      </w:r>
      <w:r w:rsidR="00952B46">
        <w:rPr>
          <w:szCs w:val="21"/>
        </w:rPr>
        <w:t>,</w:t>
      </w:r>
      <w:r>
        <w:rPr>
          <w:szCs w:val="21"/>
        </w:rPr>
        <w:t xml:space="preserve"> en la población guatemalteca y en el cumplimiento de sus derechos, la reducción del gasto público (en términos reales) sufrida en los últimos años, y proponer una hoja de ruta (técnica y política) para elevar el gasto p</w:t>
      </w:r>
      <w:r w:rsidR="00952B46">
        <w:rPr>
          <w:szCs w:val="21"/>
        </w:rPr>
        <w:t>úblico en función de resultados a conseguir en materia de transparencia, accesibilidad, aceptabilidad y calidad, tomando en cuenta la obligación del Estado de cumplir la Agenda 2030 para el Desarrollo Sostenible.</w:t>
      </w:r>
    </w:p>
    <w:p w14:paraId="04479ECB" w14:textId="77777777" w:rsidR="00952B46" w:rsidRPr="00952B46" w:rsidRDefault="00952B46" w:rsidP="005E7732">
      <w:pPr>
        <w:pStyle w:val="ListParagraph"/>
        <w:spacing w:line="240" w:lineRule="auto"/>
        <w:ind w:left="360"/>
        <w:jc w:val="both"/>
        <w:rPr>
          <w:szCs w:val="21"/>
        </w:rPr>
      </w:pPr>
    </w:p>
    <w:p w14:paraId="4AA391F6" w14:textId="77777777" w:rsidR="00AA1F7A" w:rsidRDefault="00AA1F7A" w:rsidP="005E7732">
      <w:pPr>
        <w:pStyle w:val="ListParagraph"/>
        <w:numPr>
          <w:ilvl w:val="0"/>
          <w:numId w:val="7"/>
        </w:numPr>
        <w:jc w:val="both"/>
        <w:rPr>
          <w:szCs w:val="21"/>
        </w:rPr>
      </w:pPr>
      <w:r>
        <w:rPr>
          <w:szCs w:val="21"/>
        </w:rPr>
        <w:t>T</w:t>
      </w:r>
      <w:r w:rsidRPr="00AA1F7A">
        <w:rPr>
          <w:szCs w:val="21"/>
        </w:rPr>
        <w:t>odo reordenamiento y readecuación</w:t>
      </w:r>
      <w:r>
        <w:rPr>
          <w:szCs w:val="21"/>
        </w:rPr>
        <w:t xml:space="preserve"> del presupuesto</w:t>
      </w:r>
      <w:r w:rsidRPr="00AA1F7A">
        <w:rPr>
          <w:szCs w:val="21"/>
        </w:rPr>
        <w:t xml:space="preserve"> debe </w:t>
      </w:r>
      <w:r>
        <w:rPr>
          <w:szCs w:val="21"/>
        </w:rPr>
        <w:t xml:space="preserve">hacerse evaluando y argumentando públicamente su impacto en la garantía, promoción y protección de los derechos humanos, priorizando en particular aquellas poblaciones </w:t>
      </w:r>
      <w:r w:rsidR="00947324">
        <w:rPr>
          <w:szCs w:val="21"/>
        </w:rPr>
        <w:t>precarizadas</w:t>
      </w:r>
      <w:r>
        <w:rPr>
          <w:szCs w:val="21"/>
        </w:rPr>
        <w:t xml:space="preserve"> históricamente (niñas, niños, adolescentes, mujeres, población indígena y población que habita territorios rurales). </w:t>
      </w:r>
      <w:r w:rsidRPr="00AA1F7A">
        <w:rPr>
          <w:szCs w:val="21"/>
        </w:rPr>
        <w:t>Esta prioridad deberá reflejarse en términos de recursos financieros y de metas físicas para los indicadores de resultados.</w:t>
      </w:r>
    </w:p>
    <w:p w14:paraId="00235766" w14:textId="77777777" w:rsidR="00952B46" w:rsidRPr="00952B46" w:rsidRDefault="00952B46" w:rsidP="005E7732">
      <w:pPr>
        <w:pStyle w:val="ListParagraph"/>
        <w:rPr>
          <w:szCs w:val="21"/>
        </w:rPr>
      </w:pPr>
    </w:p>
    <w:p w14:paraId="66DC8D0A" w14:textId="77777777" w:rsidR="00457FAC" w:rsidRDefault="00952B46" w:rsidP="005E7732">
      <w:pPr>
        <w:pStyle w:val="ListParagraph"/>
        <w:numPr>
          <w:ilvl w:val="0"/>
          <w:numId w:val="7"/>
        </w:numPr>
        <w:jc w:val="both"/>
        <w:rPr>
          <w:szCs w:val="21"/>
        </w:rPr>
      </w:pPr>
      <w:r w:rsidRPr="00952B46">
        <w:rPr>
          <w:szCs w:val="21"/>
        </w:rPr>
        <w:t xml:space="preserve">Diseñar </w:t>
      </w:r>
      <w:r>
        <w:rPr>
          <w:szCs w:val="21"/>
        </w:rPr>
        <w:t xml:space="preserve">y poner en marcha </w:t>
      </w:r>
      <w:r w:rsidRPr="00952B46">
        <w:rPr>
          <w:szCs w:val="21"/>
        </w:rPr>
        <w:t>una política nacional de transparencia y combate a la corrupción, con un componente de transparencia fiscal robusto, que establezca responsabilidades institucionales, metas, mecanismos de verificación y espacios de participación ciudadana.</w:t>
      </w:r>
    </w:p>
    <w:p w14:paraId="361BA030" w14:textId="77777777" w:rsidR="00457FAC" w:rsidRPr="00457FAC" w:rsidRDefault="00457FAC" w:rsidP="005E7732">
      <w:pPr>
        <w:pStyle w:val="ListParagraph"/>
        <w:rPr>
          <w:szCs w:val="21"/>
        </w:rPr>
      </w:pPr>
    </w:p>
    <w:p w14:paraId="5CDD1459" w14:textId="77777777" w:rsidR="00457FAC" w:rsidRPr="00457FAC" w:rsidRDefault="00457FAC" w:rsidP="005E7732">
      <w:pPr>
        <w:pStyle w:val="ListParagraph"/>
        <w:numPr>
          <w:ilvl w:val="0"/>
          <w:numId w:val="7"/>
        </w:numPr>
        <w:jc w:val="both"/>
        <w:rPr>
          <w:szCs w:val="21"/>
        </w:rPr>
      </w:pPr>
      <w:r>
        <w:rPr>
          <w:szCs w:val="21"/>
        </w:rPr>
        <w:t>E</w:t>
      </w:r>
      <w:r w:rsidRPr="00457FAC">
        <w:rPr>
          <w:szCs w:val="21"/>
        </w:rPr>
        <w:t xml:space="preserve">laborar y publicar un estudio que compare las ventajas y desventajas de las condiciones en las que se ha contraído endeudamiento externo e interno. Este estudio </w:t>
      </w:r>
      <w:r>
        <w:rPr>
          <w:szCs w:val="21"/>
        </w:rPr>
        <w:t xml:space="preserve">debe considerarse un </w:t>
      </w:r>
      <w:r w:rsidRPr="00457FAC">
        <w:rPr>
          <w:szCs w:val="21"/>
        </w:rPr>
        <w:t>insumo técnico para evaluar la composición del saldo de la deuda pública, y la necesidad de efectuar cambios.</w:t>
      </w:r>
    </w:p>
    <w:p w14:paraId="28627C0A" w14:textId="77777777" w:rsidR="008D0032" w:rsidRDefault="008D0032" w:rsidP="005E7732">
      <w:pPr>
        <w:pStyle w:val="ListParagraph"/>
        <w:tabs>
          <w:tab w:val="left" w:pos="0"/>
        </w:tabs>
        <w:spacing w:line="240" w:lineRule="auto"/>
        <w:ind w:left="0"/>
        <w:jc w:val="both"/>
      </w:pPr>
    </w:p>
    <w:p w14:paraId="653D6013" w14:textId="77777777" w:rsidR="008D0032" w:rsidRDefault="008D0032" w:rsidP="005E7732">
      <w:pPr>
        <w:pStyle w:val="ListParagraph"/>
        <w:tabs>
          <w:tab w:val="left" w:pos="0"/>
        </w:tabs>
        <w:spacing w:line="240" w:lineRule="auto"/>
        <w:ind w:left="0"/>
        <w:jc w:val="both"/>
      </w:pPr>
      <w:r w:rsidRPr="008D0032">
        <w:t>A</w:t>
      </w:r>
      <w:r w:rsidR="00AC4399">
        <w:t xml:space="preserve">l </w:t>
      </w:r>
      <w:r w:rsidRPr="008D0032">
        <w:t>Congreso de la República</w:t>
      </w:r>
      <w:r w:rsidR="00AC4399">
        <w:t>:</w:t>
      </w:r>
    </w:p>
    <w:p w14:paraId="7E9BADF0" w14:textId="77777777" w:rsidR="00D47E88" w:rsidRPr="008D0032" w:rsidRDefault="00D47E88" w:rsidP="005E7732">
      <w:pPr>
        <w:pStyle w:val="ListParagraph"/>
        <w:tabs>
          <w:tab w:val="left" w:pos="0"/>
        </w:tabs>
        <w:spacing w:line="240" w:lineRule="auto"/>
        <w:ind w:left="0"/>
        <w:jc w:val="both"/>
      </w:pPr>
    </w:p>
    <w:p w14:paraId="356CC5C0" w14:textId="77777777" w:rsidR="00D47E88" w:rsidRDefault="00D47E88" w:rsidP="00AC4399">
      <w:pPr>
        <w:pStyle w:val="ListParagraph"/>
        <w:numPr>
          <w:ilvl w:val="0"/>
          <w:numId w:val="10"/>
        </w:numPr>
        <w:tabs>
          <w:tab w:val="left" w:pos="426"/>
        </w:tabs>
      </w:pPr>
      <w:r>
        <w:t>Abonar a la construcción de un marco legal moderno que sustente una política fiscal responsable, transparente, con resultados concretos en el disfrute del nivel más alto posible de derechos humanos y con recursos suficientes y una carga tributaria progresiva.</w:t>
      </w:r>
    </w:p>
    <w:p w14:paraId="28EB3071" w14:textId="77777777" w:rsidR="00D47E88" w:rsidRDefault="00D47E88" w:rsidP="005E7732">
      <w:pPr>
        <w:pStyle w:val="ListParagraph"/>
        <w:tabs>
          <w:tab w:val="left" w:pos="426"/>
        </w:tabs>
      </w:pPr>
    </w:p>
    <w:p w14:paraId="61AE22C9" w14:textId="77777777" w:rsidR="00AC4399" w:rsidRDefault="00AC4399" w:rsidP="00AC4399">
      <w:pPr>
        <w:pStyle w:val="ListParagraph"/>
        <w:numPr>
          <w:ilvl w:val="0"/>
          <w:numId w:val="10"/>
        </w:numPr>
        <w:tabs>
          <w:tab w:val="left" w:pos="426"/>
        </w:tabs>
      </w:pPr>
      <w:r w:rsidRPr="00AC4399">
        <w:t xml:space="preserve">Derogar la </w:t>
      </w:r>
      <w:r w:rsidRPr="005E7732">
        <w:rPr>
          <w:i/>
        </w:rPr>
        <w:t>Ley de Simplificación, Actualización e Incorporación Tributaria</w:t>
      </w:r>
      <w:r w:rsidRPr="00AC4399">
        <w:t>, Decreto del Congreso de la República No. 7-2019</w:t>
      </w:r>
      <w:r>
        <w:t>. De acuerdo con la SAT, la implementación de esta ley podría provocar una pérdida anual de ingresos al Estado de entre Q327.2 millones (escenario más optimista) y Q9,568.0 millones (escenario menos optimista)</w:t>
      </w:r>
      <w:r w:rsidR="00D47E88">
        <w:t>.</w:t>
      </w:r>
      <w:r>
        <w:t xml:space="preserve"> </w:t>
      </w:r>
    </w:p>
    <w:p w14:paraId="70795AA6" w14:textId="77777777" w:rsidR="00D47E88" w:rsidRDefault="00D47E88" w:rsidP="005E7732">
      <w:pPr>
        <w:pStyle w:val="ListParagraph"/>
        <w:tabs>
          <w:tab w:val="left" w:pos="426"/>
        </w:tabs>
      </w:pPr>
    </w:p>
    <w:p w14:paraId="7A978624" w14:textId="77777777" w:rsidR="00D47E88" w:rsidRPr="00D47E88" w:rsidRDefault="00D47E88" w:rsidP="005E7732">
      <w:pPr>
        <w:pStyle w:val="ListParagraph"/>
        <w:numPr>
          <w:ilvl w:val="0"/>
          <w:numId w:val="10"/>
        </w:numPr>
        <w:jc w:val="both"/>
      </w:pPr>
      <w:r>
        <w:t xml:space="preserve">Evitar la promoción </w:t>
      </w:r>
      <w:r w:rsidRPr="00D47E88">
        <w:t>nuevos incentivos tributarios sin contar con estudios técnicos e independientes que evalúen sus costos y beneficios.</w:t>
      </w:r>
    </w:p>
    <w:p w14:paraId="22020C64" w14:textId="77777777" w:rsidR="00AC4399" w:rsidRPr="00AC4399" w:rsidRDefault="00AC4399" w:rsidP="005E7732">
      <w:pPr>
        <w:pStyle w:val="ListParagraph"/>
        <w:tabs>
          <w:tab w:val="left" w:pos="426"/>
        </w:tabs>
      </w:pPr>
    </w:p>
    <w:p w14:paraId="43A20ECD" w14:textId="77777777" w:rsidR="00CE7332" w:rsidRDefault="00952B46" w:rsidP="005E7732">
      <w:pPr>
        <w:pStyle w:val="ListParagraph"/>
        <w:numPr>
          <w:ilvl w:val="0"/>
          <w:numId w:val="10"/>
        </w:numPr>
        <w:jc w:val="both"/>
      </w:pPr>
      <w:r>
        <w:t>Plantear a la sociedad y poner en marcha</w:t>
      </w:r>
      <w:r w:rsidR="00AC4399">
        <w:t xml:space="preserve"> una agenda que permita avanzar en e</w:t>
      </w:r>
      <w:r w:rsidR="00AC4399" w:rsidRPr="00AC4399">
        <w:t>l fortalecimiento institucional y el diseño e implementación de planes y medidas integrales para prevenir la corrupción y erradicar la impunidad. Entre las acciones pendientes destacan la construcción de un marco jurídico y el rediseño institucional que aproveche la experiencia de los casos judicializados y las recomendaciones de los informes temáticos elaborados por la Cicig para la reforma estructural del servicio civil y del sistema de adquisiciones públicas, un control más efectivo del financiamiento electoral, el fortalecimiento de las reglas del sistema político y electoral, mejorar la calidad y efectividad del gasto público, del acceso a información pública y fomentar la participación ciudadana, entre otras.</w:t>
      </w:r>
    </w:p>
    <w:p w14:paraId="3B1EAA56" w14:textId="77777777" w:rsidR="00C145B6" w:rsidRDefault="00C145B6" w:rsidP="005E7732">
      <w:pPr>
        <w:pStyle w:val="ListParagraph"/>
      </w:pPr>
    </w:p>
    <w:p w14:paraId="2279733F" w14:textId="77777777" w:rsidR="00C145B6" w:rsidRDefault="00C145B6" w:rsidP="005E7732">
      <w:pPr>
        <w:pStyle w:val="ListParagraph"/>
        <w:numPr>
          <w:ilvl w:val="0"/>
          <w:numId w:val="10"/>
        </w:numPr>
        <w:jc w:val="both"/>
      </w:pPr>
      <w:r>
        <w:t xml:space="preserve">En su funciones de control público, político y de fiscalización, solicitar al Organismo Ejecutivo </w:t>
      </w:r>
      <w:r w:rsidRPr="00C145B6">
        <w:t>un reporte del seguimiento físico y financiero de los resultados estratégicos de la política general de gobierno, de las metas e indicadores de producción pública contenidos en el presupuesto construido bajo el enfoque a resultados, incluyendo un análisis sobre obstáculos y posibles medidas correctivas para lograr los resultados y metas</w:t>
      </w:r>
      <w:r>
        <w:t xml:space="preserve"> y sus implicaciones en el cumplimiento de los derechos humanos.</w:t>
      </w:r>
    </w:p>
    <w:p w14:paraId="2846EEBC" w14:textId="77777777" w:rsidR="00EC0251" w:rsidRDefault="00EC0251" w:rsidP="0065348F">
      <w:pPr>
        <w:jc w:val="both"/>
      </w:pPr>
    </w:p>
    <w:p w14:paraId="44417AA3" w14:textId="77777777" w:rsidR="00EC0251" w:rsidRDefault="00EC0251" w:rsidP="0065348F">
      <w:pPr>
        <w:jc w:val="both"/>
      </w:pPr>
    </w:p>
    <w:p w14:paraId="1F0A9EFA" w14:textId="77777777" w:rsidR="00EC0251" w:rsidRDefault="007A399F" w:rsidP="005E7732">
      <w:pPr>
        <w:pStyle w:val="Heading2"/>
      </w:pPr>
      <w:bookmarkStart w:id="10" w:name="_Toc47694500"/>
      <w:r>
        <w:t>Bibliografía</w:t>
      </w:r>
      <w:bookmarkEnd w:id="10"/>
      <w:r>
        <w:t xml:space="preserve"> </w:t>
      </w:r>
    </w:p>
    <w:p w14:paraId="7581958A" w14:textId="77777777" w:rsidR="007A399F" w:rsidRDefault="007A399F" w:rsidP="0065348F">
      <w:pPr>
        <w:jc w:val="both"/>
      </w:pPr>
    </w:p>
    <w:p w14:paraId="0752BC3B" w14:textId="77777777" w:rsidR="00191C81" w:rsidRDefault="00191C81" w:rsidP="005E7732">
      <w:pPr>
        <w:pStyle w:val="ListParagraph"/>
        <w:numPr>
          <w:ilvl w:val="0"/>
          <w:numId w:val="11"/>
        </w:numPr>
        <w:jc w:val="both"/>
      </w:pPr>
      <w:r w:rsidRPr="00191C81">
        <w:t>Cepal (2019). Panorama social de América Latina 2019.</w:t>
      </w:r>
      <w:r>
        <w:t xml:space="preserve"> Santiago de Chile.</w:t>
      </w:r>
    </w:p>
    <w:p w14:paraId="0C0BE8E5" w14:textId="77777777" w:rsidR="00191C81" w:rsidRDefault="00191C81" w:rsidP="005E7732">
      <w:pPr>
        <w:pStyle w:val="ListParagraph"/>
        <w:ind w:left="360"/>
        <w:jc w:val="both"/>
      </w:pPr>
    </w:p>
    <w:p w14:paraId="3FF25B47" w14:textId="77777777" w:rsidR="00191C81" w:rsidRDefault="00191C81" w:rsidP="005E7732">
      <w:pPr>
        <w:pStyle w:val="ListParagraph"/>
        <w:numPr>
          <w:ilvl w:val="0"/>
          <w:numId w:val="11"/>
        </w:numPr>
        <w:jc w:val="both"/>
      </w:pPr>
      <w:r w:rsidRPr="00191C81">
        <w:t>CESR/Icefi (2009). ¿Derechos o privilegios? El compromiso fiscal con la salud, la educación y la alimentación en Guatemala.</w:t>
      </w:r>
      <w:r>
        <w:t xml:space="preserve"> Guatemala.</w:t>
      </w:r>
    </w:p>
    <w:p w14:paraId="4FA49493" w14:textId="77777777" w:rsidR="00A16524" w:rsidRDefault="00A16524" w:rsidP="005E7732">
      <w:pPr>
        <w:pStyle w:val="ListParagraph"/>
      </w:pPr>
    </w:p>
    <w:p w14:paraId="77E4A6D0" w14:textId="77777777" w:rsidR="00AC4426" w:rsidRDefault="00AC4426" w:rsidP="00AC4426">
      <w:pPr>
        <w:pStyle w:val="ListParagraph"/>
        <w:numPr>
          <w:ilvl w:val="0"/>
          <w:numId w:val="11"/>
        </w:numPr>
      </w:pPr>
      <w:r w:rsidRPr="00A16524">
        <w:t>Cicig (2015</w:t>
      </w:r>
      <w:r>
        <w:t>a</w:t>
      </w:r>
      <w:r w:rsidRPr="00A16524">
        <w:t>). Financiamiento de la política en Guatemala.</w:t>
      </w:r>
      <w:r>
        <w:t xml:space="preserve"> Guatemala.</w:t>
      </w:r>
    </w:p>
    <w:p w14:paraId="19E06A7B" w14:textId="77777777" w:rsidR="00AC4426" w:rsidRDefault="00AC4426" w:rsidP="005E7732">
      <w:pPr>
        <w:pStyle w:val="ListParagraph"/>
      </w:pPr>
    </w:p>
    <w:p w14:paraId="5161C055" w14:textId="77777777" w:rsidR="00A16524" w:rsidRDefault="00A16524" w:rsidP="00A16524">
      <w:pPr>
        <w:pStyle w:val="ListParagraph"/>
        <w:numPr>
          <w:ilvl w:val="0"/>
          <w:numId w:val="11"/>
        </w:numPr>
      </w:pPr>
      <w:r w:rsidRPr="00A16524">
        <w:t>Cicig (2015</w:t>
      </w:r>
      <w:r w:rsidR="00AC4426">
        <w:t>b</w:t>
      </w:r>
      <w:r w:rsidRPr="00A16524">
        <w:t xml:space="preserve">). Sistema de medición de la impunidad en Guatemala. </w:t>
      </w:r>
      <w:r>
        <w:t>Guatemala</w:t>
      </w:r>
      <w:r w:rsidRPr="00A16524">
        <w:t>.</w:t>
      </w:r>
    </w:p>
    <w:p w14:paraId="2E1C59F1" w14:textId="77777777" w:rsidR="00AC4426" w:rsidRDefault="00AC4426" w:rsidP="005E7732">
      <w:pPr>
        <w:pStyle w:val="ListParagraph"/>
      </w:pPr>
    </w:p>
    <w:p w14:paraId="10B33CF5" w14:textId="77777777" w:rsidR="00AC4426" w:rsidRDefault="00AC4426" w:rsidP="00A16524">
      <w:pPr>
        <w:pStyle w:val="ListParagraph"/>
        <w:numPr>
          <w:ilvl w:val="0"/>
          <w:numId w:val="11"/>
        </w:numPr>
      </w:pPr>
      <w:r>
        <w:t>Comisión técnica del Pacto Fiscal (2000). Pacto fiscal para un futuro con paz y desarrollo. Guatemala.</w:t>
      </w:r>
    </w:p>
    <w:p w14:paraId="473644A4" w14:textId="77777777" w:rsidR="00A16524" w:rsidRDefault="00A16524" w:rsidP="005E7732">
      <w:pPr>
        <w:pStyle w:val="ListParagraph"/>
      </w:pPr>
    </w:p>
    <w:p w14:paraId="07F425EB" w14:textId="77777777" w:rsidR="00A16524" w:rsidRPr="005E7732" w:rsidRDefault="00A16524" w:rsidP="005E7732">
      <w:pPr>
        <w:pStyle w:val="ListParagraph"/>
        <w:numPr>
          <w:ilvl w:val="0"/>
          <w:numId w:val="11"/>
        </w:numPr>
        <w:jc w:val="both"/>
        <w:rPr>
          <w:lang w:val="en-US"/>
        </w:rPr>
      </w:pPr>
      <w:r w:rsidRPr="00D02F8B">
        <w:rPr>
          <w:lang w:val="en-US"/>
        </w:rPr>
        <w:t>G</w:t>
      </w:r>
      <w:r>
        <w:rPr>
          <w:lang w:val="en-US"/>
        </w:rPr>
        <w:t xml:space="preserve">lobal </w:t>
      </w:r>
      <w:r w:rsidRPr="00D02F8B">
        <w:rPr>
          <w:lang w:val="en-US"/>
        </w:rPr>
        <w:t>F</w:t>
      </w:r>
      <w:r>
        <w:rPr>
          <w:lang w:val="en-US"/>
        </w:rPr>
        <w:t xml:space="preserve">inancial </w:t>
      </w:r>
      <w:r w:rsidRPr="00D02F8B">
        <w:rPr>
          <w:lang w:val="en-US"/>
        </w:rPr>
        <w:t>I</w:t>
      </w:r>
      <w:r>
        <w:rPr>
          <w:lang w:val="en-US"/>
        </w:rPr>
        <w:t>ntegrity</w:t>
      </w:r>
      <w:r w:rsidRPr="00D02F8B">
        <w:rPr>
          <w:lang w:val="en-US"/>
        </w:rPr>
        <w:t xml:space="preserve"> (2017) Illicit Financial Flows to and from Developing Countries: 2005-2014</w:t>
      </w:r>
      <w:r>
        <w:rPr>
          <w:lang w:val="en-US"/>
        </w:rPr>
        <w:t xml:space="preserve">. </w:t>
      </w:r>
      <w:r w:rsidRPr="005E7732">
        <w:rPr>
          <w:lang w:val="en-US"/>
        </w:rPr>
        <w:t>Anexo estadístico.</w:t>
      </w:r>
    </w:p>
    <w:p w14:paraId="3C5F4FC9" w14:textId="77777777" w:rsidR="00191C81" w:rsidRPr="005E7732" w:rsidRDefault="00191C81" w:rsidP="005E7732">
      <w:pPr>
        <w:pStyle w:val="ListParagraph"/>
        <w:ind w:left="360"/>
        <w:jc w:val="both"/>
        <w:rPr>
          <w:lang w:val="en-US"/>
        </w:rPr>
      </w:pPr>
    </w:p>
    <w:p w14:paraId="2F849A54" w14:textId="77777777" w:rsidR="00A16524" w:rsidRPr="005E7732" w:rsidRDefault="00A16524" w:rsidP="005E7732">
      <w:pPr>
        <w:pStyle w:val="ListParagraph"/>
        <w:numPr>
          <w:ilvl w:val="0"/>
          <w:numId w:val="11"/>
        </w:numPr>
        <w:jc w:val="both"/>
      </w:pPr>
      <w:r>
        <w:t xml:space="preserve">Icefi (2017a). Renta básica universal: Más libertad, más igualdad, más empleo, más bienestar. </w:t>
      </w:r>
      <w:r w:rsidRPr="000F72F8">
        <w:rPr>
          <w:lang w:val="en-US"/>
        </w:rPr>
        <w:t>Una propuesta para Guatemala (2019-2030)</w:t>
      </w:r>
    </w:p>
    <w:p w14:paraId="0D2146DC" w14:textId="77777777" w:rsidR="00A16524" w:rsidRDefault="00A16524" w:rsidP="005E7732">
      <w:pPr>
        <w:pStyle w:val="ListParagraph"/>
      </w:pPr>
    </w:p>
    <w:p w14:paraId="50A81E31" w14:textId="77777777" w:rsidR="00A16524" w:rsidRPr="005E7732" w:rsidRDefault="00A16524" w:rsidP="005E7732">
      <w:pPr>
        <w:pStyle w:val="ListParagraph"/>
        <w:numPr>
          <w:ilvl w:val="0"/>
          <w:numId w:val="11"/>
        </w:numPr>
        <w:jc w:val="both"/>
      </w:pPr>
      <w:r>
        <w:t xml:space="preserve">Icefi (2017b). </w:t>
      </w:r>
      <w:r w:rsidRPr="00A16524">
        <w:t>La corrupción: sus caminos e impacto en la sociedad y una agenda para enfrentarla en el Triángulo Norte centroamericano</w:t>
      </w:r>
      <w:r>
        <w:t>. Guatemala.</w:t>
      </w:r>
    </w:p>
    <w:p w14:paraId="5C9B2773" w14:textId="77777777" w:rsidR="00A16524" w:rsidRDefault="00A16524" w:rsidP="005E7732">
      <w:pPr>
        <w:pStyle w:val="ListParagraph"/>
      </w:pPr>
    </w:p>
    <w:p w14:paraId="474544F6" w14:textId="77777777" w:rsidR="00191C81" w:rsidRDefault="00A16524" w:rsidP="005E7732">
      <w:pPr>
        <w:pStyle w:val="ListParagraph"/>
        <w:numPr>
          <w:ilvl w:val="0"/>
          <w:numId w:val="11"/>
        </w:numPr>
        <w:jc w:val="both"/>
      </w:pPr>
      <w:r w:rsidRPr="00A16524">
        <w:t>Icefi (2019). Guatemala: estimaciones del Icefi advierten tendencia decreciente en la recaudación y un agujero fiscal de Q1,700.0 millones en 2019. Comunicado de prensa publicado el 22 de enero de 2019.</w:t>
      </w:r>
    </w:p>
    <w:p w14:paraId="47737792" w14:textId="77777777" w:rsidR="00A16524" w:rsidRDefault="00A16524" w:rsidP="005E7732">
      <w:pPr>
        <w:pStyle w:val="ListParagraph"/>
      </w:pPr>
    </w:p>
    <w:p w14:paraId="33BEEC97" w14:textId="77777777" w:rsidR="00A16524" w:rsidRDefault="00A16524" w:rsidP="005E7732">
      <w:pPr>
        <w:pStyle w:val="ListParagraph"/>
        <w:numPr>
          <w:ilvl w:val="0"/>
          <w:numId w:val="11"/>
        </w:numPr>
        <w:jc w:val="both"/>
      </w:pPr>
      <w:r>
        <w:t xml:space="preserve">Icefi/Fida (2016). </w:t>
      </w:r>
      <w:r w:rsidR="00AC4426">
        <w:t>Guatemala: i</w:t>
      </w:r>
      <w:r>
        <w:t xml:space="preserve">ncidencia de la política fiscal en la desigualdad y la pobreza. Guatemala. </w:t>
      </w:r>
    </w:p>
    <w:p w14:paraId="3E871A72" w14:textId="77777777" w:rsidR="00A16524" w:rsidRDefault="00A16524" w:rsidP="005E7732">
      <w:pPr>
        <w:pStyle w:val="ListParagraph"/>
      </w:pPr>
    </w:p>
    <w:p w14:paraId="600E6D17" w14:textId="77777777" w:rsidR="00A16524" w:rsidRDefault="00A16524" w:rsidP="005E7732">
      <w:pPr>
        <w:pStyle w:val="ListParagraph"/>
        <w:numPr>
          <w:ilvl w:val="0"/>
          <w:numId w:val="11"/>
        </w:numPr>
        <w:jc w:val="both"/>
      </w:pPr>
      <w:r w:rsidRPr="00A16524">
        <w:t>Icefi/Oxfam (2015). La corrupción, sus caminos, su impacto en la sociedad y una agenda para su eliminación</w:t>
      </w:r>
      <w:r>
        <w:t>. Guatemala.</w:t>
      </w:r>
    </w:p>
    <w:p w14:paraId="247BF7DB" w14:textId="77777777" w:rsidR="00A16524" w:rsidRDefault="00A16524" w:rsidP="005E7732">
      <w:pPr>
        <w:pStyle w:val="ListParagraph"/>
      </w:pPr>
    </w:p>
    <w:p w14:paraId="42E040A2" w14:textId="77777777" w:rsidR="005E7732" w:rsidRPr="005E7732" w:rsidRDefault="00A16524" w:rsidP="005E7732">
      <w:pPr>
        <w:pStyle w:val="ListParagraph"/>
        <w:numPr>
          <w:ilvl w:val="0"/>
          <w:numId w:val="11"/>
        </w:numPr>
        <w:jc w:val="center"/>
        <w:rPr>
          <w:b/>
        </w:rPr>
      </w:pPr>
      <w:r>
        <w:t xml:space="preserve">  Wola (2015). La Cicig: un instrumento innovador contra las redes criminales y para el fortalecimiento del Estado de Derecho. Washington</w:t>
      </w:r>
      <w:r w:rsidR="005E7732">
        <w:t>.</w:t>
      </w:r>
    </w:p>
    <w:p w14:paraId="301C69E8" w14:textId="77777777" w:rsidR="005E7732" w:rsidRPr="005E7732" w:rsidRDefault="005E7732" w:rsidP="005E7732">
      <w:pPr>
        <w:pStyle w:val="ListParagraph"/>
        <w:rPr>
          <w:b/>
        </w:rPr>
      </w:pPr>
    </w:p>
    <w:p w14:paraId="4D17C811" w14:textId="77777777" w:rsidR="00EC0251" w:rsidRPr="005E7732" w:rsidRDefault="005E7732" w:rsidP="005E7732">
      <w:pPr>
        <w:pStyle w:val="Heading2"/>
      </w:pPr>
      <w:r>
        <w:br w:type="page"/>
      </w:r>
      <w:bookmarkStart w:id="11" w:name="_Toc47694501"/>
      <w:r w:rsidR="00EC0251" w:rsidRPr="005E7732">
        <w:t>Anexo</w:t>
      </w:r>
      <w:bookmarkEnd w:id="11"/>
    </w:p>
    <w:p w14:paraId="24630566" w14:textId="77777777" w:rsidR="00EC0251" w:rsidRDefault="00EC0251" w:rsidP="005E7732">
      <w:pPr>
        <w:spacing w:after="0" w:line="240" w:lineRule="auto"/>
        <w:jc w:val="center"/>
      </w:pPr>
      <w:r>
        <w:t>Cuadro</w:t>
      </w:r>
    </w:p>
    <w:p w14:paraId="05D2F000" w14:textId="77777777" w:rsidR="00EC0251" w:rsidRDefault="00EC0251" w:rsidP="005E7732">
      <w:pPr>
        <w:spacing w:after="0" w:line="240" w:lineRule="auto"/>
        <w:jc w:val="center"/>
      </w:pPr>
      <w:r>
        <w:t>Principales rubros de gasto social que presentan una reducción en términos reales, ejecutados por el gobierno central y las entidades autónomas y descentralizadas, 2010-2018</w:t>
      </w:r>
    </w:p>
    <w:p w14:paraId="084DF098" w14:textId="77777777" w:rsidR="00EC0251" w:rsidRDefault="00EC0251" w:rsidP="00EC0251">
      <w:pPr>
        <w:spacing w:after="0" w:line="240" w:lineRule="auto"/>
        <w:jc w:val="both"/>
      </w:pPr>
    </w:p>
    <w:tbl>
      <w:tblPr>
        <w:tblW w:w="5000" w:type="pct"/>
        <w:tblLayout w:type="fixed"/>
        <w:tblCellMar>
          <w:left w:w="70" w:type="dxa"/>
          <w:right w:w="70" w:type="dxa"/>
        </w:tblCellMar>
        <w:tblLook w:val="04A0" w:firstRow="1" w:lastRow="0" w:firstColumn="1" w:lastColumn="0" w:noHBand="0" w:noVBand="1"/>
      </w:tblPr>
      <w:tblGrid>
        <w:gridCol w:w="1127"/>
        <w:gridCol w:w="1494"/>
        <w:gridCol w:w="688"/>
        <w:gridCol w:w="689"/>
        <w:gridCol w:w="689"/>
        <w:gridCol w:w="689"/>
        <w:gridCol w:w="689"/>
        <w:gridCol w:w="689"/>
        <w:gridCol w:w="689"/>
        <w:gridCol w:w="689"/>
        <w:gridCol w:w="696"/>
      </w:tblGrid>
      <w:tr w:rsidR="00EC0251" w:rsidRPr="00EC0251" w14:paraId="62A454DF" w14:textId="77777777" w:rsidTr="00A801BF">
        <w:trPr>
          <w:trHeight w:val="300"/>
          <w:tblHeader/>
        </w:trPr>
        <w:tc>
          <w:tcPr>
            <w:tcW w:w="639" w:type="pct"/>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31139A5D" w14:textId="77777777" w:rsidR="00EC0251" w:rsidRPr="00EC0251" w:rsidRDefault="00EC0251" w:rsidP="00EC0251">
            <w:pPr>
              <w:spacing w:after="0" w:line="240" w:lineRule="auto"/>
              <w:jc w:val="center"/>
              <w:rPr>
                <w:rFonts w:ascii="Calibri" w:eastAsia="Times New Roman" w:hAnsi="Calibri" w:cs="Times New Roman"/>
                <w:color w:val="FFFFFF"/>
                <w:sz w:val="20"/>
                <w:lang w:eastAsia="es-GT"/>
              </w:rPr>
            </w:pPr>
            <w:r w:rsidRPr="00EC0251">
              <w:rPr>
                <w:rFonts w:ascii="Calibri" w:eastAsia="Times New Roman" w:hAnsi="Calibri" w:cs="Times New Roman"/>
                <w:color w:val="FFFFFF"/>
                <w:sz w:val="20"/>
                <w:lang w:eastAsia="es-GT"/>
              </w:rPr>
              <w:t>Función</w:t>
            </w:r>
          </w:p>
        </w:tc>
        <w:tc>
          <w:tcPr>
            <w:tcW w:w="847" w:type="pct"/>
            <w:vMerge w:val="restart"/>
            <w:tcBorders>
              <w:top w:val="nil"/>
              <w:left w:val="single" w:sz="4" w:space="0" w:color="auto"/>
              <w:bottom w:val="single" w:sz="4" w:space="0" w:color="auto"/>
              <w:right w:val="single" w:sz="4" w:space="0" w:color="auto"/>
            </w:tcBorders>
            <w:shd w:val="clear" w:color="000000" w:fill="C00000"/>
            <w:vAlign w:val="center"/>
            <w:hideMark/>
          </w:tcPr>
          <w:p w14:paraId="58159C87" w14:textId="77777777" w:rsidR="00EC0251" w:rsidRPr="00EC0251" w:rsidRDefault="00EC0251" w:rsidP="00EC0251">
            <w:pPr>
              <w:spacing w:after="0" w:line="240" w:lineRule="auto"/>
              <w:jc w:val="center"/>
              <w:rPr>
                <w:rFonts w:ascii="Calibri" w:eastAsia="Times New Roman" w:hAnsi="Calibri" w:cs="Times New Roman"/>
                <w:color w:val="FFFFFF"/>
                <w:sz w:val="20"/>
                <w:lang w:eastAsia="es-GT"/>
              </w:rPr>
            </w:pPr>
            <w:r w:rsidRPr="00EC0251">
              <w:rPr>
                <w:rFonts w:ascii="Calibri" w:eastAsia="Times New Roman" w:hAnsi="Calibri" w:cs="Times New Roman"/>
                <w:color w:val="FFFFFF"/>
                <w:sz w:val="20"/>
                <w:lang w:eastAsia="es-GT"/>
              </w:rPr>
              <w:t>Clase</w:t>
            </w:r>
          </w:p>
        </w:tc>
        <w:tc>
          <w:tcPr>
            <w:tcW w:w="3513" w:type="pct"/>
            <w:gridSpan w:val="9"/>
            <w:tcBorders>
              <w:top w:val="nil"/>
              <w:left w:val="nil"/>
              <w:bottom w:val="single" w:sz="4" w:space="0" w:color="auto"/>
              <w:right w:val="single" w:sz="4" w:space="0" w:color="auto"/>
            </w:tcBorders>
            <w:shd w:val="clear" w:color="000000" w:fill="C00000"/>
            <w:noWrap/>
            <w:vAlign w:val="center"/>
            <w:hideMark/>
          </w:tcPr>
          <w:p w14:paraId="5022D077"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Año</w:t>
            </w:r>
          </w:p>
        </w:tc>
      </w:tr>
      <w:tr w:rsidR="00EC0251" w:rsidRPr="00EC0251" w14:paraId="18DBBB8F" w14:textId="77777777" w:rsidTr="00A801BF">
        <w:trPr>
          <w:trHeight w:val="300"/>
          <w:tblHeader/>
        </w:trPr>
        <w:tc>
          <w:tcPr>
            <w:tcW w:w="639" w:type="pct"/>
            <w:vMerge/>
            <w:tcBorders>
              <w:top w:val="single" w:sz="4" w:space="0" w:color="auto"/>
              <w:left w:val="single" w:sz="4" w:space="0" w:color="auto"/>
              <w:bottom w:val="single" w:sz="4" w:space="0" w:color="auto"/>
              <w:right w:val="single" w:sz="4" w:space="0" w:color="auto"/>
            </w:tcBorders>
            <w:vAlign w:val="center"/>
            <w:hideMark/>
          </w:tcPr>
          <w:p w14:paraId="5558E193" w14:textId="77777777" w:rsidR="00EC0251" w:rsidRPr="00EC0251" w:rsidRDefault="00EC0251" w:rsidP="00EC0251">
            <w:pPr>
              <w:spacing w:after="0" w:line="240" w:lineRule="auto"/>
              <w:rPr>
                <w:rFonts w:ascii="Calibri" w:eastAsia="Times New Roman" w:hAnsi="Calibri" w:cs="Times New Roman"/>
                <w:color w:val="FFFFFF"/>
                <w:sz w:val="20"/>
                <w:lang w:eastAsia="es-GT"/>
              </w:rPr>
            </w:pPr>
          </w:p>
        </w:tc>
        <w:tc>
          <w:tcPr>
            <w:tcW w:w="847" w:type="pct"/>
            <w:vMerge/>
            <w:tcBorders>
              <w:top w:val="nil"/>
              <w:left w:val="single" w:sz="4" w:space="0" w:color="auto"/>
              <w:bottom w:val="single" w:sz="4" w:space="0" w:color="auto"/>
              <w:right w:val="single" w:sz="4" w:space="0" w:color="auto"/>
            </w:tcBorders>
            <w:vAlign w:val="center"/>
            <w:hideMark/>
          </w:tcPr>
          <w:p w14:paraId="4DD2BA30" w14:textId="77777777" w:rsidR="00EC0251" w:rsidRPr="00EC0251" w:rsidRDefault="00EC0251" w:rsidP="00EC0251">
            <w:pPr>
              <w:spacing w:after="0" w:line="240" w:lineRule="auto"/>
              <w:rPr>
                <w:rFonts w:ascii="Calibri" w:eastAsia="Times New Roman" w:hAnsi="Calibri" w:cs="Times New Roman"/>
                <w:color w:val="FFFFFF"/>
                <w:sz w:val="20"/>
                <w:lang w:eastAsia="es-GT"/>
              </w:rPr>
            </w:pPr>
          </w:p>
        </w:tc>
        <w:tc>
          <w:tcPr>
            <w:tcW w:w="390" w:type="pct"/>
            <w:tcBorders>
              <w:top w:val="nil"/>
              <w:left w:val="nil"/>
              <w:bottom w:val="single" w:sz="4" w:space="0" w:color="auto"/>
              <w:right w:val="single" w:sz="4" w:space="0" w:color="auto"/>
            </w:tcBorders>
            <w:shd w:val="clear" w:color="D9D9D9" w:fill="C00000"/>
            <w:noWrap/>
            <w:vAlign w:val="center"/>
            <w:hideMark/>
          </w:tcPr>
          <w:p w14:paraId="283DB1F5"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2010</w:t>
            </w:r>
          </w:p>
        </w:tc>
        <w:tc>
          <w:tcPr>
            <w:tcW w:w="390" w:type="pct"/>
            <w:tcBorders>
              <w:top w:val="nil"/>
              <w:left w:val="nil"/>
              <w:bottom w:val="single" w:sz="4" w:space="0" w:color="auto"/>
              <w:right w:val="single" w:sz="4" w:space="0" w:color="auto"/>
            </w:tcBorders>
            <w:shd w:val="clear" w:color="D9D9D9" w:fill="C00000"/>
            <w:noWrap/>
            <w:vAlign w:val="center"/>
            <w:hideMark/>
          </w:tcPr>
          <w:p w14:paraId="61E0DAC5"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2011</w:t>
            </w:r>
          </w:p>
        </w:tc>
        <w:tc>
          <w:tcPr>
            <w:tcW w:w="390" w:type="pct"/>
            <w:tcBorders>
              <w:top w:val="nil"/>
              <w:left w:val="nil"/>
              <w:bottom w:val="single" w:sz="4" w:space="0" w:color="auto"/>
              <w:right w:val="single" w:sz="4" w:space="0" w:color="auto"/>
            </w:tcBorders>
            <w:shd w:val="clear" w:color="D9D9D9" w:fill="C00000"/>
            <w:noWrap/>
            <w:vAlign w:val="center"/>
            <w:hideMark/>
          </w:tcPr>
          <w:p w14:paraId="0A359E72"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2012</w:t>
            </w:r>
          </w:p>
        </w:tc>
        <w:tc>
          <w:tcPr>
            <w:tcW w:w="390" w:type="pct"/>
            <w:tcBorders>
              <w:top w:val="nil"/>
              <w:left w:val="nil"/>
              <w:bottom w:val="single" w:sz="4" w:space="0" w:color="auto"/>
              <w:right w:val="single" w:sz="4" w:space="0" w:color="auto"/>
            </w:tcBorders>
            <w:shd w:val="clear" w:color="D9D9D9" w:fill="C00000"/>
            <w:noWrap/>
            <w:vAlign w:val="center"/>
            <w:hideMark/>
          </w:tcPr>
          <w:p w14:paraId="460C3DF3"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2013</w:t>
            </w:r>
          </w:p>
        </w:tc>
        <w:tc>
          <w:tcPr>
            <w:tcW w:w="390" w:type="pct"/>
            <w:tcBorders>
              <w:top w:val="nil"/>
              <w:left w:val="nil"/>
              <w:bottom w:val="single" w:sz="4" w:space="0" w:color="auto"/>
              <w:right w:val="single" w:sz="4" w:space="0" w:color="auto"/>
            </w:tcBorders>
            <w:shd w:val="clear" w:color="D9D9D9" w:fill="C00000"/>
            <w:noWrap/>
            <w:vAlign w:val="center"/>
            <w:hideMark/>
          </w:tcPr>
          <w:p w14:paraId="5EB17881"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2014</w:t>
            </w:r>
          </w:p>
        </w:tc>
        <w:tc>
          <w:tcPr>
            <w:tcW w:w="390" w:type="pct"/>
            <w:tcBorders>
              <w:top w:val="nil"/>
              <w:left w:val="nil"/>
              <w:bottom w:val="single" w:sz="4" w:space="0" w:color="auto"/>
              <w:right w:val="single" w:sz="4" w:space="0" w:color="auto"/>
            </w:tcBorders>
            <w:shd w:val="clear" w:color="D9D9D9" w:fill="C00000"/>
            <w:noWrap/>
            <w:vAlign w:val="center"/>
            <w:hideMark/>
          </w:tcPr>
          <w:p w14:paraId="5968D5E9"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2015</w:t>
            </w:r>
          </w:p>
        </w:tc>
        <w:tc>
          <w:tcPr>
            <w:tcW w:w="390" w:type="pct"/>
            <w:tcBorders>
              <w:top w:val="nil"/>
              <w:left w:val="nil"/>
              <w:bottom w:val="single" w:sz="4" w:space="0" w:color="auto"/>
              <w:right w:val="single" w:sz="4" w:space="0" w:color="auto"/>
            </w:tcBorders>
            <w:shd w:val="clear" w:color="D9D9D9" w:fill="C00000"/>
            <w:noWrap/>
            <w:vAlign w:val="center"/>
            <w:hideMark/>
          </w:tcPr>
          <w:p w14:paraId="25E33ED0"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2016</w:t>
            </w:r>
          </w:p>
        </w:tc>
        <w:tc>
          <w:tcPr>
            <w:tcW w:w="390" w:type="pct"/>
            <w:tcBorders>
              <w:top w:val="nil"/>
              <w:left w:val="nil"/>
              <w:bottom w:val="single" w:sz="4" w:space="0" w:color="auto"/>
              <w:right w:val="single" w:sz="4" w:space="0" w:color="auto"/>
            </w:tcBorders>
            <w:shd w:val="clear" w:color="D9D9D9" w:fill="C00000"/>
            <w:noWrap/>
            <w:vAlign w:val="center"/>
            <w:hideMark/>
          </w:tcPr>
          <w:p w14:paraId="19ED6C02"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2017</w:t>
            </w:r>
          </w:p>
        </w:tc>
        <w:tc>
          <w:tcPr>
            <w:tcW w:w="392" w:type="pct"/>
            <w:tcBorders>
              <w:top w:val="nil"/>
              <w:left w:val="nil"/>
              <w:bottom w:val="single" w:sz="4" w:space="0" w:color="auto"/>
              <w:right w:val="single" w:sz="4" w:space="0" w:color="auto"/>
            </w:tcBorders>
            <w:shd w:val="clear" w:color="D9D9D9" w:fill="C00000"/>
            <w:noWrap/>
            <w:vAlign w:val="center"/>
            <w:hideMark/>
          </w:tcPr>
          <w:p w14:paraId="44555647" w14:textId="77777777" w:rsidR="00EC0251" w:rsidRPr="00EC0251" w:rsidRDefault="00EC0251" w:rsidP="00EC0251">
            <w:pPr>
              <w:spacing w:after="0" w:line="240" w:lineRule="auto"/>
              <w:jc w:val="center"/>
              <w:rPr>
                <w:rFonts w:ascii="Calibri" w:eastAsia="Times New Roman" w:hAnsi="Calibri" w:cs="Times New Roman"/>
                <w:b/>
                <w:bCs/>
                <w:color w:val="FFFFFF"/>
                <w:sz w:val="20"/>
                <w:szCs w:val="18"/>
                <w:lang w:eastAsia="es-GT"/>
              </w:rPr>
            </w:pPr>
            <w:r w:rsidRPr="00EC0251">
              <w:rPr>
                <w:rFonts w:ascii="Calibri" w:eastAsia="Times New Roman" w:hAnsi="Calibri" w:cs="Times New Roman"/>
                <w:b/>
                <w:bCs/>
                <w:color w:val="FFFFFF"/>
                <w:sz w:val="20"/>
                <w:szCs w:val="18"/>
                <w:lang w:eastAsia="es-GT"/>
              </w:rPr>
              <w:t>2018</w:t>
            </w:r>
          </w:p>
        </w:tc>
      </w:tr>
      <w:tr w:rsidR="00EC0251" w:rsidRPr="00EC0251" w14:paraId="4D790F2E" w14:textId="77777777" w:rsidTr="00A801BF">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B727A7" w14:textId="77777777" w:rsidR="00EC0251" w:rsidRPr="00EC0251" w:rsidRDefault="00EC0251" w:rsidP="00EC0251">
            <w:pPr>
              <w:spacing w:after="0" w:line="240" w:lineRule="auto"/>
              <w:jc w:val="center"/>
              <w:rPr>
                <w:rFonts w:ascii="Calibri" w:eastAsia="Times New Roman" w:hAnsi="Calibri" w:cs="Times New Roman"/>
                <w:b/>
                <w:bCs/>
                <w:sz w:val="20"/>
                <w:lang w:eastAsia="es-GT"/>
              </w:rPr>
            </w:pPr>
            <w:r w:rsidRPr="00EC0251">
              <w:rPr>
                <w:rFonts w:ascii="Calibri" w:eastAsia="Times New Roman" w:hAnsi="Calibri" w:cs="Times New Roman"/>
                <w:b/>
                <w:bCs/>
                <w:sz w:val="20"/>
                <w:lang w:eastAsia="es-GT"/>
              </w:rPr>
              <w:t>Rubros de gasto social del gobierno central y entidades autónomas y descentralizadas, en millones de quetzales de cada año</w:t>
            </w:r>
          </w:p>
        </w:tc>
      </w:tr>
      <w:tr w:rsidR="00EC0251" w:rsidRPr="00EC0251" w14:paraId="3144DF40" w14:textId="77777777" w:rsidTr="00A801BF">
        <w:trPr>
          <w:trHeight w:val="870"/>
        </w:trPr>
        <w:tc>
          <w:tcPr>
            <w:tcW w:w="639" w:type="pct"/>
            <w:tcBorders>
              <w:top w:val="nil"/>
              <w:left w:val="single" w:sz="4" w:space="0" w:color="auto"/>
              <w:bottom w:val="single" w:sz="4" w:space="0" w:color="auto"/>
              <w:right w:val="single" w:sz="4" w:space="0" w:color="auto"/>
            </w:tcBorders>
            <w:shd w:val="clear" w:color="auto" w:fill="auto"/>
            <w:vAlign w:val="bottom"/>
            <w:hideMark/>
          </w:tcPr>
          <w:p w14:paraId="38482590"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Protección del medio ambiente</w:t>
            </w:r>
          </w:p>
        </w:tc>
        <w:tc>
          <w:tcPr>
            <w:tcW w:w="847" w:type="pct"/>
            <w:tcBorders>
              <w:top w:val="nil"/>
              <w:left w:val="nil"/>
              <w:bottom w:val="single" w:sz="4" w:space="0" w:color="auto"/>
              <w:right w:val="single" w:sz="4" w:space="0" w:color="auto"/>
            </w:tcBorders>
            <w:shd w:val="clear" w:color="auto" w:fill="auto"/>
            <w:vAlign w:val="bottom"/>
            <w:hideMark/>
          </w:tcPr>
          <w:p w14:paraId="42D5D496"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Protección de la diversidad biológica y del paisaje</w:t>
            </w:r>
          </w:p>
        </w:tc>
        <w:tc>
          <w:tcPr>
            <w:tcW w:w="390" w:type="pct"/>
            <w:tcBorders>
              <w:top w:val="nil"/>
              <w:left w:val="nil"/>
              <w:bottom w:val="single" w:sz="4" w:space="0" w:color="auto"/>
              <w:right w:val="single" w:sz="4" w:space="0" w:color="auto"/>
            </w:tcBorders>
            <w:shd w:val="clear" w:color="auto" w:fill="auto"/>
            <w:noWrap/>
            <w:vAlign w:val="bottom"/>
            <w:hideMark/>
          </w:tcPr>
          <w:p w14:paraId="20495F1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129.5</w:t>
            </w:r>
          </w:p>
        </w:tc>
        <w:tc>
          <w:tcPr>
            <w:tcW w:w="390" w:type="pct"/>
            <w:tcBorders>
              <w:top w:val="nil"/>
              <w:left w:val="nil"/>
              <w:bottom w:val="single" w:sz="4" w:space="0" w:color="auto"/>
              <w:right w:val="single" w:sz="4" w:space="0" w:color="auto"/>
            </w:tcBorders>
            <w:shd w:val="clear" w:color="auto" w:fill="auto"/>
            <w:noWrap/>
            <w:vAlign w:val="bottom"/>
            <w:hideMark/>
          </w:tcPr>
          <w:p w14:paraId="39D13AE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193.1</w:t>
            </w:r>
          </w:p>
        </w:tc>
        <w:tc>
          <w:tcPr>
            <w:tcW w:w="390" w:type="pct"/>
            <w:tcBorders>
              <w:top w:val="nil"/>
              <w:left w:val="nil"/>
              <w:bottom w:val="single" w:sz="4" w:space="0" w:color="auto"/>
              <w:right w:val="single" w:sz="4" w:space="0" w:color="auto"/>
            </w:tcBorders>
            <w:shd w:val="clear" w:color="auto" w:fill="auto"/>
            <w:noWrap/>
            <w:vAlign w:val="bottom"/>
            <w:hideMark/>
          </w:tcPr>
          <w:p w14:paraId="2ACDE2C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116.1</w:t>
            </w:r>
          </w:p>
        </w:tc>
        <w:tc>
          <w:tcPr>
            <w:tcW w:w="390" w:type="pct"/>
            <w:tcBorders>
              <w:top w:val="nil"/>
              <w:left w:val="nil"/>
              <w:bottom w:val="single" w:sz="4" w:space="0" w:color="auto"/>
              <w:right w:val="single" w:sz="4" w:space="0" w:color="auto"/>
            </w:tcBorders>
            <w:shd w:val="clear" w:color="auto" w:fill="auto"/>
            <w:noWrap/>
            <w:vAlign w:val="bottom"/>
            <w:hideMark/>
          </w:tcPr>
          <w:p w14:paraId="37818F8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121.0</w:t>
            </w:r>
          </w:p>
        </w:tc>
        <w:tc>
          <w:tcPr>
            <w:tcW w:w="390" w:type="pct"/>
            <w:tcBorders>
              <w:top w:val="nil"/>
              <w:left w:val="nil"/>
              <w:bottom w:val="single" w:sz="4" w:space="0" w:color="auto"/>
              <w:right w:val="single" w:sz="4" w:space="0" w:color="auto"/>
            </w:tcBorders>
            <w:shd w:val="clear" w:color="auto" w:fill="auto"/>
            <w:noWrap/>
            <w:vAlign w:val="bottom"/>
            <w:hideMark/>
          </w:tcPr>
          <w:p w14:paraId="006B564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131.2</w:t>
            </w:r>
          </w:p>
        </w:tc>
        <w:tc>
          <w:tcPr>
            <w:tcW w:w="390" w:type="pct"/>
            <w:tcBorders>
              <w:top w:val="nil"/>
              <w:left w:val="nil"/>
              <w:bottom w:val="single" w:sz="4" w:space="0" w:color="auto"/>
              <w:right w:val="single" w:sz="4" w:space="0" w:color="auto"/>
            </w:tcBorders>
            <w:shd w:val="clear" w:color="auto" w:fill="auto"/>
            <w:noWrap/>
            <w:vAlign w:val="bottom"/>
            <w:hideMark/>
          </w:tcPr>
          <w:p w14:paraId="30DAAD4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115.8</w:t>
            </w:r>
          </w:p>
        </w:tc>
        <w:tc>
          <w:tcPr>
            <w:tcW w:w="390" w:type="pct"/>
            <w:tcBorders>
              <w:top w:val="nil"/>
              <w:left w:val="nil"/>
              <w:bottom w:val="single" w:sz="4" w:space="0" w:color="auto"/>
              <w:right w:val="single" w:sz="4" w:space="0" w:color="auto"/>
            </w:tcBorders>
            <w:shd w:val="clear" w:color="auto" w:fill="auto"/>
            <w:noWrap/>
            <w:vAlign w:val="bottom"/>
            <w:hideMark/>
          </w:tcPr>
          <w:p w14:paraId="5036467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106.6</w:t>
            </w:r>
          </w:p>
        </w:tc>
        <w:tc>
          <w:tcPr>
            <w:tcW w:w="390" w:type="pct"/>
            <w:tcBorders>
              <w:top w:val="nil"/>
              <w:left w:val="nil"/>
              <w:bottom w:val="single" w:sz="4" w:space="0" w:color="auto"/>
              <w:right w:val="single" w:sz="4" w:space="0" w:color="auto"/>
            </w:tcBorders>
            <w:shd w:val="clear" w:color="auto" w:fill="auto"/>
            <w:noWrap/>
            <w:vAlign w:val="bottom"/>
            <w:hideMark/>
          </w:tcPr>
          <w:p w14:paraId="4D397DF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128.5</w:t>
            </w:r>
          </w:p>
        </w:tc>
        <w:tc>
          <w:tcPr>
            <w:tcW w:w="392" w:type="pct"/>
            <w:tcBorders>
              <w:top w:val="nil"/>
              <w:left w:val="nil"/>
              <w:bottom w:val="single" w:sz="4" w:space="0" w:color="auto"/>
              <w:right w:val="single" w:sz="4" w:space="0" w:color="auto"/>
            </w:tcBorders>
            <w:shd w:val="clear" w:color="auto" w:fill="auto"/>
            <w:noWrap/>
            <w:vAlign w:val="bottom"/>
            <w:hideMark/>
          </w:tcPr>
          <w:p w14:paraId="31A20FC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134.4</w:t>
            </w:r>
          </w:p>
        </w:tc>
      </w:tr>
      <w:tr w:rsidR="00EC0251" w:rsidRPr="00EC0251" w14:paraId="6072CA94" w14:textId="77777777" w:rsidTr="00A801BF">
        <w:trPr>
          <w:trHeight w:val="645"/>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3A35616F"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Vivienda y servicios comunitarios</w:t>
            </w:r>
          </w:p>
        </w:tc>
        <w:tc>
          <w:tcPr>
            <w:tcW w:w="847" w:type="pct"/>
            <w:tcBorders>
              <w:top w:val="nil"/>
              <w:left w:val="nil"/>
              <w:bottom w:val="single" w:sz="4" w:space="0" w:color="auto"/>
              <w:right w:val="single" w:sz="4" w:space="0" w:color="auto"/>
            </w:tcBorders>
            <w:shd w:val="clear" w:color="auto" w:fill="auto"/>
            <w:noWrap/>
            <w:vAlign w:val="bottom"/>
            <w:hideMark/>
          </w:tcPr>
          <w:p w14:paraId="2CE7A83B"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Urbanización</w:t>
            </w:r>
          </w:p>
        </w:tc>
        <w:tc>
          <w:tcPr>
            <w:tcW w:w="390" w:type="pct"/>
            <w:tcBorders>
              <w:top w:val="nil"/>
              <w:left w:val="nil"/>
              <w:bottom w:val="single" w:sz="4" w:space="0" w:color="auto"/>
              <w:right w:val="single" w:sz="4" w:space="0" w:color="auto"/>
            </w:tcBorders>
            <w:shd w:val="clear" w:color="auto" w:fill="auto"/>
            <w:noWrap/>
            <w:vAlign w:val="bottom"/>
            <w:hideMark/>
          </w:tcPr>
          <w:p w14:paraId="4E2DAF2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795.5</w:t>
            </w:r>
          </w:p>
        </w:tc>
        <w:tc>
          <w:tcPr>
            <w:tcW w:w="390" w:type="pct"/>
            <w:tcBorders>
              <w:top w:val="nil"/>
              <w:left w:val="nil"/>
              <w:bottom w:val="single" w:sz="4" w:space="0" w:color="auto"/>
              <w:right w:val="single" w:sz="4" w:space="0" w:color="auto"/>
            </w:tcBorders>
            <w:shd w:val="clear" w:color="auto" w:fill="auto"/>
            <w:noWrap/>
            <w:vAlign w:val="bottom"/>
            <w:hideMark/>
          </w:tcPr>
          <w:p w14:paraId="49A5758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481.2</w:t>
            </w:r>
          </w:p>
        </w:tc>
        <w:tc>
          <w:tcPr>
            <w:tcW w:w="390" w:type="pct"/>
            <w:tcBorders>
              <w:top w:val="nil"/>
              <w:left w:val="nil"/>
              <w:bottom w:val="single" w:sz="4" w:space="0" w:color="auto"/>
              <w:right w:val="single" w:sz="4" w:space="0" w:color="auto"/>
            </w:tcBorders>
            <w:shd w:val="clear" w:color="auto" w:fill="auto"/>
            <w:noWrap/>
            <w:vAlign w:val="bottom"/>
            <w:hideMark/>
          </w:tcPr>
          <w:p w14:paraId="6B9BDB9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470.4</w:t>
            </w:r>
          </w:p>
        </w:tc>
        <w:tc>
          <w:tcPr>
            <w:tcW w:w="390" w:type="pct"/>
            <w:tcBorders>
              <w:top w:val="nil"/>
              <w:left w:val="nil"/>
              <w:bottom w:val="single" w:sz="4" w:space="0" w:color="auto"/>
              <w:right w:val="single" w:sz="4" w:space="0" w:color="auto"/>
            </w:tcBorders>
            <w:shd w:val="clear" w:color="auto" w:fill="auto"/>
            <w:noWrap/>
            <w:vAlign w:val="bottom"/>
            <w:hideMark/>
          </w:tcPr>
          <w:p w14:paraId="55443E9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571.2</w:t>
            </w:r>
          </w:p>
        </w:tc>
        <w:tc>
          <w:tcPr>
            <w:tcW w:w="390" w:type="pct"/>
            <w:tcBorders>
              <w:top w:val="nil"/>
              <w:left w:val="nil"/>
              <w:bottom w:val="single" w:sz="4" w:space="0" w:color="auto"/>
              <w:right w:val="single" w:sz="4" w:space="0" w:color="auto"/>
            </w:tcBorders>
            <w:shd w:val="clear" w:color="auto" w:fill="auto"/>
            <w:noWrap/>
            <w:vAlign w:val="bottom"/>
            <w:hideMark/>
          </w:tcPr>
          <w:p w14:paraId="3622281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399.8</w:t>
            </w:r>
          </w:p>
        </w:tc>
        <w:tc>
          <w:tcPr>
            <w:tcW w:w="390" w:type="pct"/>
            <w:tcBorders>
              <w:top w:val="nil"/>
              <w:left w:val="nil"/>
              <w:bottom w:val="single" w:sz="4" w:space="0" w:color="auto"/>
              <w:right w:val="single" w:sz="4" w:space="0" w:color="auto"/>
            </w:tcBorders>
            <w:shd w:val="clear" w:color="auto" w:fill="auto"/>
            <w:noWrap/>
            <w:vAlign w:val="bottom"/>
            <w:hideMark/>
          </w:tcPr>
          <w:p w14:paraId="57697A4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325.3</w:t>
            </w:r>
          </w:p>
        </w:tc>
        <w:tc>
          <w:tcPr>
            <w:tcW w:w="390" w:type="pct"/>
            <w:tcBorders>
              <w:top w:val="nil"/>
              <w:left w:val="nil"/>
              <w:bottom w:val="single" w:sz="4" w:space="0" w:color="auto"/>
              <w:right w:val="single" w:sz="4" w:space="0" w:color="auto"/>
            </w:tcBorders>
            <w:shd w:val="clear" w:color="auto" w:fill="auto"/>
            <w:noWrap/>
            <w:vAlign w:val="bottom"/>
            <w:hideMark/>
          </w:tcPr>
          <w:p w14:paraId="0486152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164.9</w:t>
            </w:r>
          </w:p>
        </w:tc>
        <w:tc>
          <w:tcPr>
            <w:tcW w:w="390" w:type="pct"/>
            <w:tcBorders>
              <w:top w:val="nil"/>
              <w:left w:val="nil"/>
              <w:bottom w:val="single" w:sz="4" w:space="0" w:color="auto"/>
              <w:right w:val="single" w:sz="4" w:space="0" w:color="auto"/>
            </w:tcBorders>
            <w:shd w:val="clear" w:color="auto" w:fill="auto"/>
            <w:noWrap/>
            <w:vAlign w:val="bottom"/>
            <w:hideMark/>
          </w:tcPr>
          <w:p w14:paraId="26E519B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219.8</w:t>
            </w:r>
          </w:p>
        </w:tc>
        <w:tc>
          <w:tcPr>
            <w:tcW w:w="392" w:type="pct"/>
            <w:tcBorders>
              <w:top w:val="nil"/>
              <w:left w:val="nil"/>
              <w:bottom w:val="single" w:sz="4" w:space="0" w:color="auto"/>
              <w:right w:val="single" w:sz="4" w:space="0" w:color="auto"/>
            </w:tcBorders>
            <w:shd w:val="clear" w:color="auto" w:fill="auto"/>
            <w:noWrap/>
            <w:vAlign w:val="bottom"/>
            <w:hideMark/>
          </w:tcPr>
          <w:p w14:paraId="3E19021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227.4</w:t>
            </w:r>
          </w:p>
        </w:tc>
      </w:tr>
      <w:tr w:rsidR="00EC0251" w:rsidRPr="00EC0251" w14:paraId="01CFC7FE"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2ED28AE0"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noWrap/>
            <w:vAlign w:val="bottom"/>
            <w:hideMark/>
          </w:tcPr>
          <w:p w14:paraId="5E26778F"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Abastecimiento de agua</w:t>
            </w:r>
          </w:p>
        </w:tc>
        <w:tc>
          <w:tcPr>
            <w:tcW w:w="390" w:type="pct"/>
            <w:tcBorders>
              <w:top w:val="nil"/>
              <w:left w:val="nil"/>
              <w:bottom w:val="single" w:sz="4" w:space="0" w:color="auto"/>
              <w:right w:val="single" w:sz="4" w:space="0" w:color="auto"/>
            </w:tcBorders>
            <w:shd w:val="clear" w:color="auto" w:fill="auto"/>
            <w:noWrap/>
            <w:vAlign w:val="bottom"/>
            <w:hideMark/>
          </w:tcPr>
          <w:p w14:paraId="04C58E0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941.2</w:t>
            </w:r>
          </w:p>
        </w:tc>
        <w:tc>
          <w:tcPr>
            <w:tcW w:w="390" w:type="pct"/>
            <w:tcBorders>
              <w:top w:val="nil"/>
              <w:left w:val="nil"/>
              <w:bottom w:val="single" w:sz="4" w:space="0" w:color="auto"/>
              <w:right w:val="single" w:sz="4" w:space="0" w:color="auto"/>
            </w:tcBorders>
            <w:shd w:val="clear" w:color="auto" w:fill="auto"/>
            <w:noWrap/>
            <w:vAlign w:val="bottom"/>
            <w:hideMark/>
          </w:tcPr>
          <w:p w14:paraId="29E67DA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653.3</w:t>
            </w:r>
          </w:p>
        </w:tc>
        <w:tc>
          <w:tcPr>
            <w:tcW w:w="390" w:type="pct"/>
            <w:tcBorders>
              <w:top w:val="nil"/>
              <w:left w:val="nil"/>
              <w:bottom w:val="single" w:sz="4" w:space="0" w:color="auto"/>
              <w:right w:val="single" w:sz="4" w:space="0" w:color="auto"/>
            </w:tcBorders>
            <w:shd w:val="clear" w:color="auto" w:fill="auto"/>
            <w:noWrap/>
            <w:vAlign w:val="bottom"/>
            <w:hideMark/>
          </w:tcPr>
          <w:p w14:paraId="0A6F6B1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680.4</w:t>
            </w:r>
          </w:p>
        </w:tc>
        <w:tc>
          <w:tcPr>
            <w:tcW w:w="390" w:type="pct"/>
            <w:tcBorders>
              <w:top w:val="nil"/>
              <w:left w:val="nil"/>
              <w:bottom w:val="single" w:sz="4" w:space="0" w:color="auto"/>
              <w:right w:val="single" w:sz="4" w:space="0" w:color="auto"/>
            </w:tcBorders>
            <w:shd w:val="clear" w:color="auto" w:fill="auto"/>
            <w:noWrap/>
            <w:vAlign w:val="bottom"/>
            <w:hideMark/>
          </w:tcPr>
          <w:p w14:paraId="6F6B97F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609.3</w:t>
            </w:r>
          </w:p>
        </w:tc>
        <w:tc>
          <w:tcPr>
            <w:tcW w:w="390" w:type="pct"/>
            <w:tcBorders>
              <w:top w:val="nil"/>
              <w:left w:val="nil"/>
              <w:bottom w:val="single" w:sz="4" w:space="0" w:color="auto"/>
              <w:right w:val="single" w:sz="4" w:space="0" w:color="auto"/>
            </w:tcBorders>
            <w:shd w:val="clear" w:color="auto" w:fill="auto"/>
            <w:noWrap/>
            <w:vAlign w:val="bottom"/>
            <w:hideMark/>
          </w:tcPr>
          <w:p w14:paraId="0DB18CF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292.0</w:t>
            </w:r>
          </w:p>
        </w:tc>
        <w:tc>
          <w:tcPr>
            <w:tcW w:w="390" w:type="pct"/>
            <w:tcBorders>
              <w:top w:val="nil"/>
              <w:left w:val="nil"/>
              <w:bottom w:val="single" w:sz="4" w:space="0" w:color="auto"/>
              <w:right w:val="single" w:sz="4" w:space="0" w:color="auto"/>
            </w:tcBorders>
            <w:shd w:val="clear" w:color="auto" w:fill="auto"/>
            <w:noWrap/>
            <w:vAlign w:val="bottom"/>
            <w:hideMark/>
          </w:tcPr>
          <w:p w14:paraId="6F79960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106.7</w:t>
            </w:r>
          </w:p>
        </w:tc>
        <w:tc>
          <w:tcPr>
            <w:tcW w:w="390" w:type="pct"/>
            <w:tcBorders>
              <w:top w:val="nil"/>
              <w:left w:val="nil"/>
              <w:bottom w:val="single" w:sz="4" w:space="0" w:color="auto"/>
              <w:right w:val="single" w:sz="4" w:space="0" w:color="auto"/>
            </w:tcBorders>
            <w:shd w:val="clear" w:color="auto" w:fill="auto"/>
            <w:noWrap/>
            <w:vAlign w:val="bottom"/>
            <w:hideMark/>
          </w:tcPr>
          <w:p w14:paraId="267E650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281.0</w:t>
            </w:r>
          </w:p>
        </w:tc>
        <w:tc>
          <w:tcPr>
            <w:tcW w:w="390" w:type="pct"/>
            <w:tcBorders>
              <w:top w:val="nil"/>
              <w:left w:val="nil"/>
              <w:bottom w:val="single" w:sz="4" w:space="0" w:color="auto"/>
              <w:right w:val="single" w:sz="4" w:space="0" w:color="auto"/>
            </w:tcBorders>
            <w:shd w:val="clear" w:color="auto" w:fill="auto"/>
            <w:noWrap/>
            <w:vAlign w:val="bottom"/>
            <w:hideMark/>
          </w:tcPr>
          <w:p w14:paraId="59F5FA5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549.0</w:t>
            </w:r>
          </w:p>
        </w:tc>
        <w:tc>
          <w:tcPr>
            <w:tcW w:w="392" w:type="pct"/>
            <w:tcBorders>
              <w:top w:val="nil"/>
              <w:left w:val="nil"/>
              <w:bottom w:val="single" w:sz="4" w:space="0" w:color="auto"/>
              <w:right w:val="single" w:sz="4" w:space="0" w:color="auto"/>
            </w:tcBorders>
            <w:shd w:val="clear" w:color="auto" w:fill="auto"/>
            <w:noWrap/>
            <w:vAlign w:val="bottom"/>
            <w:hideMark/>
          </w:tcPr>
          <w:p w14:paraId="4C916B5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647.1</w:t>
            </w:r>
          </w:p>
        </w:tc>
      </w:tr>
      <w:tr w:rsidR="00EC0251" w:rsidRPr="00EC0251" w14:paraId="4A2094EA" w14:textId="77777777" w:rsidTr="00A801BF">
        <w:trPr>
          <w:trHeight w:val="540"/>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1B381785"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Salud</w:t>
            </w:r>
          </w:p>
        </w:tc>
        <w:tc>
          <w:tcPr>
            <w:tcW w:w="847" w:type="pct"/>
            <w:tcBorders>
              <w:top w:val="nil"/>
              <w:left w:val="nil"/>
              <w:bottom w:val="single" w:sz="4" w:space="0" w:color="auto"/>
              <w:right w:val="single" w:sz="4" w:space="0" w:color="auto"/>
            </w:tcBorders>
            <w:shd w:val="clear" w:color="auto" w:fill="auto"/>
            <w:vAlign w:val="bottom"/>
            <w:hideMark/>
          </w:tcPr>
          <w:p w14:paraId="51EAFE4B"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médicos generales</w:t>
            </w:r>
          </w:p>
        </w:tc>
        <w:tc>
          <w:tcPr>
            <w:tcW w:w="390" w:type="pct"/>
            <w:tcBorders>
              <w:top w:val="nil"/>
              <w:left w:val="nil"/>
              <w:bottom w:val="single" w:sz="4" w:space="0" w:color="auto"/>
              <w:right w:val="single" w:sz="4" w:space="0" w:color="auto"/>
            </w:tcBorders>
            <w:shd w:val="clear" w:color="auto" w:fill="auto"/>
            <w:noWrap/>
            <w:vAlign w:val="bottom"/>
            <w:hideMark/>
          </w:tcPr>
          <w:p w14:paraId="3F2A5DD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1,681.5</w:t>
            </w:r>
          </w:p>
        </w:tc>
        <w:tc>
          <w:tcPr>
            <w:tcW w:w="390" w:type="pct"/>
            <w:tcBorders>
              <w:top w:val="nil"/>
              <w:left w:val="nil"/>
              <w:bottom w:val="single" w:sz="4" w:space="0" w:color="auto"/>
              <w:right w:val="single" w:sz="4" w:space="0" w:color="auto"/>
            </w:tcBorders>
            <w:shd w:val="clear" w:color="auto" w:fill="auto"/>
            <w:noWrap/>
            <w:vAlign w:val="bottom"/>
            <w:hideMark/>
          </w:tcPr>
          <w:p w14:paraId="575EA55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1,778.6</w:t>
            </w:r>
          </w:p>
        </w:tc>
        <w:tc>
          <w:tcPr>
            <w:tcW w:w="390" w:type="pct"/>
            <w:tcBorders>
              <w:top w:val="nil"/>
              <w:left w:val="nil"/>
              <w:bottom w:val="single" w:sz="4" w:space="0" w:color="auto"/>
              <w:right w:val="single" w:sz="4" w:space="0" w:color="auto"/>
            </w:tcBorders>
            <w:shd w:val="clear" w:color="auto" w:fill="auto"/>
            <w:noWrap/>
            <w:vAlign w:val="bottom"/>
            <w:hideMark/>
          </w:tcPr>
          <w:p w14:paraId="64FB040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2,080.8</w:t>
            </w:r>
          </w:p>
        </w:tc>
        <w:tc>
          <w:tcPr>
            <w:tcW w:w="390" w:type="pct"/>
            <w:tcBorders>
              <w:top w:val="nil"/>
              <w:left w:val="nil"/>
              <w:bottom w:val="single" w:sz="4" w:space="0" w:color="auto"/>
              <w:right w:val="single" w:sz="4" w:space="0" w:color="auto"/>
            </w:tcBorders>
            <w:shd w:val="clear" w:color="auto" w:fill="auto"/>
            <w:noWrap/>
            <w:vAlign w:val="bottom"/>
            <w:hideMark/>
          </w:tcPr>
          <w:p w14:paraId="0CD75F1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2,414.6</w:t>
            </w:r>
          </w:p>
        </w:tc>
        <w:tc>
          <w:tcPr>
            <w:tcW w:w="390" w:type="pct"/>
            <w:tcBorders>
              <w:top w:val="nil"/>
              <w:left w:val="nil"/>
              <w:bottom w:val="single" w:sz="4" w:space="0" w:color="auto"/>
              <w:right w:val="single" w:sz="4" w:space="0" w:color="auto"/>
            </w:tcBorders>
            <w:shd w:val="clear" w:color="auto" w:fill="auto"/>
            <w:noWrap/>
            <w:vAlign w:val="bottom"/>
            <w:hideMark/>
          </w:tcPr>
          <w:p w14:paraId="3D66915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2,820.1</w:t>
            </w:r>
          </w:p>
        </w:tc>
        <w:tc>
          <w:tcPr>
            <w:tcW w:w="390" w:type="pct"/>
            <w:tcBorders>
              <w:top w:val="nil"/>
              <w:left w:val="nil"/>
              <w:bottom w:val="single" w:sz="4" w:space="0" w:color="auto"/>
              <w:right w:val="single" w:sz="4" w:space="0" w:color="auto"/>
            </w:tcBorders>
            <w:shd w:val="clear" w:color="auto" w:fill="auto"/>
            <w:noWrap/>
            <w:vAlign w:val="bottom"/>
            <w:hideMark/>
          </w:tcPr>
          <w:p w14:paraId="22E2E77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3,041.2</w:t>
            </w:r>
          </w:p>
        </w:tc>
        <w:tc>
          <w:tcPr>
            <w:tcW w:w="390" w:type="pct"/>
            <w:tcBorders>
              <w:top w:val="nil"/>
              <w:left w:val="nil"/>
              <w:bottom w:val="single" w:sz="4" w:space="0" w:color="auto"/>
              <w:right w:val="single" w:sz="4" w:space="0" w:color="auto"/>
            </w:tcBorders>
            <w:shd w:val="clear" w:color="auto" w:fill="auto"/>
            <w:noWrap/>
            <w:vAlign w:val="bottom"/>
            <w:hideMark/>
          </w:tcPr>
          <w:p w14:paraId="75D580F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2,934.1</w:t>
            </w:r>
          </w:p>
        </w:tc>
        <w:tc>
          <w:tcPr>
            <w:tcW w:w="390" w:type="pct"/>
            <w:tcBorders>
              <w:top w:val="nil"/>
              <w:left w:val="nil"/>
              <w:bottom w:val="single" w:sz="4" w:space="0" w:color="auto"/>
              <w:right w:val="single" w:sz="4" w:space="0" w:color="auto"/>
            </w:tcBorders>
            <w:shd w:val="clear" w:color="auto" w:fill="auto"/>
            <w:noWrap/>
            <w:vAlign w:val="bottom"/>
            <w:hideMark/>
          </w:tcPr>
          <w:p w14:paraId="1AC05B7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2,944.6</w:t>
            </w:r>
          </w:p>
        </w:tc>
        <w:tc>
          <w:tcPr>
            <w:tcW w:w="392" w:type="pct"/>
            <w:tcBorders>
              <w:top w:val="nil"/>
              <w:left w:val="nil"/>
              <w:bottom w:val="single" w:sz="4" w:space="0" w:color="auto"/>
              <w:right w:val="single" w:sz="4" w:space="0" w:color="auto"/>
            </w:tcBorders>
            <w:shd w:val="clear" w:color="auto" w:fill="auto"/>
            <w:noWrap/>
            <w:vAlign w:val="bottom"/>
            <w:hideMark/>
          </w:tcPr>
          <w:p w14:paraId="6080D96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2,717.4</w:t>
            </w:r>
          </w:p>
        </w:tc>
      </w:tr>
      <w:tr w:rsidR="00EC0251" w:rsidRPr="00EC0251" w14:paraId="7D1B17B2"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5EFDA8B3"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443DD71C"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médicos especializados</w:t>
            </w:r>
          </w:p>
        </w:tc>
        <w:tc>
          <w:tcPr>
            <w:tcW w:w="390" w:type="pct"/>
            <w:tcBorders>
              <w:top w:val="nil"/>
              <w:left w:val="nil"/>
              <w:bottom w:val="single" w:sz="4" w:space="0" w:color="auto"/>
              <w:right w:val="single" w:sz="4" w:space="0" w:color="auto"/>
            </w:tcBorders>
            <w:shd w:val="clear" w:color="auto" w:fill="auto"/>
            <w:noWrap/>
            <w:vAlign w:val="bottom"/>
            <w:hideMark/>
          </w:tcPr>
          <w:p w14:paraId="13721F3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53.4</w:t>
            </w:r>
          </w:p>
        </w:tc>
        <w:tc>
          <w:tcPr>
            <w:tcW w:w="390" w:type="pct"/>
            <w:tcBorders>
              <w:top w:val="nil"/>
              <w:left w:val="nil"/>
              <w:bottom w:val="single" w:sz="4" w:space="0" w:color="auto"/>
              <w:right w:val="single" w:sz="4" w:space="0" w:color="auto"/>
            </w:tcBorders>
            <w:shd w:val="clear" w:color="auto" w:fill="auto"/>
            <w:noWrap/>
            <w:vAlign w:val="bottom"/>
            <w:hideMark/>
          </w:tcPr>
          <w:p w14:paraId="1C247D3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64.9</w:t>
            </w:r>
          </w:p>
        </w:tc>
        <w:tc>
          <w:tcPr>
            <w:tcW w:w="390" w:type="pct"/>
            <w:tcBorders>
              <w:top w:val="nil"/>
              <w:left w:val="nil"/>
              <w:bottom w:val="single" w:sz="4" w:space="0" w:color="auto"/>
              <w:right w:val="single" w:sz="4" w:space="0" w:color="auto"/>
            </w:tcBorders>
            <w:shd w:val="clear" w:color="auto" w:fill="auto"/>
            <w:noWrap/>
            <w:vAlign w:val="bottom"/>
            <w:hideMark/>
          </w:tcPr>
          <w:p w14:paraId="3EE4609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52.6</w:t>
            </w:r>
          </w:p>
        </w:tc>
        <w:tc>
          <w:tcPr>
            <w:tcW w:w="390" w:type="pct"/>
            <w:tcBorders>
              <w:top w:val="nil"/>
              <w:left w:val="nil"/>
              <w:bottom w:val="single" w:sz="4" w:space="0" w:color="auto"/>
              <w:right w:val="single" w:sz="4" w:space="0" w:color="auto"/>
            </w:tcBorders>
            <w:shd w:val="clear" w:color="auto" w:fill="auto"/>
            <w:noWrap/>
            <w:vAlign w:val="bottom"/>
            <w:hideMark/>
          </w:tcPr>
          <w:p w14:paraId="5A5AC19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55.3</w:t>
            </w:r>
          </w:p>
        </w:tc>
        <w:tc>
          <w:tcPr>
            <w:tcW w:w="390" w:type="pct"/>
            <w:tcBorders>
              <w:top w:val="nil"/>
              <w:left w:val="nil"/>
              <w:bottom w:val="single" w:sz="4" w:space="0" w:color="auto"/>
              <w:right w:val="single" w:sz="4" w:space="0" w:color="auto"/>
            </w:tcBorders>
            <w:shd w:val="clear" w:color="auto" w:fill="auto"/>
            <w:noWrap/>
            <w:vAlign w:val="bottom"/>
            <w:hideMark/>
          </w:tcPr>
          <w:p w14:paraId="66C0DEC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51.9</w:t>
            </w:r>
          </w:p>
        </w:tc>
        <w:tc>
          <w:tcPr>
            <w:tcW w:w="390" w:type="pct"/>
            <w:tcBorders>
              <w:top w:val="nil"/>
              <w:left w:val="nil"/>
              <w:bottom w:val="single" w:sz="4" w:space="0" w:color="auto"/>
              <w:right w:val="single" w:sz="4" w:space="0" w:color="auto"/>
            </w:tcBorders>
            <w:shd w:val="clear" w:color="auto" w:fill="auto"/>
            <w:noWrap/>
            <w:vAlign w:val="bottom"/>
            <w:hideMark/>
          </w:tcPr>
          <w:p w14:paraId="102F188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80.4</w:t>
            </w:r>
          </w:p>
        </w:tc>
        <w:tc>
          <w:tcPr>
            <w:tcW w:w="390" w:type="pct"/>
            <w:tcBorders>
              <w:top w:val="nil"/>
              <w:left w:val="nil"/>
              <w:bottom w:val="single" w:sz="4" w:space="0" w:color="auto"/>
              <w:right w:val="single" w:sz="4" w:space="0" w:color="auto"/>
            </w:tcBorders>
            <w:shd w:val="clear" w:color="auto" w:fill="auto"/>
            <w:noWrap/>
            <w:vAlign w:val="bottom"/>
            <w:hideMark/>
          </w:tcPr>
          <w:p w14:paraId="79CC377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93.5</w:t>
            </w:r>
          </w:p>
        </w:tc>
        <w:tc>
          <w:tcPr>
            <w:tcW w:w="390" w:type="pct"/>
            <w:tcBorders>
              <w:top w:val="nil"/>
              <w:left w:val="nil"/>
              <w:bottom w:val="single" w:sz="4" w:space="0" w:color="auto"/>
              <w:right w:val="single" w:sz="4" w:space="0" w:color="auto"/>
            </w:tcBorders>
            <w:shd w:val="clear" w:color="auto" w:fill="auto"/>
            <w:noWrap/>
            <w:vAlign w:val="bottom"/>
            <w:hideMark/>
          </w:tcPr>
          <w:p w14:paraId="2A790DA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93.1</w:t>
            </w:r>
          </w:p>
        </w:tc>
        <w:tc>
          <w:tcPr>
            <w:tcW w:w="392" w:type="pct"/>
            <w:tcBorders>
              <w:top w:val="nil"/>
              <w:left w:val="nil"/>
              <w:bottom w:val="single" w:sz="4" w:space="0" w:color="auto"/>
              <w:right w:val="single" w:sz="4" w:space="0" w:color="auto"/>
            </w:tcBorders>
            <w:shd w:val="clear" w:color="auto" w:fill="auto"/>
            <w:noWrap/>
            <w:vAlign w:val="bottom"/>
            <w:hideMark/>
          </w:tcPr>
          <w:p w14:paraId="010D7A5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65.6</w:t>
            </w:r>
          </w:p>
        </w:tc>
      </w:tr>
      <w:tr w:rsidR="00EC0251" w:rsidRPr="00EC0251" w14:paraId="7CD389EC"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1368FB6F"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3D828267"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hospitalarios especializados</w:t>
            </w:r>
          </w:p>
        </w:tc>
        <w:tc>
          <w:tcPr>
            <w:tcW w:w="390" w:type="pct"/>
            <w:tcBorders>
              <w:top w:val="nil"/>
              <w:left w:val="nil"/>
              <w:bottom w:val="single" w:sz="4" w:space="0" w:color="auto"/>
              <w:right w:val="single" w:sz="4" w:space="0" w:color="auto"/>
            </w:tcBorders>
            <w:shd w:val="clear" w:color="auto" w:fill="auto"/>
            <w:noWrap/>
            <w:vAlign w:val="bottom"/>
            <w:hideMark/>
          </w:tcPr>
          <w:p w14:paraId="52D1824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233.3</w:t>
            </w:r>
          </w:p>
        </w:tc>
        <w:tc>
          <w:tcPr>
            <w:tcW w:w="390" w:type="pct"/>
            <w:tcBorders>
              <w:top w:val="nil"/>
              <w:left w:val="nil"/>
              <w:bottom w:val="single" w:sz="4" w:space="0" w:color="auto"/>
              <w:right w:val="single" w:sz="4" w:space="0" w:color="auto"/>
            </w:tcBorders>
            <w:shd w:val="clear" w:color="auto" w:fill="auto"/>
            <w:noWrap/>
            <w:vAlign w:val="bottom"/>
            <w:hideMark/>
          </w:tcPr>
          <w:p w14:paraId="4A7FEE5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228.8</w:t>
            </w:r>
          </w:p>
        </w:tc>
        <w:tc>
          <w:tcPr>
            <w:tcW w:w="390" w:type="pct"/>
            <w:tcBorders>
              <w:top w:val="nil"/>
              <w:left w:val="nil"/>
              <w:bottom w:val="single" w:sz="4" w:space="0" w:color="auto"/>
              <w:right w:val="single" w:sz="4" w:space="0" w:color="auto"/>
            </w:tcBorders>
            <w:shd w:val="clear" w:color="auto" w:fill="auto"/>
            <w:noWrap/>
            <w:vAlign w:val="bottom"/>
            <w:hideMark/>
          </w:tcPr>
          <w:p w14:paraId="28E6F51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237.9</w:t>
            </w:r>
          </w:p>
        </w:tc>
        <w:tc>
          <w:tcPr>
            <w:tcW w:w="390" w:type="pct"/>
            <w:tcBorders>
              <w:top w:val="nil"/>
              <w:left w:val="nil"/>
              <w:bottom w:val="single" w:sz="4" w:space="0" w:color="auto"/>
              <w:right w:val="single" w:sz="4" w:space="0" w:color="auto"/>
            </w:tcBorders>
            <w:shd w:val="clear" w:color="auto" w:fill="auto"/>
            <w:noWrap/>
            <w:vAlign w:val="bottom"/>
            <w:hideMark/>
          </w:tcPr>
          <w:p w14:paraId="3F56494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287.6</w:t>
            </w:r>
          </w:p>
        </w:tc>
        <w:tc>
          <w:tcPr>
            <w:tcW w:w="390" w:type="pct"/>
            <w:tcBorders>
              <w:top w:val="nil"/>
              <w:left w:val="nil"/>
              <w:bottom w:val="single" w:sz="4" w:space="0" w:color="auto"/>
              <w:right w:val="single" w:sz="4" w:space="0" w:color="auto"/>
            </w:tcBorders>
            <w:shd w:val="clear" w:color="auto" w:fill="auto"/>
            <w:noWrap/>
            <w:vAlign w:val="bottom"/>
            <w:hideMark/>
          </w:tcPr>
          <w:p w14:paraId="6C4515C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297.6</w:t>
            </w:r>
          </w:p>
        </w:tc>
        <w:tc>
          <w:tcPr>
            <w:tcW w:w="390" w:type="pct"/>
            <w:tcBorders>
              <w:top w:val="nil"/>
              <w:left w:val="nil"/>
              <w:bottom w:val="single" w:sz="4" w:space="0" w:color="auto"/>
              <w:right w:val="single" w:sz="4" w:space="0" w:color="auto"/>
            </w:tcBorders>
            <w:shd w:val="clear" w:color="auto" w:fill="auto"/>
            <w:noWrap/>
            <w:vAlign w:val="bottom"/>
            <w:hideMark/>
          </w:tcPr>
          <w:p w14:paraId="31618B5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310.9</w:t>
            </w:r>
          </w:p>
        </w:tc>
        <w:tc>
          <w:tcPr>
            <w:tcW w:w="390" w:type="pct"/>
            <w:tcBorders>
              <w:top w:val="nil"/>
              <w:left w:val="nil"/>
              <w:bottom w:val="single" w:sz="4" w:space="0" w:color="auto"/>
              <w:right w:val="single" w:sz="4" w:space="0" w:color="auto"/>
            </w:tcBorders>
            <w:shd w:val="clear" w:color="auto" w:fill="auto"/>
            <w:noWrap/>
            <w:vAlign w:val="bottom"/>
            <w:hideMark/>
          </w:tcPr>
          <w:p w14:paraId="062AB7C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317.6</w:t>
            </w:r>
          </w:p>
        </w:tc>
        <w:tc>
          <w:tcPr>
            <w:tcW w:w="390" w:type="pct"/>
            <w:tcBorders>
              <w:top w:val="nil"/>
              <w:left w:val="nil"/>
              <w:bottom w:val="single" w:sz="4" w:space="0" w:color="auto"/>
              <w:right w:val="single" w:sz="4" w:space="0" w:color="auto"/>
            </w:tcBorders>
            <w:shd w:val="clear" w:color="auto" w:fill="auto"/>
            <w:noWrap/>
            <w:vAlign w:val="bottom"/>
            <w:hideMark/>
          </w:tcPr>
          <w:p w14:paraId="2FD867B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316.8</w:t>
            </w:r>
          </w:p>
        </w:tc>
        <w:tc>
          <w:tcPr>
            <w:tcW w:w="392" w:type="pct"/>
            <w:tcBorders>
              <w:top w:val="nil"/>
              <w:left w:val="nil"/>
              <w:bottom w:val="single" w:sz="4" w:space="0" w:color="auto"/>
              <w:right w:val="single" w:sz="4" w:space="0" w:color="auto"/>
            </w:tcBorders>
            <w:shd w:val="clear" w:color="auto" w:fill="auto"/>
            <w:noWrap/>
            <w:vAlign w:val="bottom"/>
            <w:hideMark/>
          </w:tcPr>
          <w:p w14:paraId="1C0EBF7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338.6</w:t>
            </w:r>
          </w:p>
        </w:tc>
      </w:tr>
      <w:tr w:rsidR="00EC0251" w:rsidRPr="00EC0251" w14:paraId="197F8E01" w14:textId="77777777" w:rsidTr="00A801BF">
        <w:trPr>
          <w:trHeight w:val="810"/>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5A5F1932"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Actividades recreativas, cultura y religión</w:t>
            </w:r>
          </w:p>
        </w:tc>
        <w:tc>
          <w:tcPr>
            <w:tcW w:w="847" w:type="pct"/>
            <w:tcBorders>
              <w:top w:val="nil"/>
              <w:left w:val="nil"/>
              <w:bottom w:val="single" w:sz="4" w:space="0" w:color="auto"/>
              <w:right w:val="single" w:sz="4" w:space="0" w:color="auto"/>
            </w:tcBorders>
            <w:shd w:val="clear" w:color="auto" w:fill="auto"/>
            <w:noWrap/>
            <w:vAlign w:val="bottom"/>
            <w:hideMark/>
          </w:tcPr>
          <w:p w14:paraId="0D5673C0"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culturales</w:t>
            </w:r>
          </w:p>
        </w:tc>
        <w:tc>
          <w:tcPr>
            <w:tcW w:w="390" w:type="pct"/>
            <w:tcBorders>
              <w:top w:val="nil"/>
              <w:left w:val="nil"/>
              <w:bottom w:val="single" w:sz="4" w:space="0" w:color="auto"/>
              <w:right w:val="single" w:sz="4" w:space="0" w:color="auto"/>
            </w:tcBorders>
            <w:shd w:val="clear" w:color="auto" w:fill="auto"/>
            <w:noWrap/>
            <w:vAlign w:val="bottom"/>
            <w:hideMark/>
          </w:tcPr>
          <w:p w14:paraId="48A3456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205.9</w:t>
            </w:r>
          </w:p>
        </w:tc>
        <w:tc>
          <w:tcPr>
            <w:tcW w:w="390" w:type="pct"/>
            <w:tcBorders>
              <w:top w:val="nil"/>
              <w:left w:val="nil"/>
              <w:bottom w:val="single" w:sz="4" w:space="0" w:color="auto"/>
              <w:right w:val="single" w:sz="4" w:space="0" w:color="auto"/>
            </w:tcBorders>
            <w:shd w:val="clear" w:color="auto" w:fill="auto"/>
            <w:noWrap/>
            <w:vAlign w:val="bottom"/>
            <w:hideMark/>
          </w:tcPr>
          <w:p w14:paraId="3AAA19D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239.4</w:t>
            </w:r>
          </w:p>
        </w:tc>
        <w:tc>
          <w:tcPr>
            <w:tcW w:w="390" w:type="pct"/>
            <w:tcBorders>
              <w:top w:val="nil"/>
              <w:left w:val="nil"/>
              <w:bottom w:val="single" w:sz="4" w:space="0" w:color="auto"/>
              <w:right w:val="single" w:sz="4" w:space="0" w:color="auto"/>
            </w:tcBorders>
            <w:shd w:val="clear" w:color="auto" w:fill="auto"/>
            <w:noWrap/>
            <w:vAlign w:val="bottom"/>
            <w:hideMark/>
          </w:tcPr>
          <w:p w14:paraId="2AAD56D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214.5</w:t>
            </w:r>
          </w:p>
        </w:tc>
        <w:tc>
          <w:tcPr>
            <w:tcW w:w="390" w:type="pct"/>
            <w:tcBorders>
              <w:top w:val="nil"/>
              <w:left w:val="nil"/>
              <w:bottom w:val="single" w:sz="4" w:space="0" w:color="auto"/>
              <w:right w:val="single" w:sz="4" w:space="0" w:color="auto"/>
            </w:tcBorders>
            <w:shd w:val="clear" w:color="auto" w:fill="auto"/>
            <w:noWrap/>
            <w:vAlign w:val="bottom"/>
            <w:hideMark/>
          </w:tcPr>
          <w:p w14:paraId="56EA6AB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219.1</w:t>
            </w:r>
          </w:p>
        </w:tc>
        <w:tc>
          <w:tcPr>
            <w:tcW w:w="390" w:type="pct"/>
            <w:tcBorders>
              <w:top w:val="nil"/>
              <w:left w:val="nil"/>
              <w:bottom w:val="single" w:sz="4" w:space="0" w:color="auto"/>
              <w:right w:val="single" w:sz="4" w:space="0" w:color="auto"/>
            </w:tcBorders>
            <w:shd w:val="clear" w:color="auto" w:fill="auto"/>
            <w:noWrap/>
            <w:vAlign w:val="bottom"/>
            <w:hideMark/>
          </w:tcPr>
          <w:p w14:paraId="7A0D208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231.3</w:t>
            </w:r>
          </w:p>
        </w:tc>
        <w:tc>
          <w:tcPr>
            <w:tcW w:w="390" w:type="pct"/>
            <w:tcBorders>
              <w:top w:val="nil"/>
              <w:left w:val="nil"/>
              <w:bottom w:val="single" w:sz="4" w:space="0" w:color="auto"/>
              <w:right w:val="single" w:sz="4" w:space="0" w:color="auto"/>
            </w:tcBorders>
            <w:shd w:val="clear" w:color="auto" w:fill="auto"/>
            <w:noWrap/>
            <w:vAlign w:val="bottom"/>
            <w:hideMark/>
          </w:tcPr>
          <w:p w14:paraId="64A50B3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204.1</w:t>
            </w:r>
          </w:p>
        </w:tc>
        <w:tc>
          <w:tcPr>
            <w:tcW w:w="390" w:type="pct"/>
            <w:tcBorders>
              <w:top w:val="nil"/>
              <w:left w:val="nil"/>
              <w:bottom w:val="single" w:sz="4" w:space="0" w:color="auto"/>
              <w:right w:val="single" w:sz="4" w:space="0" w:color="auto"/>
            </w:tcBorders>
            <w:shd w:val="clear" w:color="auto" w:fill="auto"/>
            <w:noWrap/>
            <w:vAlign w:val="bottom"/>
            <w:hideMark/>
          </w:tcPr>
          <w:p w14:paraId="2AAD38A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230.2</w:t>
            </w:r>
          </w:p>
        </w:tc>
        <w:tc>
          <w:tcPr>
            <w:tcW w:w="390" w:type="pct"/>
            <w:tcBorders>
              <w:top w:val="nil"/>
              <w:left w:val="nil"/>
              <w:bottom w:val="single" w:sz="4" w:space="0" w:color="auto"/>
              <w:right w:val="single" w:sz="4" w:space="0" w:color="auto"/>
            </w:tcBorders>
            <w:shd w:val="clear" w:color="auto" w:fill="auto"/>
            <w:noWrap/>
            <w:vAlign w:val="bottom"/>
            <w:hideMark/>
          </w:tcPr>
          <w:p w14:paraId="5262D3B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281.2</w:t>
            </w:r>
          </w:p>
        </w:tc>
        <w:tc>
          <w:tcPr>
            <w:tcW w:w="392" w:type="pct"/>
            <w:tcBorders>
              <w:top w:val="nil"/>
              <w:left w:val="nil"/>
              <w:bottom w:val="single" w:sz="4" w:space="0" w:color="auto"/>
              <w:right w:val="single" w:sz="4" w:space="0" w:color="auto"/>
            </w:tcBorders>
            <w:shd w:val="clear" w:color="auto" w:fill="auto"/>
            <w:noWrap/>
            <w:vAlign w:val="bottom"/>
            <w:hideMark/>
          </w:tcPr>
          <w:p w14:paraId="346172D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287.6</w:t>
            </w:r>
          </w:p>
        </w:tc>
      </w:tr>
      <w:tr w:rsidR="00EC0251" w:rsidRPr="00EC0251" w14:paraId="5F922680" w14:textId="77777777" w:rsidTr="00A801BF">
        <w:trPr>
          <w:trHeight w:val="780"/>
        </w:trPr>
        <w:tc>
          <w:tcPr>
            <w:tcW w:w="639" w:type="pct"/>
            <w:vMerge/>
            <w:tcBorders>
              <w:top w:val="nil"/>
              <w:left w:val="single" w:sz="4" w:space="0" w:color="auto"/>
              <w:bottom w:val="single" w:sz="4" w:space="0" w:color="auto"/>
              <w:right w:val="single" w:sz="4" w:space="0" w:color="auto"/>
            </w:tcBorders>
            <w:vAlign w:val="center"/>
            <w:hideMark/>
          </w:tcPr>
          <w:p w14:paraId="4D77856B"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7D463787"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de radio y televisión y servicios editoriales</w:t>
            </w:r>
          </w:p>
        </w:tc>
        <w:tc>
          <w:tcPr>
            <w:tcW w:w="390" w:type="pct"/>
            <w:tcBorders>
              <w:top w:val="nil"/>
              <w:left w:val="nil"/>
              <w:bottom w:val="single" w:sz="4" w:space="0" w:color="auto"/>
              <w:right w:val="single" w:sz="4" w:space="0" w:color="auto"/>
            </w:tcBorders>
            <w:shd w:val="clear" w:color="auto" w:fill="auto"/>
            <w:noWrap/>
            <w:vAlign w:val="bottom"/>
            <w:hideMark/>
          </w:tcPr>
          <w:p w14:paraId="09CD383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13.5</w:t>
            </w:r>
          </w:p>
        </w:tc>
        <w:tc>
          <w:tcPr>
            <w:tcW w:w="390" w:type="pct"/>
            <w:tcBorders>
              <w:top w:val="nil"/>
              <w:left w:val="nil"/>
              <w:bottom w:val="single" w:sz="4" w:space="0" w:color="auto"/>
              <w:right w:val="single" w:sz="4" w:space="0" w:color="auto"/>
            </w:tcBorders>
            <w:shd w:val="clear" w:color="auto" w:fill="auto"/>
            <w:noWrap/>
            <w:vAlign w:val="bottom"/>
            <w:hideMark/>
          </w:tcPr>
          <w:p w14:paraId="20F19D4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14.4</w:t>
            </w:r>
          </w:p>
        </w:tc>
        <w:tc>
          <w:tcPr>
            <w:tcW w:w="390" w:type="pct"/>
            <w:tcBorders>
              <w:top w:val="nil"/>
              <w:left w:val="nil"/>
              <w:bottom w:val="single" w:sz="4" w:space="0" w:color="auto"/>
              <w:right w:val="single" w:sz="4" w:space="0" w:color="auto"/>
            </w:tcBorders>
            <w:shd w:val="clear" w:color="auto" w:fill="auto"/>
            <w:noWrap/>
            <w:vAlign w:val="bottom"/>
            <w:hideMark/>
          </w:tcPr>
          <w:p w14:paraId="702B485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16.6</w:t>
            </w:r>
          </w:p>
        </w:tc>
        <w:tc>
          <w:tcPr>
            <w:tcW w:w="390" w:type="pct"/>
            <w:tcBorders>
              <w:top w:val="nil"/>
              <w:left w:val="nil"/>
              <w:bottom w:val="single" w:sz="4" w:space="0" w:color="auto"/>
              <w:right w:val="single" w:sz="4" w:space="0" w:color="auto"/>
            </w:tcBorders>
            <w:shd w:val="clear" w:color="auto" w:fill="auto"/>
            <w:noWrap/>
            <w:vAlign w:val="bottom"/>
            <w:hideMark/>
          </w:tcPr>
          <w:p w14:paraId="478411F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15.9</w:t>
            </w:r>
          </w:p>
        </w:tc>
        <w:tc>
          <w:tcPr>
            <w:tcW w:w="390" w:type="pct"/>
            <w:tcBorders>
              <w:top w:val="nil"/>
              <w:left w:val="nil"/>
              <w:bottom w:val="single" w:sz="4" w:space="0" w:color="auto"/>
              <w:right w:val="single" w:sz="4" w:space="0" w:color="auto"/>
            </w:tcBorders>
            <w:shd w:val="clear" w:color="auto" w:fill="auto"/>
            <w:noWrap/>
            <w:vAlign w:val="bottom"/>
            <w:hideMark/>
          </w:tcPr>
          <w:p w14:paraId="30B3210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13.9</w:t>
            </w:r>
          </w:p>
        </w:tc>
        <w:tc>
          <w:tcPr>
            <w:tcW w:w="390" w:type="pct"/>
            <w:tcBorders>
              <w:top w:val="nil"/>
              <w:left w:val="nil"/>
              <w:bottom w:val="single" w:sz="4" w:space="0" w:color="auto"/>
              <w:right w:val="single" w:sz="4" w:space="0" w:color="auto"/>
            </w:tcBorders>
            <w:shd w:val="clear" w:color="auto" w:fill="auto"/>
            <w:noWrap/>
            <w:vAlign w:val="bottom"/>
            <w:hideMark/>
          </w:tcPr>
          <w:p w14:paraId="6305F42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12.6</w:t>
            </w:r>
          </w:p>
        </w:tc>
        <w:tc>
          <w:tcPr>
            <w:tcW w:w="390" w:type="pct"/>
            <w:tcBorders>
              <w:top w:val="nil"/>
              <w:left w:val="nil"/>
              <w:bottom w:val="single" w:sz="4" w:space="0" w:color="auto"/>
              <w:right w:val="single" w:sz="4" w:space="0" w:color="auto"/>
            </w:tcBorders>
            <w:shd w:val="clear" w:color="auto" w:fill="auto"/>
            <w:noWrap/>
            <w:vAlign w:val="bottom"/>
            <w:hideMark/>
          </w:tcPr>
          <w:p w14:paraId="7673B53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12.0</w:t>
            </w:r>
          </w:p>
        </w:tc>
        <w:tc>
          <w:tcPr>
            <w:tcW w:w="390" w:type="pct"/>
            <w:tcBorders>
              <w:top w:val="nil"/>
              <w:left w:val="nil"/>
              <w:bottom w:val="single" w:sz="4" w:space="0" w:color="auto"/>
              <w:right w:val="single" w:sz="4" w:space="0" w:color="auto"/>
            </w:tcBorders>
            <w:shd w:val="clear" w:color="auto" w:fill="auto"/>
            <w:noWrap/>
            <w:vAlign w:val="bottom"/>
            <w:hideMark/>
          </w:tcPr>
          <w:p w14:paraId="4FFBB1E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14.2</w:t>
            </w:r>
          </w:p>
        </w:tc>
        <w:tc>
          <w:tcPr>
            <w:tcW w:w="392" w:type="pct"/>
            <w:tcBorders>
              <w:top w:val="nil"/>
              <w:left w:val="nil"/>
              <w:bottom w:val="single" w:sz="4" w:space="0" w:color="auto"/>
              <w:right w:val="single" w:sz="4" w:space="0" w:color="auto"/>
            </w:tcBorders>
            <w:shd w:val="clear" w:color="auto" w:fill="auto"/>
            <w:noWrap/>
            <w:vAlign w:val="bottom"/>
            <w:hideMark/>
          </w:tcPr>
          <w:p w14:paraId="05E5E51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18.2</w:t>
            </w:r>
          </w:p>
        </w:tc>
      </w:tr>
      <w:tr w:rsidR="00EC0251" w:rsidRPr="00EC0251" w14:paraId="47F29B16" w14:textId="77777777" w:rsidTr="00A801BF">
        <w:trPr>
          <w:trHeight w:val="480"/>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04DBEE78"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Educación</w:t>
            </w:r>
          </w:p>
        </w:tc>
        <w:tc>
          <w:tcPr>
            <w:tcW w:w="847" w:type="pct"/>
            <w:tcBorders>
              <w:top w:val="nil"/>
              <w:left w:val="nil"/>
              <w:bottom w:val="single" w:sz="4" w:space="0" w:color="auto"/>
              <w:right w:val="single" w:sz="4" w:space="0" w:color="auto"/>
            </w:tcBorders>
            <w:shd w:val="clear" w:color="auto" w:fill="auto"/>
            <w:vAlign w:val="bottom"/>
            <w:hideMark/>
          </w:tcPr>
          <w:p w14:paraId="04582FA3"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Enseñanza secundaria básica</w:t>
            </w:r>
          </w:p>
        </w:tc>
        <w:tc>
          <w:tcPr>
            <w:tcW w:w="390" w:type="pct"/>
            <w:tcBorders>
              <w:top w:val="nil"/>
              <w:left w:val="nil"/>
              <w:bottom w:val="single" w:sz="4" w:space="0" w:color="auto"/>
              <w:right w:val="single" w:sz="4" w:space="0" w:color="auto"/>
            </w:tcBorders>
            <w:shd w:val="clear" w:color="auto" w:fill="auto"/>
            <w:noWrap/>
            <w:vAlign w:val="bottom"/>
            <w:hideMark/>
          </w:tcPr>
          <w:p w14:paraId="462842F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776.5</w:t>
            </w:r>
          </w:p>
        </w:tc>
        <w:tc>
          <w:tcPr>
            <w:tcW w:w="390" w:type="pct"/>
            <w:tcBorders>
              <w:top w:val="nil"/>
              <w:left w:val="nil"/>
              <w:bottom w:val="single" w:sz="4" w:space="0" w:color="auto"/>
              <w:right w:val="single" w:sz="4" w:space="0" w:color="auto"/>
            </w:tcBorders>
            <w:shd w:val="clear" w:color="auto" w:fill="auto"/>
            <w:noWrap/>
            <w:vAlign w:val="bottom"/>
            <w:hideMark/>
          </w:tcPr>
          <w:p w14:paraId="119E449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878.0</w:t>
            </w:r>
          </w:p>
        </w:tc>
        <w:tc>
          <w:tcPr>
            <w:tcW w:w="390" w:type="pct"/>
            <w:tcBorders>
              <w:top w:val="nil"/>
              <w:left w:val="nil"/>
              <w:bottom w:val="single" w:sz="4" w:space="0" w:color="auto"/>
              <w:right w:val="single" w:sz="4" w:space="0" w:color="auto"/>
            </w:tcBorders>
            <w:shd w:val="clear" w:color="auto" w:fill="auto"/>
            <w:noWrap/>
            <w:vAlign w:val="bottom"/>
            <w:hideMark/>
          </w:tcPr>
          <w:p w14:paraId="7FBA318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972.7</w:t>
            </w:r>
          </w:p>
        </w:tc>
        <w:tc>
          <w:tcPr>
            <w:tcW w:w="390" w:type="pct"/>
            <w:tcBorders>
              <w:top w:val="nil"/>
              <w:left w:val="nil"/>
              <w:bottom w:val="single" w:sz="4" w:space="0" w:color="auto"/>
              <w:right w:val="single" w:sz="4" w:space="0" w:color="auto"/>
            </w:tcBorders>
            <w:shd w:val="clear" w:color="auto" w:fill="auto"/>
            <w:noWrap/>
            <w:vAlign w:val="bottom"/>
            <w:hideMark/>
          </w:tcPr>
          <w:p w14:paraId="250B6F6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1,046.4</w:t>
            </w:r>
          </w:p>
        </w:tc>
        <w:tc>
          <w:tcPr>
            <w:tcW w:w="390" w:type="pct"/>
            <w:tcBorders>
              <w:top w:val="nil"/>
              <w:left w:val="nil"/>
              <w:bottom w:val="single" w:sz="4" w:space="0" w:color="auto"/>
              <w:right w:val="single" w:sz="4" w:space="0" w:color="auto"/>
            </w:tcBorders>
            <w:shd w:val="clear" w:color="auto" w:fill="auto"/>
            <w:noWrap/>
            <w:vAlign w:val="bottom"/>
            <w:hideMark/>
          </w:tcPr>
          <w:p w14:paraId="42BE587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1,119.2</w:t>
            </w:r>
          </w:p>
        </w:tc>
        <w:tc>
          <w:tcPr>
            <w:tcW w:w="390" w:type="pct"/>
            <w:tcBorders>
              <w:top w:val="nil"/>
              <w:left w:val="nil"/>
              <w:bottom w:val="single" w:sz="4" w:space="0" w:color="auto"/>
              <w:right w:val="single" w:sz="4" w:space="0" w:color="auto"/>
            </w:tcBorders>
            <w:shd w:val="clear" w:color="auto" w:fill="auto"/>
            <w:noWrap/>
            <w:vAlign w:val="bottom"/>
            <w:hideMark/>
          </w:tcPr>
          <w:p w14:paraId="1B551CC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1,118.8</w:t>
            </w:r>
          </w:p>
        </w:tc>
        <w:tc>
          <w:tcPr>
            <w:tcW w:w="390" w:type="pct"/>
            <w:tcBorders>
              <w:top w:val="nil"/>
              <w:left w:val="nil"/>
              <w:bottom w:val="single" w:sz="4" w:space="0" w:color="auto"/>
              <w:right w:val="single" w:sz="4" w:space="0" w:color="auto"/>
            </w:tcBorders>
            <w:shd w:val="clear" w:color="auto" w:fill="auto"/>
            <w:noWrap/>
            <w:vAlign w:val="bottom"/>
            <w:hideMark/>
          </w:tcPr>
          <w:p w14:paraId="2B3E040B"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1,108.6</w:t>
            </w:r>
          </w:p>
        </w:tc>
        <w:tc>
          <w:tcPr>
            <w:tcW w:w="390" w:type="pct"/>
            <w:tcBorders>
              <w:top w:val="nil"/>
              <w:left w:val="nil"/>
              <w:bottom w:val="single" w:sz="4" w:space="0" w:color="auto"/>
              <w:right w:val="single" w:sz="4" w:space="0" w:color="auto"/>
            </w:tcBorders>
            <w:shd w:val="clear" w:color="auto" w:fill="auto"/>
            <w:noWrap/>
            <w:vAlign w:val="bottom"/>
            <w:hideMark/>
          </w:tcPr>
          <w:p w14:paraId="052DD63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1,209.2</w:t>
            </w:r>
          </w:p>
        </w:tc>
        <w:tc>
          <w:tcPr>
            <w:tcW w:w="392" w:type="pct"/>
            <w:tcBorders>
              <w:top w:val="nil"/>
              <w:left w:val="nil"/>
              <w:bottom w:val="single" w:sz="4" w:space="0" w:color="auto"/>
              <w:right w:val="single" w:sz="4" w:space="0" w:color="auto"/>
            </w:tcBorders>
            <w:shd w:val="clear" w:color="auto" w:fill="auto"/>
            <w:noWrap/>
            <w:vAlign w:val="bottom"/>
            <w:hideMark/>
          </w:tcPr>
          <w:p w14:paraId="4A80BD7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1,221.6</w:t>
            </w:r>
          </w:p>
        </w:tc>
      </w:tr>
      <w:tr w:rsidR="00EC0251" w:rsidRPr="00EC0251" w14:paraId="648FA91E" w14:textId="77777777" w:rsidTr="00A801BF">
        <w:trPr>
          <w:trHeight w:val="600"/>
        </w:trPr>
        <w:tc>
          <w:tcPr>
            <w:tcW w:w="639" w:type="pct"/>
            <w:vMerge/>
            <w:tcBorders>
              <w:top w:val="nil"/>
              <w:left w:val="single" w:sz="4" w:space="0" w:color="auto"/>
              <w:bottom w:val="single" w:sz="4" w:space="0" w:color="auto"/>
              <w:right w:val="single" w:sz="4" w:space="0" w:color="auto"/>
            </w:tcBorders>
            <w:vAlign w:val="center"/>
            <w:hideMark/>
          </w:tcPr>
          <w:p w14:paraId="41346EB0"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13872BA9"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Enseñanza secundaria avanzada</w:t>
            </w:r>
          </w:p>
        </w:tc>
        <w:tc>
          <w:tcPr>
            <w:tcW w:w="390" w:type="pct"/>
            <w:tcBorders>
              <w:top w:val="nil"/>
              <w:left w:val="nil"/>
              <w:bottom w:val="single" w:sz="4" w:space="0" w:color="auto"/>
              <w:right w:val="single" w:sz="4" w:space="0" w:color="auto"/>
            </w:tcBorders>
            <w:shd w:val="clear" w:color="auto" w:fill="auto"/>
            <w:noWrap/>
            <w:vAlign w:val="bottom"/>
            <w:hideMark/>
          </w:tcPr>
          <w:p w14:paraId="43A29E1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503.1</w:t>
            </w:r>
          </w:p>
        </w:tc>
        <w:tc>
          <w:tcPr>
            <w:tcW w:w="390" w:type="pct"/>
            <w:tcBorders>
              <w:top w:val="nil"/>
              <w:left w:val="nil"/>
              <w:bottom w:val="single" w:sz="4" w:space="0" w:color="auto"/>
              <w:right w:val="single" w:sz="4" w:space="0" w:color="auto"/>
            </w:tcBorders>
            <w:shd w:val="clear" w:color="auto" w:fill="auto"/>
            <w:noWrap/>
            <w:vAlign w:val="bottom"/>
            <w:hideMark/>
          </w:tcPr>
          <w:p w14:paraId="50973B2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387.7</w:t>
            </w:r>
          </w:p>
        </w:tc>
        <w:tc>
          <w:tcPr>
            <w:tcW w:w="390" w:type="pct"/>
            <w:tcBorders>
              <w:top w:val="nil"/>
              <w:left w:val="nil"/>
              <w:bottom w:val="single" w:sz="4" w:space="0" w:color="auto"/>
              <w:right w:val="single" w:sz="4" w:space="0" w:color="auto"/>
            </w:tcBorders>
            <w:shd w:val="clear" w:color="auto" w:fill="auto"/>
            <w:noWrap/>
            <w:vAlign w:val="bottom"/>
            <w:hideMark/>
          </w:tcPr>
          <w:p w14:paraId="54C4675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419.5</w:t>
            </w:r>
          </w:p>
        </w:tc>
        <w:tc>
          <w:tcPr>
            <w:tcW w:w="390" w:type="pct"/>
            <w:tcBorders>
              <w:top w:val="nil"/>
              <w:left w:val="nil"/>
              <w:bottom w:val="single" w:sz="4" w:space="0" w:color="auto"/>
              <w:right w:val="single" w:sz="4" w:space="0" w:color="auto"/>
            </w:tcBorders>
            <w:shd w:val="clear" w:color="auto" w:fill="auto"/>
            <w:noWrap/>
            <w:vAlign w:val="bottom"/>
            <w:hideMark/>
          </w:tcPr>
          <w:p w14:paraId="0DBD1BD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448.9</w:t>
            </w:r>
          </w:p>
        </w:tc>
        <w:tc>
          <w:tcPr>
            <w:tcW w:w="390" w:type="pct"/>
            <w:tcBorders>
              <w:top w:val="nil"/>
              <w:left w:val="nil"/>
              <w:bottom w:val="single" w:sz="4" w:space="0" w:color="auto"/>
              <w:right w:val="single" w:sz="4" w:space="0" w:color="auto"/>
            </w:tcBorders>
            <w:shd w:val="clear" w:color="auto" w:fill="auto"/>
            <w:noWrap/>
            <w:vAlign w:val="bottom"/>
            <w:hideMark/>
          </w:tcPr>
          <w:p w14:paraId="2AE2F46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503.7</w:t>
            </w:r>
          </w:p>
        </w:tc>
        <w:tc>
          <w:tcPr>
            <w:tcW w:w="390" w:type="pct"/>
            <w:tcBorders>
              <w:top w:val="nil"/>
              <w:left w:val="nil"/>
              <w:bottom w:val="single" w:sz="4" w:space="0" w:color="auto"/>
              <w:right w:val="single" w:sz="4" w:space="0" w:color="auto"/>
            </w:tcBorders>
            <w:shd w:val="clear" w:color="auto" w:fill="auto"/>
            <w:noWrap/>
            <w:vAlign w:val="bottom"/>
            <w:hideMark/>
          </w:tcPr>
          <w:p w14:paraId="5FC61A2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516.9</w:t>
            </w:r>
          </w:p>
        </w:tc>
        <w:tc>
          <w:tcPr>
            <w:tcW w:w="390" w:type="pct"/>
            <w:tcBorders>
              <w:top w:val="nil"/>
              <w:left w:val="nil"/>
              <w:bottom w:val="single" w:sz="4" w:space="0" w:color="auto"/>
              <w:right w:val="single" w:sz="4" w:space="0" w:color="auto"/>
            </w:tcBorders>
            <w:shd w:val="clear" w:color="auto" w:fill="auto"/>
            <w:noWrap/>
            <w:vAlign w:val="bottom"/>
            <w:hideMark/>
          </w:tcPr>
          <w:p w14:paraId="4DE75AF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536.3</w:t>
            </w:r>
          </w:p>
        </w:tc>
        <w:tc>
          <w:tcPr>
            <w:tcW w:w="390" w:type="pct"/>
            <w:tcBorders>
              <w:top w:val="nil"/>
              <w:left w:val="nil"/>
              <w:bottom w:val="single" w:sz="4" w:space="0" w:color="auto"/>
              <w:right w:val="single" w:sz="4" w:space="0" w:color="auto"/>
            </w:tcBorders>
            <w:shd w:val="clear" w:color="auto" w:fill="auto"/>
            <w:noWrap/>
            <w:vAlign w:val="bottom"/>
            <w:hideMark/>
          </w:tcPr>
          <w:p w14:paraId="3F9959B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551.9</w:t>
            </w:r>
          </w:p>
        </w:tc>
        <w:tc>
          <w:tcPr>
            <w:tcW w:w="392" w:type="pct"/>
            <w:tcBorders>
              <w:top w:val="nil"/>
              <w:left w:val="nil"/>
              <w:bottom w:val="single" w:sz="4" w:space="0" w:color="auto"/>
              <w:right w:val="single" w:sz="4" w:space="0" w:color="auto"/>
            </w:tcBorders>
            <w:shd w:val="clear" w:color="auto" w:fill="auto"/>
            <w:noWrap/>
            <w:vAlign w:val="bottom"/>
            <w:hideMark/>
          </w:tcPr>
          <w:p w14:paraId="7912E2B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607.1</w:t>
            </w:r>
          </w:p>
        </w:tc>
      </w:tr>
      <w:tr w:rsidR="00EC0251" w:rsidRPr="00EC0251" w14:paraId="5CCA5A2E"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7657D7CF"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22FF2054"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Enseñanza postsecundaria no terciaria</w:t>
            </w:r>
          </w:p>
        </w:tc>
        <w:tc>
          <w:tcPr>
            <w:tcW w:w="390" w:type="pct"/>
            <w:tcBorders>
              <w:top w:val="nil"/>
              <w:left w:val="nil"/>
              <w:bottom w:val="single" w:sz="4" w:space="0" w:color="auto"/>
              <w:right w:val="single" w:sz="4" w:space="0" w:color="auto"/>
            </w:tcBorders>
            <w:shd w:val="clear" w:color="auto" w:fill="auto"/>
            <w:noWrap/>
            <w:vAlign w:val="bottom"/>
            <w:hideMark/>
          </w:tcPr>
          <w:p w14:paraId="3088015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198.6</w:t>
            </w:r>
          </w:p>
        </w:tc>
        <w:tc>
          <w:tcPr>
            <w:tcW w:w="390" w:type="pct"/>
            <w:tcBorders>
              <w:top w:val="nil"/>
              <w:left w:val="nil"/>
              <w:bottom w:val="single" w:sz="4" w:space="0" w:color="auto"/>
              <w:right w:val="single" w:sz="4" w:space="0" w:color="auto"/>
            </w:tcBorders>
            <w:shd w:val="clear" w:color="auto" w:fill="auto"/>
            <w:noWrap/>
            <w:vAlign w:val="bottom"/>
            <w:hideMark/>
          </w:tcPr>
          <w:p w14:paraId="6CA95E9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167.6</w:t>
            </w:r>
          </w:p>
        </w:tc>
        <w:tc>
          <w:tcPr>
            <w:tcW w:w="390" w:type="pct"/>
            <w:tcBorders>
              <w:top w:val="nil"/>
              <w:left w:val="nil"/>
              <w:bottom w:val="single" w:sz="4" w:space="0" w:color="auto"/>
              <w:right w:val="single" w:sz="4" w:space="0" w:color="auto"/>
            </w:tcBorders>
            <w:shd w:val="clear" w:color="auto" w:fill="auto"/>
            <w:noWrap/>
            <w:vAlign w:val="bottom"/>
            <w:hideMark/>
          </w:tcPr>
          <w:p w14:paraId="389ED93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236.3</w:t>
            </w:r>
          </w:p>
        </w:tc>
        <w:tc>
          <w:tcPr>
            <w:tcW w:w="390" w:type="pct"/>
            <w:tcBorders>
              <w:top w:val="nil"/>
              <w:left w:val="nil"/>
              <w:bottom w:val="single" w:sz="4" w:space="0" w:color="auto"/>
              <w:right w:val="single" w:sz="4" w:space="0" w:color="auto"/>
            </w:tcBorders>
            <w:shd w:val="clear" w:color="auto" w:fill="auto"/>
            <w:noWrap/>
            <w:vAlign w:val="bottom"/>
            <w:hideMark/>
          </w:tcPr>
          <w:p w14:paraId="40FEFCE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283.8</w:t>
            </w:r>
          </w:p>
        </w:tc>
        <w:tc>
          <w:tcPr>
            <w:tcW w:w="390" w:type="pct"/>
            <w:tcBorders>
              <w:top w:val="nil"/>
              <w:left w:val="nil"/>
              <w:bottom w:val="single" w:sz="4" w:space="0" w:color="auto"/>
              <w:right w:val="single" w:sz="4" w:space="0" w:color="auto"/>
            </w:tcBorders>
            <w:shd w:val="clear" w:color="auto" w:fill="auto"/>
            <w:noWrap/>
            <w:vAlign w:val="bottom"/>
            <w:hideMark/>
          </w:tcPr>
          <w:p w14:paraId="1138E41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299.6</w:t>
            </w:r>
          </w:p>
        </w:tc>
        <w:tc>
          <w:tcPr>
            <w:tcW w:w="390" w:type="pct"/>
            <w:tcBorders>
              <w:top w:val="nil"/>
              <w:left w:val="nil"/>
              <w:bottom w:val="single" w:sz="4" w:space="0" w:color="auto"/>
              <w:right w:val="single" w:sz="4" w:space="0" w:color="auto"/>
            </w:tcBorders>
            <w:shd w:val="clear" w:color="auto" w:fill="auto"/>
            <w:noWrap/>
            <w:vAlign w:val="bottom"/>
            <w:hideMark/>
          </w:tcPr>
          <w:p w14:paraId="4E9211D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310.2</w:t>
            </w:r>
          </w:p>
        </w:tc>
        <w:tc>
          <w:tcPr>
            <w:tcW w:w="390" w:type="pct"/>
            <w:tcBorders>
              <w:top w:val="nil"/>
              <w:left w:val="nil"/>
              <w:bottom w:val="single" w:sz="4" w:space="0" w:color="auto"/>
              <w:right w:val="single" w:sz="4" w:space="0" w:color="auto"/>
            </w:tcBorders>
            <w:shd w:val="clear" w:color="auto" w:fill="auto"/>
            <w:noWrap/>
            <w:vAlign w:val="bottom"/>
            <w:hideMark/>
          </w:tcPr>
          <w:p w14:paraId="54C3C27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331.3</w:t>
            </w:r>
          </w:p>
        </w:tc>
        <w:tc>
          <w:tcPr>
            <w:tcW w:w="390" w:type="pct"/>
            <w:tcBorders>
              <w:top w:val="nil"/>
              <w:left w:val="nil"/>
              <w:bottom w:val="single" w:sz="4" w:space="0" w:color="auto"/>
              <w:right w:val="single" w:sz="4" w:space="0" w:color="auto"/>
            </w:tcBorders>
            <w:shd w:val="clear" w:color="auto" w:fill="auto"/>
            <w:noWrap/>
            <w:vAlign w:val="bottom"/>
            <w:hideMark/>
          </w:tcPr>
          <w:p w14:paraId="7507589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336.6</w:t>
            </w:r>
          </w:p>
        </w:tc>
        <w:tc>
          <w:tcPr>
            <w:tcW w:w="392" w:type="pct"/>
            <w:tcBorders>
              <w:top w:val="nil"/>
              <w:left w:val="nil"/>
              <w:bottom w:val="single" w:sz="4" w:space="0" w:color="auto"/>
              <w:right w:val="single" w:sz="4" w:space="0" w:color="auto"/>
            </w:tcBorders>
            <w:shd w:val="clear" w:color="auto" w:fill="auto"/>
            <w:noWrap/>
            <w:vAlign w:val="bottom"/>
            <w:hideMark/>
          </w:tcPr>
          <w:p w14:paraId="35DF90F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315.8</w:t>
            </w:r>
          </w:p>
        </w:tc>
      </w:tr>
      <w:tr w:rsidR="00EC0251" w:rsidRPr="00EC0251" w14:paraId="156D93B6"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59F284DB"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47DF9FD9"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Enseñanza no atribuible a ningún nivel</w:t>
            </w:r>
          </w:p>
        </w:tc>
        <w:tc>
          <w:tcPr>
            <w:tcW w:w="390" w:type="pct"/>
            <w:tcBorders>
              <w:top w:val="nil"/>
              <w:left w:val="nil"/>
              <w:bottom w:val="single" w:sz="4" w:space="0" w:color="auto"/>
              <w:right w:val="single" w:sz="4" w:space="0" w:color="auto"/>
            </w:tcBorders>
            <w:shd w:val="clear" w:color="auto" w:fill="auto"/>
            <w:noWrap/>
            <w:vAlign w:val="bottom"/>
            <w:hideMark/>
          </w:tcPr>
          <w:p w14:paraId="69041CF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665.3</w:t>
            </w:r>
          </w:p>
        </w:tc>
        <w:tc>
          <w:tcPr>
            <w:tcW w:w="390" w:type="pct"/>
            <w:tcBorders>
              <w:top w:val="nil"/>
              <w:left w:val="nil"/>
              <w:bottom w:val="single" w:sz="4" w:space="0" w:color="auto"/>
              <w:right w:val="single" w:sz="4" w:space="0" w:color="auto"/>
            </w:tcBorders>
            <w:shd w:val="clear" w:color="auto" w:fill="auto"/>
            <w:noWrap/>
            <w:vAlign w:val="bottom"/>
            <w:hideMark/>
          </w:tcPr>
          <w:p w14:paraId="5DD77D4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617.6</w:t>
            </w:r>
          </w:p>
        </w:tc>
        <w:tc>
          <w:tcPr>
            <w:tcW w:w="390" w:type="pct"/>
            <w:tcBorders>
              <w:top w:val="nil"/>
              <w:left w:val="nil"/>
              <w:bottom w:val="single" w:sz="4" w:space="0" w:color="auto"/>
              <w:right w:val="single" w:sz="4" w:space="0" w:color="auto"/>
            </w:tcBorders>
            <w:shd w:val="clear" w:color="auto" w:fill="auto"/>
            <w:noWrap/>
            <w:vAlign w:val="bottom"/>
            <w:hideMark/>
          </w:tcPr>
          <w:p w14:paraId="2EEEE9C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585.5</w:t>
            </w:r>
          </w:p>
        </w:tc>
        <w:tc>
          <w:tcPr>
            <w:tcW w:w="390" w:type="pct"/>
            <w:tcBorders>
              <w:top w:val="nil"/>
              <w:left w:val="nil"/>
              <w:bottom w:val="single" w:sz="4" w:space="0" w:color="auto"/>
              <w:right w:val="single" w:sz="4" w:space="0" w:color="auto"/>
            </w:tcBorders>
            <w:shd w:val="clear" w:color="auto" w:fill="auto"/>
            <w:noWrap/>
            <w:vAlign w:val="bottom"/>
            <w:hideMark/>
          </w:tcPr>
          <w:p w14:paraId="1E8C873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638.1</w:t>
            </w:r>
          </w:p>
        </w:tc>
        <w:tc>
          <w:tcPr>
            <w:tcW w:w="390" w:type="pct"/>
            <w:tcBorders>
              <w:top w:val="nil"/>
              <w:left w:val="nil"/>
              <w:bottom w:val="single" w:sz="4" w:space="0" w:color="auto"/>
              <w:right w:val="single" w:sz="4" w:space="0" w:color="auto"/>
            </w:tcBorders>
            <w:shd w:val="clear" w:color="auto" w:fill="auto"/>
            <w:noWrap/>
            <w:vAlign w:val="bottom"/>
            <w:hideMark/>
          </w:tcPr>
          <w:p w14:paraId="102AFFE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756.6</w:t>
            </w:r>
          </w:p>
        </w:tc>
        <w:tc>
          <w:tcPr>
            <w:tcW w:w="390" w:type="pct"/>
            <w:tcBorders>
              <w:top w:val="nil"/>
              <w:left w:val="nil"/>
              <w:bottom w:val="single" w:sz="4" w:space="0" w:color="auto"/>
              <w:right w:val="single" w:sz="4" w:space="0" w:color="auto"/>
            </w:tcBorders>
            <w:shd w:val="clear" w:color="auto" w:fill="auto"/>
            <w:noWrap/>
            <w:vAlign w:val="bottom"/>
            <w:hideMark/>
          </w:tcPr>
          <w:p w14:paraId="5CA6FA2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751.2</w:t>
            </w:r>
          </w:p>
        </w:tc>
        <w:tc>
          <w:tcPr>
            <w:tcW w:w="390" w:type="pct"/>
            <w:tcBorders>
              <w:top w:val="nil"/>
              <w:left w:val="nil"/>
              <w:bottom w:val="single" w:sz="4" w:space="0" w:color="auto"/>
              <w:right w:val="single" w:sz="4" w:space="0" w:color="auto"/>
            </w:tcBorders>
            <w:shd w:val="clear" w:color="auto" w:fill="auto"/>
            <w:noWrap/>
            <w:vAlign w:val="bottom"/>
            <w:hideMark/>
          </w:tcPr>
          <w:p w14:paraId="0CD6C85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612.4</w:t>
            </w:r>
          </w:p>
        </w:tc>
        <w:tc>
          <w:tcPr>
            <w:tcW w:w="390" w:type="pct"/>
            <w:tcBorders>
              <w:top w:val="nil"/>
              <w:left w:val="nil"/>
              <w:bottom w:val="single" w:sz="4" w:space="0" w:color="auto"/>
              <w:right w:val="single" w:sz="4" w:space="0" w:color="auto"/>
            </w:tcBorders>
            <w:shd w:val="clear" w:color="auto" w:fill="auto"/>
            <w:noWrap/>
            <w:vAlign w:val="bottom"/>
            <w:hideMark/>
          </w:tcPr>
          <w:p w14:paraId="26CF765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723.7</w:t>
            </w:r>
          </w:p>
        </w:tc>
        <w:tc>
          <w:tcPr>
            <w:tcW w:w="392" w:type="pct"/>
            <w:tcBorders>
              <w:top w:val="nil"/>
              <w:left w:val="nil"/>
              <w:bottom w:val="single" w:sz="4" w:space="0" w:color="auto"/>
              <w:right w:val="single" w:sz="4" w:space="0" w:color="auto"/>
            </w:tcBorders>
            <w:shd w:val="clear" w:color="auto" w:fill="auto"/>
            <w:noWrap/>
            <w:vAlign w:val="bottom"/>
            <w:hideMark/>
          </w:tcPr>
          <w:p w14:paraId="7FFC845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819.2</w:t>
            </w:r>
          </w:p>
        </w:tc>
      </w:tr>
      <w:tr w:rsidR="00EC0251" w:rsidRPr="00EC0251" w14:paraId="2C89B405" w14:textId="77777777" w:rsidTr="00A801BF">
        <w:trPr>
          <w:trHeight w:val="600"/>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27C87713"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Protección social</w:t>
            </w:r>
          </w:p>
        </w:tc>
        <w:tc>
          <w:tcPr>
            <w:tcW w:w="847" w:type="pct"/>
            <w:tcBorders>
              <w:top w:val="nil"/>
              <w:left w:val="nil"/>
              <w:bottom w:val="single" w:sz="4" w:space="0" w:color="auto"/>
              <w:right w:val="single" w:sz="4" w:space="0" w:color="auto"/>
            </w:tcBorders>
            <w:shd w:val="clear" w:color="auto" w:fill="auto"/>
            <w:vAlign w:val="bottom"/>
            <w:hideMark/>
          </w:tcPr>
          <w:p w14:paraId="508CD218"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Supérstites</w:t>
            </w:r>
          </w:p>
        </w:tc>
        <w:tc>
          <w:tcPr>
            <w:tcW w:w="390" w:type="pct"/>
            <w:tcBorders>
              <w:top w:val="nil"/>
              <w:left w:val="nil"/>
              <w:bottom w:val="single" w:sz="4" w:space="0" w:color="auto"/>
              <w:right w:val="single" w:sz="4" w:space="0" w:color="auto"/>
            </w:tcBorders>
            <w:shd w:val="clear" w:color="auto" w:fill="auto"/>
            <w:vAlign w:val="bottom"/>
            <w:hideMark/>
          </w:tcPr>
          <w:p w14:paraId="4564B36B"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387.2</w:t>
            </w:r>
          </w:p>
        </w:tc>
        <w:tc>
          <w:tcPr>
            <w:tcW w:w="390" w:type="pct"/>
            <w:tcBorders>
              <w:top w:val="nil"/>
              <w:left w:val="nil"/>
              <w:bottom w:val="single" w:sz="4" w:space="0" w:color="auto"/>
              <w:right w:val="single" w:sz="4" w:space="0" w:color="auto"/>
            </w:tcBorders>
            <w:shd w:val="clear" w:color="auto" w:fill="auto"/>
            <w:vAlign w:val="bottom"/>
            <w:hideMark/>
          </w:tcPr>
          <w:p w14:paraId="4343DB6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416.0</w:t>
            </w:r>
          </w:p>
        </w:tc>
        <w:tc>
          <w:tcPr>
            <w:tcW w:w="390" w:type="pct"/>
            <w:tcBorders>
              <w:top w:val="nil"/>
              <w:left w:val="nil"/>
              <w:bottom w:val="single" w:sz="4" w:space="0" w:color="auto"/>
              <w:right w:val="single" w:sz="4" w:space="0" w:color="auto"/>
            </w:tcBorders>
            <w:shd w:val="clear" w:color="auto" w:fill="auto"/>
            <w:vAlign w:val="bottom"/>
            <w:hideMark/>
          </w:tcPr>
          <w:p w14:paraId="1D44B57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416.8</w:t>
            </w:r>
          </w:p>
        </w:tc>
        <w:tc>
          <w:tcPr>
            <w:tcW w:w="390" w:type="pct"/>
            <w:tcBorders>
              <w:top w:val="nil"/>
              <w:left w:val="nil"/>
              <w:bottom w:val="single" w:sz="4" w:space="0" w:color="auto"/>
              <w:right w:val="single" w:sz="4" w:space="0" w:color="auto"/>
            </w:tcBorders>
            <w:shd w:val="clear" w:color="auto" w:fill="auto"/>
            <w:vAlign w:val="bottom"/>
            <w:hideMark/>
          </w:tcPr>
          <w:p w14:paraId="6FF369A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433.4</w:t>
            </w:r>
          </w:p>
        </w:tc>
        <w:tc>
          <w:tcPr>
            <w:tcW w:w="390" w:type="pct"/>
            <w:tcBorders>
              <w:top w:val="nil"/>
              <w:left w:val="nil"/>
              <w:bottom w:val="single" w:sz="4" w:space="0" w:color="auto"/>
              <w:right w:val="single" w:sz="4" w:space="0" w:color="auto"/>
            </w:tcBorders>
            <w:shd w:val="clear" w:color="auto" w:fill="auto"/>
            <w:vAlign w:val="bottom"/>
            <w:hideMark/>
          </w:tcPr>
          <w:p w14:paraId="6829256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473.3</w:t>
            </w:r>
          </w:p>
        </w:tc>
        <w:tc>
          <w:tcPr>
            <w:tcW w:w="390" w:type="pct"/>
            <w:tcBorders>
              <w:top w:val="nil"/>
              <w:left w:val="nil"/>
              <w:bottom w:val="single" w:sz="4" w:space="0" w:color="auto"/>
              <w:right w:val="single" w:sz="4" w:space="0" w:color="auto"/>
            </w:tcBorders>
            <w:shd w:val="clear" w:color="auto" w:fill="auto"/>
            <w:vAlign w:val="bottom"/>
            <w:hideMark/>
          </w:tcPr>
          <w:p w14:paraId="0D8DA6E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528.0</w:t>
            </w:r>
          </w:p>
        </w:tc>
        <w:tc>
          <w:tcPr>
            <w:tcW w:w="390" w:type="pct"/>
            <w:tcBorders>
              <w:top w:val="nil"/>
              <w:left w:val="nil"/>
              <w:bottom w:val="single" w:sz="4" w:space="0" w:color="auto"/>
              <w:right w:val="single" w:sz="4" w:space="0" w:color="auto"/>
            </w:tcBorders>
            <w:shd w:val="clear" w:color="auto" w:fill="auto"/>
            <w:vAlign w:val="bottom"/>
            <w:hideMark/>
          </w:tcPr>
          <w:p w14:paraId="0E47EF3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535.4</w:t>
            </w:r>
          </w:p>
        </w:tc>
        <w:tc>
          <w:tcPr>
            <w:tcW w:w="390" w:type="pct"/>
            <w:tcBorders>
              <w:top w:val="nil"/>
              <w:left w:val="nil"/>
              <w:bottom w:val="single" w:sz="4" w:space="0" w:color="auto"/>
              <w:right w:val="single" w:sz="4" w:space="0" w:color="auto"/>
            </w:tcBorders>
            <w:shd w:val="clear" w:color="auto" w:fill="auto"/>
            <w:vAlign w:val="bottom"/>
            <w:hideMark/>
          </w:tcPr>
          <w:p w14:paraId="78B1C76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550.8</w:t>
            </w:r>
          </w:p>
        </w:tc>
        <w:tc>
          <w:tcPr>
            <w:tcW w:w="392" w:type="pct"/>
            <w:tcBorders>
              <w:top w:val="nil"/>
              <w:left w:val="nil"/>
              <w:bottom w:val="single" w:sz="4" w:space="0" w:color="auto"/>
              <w:right w:val="single" w:sz="4" w:space="0" w:color="auto"/>
            </w:tcBorders>
            <w:shd w:val="clear" w:color="auto" w:fill="auto"/>
            <w:vAlign w:val="bottom"/>
            <w:hideMark/>
          </w:tcPr>
          <w:p w14:paraId="573BCF3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594.7</w:t>
            </w:r>
          </w:p>
        </w:tc>
      </w:tr>
      <w:tr w:rsidR="00EC0251" w:rsidRPr="00EC0251" w14:paraId="5CCB64DB" w14:textId="77777777" w:rsidTr="00A801BF">
        <w:trPr>
          <w:trHeight w:val="300"/>
        </w:trPr>
        <w:tc>
          <w:tcPr>
            <w:tcW w:w="639" w:type="pct"/>
            <w:vMerge/>
            <w:tcBorders>
              <w:top w:val="nil"/>
              <w:left w:val="single" w:sz="4" w:space="0" w:color="auto"/>
              <w:bottom w:val="single" w:sz="4" w:space="0" w:color="auto"/>
              <w:right w:val="single" w:sz="4" w:space="0" w:color="auto"/>
            </w:tcBorders>
            <w:vAlign w:val="center"/>
            <w:hideMark/>
          </w:tcPr>
          <w:p w14:paraId="39CBF663"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60B8143F"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Familia e hijos</w:t>
            </w:r>
          </w:p>
        </w:tc>
        <w:tc>
          <w:tcPr>
            <w:tcW w:w="390" w:type="pct"/>
            <w:tcBorders>
              <w:top w:val="nil"/>
              <w:left w:val="nil"/>
              <w:bottom w:val="single" w:sz="4" w:space="0" w:color="auto"/>
              <w:right w:val="single" w:sz="4" w:space="0" w:color="auto"/>
            </w:tcBorders>
            <w:shd w:val="clear" w:color="auto" w:fill="auto"/>
            <w:vAlign w:val="bottom"/>
            <w:hideMark/>
          </w:tcPr>
          <w:p w14:paraId="10ED9E6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1,211.8</w:t>
            </w:r>
          </w:p>
        </w:tc>
        <w:tc>
          <w:tcPr>
            <w:tcW w:w="390" w:type="pct"/>
            <w:tcBorders>
              <w:top w:val="nil"/>
              <w:left w:val="nil"/>
              <w:bottom w:val="single" w:sz="4" w:space="0" w:color="auto"/>
              <w:right w:val="single" w:sz="4" w:space="0" w:color="auto"/>
            </w:tcBorders>
            <w:shd w:val="clear" w:color="auto" w:fill="auto"/>
            <w:vAlign w:val="bottom"/>
            <w:hideMark/>
          </w:tcPr>
          <w:p w14:paraId="06E20C3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1,051.9</w:t>
            </w:r>
          </w:p>
        </w:tc>
        <w:tc>
          <w:tcPr>
            <w:tcW w:w="390" w:type="pct"/>
            <w:tcBorders>
              <w:top w:val="nil"/>
              <w:left w:val="nil"/>
              <w:bottom w:val="single" w:sz="4" w:space="0" w:color="auto"/>
              <w:right w:val="single" w:sz="4" w:space="0" w:color="auto"/>
            </w:tcBorders>
            <w:shd w:val="clear" w:color="auto" w:fill="auto"/>
            <w:vAlign w:val="bottom"/>
            <w:hideMark/>
          </w:tcPr>
          <w:p w14:paraId="28FB621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927.0</w:t>
            </w:r>
          </w:p>
        </w:tc>
        <w:tc>
          <w:tcPr>
            <w:tcW w:w="390" w:type="pct"/>
            <w:tcBorders>
              <w:top w:val="nil"/>
              <w:left w:val="nil"/>
              <w:bottom w:val="single" w:sz="4" w:space="0" w:color="auto"/>
              <w:right w:val="single" w:sz="4" w:space="0" w:color="auto"/>
            </w:tcBorders>
            <w:shd w:val="clear" w:color="auto" w:fill="auto"/>
            <w:vAlign w:val="bottom"/>
            <w:hideMark/>
          </w:tcPr>
          <w:p w14:paraId="4EEDCF9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619.0</w:t>
            </w:r>
          </w:p>
        </w:tc>
        <w:tc>
          <w:tcPr>
            <w:tcW w:w="390" w:type="pct"/>
            <w:tcBorders>
              <w:top w:val="nil"/>
              <w:left w:val="nil"/>
              <w:bottom w:val="single" w:sz="4" w:space="0" w:color="auto"/>
              <w:right w:val="single" w:sz="4" w:space="0" w:color="auto"/>
            </w:tcBorders>
            <w:shd w:val="clear" w:color="auto" w:fill="auto"/>
            <w:vAlign w:val="bottom"/>
            <w:hideMark/>
          </w:tcPr>
          <w:p w14:paraId="14427EA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1,104.8</w:t>
            </w:r>
          </w:p>
        </w:tc>
        <w:tc>
          <w:tcPr>
            <w:tcW w:w="390" w:type="pct"/>
            <w:tcBorders>
              <w:top w:val="nil"/>
              <w:left w:val="nil"/>
              <w:bottom w:val="single" w:sz="4" w:space="0" w:color="auto"/>
              <w:right w:val="single" w:sz="4" w:space="0" w:color="auto"/>
            </w:tcBorders>
            <w:shd w:val="clear" w:color="auto" w:fill="auto"/>
            <w:vAlign w:val="bottom"/>
            <w:hideMark/>
          </w:tcPr>
          <w:p w14:paraId="56024EA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618.5</w:t>
            </w:r>
          </w:p>
        </w:tc>
        <w:tc>
          <w:tcPr>
            <w:tcW w:w="390" w:type="pct"/>
            <w:tcBorders>
              <w:top w:val="nil"/>
              <w:left w:val="nil"/>
              <w:bottom w:val="single" w:sz="4" w:space="0" w:color="auto"/>
              <w:right w:val="single" w:sz="4" w:space="0" w:color="auto"/>
            </w:tcBorders>
            <w:shd w:val="clear" w:color="auto" w:fill="auto"/>
            <w:vAlign w:val="bottom"/>
            <w:hideMark/>
          </w:tcPr>
          <w:p w14:paraId="318FF8B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865.3</w:t>
            </w:r>
          </w:p>
        </w:tc>
        <w:tc>
          <w:tcPr>
            <w:tcW w:w="390" w:type="pct"/>
            <w:tcBorders>
              <w:top w:val="nil"/>
              <w:left w:val="nil"/>
              <w:bottom w:val="single" w:sz="4" w:space="0" w:color="auto"/>
              <w:right w:val="single" w:sz="4" w:space="0" w:color="auto"/>
            </w:tcBorders>
            <w:shd w:val="clear" w:color="auto" w:fill="auto"/>
            <w:vAlign w:val="bottom"/>
            <w:hideMark/>
          </w:tcPr>
          <w:p w14:paraId="7B44759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635.8</w:t>
            </w:r>
          </w:p>
        </w:tc>
        <w:tc>
          <w:tcPr>
            <w:tcW w:w="392" w:type="pct"/>
            <w:tcBorders>
              <w:top w:val="nil"/>
              <w:left w:val="nil"/>
              <w:bottom w:val="single" w:sz="4" w:space="0" w:color="auto"/>
              <w:right w:val="single" w:sz="4" w:space="0" w:color="auto"/>
            </w:tcBorders>
            <w:shd w:val="clear" w:color="auto" w:fill="auto"/>
            <w:vAlign w:val="bottom"/>
            <w:hideMark/>
          </w:tcPr>
          <w:p w14:paraId="0C60132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697.8</w:t>
            </w:r>
          </w:p>
        </w:tc>
      </w:tr>
      <w:tr w:rsidR="00EC0251" w:rsidRPr="00EC0251" w14:paraId="6E3E8903" w14:textId="77777777" w:rsidTr="00A801BF">
        <w:trPr>
          <w:trHeight w:val="300"/>
        </w:trPr>
        <w:tc>
          <w:tcPr>
            <w:tcW w:w="639" w:type="pct"/>
            <w:vMerge/>
            <w:tcBorders>
              <w:top w:val="nil"/>
              <w:left w:val="single" w:sz="4" w:space="0" w:color="auto"/>
              <w:bottom w:val="single" w:sz="4" w:space="0" w:color="auto"/>
              <w:right w:val="single" w:sz="4" w:space="0" w:color="auto"/>
            </w:tcBorders>
            <w:vAlign w:val="center"/>
            <w:hideMark/>
          </w:tcPr>
          <w:p w14:paraId="01E90D6A"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64B4458A"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Exclusión social n.e.p</w:t>
            </w:r>
          </w:p>
        </w:tc>
        <w:tc>
          <w:tcPr>
            <w:tcW w:w="390" w:type="pct"/>
            <w:tcBorders>
              <w:top w:val="nil"/>
              <w:left w:val="nil"/>
              <w:bottom w:val="single" w:sz="4" w:space="0" w:color="auto"/>
              <w:right w:val="single" w:sz="4" w:space="0" w:color="auto"/>
            </w:tcBorders>
            <w:shd w:val="clear" w:color="auto" w:fill="auto"/>
            <w:vAlign w:val="bottom"/>
            <w:hideMark/>
          </w:tcPr>
          <w:p w14:paraId="72DCBB8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1,886.2</w:t>
            </w:r>
          </w:p>
        </w:tc>
        <w:tc>
          <w:tcPr>
            <w:tcW w:w="390" w:type="pct"/>
            <w:tcBorders>
              <w:top w:val="nil"/>
              <w:left w:val="nil"/>
              <w:bottom w:val="single" w:sz="4" w:space="0" w:color="auto"/>
              <w:right w:val="single" w:sz="4" w:space="0" w:color="auto"/>
            </w:tcBorders>
            <w:shd w:val="clear" w:color="auto" w:fill="auto"/>
            <w:vAlign w:val="bottom"/>
            <w:hideMark/>
          </w:tcPr>
          <w:p w14:paraId="1912958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1,800.5</w:t>
            </w:r>
          </w:p>
        </w:tc>
        <w:tc>
          <w:tcPr>
            <w:tcW w:w="390" w:type="pct"/>
            <w:tcBorders>
              <w:top w:val="nil"/>
              <w:left w:val="nil"/>
              <w:bottom w:val="single" w:sz="4" w:space="0" w:color="auto"/>
              <w:right w:val="single" w:sz="4" w:space="0" w:color="auto"/>
            </w:tcBorders>
            <w:shd w:val="clear" w:color="auto" w:fill="auto"/>
            <w:vAlign w:val="bottom"/>
            <w:hideMark/>
          </w:tcPr>
          <w:p w14:paraId="78FEA56B"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1,799.0</w:t>
            </w:r>
          </w:p>
        </w:tc>
        <w:tc>
          <w:tcPr>
            <w:tcW w:w="390" w:type="pct"/>
            <w:tcBorders>
              <w:top w:val="nil"/>
              <w:left w:val="nil"/>
              <w:bottom w:val="single" w:sz="4" w:space="0" w:color="auto"/>
              <w:right w:val="single" w:sz="4" w:space="0" w:color="auto"/>
            </w:tcBorders>
            <w:shd w:val="clear" w:color="auto" w:fill="auto"/>
            <w:vAlign w:val="bottom"/>
            <w:hideMark/>
          </w:tcPr>
          <w:p w14:paraId="5C1CEA1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2,293.8</w:t>
            </w:r>
          </w:p>
        </w:tc>
        <w:tc>
          <w:tcPr>
            <w:tcW w:w="390" w:type="pct"/>
            <w:tcBorders>
              <w:top w:val="nil"/>
              <w:left w:val="nil"/>
              <w:bottom w:val="single" w:sz="4" w:space="0" w:color="auto"/>
              <w:right w:val="single" w:sz="4" w:space="0" w:color="auto"/>
            </w:tcBorders>
            <w:shd w:val="clear" w:color="auto" w:fill="auto"/>
            <w:vAlign w:val="bottom"/>
            <w:hideMark/>
          </w:tcPr>
          <w:p w14:paraId="5C4E384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2,107.7</w:t>
            </w:r>
          </w:p>
        </w:tc>
        <w:tc>
          <w:tcPr>
            <w:tcW w:w="390" w:type="pct"/>
            <w:tcBorders>
              <w:top w:val="nil"/>
              <w:left w:val="nil"/>
              <w:bottom w:val="single" w:sz="4" w:space="0" w:color="auto"/>
              <w:right w:val="single" w:sz="4" w:space="0" w:color="auto"/>
            </w:tcBorders>
            <w:shd w:val="clear" w:color="auto" w:fill="auto"/>
            <w:vAlign w:val="bottom"/>
            <w:hideMark/>
          </w:tcPr>
          <w:p w14:paraId="3FD191D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1,626.4</w:t>
            </w:r>
          </w:p>
        </w:tc>
        <w:tc>
          <w:tcPr>
            <w:tcW w:w="390" w:type="pct"/>
            <w:tcBorders>
              <w:top w:val="nil"/>
              <w:left w:val="nil"/>
              <w:bottom w:val="single" w:sz="4" w:space="0" w:color="auto"/>
              <w:right w:val="single" w:sz="4" w:space="0" w:color="auto"/>
            </w:tcBorders>
            <w:shd w:val="clear" w:color="auto" w:fill="auto"/>
            <w:vAlign w:val="bottom"/>
            <w:hideMark/>
          </w:tcPr>
          <w:p w14:paraId="65D40E9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1,328.9</w:t>
            </w:r>
          </w:p>
        </w:tc>
        <w:tc>
          <w:tcPr>
            <w:tcW w:w="390" w:type="pct"/>
            <w:tcBorders>
              <w:top w:val="nil"/>
              <w:left w:val="nil"/>
              <w:bottom w:val="single" w:sz="4" w:space="0" w:color="auto"/>
              <w:right w:val="single" w:sz="4" w:space="0" w:color="auto"/>
            </w:tcBorders>
            <w:shd w:val="clear" w:color="auto" w:fill="auto"/>
            <w:vAlign w:val="bottom"/>
            <w:hideMark/>
          </w:tcPr>
          <w:p w14:paraId="133F8C0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1,218.5</w:t>
            </w:r>
          </w:p>
        </w:tc>
        <w:tc>
          <w:tcPr>
            <w:tcW w:w="392" w:type="pct"/>
            <w:tcBorders>
              <w:top w:val="nil"/>
              <w:left w:val="nil"/>
              <w:bottom w:val="single" w:sz="4" w:space="0" w:color="auto"/>
              <w:right w:val="single" w:sz="4" w:space="0" w:color="auto"/>
            </w:tcBorders>
            <w:shd w:val="clear" w:color="auto" w:fill="auto"/>
            <w:vAlign w:val="bottom"/>
            <w:hideMark/>
          </w:tcPr>
          <w:p w14:paraId="07EB704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1,331.3</w:t>
            </w:r>
          </w:p>
        </w:tc>
      </w:tr>
      <w:tr w:rsidR="00EC0251" w:rsidRPr="00EC0251" w14:paraId="5DB3395B" w14:textId="77777777" w:rsidTr="00A801BF">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1B2DA6" w14:textId="77777777" w:rsidR="00EC0251" w:rsidRPr="00EC0251" w:rsidRDefault="00EC0251" w:rsidP="00EC0251">
            <w:pPr>
              <w:spacing w:after="0" w:line="240" w:lineRule="auto"/>
              <w:jc w:val="center"/>
              <w:rPr>
                <w:rFonts w:ascii="Calibri" w:eastAsia="Times New Roman" w:hAnsi="Calibri" w:cs="Times New Roman"/>
                <w:b/>
                <w:bCs/>
                <w:sz w:val="20"/>
                <w:lang w:eastAsia="es-GT"/>
              </w:rPr>
            </w:pPr>
            <w:r w:rsidRPr="00EC0251">
              <w:rPr>
                <w:rFonts w:ascii="Calibri" w:eastAsia="Times New Roman" w:hAnsi="Calibri" w:cs="Times New Roman"/>
                <w:b/>
                <w:bCs/>
                <w:sz w:val="20"/>
                <w:lang w:eastAsia="es-GT"/>
              </w:rPr>
              <w:t>Rubros de gasto social del gobierno central y entidades autónomas y descentralizadas, en términos del PIB</w:t>
            </w:r>
          </w:p>
        </w:tc>
      </w:tr>
      <w:tr w:rsidR="00EC0251" w:rsidRPr="00EC0251" w14:paraId="10D3E4A7" w14:textId="77777777" w:rsidTr="00A801BF">
        <w:trPr>
          <w:trHeight w:val="780"/>
        </w:trPr>
        <w:tc>
          <w:tcPr>
            <w:tcW w:w="639" w:type="pct"/>
            <w:tcBorders>
              <w:top w:val="nil"/>
              <w:left w:val="single" w:sz="4" w:space="0" w:color="auto"/>
              <w:bottom w:val="single" w:sz="4" w:space="0" w:color="auto"/>
              <w:right w:val="single" w:sz="4" w:space="0" w:color="auto"/>
            </w:tcBorders>
            <w:shd w:val="clear" w:color="auto" w:fill="auto"/>
            <w:vAlign w:val="bottom"/>
            <w:hideMark/>
          </w:tcPr>
          <w:p w14:paraId="3FAC423B"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Protección del medio ambiente</w:t>
            </w:r>
          </w:p>
        </w:tc>
        <w:tc>
          <w:tcPr>
            <w:tcW w:w="847" w:type="pct"/>
            <w:tcBorders>
              <w:top w:val="nil"/>
              <w:left w:val="nil"/>
              <w:bottom w:val="single" w:sz="4" w:space="0" w:color="auto"/>
              <w:right w:val="single" w:sz="4" w:space="0" w:color="auto"/>
            </w:tcBorders>
            <w:shd w:val="clear" w:color="auto" w:fill="auto"/>
            <w:vAlign w:val="bottom"/>
            <w:hideMark/>
          </w:tcPr>
          <w:p w14:paraId="4E75BA08"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Protección de la diversidad biológica y del paisaje</w:t>
            </w:r>
          </w:p>
        </w:tc>
        <w:tc>
          <w:tcPr>
            <w:tcW w:w="390" w:type="pct"/>
            <w:tcBorders>
              <w:top w:val="nil"/>
              <w:left w:val="nil"/>
              <w:bottom w:val="single" w:sz="4" w:space="0" w:color="auto"/>
              <w:right w:val="single" w:sz="4" w:space="0" w:color="auto"/>
            </w:tcBorders>
            <w:shd w:val="clear" w:color="auto" w:fill="auto"/>
            <w:noWrap/>
            <w:vAlign w:val="bottom"/>
            <w:hideMark/>
          </w:tcPr>
          <w:p w14:paraId="156EB4A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0.039</w:t>
            </w:r>
          </w:p>
        </w:tc>
        <w:tc>
          <w:tcPr>
            <w:tcW w:w="390" w:type="pct"/>
            <w:tcBorders>
              <w:top w:val="nil"/>
              <w:left w:val="nil"/>
              <w:bottom w:val="single" w:sz="4" w:space="0" w:color="auto"/>
              <w:right w:val="single" w:sz="4" w:space="0" w:color="auto"/>
            </w:tcBorders>
            <w:shd w:val="clear" w:color="auto" w:fill="auto"/>
            <w:noWrap/>
            <w:vAlign w:val="bottom"/>
            <w:hideMark/>
          </w:tcPr>
          <w:p w14:paraId="5314314B"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0.052</w:t>
            </w:r>
          </w:p>
        </w:tc>
        <w:tc>
          <w:tcPr>
            <w:tcW w:w="390" w:type="pct"/>
            <w:tcBorders>
              <w:top w:val="nil"/>
              <w:left w:val="nil"/>
              <w:bottom w:val="single" w:sz="4" w:space="0" w:color="auto"/>
              <w:right w:val="single" w:sz="4" w:space="0" w:color="auto"/>
            </w:tcBorders>
            <w:shd w:val="clear" w:color="auto" w:fill="auto"/>
            <w:noWrap/>
            <w:vAlign w:val="bottom"/>
            <w:hideMark/>
          </w:tcPr>
          <w:p w14:paraId="48B3FBE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0.029</w:t>
            </w:r>
          </w:p>
        </w:tc>
        <w:tc>
          <w:tcPr>
            <w:tcW w:w="390" w:type="pct"/>
            <w:tcBorders>
              <w:top w:val="nil"/>
              <w:left w:val="nil"/>
              <w:bottom w:val="single" w:sz="4" w:space="0" w:color="auto"/>
              <w:right w:val="single" w:sz="4" w:space="0" w:color="auto"/>
            </w:tcBorders>
            <w:shd w:val="clear" w:color="auto" w:fill="auto"/>
            <w:noWrap/>
            <w:vAlign w:val="bottom"/>
            <w:hideMark/>
          </w:tcPr>
          <w:p w14:paraId="3BD4088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0.029</w:t>
            </w:r>
          </w:p>
        </w:tc>
        <w:tc>
          <w:tcPr>
            <w:tcW w:w="390" w:type="pct"/>
            <w:tcBorders>
              <w:top w:val="nil"/>
              <w:left w:val="nil"/>
              <w:bottom w:val="single" w:sz="4" w:space="0" w:color="auto"/>
              <w:right w:val="single" w:sz="4" w:space="0" w:color="auto"/>
            </w:tcBorders>
            <w:shd w:val="clear" w:color="auto" w:fill="auto"/>
            <w:noWrap/>
            <w:vAlign w:val="bottom"/>
            <w:hideMark/>
          </w:tcPr>
          <w:p w14:paraId="5058696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0.029</w:t>
            </w:r>
          </w:p>
        </w:tc>
        <w:tc>
          <w:tcPr>
            <w:tcW w:w="390" w:type="pct"/>
            <w:tcBorders>
              <w:top w:val="nil"/>
              <w:left w:val="nil"/>
              <w:bottom w:val="single" w:sz="4" w:space="0" w:color="auto"/>
              <w:right w:val="single" w:sz="4" w:space="0" w:color="auto"/>
            </w:tcBorders>
            <w:shd w:val="clear" w:color="auto" w:fill="auto"/>
            <w:noWrap/>
            <w:vAlign w:val="bottom"/>
            <w:hideMark/>
          </w:tcPr>
          <w:p w14:paraId="6ACF808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0.024</w:t>
            </w:r>
          </w:p>
        </w:tc>
        <w:tc>
          <w:tcPr>
            <w:tcW w:w="390" w:type="pct"/>
            <w:tcBorders>
              <w:top w:val="nil"/>
              <w:left w:val="nil"/>
              <w:bottom w:val="single" w:sz="4" w:space="0" w:color="auto"/>
              <w:right w:val="single" w:sz="4" w:space="0" w:color="auto"/>
            </w:tcBorders>
            <w:shd w:val="clear" w:color="auto" w:fill="auto"/>
            <w:noWrap/>
            <w:vAlign w:val="bottom"/>
            <w:hideMark/>
          </w:tcPr>
          <w:p w14:paraId="3581E60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0.020</w:t>
            </w:r>
          </w:p>
        </w:tc>
        <w:tc>
          <w:tcPr>
            <w:tcW w:w="390" w:type="pct"/>
            <w:tcBorders>
              <w:top w:val="nil"/>
              <w:left w:val="nil"/>
              <w:bottom w:val="single" w:sz="4" w:space="0" w:color="auto"/>
              <w:right w:val="single" w:sz="4" w:space="0" w:color="auto"/>
            </w:tcBorders>
            <w:shd w:val="clear" w:color="auto" w:fill="auto"/>
            <w:noWrap/>
            <w:vAlign w:val="bottom"/>
            <w:hideMark/>
          </w:tcPr>
          <w:p w14:paraId="536161B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0.023</w:t>
            </w:r>
          </w:p>
        </w:tc>
        <w:tc>
          <w:tcPr>
            <w:tcW w:w="392" w:type="pct"/>
            <w:tcBorders>
              <w:top w:val="nil"/>
              <w:left w:val="nil"/>
              <w:bottom w:val="single" w:sz="4" w:space="0" w:color="auto"/>
              <w:right w:val="single" w:sz="4" w:space="0" w:color="auto"/>
            </w:tcBorders>
            <w:shd w:val="clear" w:color="auto" w:fill="auto"/>
            <w:noWrap/>
            <w:vAlign w:val="bottom"/>
            <w:hideMark/>
          </w:tcPr>
          <w:p w14:paraId="59EDBF6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0.023</w:t>
            </w:r>
          </w:p>
        </w:tc>
      </w:tr>
      <w:tr w:rsidR="00EC0251" w:rsidRPr="00EC0251" w14:paraId="1E140817" w14:textId="77777777" w:rsidTr="00A801BF">
        <w:trPr>
          <w:trHeight w:val="300"/>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2BF78A2D"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Vivienda y servicios comunitarios</w:t>
            </w:r>
          </w:p>
        </w:tc>
        <w:tc>
          <w:tcPr>
            <w:tcW w:w="847" w:type="pct"/>
            <w:tcBorders>
              <w:top w:val="nil"/>
              <w:left w:val="nil"/>
              <w:bottom w:val="single" w:sz="4" w:space="0" w:color="auto"/>
              <w:right w:val="single" w:sz="4" w:space="0" w:color="auto"/>
            </w:tcBorders>
            <w:shd w:val="clear" w:color="auto" w:fill="auto"/>
            <w:noWrap/>
            <w:vAlign w:val="bottom"/>
            <w:hideMark/>
          </w:tcPr>
          <w:p w14:paraId="527C99F7"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Urbanización</w:t>
            </w:r>
          </w:p>
        </w:tc>
        <w:tc>
          <w:tcPr>
            <w:tcW w:w="390" w:type="pct"/>
            <w:tcBorders>
              <w:top w:val="nil"/>
              <w:left w:val="nil"/>
              <w:bottom w:val="single" w:sz="4" w:space="0" w:color="auto"/>
              <w:right w:val="single" w:sz="4" w:space="0" w:color="auto"/>
            </w:tcBorders>
            <w:shd w:val="clear" w:color="auto" w:fill="auto"/>
            <w:noWrap/>
            <w:vAlign w:val="bottom"/>
            <w:hideMark/>
          </w:tcPr>
          <w:p w14:paraId="112B8CB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0.239</w:t>
            </w:r>
          </w:p>
        </w:tc>
        <w:tc>
          <w:tcPr>
            <w:tcW w:w="390" w:type="pct"/>
            <w:tcBorders>
              <w:top w:val="nil"/>
              <w:left w:val="nil"/>
              <w:bottom w:val="single" w:sz="4" w:space="0" w:color="auto"/>
              <w:right w:val="single" w:sz="4" w:space="0" w:color="auto"/>
            </w:tcBorders>
            <w:shd w:val="clear" w:color="auto" w:fill="auto"/>
            <w:noWrap/>
            <w:vAlign w:val="bottom"/>
            <w:hideMark/>
          </w:tcPr>
          <w:p w14:paraId="4EC24F9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0.130</w:t>
            </w:r>
          </w:p>
        </w:tc>
        <w:tc>
          <w:tcPr>
            <w:tcW w:w="390" w:type="pct"/>
            <w:tcBorders>
              <w:top w:val="nil"/>
              <w:left w:val="nil"/>
              <w:bottom w:val="single" w:sz="4" w:space="0" w:color="auto"/>
              <w:right w:val="single" w:sz="4" w:space="0" w:color="auto"/>
            </w:tcBorders>
            <w:shd w:val="clear" w:color="auto" w:fill="auto"/>
            <w:noWrap/>
            <w:vAlign w:val="bottom"/>
            <w:hideMark/>
          </w:tcPr>
          <w:p w14:paraId="0F73A75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0.119</w:t>
            </w:r>
          </w:p>
        </w:tc>
        <w:tc>
          <w:tcPr>
            <w:tcW w:w="390" w:type="pct"/>
            <w:tcBorders>
              <w:top w:val="nil"/>
              <w:left w:val="nil"/>
              <w:bottom w:val="single" w:sz="4" w:space="0" w:color="auto"/>
              <w:right w:val="single" w:sz="4" w:space="0" w:color="auto"/>
            </w:tcBorders>
            <w:shd w:val="clear" w:color="auto" w:fill="auto"/>
            <w:noWrap/>
            <w:vAlign w:val="bottom"/>
            <w:hideMark/>
          </w:tcPr>
          <w:p w14:paraId="62E7DF3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0.135</w:t>
            </w:r>
          </w:p>
        </w:tc>
        <w:tc>
          <w:tcPr>
            <w:tcW w:w="390" w:type="pct"/>
            <w:tcBorders>
              <w:top w:val="nil"/>
              <w:left w:val="nil"/>
              <w:bottom w:val="single" w:sz="4" w:space="0" w:color="auto"/>
              <w:right w:val="single" w:sz="4" w:space="0" w:color="auto"/>
            </w:tcBorders>
            <w:shd w:val="clear" w:color="auto" w:fill="auto"/>
            <w:noWrap/>
            <w:vAlign w:val="bottom"/>
            <w:hideMark/>
          </w:tcPr>
          <w:p w14:paraId="746B31AB"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0.088</w:t>
            </w:r>
          </w:p>
        </w:tc>
        <w:tc>
          <w:tcPr>
            <w:tcW w:w="390" w:type="pct"/>
            <w:tcBorders>
              <w:top w:val="nil"/>
              <w:left w:val="nil"/>
              <w:bottom w:val="single" w:sz="4" w:space="0" w:color="auto"/>
              <w:right w:val="single" w:sz="4" w:space="0" w:color="auto"/>
            </w:tcBorders>
            <w:shd w:val="clear" w:color="auto" w:fill="auto"/>
            <w:noWrap/>
            <w:vAlign w:val="bottom"/>
            <w:hideMark/>
          </w:tcPr>
          <w:p w14:paraId="4F5D748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0.067</w:t>
            </w:r>
          </w:p>
        </w:tc>
        <w:tc>
          <w:tcPr>
            <w:tcW w:w="390" w:type="pct"/>
            <w:tcBorders>
              <w:top w:val="nil"/>
              <w:left w:val="nil"/>
              <w:bottom w:val="single" w:sz="4" w:space="0" w:color="auto"/>
              <w:right w:val="single" w:sz="4" w:space="0" w:color="auto"/>
            </w:tcBorders>
            <w:shd w:val="clear" w:color="auto" w:fill="auto"/>
            <w:noWrap/>
            <w:vAlign w:val="bottom"/>
            <w:hideMark/>
          </w:tcPr>
          <w:p w14:paraId="4F4BCE7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0.032</w:t>
            </w:r>
          </w:p>
        </w:tc>
        <w:tc>
          <w:tcPr>
            <w:tcW w:w="390" w:type="pct"/>
            <w:tcBorders>
              <w:top w:val="nil"/>
              <w:left w:val="nil"/>
              <w:bottom w:val="single" w:sz="4" w:space="0" w:color="auto"/>
              <w:right w:val="single" w:sz="4" w:space="0" w:color="auto"/>
            </w:tcBorders>
            <w:shd w:val="clear" w:color="auto" w:fill="auto"/>
            <w:noWrap/>
            <w:vAlign w:val="bottom"/>
            <w:hideMark/>
          </w:tcPr>
          <w:p w14:paraId="2A3D3F6B"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0.040</w:t>
            </w:r>
          </w:p>
        </w:tc>
        <w:tc>
          <w:tcPr>
            <w:tcW w:w="392" w:type="pct"/>
            <w:tcBorders>
              <w:top w:val="nil"/>
              <w:left w:val="nil"/>
              <w:bottom w:val="single" w:sz="4" w:space="0" w:color="auto"/>
              <w:right w:val="single" w:sz="4" w:space="0" w:color="auto"/>
            </w:tcBorders>
            <w:shd w:val="clear" w:color="auto" w:fill="auto"/>
            <w:noWrap/>
            <w:vAlign w:val="bottom"/>
            <w:hideMark/>
          </w:tcPr>
          <w:p w14:paraId="0AB6B39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0.039</w:t>
            </w:r>
          </w:p>
        </w:tc>
      </w:tr>
      <w:tr w:rsidR="00EC0251" w:rsidRPr="00EC0251" w14:paraId="1882BB1B" w14:textId="77777777" w:rsidTr="00A801BF">
        <w:trPr>
          <w:trHeight w:val="300"/>
        </w:trPr>
        <w:tc>
          <w:tcPr>
            <w:tcW w:w="639" w:type="pct"/>
            <w:vMerge/>
            <w:tcBorders>
              <w:top w:val="nil"/>
              <w:left w:val="single" w:sz="4" w:space="0" w:color="auto"/>
              <w:bottom w:val="single" w:sz="4" w:space="0" w:color="auto"/>
              <w:right w:val="single" w:sz="4" w:space="0" w:color="auto"/>
            </w:tcBorders>
            <w:vAlign w:val="center"/>
            <w:hideMark/>
          </w:tcPr>
          <w:p w14:paraId="01870D3C"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noWrap/>
            <w:vAlign w:val="bottom"/>
            <w:hideMark/>
          </w:tcPr>
          <w:p w14:paraId="35137716"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Abastecimiento de agua</w:t>
            </w:r>
          </w:p>
        </w:tc>
        <w:tc>
          <w:tcPr>
            <w:tcW w:w="390" w:type="pct"/>
            <w:tcBorders>
              <w:top w:val="nil"/>
              <w:left w:val="nil"/>
              <w:bottom w:val="single" w:sz="4" w:space="0" w:color="auto"/>
              <w:right w:val="single" w:sz="4" w:space="0" w:color="auto"/>
            </w:tcBorders>
            <w:shd w:val="clear" w:color="auto" w:fill="auto"/>
            <w:noWrap/>
            <w:vAlign w:val="bottom"/>
            <w:hideMark/>
          </w:tcPr>
          <w:p w14:paraId="46CC5AF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0.283</w:t>
            </w:r>
          </w:p>
        </w:tc>
        <w:tc>
          <w:tcPr>
            <w:tcW w:w="390" w:type="pct"/>
            <w:tcBorders>
              <w:top w:val="nil"/>
              <w:left w:val="nil"/>
              <w:bottom w:val="single" w:sz="4" w:space="0" w:color="auto"/>
              <w:right w:val="single" w:sz="4" w:space="0" w:color="auto"/>
            </w:tcBorders>
            <w:shd w:val="clear" w:color="auto" w:fill="auto"/>
            <w:noWrap/>
            <w:vAlign w:val="bottom"/>
            <w:hideMark/>
          </w:tcPr>
          <w:p w14:paraId="28CB72A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0.176</w:t>
            </w:r>
          </w:p>
        </w:tc>
        <w:tc>
          <w:tcPr>
            <w:tcW w:w="390" w:type="pct"/>
            <w:tcBorders>
              <w:top w:val="nil"/>
              <w:left w:val="nil"/>
              <w:bottom w:val="single" w:sz="4" w:space="0" w:color="auto"/>
              <w:right w:val="single" w:sz="4" w:space="0" w:color="auto"/>
            </w:tcBorders>
            <w:shd w:val="clear" w:color="auto" w:fill="auto"/>
            <w:noWrap/>
            <w:vAlign w:val="bottom"/>
            <w:hideMark/>
          </w:tcPr>
          <w:p w14:paraId="1FF9CDC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0.172</w:t>
            </w:r>
          </w:p>
        </w:tc>
        <w:tc>
          <w:tcPr>
            <w:tcW w:w="390" w:type="pct"/>
            <w:tcBorders>
              <w:top w:val="nil"/>
              <w:left w:val="nil"/>
              <w:bottom w:val="single" w:sz="4" w:space="0" w:color="auto"/>
              <w:right w:val="single" w:sz="4" w:space="0" w:color="auto"/>
            </w:tcBorders>
            <w:shd w:val="clear" w:color="auto" w:fill="auto"/>
            <w:noWrap/>
            <w:vAlign w:val="bottom"/>
            <w:hideMark/>
          </w:tcPr>
          <w:p w14:paraId="4D57263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0.144</w:t>
            </w:r>
          </w:p>
        </w:tc>
        <w:tc>
          <w:tcPr>
            <w:tcW w:w="390" w:type="pct"/>
            <w:tcBorders>
              <w:top w:val="nil"/>
              <w:left w:val="nil"/>
              <w:bottom w:val="single" w:sz="4" w:space="0" w:color="auto"/>
              <w:right w:val="single" w:sz="4" w:space="0" w:color="auto"/>
            </w:tcBorders>
            <w:shd w:val="clear" w:color="auto" w:fill="auto"/>
            <w:noWrap/>
            <w:vAlign w:val="bottom"/>
            <w:hideMark/>
          </w:tcPr>
          <w:p w14:paraId="236252F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0.064</w:t>
            </w:r>
          </w:p>
        </w:tc>
        <w:tc>
          <w:tcPr>
            <w:tcW w:w="390" w:type="pct"/>
            <w:tcBorders>
              <w:top w:val="nil"/>
              <w:left w:val="nil"/>
              <w:bottom w:val="single" w:sz="4" w:space="0" w:color="auto"/>
              <w:right w:val="single" w:sz="4" w:space="0" w:color="auto"/>
            </w:tcBorders>
            <w:shd w:val="clear" w:color="auto" w:fill="auto"/>
            <w:noWrap/>
            <w:vAlign w:val="bottom"/>
            <w:hideMark/>
          </w:tcPr>
          <w:p w14:paraId="0E169E8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0.022</w:t>
            </w:r>
          </w:p>
        </w:tc>
        <w:tc>
          <w:tcPr>
            <w:tcW w:w="390" w:type="pct"/>
            <w:tcBorders>
              <w:top w:val="nil"/>
              <w:left w:val="nil"/>
              <w:bottom w:val="single" w:sz="4" w:space="0" w:color="auto"/>
              <w:right w:val="single" w:sz="4" w:space="0" w:color="auto"/>
            </w:tcBorders>
            <w:shd w:val="clear" w:color="auto" w:fill="auto"/>
            <w:noWrap/>
            <w:vAlign w:val="bottom"/>
            <w:hideMark/>
          </w:tcPr>
          <w:p w14:paraId="14CCB37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0.054</w:t>
            </w:r>
          </w:p>
        </w:tc>
        <w:tc>
          <w:tcPr>
            <w:tcW w:w="390" w:type="pct"/>
            <w:tcBorders>
              <w:top w:val="nil"/>
              <w:left w:val="nil"/>
              <w:bottom w:val="single" w:sz="4" w:space="0" w:color="auto"/>
              <w:right w:val="single" w:sz="4" w:space="0" w:color="auto"/>
            </w:tcBorders>
            <w:shd w:val="clear" w:color="auto" w:fill="auto"/>
            <w:noWrap/>
            <w:vAlign w:val="bottom"/>
            <w:hideMark/>
          </w:tcPr>
          <w:p w14:paraId="0C0D402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0.099</w:t>
            </w:r>
          </w:p>
        </w:tc>
        <w:tc>
          <w:tcPr>
            <w:tcW w:w="392" w:type="pct"/>
            <w:tcBorders>
              <w:top w:val="nil"/>
              <w:left w:val="nil"/>
              <w:bottom w:val="single" w:sz="4" w:space="0" w:color="auto"/>
              <w:right w:val="single" w:sz="4" w:space="0" w:color="auto"/>
            </w:tcBorders>
            <w:shd w:val="clear" w:color="auto" w:fill="auto"/>
            <w:noWrap/>
            <w:vAlign w:val="bottom"/>
            <w:hideMark/>
          </w:tcPr>
          <w:p w14:paraId="73622DC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0.110</w:t>
            </w:r>
          </w:p>
        </w:tc>
      </w:tr>
      <w:tr w:rsidR="00EC0251" w:rsidRPr="00EC0251" w14:paraId="7EC7EF68" w14:textId="77777777" w:rsidTr="00A801BF">
        <w:trPr>
          <w:trHeight w:val="525"/>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6A50BADF"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Salud</w:t>
            </w:r>
          </w:p>
        </w:tc>
        <w:tc>
          <w:tcPr>
            <w:tcW w:w="847" w:type="pct"/>
            <w:tcBorders>
              <w:top w:val="nil"/>
              <w:left w:val="nil"/>
              <w:bottom w:val="single" w:sz="4" w:space="0" w:color="auto"/>
              <w:right w:val="single" w:sz="4" w:space="0" w:color="auto"/>
            </w:tcBorders>
            <w:shd w:val="clear" w:color="auto" w:fill="auto"/>
            <w:vAlign w:val="bottom"/>
            <w:hideMark/>
          </w:tcPr>
          <w:p w14:paraId="361DE277"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médicos generales</w:t>
            </w:r>
          </w:p>
        </w:tc>
        <w:tc>
          <w:tcPr>
            <w:tcW w:w="390" w:type="pct"/>
            <w:tcBorders>
              <w:top w:val="nil"/>
              <w:left w:val="nil"/>
              <w:bottom w:val="single" w:sz="4" w:space="0" w:color="auto"/>
              <w:right w:val="single" w:sz="4" w:space="0" w:color="auto"/>
            </w:tcBorders>
            <w:shd w:val="clear" w:color="auto" w:fill="auto"/>
            <w:noWrap/>
            <w:vAlign w:val="bottom"/>
            <w:hideMark/>
          </w:tcPr>
          <w:p w14:paraId="3385C6D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0.505</w:t>
            </w:r>
          </w:p>
        </w:tc>
        <w:tc>
          <w:tcPr>
            <w:tcW w:w="390" w:type="pct"/>
            <w:tcBorders>
              <w:top w:val="nil"/>
              <w:left w:val="nil"/>
              <w:bottom w:val="single" w:sz="4" w:space="0" w:color="auto"/>
              <w:right w:val="single" w:sz="4" w:space="0" w:color="auto"/>
            </w:tcBorders>
            <w:shd w:val="clear" w:color="auto" w:fill="auto"/>
            <w:noWrap/>
            <w:vAlign w:val="bottom"/>
            <w:hideMark/>
          </w:tcPr>
          <w:p w14:paraId="2E294D1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0.479</w:t>
            </w:r>
          </w:p>
        </w:tc>
        <w:tc>
          <w:tcPr>
            <w:tcW w:w="390" w:type="pct"/>
            <w:tcBorders>
              <w:top w:val="nil"/>
              <w:left w:val="nil"/>
              <w:bottom w:val="single" w:sz="4" w:space="0" w:color="auto"/>
              <w:right w:val="single" w:sz="4" w:space="0" w:color="auto"/>
            </w:tcBorders>
            <w:shd w:val="clear" w:color="auto" w:fill="auto"/>
            <w:noWrap/>
            <w:vAlign w:val="bottom"/>
            <w:hideMark/>
          </w:tcPr>
          <w:p w14:paraId="017F4D4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0.527</w:t>
            </w:r>
          </w:p>
        </w:tc>
        <w:tc>
          <w:tcPr>
            <w:tcW w:w="390" w:type="pct"/>
            <w:tcBorders>
              <w:top w:val="nil"/>
              <w:left w:val="nil"/>
              <w:bottom w:val="single" w:sz="4" w:space="0" w:color="auto"/>
              <w:right w:val="single" w:sz="4" w:space="0" w:color="auto"/>
            </w:tcBorders>
            <w:shd w:val="clear" w:color="auto" w:fill="auto"/>
            <w:noWrap/>
            <w:vAlign w:val="bottom"/>
            <w:hideMark/>
          </w:tcPr>
          <w:p w14:paraId="0BC4D2D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0.571</w:t>
            </w:r>
          </w:p>
        </w:tc>
        <w:tc>
          <w:tcPr>
            <w:tcW w:w="390" w:type="pct"/>
            <w:tcBorders>
              <w:top w:val="nil"/>
              <w:left w:val="nil"/>
              <w:bottom w:val="single" w:sz="4" w:space="0" w:color="auto"/>
              <w:right w:val="single" w:sz="4" w:space="0" w:color="auto"/>
            </w:tcBorders>
            <w:shd w:val="clear" w:color="auto" w:fill="auto"/>
            <w:noWrap/>
            <w:vAlign w:val="bottom"/>
            <w:hideMark/>
          </w:tcPr>
          <w:p w14:paraId="18DA775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0.621</w:t>
            </w:r>
          </w:p>
        </w:tc>
        <w:tc>
          <w:tcPr>
            <w:tcW w:w="390" w:type="pct"/>
            <w:tcBorders>
              <w:top w:val="nil"/>
              <w:left w:val="nil"/>
              <w:bottom w:val="single" w:sz="4" w:space="0" w:color="auto"/>
              <w:right w:val="single" w:sz="4" w:space="0" w:color="auto"/>
            </w:tcBorders>
            <w:shd w:val="clear" w:color="auto" w:fill="auto"/>
            <w:noWrap/>
            <w:vAlign w:val="bottom"/>
            <w:hideMark/>
          </w:tcPr>
          <w:p w14:paraId="102086FB"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0.623</w:t>
            </w:r>
          </w:p>
        </w:tc>
        <w:tc>
          <w:tcPr>
            <w:tcW w:w="390" w:type="pct"/>
            <w:tcBorders>
              <w:top w:val="nil"/>
              <w:left w:val="nil"/>
              <w:bottom w:val="single" w:sz="4" w:space="0" w:color="auto"/>
              <w:right w:val="single" w:sz="4" w:space="0" w:color="auto"/>
            </w:tcBorders>
            <w:shd w:val="clear" w:color="auto" w:fill="auto"/>
            <w:noWrap/>
            <w:vAlign w:val="bottom"/>
            <w:hideMark/>
          </w:tcPr>
          <w:p w14:paraId="4AE7028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0.562</w:t>
            </w:r>
          </w:p>
        </w:tc>
        <w:tc>
          <w:tcPr>
            <w:tcW w:w="390" w:type="pct"/>
            <w:tcBorders>
              <w:top w:val="nil"/>
              <w:left w:val="nil"/>
              <w:bottom w:val="single" w:sz="4" w:space="0" w:color="auto"/>
              <w:right w:val="single" w:sz="4" w:space="0" w:color="auto"/>
            </w:tcBorders>
            <w:shd w:val="clear" w:color="auto" w:fill="auto"/>
            <w:noWrap/>
            <w:vAlign w:val="bottom"/>
            <w:hideMark/>
          </w:tcPr>
          <w:p w14:paraId="1B58746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0.530</w:t>
            </w:r>
          </w:p>
        </w:tc>
        <w:tc>
          <w:tcPr>
            <w:tcW w:w="392" w:type="pct"/>
            <w:tcBorders>
              <w:top w:val="nil"/>
              <w:left w:val="nil"/>
              <w:bottom w:val="single" w:sz="4" w:space="0" w:color="auto"/>
              <w:right w:val="single" w:sz="4" w:space="0" w:color="auto"/>
            </w:tcBorders>
            <w:shd w:val="clear" w:color="auto" w:fill="auto"/>
            <w:noWrap/>
            <w:vAlign w:val="bottom"/>
            <w:hideMark/>
          </w:tcPr>
          <w:p w14:paraId="2B7691E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0.461</w:t>
            </w:r>
          </w:p>
        </w:tc>
      </w:tr>
      <w:tr w:rsidR="00EC0251" w:rsidRPr="00EC0251" w14:paraId="012FE134"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5738543A"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27042132"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médicos especializados</w:t>
            </w:r>
          </w:p>
        </w:tc>
        <w:tc>
          <w:tcPr>
            <w:tcW w:w="390" w:type="pct"/>
            <w:tcBorders>
              <w:top w:val="nil"/>
              <w:left w:val="nil"/>
              <w:bottom w:val="single" w:sz="4" w:space="0" w:color="auto"/>
              <w:right w:val="single" w:sz="4" w:space="0" w:color="auto"/>
            </w:tcBorders>
            <w:shd w:val="clear" w:color="auto" w:fill="auto"/>
            <w:noWrap/>
            <w:vAlign w:val="bottom"/>
            <w:hideMark/>
          </w:tcPr>
          <w:p w14:paraId="647A32C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0.016</w:t>
            </w:r>
          </w:p>
        </w:tc>
        <w:tc>
          <w:tcPr>
            <w:tcW w:w="390" w:type="pct"/>
            <w:tcBorders>
              <w:top w:val="nil"/>
              <w:left w:val="nil"/>
              <w:bottom w:val="single" w:sz="4" w:space="0" w:color="auto"/>
              <w:right w:val="single" w:sz="4" w:space="0" w:color="auto"/>
            </w:tcBorders>
            <w:shd w:val="clear" w:color="auto" w:fill="auto"/>
            <w:noWrap/>
            <w:vAlign w:val="bottom"/>
            <w:hideMark/>
          </w:tcPr>
          <w:p w14:paraId="3EFA342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0.018</w:t>
            </w:r>
          </w:p>
        </w:tc>
        <w:tc>
          <w:tcPr>
            <w:tcW w:w="390" w:type="pct"/>
            <w:tcBorders>
              <w:top w:val="nil"/>
              <w:left w:val="nil"/>
              <w:bottom w:val="single" w:sz="4" w:space="0" w:color="auto"/>
              <w:right w:val="single" w:sz="4" w:space="0" w:color="auto"/>
            </w:tcBorders>
            <w:shd w:val="clear" w:color="auto" w:fill="auto"/>
            <w:noWrap/>
            <w:vAlign w:val="bottom"/>
            <w:hideMark/>
          </w:tcPr>
          <w:p w14:paraId="1FAEFFA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0.013</w:t>
            </w:r>
          </w:p>
        </w:tc>
        <w:tc>
          <w:tcPr>
            <w:tcW w:w="390" w:type="pct"/>
            <w:tcBorders>
              <w:top w:val="nil"/>
              <w:left w:val="nil"/>
              <w:bottom w:val="single" w:sz="4" w:space="0" w:color="auto"/>
              <w:right w:val="single" w:sz="4" w:space="0" w:color="auto"/>
            </w:tcBorders>
            <w:shd w:val="clear" w:color="auto" w:fill="auto"/>
            <w:noWrap/>
            <w:vAlign w:val="bottom"/>
            <w:hideMark/>
          </w:tcPr>
          <w:p w14:paraId="17917FF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0.013</w:t>
            </w:r>
          </w:p>
        </w:tc>
        <w:tc>
          <w:tcPr>
            <w:tcW w:w="390" w:type="pct"/>
            <w:tcBorders>
              <w:top w:val="nil"/>
              <w:left w:val="nil"/>
              <w:bottom w:val="single" w:sz="4" w:space="0" w:color="auto"/>
              <w:right w:val="single" w:sz="4" w:space="0" w:color="auto"/>
            </w:tcBorders>
            <w:shd w:val="clear" w:color="auto" w:fill="auto"/>
            <w:noWrap/>
            <w:vAlign w:val="bottom"/>
            <w:hideMark/>
          </w:tcPr>
          <w:p w14:paraId="43E6A3E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0.011</w:t>
            </w:r>
          </w:p>
        </w:tc>
        <w:tc>
          <w:tcPr>
            <w:tcW w:w="390" w:type="pct"/>
            <w:tcBorders>
              <w:top w:val="nil"/>
              <w:left w:val="nil"/>
              <w:bottom w:val="single" w:sz="4" w:space="0" w:color="auto"/>
              <w:right w:val="single" w:sz="4" w:space="0" w:color="auto"/>
            </w:tcBorders>
            <w:shd w:val="clear" w:color="auto" w:fill="auto"/>
            <w:noWrap/>
            <w:vAlign w:val="bottom"/>
            <w:hideMark/>
          </w:tcPr>
          <w:p w14:paraId="0229F2B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0.016</w:t>
            </w:r>
          </w:p>
        </w:tc>
        <w:tc>
          <w:tcPr>
            <w:tcW w:w="390" w:type="pct"/>
            <w:tcBorders>
              <w:top w:val="nil"/>
              <w:left w:val="nil"/>
              <w:bottom w:val="single" w:sz="4" w:space="0" w:color="auto"/>
              <w:right w:val="single" w:sz="4" w:space="0" w:color="auto"/>
            </w:tcBorders>
            <w:shd w:val="clear" w:color="auto" w:fill="auto"/>
            <w:noWrap/>
            <w:vAlign w:val="bottom"/>
            <w:hideMark/>
          </w:tcPr>
          <w:p w14:paraId="1E501EC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0.018</w:t>
            </w:r>
          </w:p>
        </w:tc>
        <w:tc>
          <w:tcPr>
            <w:tcW w:w="390" w:type="pct"/>
            <w:tcBorders>
              <w:top w:val="nil"/>
              <w:left w:val="nil"/>
              <w:bottom w:val="single" w:sz="4" w:space="0" w:color="auto"/>
              <w:right w:val="single" w:sz="4" w:space="0" w:color="auto"/>
            </w:tcBorders>
            <w:shd w:val="clear" w:color="auto" w:fill="auto"/>
            <w:noWrap/>
            <w:vAlign w:val="bottom"/>
            <w:hideMark/>
          </w:tcPr>
          <w:p w14:paraId="02B8C3A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0.017</w:t>
            </w:r>
          </w:p>
        </w:tc>
        <w:tc>
          <w:tcPr>
            <w:tcW w:w="392" w:type="pct"/>
            <w:tcBorders>
              <w:top w:val="nil"/>
              <w:left w:val="nil"/>
              <w:bottom w:val="single" w:sz="4" w:space="0" w:color="auto"/>
              <w:right w:val="single" w:sz="4" w:space="0" w:color="auto"/>
            </w:tcBorders>
            <w:shd w:val="clear" w:color="auto" w:fill="auto"/>
            <w:noWrap/>
            <w:vAlign w:val="bottom"/>
            <w:hideMark/>
          </w:tcPr>
          <w:p w14:paraId="0535EF7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0.011</w:t>
            </w:r>
          </w:p>
        </w:tc>
      </w:tr>
      <w:tr w:rsidR="00EC0251" w:rsidRPr="00EC0251" w14:paraId="77980E84"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24DF4ADE"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25480012"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hospitalarios especializados</w:t>
            </w:r>
          </w:p>
        </w:tc>
        <w:tc>
          <w:tcPr>
            <w:tcW w:w="390" w:type="pct"/>
            <w:tcBorders>
              <w:top w:val="nil"/>
              <w:left w:val="nil"/>
              <w:bottom w:val="single" w:sz="4" w:space="0" w:color="auto"/>
              <w:right w:val="single" w:sz="4" w:space="0" w:color="auto"/>
            </w:tcBorders>
            <w:shd w:val="clear" w:color="auto" w:fill="auto"/>
            <w:noWrap/>
            <w:vAlign w:val="bottom"/>
            <w:hideMark/>
          </w:tcPr>
          <w:p w14:paraId="56376D5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0.070</w:t>
            </w:r>
          </w:p>
        </w:tc>
        <w:tc>
          <w:tcPr>
            <w:tcW w:w="390" w:type="pct"/>
            <w:tcBorders>
              <w:top w:val="nil"/>
              <w:left w:val="nil"/>
              <w:bottom w:val="single" w:sz="4" w:space="0" w:color="auto"/>
              <w:right w:val="single" w:sz="4" w:space="0" w:color="auto"/>
            </w:tcBorders>
            <w:shd w:val="clear" w:color="auto" w:fill="auto"/>
            <w:noWrap/>
            <w:vAlign w:val="bottom"/>
            <w:hideMark/>
          </w:tcPr>
          <w:p w14:paraId="2769BC8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0.062</w:t>
            </w:r>
          </w:p>
        </w:tc>
        <w:tc>
          <w:tcPr>
            <w:tcW w:w="390" w:type="pct"/>
            <w:tcBorders>
              <w:top w:val="nil"/>
              <w:left w:val="nil"/>
              <w:bottom w:val="single" w:sz="4" w:space="0" w:color="auto"/>
              <w:right w:val="single" w:sz="4" w:space="0" w:color="auto"/>
            </w:tcBorders>
            <w:shd w:val="clear" w:color="auto" w:fill="auto"/>
            <w:noWrap/>
            <w:vAlign w:val="bottom"/>
            <w:hideMark/>
          </w:tcPr>
          <w:p w14:paraId="1E71EE5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0.060</w:t>
            </w:r>
          </w:p>
        </w:tc>
        <w:tc>
          <w:tcPr>
            <w:tcW w:w="390" w:type="pct"/>
            <w:tcBorders>
              <w:top w:val="nil"/>
              <w:left w:val="nil"/>
              <w:bottom w:val="single" w:sz="4" w:space="0" w:color="auto"/>
              <w:right w:val="single" w:sz="4" w:space="0" w:color="auto"/>
            </w:tcBorders>
            <w:shd w:val="clear" w:color="auto" w:fill="auto"/>
            <w:noWrap/>
            <w:vAlign w:val="bottom"/>
            <w:hideMark/>
          </w:tcPr>
          <w:p w14:paraId="13D0758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0.068</w:t>
            </w:r>
          </w:p>
        </w:tc>
        <w:tc>
          <w:tcPr>
            <w:tcW w:w="390" w:type="pct"/>
            <w:tcBorders>
              <w:top w:val="nil"/>
              <w:left w:val="nil"/>
              <w:bottom w:val="single" w:sz="4" w:space="0" w:color="auto"/>
              <w:right w:val="single" w:sz="4" w:space="0" w:color="auto"/>
            </w:tcBorders>
            <w:shd w:val="clear" w:color="auto" w:fill="auto"/>
            <w:noWrap/>
            <w:vAlign w:val="bottom"/>
            <w:hideMark/>
          </w:tcPr>
          <w:p w14:paraId="3F39057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0.066</w:t>
            </w:r>
          </w:p>
        </w:tc>
        <w:tc>
          <w:tcPr>
            <w:tcW w:w="390" w:type="pct"/>
            <w:tcBorders>
              <w:top w:val="nil"/>
              <w:left w:val="nil"/>
              <w:bottom w:val="single" w:sz="4" w:space="0" w:color="auto"/>
              <w:right w:val="single" w:sz="4" w:space="0" w:color="auto"/>
            </w:tcBorders>
            <w:shd w:val="clear" w:color="auto" w:fill="auto"/>
            <w:noWrap/>
            <w:vAlign w:val="bottom"/>
            <w:hideMark/>
          </w:tcPr>
          <w:p w14:paraId="0994A9F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0.064</w:t>
            </w:r>
          </w:p>
        </w:tc>
        <w:tc>
          <w:tcPr>
            <w:tcW w:w="390" w:type="pct"/>
            <w:tcBorders>
              <w:top w:val="nil"/>
              <w:left w:val="nil"/>
              <w:bottom w:val="single" w:sz="4" w:space="0" w:color="auto"/>
              <w:right w:val="single" w:sz="4" w:space="0" w:color="auto"/>
            </w:tcBorders>
            <w:shd w:val="clear" w:color="auto" w:fill="auto"/>
            <w:noWrap/>
            <w:vAlign w:val="bottom"/>
            <w:hideMark/>
          </w:tcPr>
          <w:p w14:paraId="274A020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0.061</w:t>
            </w:r>
          </w:p>
        </w:tc>
        <w:tc>
          <w:tcPr>
            <w:tcW w:w="390" w:type="pct"/>
            <w:tcBorders>
              <w:top w:val="nil"/>
              <w:left w:val="nil"/>
              <w:bottom w:val="single" w:sz="4" w:space="0" w:color="auto"/>
              <w:right w:val="single" w:sz="4" w:space="0" w:color="auto"/>
            </w:tcBorders>
            <w:shd w:val="clear" w:color="auto" w:fill="auto"/>
            <w:noWrap/>
            <w:vAlign w:val="bottom"/>
            <w:hideMark/>
          </w:tcPr>
          <w:p w14:paraId="5D3C024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0.057</w:t>
            </w:r>
          </w:p>
        </w:tc>
        <w:tc>
          <w:tcPr>
            <w:tcW w:w="392" w:type="pct"/>
            <w:tcBorders>
              <w:top w:val="nil"/>
              <w:left w:val="nil"/>
              <w:bottom w:val="single" w:sz="4" w:space="0" w:color="auto"/>
              <w:right w:val="single" w:sz="4" w:space="0" w:color="auto"/>
            </w:tcBorders>
            <w:shd w:val="clear" w:color="auto" w:fill="auto"/>
            <w:noWrap/>
            <w:vAlign w:val="bottom"/>
            <w:hideMark/>
          </w:tcPr>
          <w:p w14:paraId="6230722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0.057</w:t>
            </w:r>
          </w:p>
        </w:tc>
      </w:tr>
      <w:tr w:rsidR="00EC0251" w:rsidRPr="00EC0251" w14:paraId="232FACEE" w14:textId="77777777" w:rsidTr="00A801BF">
        <w:trPr>
          <w:trHeight w:val="300"/>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1F71E1AE"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Actividades recreativas, cultura y religión</w:t>
            </w:r>
          </w:p>
        </w:tc>
        <w:tc>
          <w:tcPr>
            <w:tcW w:w="847" w:type="pct"/>
            <w:tcBorders>
              <w:top w:val="nil"/>
              <w:left w:val="nil"/>
              <w:bottom w:val="single" w:sz="4" w:space="0" w:color="auto"/>
              <w:right w:val="single" w:sz="4" w:space="0" w:color="auto"/>
            </w:tcBorders>
            <w:shd w:val="clear" w:color="auto" w:fill="auto"/>
            <w:noWrap/>
            <w:vAlign w:val="bottom"/>
            <w:hideMark/>
          </w:tcPr>
          <w:p w14:paraId="6EEB9046"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culturales</w:t>
            </w:r>
          </w:p>
        </w:tc>
        <w:tc>
          <w:tcPr>
            <w:tcW w:w="390" w:type="pct"/>
            <w:tcBorders>
              <w:top w:val="nil"/>
              <w:left w:val="nil"/>
              <w:bottom w:val="single" w:sz="4" w:space="0" w:color="auto"/>
              <w:right w:val="single" w:sz="4" w:space="0" w:color="auto"/>
            </w:tcBorders>
            <w:shd w:val="clear" w:color="auto" w:fill="auto"/>
            <w:noWrap/>
            <w:vAlign w:val="bottom"/>
            <w:hideMark/>
          </w:tcPr>
          <w:p w14:paraId="5E0AB2E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0.062</w:t>
            </w:r>
          </w:p>
        </w:tc>
        <w:tc>
          <w:tcPr>
            <w:tcW w:w="390" w:type="pct"/>
            <w:tcBorders>
              <w:top w:val="nil"/>
              <w:left w:val="nil"/>
              <w:bottom w:val="single" w:sz="4" w:space="0" w:color="auto"/>
              <w:right w:val="single" w:sz="4" w:space="0" w:color="auto"/>
            </w:tcBorders>
            <w:shd w:val="clear" w:color="auto" w:fill="auto"/>
            <w:noWrap/>
            <w:vAlign w:val="bottom"/>
            <w:hideMark/>
          </w:tcPr>
          <w:p w14:paraId="5B7D5FD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0.065</w:t>
            </w:r>
          </w:p>
        </w:tc>
        <w:tc>
          <w:tcPr>
            <w:tcW w:w="390" w:type="pct"/>
            <w:tcBorders>
              <w:top w:val="nil"/>
              <w:left w:val="nil"/>
              <w:bottom w:val="single" w:sz="4" w:space="0" w:color="auto"/>
              <w:right w:val="single" w:sz="4" w:space="0" w:color="auto"/>
            </w:tcBorders>
            <w:shd w:val="clear" w:color="auto" w:fill="auto"/>
            <w:noWrap/>
            <w:vAlign w:val="bottom"/>
            <w:hideMark/>
          </w:tcPr>
          <w:p w14:paraId="73D2AFD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0.054</w:t>
            </w:r>
          </w:p>
        </w:tc>
        <w:tc>
          <w:tcPr>
            <w:tcW w:w="390" w:type="pct"/>
            <w:tcBorders>
              <w:top w:val="nil"/>
              <w:left w:val="nil"/>
              <w:bottom w:val="single" w:sz="4" w:space="0" w:color="auto"/>
              <w:right w:val="single" w:sz="4" w:space="0" w:color="auto"/>
            </w:tcBorders>
            <w:shd w:val="clear" w:color="auto" w:fill="auto"/>
            <w:noWrap/>
            <w:vAlign w:val="bottom"/>
            <w:hideMark/>
          </w:tcPr>
          <w:p w14:paraId="74B0CB2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0.052</w:t>
            </w:r>
          </w:p>
        </w:tc>
        <w:tc>
          <w:tcPr>
            <w:tcW w:w="390" w:type="pct"/>
            <w:tcBorders>
              <w:top w:val="nil"/>
              <w:left w:val="nil"/>
              <w:bottom w:val="single" w:sz="4" w:space="0" w:color="auto"/>
              <w:right w:val="single" w:sz="4" w:space="0" w:color="auto"/>
            </w:tcBorders>
            <w:shd w:val="clear" w:color="auto" w:fill="auto"/>
            <w:noWrap/>
            <w:vAlign w:val="bottom"/>
            <w:hideMark/>
          </w:tcPr>
          <w:p w14:paraId="3D6EA7B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0.051</w:t>
            </w:r>
          </w:p>
        </w:tc>
        <w:tc>
          <w:tcPr>
            <w:tcW w:w="390" w:type="pct"/>
            <w:tcBorders>
              <w:top w:val="nil"/>
              <w:left w:val="nil"/>
              <w:bottom w:val="single" w:sz="4" w:space="0" w:color="auto"/>
              <w:right w:val="single" w:sz="4" w:space="0" w:color="auto"/>
            </w:tcBorders>
            <w:shd w:val="clear" w:color="auto" w:fill="auto"/>
            <w:noWrap/>
            <w:vAlign w:val="bottom"/>
            <w:hideMark/>
          </w:tcPr>
          <w:p w14:paraId="59248D1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0.042</w:t>
            </w:r>
          </w:p>
        </w:tc>
        <w:tc>
          <w:tcPr>
            <w:tcW w:w="390" w:type="pct"/>
            <w:tcBorders>
              <w:top w:val="nil"/>
              <w:left w:val="nil"/>
              <w:bottom w:val="single" w:sz="4" w:space="0" w:color="auto"/>
              <w:right w:val="single" w:sz="4" w:space="0" w:color="auto"/>
            </w:tcBorders>
            <w:shd w:val="clear" w:color="auto" w:fill="auto"/>
            <w:noWrap/>
            <w:vAlign w:val="bottom"/>
            <w:hideMark/>
          </w:tcPr>
          <w:p w14:paraId="6A44957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0.044</w:t>
            </w:r>
          </w:p>
        </w:tc>
        <w:tc>
          <w:tcPr>
            <w:tcW w:w="390" w:type="pct"/>
            <w:tcBorders>
              <w:top w:val="nil"/>
              <w:left w:val="nil"/>
              <w:bottom w:val="single" w:sz="4" w:space="0" w:color="auto"/>
              <w:right w:val="single" w:sz="4" w:space="0" w:color="auto"/>
            </w:tcBorders>
            <w:shd w:val="clear" w:color="auto" w:fill="auto"/>
            <w:noWrap/>
            <w:vAlign w:val="bottom"/>
            <w:hideMark/>
          </w:tcPr>
          <w:p w14:paraId="64281E8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0.051</w:t>
            </w:r>
          </w:p>
        </w:tc>
        <w:tc>
          <w:tcPr>
            <w:tcW w:w="392" w:type="pct"/>
            <w:tcBorders>
              <w:top w:val="nil"/>
              <w:left w:val="nil"/>
              <w:bottom w:val="single" w:sz="4" w:space="0" w:color="auto"/>
              <w:right w:val="single" w:sz="4" w:space="0" w:color="auto"/>
            </w:tcBorders>
            <w:shd w:val="clear" w:color="auto" w:fill="auto"/>
            <w:noWrap/>
            <w:vAlign w:val="bottom"/>
            <w:hideMark/>
          </w:tcPr>
          <w:p w14:paraId="7228D2E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0.049</w:t>
            </w:r>
          </w:p>
        </w:tc>
      </w:tr>
      <w:tr w:rsidR="00EC0251" w:rsidRPr="00EC0251" w14:paraId="7A47A28C" w14:textId="77777777" w:rsidTr="00A801BF">
        <w:trPr>
          <w:trHeight w:val="780"/>
        </w:trPr>
        <w:tc>
          <w:tcPr>
            <w:tcW w:w="639" w:type="pct"/>
            <w:vMerge/>
            <w:tcBorders>
              <w:top w:val="nil"/>
              <w:left w:val="single" w:sz="4" w:space="0" w:color="auto"/>
              <w:bottom w:val="single" w:sz="4" w:space="0" w:color="auto"/>
              <w:right w:val="single" w:sz="4" w:space="0" w:color="auto"/>
            </w:tcBorders>
            <w:vAlign w:val="center"/>
            <w:hideMark/>
          </w:tcPr>
          <w:p w14:paraId="7709E52C"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51A9CA76"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Servicios de radio y televisión y servicios editoriales</w:t>
            </w:r>
          </w:p>
        </w:tc>
        <w:tc>
          <w:tcPr>
            <w:tcW w:w="390" w:type="pct"/>
            <w:tcBorders>
              <w:top w:val="nil"/>
              <w:left w:val="nil"/>
              <w:bottom w:val="single" w:sz="4" w:space="0" w:color="auto"/>
              <w:right w:val="single" w:sz="4" w:space="0" w:color="auto"/>
            </w:tcBorders>
            <w:shd w:val="clear" w:color="auto" w:fill="auto"/>
            <w:noWrap/>
            <w:vAlign w:val="bottom"/>
            <w:hideMark/>
          </w:tcPr>
          <w:p w14:paraId="79C8E5E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0.004</w:t>
            </w:r>
          </w:p>
        </w:tc>
        <w:tc>
          <w:tcPr>
            <w:tcW w:w="390" w:type="pct"/>
            <w:tcBorders>
              <w:top w:val="nil"/>
              <w:left w:val="nil"/>
              <w:bottom w:val="single" w:sz="4" w:space="0" w:color="auto"/>
              <w:right w:val="single" w:sz="4" w:space="0" w:color="auto"/>
            </w:tcBorders>
            <w:shd w:val="clear" w:color="auto" w:fill="auto"/>
            <w:noWrap/>
            <w:vAlign w:val="bottom"/>
            <w:hideMark/>
          </w:tcPr>
          <w:p w14:paraId="2B28FBB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0.004</w:t>
            </w:r>
          </w:p>
        </w:tc>
        <w:tc>
          <w:tcPr>
            <w:tcW w:w="390" w:type="pct"/>
            <w:tcBorders>
              <w:top w:val="nil"/>
              <w:left w:val="nil"/>
              <w:bottom w:val="single" w:sz="4" w:space="0" w:color="auto"/>
              <w:right w:val="single" w:sz="4" w:space="0" w:color="auto"/>
            </w:tcBorders>
            <w:shd w:val="clear" w:color="auto" w:fill="auto"/>
            <w:noWrap/>
            <w:vAlign w:val="bottom"/>
            <w:hideMark/>
          </w:tcPr>
          <w:p w14:paraId="5E4CFD2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0.004</w:t>
            </w:r>
          </w:p>
        </w:tc>
        <w:tc>
          <w:tcPr>
            <w:tcW w:w="390" w:type="pct"/>
            <w:tcBorders>
              <w:top w:val="nil"/>
              <w:left w:val="nil"/>
              <w:bottom w:val="single" w:sz="4" w:space="0" w:color="auto"/>
              <w:right w:val="single" w:sz="4" w:space="0" w:color="auto"/>
            </w:tcBorders>
            <w:shd w:val="clear" w:color="auto" w:fill="auto"/>
            <w:noWrap/>
            <w:vAlign w:val="bottom"/>
            <w:hideMark/>
          </w:tcPr>
          <w:p w14:paraId="4A97EBE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0.004</w:t>
            </w:r>
          </w:p>
        </w:tc>
        <w:tc>
          <w:tcPr>
            <w:tcW w:w="390" w:type="pct"/>
            <w:tcBorders>
              <w:top w:val="nil"/>
              <w:left w:val="nil"/>
              <w:bottom w:val="single" w:sz="4" w:space="0" w:color="auto"/>
              <w:right w:val="single" w:sz="4" w:space="0" w:color="auto"/>
            </w:tcBorders>
            <w:shd w:val="clear" w:color="auto" w:fill="auto"/>
            <w:noWrap/>
            <w:vAlign w:val="bottom"/>
            <w:hideMark/>
          </w:tcPr>
          <w:p w14:paraId="4141BBA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0.003</w:t>
            </w:r>
          </w:p>
        </w:tc>
        <w:tc>
          <w:tcPr>
            <w:tcW w:w="390" w:type="pct"/>
            <w:tcBorders>
              <w:top w:val="nil"/>
              <w:left w:val="nil"/>
              <w:bottom w:val="single" w:sz="4" w:space="0" w:color="auto"/>
              <w:right w:val="single" w:sz="4" w:space="0" w:color="auto"/>
            </w:tcBorders>
            <w:shd w:val="clear" w:color="auto" w:fill="auto"/>
            <w:noWrap/>
            <w:vAlign w:val="bottom"/>
            <w:hideMark/>
          </w:tcPr>
          <w:p w14:paraId="11C810F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0.003</w:t>
            </w:r>
          </w:p>
        </w:tc>
        <w:tc>
          <w:tcPr>
            <w:tcW w:w="390" w:type="pct"/>
            <w:tcBorders>
              <w:top w:val="nil"/>
              <w:left w:val="nil"/>
              <w:bottom w:val="single" w:sz="4" w:space="0" w:color="auto"/>
              <w:right w:val="single" w:sz="4" w:space="0" w:color="auto"/>
            </w:tcBorders>
            <w:shd w:val="clear" w:color="auto" w:fill="auto"/>
            <w:noWrap/>
            <w:vAlign w:val="bottom"/>
            <w:hideMark/>
          </w:tcPr>
          <w:p w14:paraId="433FA8C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0.002</w:t>
            </w:r>
          </w:p>
        </w:tc>
        <w:tc>
          <w:tcPr>
            <w:tcW w:w="390" w:type="pct"/>
            <w:tcBorders>
              <w:top w:val="nil"/>
              <w:left w:val="nil"/>
              <w:bottom w:val="single" w:sz="4" w:space="0" w:color="auto"/>
              <w:right w:val="single" w:sz="4" w:space="0" w:color="auto"/>
            </w:tcBorders>
            <w:shd w:val="clear" w:color="auto" w:fill="auto"/>
            <w:noWrap/>
            <w:vAlign w:val="bottom"/>
            <w:hideMark/>
          </w:tcPr>
          <w:p w14:paraId="7C3A93F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0.003</w:t>
            </w:r>
          </w:p>
        </w:tc>
        <w:tc>
          <w:tcPr>
            <w:tcW w:w="392" w:type="pct"/>
            <w:tcBorders>
              <w:top w:val="nil"/>
              <w:left w:val="nil"/>
              <w:bottom w:val="single" w:sz="4" w:space="0" w:color="auto"/>
              <w:right w:val="single" w:sz="4" w:space="0" w:color="auto"/>
            </w:tcBorders>
            <w:shd w:val="clear" w:color="auto" w:fill="auto"/>
            <w:noWrap/>
            <w:vAlign w:val="bottom"/>
            <w:hideMark/>
          </w:tcPr>
          <w:p w14:paraId="6E4C258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0.003</w:t>
            </w:r>
          </w:p>
        </w:tc>
      </w:tr>
      <w:tr w:rsidR="00EC0251" w:rsidRPr="00EC0251" w14:paraId="47984B52" w14:textId="77777777" w:rsidTr="00A801BF">
        <w:trPr>
          <w:trHeight w:val="525"/>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2933C93A"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Educación</w:t>
            </w:r>
          </w:p>
        </w:tc>
        <w:tc>
          <w:tcPr>
            <w:tcW w:w="847" w:type="pct"/>
            <w:tcBorders>
              <w:top w:val="nil"/>
              <w:left w:val="nil"/>
              <w:bottom w:val="single" w:sz="4" w:space="0" w:color="auto"/>
              <w:right w:val="single" w:sz="4" w:space="0" w:color="auto"/>
            </w:tcBorders>
            <w:shd w:val="clear" w:color="auto" w:fill="auto"/>
            <w:vAlign w:val="bottom"/>
            <w:hideMark/>
          </w:tcPr>
          <w:p w14:paraId="42BB6CFE"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Enseñanza secundaria básica</w:t>
            </w:r>
          </w:p>
        </w:tc>
        <w:tc>
          <w:tcPr>
            <w:tcW w:w="390" w:type="pct"/>
            <w:tcBorders>
              <w:top w:val="nil"/>
              <w:left w:val="nil"/>
              <w:bottom w:val="single" w:sz="4" w:space="0" w:color="auto"/>
              <w:right w:val="single" w:sz="4" w:space="0" w:color="auto"/>
            </w:tcBorders>
            <w:shd w:val="clear" w:color="auto" w:fill="auto"/>
            <w:noWrap/>
            <w:vAlign w:val="bottom"/>
            <w:hideMark/>
          </w:tcPr>
          <w:p w14:paraId="2B512B9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0.233</w:t>
            </w:r>
          </w:p>
        </w:tc>
        <w:tc>
          <w:tcPr>
            <w:tcW w:w="390" w:type="pct"/>
            <w:tcBorders>
              <w:top w:val="nil"/>
              <w:left w:val="nil"/>
              <w:bottom w:val="single" w:sz="4" w:space="0" w:color="auto"/>
              <w:right w:val="single" w:sz="4" w:space="0" w:color="auto"/>
            </w:tcBorders>
            <w:shd w:val="clear" w:color="auto" w:fill="auto"/>
            <w:noWrap/>
            <w:vAlign w:val="bottom"/>
            <w:hideMark/>
          </w:tcPr>
          <w:p w14:paraId="6401CEC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0.237</w:t>
            </w:r>
          </w:p>
        </w:tc>
        <w:tc>
          <w:tcPr>
            <w:tcW w:w="390" w:type="pct"/>
            <w:tcBorders>
              <w:top w:val="nil"/>
              <w:left w:val="nil"/>
              <w:bottom w:val="single" w:sz="4" w:space="0" w:color="auto"/>
              <w:right w:val="single" w:sz="4" w:space="0" w:color="auto"/>
            </w:tcBorders>
            <w:shd w:val="clear" w:color="auto" w:fill="auto"/>
            <w:noWrap/>
            <w:vAlign w:val="bottom"/>
            <w:hideMark/>
          </w:tcPr>
          <w:p w14:paraId="346614A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0.246</w:t>
            </w:r>
          </w:p>
        </w:tc>
        <w:tc>
          <w:tcPr>
            <w:tcW w:w="390" w:type="pct"/>
            <w:tcBorders>
              <w:top w:val="nil"/>
              <w:left w:val="nil"/>
              <w:bottom w:val="single" w:sz="4" w:space="0" w:color="auto"/>
              <w:right w:val="single" w:sz="4" w:space="0" w:color="auto"/>
            </w:tcBorders>
            <w:shd w:val="clear" w:color="auto" w:fill="auto"/>
            <w:noWrap/>
            <w:vAlign w:val="bottom"/>
            <w:hideMark/>
          </w:tcPr>
          <w:p w14:paraId="4B3380F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0.247</w:t>
            </w:r>
          </w:p>
        </w:tc>
        <w:tc>
          <w:tcPr>
            <w:tcW w:w="390" w:type="pct"/>
            <w:tcBorders>
              <w:top w:val="nil"/>
              <w:left w:val="nil"/>
              <w:bottom w:val="single" w:sz="4" w:space="0" w:color="auto"/>
              <w:right w:val="single" w:sz="4" w:space="0" w:color="auto"/>
            </w:tcBorders>
            <w:shd w:val="clear" w:color="auto" w:fill="auto"/>
            <w:noWrap/>
            <w:vAlign w:val="bottom"/>
            <w:hideMark/>
          </w:tcPr>
          <w:p w14:paraId="11E7815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0.246</w:t>
            </w:r>
          </w:p>
        </w:tc>
        <w:tc>
          <w:tcPr>
            <w:tcW w:w="390" w:type="pct"/>
            <w:tcBorders>
              <w:top w:val="nil"/>
              <w:left w:val="nil"/>
              <w:bottom w:val="single" w:sz="4" w:space="0" w:color="auto"/>
              <w:right w:val="single" w:sz="4" w:space="0" w:color="auto"/>
            </w:tcBorders>
            <w:shd w:val="clear" w:color="auto" w:fill="auto"/>
            <w:noWrap/>
            <w:vAlign w:val="bottom"/>
            <w:hideMark/>
          </w:tcPr>
          <w:p w14:paraId="79589E0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0.229</w:t>
            </w:r>
          </w:p>
        </w:tc>
        <w:tc>
          <w:tcPr>
            <w:tcW w:w="390" w:type="pct"/>
            <w:tcBorders>
              <w:top w:val="nil"/>
              <w:left w:val="nil"/>
              <w:bottom w:val="single" w:sz="4" w:space="0" w:color="auto"/>
              <w:right w:val="single" w:sz="4" w:space="0" w:color="auto"/>
            </w:tcBorders>
            <w:shd w:val="clear" w:color="auto" w:fill="auto"/>
            <w:noWrap/>
            <w:vAlign w:val="bottom"/>
            <w:hideMark/>
          </w:tcPr>
          <w:p w14:paraId="57B31C5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0.212</w:t>
            </w:r>
          </w:p>
        </w:tc>
        <w:tc>
          <w:tcPr>
            <w:tcW w:w="390" w:type="pct"/>
            <w:tcBorders>
              <w:top w:val="nil"/>
              <w:left w:val="nil"/>
              <w:bottom w:val="single" w:sz="4" w:space="0" w:color="auto"/>
              <w:right w:val="single" w:sz="4" w:space="0" w:color="auto"/>
            </w:tcBorders>
            <w:shd w:val="clear" w:color="auto" w:fill="auto"/>
            <w:noWrap/>
            <w:vAlign w:val="bottom"/>
            <w:hideMark/>
          </w:tcPr>
          <w:p w14:paraId="0D53905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0.218</w:t>
            </w:r>
          </w:p>
        </w:tc>
        <w:tc>
          <w:tcPr>
            <w:tcW w:w="392" w:type="pct"/>
            <w:tcBorders>
              <w:top w:val="nil"/>
              <w:left w:val="nil"/>
              <w:bottom w:val="single" w:sz="4" w:space="0" w:color="auto"/>
              <w:right w:val="single" w:sz="4" w:space="0" w:color="auto"/>
            </w:tcBorders>
            <w:shd w:val="clear" w:color="auto" w:fill="auto"/>
            <w:noWrap/>
            <w:vAlign w:val="bottom"/>
            <w:hideMark/>
          </w:tcPr>
          <w:p w14:paraId="59D47BA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0.207</w:t>
            </w:r>
          </w:p>
        </w:tc>
      </w:tr>
      <w:tr w:rsidR="00EC0251" w:rsidRPr="00EC0251" w14:paraId="582474C2"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388E7596"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4C41CB71"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Enseñanza secundaria avanzada</w:t>
            </w:r>
          </w:p>
        </w:tc>
        <w:tc>
          <w:tcPr>
            <w:tcW w:w="390" w:type="pct"/>
            <w:tcBorders>
              <w:top w:val="nil"/>
              <w:left w:val="nil"/>
              <w:bottom w:val="single" w:sz="4" w:space="0" w:color="auto"/>
              <w:right w:val="single" w:sz="4" w:space="0" w:color="auto"/>
            </w:tcBorders>
            <w:shd w:val="clear" w:color="auto" w:fill="auto"/>
            <w:noWrap/>
            <w:vAlign w:val="bottom"/>
            <w:hideMark/>
          </w:tcPr>
          <w:p w14:paraId="132680A0"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0.151</w:t>
            </w:r>
          </w:p>
        </w:tc>
        <w:tc>
          <w:tcPr>
            <w:tcW w:w="390" w:type="pct"/>
            <w:tcBorders>
              <w:top w:val="nil"/>
              <w:left w:val="nil"/>
              <w:bottom w:val="single" w:sz="4" w:space="0" w:color="auto"/>
              <w:right w:val="single" w:sz="4" w:space="0" w:color="auto"/>
            </w:tcBorders>
            <w:shd w:val="clear" w:color="auto" w:fill="auto"/>
            <w:noWrap/>
            <w:vAlign w:val="bottom"/>
            <w:hideMark/>
          </w:tcPr>
          <w:p w14:paraId="4721340B"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0.104</w:t>
            </w:r>
          </w:p>
        </w:tc>
        <w:tc>
          <w:tcPr>
            <w:tcW w:w="390" w:type="pct"/>
            <w:tcBorders>
              <w:top w:val="nil"/>
              <w:left w:val="nil"/>
              <w:bottom w:val="single" w:sz="4" w:space="0" w:color="auto"/>
              <w:right w:val="single" w:sz="4" w:space="0" w:color="auto"/>
            </w:tcBorders>
            <w:shd w:val="clear" w:color="auto" w:fill="auto"/>
            <w:noWrap/>
            <w:vAlign w:val="bottom"/>
            <w:hideMark/>
          </w:tcPr>
          <w:p w14:paraId="5FD6737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0.106</w:t>
            </w:r>
          </w:p>
        </w:tc>
        <w:tc>
          <w:tcPr>
            <w:tcW w:w="390" w:type="pct"/>
            <w:tcBorders>
              <w:top w:val="nil"/>
              <w:left w:val="nil"/>
              <w:bottom w:val="single" w:sz="4" w:space="0" w:color="auto"/>
              <w:right w:val="single" w:sz="4" w:space="0" w:color="auto"/>
            </w:tcBorders>
            <w:shd w:val="clear" w:color="auto" w:fill="auto"/>
            <w:noWrap/>
            <w:vAlign w:val="bottom"/>
            <w:hideMark/>
          </w:tcPr>
          <w:p w14:paraId="41199F6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0.106</w:t>
            </w:r>
          </w:p>
        </w:tc>
        <w:tc>
          <w:tcPr>
            <w:tcW w:w="390" w:type="pct"/>
            <w:tcBorders>
              <w:top w:val="nil"/>
              <w:left w:val="nil"/>
              <w:bottom w:val="single" w:sz="4" w:space="0" w:color="auto"/>
              <w:right w:val="single" w:sz="4" w:space="0" w:color="auto"/>
            </w:tcBorders>
            <w:shd w:val="clear" w:color="auto" w:fill="auto"/>
            <w:noWrap/>
            <w:vAlign w:val="bottom"/>
            <w:hideMark/>
          </w:tcPr>
          <w:p w14:paraId="0F04610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0.111</w:t>
            </w:r>
          </w:p>
        </w:tc>
        <w:tc>
          <w:tcPr>
            <w:tcW w:w="390" w:type="pct"/>
            <w:tcBorders>
              <w:top w:val="nil"/>
              <w:left w:val="nil"/>
              <w:bottom w:val="single" w:sz="4" w:space="0" w:color="auto"/>
              <w:right w:val="single" w:sz="4" w:space="0" w:color="auto"/>
            </w:tcBorders>
            <w:shd w:val="clear" w:color="auto" w:fill="auto"/>
            <w:noWrap/>
            <w:vAlign w:val="bottom"/>
            <w:hideMark/>
          </w:tcPr>
          <w:p w14:paraId="360BD92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0.106</w:t>
            </w:r>
          </w:p>
        </w:tc>
        <w:tc>
          <w:tcPr>
            <w:tcW w:w="390" w:type="pct"/>
            <w:tcBorders>
              <w:top w:val="nil"/>
              <w:left w:val="nil"/>
              <w:bottom w:val="single" w:sz="4" w:space="0" w:color="auto"/>
              <w:right w:val="single" w:sz="4" w:space="0" w:color="auto"/>
            </w:tcBorders>
            <w:shd w:val="clear" w:color="auto" w:fill="auto"/>
            <w:noWrap/>
            <w:vAlign w:val="bottom"/>
            <w:hideMark/>
          </w:tcPr>
          <w:p w14:paraId="7F96BE86"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0.103</w:t>
            </w:r>
          </w:p>
        </w:tc>
        <w:tc>
          <w:tcPr>
            <w:tcW w:w="390" w:type="pct"/>
            <w:tcBorders>
              <w:top w:val="nil"/>
              <w:left w:val="nil"/>
              <w:bottom w:val="single" w:sz="4" w:space="0" w:color="auto"/>
              <w:right w:val="single" w:sz="4" w:space="0" w:color="auto"/>
            </w:tcBorders>
            <w:shd w:val="clear" w:color="auto" w:fill="auto"/>
            <w:noWrap/>
            <w:vAlign w:val="bottom"/>
            <w:hideMark/>
          </w:tcPr>
          <w:p w14:paraId="5518299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0.099</w:t>
            </w:r>
          </w:p>
        </w:tc>
        <w:tc>
          <w:tcPr>
            <w:tcW w:w="392" w:type="pct"/>
            <w:tcBorders>
              <w:top w:val="nil"/>
              <w:left w:val="nil"/>
              <w:bottom w:val="single" w:sz="4" w:space="0" w:color="auto"/>
              <w:right w:val="single" w:sz="4" w:space="0" w:color="auto"/>
            </w:tcBorders>
            <w:shd w:val="clear" w:color="auto" w:fill="auto"/>
            <w:noWrap/>
            <w:vAlign w:val="bottom"/>
            <w:hideMark/>
          </w:tcPr>
          <w:p w14:paraId="1AFF888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0.103</w:t>
            </w:r>
          </w:p>
        </w:tc>
      </w:tr>
      <w:tr w:rsidR="00EC0251" w:rsidRPr="00EC0251" w14:paraId="162CC722"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09A023A7"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5F8463BB"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Enseñanza postsecundaria no terciaria</w:t>
            </w:r>
          </w:p>
        </w:tc>
        <w:tc>
          <w:tcPr>
            <w:tcW w:w="390" w:type="pct"/>
            <w:tcBorders>
              <w:top w:val="nil"/>
              <w:left w:val="nil"/>
              <w:bottom w:val="single" w:sz="4" w:space="0" w:color="auto"/>
              <w:right w:val="single" w:sz="4" w:space="0" w:color="auto"/>
            </w:tcBorders>
            <w:shd w:val="clear" w:color="auto" w:fill="auto"/>
            <w:noWrap/>
            <w:vAlign w:val="bottom"/>
            <w:hideMark/>
          </w:tcPr>
          <w:p w14:paraId="74F2E142"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0.060</w:t>
            </w:r>
          </w:p>
        </w:tc>
        <w:tc>
          <w:tcPr>
            <w:tcW w:w="390" w:type="pct"/>
            <w:tcBorders>
              <w:top w:val="nil"/>
              <w:left w:val="nil"/>
              <w:bottom w:val="single" w:sz="4" w:space="0" w:color="auto"/>
              <w:right w:val="single" w:sz="4" w:space="0" w:color="auto"/>
            </w:tcBorders>
            <w:shd w:val="clear" w:color="auto" w:fill="auto"/>
            <w:noWrap/>
            <w:vAlign w:val="bottom"/>
            <w:hideMark/>
          </w:tcPr>
          <w:p w14:paraId="24B8A97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0.045</w:t>
            </w:r>
          </w:p>
        </w:tc>
        <w:tc>
          <w:tcPr>
            <w:tcW w:w="390" w:type="pct"/>
            <w:tcBorders>
              <w:top w:val="nil"/>
              <w:left w:val="nil"/>
              <w:bottom w:val="single" w:sz="4" w:space="0" w:color="auto"/>
              <w:right w:val="single" w:sz="4" w:space="0" w:color="auto"/>
            </w:tcBorders>
            <w:shd w:val="clear" w:color="auto" w:fill="auto"/>
            <w:noWrap/>
            <w:vAlign w:val="bottom"/>
            <w:hideMark/>
          </w:tcPr>
          <w:p w14:paraId="5B4B452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0.060</w:t>
            </w:r>
          </w:p>
        </w:tc>
        <w:tc>
          <w:tcPr>
            <w:tcW w:w="390" w:type="pct"/>
            <w:tcBorders>
              <w:top w:val="nil"/>
              <w:left w:val="nil"/>
              <w:bottom w:val="single" w:sz="4" w:space="0" w:color="auto"/>
              <w:right w:val="single" w:sz="4" w:space="0" w:color="auto"/>
            </w:tcBorders>
            <w:shd w:val="clear" w:color="auto" w:fill="auto"/>
            <w:noWrap/>
            <w:vAlign w:val="bottom"/>
            <w:hideMark/>
          </w:tcPr>
          <w:p w14:paraId="71A9B99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0.067</w:t>
            </w:r>
          </w:p>
        </w:tc>
        <w:tc>
          <w:tcPr>
            <w:tcW w:w="390" w:type="pct"/>
            <w:tcBorders>
              <w:top w:val="nil"/>
              <w:left w:val="nil"/>
              <w:bottom w:val="single" w:sz="4" w:space="0" w:color="auto"/>
              <w:right w:val="single" w:sz="4" w:space="0" w:color="auto"/>
            </w:tcBorders>
            <w:shd w:val="clear" w:color="auto" w:fill="auto"/>
            <w:noWrap/>
            <w:vAlign w:val="bottom"/>
            <w:hideMark/>
          </w:tcPr>
          <w:p w14:paraId="1741EBC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0.066</w:t>
            </w:r>
          </w:p>
        </w:tc>
        <w:tc>
          <w:tcPr>
            <w:tcW w:w="390" w:type="pct"/>
            <w:tcBorders>
              <w:top w:val="nil"/>
              <w:left w:val="nil"/>
              <w:bottom w:val="single" w:sz="4" w:space="0" w:color="auto"/>
              <w:right w:val="single" w:sz="4" w:space="0" w:color="auto"/>
            </w:tcBorders>
            <w:shd w:val="clear" w:color="auto" w:fill="auto"/>
            <w:noWrap/>
            <w:vAlign w:val="bottom"/>
            <w:hideMark/>
          </w:tcPr>
          <w:p w14:paraId="56FF69B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0.064</w:t>
            </w:r>
          </w:p>
        </w:tc>
        <w:tc>
          <w:tcPr>
            <w:tcW w:w="390" w:type="pct"/>
            <w:tcBorders>
              <w:top w:val="nil"/>
              <w:left w:val="nil"/>
              <w:bottom w:val="single" w:sz="4" w:space="0" w:color="auto"/>
              <w:right w:val="single" w:sz="4" w:space="0" w:color="auto"/>
            </w:tcBorders>
            <w:shd w:val="clear" w:color="auto" w:fill="auto"/>
            <w:noWrap/>
            <w:vAlign w:val="bottom"/>
            <w:hideMark/>
          </w:tcPr>
          <w:p w14:paraId="1F8685D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0.063</w:t>
            </w:r>
          </w:p>
        </w:tc>
        <w:tc>
          <w:tcPr>
            <w:tcW w:w="390" w:type="pct"/>
            <w:tcBorders>
              <w:top w:val="nil"/>
              <w:left w:val="nil"/>
              <w:bottom w:val="single" w:sz="4" w:space="0" w:color="auto"/>
              <w:right w:val="single" w:sz="4" w:space="0" w:color="auto"/>
            </w:tcBorders>
            <w:shd w:val="clear" w:color="auto" w:fill="auto"/>
            <w:noWrap/>
            <w:vAlign w:val="bottom"/>
            <w:hideMark/>
          </w:tcPr>
          <w:p w14:paraId="06C8669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0.061</w:t>
            </w:r>
          </w:p>
        </w:tc>
        <w:tc>
          <w:tcPr>
            <w:tcW w:w="392" w:type="pct"/>
            <w:tcBorders>
              <w:top w:val="nil"/>
              <w:left w:val="nil"/>
              <w:bottom w:val="single" w:sz="4" w:space="0" w:color="auto"/>
              <w:right w:val="single" w:sz="4" w:space="0" w:color="auto"/>
            </w:tcBorders>
            <w:shd w:val="clear" w:color="auto" w:fill="auto"/>
            <w:noWrap/>
            <w:vAlign w:val="bottom"/>
            <w:hideMark/>
          </w:tcPr>
          <w:p w14:paraId="5114632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0.054</w:t>
            </w:r>
          </w:p>
        </w:tc>
      </w:tr>
      <w:tr w:rsidR="00EC0251" w:rsidRPr="00EC0251" w14:paraId="73DB6994" w14:textId="77777777" w:rsidTr="00A801BF">
        <w:trPr>
          <w:trHeight w:val="525"/>
        </w:trPr>
        <w:tc>
          <w:tcPr>
            <w:tcW w:w="639" w:type="pct"/>
            <w:vMerge/>
            <w:tcBorders>
              <w:top w:val="nil"/>
              <w:left w:val="single" w:sz="4" w:space="0" w:color="auto"/>
              <w:bottom w:val="single" w:sz="4" w:space="0" w:color="auto"/>
              <w:right w:val="single" w:sz="4" w:space="0" w:color="auto"/>
            </w:tcBorders>
            <w:vAlign w:val="center"/>
            <w:hideMark/>
          </w:tcPr>
          <w:p w14:paraId="4EE00F69"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04BC017F"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Enseñanza no atribuible a ningún nivel</w:t>
            </w:r>
          </w:p>
        </w:tc>
        <w:tc>
          <w:tcPr>
            <w:tcW w:w="390" w:type="pct"/>
            <w:tcBorders>
              <w:top w:val="nil"/>
              <w:left w:val="nil"/>
              <w:bottom w:val="single" w:sz="4" w:space="0" w:color="auto"/>
              <w:right w:val="single" w:sz="4" w:space="0" w:color="auto"/>
            </w:tcBorders>
            <w:shd w:val="clear" w:color="auto" w:fill="auto"/>
            <w:noWrap/>
            <w:vAlign w:val="bottom"/>
            <w:hideMark/>
          </w:tcPr>
          <w:p w14:paraId="3B920A27"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0.200</w:t>
            </w:r>
          </w:p>
        </w:tc>
        <w:tc>
          <w:tcPr>
            <w:tcW w:w="390" w:type="pct"/>
            <w:tcBorders>
              <w:top w:val="nil"/>
              <w:left w:val="nil"/>
              <w:bottom w:val="single" w:sz="4" w:space="0" w:color="auto"/>
              <w:right w:val="single" w:sz="4" w:space="0" w:color="auto"/>
            </w:tcBorders>
            <w:shd w:val="clear" w:color="auto" w:fill="auto"/>
            <w:noWrap/>
            <w:vAlign w:val="bottom"/>
            <w:hideMark/>
          </w:tcPr>
          <w:p w14:paraId="6C9C49A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0.166</w:t>
            </w:r>
          </w:p>
        </w:tc>
        <w:tc>
          <w:tcPr>
            <w:tcW w:w="390" w:type="pct"/>
            <w:tcBorders>
              <w:top w:val="nil"/>
              <w:left w:val="nil"/>
              <w:bottom w:val="single" w:sz="4" w:space="0" w:color="auto"/>
              <w:right w:val="single" w:sz="4" w:space="0" w:color="auto"/>
            </w:tcBorders>
            <w:shd w:val="clear" w:color="auto" w:fill="auto"/>
            <w:noWrap/>
            <w:vAlign w:val="bottom"/>
            <w:hideMark/>
          </w:tcPr>
          <w:p w14:paraId="42C2F43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0.148</w:t>
            </w:r>
          </w:p>
        </w:tc>
        <w:tc>
          <w:tcPr>
            <w:tcW w:w="390" w:type="pct"/>
            <w:tcBorders>
              <w:top w:val="nil"/>
              <w:left w:val="nil"/>
              <w:bottom w:val="single" w:sz="4" w:space="0" w:color="auto"/>
              <w:right w:val="single" w:sz="4" w:space="0" w:color="auto"/>
            </w:tcBorders>
            <w:shd w:val="clear" w:color="auto" w:fill="auto"/>
            <w:noWrap/>
            <w:vAlign w:val="bottom"/>
            <w:hideMark/>
          </w:tcPr>
          <w:p w14:paraId="4C20E78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0.151</w:t>
            </w:r>
          </w:p>
        </w:tc>
        <w:tc>
          <w:tcPr>
            <w:tcW w:w="390" w:type="pct"/>
            <w:tcBorders>
              <w:top w:val="nil"/>
              <w:left w:val="nil"/>
              <w:bottom w:val="single" w:sz="4" w:space="0" w:color="auto"/>
              <w:right w:val="single" w:sz="4" w:space="0" w:color="auto"/>
            </w:tcBorders>
            <w:shd w:val="clear" w:color="auto" w:fill="auto"/>
            <w:noWrap/>
            <w:vAlign w:val="bottom"/>
            <w:hideMark/>
          </w:tcPr>
          <w:p w14:paraId="255F33A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0.167</w:t>
            </w:r>
          </w:p>
        </w:tc>
        <w:tc>
          <w:tcPr>
            <w:tcW w:w="390" w:type="pct"/>
            <w:tcBorders>
              <w:top w:val="nil"/>
              <w:left w:val="nil"/>
              <w:bottom w:val="single" w:sz="4" w:space="0" w:color="auto"/>
              <w:right w:val="single" w:sz="4" w:space="0" w:color="auto"/>
            </w:tcBorders>
            <w:shd w:val="clear" w:color="auto" w:fill="auto"/>
            <w:noWrap/>
            <w:vAlign w:val="bottom"/>
            <w:hideMark/>
          </w:tcPr>
          <w:p w14:paraId="504D9969"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0.154</w:t>
            </w:r>
          </w:p>
        </w:tc>
        <w:tc>
          <w:tcPr>
            <w:tcW w:w="390" w:type="pct"/>
            <w:tcBorders>
              <w:top w:val="nil"/>
              <w:left w:val="nil"/>
              <w:bottom w:val="single" w:sz="4" w:space="0" w:color="auto"/>
              <w:right w:val="single" w:sz="4" w:space="0" w:color="auto"/>
            </w:tcBorders>
            <w:shd w:val="clear" w:color="auto" w:fill="auto"/>
            <w:noWrap/>
            <w:vAlign w:val="bottom"/>
            <w:hideMark/>
          </w:tcPr>
          <w:p w14:paraId="4C0321C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0.117</w:t>
            </w:r>
          </w:p>
        </w:tc>
        <w:tc>
          <w:tcPr>
            <w:tcW w:w="390" w:type="pct"/>
            <w:tcBorders>
              <w:top w:val="nil"/>
              <w:left w:val="nil"/>
              <w:bottom w:val="single" w:sz="4" w:space="0" w:color="auto"/>
              <w:right w:val="single" w:sz="4" w:space="0" w:color="auto"/>
            </w:tcBorders>
            <w:shd w:val="clear" w:color="auto" w:fill="auto"/>
            <w:noWrap/>
            <w:vAlign w:val="bottom"/>
            <w:hideMark/>
          </w:tcPr>
          <w:p w14:paraId="2F33472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0.130</w:t>
            </w:r>
          </w:p>
        </w:tc>
        <w:tc>
          <w:tcPr>
            <w:tcW w:w="392" w:type="pct"/>
            <w:tcBorders>
              <w:top w:val="nil"/>
              <w:left w:val="nil"/>
              <w:bottom w:val="single" w:sz="4" w:space="0" w:color="auto"/>
              <w:right w:val="single" w:sz="4" w:space="0" w:color="auto"/>
            </w:tcBorders>
            <w:shd w:val="clear" w:color="auto" w:fill="auto"/>
            <w:noWrap/>
            <w:vAlign w:val="bottom"/>
            <w:hideMark/>
          </w:tcPr>
          <w:p w14:paraId="5D3C782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0.139</w:t>
            </w:r>
          </w:p>
        </w:tc>
      </w:tr>
      <w:tr w:rsidR="00EC0251" w:rsidRPr="00EC0251" w14:paraId="0D6A5071" w14:textId="77777777" w:rsidTr="00A801BF">
        <w:trPr>
          <w:trHeight w:val="300"/>
        </w:trPr>
        <w:tc>
          <w:tcPr>
            <w:tcW w:w="639" w:type="pct"/>
            <w:vMerge w:val="restart"/>
            <w:tcBorders>
              <w:top w:val="nil"/>
              <w:left w:val="single" w:sz="4" w:space="0" w:color="auto"/>
              <w:bottom w:val="single" w:sz="4" w:space="0" w:color="auto"/>
              <w:right w:val="single" w:sz="4" w:space="0" w:color="auto"/>
            </w:tcBorders>
            <w:shd w:val="clear" w:color="auto" w:fill="auto"/>
            <w:vAlign w:val="center"/>
            <w:hideMark/>
          </w:tcPr>
          <w:p w14:paraId="436E500C" w14:textId="77777777" w:rsidR="00EC0251" w:rsidRPr="00EC0251" w:rsidRDefault="00EC0251" w:rsidP="00EC0251">
            <w:pPr>
              <w:spacing w:after="0" w:line="240" w:lineRule="auto"/>
              <w:rPr>
                <w:rFonts w:ascii="Calibri" w:eastAsia="Times New Roman" w:hAnsi="Calibri" w:cs="Times New Roman"/>
                <w:color w:val="000000"/>
                <w:sz w:val="16"/>
                <w:lang w:eastAsia="es-GT"/>
              </w:rPr>
            </w:pPr>
            <w:r w:rsidRPr="00EC0251">
              <w:rPr>
                <w:rFonts w:ascii="Calibri" w:eastAsia="Times New Roman" w:hAnsi="Calibri" w:cs="Times New Roman"/>
                <w:color w:val="000000"/>
                <w:sz w:val="16"/>
                <w:lang w:eastAsia="es-GT"/>
              </w:rPr>
              <w:t>Protección social</w:t>
            </w:r>
          </w:p>
        </w:tc>
        <w:tc>
          <w:tcPr>
            <w:tcW w:w="847" w:type="pct"/>
            <w:tcBorders>
              <w:top w:val="nil"/>
              <w:left w:val="nil"/>
              <w:bottom w:val="single" w:sz="4" w:space="0" w:color="auto"/>
              <w:right w:val="single" w:sz="4" w:space="0" w:color="auto"/>
            </w:tcBorders>
            <w:shd w:val="clear" w:color="auto" w:fill="auto"/>
            <w:vAlign w:val="bottom"/>
            <w:hideMark/>
          </w:tcPr>
          <w:p w14:paraId="7A01AACE"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Supérstites</w:t>
            </w:r>
          </w:p>
        </w:tc>
        <w:tc>
          <w:tcPr>
            <w:tcW w:w="390" w:type="pct"/>
            <w:tcBorders>
              <w:top w:val="nil"/>
              <w:left w:val="nil"/>
              <w:bottom w:val="single" w:sz="4" w:space="0" w:color="auto"/>
              <w:right w:val="single" w:sz="4" w:space="0" w:color="auto"/>
            </w:tcBorders>
            <w:shd w:val="clear" w:color="auto" w:fill="auto"/>
            <w:noWrap/>
            <w:vAlign w:val="bottom"/>
            <w:hideMark/>
          </w:tcPr>
          <w:p w14:paraId="2D02A7D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0.116</w:t>
            </w:r>
          </w:p>
        </w:tc>
        <w:tc>
          <w:tcPr>
            <w:tcW w:w="390" w:type="pct"/>
            <w:tcBorders>
              <w:top w:val="nil"/>
              <w:left w:val="nil"/>
              <w:bottom w:val="single" w:sz="4" w:space="0" w:color="auto"/>
              <w:right w:val="single" w:sz="4" w:space="0" w:color="auto"/>
            </w:tcBorders>
            <w:shd w:val="clear" w:color="auto" w:fill="auto"/>
            <w:noWrap/>
            <w:vAlign w:val="bottom"/>
            <w:hideMark/>
          </w:tcPr>
          <w:p w14:paraId="59EE62A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0.112</w:t>
            </w:r>
          </w:p>
        </w:tc>
        <w:tc>
          <w:tcPr>
            <w:tcW w:w="390" w:type="pct"/>
            <w:tcBorders>
              <w:top w:val="nil"/>
              <w:left w:val="nil"/>
              <w:bottom w:val="single" w:sz="4" w:space="0" w:color="auto"/>
              <w:right w:val="single" w:sz="4" w:space="0" w:color="auto"/>
            </w:tcBorders>
            <w:shd w:val="clear" w:color="auto" w:fill="auto"/>
            <w:noWrap/>
            <w:vAlign w:val="bottom"/>
            <w:hideMark/>
          </w:tcPr>
          <w:p w14:paraId="294CC385"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0.106</w:t>
            </w:r>
          </w:p>
        </w:tc>
        <w:tc>
          <w:tcPr>
            <w:tcW w:w="390" w:type="pct"/>
            <w:tcBorders>
              <w:top w:val="nil"/>
              <w:left w:val="nil"/>
              <w:bottom w:val="single" w:sz="4" w:space="0" w:color="auto"/>
              <w:right w:val="single" w:sz="4" w:space="0" w:color="auto"/>
            </w:tcBorders>
            <w:shd w:val="clear" w:color="auto" w:fill="auto"/>
            <w:noWrap/>
            <w:vAlign w:val="bottom"/>
            <w:hideMark/>
          </w:tcPr>
          <w:p w14:paraId="00F5870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0.102</w:t>
            </w:r>
          </w:p>
        </w:tc>
        <w:tc>
          <w:tcPr>
            <w:tcW w:w="390" w:type="pct"/>
            <w:tcBorders>
              <w:top w:val="nil"/>
              <w:left w:val="nil"/>
              <w:bottom w:val="single" w:sz="4" w:space="0" w:color="auto"/>
              <w:right w:val="single" w:sz="4" w:space="0" w:color="auto"/>
            </w:tcBorders>
            <w:shd w:val="clear" w:color="auto" w:fill="auto"/>
            <w:noWrap/>
            <w:vAlign w:val="bottom"/>
            <w:hideMark/>
          </w:tcPr>
          <w:p w14:paraId="6649FCD8"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0.104</w:t>
            </w:r>
          </w:p>
        </w:tc>
        <w:tc>
          <w:tcPr>
            <w:tcW w:w="390" w:type="pct"/>
            <w:tcBorders>
              <w:top w:val="nil"/>
              <w:left w:val="nil"/>
              <w:bottom w:val="single" w:sz="4" w:space="0" w:color="auto"/>
              <w:right w:val="single" w:sz="4" w:space="0" w:color="auto"/>
            </w:tcBorders>
            <w:shd w:val="clear" w:color="auto" w:fill="auto"/>
            <w:noWrap/>
            <w:vAlign w:val="bottom"/>
            <w:hideMark/>
          </w:tcPr>
          <w:p w14:paraId="3F75DA7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0.108</w:t>
            </w:r>
          </w:p>
        </w:tc>
        <w:tc>
          <w:tcPr>
            <w:tcW w:w="390" w:type="pct"/>
            <w:tcBorders>
              <w:top w:val="nil"/>
              <w:left w:val="nil"/>
              <w:bottom w:val="single" w:sz="4" w:space="0" w:color="auto"/>
              <w:right w:val="single" w:sz="4" w:space="0" w:color="auto"/>
            </w:tcBorders>
            <w:shd w:val="clear" w:color="auto" w:fill="auto"/>
            <w:noWrap/>
            <w:vAlign w:val="bottom"/>
            <w:hideMark/>
          </w:tcPr>
          <w:p w14:paraId="274BC18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0.103</w:t>
            </w:r>
          </w:p>
        </w:tc>
        <w:tc>
          <w:tcPr>
            <w:tcW w:w="390" w:type="pct"/>
            <w:tcBorders>
              <w:top w:val="nil"/>
              <w:left w:val="nil"/>
              <w:bottom w:val="single" w:sz="4" w:space="0" w:color="auto"/>
              <w:right w:val="single" w:sz="4" w:space="0" w:color="auto"/>
            </w:tcBorders>
            <w:shd w:val="clear" w:color="auto" w:fill="auto"/>
            <w:noWrap/>
            <w:vAlign w:val="bottom"/>
            <w:hideMark/>
          </w:tcPr>
          <w:p w14:paraId="204D3DC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0.099</w:t>
            </w:r>
          </w:p>
        </w:tc>
        <w:tc>
          <w:tcPr>
            <w:tcW w:w="392" w:type="pct"/>
            <w:tcBorders>
              <w:top w:val="nil"/>
              <w:left w:val="nil"/>
              <w:bottom w:val="single" w:sz="4" w:space="0" w:color="auto"/>
              <w:right w:val="single" w:sz="4" w:space="0" w:color="auto"/>
            </w:tcBorders>
            <w:shd w:val="clear" w:color="auto" w:fill="auto"/>
            <w:noWrap/>
            <w:vAlign w:val="bottom"/>
            <w:hideMark/>
          </w:tcPr>
          <w:p w14:paraId="4E46CE6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0.101</w:t>
            </w:r>
          </w:p>
        </w:tc>
      </w:tr>
      <w:tr w:rsidR="00EC0251" w:rsidRPr="00EC0251" w14:paraId="16C02839" w14:textId="77777777" w:rsidTr="00A801BF">
        <w:trPr>
          <w:trHeight w:val="300"/>
        </w:trPr>
        <w:tc>
          <w:tcPr>
            <w:tcW w:w="639" w:type="pct"/>
            <w:vMerge/>
            <w:tcBorders>
              <w:top w:val="nil"/>
              <w:left w:val="single" w:sz="4" w:space="0" w:color="auto"/>
              <w:bottom w:val="single" w:sz="4" w:space="0" w:color="auto"/>
              <w:right w:val="single" w:sz="4" w:space="0" w:color="auto"/>
            </w:tcBorders>
            <w:vAlign w:val="center"/>
            <w:hideMark/>
          </w:tcPr>
          <w:p w14:paraId="429CC9E8"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13FA8E5E"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Familia e hijos</w:t>
            </w:r>
          </w:p>
        </w:tc>
        <w:tc>
          <w:tcPr>
            <w:tcW w:w="390" w:type="pct"/>
            <w:tcBorders>
              <w:top w:val="nil"/>
              <w:left w:val="nil"/>
              <w:bottom w:val="single" w:sz="4" w:space="0" w:color="auto"/>
              <w:right w:val="single" w:sz="4" w:space="0" w:color="auto"/>
            </w:tcBorders>
            <w:shd w:val="clear" w:color="auto" w:fill="auto"/>
            <w:noWrap/>
            <w:vAlign w:val="bottom"/>
            <w:hideMark/>
          </w:tcPr>
          <w:p w14:paraId="0E3471C3"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0.364</w:t>
            </w:r>
          </w:p>
        </w:tc>
        <w:tc>
          <w:tcPr>
            <w:tcW w:w="390" w:type="pct"/>
            <w:tcBorders>
              <w:top w:val="nil"/>
              <w:left w:val="nil"/>
              <w:bottom w:val="single" w:sz="4" w:space="0" w:color="auto"/>
              <w:right w:val="single" w:sz="4" w:space="0" w:color="auto"/>
            </w:tcBorders>
            <w:shd w:val="clear" w:color="auto" w:fill="auto"/>
            <w:noWrap/>
            <w:vAlign w:val="bottom"/>
            <w:hideMark/>
          </w:tcPr>
          <w:p w14:paraId="0CFCEF8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0.284</w:t>
            </w:r>
          </w:p>
        </w:tc>
        <w:tc>
          <w:tcPr>
            <w:tcW w:w="390" w:type="pct"/>
            <w:tcBorders>
              <w:top w:val="nil"/>
              <w:left w:val="nil"/>
              <w:bottom w:val="single" w:sz="4" w:space="0" w:color="auto"/>
              <w:right w:val="single" w:sz="4" w:space="0" w:color="auto"/>
            </w:tcBorders>
            <w:shd w:val="clear" w:color="auto" w:fill="auto"/>
            <w:noWrap/>
            <w:vAlign w:val="bottom"/>
            <w:hideMark/>
          </w:tcPr>
          <w:p w14:paraId="5E7CDB0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0.235</w:t>
            </w:r>
          </w:p>
        </w:tc>
        <w:tc>
          <w:tcPr>
            <w:tcW w:w="390" w:type="pct"/>
            <w:tcBorders>
              <w:top w:val="nil"/>
              <w:left w:val="nil"/>
              <w:bottom w:val="single" w:sz="4" w:space="0" w:color="auto"/>
              <w:right w:val="single" w:sz="4" w:space="0" w:color="auto"/>
            </w:tcBorders>
            <w:shd w:val="clear" w:color="auto" w:fill="auto"/>
            <w:noWrap/>
            <w:vAlign w:val="bottom"/>
            <w:hideMark/>
          </w:tcPr>
          <w:p w14:paraId="76EBEACB"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0.146</w:t>
            </w:r>
          </w:p>
        </w:tc>
        <w:tc>
          <w:tcPr>
            <w:tcW w:w="390" w:type="pct"/>
            <w:tcBorders>
              <w:top w:val="nil"/>
              <w:left w:val="nil"/>
              <w:bottom w:val="single" w:sz="4" w:space="0" w:color="auto"/>
              <w:right w:val="single" w:sz="4" w:space="0" w:color="auto"/>
            </w:tcBorders>
            <w:shd w:val="clear" w:color="auto" w:fill="auto"/>
            <w:noWrap/>
            <w:vAlign w:val="bottom"/>
            <w:hideMark/>
          </w:tcPr>
          <w:p w14:paraId="539B579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0.243</w:t>
            </w:r>
          </w:p>
        </w:tc>
        <w:tc>
          <w:tcPr>
            <w:tcW w:w="390" w:type="pct"/>
            <w:tcBorders>
              <w:top w:val="nil"/>
              <w:left w:val="nil"/>
              <w:bottom w:val="single" w:sz="4" w:space="0" w:color="auto"/>
              <w:right w:val="single" w:sz="4" w:space="0" w:color="auto"/>
            </w:tcBorders>
            <w:shd w:val="clear" w:color="auto" w:fill="auto"/>
            <w:noWrap/>
            <w:vAlign w:val="bottom"/>
            <w:hideMark/>
          </w:tcPr>
          <w:p w14:paraId="097D3B9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0.127</w:t>
            </w:r>
          </w:p>
        </w:tc>
        <w:tc>
          <w:tcPr>
            <w:tcW w:w="390" w:type="pct"/>
            <w:tcBorders>
              <w:top w:val="nil"/>
              <w:left w:val="nil"/>
              <w:bottom w:val="single" w:sz="4" w:space="0" w:color="auto"/>
              <w:right w:val="single" w:sz="4" w:space="0" w:color="auto"/>
            </w:tcBorders>
            <w:shd w:val="clear" w:color="auto" w:fill="auto"/>
            <w:noWrap/>
            <w:vAlign w:val="bottom"/>
            <w:hideMark/>
          </w:tcPr>
          <w:p w14:paraId="2462E41F"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0.166</w:t>
            </w:r>
          </w:p>
        </w:tc>
        <w:tc>
          <w:tcPr>
            <w:tcW w:w="390" w:type="pct"/>
            <w:tcBorders>
              <w:top w:val="nil"/>
              <w:left w:val="nil"/>
              <w:bottom w:val="single" w:sz="4" w:space="0" w:color="auto"/>
              <w:right w:val="single" w:sz="4" w:space="0" w:color="auto"/>
            </w:tcBorders>
            <w:shd w:val="clear" w:color="auto" w:fill="auto"/>
            <w:noWrap/>
            <w:vAlign w:val="bottom"/>
            <w:hideMark/>
          </w:tcPr>
          <w:p w14:paraId="00D646D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0.114</w:t>
            </w:r>
          </w:p>
        </w:tc>
        <w:tc>
          <w:tcPr>
            <w:tcW w:w="392" w:type="pct"/>
            <w:tcBorders>
              <w:top w:val="nil"/>
              <w:left w:val="nil"/>
              <w:bottom w:val="single" w:sz="4" w:space="0" w:color="auto"/>
              <w:right w:val="single" w:sz="4" w:space="0" w:color="auto"/>
            </w:tcBorders>
            <w:shd w:val="clear" w:color="auto" w:fill="auto"/>
            <w:noWrap/>
            <w:vAlign w:val="bottom"/>
            <w:hideMark/>
          </w:tcPr>
          <w:p w14:paraId="3767735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0.118</w:t>
            </w:r>
          </w:p>
        </w:tc>
      </w:tr>
      <w:tr w:rsidR="00EC0251" w:rsidRPr="00EC0251" w14:paraId="618C8699" w14:textId="77777777" w:rsidTr="00A801BF">
        <w:trPr>
          <w:trHeight w:val="300"/>
        </w:trPr>
        <w:tc>
          <w:tcPr>
            <w:tcW w:w="639" w:type="pct"/>
            <w:vMerge/>
            <w:tcBorders>
              <w:top w:val="nil"/>
              <w:left w:val="single" w:sz="4" w:space="0" w:color="auto"/>
              <w:bottom w:val="single" w:sz="4" w:space="0" w:color="auto"/>
              <w:right w:val="single" w:sz="4" w:space="0" w:color="auto"/>
            </w:tcBorders>
            <w:vAlign w:val="center"/>
            <w:hideMark/>
          </w:tcPr>
          <w:p w14:paraId="64D3D551" w14:textId="77777777" w:rsidR="00EC0251" w:rsidRPr="00EC0251" w:rsidRDefault="00EC0251" w:rsidP="00EC0251">
            <w:pPr>
              <w:spacing w:after="0" w:line="240" w:lineRule="auto"/>
              <w:rPr>
                <w:rFonts w:ascii="Calibri" w:eastAsia="Times New Roman" w:hAnsi="Calibri" w:cs="Times New Roman"/>
                <w:color w:val="000000"/>
                <w:sz w:val="16"/>
                <w:lang w:eastAsia="es-GT"/>
              </w:rPr>
            </w:pPr>
          </w:p>
        </w:tc>
        <w:tc>
          <w:tcPr>
            <w:tcW w:w="847" w:type="pct"/>
            <w:tcBorders>
              <w:top w:val="nil"/>
              <w:left w:val="nil"/>
              <w:bottom w:val="single" w:sz="4" w:space="0" w:color="auto"/>
              <w:right w:val="single" w:sz="4" w:space="0" w:color="auto"/>
            </w:tcBorders>
            <w:shd w:val="clear" w:color="auto" w:fill="auto"/>
            <w:vAlign w:val="bottom"/>
            <w:hideMark/>
          </w:tcPr>
          <w:p w14:paraId="2DAB70A0" w14:textId="77777777" w:rsidR="00EC0251" w:rsidRPr="00EC0251" w:rsidRDefault="00EC0251" w:rsidP="00EC0251">
            <w:pPr>
              <w:spacing w:after="0" w:line="240" w:lineRule="auto"/>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Exclusión social n.e.p</w:t>
            </w:r>
          </w:p>
        </w:tc>
        <w:tc>
          <w:tcPr>
            <w:tcW w:w="390" w:type="pct"/>
            <w:tcBorders>
              <w:top w:val="nil"/>
              <w:left w:val="nil"/>
              <w:bottom w:val="single" w:sz="4" w:space="0" w:color="auto"/>
              <w:right w:val="single" w:sz="4" w:space="0" w:color="auto"/>
            </w:tcBorders>
            <w:shd w:val="clear" w:color="auto" w:fill="auto"/>
            <w:noWrap/>
            <w:vAlign w:val="bottom"/>
            <w:hideMark/>
          </w:tcPr>
          <w:p w14:paraId="250C68B1"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0.566</w:t>
            </w:r>
          </w:p>
        </w:tc>
        <w:tc>
          <w:tcPr>
            <w:tcW w:w="390" w:type="pct"/>
            <w:tcBorders>
              <w:top w:val="nil"/>
              <w:left w:val="nil"/>
              <w:bottom w:val="single" w:sz="4" w:space="0" w:color="auto"/>
              <w:right w:val="single" w:sz="4" w:space="0" w:color="auto"/>
            </w:tcBorders>
            <w:shd w:val="clear" w:color="auto" w:fill="auto"/>
            <w:noWrap/>
            <w:vAlign w:val="bottom"/>
            <w:hideMark/>
          </w:tcPr>
          <w:p w14:paraId="68191B7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0.485</w:t>
            </w:r>
          </w:p>
        </w:tc>
        <w:tc>
          <w:tcPr>
            <w:tcW w:w="390" w:type="pct"/>
            <w:tcBorders>
              <w:top w:val="nil"/>
              <w:left w:val="nil"/>
              <w:bottom w:val="single" w:sz="4" w:space="0" w:color="auto"/>
              <w:right w:val="single" w:sz="4" w:space="0" w:color="auto"/>
            </w:tcBorders>
            <w:shd w:val="clear" w:color="auto" w:fill="auto"/>
            <w:noWrap/>
            <w:vAlign w:val="bottom"/>
            <w:hideMark/>
          </w:tcPr>
          <w:p w14:paraId="263FF49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0.456</w:t>
            </w:r>
          </w:p>
        </w:tc>
        <w:tc>
          <w:tcPr>
            <w:tcW w:w="390" w:type="pct"/>
            <w:tcBorders>
              <w:top w:val="nil"/>
              <w:left w:val="nil"/>
              <w:bottom w:val="single" w:sz="4" w:space="0" w:color="auto"/>
              <w:right w:val="single" w:sz="4" w:space="0" w:color="auto"/>
            </w:tcBorders>
            <w:shd w:val="clear" w:color="auto" w:fill="auto"/>
            <w:noWrap/>
            <w:vAlign w:val="bottom"/>
            <w:hideMark/>
          </w:tcPr>
          <w:p w14:paraId="7E97BD9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0.542</w:t>
            </w:r>
          </w:p>
        </w:tc>
        <w:tc>
          <w:tcPr>
            <w:tcW w:w="390" w:type="pct"/>
            <w:tcBorders>
              <w:top w:val="nil"/>
              <w:left w:val="nil"/>
              <w:bottom w:val="single" w:sz="4" w:space="0" w:color="auto"/>
              <w:right w:val="single" w:sz="4" w:space="0" w:color="auto"/>
            </w:tcBorders>
            <w:shd w:val="clear" w:color="auto" w:fill="auto"/>
            <w:noWrap/>
            <w:vAlign w:val="bottom"/>
            <w:hideMark/>
          </w:tcPr>
          <w:p w14:paraId="1E52320A"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0.464</w:t>
            </w:r>
          </w:p>
        </w:tc>
        <w:tc>
          <w:tcPr>
            <w:tcW w:w="390" w:type="pct"/>
            <w:tcBorders>
              <w:top w:val="nil"/>
              <w:left w:val="nil"/>
              <w:bottom w:val="single" w:sz="4" w:space="0" w:color="auto"/>
              <w:right w:val="single" w:sz="4" w:space="0" w:color="auto"/>
            </w:tcBorders>
            <w:shd w:val="clear" w:color="auto" w:fill="auto"/>
            <w:noWrap/>
            <w:vAlign w:val="bottom"/>
            <w:hideMark/>
          </w:tcPr>
          <w:p w14:paraId="525662CD"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0.333</w:t>
            </w:r>
          </w:p>
        </w:tc>
        <w:tc>
          <w:tcPr>
            <w:tcW w:w="390" w:type="pct"/>
            <w:tcBorders>
              <w:top w:val="nil"/>
              <w:left w:val="nil"/>
              <w:bottom w:val="single" w:sz="4" w:space="0" w:color="auto"/>
              <w:right w:val="single" w:sz="4" w:space="0" w:color="auto"/>
            </w:tcBorders>
            <w:shd w:val="clear" w:color="auto" w:fill="auto"/>
            <w:noWrap/>
            <w:vAlign w:val="bottom"/>
            <w:hideMark/>
          </w:tcPr>
          <w:p w14:paraId="57194304"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0.255</w:t>
            </w:r>
          </w:p>
        </w:tc>
        <w:tc>
          <w:tcPr>
            <w:tcW w:w="390" w:type="pct"/>
            <w:tcBorders>
              <w:top w:val="nil"/>
              <w:left w:val="nil"/>
              <w:bottom w:val="single" w:sz="4" w:space="0" w:color="auto"/>
              <w:right w:val="single" w:sz="4" w:space="0" w:color="auto"/>
            </w:tcBorders>
            <w:shd w:val="clear" w:color="auto" w:fill="auto"/>
            <w:noWrap/>
            <w:vAlign w:val="bottom"/>
            <w:hideMark/>
          </w:tcPr>
          <w:p w14:paraId="7F2CC38C"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0.219</w:t>
            </w:r>
          </w:p>
        </w:tc>
        <w:tc>
          <w:tcPr>
            <w:tcW w:w="392" w:type="pct"/>
            <w:tcBorders>
              <w:top w:val="nil"/>
              <w:left w:val="nil"/>
              <w:bottom w:val="single" w:sz="4" w:space="0" w:color="auto"/>
              <w:right w:val="single" w:sz="4" w:space="0" w:color="auto"/>
            </w:tcBorders>
            <w:shd w:val="clear" w:color="auto" w:fill="auto"/>
            <w:noWrap/>
            <w:vAlign w:val="bottom"/>
            <w:hideMark/>
          </w:tcPr>
          <w:p w14:paraId="7356BC8E" w14:textId="77777777" w:rsidR="00EC0251" w:rsidRPr="00EC0251" w:rsidRDefault="00EC0251" w:rsidP="00EC0251">
            <w:pPr>
              <w:spacing w:after="0" w:line="240" w:lineRule="auto"/>
              <w:jc w:val="right"/>
              <w:rPr>
                <w:rFonts w:ascii="Calibri" w:eastAsia="Times New Roman" w:hAnsi="Calibri" w:cs="Times New Roman"/>
                <w:color w:val="000000"/>
                <w:sz w:val="16"/>
                <w:szCs w:val="20"/>
                <w:lang w:eastAsia="es-GT"/>
              </w:rPr>
            </w:pPr>
            <w:r w:rsidRPr="00EC0251">
              <w:rPr>
                <w:rFonts w:ascii="Calibri" w:eastAsia="Times New Roman" w:hAnsi="Calibri" w:cs="Times New Roman"/>
                <w:color w:val="000000"/>
                <w:sz w:val="16"/>
                <w:szCs w:val="20"/>
                <w:lang w:eastAsia="es-GT"/>
              </w:rPr>
              <w:t>0.226</w:t>
            </w:r>
          </w:p>
        </w:tc>
      </w:tr>
    </w:tbl>
    <w:p w14:paraId="671494E4" w14:textId="77777777" w:rsidR="00EC0251" w:rsidRDefault="00EC0251" w:rsidP="00EC0251">
      <w:pPr>
        <w:jc w:val="both"/>
      </w:pPr>
    </w:p>
    <w:p w14:paraId="1BA0CB98" w14:textId="77777777" w:rsidR="00EC0251" w:rsidRPr="00EC0251" w:rsidRDefault="00EC0251" w:rsidP="00EC0251">
      <w:pPr>
        <w:jc w:val="both"/>
        <w:rPr>
          <w:sz w:val="20"/>
        </w:rPr>
      </w:pPr>
      <w:r w:rsidRPr="00EC0251">
        <w:rPr>
          <w:sz w:val="20"/>
        </w:rPr>
        <w:t>Fuente: Icefi con base en el Sistema de Contabilidad Integrada (Sicoin) del Ministerio de Finanzas Públicas (Minfin).</w:t>
      </w:r>
    </w:p>
    <w:p w14:paraId="02AF34C1" w14:textId="77777777" w:rsidR="00EC0251" w:rsidRPr="00EC0251" w:rsidRDefault="00EC0251" w:rsidP="00EC0251">
      <w:pPr>
        <w:jc w:val="both"/>
        <w:rPr>
          <w:sz w:val="20"/>
        </w:rPr>
      </w:pPr>
      <w:r>
        <w:rPr>
          <w:sz w:val="20"/>
        </w:rPr>
        <w:t>Nota: e</w:t>
      </w:r>
      <w:r w:rsidRPr="00EC0251">
        <w:rPr>
          <w:sz w:val="20"/>
        </w:rPr>
        <w:t>l Gasto Público Social incluye las funciones de gobierno 705 (Protección del Medio Ambiente); 706 (Vivienda y Servicios Comunitarios); 707 (Salud); 708 (Actividades Recreativas, Cultura y Religión); 709 (Educación) y 710 (Protección Social), según la clasificación de funciones de gobierno del</w:t>
      </w:r>
      <w:r>
        <w:rPr>
          <w:sz w:val="20"/>
        </w:rPr>
        <w:t xml:space="preserve"> Manual de estadísticas de finanzas públicas 2014 del</w:t>
      </w:r>
      <w:r w:rsidRPr="00EC0251">
        <w:rPr>
          <w:sz w:val="20"/>
        </w:rPr>
        <w:t xml:space="preserve"> Fondo Monetario Internacional (FMI).</w:t>
      </w:r>
    </w:p>
    <w:sectPr w:rsidR="00EC0251" w:rsidRPr="00EC0251">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9F2A4" w14:textId="77777777" w:rsidR="00E806BA" w:rsidRDefault="00E806BA" w:rsidP="0037404C">
      <w:pPr>
        <w:spacing w:after="0" w:line="240" w:lineRule="auto"/>
      </w:pPr>
      <w:r>
        <w:separator/>
      </w:r>
    </w:p>
  </w:endnote>
  <w:endnote w:type="continuationSeparator" w:id="0">
    <w:p w14:paraId="48CAA522" w14:textId="77777777" w:rsidR="00E806BA" w:rsidRDefault="00E806BA" w:rsidP="0037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070132"/>
      <w:docPartObj>
        <w:docPartGallery w:val="Page Numbers (Bottom of Page)"/>
        <w:docPartUnique/>
      </w:docPartObj>
    </w:sdtPr>
    <w:sdtEndPr/>
    <w:sdtContent>
      <w:p w14:paraId="0F524F8D" w14:textId="78B7A4AE" w:rsidR="00B460F5" w:rsidRDefault="00B460F5">
        <w:pPr>
          <w:pStyle w:val="Footer"/>
          <w:jc w:val="right"/>
        </w:pPr>
        <w:r>
          <w:fldChar w:fldCharType="begin"/>
        </w:r>
        <w:r>
          <w:instrText>PAGE   \* MERGEFORMAT</w:instrText>
        </w:r>
        <w:r>
          <w:fldChar w:fldCharType="separate"/>
        </w:r>
        <w:r w:rsidR="003A6D2F" w:rsidRPr="003A6D2F">
          <w:rPr>
            <w:noProof/>
            <w:lang w:val="es-ES"/>
          </w:rPr>
          <w:t>2</w:t>
        </w:r>
        <w:r>
          <w:fldChar w:fldCharType="end"/>
        </w:r>
      </w:p>
    </w:sdtContent>
  </w:sdt>
  <w:p w14:paraId="63C28C31" w14:textId="77777777" w:rsidR="00B460F5" w:rsidRDefault="00B4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F29C" w14:textId="77777777" w:rsidR="00E806BA" w:rsidRDefault="00E806BA" w:rsidP="0037404C">
      <w:pPr>
        <w:spacing w:after="0" w:line="240" w:lineRule="auto"/>
      </w:pPr>
      <w:r>
        <w:separator/>
      </w:r>
    </w:p>
  </w:footnote>
  <w:footnote w:type="continuationSeparator" w:id="0">
    <w:p w14:paraId="48B11643" w14:textId="77777777" w:rsidR="00E806BA" w:rsidRDefault="00E806BA" w:rsidP="0037404C">
      <w:pPr>
        <w:spacing w:after="0" w:line="240" w:lineRule="auto"/>
      </w:pPr>
      <w:r>
        <w:continuationSeparator/>
      </w:r>
    </w:p>
  </w:footnote>
  <w:footnote w:id="1">
    <w:p w14:paraId="3ABCB81B" w14:textId="77777777" w:rsidR="00B460F5" w:rsidRDefault="00B460F5">
      <w:pPr>
        <w:pStyle w:val="FootnoteText"/>
      </w:pPr>
      <w:r>
        <w:rPr>
          <w:rStyle w:val="FootnoteReference"/>
        </w:rPr>
        <w:footnoteRef/>
      </w:r>
      <w:r>
        <w:t xml:space="preserve"> Este documento sintetiza un trabajo previo realizado por el Icefi para el Informe Anual Circunstanciado de Actividades y de la Situación de los Derechos Humanos 2019, de la Procuraduría de Derechos Humanos de Guatemala. Véase en </w:t>
      </w:r>
      <w:hyperlink r:id="rId1" w:history="1">
        <w:r>
          <w:rPr>
            <w:rStyle w:val="Hyperlink"/>
          </w:rPr>
          <w:t>https://www.pdh.org.gt/biblioteca-digital-informes-informes-anuales/</w:t>
        </w:r>
      </w:hyperlink>
      <w:r>
        <w:t>.</w:t>
      </w:r>
    </w:p>
  </w:footnote>
  <w:footnote w:id="2">
    <w:p w14:paraId="74EFC224" w14:textId="77777777" w:rsidR="00B460F5" w:rsidRDefault="00B460F5">
      <w:pPr>
        <w:pStyle w:val="FootnoteText"/>
      </w:pPr>
      <w:r>
        <w:rPr>
          <w:rStyle w:val="FootnoteReference"/>
        </w:rPr>
        <w:footnoteRef/>
      </w:r>
      <w:r>
        <w:t xml:space="preserve"> CESR/Icefi (2009). ¿Derechos o privilegios? El compromiso fiscal con la salud, la educación y la alimentación en Guatemala. pág. 78.</w:t>
      </w:r>
    </w:p>
  </w:footnote>
  <w:footnote w:id="3">
    <w:p w14:paraId="2CF7D338" w14:textId="77777777" w:rsidR="00B460F5" w:rsidRDefault="00B460F5">
      <w:pPr>
        <w:pStyle w:val="FootnoteText"/>
      </w:pPr>
      <w:r>
        <w:rPr>
          <w:rStyle w:val="FootnoteReference"/>
        </w:rPr>
        <w:footnoteRef/>
      </w:r>
      <w:r>
        <w:t xml:space="preserve"> Véase en </w:t>
      </w:r>
      <w:hyperlink r:id="rId2" w:history="1">
        <w:r>
          <w:rPr>
            <w:rStyle w:val="Hyperlink"/>
          </w:rPr>
          <w:t>https://www.minfin.gob.gt/gastos</w:t>
        </w:r>
      </w:hyperlink>
      <w:r>
        <w:t xml:space="preserve">. </w:t>
      </w:r>
    </w:p>
  </w:footnote>
  <w:footnote w:id="4">
    <w:p w14:paraId="3A6ED3CD" w14:textId="77777777" w:rsidR="00B460F5" w:rsidRDefault="00B460F5">
      <w:pPr>
        <w:pStyle w:val="FootnoteText"/>
      </w:pPr>
      <w:r>
        <w:rPr>
          <w:rStyle w:val="FootnoteReference"/>
        </w:rPr>
        <w:footnoteRef/>
      </w:r>
      <w:r>
        <w:t xml:space="preserve"> Véase en </w:t>
      </w:r>
      <w:hyperlink r:id="rId3" w:history="1">
        <w:r w:rsidRPr="0024202A">
          <w:rPr>
            <w:rStyle w:val="Hyperlink"/>
          </w:rPr>
          <w:t>https://www.imf.org/external/Pubs/FT/GFS/Manual/2014/GFSM_2014_SPA.pdf</w:t>
        </w:r>
      </w:hyperlink>
      <w:r>
        <w:t>.</w:t>
      </w:r>
    </w:p>
  </w:footnote>
  <w:footnote w:id="5">
    <w:p w14:paraId="48C02BC0" w14:textId="77777777" w:rsidR="00B460F5" w:rsidRDefault="00B460F5">
      <w:pPr>
        <w:pStyle w:val="FootnoteText"/>
      </w:pPr>
      <w:r>
        <w:rPr>
          <w:rStyle w:val="FootnoteReference"/>
        </w:rPr>
        <w:footnoteRef/>
      </w:r>
      <w:r>
        <w:t xml:space="preserve"> Disponible en el anexo.</w:t>
      </w:r>
    </w:p>
  </w:footnote>
  <w:footnote w:id="6">
    <w:p w14:paraId="0F5B3B25" w14:textId="77777777" w:rsidR="00B460F5" w:rsidRDefault="00B460F5">
      <w:pPr>
        <w:pStyle w:val="FootnoteText"/>
      </w:pPr>
      <w:r>
        <w:rPr>
          <w:rStyle w:val="FootnoteReference"/>
        </w:rPr>
        <w:footnoteRef/>
      </w:r>
      <w:r>
        <w:t xml:space="preserve"> Cepal (2019). Panorama social de América Latina 2019. Pág. 132.</w:t>
      </w:r>
    </w:p>
  </w:footnote>
  <w:footnote w:id="7">
    <w:p w14:paraId="39F8BE7A" w14:textId="77777777" w:rsidR="00B460F5" w:rsidRDefault="00B460F5">
      <w:pPr>
        <w:pStyle w:val="FootnoteText"/>
      </w:pPr>
      <w:r>
        <w:rPr>
          <w:rStyle w:val="FootnoteReference"/>
        </w:rPr>
        <w:footnoteRef/>
      </w:r>
      <w:r>
        <w:t xml:space="preserve"> Pacto Fiscal para un futuro con paz y desarrollo (2000). página 7.</w:t>
      </w:r>
    </w:p>
  </w:footnote>
  <w:footnote w:id="8">
    <w:p w14:paraId="16B02577" w14:textId="77777777" w:rsidR="00B460F5" w:rsidRDefault="00B460F5">
      <w:pPr>
        <w:pStyle w:val="FootnoteText"/>
      </w:pPr>
      <w:r>
        <w:rPr>
          <w:rStyle w:val="FootnoteReference"/>
        </w:rPr>
        <w:footnoteRef/>
      </w:r>
      <w:r>
        <w:t xml:space="preserve"> Pacto Fiscal para un futuro con paz y desarrollo (2000). página 7.</w:t>
      </w:r>
    </w:p>
  </w:footnote>
  <w:footnote w:id="9">
    <w:p w14:paraId="7E9A0338" w14:textId="77777777" w:rsidR="00B460F5" w:rsidRDefault="00B460F5" w:rsidP="00F8084E">
      <w:pPr>
        <w:pStyle w:val="FootnoteText"/>
      </w:pPr>
      <w:r>
        <w:rPr>
          <w:rStyle w:val="FootnoteReference"/>
        </w:rPr>
        <w:footnoteRef/>
      </w:r>
      <w:r>
        <w:t xml:space="preserve"> Icefi (2019). </w:t>
      </w:r>
      <w:r w:rsidRPr="006F29B9">
        <w:t>Guatemala: estimaciones del Icefi advierten tendencia decreciente en la recaudación y un agujero fiscal de Q1,700.0 millones en 2019</w:t>
      </w:r>
      <w:r>
        <w:t>. Comunicado de prensa publicado el 22 de enero de 2019.</w:t>
      </w:r>
    </w:p>
  </w:footnote>
  <w:footnote w:id="10">
    <w:p w14:paraId="757A7600" w14:textId="77777777" w:rsidR="00B460F5" w:rsidRDefault="00B460F5" w:rsidP="00041DD2">
      <w:pPr>
        <w:pStyle w:val="FootnoteText"/>
      </w:pPr>
      <w:r>
        <w:rPr>
          <w:rStyle w:val="FootnoteReference"/>
        </w:rPr>
        <w:footnoteRef/>
      </w:r>
      <w:r>
        <w:t xml:space="preserve"> Estadísticas de la SAT disponibles en: </w:t>
      </w:r>
      <w:hyperlink r:id="rId4" w:anchor="1506976607233-cfdb5baf-4926" w:history="1">
        <w:r>
          <w:rPr>
            <w:rStyle w:val="Hyperlink"/>
          </w:rPr>
          <w:t>https://portal.sat.gob.gt/portal/analisis-estudios-tributarios/#1506976607233-cfdb5baf-4926</w:t>
        </w:r>
      </w:hyperlink>
      <w:r>
        <w:t>.</w:t>
      </w:r>
    </w:p>
  </w:footnote>
  <w:footnote w:id="11">
    <w:p w14:paraId="760DC52C" w14:textId="77777777" w:rsidR="00B460F5" w:rsidRPr="000F72F8" w:rsidRDefault="00B460F5" w:rsidP="00041DD2">
      <w:pPr>
        <w:pStyle w:val="FootnoteText"/>
        <w:rPr>
          <w:lang w:val="en-US"/>
        </w:rPr>
      </w:pPr>
      <w:r>
        <w:rPr>
          <w:rStyle w:val="FootnoteReference"/>
        </w:rPr>
        <w:footnoteRef/>
      </w:r>
      <w:r>
        <w:t xml:space="preserve"> Icefi (2017a). Renta básica universal: Más libertad, más igualdad, más empleo, más bienestar. </w:t>
      </w:r>
      <w:r w:rsidRPr="000F72F8">
        <w:rPr>
          <w:lang w:val="en-US"/>
        </w:rPr>
        <w:t>Una propuesta para Guatemala (2019-2030). página 69.</w:t>
      </w:r>
    </w:p>
  </w:footnote>
  <w:footnote w:id="12">
    <w:p w14:paraId="09522DD6" w14:textId="77777777" w:rsidR="00B460F5" w:rsidRPr="000F72F8" w:rsidRDefault="00B460F5" w:rsidP="00973644">
      <w:pPr>
        <w:pStyle w:val="FootnoteText"/>
      </w:pPr>
      <w:r>
        <w:rPr>
          <w:rStyle w:val="FootnoteReference"/>
        </w:rPr>
        <w:footnoteRef/>
      </w:r>
      <w:r w:rsidRPr="00D02F8B">
        <w:rPr>
          <w:lang w:val="en-US"/>
        </w:rPr>
        <w:t xml:space="preserve"> GFI (2017) Illicit Financial Flows to and from Developing Countries: 2005-2014</w:t>
      </w:r>
      <w:r>
        <w:rPr>
          <w:lang w:val="en-US"/>
        </w:rPr>
        <w:t xml:space="preserve">. </w:t>
      </w:r>
      <w:r w:rsidRPr="000F72F8">
        <w:t>Anexo estadístico</w:t>
      </w:r>
      <w:r>
        <w:t>.</w:t>
      </w:r>
      <w:r w:rsidRPr="000F72F8">
        <w:t xml:space="preserve"> </w:t>
      </w:r>
    </w:p>
  </w:footnote>
  <w:footnote w:id="13">
    <w:p w14:paraId="30B5202B" w14:textId="77777777" w:rsidR="00B460F5" w:rsidRDefault="00B460F5">
      <w:pPr>
        <w:pStyle w:val="FootnoteText"/>
      </w:pPr>
      <w:r>
        <w:rPr>
          <w:rStyle w:val="FootnoteReference"/>
        </w:rPr>
        <w:footnoteRef/>
      </w:r>
      <w:r>
        <w:t xml:space="preserve"> Icefi (2017b). La corrupción: sus caminos e impacto en la sociedad y una agenda para enfrentarla en el Triángulo Norte centroamericano. páginas 57-115.</w:t>
      </w:r>
    </w:p>
  </w:footnote>
  <w:footnote w:id="14">
    <w:p w14:paraId="2F9FD8A8" w14:textId="77777777" w:rsidR="00B460F5" w:rsidRDefault="00B460F5">
      <w:pPr>
        <w:pStyle w:val="FootnoteText"/>
      </w:pPr>
      <w:r>
        <w:rPr>
          <w:rStyle w:val="FootnoteReference"/>
        </w:rPr>
        <w:footnoteRef/>
      </w:r>
      <w:r>
        <w:t xml:space="preserve"> Cicig (2015). Financiamiento de la política en Guatemala. </w:t>
      </w:r>
    </w:p>
  </w:footnote>
  <w:footnote w:id="15">
    <w:p w14:paraId="22476001" w14:textId="77777777" w:rsidR="00B460F5" w:rsidRDefault="00B460F5">
      <w:pPr>
        <w:pStyle w:val="FootnoteText"/>
      </w:pPr>
      <w:r>
        <w:rPr>
          <w:rStyle w:val="FootnoteReference"/>
        </w:rPr>
        <w:footnoteRef/>
      </w:r>
      <w:r>
        <w:t xml:space="preserve"> Cicig (2015). Sistema de medición de la impunidad en Guatemala. página 13.</w:t>
      </w:r>
    </w:p>
  </w:footnote>
  <w:footnote w:id="16">
    <w:p w14:paraId="273AB7F8" w14:textId="77777777" w:rsidR="00B460F5" w:rsidRDefault="00B460F5">
      <w:pPr>
        <w:pStyle w:val="FootnoteText"/>
      </w:pPr>
      <w:r>
        <w:rPr>
          <w:rStyle w:val="FootnoteReference"/>
        </w:rPr>
        <w:footnoteRef/>
      </w:r>
      <w:r>
        <w:t xml:space="preserve"> Wola (2015). La Cicig: un instrumento innovador contra las redes criminales y para el fortalecimiento del Estado de Derecho. página 3.</w:t>
      </w:r>
    </w:p>
  </w:footnote>
  <w:footnote w:id="17">
    <w:p w14:paraId="12B06203" w14:textId="77777777" w:rsidR="00B460F5" w:rsidRDefault="00B460F5">
      <w:pPr>
        <w:pStyle w:val="FootnoteText"/>
      </w:pPr>
      <w:r>
        <w:rPr>
          <w:rStyle w:val="FootnoteReference"/>
        </w:rPr>
        <w:footnoteRef/>
      </w:r>
      <w:r>
        <w:t xml:space="preserve"> Icefi/Oxfam (2015). La corrupción, sus caminos, su impacto en la sociedad y una agenda para su eliminación. </w:t>
      </w:r>
    </w:p>
  </w:footnote>
  <w:footnote w:id="18">
    <w:p w14:paraId="13ACDA6B" w14:textId="77777777" w:rsidR="00947324" w:rsidRPr="00E9463C" w:rsidRDefault="00947324" w:rsidP="00947324">
      <w:pPr>
        <w:pStyle w:val="FootnoteText"/>
      </w:pPr>
      <w:r>
        <w:rPr>
          <w:rStyle w:val="FootnoteReference"/>
        </w:rPr>
        <w:footnoteRef/>
      </w:r>
      <w:r>
        <w:t xml:space="preserve"> Véase, entre otros trabajo el Icefi, el  Icefi(2020). Perfiles Macrofiscales de Centroamérica. Número 13. Año 7, Abril pp 33-50 en: </w:t>
      </w:r>
      <w:hyperlink r:id="rId5" w:history="1">
        <w:r>
          <w:rPr>
            <w:rStyle w:val="Hyperlink"/>
          </w:rPr>
          <w:t>http://icefi.org/sites/default/files/perfiles_macrofiscales_de_centroamerica_-_13.pdf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D422" w14:textId="77777777" w:rsidR="00B460F5" w:rsidRPr="00877DA5" w:rsidRDefault="00B460F5" w:rsidP="002650BE">
    <w:pPr>
      <w:pStyle w:val="Header"/>
      <w:rPr>
        <w:rFonts w:ascii="Arial Narrow" w:hAnsi="Arial Narrow" w:cs="Aharoni"/>
      </w:rPr>
    </w:pPr>
    <w:r w:rsidRPr="005D4B28">
      <w:rPr>
        <w:noProof/>
        <w:lang w:val="en-GB" w:eastAsia="en-GB"/>
      </w:rPr>
      <w:drawing>
        <wp:inline distT="0" distB="0" distL="0" distR="0" wp14:anchorId="45698643" wp14:editId="7C5096F9">
          <wp:extent cx="609600" cy="852038"/>
          <wp:effectExtent l="0" t="0" r="0" b="5715"/>
          <wp:docPr id="5735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6" name="Imagen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52038"/>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054"/>
    <w:multiLevelType w:val="multilevel"/>
    <w:tmpl w:val="1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B135F4"/>
    <w:multiLevelType w:val="hybridMultilevel"/>
    <w:tmpl w:val="35F0B374"/>
    <w:lvl w:ilvl="0" w:tplc="100A0011">
      <w:start w:val="1"/>
      <w:numFmt w:val="decimal"/>
      <w:lvlText w:val="%1)"/>
      <w:lvlJc w:val="left"/>
      <w:pPr>
        <w:ind w:left="720" w:hanging="360"/>
      </w:pPr>
    </w:lvl>
    <w:lvl w:ilvl="1" w:tplc="100A000F">
      <w:start w:val="1"/>
      <w:numFmt w:val="decimal"/>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DA1171A"/>
    <w:multiLevelType w:val="hybridMultilevel"/>
    <w:tmpl w:val="82543680"/>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36C5841"/>
    <w:multiLevelType w:val="hybridMultilevel"/>
    <w:tmpl w:val="F7505616"/>
    <w:lvl w:ilvl="0" w:tplc="100A0011">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8A34BD0"/>
    <w:multiLevelType w:val="hybridMultilevel"/>
    <w:tmpl w:val="CD9A38A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CC20C72"/>
    <w:multiLevelType w:val="multilevel"/>
    <w:tmpl w:val="159074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6436D0"/>
    <w:multiLevelType w:val="multilevel"/>
    <w:tmpl w:val="10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D0035F"/>
    <w:multiLevelType w:val="hybridMultilevel"/>
    <w:tmpl w:val="F6560C0E"/>
    <w:lvl w:ilvl="0" w:tplc="100A0011">
      <w:start w:val="1"/>
      <w:numFmt w:val="decimal"/>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D0B5825"/>
    <w:multiLevelType w:val="hybridMultilevel"/>
    <w:tmpl w:val="4808C6B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63BD289D"/>
    <w:multiLevelType w:val="multilevel"/>
    <w:tmpl w:val="90E2B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CE4A41"/>
    <w:multiLevelType w:val="hybridMultilevel"/>
    <w:tmpl w:val="ECD2CF54"/>
    <w:lvl w:ilvl="0" w:tplc="100A0011">
      <w:start w:val="1"/>
      <w:numFmt w:val="decimal"/>
      <w:lvlText w:val="%1)"/>
      <w:lvlJc w:val="left"/>
      <w:pPr>
        <w:ind w:left="720" w:hanging="360"/>
      </w:pPr>
      <w:rPr>
        <w:rFonts w:hint="default"/>
      </w:rPr>
    </w:lvl>
    <w:lvl w:ilvl="1" w:tplc="5FEEC090">
      <w:numFmt w:val="bullet"/>
      <w:lvlText w:val="-"/>
      <w:lvlJc w:val="left"/>
      <w:pPr>
        <w:ind w:left="1785" w:hanging="705"/>
      </w:pPr>
      <w:rPr>
        <w:rFonts w:ascii="Calibri" w:eastAsiaTheme="minorHAnsi" w:hAnsi="Calibri" w:cstheme="minorBidi"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8"/>
  </w:num>
  <w:num w:numId="5">
    <w:abstractNumId w:val="4"/>
  </w:num>
  <w:num w:numId="6">
    <w:abstractNumId w:val="3"/>
  </w:num>
  <w:num w:numId="7">
    <w:abstractNumId w:val="9"/>
  </w:num>
  <w:num w:numId="8">
    <w:abstractNumId w:val="6"/>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F"/>
    <w:rsid w:val="00011934"/>
    <w:rsid w:val="00011ABD"/>
    <w:rsid w:val="00020538"/>
    <w:rsid w:val="0003158F"/>
    <w:rsid w:val="00041DD2"/>
    <w:rsid w:val="0007737A"/>
    <w:rsid w:val="000B3E04"/>
    <w:rsid w:val="000E6FE7"/>
    <w:rsid w:val="000F5841"/>
    <w:rsid w:val="000F72F8"/>
    <w:rsid w:val="0012786E"/>
    <w:rsid w:val="001607E9"/>
    <w:rsid w:val="0016361A"/>
    <w:rsid w:val="001765AE"/>
    <w:rsid w:val="0018390B"/>
    <w:rsid w:val="00190E20"/>
    <w:rsid w:val="00191C81"/>
    <w:rsid w:val="00192E33"/>
    <w:rsid w:val="0019473F"/>
    <w:rsid w:val="001961CE"/>
    <w:rsid w:val="001A49F5"/>
    <w:rsid w:val="001A7F5A"/>
    <w:rsid w:val="001B0C97"/>
    <w:rsid w:val="001B45B4"/>
    <w:rsid w:val="001B6725"/>
    <w:rsid w:val="001B7870"/>
    <w:rsid w:val="001C62D0"/>
    <w:rsid w:val="001E2ED6"/>
    <w:rsid w:val="001F5900"/>
    <w:rsid w:val="002009F0"/>
    <w:rsid w:val="00201F67"/>
    <w:rsid w:val="00216BB9"/>
    <w:rsid w:val="002650BE"/>
    <w:rsid w:val="00272227"/>
    <w:rsid w:val="002759BD"/>
    <w:rsid w:val="00277F40"/>
    <w:rsid w:val="002B4551"/>
    <w:rsid w:val="002C0184"/>
    <w:rsid w:val="002C2B81"/>
    <w:rsid w:val="002E1B69"/>
    <w:rsid w:val="002F65A4"/>
    <w:rsid w:val="003000A8"/>
    <w:rsid w:val="0030754F"/>
    <w:rsid w:val="00310D72"/>
    <w:rsid w:val="0031129E"/>
    <w:rsid w:val="00341AE2"/>
    <w:rsid w:val="00351A1D"/>
    <w:rsid w:val="003674C8"/>
    <w:rsid w:val="0037404C"/>
    <w:rsid w:val="003749A9"/>
    <w:rsid w:val="00386F41"/>
    <w:rsid w:val="003A6D2F"/>
    <w:rsid w:val="003B4E5D"/>
    <w:rsid w:val="003C22A9"/>
    <w:rsid w:val="003D439C"/>
    <w:rsid w:val="003E3918"/>
    <w:rsid w:val="003F7123"/>
    <w:rsid w:val="00400A5F"/>
    <w:rsid w:val="00410CD1"/>
    <w:rsid w:val="004140F7"/>
    <w:rsid w:val="00457FAC"/>
    <w:rsid w:val="004624B8"/>
    <w:rsid w:val="00481A86"/>
    <w:rsid w:val="00492E9F"/>
    <w:rsid w:val="00496594"/>
    <w:rsid w:val="004B0123"/>
    <w:rsid w:val="004B400C"/>
    <w:rsid w:val="004D0451"/>
    <w:rsid w:val="004F0DB2"/>
    <w:rsid w:val="004F6695"/>
    <w:rsid w:val="004F6CEB"/>
    <w:rsid w:val="00532802"/>
    <w:rsid w:val="00540B2A"/>
    <w:rsid w:val="005412A2"/>
    <w:rsid w:val="00555075"/>
    <w:rsid w:val="005559C0"/>
    <w:rsid w:val="005A1912"/>
    <w:rsid w:val="005B32C0"/>
    <w:rsid w:val="005C1412"/>
    <w:rsid w:val="005D4B28"/>
    <w:rsid w:val="005D57E9"/>
    <w:rsid w:val="005E7732"/>
    <w:rsid w:val="00616273"/>
    <w:rsid w:val="00617CD2"/>
    <w:rsid w:val="00640A1C"/>
    <w:rsid w:val="0065348F"/>
    <w:rsid w:val="00664996"/>
    <w:rsid w:val="006739DF"/>
    <w:rsid w:val="0068341E"/>
    <w:rsid w:val="00695904"/>
    <w:rsid w:val="006C2EB6"/>
    <w:rsid w:val="006D37FA"/>
    <w:rsid w:val="006D66CC"/>
    <w:rsid w:val="006E6E79"/>
    <w:rsid w:val="006F29B9"/>
    <w:rsid w:val="00701B18"/>
    <w:rsid w:val="00717333"/>
    <w:rsid w:val="00725AA2"/>
    <w:rsid w:val="00762EBF"/>
    <w:rsid w:val="0076441D"/>
    <w:rsid w:val="00795E7A"/>
    <w:rsid w:val="00795FFB"/>
    <w:rsid w:val="007A399F"/>
    <w:rsid w:val="007D4001"/>
    <w:rsid w:val="007F5078"/>
    <w:rsid w:val="00816115"/>
    <w:rsid w:val="00853C36"/>
    <w:rsid w:val="00854A37"/>
    <w:rsid w:val="008629D0"/>
    <w:rsid w:val="00864331"/>
    <w:rsid w:val="00872C4A"/>
    <w:rsid w:val="00877DA5"/>
    <w:rsid w:val="0088592A"/>
    <w:rsid w:val="008916A0"/>
    <w:rsid w:val="008A337F"/>
    <w:rsid w:val="008A6938"/>
    <w:rsid w:val="008B051D"/>
    <w:rsid w:val="008C0D58"/>
    <w:rsid w:val="008C3E3A"/>
    <w:rsid w:val="008C6B01"/>
    <w:rsid w:val="008D0032"/>
    <w:rsid w:val="008D6AF9"/>
    <w:rsid w:val="008F154A"/>
    <w:rsid w:val="00925D3D"/>
    <w:rsid w:val="00947324"/>
    <w:rsid w:val="00952B46"/>
    <w:rsid w:val="009661CA"/>
    <w:rsid w:val="00973644"/>
    <w:rsid w:val="00974D0F"/>
    <w:rsid w:val="009A680E"/>
    <w:rsid w:val="009E71C2"/>
    <w:rsid w:val="00A03EFE"/>
    <w:rsid w:val="00A16524"/>
    <w:rsid w:val="00A37166"/>
    <w:rsid w:val="00A41412"/>
    <w:rsid w:val="00A41832"/>
    <w:rsid w:val="00A4799F"/>
    <w:rsid w:val="00A6668A"/>
    <w:rsid w:val="00A73B77"/>
    <w:rsid w:val="00A801BF"/>
    <w:rsid w:val="00AA1F7A"/>
    <w:rsid w:val="00AB018C"/>
    <w:rsid w:val="00AC1950"/>
    <w:rsid w:val="00AC4399"/>
    <w:rsid w:val="00AC4426"/>
    <w:rsid w:val="00AC63CF"/>
    <w:rsid w:val="00AC66F5"/>
    <w:rsid w:val="00AC7C8C"/>
    <w:rsid w:val="00AF5B2F"/>
    <w:rsid w:val="00B00D99"/>
    <w:rsid w:val="00B169A3"/>
    <w:rsid w:val="00B17AAC"/>
    <w:rsid w:val="00B31ECE"/>
    <w:rsid w:val="00B362E5"/>
    <w:rsid w:val="00B460F5"/>
    <w:rsid w:val="00B479FE"/>
    <w:rsid w:val="00B63C37"/>
    <w:rsid w:val="00B7597E"/>
    <w:rsid w:val="00B972E0"/>
    <w:rsid w:val="00BA1476"/>
    <w:rsid w:val="00BA2FBF"/>
    <w:rsid w:val="00BA5397"/>
    <w:rsid w:val="00BB18C5"/>
    <w:rsid w:val="00BB5544"/>
    <w:rsid w:val="00BE3787"/>
    <w:rsid w:val="00BE7E6B"/>
    <w:rsid w:val="00C145B6"/>
    <w:rsid w:val="00C269D9"/>
    <w:rsid w:val="00C56803"/>
    <w:rsid w:val="00C809E2"/>
    <w:rsid w:val="00C93C62"/>
    <w:rsid w:val="00CA5FAA"/>
    <w:rsid w:val="00CD4266"/>
    <w:rsid w:val="00CE17E9"/>
    <w:rsid w:val="00CE7332"/>
    <w:rsid w:val="00CF0424"/>
    <w:rsid w:val="00CF1F43"/>
    <w:rsid w:val="00D02F8B"/>
    <w:rsid w:val="00D135E8"/>
    <w:rsid w:val="00D15C9E"/>
    <w:rsid w:val="00D3460D"/>
    <w:rsid w:val="00D4423D"/>
    <w:rsid w:val="00D47E88"/>
    <w:rsid w:val="00D615A6"/>
    <w:rsid w:val="00D80646"/>
    <w:rsid w:val="00D858D9"/>
    <w:rsid w:val="00D90954"/>
    <w:rsid w:val="00D96C6A"/>
    <w:rsid w:val="00DA3855"/>
    <w:rsid w:val="00DD6753"/>
    <w:rsid w:val="00DE2640"/>
    <w:rsid w:val="00E1126B"/>
    <w:rsid w:val="00E17180"/>
    <w:rsid w:val="00E31E9B"/>
    <w:rsid w:val="00E41C77"/>
    <w:rsid w:val="00E5076F"/>
    <w:rsid w:val="00E56A60"/>
    <w:rsid w:val="00E66401"/>
    <w:rsid w:val="00E806BA"/>
    <w:rsid w:val="00E9205B"/>
    <w:rsid w:val="00E92338"/>
    <w:rsid w:val="00E92DEC"/>
    <w:rsid w:val="00E95D45"/>
    <w:rsid w:val="00EA13CE"/>
    <w:rsid w:val="00EC0251"/>
    <w:rsid w:val="00EC3FE2"/>
    <w:rsid w:val="00F0330E"/>
    <w:rsid w:val="00F26274"/>
    <w:rsid w:val="00F507BA"/>
    <w:rsid w:val="00F571F0"/>
    <w:rsid w:val="00F64157"/>
    <w:rsid w:val="00F6492C"/>
    <w:rsid w:val="00F72BAA"/>
    <w:rsid w:val="00F8084E"/>
    <w:rsid w:val="00F8437A"/>
    <w:rsid w:val="00F8774C"/>
    <w:rsid w:val="00F92065"/>
    <w:rsid w:val="00FC4080"/>
    <w:rsid w:val="00FC551C"/>
    <w:rsid w:val="00FF26A7"/>
    <w:rsid w:val="00FF76A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12F9"/>
  <w15:docId w15:val="{C8F19EAF-33B9-492B-9C32-C137E11C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B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4B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unhideWhenUsed/>
    <w:qFormat/>
    <w:rsid w:val="0037404C"/>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37404C"/>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nhideWhenUsed/>
    <w:qFormat/>
    <w:rsid w:val="0037404C"/>
    <w:rPr>
      <w:vertAlign w:val="superscript"/>
    </w:rPr>
  </w:style>
  <w:style w:type="character" w:styleId="Hyperlink">
    <w:name w:val="Hyperlink"/>
    <w:basedOn w:val="DefaultParagraphFont"/>
    <w:uiPriority w:val="99"/>
    <w:unhideWhenUsed/>
    <w:rsid w:val="00EA13CE"/>
    <w:rPr>
      <w:color w:val="0000FF"/>
      <w:u w:val="single"/>
    </w:rPr>
  </w:style>
  <w:style w:type="paragraph" w:styleId="ListParagraph">
    <w:name w:val="List Paragraph"/>
    <w:basedOn w:val="Normal"/>
    <w:uiPriority w:val="34"/>
    <w:qFormat/>
    <w:rsid w:val="00410CD1"/>
    <w:pPr>
      <w:ind w:left="720"/>
      <w:contextualSpacing/>
    </w:pPr>
  </w:style>
  <w:style w:type="character" w:customStyle="1" w:styleId="Heading1Char">
    <w:name w:val="Heading 1 Char"/>
    <w:basedOn w:val="DefaultParagraphFont"/>
    <w:link w:val="Heading1"/>
    <w:uiPriority w:val="9"/>
    <w:rsid w:val="005D4B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4B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4B2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D4B28"/>
    <w:pPr>
      <w:outlineLvl w:val="9"/>
    </w:pPr>
    <w:rPr>
      <w:lang w:eastAsia="es-GT"/>
    </w:rPr>
  </w:style>
  <w:style w:type="paragraph" w:styleId="TOC2">
    <w:name w:val="toc 2"/>
    <w:basedOn w:val="Normal"/>
    <w:next w:val="Normal"/>
    <w:autoRedefine/>
    <w:uiPriority w:val="39"/>
    <w:unhideWhenUsed/>
    <w:rsid w:val="005D4B28"/>
    <w:pPr>
      <w:spacing w:after="100"/>
      <w:ind w:left="220"/>
    </w:pPr>
    <w:rPr>
      <w:rFonts w:eastAsiaTheme="minorEastAsia" w:cs="Times New Roman"/>
      <w:lang w:eastAsia="es-GT"/>
    </w:rPr>
  </w:style>
  <w:style w:type="paragraph" w:styleId="TOC1">
    <w:name w:val="toc 1"/>
    <w:basedOn w:val="Normal"/>
    <w:next w:val="Normal"/>
    <w:autoRedefine/>
    <w:uiPriority w:val="39"/>
    <w:unhideWhenUsed/>
    <w:rsid w:val="005D4B28"/>
    <w:pPr>
      <w:spacing w:after="100"/>
    </w:pPr>
    <w:rPr>
      <w:rFonts w:eastAsiaTheme="minorEastAsia" w:cs="Times New Roman"/>
      <w:lang w:eastAsia="es-GT"/>
    </w:rPr>
  </w:style>
  <w:style w:type="paragraph" w:styleId="TOC3">
    <w:name w:val="toc 3"/>
    <w:basedOn w:val="Normal"/>
    <w:next w:val="Normal"/>
    <w:autoRedefine/>
    <w:uiPriority w:val="39"/>
    <w:unhideWhenUsed/>
    <w:rsid w:val="005D4B28"/>
    <w:pPr>
      <w:spacing w:after="100"/>
      <w:ind w:left="440"/>
    </w:pPr>
    <w:rPr>
      <w:rFonts w:eastAsiaTheme="minorEastAsia" w:cs="Times New Roman"/>
      <w:lang w:eastAsia="es-GT"/>
    </w:rPr>
  </w:style>
  <w:style w:type="paragraph" w:styleId="Header">
    <w:name w:val="header"/>
    <w:basedOn w:val="Normal"/>
    <w:link w:val="HeaderChar"/>
    <w:uiPriority w:val="99"/>
    <w:unhideWhenUsed/>
    <w:rsid w:val="005D4B28"/>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4B28"/>
  </w:style>
  <w:style w:type="paragraph" w:styleId="Footer">
    <w:name w:val="footer"/>
    <w:basedOn w:val="Normal"/>
    <w:link w:val="FooterChar"/>
    <w:uiPriority w:val="99"/>
    <w:unhideWhenUsed/>
    <w:rsid w:val="005D4B28"/>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4B28"/>
  </w:style>
  <w:style w:type="paragraph" w:styleId="BalloonText">
    <w:name w:val="Balloon Text"/>
    <w:basedOn w:val="Normal"/>
    <w:link w:val="BalloonTextChar"/>
    <w:uiPriority w:val="99"/>
    <w:semiHidden/>
    <w:unhideWhenUsed/>
    <w:rsid w:val="00CE7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32"/>
    <w:rPr>
      <w:rFonts w:ascii="Segoe UI" w:hAnsi="Segoe UI" w:cs="Segoe UI"/>
      <w:sz w:val="18"/>
      <w:szCs w:val="18"/>
    </w:rPr>
  </w:style>
  <w:style w:type="paragraph" w:customStyle="1" w:styleId="Char2">
    <w:name w:val="Char2"/>
    <w:basedOn w:val="Normal"/>
    <w:link w:val="FootnoteReference"/>
    <w:rsid w:val="00947324"/>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6743">
      <w:bodyDiv w:val="1"/>
      <w:marLeft w:val="0"/>
      <w:marRight w:val="0"/>
      <w:marTop w:val="0"/>
      <w:marBottom w:val="0"/>
      <w:divBdr>
        <w:top w:val="none" w:sz="0" w:space="0" w:color="auto"/>
        <w:left w:val="none" w:sz="0" w:space="0" w:color="auto"/>
        <w:bottom w:val="none" w:sz="0" w:space="0" w:color="auto"/>
        <w:right w:val="none" w:sz="0" w:space="0" w:color="auto"/>
      </w:divBdr>
    </w:div>
    <w:div w:id="140122825">
      <w:bodyDiv w:val="1"/>
      <w:marLeft w:val="0"/>
      <w:marRight w:val="0"/>
      <w:marTop w:val="0"/>
      <w:marBottom w:val="0"/>
      <w:divBdr>
        <w:top w:val="none" w:sz="0" w:space="0" w:color="auto"/>
        <w:left w:val="none" w:sz="0" w:space="0" w:color="auto"/>
        <w:bottom w:val="none" w:sz="0" w:space="0" w:color="auto"/>
        <w:right w:val="none" w:sz="0" w:space="0" w:color="auto"/>
      </w:divBdr>
    </w:div>
    <w:div w:id="312375354">
      <w:bodyDiv w:val="1"/>
      <w:marLeft w:val="0"/>
      <w:marRight w:val="0"/>
      <w:marTop w:val="0"/>
      <w:marBottom w:val="0"/>
      <w:divBdr>
        <w:top w:val="none" w:sz="0" w:space="0" w:color="auto"/>
        <w:left w:val="none" w:sz="0" w:space="0" w:color="auto"/>
        <w:bottom w:val="none" w:sz="0" w:space="0" w:color="auto"/>
        <w:right w:val="none" w:sz="0" w:space="0" w:color="auto"/>
      </w:divBdr>
    </w:div>
    <w:div w:id="681198528">
      <w:bodyDiv w:val="1"/>
      <w:marLeft w:val="0"/>
      <w:marRight w:val="0"/>
      <w:marTop w:val="0"/>
      <w:marBottom w:val="0"/>
      <w:divBdr>
        <w:top w:val="none" w:sz="0" w:space="0" w:color="auto"/>
        <w:left w:val="none" w:sz="0" w:space="0" w:color="auto"/>
        <w:bottom w:val="none" w:sz="0" w:space="0" w:color="auto"/>
        <w:right w:val="none" w:sz="0" w:space="0" w:color="auto"/>
      </w:divBdr>
    </w:div>
    <w:div w:id="1347370712">
      <w:bodyDiv w:val="1"/>
      <w:marLeft w:val="0"/>
      <w:marRight w:val="0"/>
      <w:marTop w:val="0"/>
      <w:marBottom w:val="0"/>
      <w:divBdr>
        <w:top w:val="none" w:sz="0" w:space="0" w:color="auto"/>
        <w:left w:val="none" w:sz="0" w:space="0" w:color="auto"/>
        <w:bottom w:val="none" w:sz="0" w:space="0" w:color="auto"/>
        <w:right w:val="none" w:sz="0" w:space="0" w:color="auto"/>
      </w:divBdr>
    </w:div>
    <w:div w:id="1348799470">
      <w:bodyDiv w:val="1"/>
      <w:marLeft w:val="0"/>
      <w:marRight w:val="0"/>
      <w:marTop w:val="0"/>
      <w:marBottom w:val="0"/>
      <w:divBdr>
        <w:top w:val="none" w:sz="0" w:space="0" w:color="auto"/>
        <w:left w:val="none" w:sz="0" w:space="0" w:color="auto"/>
        <w:bottom w:val="none" w:sz="0" w:space="0" w:color="auto"/>
        <w:right w:val="none" w:sz="0" w:space="0" w:color="auto"/>
      </w:divBdr>
    </w:div>
    <w:div w:id="1595744222">
      <w:bodyDiv w:val="1"/>
      <w:marLeft w:val="0"/>
      <w:marRight w:val="0"/>
      <w:marTop w:val="0"/>
      <w:marBottom w:val="0"/>
      <w:divBdr>
        <w:top w:val="none" w:sz="0" w:space="0" w:color="auto"/>
        <w:left w:val="none" w:sz="0" w:space="0" w:color="auto"/>
        <w:bottom w:val="none" w:sz="0" w:space="0" w:color="auto"/>
        <w:right w:val="none" w:sz="0" w:space="0" w:color="auto"/>
      </w:divBdr>
    </w:div>
    <w:div w:id="1653437906">
      <w:bodyDiv w:val="1"/>
      <w:marLeft w:val="0"/>
      <w:marRight w:val="0"/>
      <w:marTop w:val="0"/>
      <w:marBottom w:val="0"/>
      <w:divBdr>
        <w:top w:val="none" w:sz="0" w:space="0" w:color="auto"/>
        <w:left w:val="none" w:sz="0" w:space="0" w:color="auto"/>
        <w:bottom w:val="none" w:sz="0" w:space="0" w:color="auto"/>
        <w:right w:val="none" w:sz="0" w:space="0" w:color="auto"/>
      </w:divBdr>
    </w:div>
    <w:div w:id="1661889959">
      <w:bodyDiv w:val="1"/>
      <w:marLeft w:val="0"/>
      <w:marRight w:val="0"/>
      <w:marTop w:val="0"/>
      <w:marBottom w:val="0"/>
      <w:divBdr>
        <w:top w:val="none" w:sz="0" w:space="0" w:color="auto"/>
        <w:left w:val="none" w:sz="0" w:space="0" w:color="auto"/>
        <w:bottom w:val="none" w:sz="0" w:space="0" w:color="auto"/>
        <w:right w:val="none" w:sz="0" w:space="0" w:color="auto"/>
      </w:divBdr>
    </w:div>
    <w:div w:id="18003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ortal.sat.gob.gt/portal/analisis-estudios-tributario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social/expenditure.htm" TargetMode="Externa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portal.sat.gob.gt/portal/analisis-estudios-tributarios/"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GFS/Manual/2014/GFSM_2014_SPA.pdf" TargetMode="External"/><Relationship Id="rId2" Type="http://schemas.openxmlformats.org/officeDocument/2006/relationships/hyperlink" Target="https://www.minfin.gob.gt/gastos" TargetMode="External"/><Relationship Id="rId1" Type="http://schemas.openxmlformats.org/officeDocument/2006/relationships/hyperlink" Target="https://www.pdh.org.gt/biblioteca-digital-informes-informes-anuales/" TargetMode="External"/><Relationship Id="rId5" Type="http://schemas.openxmlformats.org/officeDocument/2006/relationships/hyperlink" Target="http://icefi.org/sites/default/files/perfiles_macrofiscales_de_centroamerica_-_13.pdf" TargetMode="External"/><Relationship Id="rId4" Type="http://schemas.openxmlformats.org/officeDocument/2006/relationships/hyperlink" Target="https://portal.sat.gob.gt/portal/analisis-estudios-tributar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menkos\Documents\Direcci&#243;n%20Ejecutiva\A&#209;O%202019\Documento%20para%20la%20PDH\Cuadros%20y%20gr&#225;ficos%20documento%20para%20PD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menkos\Documents\Direcci&#243;n%20Ejecutiva\A&#209;O%202019\Documento%20para%20la%20PDH\Cuadros%20y%20gr&#225;ficos%20documento%20para%20PD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menkos\Documents\Direcci&#243;n%20Ejecutiva\A&#209;O%202019\Documento%20para%20la%20PDH\Cuadros%20y%20gr&#225;ficos%20documento%20para%20PDH.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menkos\AppData\Roaming\Microsoft\Excel\Cuadros%20y%20gr&#225;ficos%20documento%20para%20PDH%20(version%201).xlsb"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jmenkos\Documents\Direcci&#243;n%20Ejecutiva\A&#209;O%202020\CA%20Escenarios%20de%20impacto%20Covid19\Guatemala%20Impacto%20ca&#237;da%20remesas\Estad&#237;sticas%20relaci&#243;n%20econ&#243;mica%20GT%20con%20EEUU%20actualizado%20abr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F00F-4AC2-A9C2-52B8E6C741F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'Gasto público weoOct19'!$L$24:$L$29</c:f>
              <c:strCache>
                <c:ptCount val="6"/>
                <c:pt idx="0">
                  <c:v>Guatemala</c:v>
                </c:pt>
                <c:pt idx="1">
                  <c:v>Africa Subsahariana</c:v>
                </c:pt>
                <c:pt idx="2">
                  <c:v>Latinoamérica y el Caribe</c:v>
                </c:pt>
                <c:pt idx="3">
                  <c:v>Siete economías más avanzadas</c:v>
                </c:pt>
                <c:pt idx="4">
                  <c:v>Unión Europea</c:v>
                </c:pt>
                <c:pt idx="5">
                  <c:v>Area euro</c:v>
                </c:pt>
              </c:strCache>
            </c:strRef>
          </c:cat>
          <c:val>
            <c:numRef>
              <c:f>'Gasto público weoOct19'!$M$24:$M$29</c:f>
              <c:numCache>
                <c:formatCode>0.0</c:formatCode>
                <c:ptCount val="6"/>
                <c:pt idx="0">
                  <c:v>12.324999999999999</c:v>
                </c:pt>
                <c:pt idx="1">
                  <c:v>21.913</c:v>
                </c:pt>
                <c:pt idx="2">
                  <c:v>31.584</c:v>
                </c:pt>
                <c:pt idx="3">
                  <c:v>39.026000000000003</c:v>
                </c:pt>
                <c:pt idx="4">
                  <c:v>45.283999999999999</c:v>
                </c:pt>
                <c:pt idx="5">
                  <c:v>47.011000000000003</c:v>
                </c:pt>
              </c:numCache>
            </c:numRef>
          </c:val>
          <c:extLst>
            <c:ext xmlns:c16="http://schemas.microsoft.com/office/drawing/2014/chart" uri="{C3380CC4-5D6E-409C-BE32-E72D297353CC}">
              <c16:uniqueId val="{00000002-F00F-4AC2-A9C2-52B8E6C741F7}"/>
            </c:ext>
          </c:extLst>
        </c:ser>
        <c:dLbls>
          <c:showLegendKey val="0"/>
          <c:showVal val="0"/>
          <c:showCatName val="0"/>
          <c:showSerName val="0"/>
          <c:showPercent val="0"/>
          <c:showBubbleSize val="0"/>
        </c:dLbls>
        <c:gapWidth val="101"/>
        <c:axId val="243227648"/>
        <c:axId val="300127360"/>
      </c:barChart>
      <c:catAx>
        <c:axId val="24322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300127360"/>
        <c:crosses val="autoZero"/>
        <c:auto val="1"/>
        <c:lblAlgn val="ctr"/>
        <c:lblOffset val="100"/>
        <c:noMultiLvlLbl val="0"/>
      </c:catAx>
      <c:valAx>
        <c:axId val="30012736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4322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'Gasto público'!$B$6</c:f>
              <c:strCache>
                <c:ptCount val="1"/>
                <c:pt idx="0">
                  <c:v>Corriente</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'Gasto público'!$C$5:$U$5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'Gasto público'!$C$6:$U$6</c:f>
              <c:numCache>
                <c:formatCode>0.0</c:formatCode>
                <c:ptCount val="19"/>
                <c:pt idx="0">
                  <c:v>10.1717171</c:v>
                </c:pt>
                <c:pt idx="1">
                  <c:v>10.339136529999999</c:v>
                </c:pt>
                <c:pt idx="2">
                  <c:v>9.6535903600000008</c:v>
                </c:pt>
                <c:pt idx="3">
                  <c:v>10.071950279999999</c:v>
                </c:pt>
                <c:pt idx="4">
                  <c:v>9.1522039999999993</c:v>
                </c:pt>
                <c:pt idx="5">
                  <c:v>9.11153367</c:v>
                </c:pt>
                <c:pt idx="6">
                  <c:v>9.4075083700000004</c:v>
                </c:pt>
                <c:pt idx="7">
                  <c:v>9.4668934300000007</c:v>
                </c:pt>
                <c:pt idx="8">
                  <c:v>9.1710119799999994</c:v>
                </c:pt>
                <c:pt idx="9">
                  <c:v>10.1</c:v>
                </c:pt>
                <c:pt idx="10">
                  <c:v>10.4</c:v>
                </c:pt>
                <c:pt idx="11">
                  <c:v>10.6</c:v>
                </c:pt>
                <c:pt idx="12">
                  <c:v>10.7</c:v>
                </c:pt>
                <c:pt idx="13">
                  <c:v>10.8</c:v>
                </c:pt>
                <c:pt idx="14">
                  <c:v>10.51310683</c:v>
                </c:pt>
                <c:pt idx="15">
                  <c:v>10.1</c:v>
                </c:pt>
                <c:pt idx="16">
                  <c:v>10</c:v>
                </c:pt>
                <c:pt idx="17">
                  <c:v>9.9</c:v>
                </c:pt>
                <c:pt idx="18">
                  <c:v>9.9</c:v>
                </c:pt>
              </c:numCache>
            </c:numRef>
          </c:val>
          <c:extLst>
            <c:ext xmlns:c16="http://schemas.microsoft.com/office/drawing/2014/chart" uri="{C3380CC4-5D6E-409C-BE32-E72D297353CC}">
              <c16:uniqueId val="{00000000-A302-4E7F-936E-C30DE89E899D}"/>
            </c:ext>
          </c:extLst>
        </c:ser>
        <c:ser>
          <c:idx val="1"/>
          <c:order val="1"/>
          <c:tx>
            <c:strRef>
              <c:f>'Gasto público'!$B$7</c:f>
              <c:strCache>
                <c:ptCount val="1"/>
                <c:pt idx="0">
                  <c:v>Capital</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'Gasto público'!$C$5:$U$5</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'Gasto público'!$C$7:$U$7</c:f>
              <c:numCache>
                <c:formatCode>0.0</c:formatCode>
                <c:ptCount val="19"/>
                <c:pt idx="0">
                  <c:v>4.1504928000000003</c:v>
                </c:pt>
                <c:pt idx="1">
                  <c:v>4.1712444</c:v>
                </c:pt>
                <c:pt idx="2">
                  <c:v>4.2172898099999996</c:v>
                </c:pt>
                <c:pt idx="3">
                  <c:v>5.0583577399999999</c:v>
                </c:pt>
                <c:pt idx="4">
                  <c:v>4.25997176</c:v>
                </c:pt>
                <c:pt idx="5">
                  <c:v>4.6084996199999999</c:v>
                </c:pt>
                <c:pt idx="6">
                  <c:v>5.2644170399999997</c:v>
                </c:pt>
                <c:pt idx="7">
                  <c:v>4.8141783599999997</c:v>
                </c:pt>
                <c:pt idx="8">
                  <c:v>4.4684908600000002</c:v>
                </c:pt>
                <c:pt idx="9">
                  <c:v>4.0999999999999996</c:v>
                </c:pt>
                <c:pt idx="10">
                  <c:v>4.0999999999999996</c:v>
                </c:pt>
                <c:pt idx="11">
                  <c:v>4</c:v>
                </c:pt>
                <c:pt idx="12">
                  <c:v>3.3</c:v>
                </c:pt>
                <c:pt idx="13">
                  <c:v>3</c:v>
                </c:pt>
                <c:pt idx="14">
                  <c:v>2.9559560710000001</c:v>
                </c:pt>
                <c:pt idx="15">
                  <c:v>2.2000000000000002</c:v>
                </c:pt>
                <c:pt idx="16">
                  <c:v>2.1</c:v>
                </c:pt>
                <c:pt idx="17">
                  <c:v>2.2000000000000002</c:v>
                </c:pt>
                <c:pt idx="18">
                  <c:v>2.4</c:v>
                </c:pt>
              </c:numCache>
            </c:numRef>
          </c:val>
          <c:extLst>
            <c:ext xmlns:c16="http://schemas.microsoft.com/office/drawing/2014/chart" uri="{C3380CC4-5D6E-409C-BE32-E72D297353CC}">
              <c16:uniqueId val="{00000001-A302-4E7F-936E-C30DE89E899D}"/>
            </c:ext>
          </c:extLst>
        </c:ser>
        <c:dLbls>
          <c:showLegendKey val="0"/>
          <c:showVal val="0"/>
          <c:showCatName val="0"/>
          <c:showSerName val="0"/>
          <c:showPercent val="0"/>
          <c:showBubbleSize val="0"/>
        </c:dLbls>
        <c:gapWidth val="68"/>
        <c:overlap val="100"/>
        <c:axId val="338806656"/>
        <c:axId val="338808192"/>
      </c:barChart>
      <c:catAx>
        <c:axId val="33880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38808192"/>
        <c:crosses val="autoZero"/>
        <c:auto val="1"/>
        <c:lblAlgn val="ctr"/>
        <c:lblOffset val="100"/>
        <c:noMultiLvlLbl val="0"/>
      </c:catAx>
      <c:valAx>
        <c:axId val="338808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38806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'Gasto social países seleccionad'!$C$4</c:f>
              <c:strCache>
                <c:ptCount val="1"/>
                <c:pt idx="0">
                  <c:v>Gasto público social 2018</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0F44-48F4-9023-89B2C8134DBA}"/>
              </c:ext>
            </c:extLst>
          </c:dPt>
          <c:dPt>
            <c:idx val="11"/>
            <c:invertIfNegative val="0"/>
            <c:bubble3D val="0"/>
            <c:spPr>
              <a:solidFill>
                <a:schemeClr val="accent1">
                  <a:lumMod val="50000"/>
                </a:schemeClr>
              </a:solidFill>
              <a:ln>
                <a:noFill/>
              </a:ln>
              <a:effectLst/>
            </c:spPr>
            <c:extLst>
              <c:ext xmlns:c16="http://schemas.microsoft.com/office/drawing/2014/chart" uri="{C3380CC4-5D6E-409C-BE32-E72D297353CC}">
                <c16:uniqueId val="{00000003-0F44-48F4-9023-89B2C8134DBA}"/>
              </c:ext>
            </c:extLst>
          </c:dPt>
          <c:dPt>
            <c:idx val="19"/>
            <c:invertIfNegative val="0"/>
            <c:bubble3D val="0"/>
            <c:spPr>
              <a:solidFill>
                <a:schemeClr val="bg1">
                  <a:lumMod val="65000"/>
                </a:schemeClr>
              </a:solidFill>
              <a:ln>
                <a:noFill/>
              </a:ln>
              <a:effectLst/>
            </c:spPr>
            <c:extLst>
              <c:ext xmlns:c16="http://schemas.microsoft.com/office/drawing/2014/chart" uri="{C3380CC4-5D6E-409C-BE32-E72D297353CC}">
                <c16:uniqueId val="{00000005-0F44-48F4-9023-89B2C8134DBA}"/>
              </c:ext>
            </c:extLst>
          </c:dPt>
          <c:dPt>
            <c:idx val="20"/>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7-0F44-48F4-9023-89B2C8134DBA}"/>
              </c:ext>
            </c:extLst>
          </c:dPt>
          <c:dPt>
            <c:idx val="21"/>
            <c:invertIfNegative val="0"/>
            <c:bubble3D val="0"/>
            <c:spPr>
              <a:solidFill>
                <a:schemeClr val="bg1">
                  <a:lumMod val="65000"/>
                </a:schemeClr>
              </a:solidFill>
              <a:ln>
                <a:noFill/>
              </a:ln>
              <a:effectLst/>
            </c:spPr>
            <c:extLst>
              <c:ext xmlns:c16="http://schemas.microsoft.com/office/drawing/2014/chart" uri="{C3380CC4-5D6E-409C-BE32-E72D297353CC}">
                <c16:uniqueId val="{00000009-0F44-48F4-9023-89B2C8134DBA}"/>
              </c:ext>
            </c:extLst>
          </c:dPt>
          <c:dPt>
            <c:idx val="22"/>
            <c:invertIfNegative val="0"/>
            <c:bubble3D val="0"/>
            <c:spPr>
              <a:solidFill>
                <a:schemeClr val="bg1">
                  <a:lumMod val="65000"/>
                </a:schemeClr>
              </a:solidFill>
              <a:ln>
                <a:noFill/>
              </a:ln>
              <a:effectLst/>
            </c:spPr>
            <c:extLst>
              <c:ext xmlns:c16="http://schemas.microsoft.com/office/drawing/2014/chart" uri="{C3380CC4-5D6E-409C-BE32-E72D297353CC}">
                <c16:uniqueId val="{0000000B-0F44-48F4-9023-89B2C8134DBA}"/>
              </c:ext>
            </c:extLst>
          </c:dPt>
          <c:dPt>
            <c:idx val="23"/>
            <c:invertIfNegative val="0"/>
            <c:bubble3D val="0"/>
            <c:spPr>
              <a:solidFill>
                <a:schemeClr val="bg1">
                  <a:lumMod val="65000"/>
                </a:schemeClr>
              </a:solidFill>
              <a:ln>
                <a:noFill/>
              </a:ln>
              <a:effectLst/>
            </c:spPr>
            <c:extLst>
              <c:ext xmlns:c16="http://schemas.microsoft.com/office/drawing/2014/chart" uri="{C3380CC4-5D6E-409C-BE32-E72D297353CC}">
                <c16:uniqueId val="{0000000D-0F44-48F4-9023-89B2C8134DBA}"/>
              </c:ext>
            </c:extLst>
          </c:dPt>
          <c:dPt>
            <c:idx val="24"/>
            <c:invertIfNegative val="0"/>
            <c:bubble3D val="0"/>
            <c:spPr>
              <a:solidFill>
                <a:schemeClr val="bg1">
                  <a:lumMod val="65000"/>
                </a:schemeClr>
              </a:solidFill>
              <a:ln>
                <a:noFill/>
              </a:ln>
              <a:effectLst/>
            </c:spPr>
            <c:extLst>
              <c:ext xmlns:c16="http://schemas.microsoft.com/office/drawing/2014/chart" uri="{C3380CC4-5D6E-409C-BE32-E72D297353CC}">
                <c16:uniqueId val="{0000000F-0F44-48F4-9023-89B2C8134DBA}"/>
              </c:ext>
            </c:extLst>
          </c:dPt>
          <c:dPt>
            <c:idx val="25"/>
            <c:invertIfNegative val="0"/>
            <c:bubble3D val="0"/>
            <c:spPr>
              <a:solidFill>
                <a:schemeClr val="bg1">
                  <a:lumMod val="65000"/>
                </a:schemeClr>
              </a:solidFill>
              <a:ln>
                <a:noFill/>
              </a:ln>
              <a:effectLst/>
            </c:spPr>
            <c:extLst>
              <c:ext xmlns:c16="http://schemas.microsoft.com/office/drawing/2014/chart" uri="{C3380CC4-5D6E-409C-BE32-E72D297353CC}">
                <c16:uniqueId val="{00000011-0F44-48F4-9023-89B2C8134DBA}"/>
              </c:ext>
            </c:extLst>
          </c:dPt>
          <c:dPt>
            <c:idx val="26"/>
            <c:invertIfNegative val="0"/>
            <c:bubble3D val="0"/>
            <c:spPr>
              <a:solidFill>
                <a:schemeClr val="bg1">
                  <a:lumMod val="65000"/>
                </a:schemeClr>
              </a:solidFill>
              <a:ln>
                <a:noFill/>
              </a:ln>
              <a:effectLst/>
            </c:spPr>
            <c:extLst>
              <c:ext xmlns:c16="http://schemas.microsoft.com/office/drawing/2014/chart" uri="{C3380CC4-5D6E-409C-BE32-E72D297353CC}">
                <c16:uniqueId val="{00000013-0F44-48F4-9023-89B2C8134DBA}"/>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'Gasto social países seleccionad'!$B$5:$B$31</c:f>
              <c:strCache>
                <c:ptCount val="27"/>
                <c:pt idx="1">
                  <c:v>Guatemala </c:v>
                </c:pt>
                <c:pt idx="2">
                  <c:v>Honduras</c:v>
                </c:pt>
                <c:pt idx="3">
                  <c:v>República Dominicana</c:v>
                </c:pt>
                <c:pt idx="4">
                  <c:v>Paraguay</c:v>
                </c:pt>
                <c:pt idx="5">
                  <c:v>México</c:v>
                </c:pt>
                <c:pt idx="6">
                  <c:v>Panamá</c:v>
                </c:pt>
                <c:pt idx="7">
                  <c:v>El Salvador</c:v>
                </c:pt>
                <c:pt idx="8">
                  <c:v>Ecuador</c:v>
                </c:pt>
                <c:pt idx="9">
                  <c:v>Perú</c:v>
                </c:pt>
                <c:pt idx="10">
                  <c:v>Nicaragua</c:v>
                </c:pt>
                <c:pt idx="11">
                  <c:v>Promedio América Latina</c:v>
                </c:pt>
                <c:pt idx="12">
                  <c:v>Costa Rica</c:v>
                </c:pt>
                <c:pt idx="13">
                  <c:v>Colombia</c:v>
                </c:pt>
                <c:pt idx="14">
                  <c:v>Bolivia (Estado Plurinacional de)</c:v>
                </c:pt>
                <c:pt idx="15">
                  <c:v>Argentina</c:v>
                </c:pt>
                <c:pt idx="16">
                  <c:v>Chile</c:v>
                </c:pt>
                <c:pt idx="17">
                  <c:v>Uruguay</c:v>
                </c:pt>
                <c:pt idx="18">
                  <c:v>Brasil</c:v>
                </c:pt>
                <c:pt idx="19">
                  <c:v>Estados Unidos</c:v>
                </c:pt>
                <c:pt idx="20">
                  <c:v>Promedio países OECD</c:v>
                </c:pt>
                <c:pt idx="21">
                  <c:v>España</c:v>
                </c:pt>
                <c:pt idx="22">
                  <c:v>Noruega</c:v>
                </c:pt>
                <c:pt idx="23">
                  <c:v>Alemania</c:v>
                </c:pt>
                <c:pt idx="24">
                  <c:v>Suecia</c:v>
                </c:pt>
                <c:pt idx="25">
                  <c:v>Bélgica</c:v>
                </c:pt>
                <c:pt idx="26">
                  <c:v>Francia</c:v>
                </c:pt>
              </c:strCache>
            </c:strRef>
          </c:cat>
          <c:val>
            <c:numRef>
              <c:f>'Gasto social países seleccionad'!$C$5:$C$31</c:f>
              <c:numCache>
                <c:formatCode>0.0</c:formatCode>
                <c:ptCount val="27"/>
                <c:pt idx="1">
                  <c:v>7</c:v>
                </c:pt>
                <c:pt idx="2">
                  <c:v>8</c:v>
                </c:pt>
                <c:pt idx="3">
                  <c:v>8</c:v>
                </c:pt>
                <c:pt idx="4">
                  <c:v>8.6</c:v>
                </c:pt>
                <c:pt idx="5">
                  <c:v>8.6999999999999993</c:v>
                </c:pt>
                <c:pt idx="6">
                  <c:v>8.8000000000000007</c:v>
                </c:pt>
                <c:pt idx="7">
                  <c:v>9</c:v>
                </c:pt>
                <c:pt idx="8">
                  <c:v>9</c:v>
                </c:pt>
                <c:pt idx="9" formatCode="General">
                  <c:v>11.1</c:v>
                </c:pt>
                <c:pt idx="10" formatCode="General">
                  <c:v>11.1</c:v>
                </c:pt>
                <c:pt idx="11">
                  <c:v>11.3</c:v>
                </c:pt>
                <c:pt idx="12" formatCode="General">
                  <c:v>12.1</c:v>
                </c:pt>
                <c:pt idx="13" formatCode="General">
                  <c:v>12.6</c:v>
                </c:pt>
                <c:pt idx="14" formatCode="General">
                  <c:v>12.7</c:v>
                </c:pt>
                <c:pt idx="15" formatCode="General">
                  <c:v>13.5</c:v>
                </c:pt>
                <c:pt idx="16" formatCode="General">
                  <c:v>16.399999999999999</c:v>
                </c:pt>
                <c:pt idx="17">
                  <c:v>17.2</c:v>
                </c:pt>
                <c:pt idx="18" formatCode="General">
                  <c:v>17.7</c:v>
                </c:pt>
                <c:pt idx="19">
                  <c:v>18.7</c:v>
                </c:pt>
                <c:pt idx="20">
                  <c:v>20.100000000000001</c:v>
                </c:pt>
                <c:pt idx="21">
                  <c:v>23.7</c:v>
                </c:pt>
                <c:pt idx="22">
                  <c:v>25</c:v>
                </c:pt>
                <c:pt idx="23">
                  <c:v>25.1</c:v>
                </c:pt>
                <c:pt idx="24">
                  <c:v>26.1</c:v>
                </c:pt>
                <c:pt idx="25">
                  <c:v>28.9</c:v>
                </c:pt>
                <c:pt idx="26">
                  <c:v>31.2</c:v>
                </c:pt>
              </c:numCache>
            </c:numRef>
          </c:val>
          <c:extLst>
            <c:ext xmlns:c16="http://schemas.microsoft.com/office/drawing/2014/chart" uri="{C3380CC4-5D6E-409C-BE32-E72D297353CC}">
              <c16:uniqueId val="{00000014-0F44-48F4-9023-89B2C8134DBA}"/>
            </c:ext>
          </c:extLst>
        </c:ser>
        <c:dLbls>
          <c:showLegendKey val="0"/>
          <c:showVal val="0"/>
          <c:showCatName val="0"/>
          <c:showSerName val="0"/>
          <c:showPercent val="0"/>
          <c:showBubbleSize val="0"/>
        </c:dLbls>
        <c:gapWidth val="73"/>
        <c:axId val="347791360"/>
        <c:axId val="347792896"/>
      </c:barChart>
      <c:catAx>
        <c:axId val="347791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47792896"/>
        <c:crosses val="autoZero"/>
        <c:auto val="1"/>
        <c:lblAlgn val="ctr"/>
        <c:lblOffset val="100"/>
        <c:noMultiLvlLbl val="0"/>
      </c:catAx>
      <c:valAx>
        <c:axId val="3477928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4779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687162425471797E-2"/>
          <c:y val="3.6375619805713452E-2"/>
          <c:w val="0.93874121116187204"/>
          <c:h val="0.91497525073479213"/>
        </c:manualLayout>
      </c:layout>
      <c:barChart>
        <c:barDir val="col"/>
        <c:grouping val="stacked"/>
        <c:varyColors val="0"/>
        <c:ser>
          <c:idx val="0"/>
          <c:order val="0"/>
          <c:tx>
            <c:strRef>
              <c:f>'Datos para gráficos Impuestos'!$B$4</c:f>
              <c:strCache>
                <c:ptCount val="1"/>
                <c:pt idx="0">
                  <c:v>Impuestos directos</c:v>
                </c:pt>
              </c:strCache>
            </c:strRef>
          </c:tx>
          <c:spPr>
            <a:solidFill>
              <a:schemeClr val="tx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'Datos para gráficos Impuestos'!$C$3:$U$3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'Datos para gráficos Impuestos'!$C$4:$U$4</c:f>
              <c:numCache>
                <c:formatCode>0.0</c:formatCode>
                <c:ptCount val="19"/>
                <c:pt idx="0">
                  <c:v>2.4823968072548759</c:v>
                </c:pt>
                <c:pt idx="1">
                  <c:v>2.6290319003980529</c:v>
                </c:pt>
                <c:pt idx="2">
                  <c:v>3.1293760179081747</c:v>
                </c:pt>
                <c:pt idx="3">
                  <c:v>3.020931681809381</c:v>
                </c:pt>
                <c:pt idx="4">
                  <c:v>2.8232592155276119</c:v>
                </c:pt>
                <c:pt idx="5">
                  <c:v>2.9162321394038093</c:v>
                </c:pt>
                <c:pt idx="6">
                  <c:v>3.3310224634554806</c:v>
                </c:pt>
                <c:pt idx="7">
                  <c:v>3.3116013306917291</c:v>
                </c:pt>
                <c:pt idx="8">
                  <c:v>3.2832817184656178</c:v>
                </c:pt>
                <c:pt idx="9">
                  <c:v>3.1546513349856773</c:v>
                </c:pt>
                <c:pt idx="10">
                  <c:v>3.1011841740544841</c:v>
                </c:pt>
                <c:pt idx="11">
                  <c:v>3.4258995806168877</c:v>
                </c:pt>
                <c:pt idx="12">
                  <c:v>3.4083915841564845</c:v>
                </c:pt>
                <c:pt idx="13">
                  <c:v>3.7941199198081197</c:v>
                </c:pt>
                <c:pt idx="14">
                  <c:v>3.9132076636902151</c:v>
                </c:pt>
                <c:pt idx="15">
                  <c:v>3.5965072445178907</c:v>
                </c:pt>
                <c:pt idx="16">
                  <c:v>3.9467333435217014</c:v>
                </c:pt>
                <c:pt idx="17">
                  <c:v>3.7295881985815496</c:v>
                </c:pt>
                <c:pt idx="18">
                  <c:v>3.5461237326373753</c:v>
                </c:pt>
              </c:numCache>
            </c:numRef>
          </c:val>
          <c:extLst>
            <c:ext xmlns:c16="http://schemas.microsoft.com/office/drawing/2014/chart" uri="{C3380CC4-5D6E-409C-BE32-E72D297353CC}">
              <c16:uniqueId val="{00000000-06B2-40C7-95AA-3F3882EA1FB0}"/>
            </c:ext>
          </c:extLst>
        </c:ser>
        <c:ser>
          <c:idx val="1"/>
          <c:order val="1"/>
          <c:tx>
            <c:strRef>
              <c:f>'Datos para gráficos Impuestos'!$B$5</c:f>
              <c:strCache>
                <c:ptCount val="1"/>
                <c:pt idx="0">
                  <c:v>Impuestos indirectos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'Datos para gráficos Impuestos'!$C$3:$U$3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'Datos para gráficos Impuestos'!$C$5:$U$5</c:f>
              <c:numCache>
                <c:formatCode>0.0</c:formatCode>
                <c:ptCount val="19"/>
                <c:pt idx="0">
                  <c:v>8.761915029150666</c:v>
                </c:pt>
                <c:pt idx="1">
                  <c:v>8.208484709015071</c:v>
                </c:pt>
                <c:pt idx="2">
                  <c:v>8.7437782913145803</c:v>
                </c:pt>
                <c:pt idx="3">
                  <c:v>8.6317001534438713</c:v>
                </c:pt>
                <c:pt idx="4">
                  <c:v>8.7152574551000548</c:v>
                </c:pt>
                <c:pt idx="5">
                  <c:v>8.305146382130749</c:v>
                </c:pt>
                <c:pt idx="6">
                  <c:v>8.5200816024897748</c:v>
                </c:pt>
                <c:pt idx="7">
                  <c:v>8.7388729618264982</c:v>
                </c:pt>
                <c:pt idx="8">
                  <c:v>7.9912572400788848</c:v>
                </c:pt>
                <c:pt idx="9">
                  <c:v>7.1749530907020453</c:v>
                </c:pt>
                <c:pt idx="10">
                  <c:v>7.3379169416505992</c:v>
                </c:pt>
                <c:pt idx="11">
                  <c:v>7.434179711141109</c:v>
                </c:pt>
                <c:pt idx="12">
                  <c:v>7.4396785456358003</c:v>
                </c:pt>
                <c:pt idx="13">
                  <c:v>7.1573807919187464</c:v>
                </c:pt>
                <c:pt idx="14">
                  <c:v>6.8998363185955469</c:v>
                </c:pt>
                <c:pt idx="15">
                  <c:v>6.5915402180602936</c:v>
                </c:pt>
                <c:pt idx="16">
                  <c:v>6.4223033238778235</c:v>
                </c:pt>
                <c:pt idx="17">
                  <c:v>6.4718328474730802</c:v>
                </c:pt>
                <c:pt idx="18">
                  <c:v>6.4266900031120775</c:v>
                </c:pt>
              </c:numCache>
            </c:numRef>
          </c:val>
          <c:extLst>
            <c:ext xmlns:c16="http://schemas.microsoft.com/office/drawing/2014/chart" uri="{C3380CC4-5D6E-409C-BE32-E72D297353CC}">
              <c16:uniqueId val="{00000001-06B2-40C7-95AA-3F3882EA1FB0}"/>
            </c:ext>
          </c:extLst>
        </c:ser>
        <c:dLbls>
          <c:showLegendKey val="0"/>
          <c:showVal val="0"/>
          <c:showCatName val="0"/>
          <c:showSerName val="0"/>
          <c:showPercent val="0"/>
          <c:showBubbleSize val="0"/>
        </c:dLbls>
        <c:gapWidth val="31"/>
        <c:overlap val="100"/>
        <c:axId val="347936640"/>
        <c:axId val="347938176"/>
      </c:barChart>
      <c:catAx>
        <c:axId val="34793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347938176"/>
        <c:crosses val="autoZero"/>
        <c:auto val="1"/>
        <c:lblAlgn val="ctr"/>
        <c:lblOffset val="100"/>
        <c:noMultiLvlLbl val="0"/>
      </c:catAx>
      <c:valAx>
        <c:axId val="347938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47936640"/>
        <c:crosses val="autoZero"/>
        <c:crossBetween val="between"/>
      </c:valAx>
      <c:spPr>
        <a:noFill/>
        <a:ln>
          <a:noFill/>
        </a:ln>
        <a:effectLst/>
      </c:spPr>
    </c:plotArea>
    <c:legend>
      <c:legendPos val="b"/>
      <c:layout>
        <c:manualLayout>
          <c:xMode val="edge"/>
          <c:yMode val="edge"/>
          <c:x val="0.33438605306719549"/>
          <c:y val="0.10298708124477179"/>
          <c:w val="0.60033053403966041"/>
          <c:h val="5.4311059922866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7076104414405"/>
          <c:y val="3.2672370727801027E-2"/>
          <c:w val="0.61477314845942332"/>
          <c:h val="0.89842377444697863"/>
        </c:manualLayout>
      </c:layout>
      <c:barChart>
        <c:barDir val="bar"/>
        <c:grouping val="clustered"/>
        <c:varyColors val="0"/>
        <c:ser>
          <c:idx val="0"/>
          <c:order val="0"/>
          <c:spPr>
            <a:solidFill>
              <a:srgbClr val="B23158"/>
            </a:solidFill>
            <a:ln>
              <a:noFill/>
            </a:ln>
            <a:effectLst/>
          </c:spPr>
          <c:invertIfNegative val="0"/>
          <c:dLbls>
            <c:dLbl>
              <c:idx val="11"/>
              <c:layout>
                <c:manualLayout>
                  <c:x val="-5.1603388940270013E-3"/>
                  <c:y val="0"/>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9A-4D19-8FF8-0A72D380E4D4}"/>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'aumento de pobreza'!$B$124:$C$135</c:f>
              <c:multiLvlStrCache>
                <c:ptCount val="12"/>
                <c:lvl>
                  <c:pt idx="0">
                    <c:v>Urbana</c:v>
                  </c:pt>
                  <c:pt idx="1">
                    <c:v>Rural</c:v>
                  </c:pt>
                  <c:pt idx="2">
                    <c:v>Hombre</c:v>
                  </c:pt>
                  <c:pt idx="3">
                    <c:v>Mujer</c:v>
                  </c:pt>
                  <c:pt idx="4">
                    <c:v>Indígena</c:v>
                  </c:pt>
                  <c:pt idx="5">
                    <c:v>No indígena</c:v>
                  </c:pt>
                  <c:pt idx="6">
                    <c:v>Primera Infancia</c:v>
                  </c:pt>
                  <c:pt idx="7">
                    <c:v>Niños y niñas</c:v>
                  </c:pt>
                  <c:pt idx="8">
                    <c:v>Adolscentes</c:v>
                  </c:pt>
                  <c:pt idx="9">
                    <c:v>Jóvenes</c:v>
                  </c:pt>
                  <c:pt idx="10">
                    <c:v>Adultos</c:v>
                  </c:pt>
                  <c:pt idx="11">
                    <c:v>Adultos mayores</c:v>
                  </c:pt>
                </c:lvl>
                <c:lvl>
                  <c:pt idx="0">
                    <c:v>Territorio</c:v>
                  </c:pt>
                  <c:pt idx="2">
                    <c:v>Sexo</c:v>
                  </c:pt>
                  <c:pt idx="4">
                    <c:v>Grupo étnico</c:v>
                  </c:pt>
                  <c:pt idx="6">
                    <c:v>Ciclo de vida</c:v>
                  </c:pt>
                </c:lvl>
              </c:multiLvlStrCache>
            </c:multiLvlStrRef>
          </c:cat>
          <c:val>
            <c:numRef>
              <c:f>'aumento de pobreza'!$D$124:$D$135</c:f>
              <c:numCache>
                <c:formatCode>_(* #,##0_);_(* \(#,##0\);_(* "-"??_);_(@_)</c:formatCode>
                <c:ptCount val="12"/>
                <c:pt idx="0">
                  <c:v>445249</c:v>
                </c:pt>
                <c:pt idx="1">
                  <c:v>900583</c:v>
                </c:pt>
                <c:pt idx="2">
                  <c:v>666217</c:v>
                </c:pt>
                <c:pt idx="3">
                  <c:v>679615</c:v>
                </c:pt>
                <c:pt idx="4">
                  <c:v>829327</c:v>
                </c:pt>
                <c:pt idx="5">
                  <c:v>516505</c:v>
                </c:pt>
                <c:pt idx="6">
                  <c:v>220824</c:v>
                </c:pt>
                <c:pt idx="7">
                  <c:v>212485</c:v>
                </c:pt>
                <c:pt idx="8">
                  <c:v>207654</c:v>
                </c:pt>
                <c:pt idx="9">
                  <c:v>287406</c:v>
                </c:pt>
                <c:pt idx="10">
                  <c:v>339515</c:v>
                </c:pt>
                <c:pt idx="11">
                  <c:v>77948</c:v>
                </c:pt>
              </c:numCache>
            </c:numRef>
          </c:val>
          <c:extLst>
            <c:ext xmlns:c16="http://schemas.microsoft.com/office/drawing/2014/chart" uri="{C3380CC4-5D6E-409C-BE32-E72D297353CC}">
              <c16:uniqueId val="{00000001-F09A-4D19-8FF8-0A72D380E4D4}"/>
            </c:ext>
          </c:extLst>
        </c:ser>
        <c:dLbls>
          <c:showLegendKey val="0"/>
          <c:showVal val="0"/>
          <c:showCatName val="0"/>
          <c:showSerName val="0"/>
          <c:showPercent val="0"/>
          <c:showBubbleSize val="0"/>
        </c:dLbls>
        <c:gapWidth val="57"/>
        <c:axId val="348000640"/>
        <c:axId val="348002176"/>
      </c:barChart>
      <c:catAx>
        <c:axId val="34800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002176"/>
        <c:crosses val="autoZero"/>
        <c:auto val="1"/>
        <c:lblAlgn val="ctr"/>
        <c:lblOffset val="100"/>
        <c:noMultiLvlLbl val="0"/>
      </c:catAx>
      <c:valAx>
        <c:axId val="348002176"/>
        <c:scaling>
          <c:orientation val="minMax"/>
        </c:scaling>
        <c:delete val="0"/>
        <c:axPos val="b"/>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00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900"/>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0.0535</cdr:x>
      <cdr:y>0.09035</cdr:y>
    </cdr:from>
    <cdr:to>
      <cdr:x>0.98899</cdr:x>
      <cdr:y>0.09035</cdr:y>
    </cdr:to>
    <cdr:cxnSp macro="">
      <cdr:nvCxnSpPr>
        <cdr:cNvPr id="3" name="Conector recto 2"/>
        <cdr:cNvCxnSpPr/>
      </cdr:nvCxnSpPr>
      <cdr:spPr>
        <a:xfrm xmlns:a="http://schemas.openxmlformats.org/drawingml/2006/main">
          <a:off x="300277" y="367702"/>
          <a:ext cx="5250091"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0.07025</cdr:x>
      <cdr:y>0.03869</cdr:y>
    </cdr:from>
    <cdr:to>
      <cdr:x>0.76965</cdr:x>
      <cdr:y>0.09</cdr:y>
    </cdr:to>
    <cdr:sp macro="" textlink="">
      <cdr:nvSpPr>
        <cdr:cNvPr id="4" name="CuadroTexto 3"/>
        <cdr:cNvSpPr txBox="1"/>
      </cdr:nvSpPr>
      <cdr:spPr>
        <a:xfrm xmlns:a="http://schemas.openxmlformats.org/drawingml/2006/main">
          <a:off x="369482" y="147409"/>
          <a:ext cx="3678643" cy="1954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GT" sz="1000"/>
            <a:t>Meta de carga</a:t>
          </a:r>
          <a:r>
            <a:rPr lang="es-GT" sz="1000" baseline="0"/>
            <a:t> tributaria en Acuerdos de Paz, 13.2%</a:t>
          </a:r>
          <a:endParaRPr lang="es-GT" sz="10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Tema de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ema de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737BE-9C8B-4B93-822F-0A59F9EC4A4E}">
  <ds:schemaRefs>
    <ds:schemaRef ds:uri="http://schemas.openxmlformats.org/officeDocument/2006/bibliography"/>
  </ds:schemaRefs>
</ds:datastoreItem>
</file>

<file path=customXml/itemProps2.xml><?xml version="1.0" encoding="utf-8"?>
<ds:datastoreItem xmlns:ds="http://schemas.openxmlformats.org/officeDocument/2006/customXml" ds:itemID="{7D7497AE-4169-4E4C-A276-AD25C438E9A7}"/>
</file>

<file path=customXml/itemProps3.xml><?xml version="1.0" encoding="utf-8"?>
<ds:datastoreItem xmlns:ds="http://schemas.openxmlformats.org/officeDocument/2006/customXml" ds:itemID="{0D39A150-2692-426C-9B8B-65AAABAE2985}"/>
</file>

<file path=customXml/itemProps4.xml><?xml version="1.0" encoding="utf-8"?>
<ds:datastoreItem xmlns:ds="http://schemas.openxmlformats.org/officeDocument/2006/customXml" ds:itemID="{BF285D82-8C2B-4FA9-85A3-EE5EDFD6C4C5}"/>
</file>

<file path=docProps/app.xml><?xml version="1.0" encoding="utf-8"?>
<Properties xmlns="http://schemas.openxmlformats.org/officeDocument/2006/extended-properties" xmlns:vt="http://schemas.openxmlformats.org/officeDocument/2006/docPropsVTypes">
  <Template>Normal.dotm</Template>
  <TotalTime>0</TotalTime>
  <Pages>31</Pages>
  <Words>10207</Words>
  <Characters>58180</Characters>
  <Application>Microsoft Office Word</Application>
  <DocSecurity>0</DocSecurity>
  <Lines>484</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jmenkos</dc:creator>
  <cp:keywords/>
  <dc:description/>
  <cp:lastModifiedBy>Tolaïni Sabine</cp:lastModifiedBy>
  <cp:revision>2</cp:revision>
  <dcterms:created xsi:type="dcterms:W3CDTF">2020-08-21T09:57:00Z</dcterms:created>
  <dcterms:modified xsi:type="dcterms:W3CDTF">2020-08-21T09:57:00Z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