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ADF" w:rsidRPr="00EA7B92" w:rsidRDefault="00C55ADF" w:rsidP="00FD1FA3">
      <w:pPr>
        <w:pStyle w:val="a9"/>
        <w:spacing w:before="0" w:beforeAutospacing="0" w:after="0" w:afterAutospacing="0"/>
        <w:ind w:right="-62"/>
        <w:jc w:val="center"/>
        <w:rPr>
          <w:rFonts w:ascii="Calibri" w:hAnsi="Calibri" w:cs="Calibri"/>
          <w:sz w:val="24"/>
          <w:szCs w:val="24"/>
          <w:lang w:val="en-GB"/>
        </w:rPr>
      </w:pPr>
      <w:r w:rsidRPr="00EA7B92">
        <w:rPr>
          <w:rFonts w:ascii="Calibri" w:hAnsi="Calibri" w:cs="Calibri"/>
          <w:b/>
          <w:bCs/>
          <w:sz w:val="24"/>
          <w:szCs w:val="24"/>
          <w:lang w:val="en-GB"/>
        </w:rPr>
        <w:t>January 2017</w:t>
      </w:r>
    </w:p>
    <w:p w:rsidR="00C55ADF" w:rsidRDefault="00C55ADF" w:rsidP="00FD1FA3">
      <w:pPr>
        <w:pStyle w:val="a9"/>
        <w:spacing w:before="0" w:beforeAutospacing="0" w:after="0" w:afterAutospacing="0"/>
        <w:ind w:right="-62"/>
        <w:jc w:val="center"/>
        <w:rPr>
          <w:rFonts w:ascii="Calibri" w:hAnsi="Calibri" w:cs="Calibri"/>
          <w:b/>
          <w:bCs/>
          <w:sz w:val="24"/>
          <w:szCs w:val="24"/>
          <w:lang w:val="en-GB"/>
        </w:rPr>
      </w:pPr>
      <w:r w:rsidRPr="00EA7B92">
        <w:rPr>
          <w:rFonts w:ascii="Calibri" w:hAnsi="Calibri" w:cs="Calibri"/>
          <w:b/>
          <w:bCs/>
          <w:sz w:val="24"/>
          <w:szCs w:val="24"/>
          <w:lang w:val="en-GB"/>
        </w:rPr>
        <w:t>Republic of Moldova</w:t>
      </w:r>
    </w:p>
    <w:p w:rsidR="00C55ADF" w:rsidRPr="00EA7B92" w:rsidRDefault="00C55ADF" w:rsidP="00B3011B">
      <w:pPr>
        <w:pStyle w:val="a9"/>
        <w:spacing w:after="0" w:afterAutospacing="0"/>
        <w:ind w:right="-64"/>
        <w:jc w:val="center"/>
        <w:rPr>
          <w:rFonts w:ascii="Calibri" w:hAnsi="Calibri" w:cs="Calibri"/>
          <w:sz w:val="24"/>
          <w:szCs w:val="24"/>
          <w:lang w:val="en-GB"/>
        </w:rPr>
      </w:pPr>
      <w:r w:rsidRPr="00EA7B92">
        <w:rPr>
          <w:rFonts w:ascii="Calibri" w:hAnsi="Calibri" w:cs="Calibri"/>
          <w:b/>
          <w:bCs/>
          <w:sz w:val="24"/>
          <w:szCs w:val="24"/>
          <w:lang w:val="en-GB"/>
        </w:rPr>
        <w:t>Report to the Committee on Economic, Social and Cultural Rights</w:t>
      </w:r>
    </w:p>
    <w:p w:rsidR="00C55ADF" w:rsidRPr="00EA7B92" w:rsidRDefault="00C55ADF" w:rsidP="00B3011B">
      <w:pPr>
        <w:pStyle w:val="a9"/>
        <w:spacing w:before="0" w:beforeAutospacing="0"/>
        <w:ind w:right="-64"/>
        <w:jc w:val="center"/>
        <w:rPr>
          <w:rFonts w:ascii="Calibri" w:hAnsi="Calibri" w:cs="Calibri"/>
          <w:b/>
          <w:bCs/>
          <w:sz w:val="24"/>
          <w:szCs w:val="24"/>
          <w:lang w:val="en-GB"/>
        </w:rPr>
      </w:pPr>
      <w:r w:rsidRPr="00EA7B92">
        <w:rPr>
          <w:rFonts w:ascii="Calibri" w:hAnsi="Calibri" w:cs="Calibri"/>
          <w:b/>
          <w:bCs/>
          <w:sz w:val="24"/>
          <w:szCs w:val="24"/>
          <w:lang w:val="en-GB"/>
        </w:rPr>
        <w:t>List of issues</w:t>
      </w:r>
    </w:p>
    <w:tbl>
      <w:tblPr>
        <w:tblW w:w="0" w:type="auto"/>
        <w:tblLook w:val="00A0"/>
      </w:tblPr>
      <w:tblGrid>
        <w:gridCol w:w="3190"/>
        <w:gridCol w:w="3297"/>
        <w:gridCol w:w="3084"/>
      </w:tblGrid>
      <w:tr w:rsidR="00C55ADF" w:rsidRPr="00DD05EE" w:rsidTr="00DD05EE">
        <w:tc>
          <w:tcPr>
            <w:tcW w:w="3190" w:type="dxa"/>
          </w:tcPr>
          <w:p w:rsidR="00C55ADF" w:rsidRPr="00DD05EE" w:rsidRDefault="00C55ADF" w:rsidP="00DD05EE">
            <w:pPr>
              <w:pStyle w:val="a9"/>
              <w:spacing w:after="240" w:afterAutospacing="0"/>
              <w:ind w:right="-64"/>
              <w:rPr>
                <w:rFonts w:ascii="Calibri" w:hAnsi="Calibri" w:cs="Calibri"/>
                <w:lang w:val="en-GB"/>
              </w:rPr>
            </w:pPr>
            <w:bookmarkStart w:id="0" w:name="_GoBack"/>
            <w:bookmarkEnd w:id="0"/>
            <w:r w:rsidRPr="00DD05EE">
              <w:rPr>
                <w:rFonts w:ascii="Calibri" w:hAnsi="Calibri" w:cs="Calibri"/>
                <w:lang w:val="en-GB"/>
              </w:rPr>
              <w:t>Contact person:</w:t>
            </w:r>
            <w:r w:rsidRPr="00DD05EE">
              <w:rPr>
                <w:rFonts w:ascii="Calibri" w:hAnsi="Calibri" w:cs="Calibri"/>
                <w:lang w:val="en-GB"/>
              </w:rPr>
              <w:br/>
              <w:t>Natalia MARDARI-GREBENCEA</w:t>
            </w:r>
            <w:r w:rsidRPr="00DD05EE">
              <w:rPr>
                <w:rFonts w:ascii="Calibri" w:hAnsi="Calibri" w:cs="Calibri"/>
                <w:lang w:val="en-GB"/>
              </w:rPr>
              <w:br/>
              <w:t>Litigation and Advocacy Programme</w:t>
            </w:r>
          </w:p>
          <w:p w:rsidR="00C55ADF" w:rsidRPr="00DD05EE" w:rsidRDefault="00C55ADF" w:rsidP="00DD05EE">
            <w:pPr>
              <w:pStyle w:val="a9"/>
              <w:spacing w:before="0" w:beforeAutospacing="0" w:after="0" w:afterAutospacing="0"/>
              <w:ind w:right="-64"/>
              <w:rPr>
                <w:rFonts w:ascii="Calibri" w:hAnsi="Calibri" w:cs="Calibri"/>
                <w:lang w:val="en-GB"/>
              </w:rPr>
            </w:pPr>
            <w:r w:rsidRPr="00DD05EE">
              <w:rPr>
                <w:rFonts w:ascii="Calibri" w:hAnsi="Calibri" w:cs="Calibri"/>
                <w:lang w:val="en-GB"/>
              </w:rPr>
              <w:t xml:space="preserve">Moldovan Institute for Human Rights </w:t>
            </w:r>
            <w:r w:rsidRPr="00DD05EE">
              <w:rPr>
                <w:rFonts w:ascii="Calibri" w:hAnsi="Calibri" w:cs="Calibri"/>
                <w:lang w:val="en-GB"/>
              </w:rPr>
              <w:br/>
              <w:t xml:space="preserve">E-mail: </w:t>
            </w:r>
            <w:hyperlink r:id="rId7" w:history="1">
              <w:r w:rsidRPr="00DD05EE">
                <w:rPr>
                  <w:rStyle w:val="ab"/>
                  <w:rFonts w:ascii="Calibri" w:hAnsi="Calibri" w:cs="Calibri"/>
                  <w:lang w:val="en-GB"/>
                </w:rPr>
                <w:t>natalia.mardari@idom.md</w:t>
              </w:r>
            </w:hyperlink>
            <w:r w:rsidRPr="00DD05EE">
              <w:rPr>
                <w:rFonts w:ascii="Calibri" w:hAnsi="Calibri" w:cs="Calibri"/>
                <w:lang w:val="en-GB"/>
              </w:rPr>
              <w:t xml:space="preserve"> </w:t>
            </w:r>
            <w:r w:rsidRPr="00DD05EE">
              <w:rPr>
                <w:rFonts w:ascii="Calibri" w:hAnsi="Calibri" w:cs="Calibri"/>
                <w:lang w:val="en-GB"/>
              </w:rPr>
              <w:br/>
              <w:t>Tel.: +373 79678260</w:t>
            </w:r>
          </w:p>
          <w:p w:rsidR="00C55ADF" w:rsidRPr="00DD05EE" w:rsidRDefault="00C55ADF" w:rsidP="00DD05EE">
            <w:pPr>
              <w:pStyle w:val="a9"/>
              <w:spacing w:before="0" w:beforeAutospacing="0" w:after="0" w:afterAutospacing="0"/>
              <w:ind w:right="-64"/>
              <w:rPr>
                <w:rFonts w:ascii="Calibri" w:hAnsi="Calibri" w:cs="Calibri"/>
                <w:lang w:val="en-GB"/>
              </w:rPr>
            </w:pPr>
          </w:p>
        </w:tc>
        <w:tc>
          <w:tcPr>
            <w:tcW w:w="3297" w:type="dxa"/>
          </w:tcPr>
          <w:p w:rsidR="00C55ADF" w:rsidRPr="00DD05EE" w:rsidRDefault="00C55ADF" w:rsidP="00DD05EE">
            <w:pPr>
              <w:pStyle w:val="a9"/>
              <w:spacing w:after="0" w:afterAutospacing="0"/>
              <w:ind w:right="-64"/>
              <w:rPr>
                <w:rFonts w:ascii="Calibri" w:hAnsi="Calibri" w:cs="Calibri"/>
                <w:lang w:val="en-GB"/>
              </w:rPr>
            </w:pPr>
            <w:r w:rsidRPr="00DD05EE">
              <w:rPr>
                <w:rFonts w:ascii="Calibri" w:hAnsi="Calibri" w:cs="Calibri"/>
                <w:lang w:val="en-GB"/>
              </w:rPr>
              <w:t>Contact person:</w:t>
            </w:r>
            <w:r w:rsidRPr="00DD05EE">
              <w:rPr>
                <w:rFonts w:ascii="Calibri" w:hAnsi="Calibri" w:cs="Calibri"/>
                <w:lang w:val="en-GB"/>
              </w:rPr>
              <w:br/>
            </w:r>
            <w:proofErr w:type="spellStart"/>
            <w:r w:rsidRPr="00DD05EE">
              <w:rPr>
                <w:rFonts w:ascii="Calibri" w:hAnsi="Calibri" w:cs="Calibri"/>
                <w:lang w:val="en-GB"/>
              </w:rPr>
              <w:t>Dumitru</w:t>
            </w:r>
            <w:proofErr w:type="spellEnd"/>
            <w:r w:rsidRPr="00DD05EE">
              <w:rPr>
                <w:rFonts w:ascii="Calibri" w:hAnsi="Calibri" w:cs="Calibri"/>
                <w:lang w:val="en-GB"/>
              </w:rPr>
              <w:t xml:space="preserve"> RUSSU</w:t>
            </w:r>
          </w:p>
          <w:p w:rsidR="00C55ADF" w:rsidRPr="00DD05EE" w:rsidRDefault="00C55ADF" w:rsidP="00DD05EE">
            <w:pPr>
              <w:pStyle w:val="a9"/>
              <w:spacing w:before="0" w:beforeAutospacing="0" w:after="240" w:afterAutospacing="0"/>
              <w:ind w:right="-64"/>
              <w:rPr>
                <w:rFonts w:ascii="Calibri" w:hAnsi="Calibri" w:cs="Calibri"/>
                <w:lang w:val="en-GB"/>
              </w:rPr>
            </w:pPr>
            <w:r w:rsidRPr="00DD05EE">
              <w:rPr>
                <w:rFonts w:ascii="Calibri" w:hAnsi="Calibri" w:cs="Calibri"/>
                <w:lang w:val="en-GB"/>
              </w:rPr>
              <w:t>Monitoring and Reporting Programme</w:t>
            </w:r>
          </w:p>
          <w:p w:rsidR="00C55ADF" w:rsidRPr="00DD05EE" w:rsidRDefault="00C55ADF" w:rsidP="00DD05EE">
            <w:pPr>
              <w:pStyle w:val="a9"/>
              <w:spacing w:before="0" w:beforeAutospacing="0" w:after="0" w:afterAutospacing="0"/>
              <w:ind w:right="-64"/>
              <w:rPr>
                <w:rFonts w:ascii="Calibri" w:hAnsi="Calibri" w:cs="Calibri"/>
                <w:lang w:val="en-GB"/>
              </w:rPr>
            </w:pPr>
            <w:r w:rsidRPr="00DD05EE">
              <w:rPr>
                <w:rFonts w:ascii="Calibri" w:hAnsi="Calibri" w:cs="Calibri"/>
                <w:lang w:val="en-GB"/>
              </w:rPr>
              <w:t xml:space="preserve">Moldovan Institute for Human Rights </w:t>
            </w:r>
            <w:r w:rsidRPr="00DD05EE">
              <w:rPr>
                <w:rFonts w:ascii="Calibri" w:hAnsi="Calibri" w:cs="Calibri"/>
                <w:lang w:val="en-GB"/>
              </w:rPr>
              <w:br/>
              <w:t xml:space="preserve">E-mail: </w:t>
            </w:r>
            <w:hyperlink r:id="rId8" w:history="1">
              <w:r w:rsidRPr="00DD05EE">
                <w:rPr>
                  <w:rStyle w:val="ab"/>
                  <w:rFonts w:ascii="Calibri" w:hAnsi="Calibri" w:cs="Calibri"/>
                  <w:lang w:val="en-GB"/>
                </w:rPr>
                <w:t>dumitru.russu@idom.md</w:t>
              </w:r>
            </w:hyperlink>
            <w:r w:rsidRPr="00DD05EE">
              <w:rPr>
                <w:rFonts w:ascii="Calibri" w:hAnsi="Calibri" w:cs="Calibri"/>
                <w:lang w:val="en-GB"/>
              </w:rPr>
              <w:t xml:space="preserve"> </w:t>
            </w:r>
            <w:r w:rsidRPr="00DD05EE">
              <w:rPr>
                <w:rFonts w:ascii="Calibri" w:hAnsi="Calibri" w:cs="Calibri"/>
                <w:lang w:val="en-GB"/>
              </w:rPr>
              <w:br/>
              <w:t>Tel.: +373 79532329</w:t>
            </w:r>
          </w:p>
          <w:p w:rsidR="00C55ADF" w:rsidRPr="00DD05EE" w:rsidRDefault="00C55ADF" w:rsidP="00DD05EE">
            <w:pPr>
              <w:pStyle w:val="a9"/>
              <w:spacing w:before="0" w:beforeAutospacing="0" w:after="0" w:afterAutospacing="0"/>
              <w:ind w:right="-64"/>
              <w:rPr>
                <w:rFonts w:ascii="Calibri" w:hAnsi="Calibri" w:cs="Calibri"/>
                <w:lang w:val="en-GB"/>
              </w:rPr>
            </w:pPr>
          </w:p>
        </w:tc>
        <w:tc>
          <w:tcPr>
            <w:tcW w:w="3084" w:type="dxa"/>
          </w:tcPr>
          <w:p w:rsidR="00C55ADF" w:rsidRPr="00DD05EE" w:rsidRDefault="00C55ADF" w:rsidP="00DD05EE">
            <w:pPr>
              <w:pStyle w:val="a9"/>
              <w:spacing w:after="0" w:afterAutospacing="0"/>
              <w:ind w:right="-64"/>
              <w:rPr>
                <w:rFonts w:ascii="Calibri" w:hAnsi="Calibri" w:cs="Calibri"/>
                <w:color w:val="000000"/>
                <w:lang w:val="en-GB"/>
              </w:rPr>
            </w:pPr>
            <w:r w:rsidRPr="00DD05EE">
              <w:rPr>
                <w:rFonts w:ascii="Calibri" w:hAnsi="Calibri" w:cs="Calibri"/>
                <w:lang w:val="en-GB"/>
              </w:rPr>
              <w:t>Contact person:</w:t>
            </w:r>
            <w:r w:rsidRPr="00DD05EE">
              <w:rPr>
                <w:rFonts w:ascii="Calibri" w:hAnsi="Calibri" w:cs="Calibri"/>
                <w:lang w:val="en-GB"/>
              </w:rPr>
              <w:br/>
            </w:r>
            <w:proofErr w:type="spellStart"/>
            <w:r w:rsidRPr="00DD05EE">
              <w:rPr>
                <w:rFonts w:ascii="Calibri" w:hAnsi="Calibri" w:cs="Calibri"/>
                <w:lang w:val="en-GB"/>
              </w:rPr>
              <w:t>Oana</w:t>
            </w:r>
            <w:proofErr w:type="spellEnd"/>
            <w:r w:rsidRPr="00DD05EE">
              <w:rPr>
                <w:rFonts w:ascii="Calibri" w:hAnsi="Calibri" w:cs="Calibri"/>
                <w:color w:val="000000"/>
                <w:lang w:val="en-GB"/>
              </w:rPr>
              <w:t xml:space="preserve"> G</w:t>
            </w:r>
            <w:r>
              <w:rPr>
                <w:rFonts w:ascii="Calibri" w:hAnsi="Calibri" w:cs="Calibri"/>
                <w:color w:val="000000"/>
                <w:lang w:val="en-GB"/>
              </w:rPr>
              <w:t>Î</w:t>
            </w:r>
            <w:r w:rsidRPr="00DD05EE">
              <w:rPr>
                <w:rFonts w:ascii="Calibri" w:hAnsi="Calibri" w:cs="Calibri"/>
                <w:color w:val="000000"/>
                <w:lang w:val="en-GB"/>
              </w:rPr>
              <w:t>RLESCU </w:t>
            </w:r>
          </w:p>
          <w:p w:rsidR="00C55ADF" w:rsidRPr="00DD05EE" w:rsidRDefault="00C55ADF" w:rsidP="00DD05EE">
            <w:pPr>
              <w:pStyle w:val="a9"/>
              <w:spacing w:before="0" w:beforeAutospacing="0" w:after="240" w:afterAutospacing="0"/>
              <w:ind w:right="-64"/>
              <w:rPr>
                <w:rFonts w:ascii="Calibri" w:hAnsi="Calibri" w:cs="Calibri"/>
                <w:color w:val="000000"/>
                <w:lang w:val="en-GB"/>
              </w:rPr>
            </w:pPr>
            <w:r w:rsidRPr="00DD05EE">
              <w:rPr>
                <w:rFonts w:ascii="Calibri" w:hAnsi="Calibri" w:cs="Calibri"/>
                <w:color w:val="000000"/>
                <w:lang w:val="en-GB"/>
              </w:rPr>
              <w:t>Lawyer</w:t>
            </w:r>
          </w:p>
          <w:p w:rsidR="00C55ADF" w:rsidRPr="00DD05EE" w:rsidRDefault="00C55ADF" w:rsidP="00DD05EE">
            <w:pPr>
              <w:pStyle w:val="a9"/>
              <w:spacing w:before="0" w:beforeAutospacing="0" w:after="0" w:afterAutospacing="0"/>
              <w:ind w:right="-64"/>
              <w:rPr>
                <w:rFonts w:ascii="Calibri" w:hAnsi="Calibri" w:cs="Calibri"/>
                <w:bCs/>
                <w:color w:val="000000"/>
                <w:lang w:val="en-GB"/>
              </w:rPr>
            </w:pPr>
            <w:r w:rsidRPr="00DD05EE">
              <w:rPr>
                <w:rFonts w:ascii="Calibri" w:hAnsi="Calibri" w:cs="Calibri"/>
                <w:bCs/>
                <w:color w:val="000000"/>
                <w:lang w:val="en-GB"/>
              </w:rPr>
              <w:t xml:space="preserve">The Mental Disability </w:t>
            </w:r>
          </w:p>
          <w:p w:rsidR="00C55ADF" w:rsidRPr="00DD05EE" w:rsidRDefault="00C55ADF" w:rsidP="00DD05EE">
            <w:pPr>
              <w:pStyle w:val="a9"/>
              <w:spacing w:before="0" w:beforeAutospacing="0" w:after="0" w:afterAutospacing="0"/>
              <w:ind w:right="-64"/>
              <w:rPr>
                <w:rFonts w:ascii="Calibri" w:hAnsi="Calibri" w:cs="Calibri"/>
                <w:bCs/>
                <w:color w:val="000000"/>
                <w:lang w:val="en-GB"/>
              </w:rPr>
            </w:pPr>
            <w:r w:rsidRPr="00DD05EE">
              <w:rPr>
                <w:rFonts w:ascii="Calibri" w:hAnsi="Calibri" w:cs="Calibri"/>
                <w:bCs/>
                <w:color w:val="000000"/>
                <w:lang w:val="en-GB"/>
              </w:rPr>
              <w:t>Advocacy Centre</w:t>
            </w:r>
          </w:p>
          <w:p w:rsidR="00C55ADF" w:rsidRPr="00DD05EE" w:rsidRDefault="00C55ADF" w:rsidP="00DD05EE">
            <w:pPr>
              <w:pStyle w:val="a9"/>
              <w:spacing w:before="0" w:beforeAutospacing="0" w:after="0" w:afterAutospacing="0"/>
              <w:ind w:right="-64"/>
              <w:rPr>
                <w:rFonts w:ascii="Calibri" w:hAnsi="Calibri" w:cs="Calibri"/>
                <w:lang w:val="en-GB"/>
              </w:rPr>
            </w:pPr>
            <w:r w:rsidRPr="00DD05EE">
              <w:rPr>
                <w:rFonts w:ascii="Calibri" w:hAnsi="Calibri" w:cs="Calibri"/>
                <w:lang w:val="en-GB"/>
              </w:rPr>
              <w:t xml:space="preserve">E-mail: </w:t>
            </w:r>
            <w:hyperlink r:id="rId9" w:tgtFrame="_blank" w:history="1">
              <w:r w:rsidRPr="00DD05EE">
                <w:rPr>
                  <w:rStyle w:val="ab"/>
                  <w:rFonts w:ascii="Calibri" w:hAnsi="Calibri" w:cs="Calibri"/>
                  <w:color w:val="800080"/>
                  <w:lang w:val="en-GB"/>
                </w:rPr>
                <w:t>oana@mdac.org</w:t>
              </w:r>
            </w:hyperlink>
            <w:r w:rsidRPr="00DD05EE">
              <w:rPr>
                <w:rFonts w:ascii="Calibri" w:hAnsi="Calibri" w:cs="Calibri"/>
                <w:lang w:val="en-GB"/>
              </w:rPr>
              <w:t xml:space="preserve"> </w:t>
            </w:r>
            <w:r w:rsidRPr="00DD05EE">
              <w:rPr>
                <w:rFonts w:ascii="Calibri" w:hAnsi="Calibri" w:cs="Calibri"/>
                <w:lang w:val="en-GB"/>
              </w:rPr>
              <w:br/>
              <w:t xml:space="preserve">Tel.: </w:t>
            </w:r>
            <w:r w:rsidRPr="00DD05EE">
              <w:rPr>
                <w:rFonts w:ascii="Calibri" w:hAnsi="Calibri" w:cs="Calibri"/>
                <w:color w:val="000000"/>
                <w:lang w:val="en-GB"/>
              </w:rPr>
              <w:t>+40 730 324 357</w:t>
            </w:r>
          </w:p>
        </w:tc>
      </w:tr>
    </w:tbl>
    <w:p w:rsidR="00C55ADF" w:rsidRPr="00BB323C" w:rsidRDefault="00C55ADF" w:rsidP="0041016C">
      <w:pPr>
        <w:pStyle w:val="a9"/>
        <w:spacing w:before="0" w:beforeAutospacing="0" w:after="0" w:afterAutospacing="0"/>
        <w:ind w:right="-64"/>
        <w:rPr>
          <w:rFonts w:ascii="Calibri" w:hAnsi="Calibri" w:cs="Calibri"/>
          <w:lang w:val="en-GB"/>
        </w:rPr>
      </w:pPr>
    </w:p>
    <w:p w:rsidR="00C55ADF" w:rsidRPr="00BB323C" w:rsidRDefault="00C55ADF" w:rsidP="00140826">
      <w:pPr>
        <w:pStyle w:val="yiv6979498878msonormal"/>
        <w:shd w:val="clear" w:color="auto" w:fill="FFFFFF"/>
        <w:spacing w:before="0" w:beforeAutospacing="0" w:after="80" w:afterAutospacing="0"/>
        <w:jc w:val="both"/>
        <w:rPr>
          <w:rFonts w:ascii="Calibri" w:hAnsi="Calibri" w:cs="Segoe UI"/>
          <w:color w:val="000000"/>
          <w:sz w:val="20"/>
          <w:szCs w:val="20"/>
          <w:lang w:val="en-US"/>
        </w:rPr>
      </w:pPr>
      <w:r w:rsidRPr="00BB323C">
        <w:rPr>
          <w:rFonts w:ascii="Calibri" w:hAnsi="Calibri" w:cs="Calibri"/>
          <w:color w:val="000000"/>
          <w:sz w:val="20"/>
          <w:szCs w:val="20"/>
          <w:lang w:val="en-GB"/>
        </w:rPr>
        <w:t xml:space="preserve">This Joint NGO Submission has been </w:t>
      </w:r>
      <w:r>
        <w:rPr>
          <w:rFonts w:ascii="Calibri" w:hAnsi="Calibri" w:cs="Calibri"/>
          <w:color w:val="000000"/>
          <w:sz w:val="20"/>
          <w:szCs w:val="20"/>
          <w:lang w:val="en-GB"/>
        </w:rPr>
        <w:t xml:space="preserve">drafted </w:t>
      </w:r>
      <w:r w:rsidRPr="00BB323C">
        <w:rPr>
          <w:rFonts w:ascii="Calibri" w:hAnsi="Calibri" w:cs="Calibri"/>
          <w:color w:val="000000"/>
          <w:sz w:val="20"/>
          <w:szCs w:val="20"/>
          <w:lang w:val="en-GB"/>
        </w:rPr>
        <w:t xml:space="preserve">by the Moldovan Institute for Human Rights (IDOM) and the Mental Disability Advocacy Centre (MDAC). </w:t>
      </w:r>
      <w:r w:rsidRPr="00BB323C">
        <w:rPr>
          <w:rFonts w:ascii="Calibri" w:hAnsi="Calibri" w:cs="Segoe UI"/>
          <w:color w:val="000000"/>
          <w:sz w:val="20"/>
          <w:szCs w:val="20"/>
          <w:lang w:val="en-US"/>
        </w:rPr>
        <w:t xml:space="preserve">The submission focuses on </w:t>
      </w:r>
      <w:r w:rsidRPr="00BB323C">
        <w:rPr>
          <w:rFonts w:ascii="Calibri" w:hAnsi="Calibri" w:cs="Segoe UI"/>
          <w:b/>
          <w:color w:val="000000"/>
          <w:sz w:val="20"/>
          <w:szCs w:val="20"/>
          <w:lang w:val="en-US"/>
        </w:rPr>
        <w:t>the rights of persons with mental disabilities</w:t>
      </w:r>
      <w:r w:rsidRPr="00BB323C">
        <w:rPr>
          <w:rFonts w:ascii="Calibri" w:hAnsi="Calibri"/>
          <w:b/>
          <w:sz w:val="20"/>
          <w:szCs w:val="20"/>
          <w:lang w:val="en-GB"/>
        </w:rPr>
        <w:t xml:space="preserve"> placed in social and medical institutions (Articles 2, 6, 7, 8, 9, 10, 11, 12 and 14) and the rights of people living with HIV/AIDS, particularity concerning to the confidentiality of medical data linked to the right to health (Article 12)</w:t>
      </w:r>
      <w:r w:rsidRPr="009F03BD">
        <w:rPr>
          <w:rFonts w:ascii="Calibri" w:hAnsi="Calibri"/>
          <w:sz w:val="20"/>
          <w:szCs w:val="20"/>
          <w:lang w:val="en-GB"/>
        </w:rPr>
        <w:t>,</w:t>
      </w:r>
      <w:r w:rsidRPr="00BB323C">
        <w:rPr>
          <w:rFonts w:ascii="Calibri" w:hAnsi="Calibri" w:cs="Segoe UI"/>
          <w:color w:val="000000"/>
          <w:sz w:val="20"/>
          <w:szCs w:val="20"/>
          <w:lang w:val="en-US"/>
        </w:rPr>
        <w:t xml:space="preserve"> offering a critical perspective on relevant policies, legislation and practices.</w:t>
      </w:r>
    </w:p>
    <w:p w:rsidR="00C55ADF" w:rsidRPr="00BB323C" w:rsidRDefault="00C55ADF" w:rsidP="00140826">
      <w:pPr>
        <w:pStyle w:val="yiv6979498878msonormal"/>
        <w:shd w:val="clear" w:color="auto" w:fill="FFFFFF"/>
        <w:spacing w:before="0" w:beforeAutospacing="0" w:after="80" w:afterAutospacing="0"/>
        <w:jc w:val="both"/>
        <w:rPr>
          <w:rFonts w:ascii="Calibri" w:hAnsi="Calibri" w:cs="Segoe UI"/>
          <w:color w:val="000000"/>
          <w:sz w:val="20"/>
          <w:szCs w:val="20"/>
          <w:lang w:val="en-US"/>
        </w:rPr>
      </w:pPr>
    </w:p>
    <w:tbl>
      <w:tblPr>
        <w:tblW w:w="9606" w:type="dxa"/>
        <w:tblLook w:val="00A0"/>
      </w:tblPr>
      <w:tblGrid>
        <w:gridCol w:w="4258"/>
        <w:gridCol w:w="5348"/>
      </w:tblGrid>
      <w:tr w:rsidR="00C55ADF" w:rsidRPr="00A600A3" w:rsidTr="00DD05EE">
        <w:tc>
          <w:tcPr>
            <w:tcW w:w="4258" w:type="dxa"/>
          </w:tcPr>
          <w:p w:rsidR="00C55ADF" w:rsidRPr="00DD05EE" w:rsidRDefault="007D09CF" w:rsidP="00DD05EE">
            <w:pPr>
              <w:spacing w:after="0" w:line="240" w:lineRule="auto"/>
              <w:ind w:right="-64"/>
              <w:jc w:val="center"/>
              <w:rPr>
                <w:rFonts w:cs="Calibri"/>
                <w:b/>
                <w:sz w:val="20"/>
                <w:szCs w:val="20"/>
                <w:lang w:val="en-GB"/>
              </w:rPr>
            </w:pPr>
            <w:r w:rsidRPr="007D09CF">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s1026" type="#_x0000_t75" alt="SIGLA IDOM clasic fundal mic" style="position:absolute;left:0;text-align:left;margin-left:1.65pt;margin-top:-.15pt;width:194.3pt;height:64.5pt;z-index:1;visibility:visible">
                  <v:imagedata r:id="rId10" o:title=""/>
                  <w10:wrap type="square"/>
                </v:shape>
              </w:pict>
            </w:r>
          </w:p>
        </w:tc>
        <w:tc>
          <w:tcPr>
            <w:tcW w:w="5348" w:type="dxa"/>
          </w:tcPr>
          <w:p w:rsidR="00C55ADF" w:rsidRPr="00DD05EE" w:rsidRDefault="00C55ADF" w:rsidP="00DD05EE">
            <w:pPr>
              <w:spacing w:after="0" w:line="240" w:lineRule="auto"/>
              <w:ind w:right="-64"/>
              <w:jc w:val="both"/>
              <w:rPr>
                <w:rFonts w:cs="Calibri"/>
                <w:sz w:val="20"/>
                <w:szCs w:val="20"/>
                <w:lang w:val="en-GB"/>
              </w:rPr>
            </w:pPr>
            <w:r w:rsidRPr="00DD05EE">
              <w:rPr>
                <w:rFonts w:cs="Calibri"/>
                <w:b/>
                <w:sz w:val="20"/>
                <w:szCs w:val="20"/>
                <w:lang w:val="en-GB"/>
              </w:rPr>
              <w:t>The Moldovan Institute for Human Rights (IDOM)</w:t>
            </w:r>
            <w:r w:rsidRPr="00DD05EE">
              <w:rPr>
                <w:rFonts w:cs="Calibri"/>
                <w:sz w:val="20"/>
                <w:szCs w:val="20"/>
                <w:lang w:val="en-GB"/>
              </w:rPr>
              <w:t xml:space="preserve"> is an independent, non-profit organisation that promotes and defends effectively human rights on grassroots and government levels, through education and empowerment, monitoring and reporting, raising awareness activities, strategic litigation and promotion of human rights standards in policies and legislation.</w:t>
            </w:r>
          </w:p>
        </w:tc>
      </w:tr>
    </w:tbl>
    <w:p w:rsidR="00C55ADF" w:rsidRDefault="00C55ADF">
      <w:pPr>
        <w:spacing w:after="0" w:line="240" w:lineRule="auto"/>
        <w:jc w:val="both"/>
        <w:rPr>
          <w:rFonts w:cs="Calibri"/>
          <w:sz w:val="20"/>
          <w:szCs w:val="20"/>
          <w:lang w:val="en-GB" w:eastAsia="ru-RU"/>
        </w:rPr>
      </w:pPr>
      <w:r w:rsidRPr="00BB323C">
        <w:rPr>
          <w:rFonts w:cs="Calibri"/>
          <w:sz w:val="20"/>
          <w:szCs w:val="20"/>
          <w:lang w:val="en-GB"/>
        </w:rPr>
        <w:t xml:space="preserve">IDOM carries out activities in the following main areas: </w:t>
      </w:r>
      <w:r w:rsidRPr="00BB323C">
        <w:rPr>
          <w:rFonts w:cs="Calibri"/>
          <w:sz w:val="20"/>
          <w:szCs w:val="20"/>
          <w:lang w:val="en-GB" w:eastAsia="ru-RU"/>
        </w:rPr>
        <w:t>the rights of people living with HIV/AIDS, the rights of people with mental disabilities, patient’s rights, and right not to be subjected to torture or other cruel, inhuman or degrading treatment.</w:t>
      </w:r>
      <w:r w:rsidRPr="00BB323C">
        <w:rPr>
          <w:rStyle w:val="a7"/>
          <w:rFonts w:cs="Calibri"/>
          <w:sz w:val="20"/>
          <w:szCs w:val="20"/>
          <w:lang w:val="en-GB"/>
        </w:rPr>
        <w:footnoteReference w:id="1"/>
      </w:r>
    </w:p>
    <w:p w:rsidR="00C55ADF" w:rsidRDefault="00C55ADF">
      <w:pPr>
        <w:spacing w:after="0" w:line="240" w:lineRule="auto"/>
        <w:jc w:val="both"/>
        <w:rPr>
          <w:rFonts w:cs="Calibri"/>
          <w:sz w:val="20"/>
          <w:szCs w:val="20"/>
          <w:lang w:val="en-GB" w:eastAsia="ru-RU"/>
        </w:rPr>
      </w:pPr>
    </w:p>
    <w:p w:rsidR="00C55ADF" w:rsidRPr="00BB323C" w:rsidRDefault="00C55ADF" w:rsidP="00B3011B">
      <w:pPr>
        <w:jc w:val="both"/>
        <w:rPr>
          <w:rFonts w:cs="Calibri"/>
          <w:b/>
          <w:sz w:val="20"/>
          <w:szCs w:val="20"/>
          <w:lang w:val="en-GB"/>
        </w:rPr>
      </w:pPr>
      <w:r w:rsidRPr="00BB323C">
        <w:rPr>
          <w:rFonts w:cs="Calibri"/>
          <w:b/>
          <w:sz w:val="20"/>
          <w:szCs w:val="20"/>
          <w:lang w:val="en-GB"/>
        </w:rPr>
        <w:t xml:space="preserve">Address: 95A </w:t>
      </w:r>
      <w:proofErr w:type="spellStart"/>
      <w:r w:rsidRPr="00BB323C">
        <w:rPr>
          <w:rFonts w:cs="Calibri"/>
          <w:b/>
          <w:sz w:val="20"/>
          <w:szCs w:val="20"/>
          <w:lang w:val="en-GB"/>
        </w:rPr>
        <w:t>Dosoftei</w:t>
      </w:r>
      <w:proofErr w:type="spellEnd"/>
      <w:r w:rsidRPr="00BB323C">
        <w:rPr>
          <w:rFonts w:cs="Calibri"/>
          <w:b/>
          <w:sz w:val="20"/>
          <w:szCs w:val="20"/>
          <w:lang w:val="en-GB"/>
        </w:rPr>
        <w:t xml:space="preserve"> Str., Chisinau, Moldova, MD 2004; </w:t>
      </w:r>
      <w:hyperlink r:id="rId11" w:history="1">
        <w:r w:rsidRPr="00BB323C">
          <w:rPr>
            <w:rStyle w:val="ab"/>
            <w:rFonts w:cs="Calibri"/>
            <w:b/>
            <w:sz w:val="20"/>
            <w:szCs w:val="20"/>
            <w:lang w:val="en-GB"/>
          </w:rPr>
          <w:t>www.idom.md</w:t>
        </w:r>
      </w:hyperlink>
      <w:r w:rsidRPr="00BB323C">
        <w:rPr>
          <w:rFonts w:cs="Calibri"/>
          <w:b/>
          <w:sz w:val="20"/>
          <w:szCs w:val="20"/>
          <w:lang w:val="en-GB"/>
        </w:rPr>
        <w:t>.</w:t>
      </w:r>
    </w:p>
    <w:tbl>
      <w:tblPr>
        <w:tblW w:w="9606" w:type="dxa"/>
        <w:tblLayout w:type="fixed"/>
        <w:tblLook w:val="00A0"/>
      </w:tblPr>
      <w:tblGrid>
        <w:gridCol w:w="4219"/>
        <w:gridCol w:w="5387"/>
      </w:tblGrid>
      <w:tr w:rsidR="00C55ADF" w:rsidRPr="00A600A3" w:rsidTr="00DD05EE">
        <w:tc>
          <w:tcPr>
            <w:tcW w:w="4219" w:type="dxa"/>
          </w:tcPr>
          <w:p w:rsidR="00C55ADF" w:rsidRPr="00DD05EE" w:rsidRDefault="007D09CF" w:rsidP="00DD05EE">
            <w:pPr>
              <w:pStyle w:val="a9"/>
              <w:ind w:right="-64"/>
              <w:jc w:val="center"/>
              <w:rPr>
                <w:rFonts w:ascii="Calibri" w:hAnsi="Calibri" w:cs="Calibri"/>
                <w:lang w:val="en-GB"/>
              </w:rPr>
            </w:pPr>
            <w:r w:rsidRPr="007D09CF">
              <w:rPr>
                <w:noProof/>
                <w:lang w:val="ru-RU" w:eastAsia="ru-RU"/>
              </w:rPr>
              <w:pict>
                <v:shape id="officeArt object" o:spid="_x0000_s1027" type="#_x0000_t75" alt="MDAC - main" style="position:absolute;left:0;text-align:left;margin-left:46.65pt;margin-top:1.55pt;width:125.2pt;height:80.05pt;z-index:2;visibility:visible;mso-wrap-distance-left:0;mso-wrap-distance-right:0;mso-position-horizontal-relative:margin;mso-position-vertical-relative:line" strokeweight="1pt">
                  <v:stroke miterlimit="4"/>
                  <v:imagedata r:id="rId12" o:title=""/>
                  <w10:wrap anchorx="margin"/>
                </v:shape>
              </w:pict>
            </w:r>
          </w:p>
        </w:tc>
        <w:tc>
          <w:tcPr>
            <w:tcW w:w="5387" w:type="dxa"/>
          </w:tcPr>
          <w:p w:rsidR="00C55ADF" w:rsidRPr="00DD05EE" w:rsidRDefault="00C55ADF" w:rsidP="00DD05EE">
            <w:pPr>
              <w:pStyle w:val="a9"/>
              <w:spacing w:before="0" w:beforeAutospacing="0" w:after="0"/>
              <w:ind w:right="-64"/>
              <w:jc w:val="both"/>
              <w:rPr>
                <w:rFonts w:ascii="Calibri" w:hAnsi="Calibri" w:cs="Calibri"/>
                <w:lang w:val="en-GB"/>
              </w:rPr>
            </w:pPr>
            <w:r w:rsidRPr="00DD05EE">
              <w:rPr>
                <w:rFonts w:ascii="Calibri" w:hAnsi="Calibri" w:cs="Calibri"/>
                <w:b/>
                <w:lang w:val="en-GB"/>
              </w:rPr>
              <w:t>Mental Disability Advocacy Centre (</w:t>
            </w:r>
            <w:r w:rsidRPr="00DD05EE">
              <w:rPr>
                <w:rFonts w:ascii="Calibri" w:hAnsi="Calibri" w:cs="Calibri"/>
                <w:b/>
                <w:bCs/>
                <w:lang w:val="en-GB"/>
              </w:rPr>
              <w:t xml:space="preserve">MDAC) </w:t>
            </w:r>
            <w:r w:rsidRPr="00DD05EE">
              <w:rPr>
                <w:rStyle w:val="apple-converted-space"/>
                <w:rFonts w:ascii="Calibri" w:hAnsi="Calibri" w:cs="Calibri"/>
                <w:color w:val="000000"/>
                <w:shd w:val="clear" w:color="auto" w:fill="FFFFFF"/>
                <w:lang w:val="en-GB"/>
              </w:rPr>
              <w:t>is</w:t>
            </w:r>
            <w:r w:rsidRPr="00DD05EE">
              <w:rPr>
                <w:rFonts w:ascii="Calibri" w:hAnsi="Calibri" w:cs="Calibri"/>
                <w:color w:val="000000"/>
                <w:shd w:val="clear" w:color="auto" w:fill="FFFFFF"/>
                <w:lang w:val="en-GB"/>
              </w:rPr>
              <w:t xml:space="preserve"> an international human rights organization which uses the law to secure equality, inclusion and justice for persons with mental disabilities worldwide. MDAC’s vision is a world of equality where emotional, mental and learning differences are valued equally; where the inherent autonomy and dignity of each person is fully respected; and where human rights are realized </w:t>
            </w:r>
          </w:p>
        </w:tc>
      </w:tr>
    </w:tbl>
    <w:p w:rsidR="00C55ADF" w:rsidRPr="00BB323C" w:rsidRDefault="00C55ADF" w:rsidP="006A5D2F">
      <w:pPr>
        <w:pStyle w:val="a9"/>
        <w:spacing w:before="0" w:beforeAutospacing="0" w:after="0"/>
        <w:ind w:right="-64"/>
        <w:jc w:val="both"/>
        <w:rPr>
          <w:rFonts w:ascii="Calibri" w:hAnsi="Calibri" w:cs="Calibri"/>
          <w:color w:val="000000"/>
          <w:shd w:val="clear" w:color="auto" w:fill="FFFFFF"/>
          <w:lang w:val="en-GB"/>
        </w:rPr>
      </w:pPr>
      <w:proofErr w:type="gramStart"/>
      <w:r w:rsidRPr="00BB323C">
        <w:rPr>
          <w:rFonts w:ascii="Calibri" w:hAnsi="Calibri" w:cs="Calibri"/>
          <w:color w:val="000000"/>
          <w:shd w:val="clear" w:color="auto" w:fill="FFFFFF"/>
          <w:lang w:val="en-GB"/>
        </w:rPr>
        <w:t>for</w:t>
      </w:r>
      <w:proofErr w:type="gramEnd"/>
      <w:r w:rsidRPr="00BB323C">
        <w:rPr>
          <w:rFonts w:ascii="Calibri" w:hAnsi="Calibri" w:cs="Calibri"/>
          <w:color w:val="000000"/>
          <w:shd w:val="clear" w:color="auto" w:fill="FFFFFF"/>
          <w:lang w:val="en-GB"/>
        </w:rPr>
        <w:t xml:space="preserve"> all persons without discrimination of any form. MDAC has participatory status at the Council of Europe, and special consultative status at ECOSOC. </w:t>
      </w:r>
    </w:p>
    <w:p w:rsidR="00C55ADF" w:rsidRDefault="00C55ADF" w:rsidP="006A5D2F">
      <w:pPr>
        <w:pStyle w:val="a9"/>
        <w:spacing w:before="0" w:beforeAutospacing="0" w:after="0"/>
        <w:ind w:right="-64"/>
        <w:jc w:val="both"/>
        <w:rPr>
          <w:rFonts w:ascii="Calibri" w:hAnsi="Calibri" w:cs="Calibri"/>
          <w:b/>
          <w:lang w:val="en-GB"/>
        </w:rPr>
      </w:pPr>
      <w:r w:rsidRPr="00BB323C">
        <w:rPr>
          <w:rFonts w:ascii="Calibri" w:hAnsi="Calibri" w:cs="Calibri"/>
          <w:b/>
          <w:lang w:val="en-GB"/>
        </w:rPr>
        <w:t xml:space="preserve">Address: </w:t>
      </w:r>
      <w:proofErr w:type="spellStart"/>
      <w:r w:rsidRPr="00BB323C">
        <w:rPr>
          <w:rFonts w:ascii="Calibri" w:hAnsi="Calibri" w:cs="Calibri"/>
          <w:b/>
          <w:lang w:val="en-GB"/>
        </w:rPr>
        <w:t>Hercegprimas</w:t>
      </w:r>
      <w:proofErr w:type="spellEnd"/>
      <w:r w:rsidRPr="00BB323C">
        <w:rPr>
          <w:rFonts w:ascii="Calibri" w:hAnsi="Calibri" w:cs="Calibri"/>
          <w:b/>
          <w:lang w:val="en-GB"/>
        </w:rPr>
        <w:t xml:space="preserve"> u. 11, 1051, Budapest, Hungary; </w:t>
      </w:r>
      <w:hyperlink r:id="rId13" w:history="1">
        <w:r w:rsidRPr="00BB323C">
          <w:rPr>
            <w:rStyle w:val="ab"/>
            <w:rFonts w:ascii="Calibri" w:hAnsi="Calibri" w:cs="Calibri"/>
            <w:b/>
            <w:lang w:val="en-GB"/>
          </w:rPr>
          <w:t>www.mdac@mdac.org</w:t>
        </w:r>
      </w:hyperlink>
      <w:r w:rsidRPr="00BB323C">
        <w:rPr>
          <w:rFonts w:ascii="Calibri" w:hAnsi="Calibri" w:cs="Calibri"/>
          <w:b/>
          <w:lang w:val="en-GB"/>
        </w:rPr>
        <w:t>.</w:t>
      </w:r>
    </w:p>
    <w:p w:rsidR="00C55ADF" w:rsidRDefault="00C55ADF" w:rsidP="006A5D2F">
      <w:pPr>
        <w:pStyle w:val="a9"/>
        <w:spacing w:before="0" w:beforeAutospacing="0" w:after="0"/>
        <w:ind w:right="-64"/>
        <w:jc w:val="both"/>
        <w:rPr>
          <w:rFonts w:ascii="Calibri" w:hAnsi="Calibri" w:cs="Calibri"/>
          <w:b/>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C55ADF" w:rsidRPr="00A600A3" w:rsidTr="00DD05EE">
        <w:tc>
          <w:tcPr>
            <w:tcW w:w="9571" w:type="dxa"/>
            <w:shd w:val="clear" w:color="auto" w:fill="D9D9D9"/>
          </w:tcPr>
          <w:p w:rsidR="00C55ADF" w:rsidRPr="00DD05EE" w:rsidRDefault="00C55ADF" w:rsidP="00DD05EE">
            <w:pPr>
              <w:spacing w:after="0" w:line="240" w:lineRule="auto"/>
              <w:jc w:val="center"/>
              <w:rPr>
                <w:b/>
                <w:lang w:val="en-GB"/>
              </w:rPr>
            </w:pPr>
            <w:r w:rsidRPr="00DD05EE">
              <w:rPr>
                <w:rFonts w:cs="Segoe UI"/>
                <w:b/>
                <w:color w:val="000000"/>
                <w:lang w:val="en-US"/>
              </w:rPr>
              <w:lastRenderedPageBreak/>
              <w:t>RIGHTS OF PERSONS WITH MENTAL DISABILITIES</w:t>
            </w:r>
            <w:r w:rsidRPr="00DD05EE">
              <w:rPr>
                <w:b/>
                <w:lang w:val="en-GB"/>
              </w:rPr>
              <w:t xml:space="preserve"> </w:t>
            </w:r>
          </w:p>
          <w:p w:rsidR="00C55ADF" w:rsidRPr="00DD05EE" w:rsidRDefault="00C55ADF" w:rsidP="00DD05EE">
            <w:pPr>
              <w:spacing w:after="0" w:line="240" w:lineRule="auto"/>
              <w:jc w:val="center"/>
              <w:rPr>
                <w:b/>
                <w:i/>
                <w:u w:val="single"/>
                <w:lang w:val="ro-RO"/>
              </w:rPr>
            </w:pPr>
            <w:r w:rsidRPr="00DD05EE">
              <w:rPr>
                <w:b/>
                <w:lang w:val="en-GB"/>
              </w:rPr>
              <w:t>PLACED IN SOCIAL AND MEDICAL INSTITUTIONS</w:t>
            </w:r>
          </w:p>
        </w:tc>
      </w:tr>
    </w:tbl>
    <w:p w:rsidR="00C55ADF" w:rsidRDefault="00C55ADF">
      <w:pPr>
        <w:spacing w:after="0" w:line="240" w:lineRule="auto"/>
        <w:rPr>
          <w:rFonts w:cs="Calibri"/>
          <w:b/>
          <w:i/>
          <w:u w:val="single"/>
          <w:lang w:val="en-GB"/>
        </w:rPr>
      </w:pPr>
    </w:p>
    <w:p w:rsidR="00C55ADF" w:rsidRPr="00BB323C" w:rsidRDefault="00C55ADF" w:rsidP="00DF4048">
      <w:pPr>
        <w:rPr>
          <w:rFonts w:cs="Calibri"/>
          <w:b/>
          <w:i/>
          <w:u w:val="single"/>
          <w:lang w:val="en-GB"/>
        </w:rPr>
      </w:pPr>
      <w:r w:rsidRPr="00BB323C">
        <w:rPr>
          <w:rFonts w:cs="Calibri"/>
          <w:b/>
          <w:i/>
          <w:u w:val="single"/>
          <w:lang w:val="en-GB"/>
        </w:rPr>
        <w:t>I. Legal barriers to forming a family (Article 10)</w:t>
      </w:r>
    </w:p>
    <w:p w:rsidR="00C55ADF" w:rsidRPr="00BB323C" w:rsidRDefault="00C55ADF" w:rsidP="00DF4048">
      <w:pPr>
        <w:jc w:val="both"/>
        <w:rPr>
          <w:rFonts w:cs="Calibri"/>
          <w:lang w:val="en-GB"/>
        </w:rPr>
      </w:pPr>
      <w:r w:rsidRPr="00BB323C">
        <w:rPr>
          <w:rFonts w:cs="Calibri"/>
          <w:lang w:val="en-GB"/>
        </w:rPr>
        <w:t>According to the Moldovan legislation, people with disabilities, when deprived of their legal capacity through the operation of guardianship legislation, cannot marry</w:t>
      </w:r>
      <w:r w:rsidRPr="00BB323C">
        <w:rPr>
          <w:rStyle w:val="a7"/>
          <w:rFonts w:cs="Calibri"/>
          <w:lang w:val="en-GB"/>
        </w:rPr>
        <w:footnoteReference w:id="2"/>
      </w:r>
      <w:r w:rsidRPr="00BB323C">
        <w:rPr>
          <w:rFonts w:cs="Calibri"/>
          <w:lang w:val="en-GB"/>
        </w:rPr>
        <w:t>. Not being able to marry means people cannot receive legal recognition as a family, and constitutes an obstacle in ensuring the protection and assistance to which families are entitled under Article 10 of the Covenant</w:t>
      </w:r>
      <w:r>
        <w:rPr>
          <w:rFonts w:cs="Calibri"/>
          <w:lang w:val="en-GB"/>
        </w:rPr>
        <w:t xml:space="preserve"> on Economic, Social and Cultural Rights (</w:t>
      </w:r>
      <w:r w:rsidRPr="009F03BD">
        <w:rPr>
          <w:rFonts w:cs="Calibri"/>
          <w:i/>
          <w:lang w:val="en-GB"/>
        </w:rPr>
        <w:t>further Covenant</w:t>
      </w:r>
      <w:r>
        <w:rPr>
          <w:rFonts w:cs="Calibri"/>
          <w:lang w:val="en-GB"/>
        </w:rPr>
        <w:t>)</w:t>
      </w:r>
      <w:r w:rsidRPr="00BB323C">
        <w:rPr>
          <w:rFonts w:cs="Calibri"/>
          <w:lang w:val="en-GB"/>
        </w:rPr>
        <w:t>.</w:t>
      </w:r>
    </w:p>
    <w:p w:rsidR="00C55ADF" w:rsidRPr="00BB323C" w:rsidRDefault="00C55ADF" w:rsidP="00DF4048">
      <w:pPr>
        <w:jc w:val="both"/>
        <w:rPr>
          <w:rFonts w:cs="Calibri"/>
          <w:lang w:val="en-GB"/>
        </w:rPr>
      </w:pPr>
      <w:r w:rsidRPr="00BB323C">
        <w:rPr>
          <w:rFonts w:cs="Calibri"/>
          <w:lang w:val="en-GB"/>
        </w:rPr>
        <w:t>Besides the protection offered under the Covenant, the United Nations Convention on the Rights of Persons with Disabilities (CRPD) expressly recognises the right of all persons with disabilities who are of marriageable age to marry and to found a family on the basis of free and full consent and without discrimination.</w:t>
      </w:r>
    </w:p>
    <w:p w:rsidR="00C55ADF" w:rsidRPr="009D004C" w:rsidRDefault="00C55ADF" w:rsidP="00DF4048">
      <w:pPr>
        <w:jc w:val="both"/>
        <w:rPr>
          <w:rFonts w:cs="Calibri"/>
          <w:b/>
          <w:u w:val="single"/>
          <w:lang w:val="en-GB"/>
        </w:rPr>
      </w:pPr>
      <w:r w:rsidRPr="009F03BD">
        <w:rPr>
          <w:rFonts w:cs="Calibri"/>
          <w:b/>
          <w:u w:val="single"/>
          <w:lang w:val="en-GB"/>
        </w:rPr>
        <w:t>Suggested questions to the Government:</w:t>
      </w:r>
    </w:p>
    <w:p w:rsidR="00C55ADF" w:rsidRPr="00BB323C" w:rsidRDefault="00C55ADF" w:rsidP="00B661FE">
      <w:pPr>
        <w:pStyle w:val="a8"/>
        <w:numPr>
          <w:ilvl w:val="0"/>
          <w:numId w:val="3"/>
        </w:numPr>
        <w:spacing w:after="0" w:line="240" w:lineRule="auto"/>
        <w:ind w:left="714" w:hanging="357"/>
        <w:jc w:val="both"/>
        <w:rPr>
          <w:rFonts w:cs="Calibri"/>
          <w:b/>
          <w:lang w:val="en-GB"/>
        </w:rPr>
      </w:pPr>
      <w:r w:rsidRPr="00BB323C">
        <w:rPr>
          <w:rFonts w:cs="Calibri"/>
          <w:b/>
          <w:lang w:val="en-GB"/>
        </w:rPr>
        <w:t>When is the Government planning to amend its legislation in order to ensure that all people, including all persons with disabilities, have the right to marry?</w:t>
      </w:r>
    </w:p>
    <w:p w:rsidR="00C55ADF" w:rsidRDefault="00C55ADF" w:rsidP="00B661FE">
      <w:pPr>
        <w:pStyle w:val="a8"/>
        <w:numPr>
          <w:ilvl w:val="0"/>
          <w:numId w:val="3"/>
        </w:numPr>
        <w:spacing w:after="0" w:line="240" w:lineRule="auto"/>
        <w:ind w:left="714" w:hanging="357"/>
        <w:rPr>
          <w:rFonts w:cs="Calibri"/>
          <w:b/>
          <w:lang w:val="en-GB"/>
        </w:rPr>
      </w:pPr>
      <w:r w:rsidRPr="00BB323C">
        <w:rPr>
          <w:rFonts w:cs="Calibri"/>
          <w:b/>
          <w:lang w:val="en-GB"/>
        </w:rPr>
        <w:t>When is the Government planning to abolish guardianship systems in order to ensure that the will and preferences of people with disabilities are always respected, particularly in matters related to family?</w:t>
      </w:r>
    </w:p>
    <w:p w:rsidR="00C55ADF" w:rsidRPr="00BB323C" w:rsidRDefault="00C55ADF" w:rsidP="00A600A3">
      <w:pPr>
        <w:pStyle w:val="a8"/>
        <w:ind w:left="360"/>
        <w:rPr>
          <w:rFonts w:cs="Calibri"/>
          <w:b/>
          <w:lang w:val="en-GB"/>
        </w:rPr>
      </w:pPr>
    </w:p>
    <w:p w:rsidR="00C55ADF" w:rsidRPr="00BB323C" w:rsidRDefault="00C55ADF" w:rsidP="00DF4048">
      <w:pPr>
        <w:jc w:val="both"/>
        <w:rPr>
          <w:rFonts w:cs="Calibri"/>
          <w:b/>
          <w:i/>
          <w:u w:val="single"/>
          <w:lang w:val="en-GB"/>
        </w:rPr>
      </w:pPr>
      <w:r w:rsidRPr="00BB323C">
        <w:rPr>
          <w:rFonts w:cs="Calibri"/>
          <w:b/>
          <w:i/>
          <w:u w:val="single"/>
          <w:lang w:val="en-GB"/>
        </w:rPr>
        <w:t xml:space="preserve">II. Institutionalisation of people with disabilities (Articles 2, 9, 11 and 12) </w:t>
      </w:r>
    </w:p>
    <w:p w:rsidR="00C55ADF" w:rsidRPr="00BB323C" w:rsidRDefault="00C55ADF" w:rsidP="00DF4048">
      <w:pPr>
        <w:jc w:val="both"/>
        <w:rPr>
          <w:rFonts w:cs="Calibri"/>
          <w:lang w:val="en-GB"/>
        </w:rPr>
      </w:pPr>
      <w:r w:rsidRPr="00BB323C">
        <w:rPr>
          <w:rFonts w:cs="Calibri"/>
          <w:lang w:val="en-GB"/>
        </w:rPr>
        <w:t xml:space="preserve">The Covenant, in its Articles 11 and 12, guarantee the right to an adequate standard of living and the right to health. The Committee has underlined that </w:t>
      </w:r>
      <w:r w:rsidRPr="00FD1FA3">
        <w:rPr>
          <w:rFonts w:cs="Calibri"/>
          <w:i/>
          <w:iCs/>
          <w:color w:val="000000"/>
          <w:shd w:val="clear" w:color="auto" w:fill="FFFFFF"/>
          <w:lang w:val="en-US"/>
        </w:rPr>
        <w:t>State part</w:t>
      </w:r>
      <w:r w:rsidRPr="00BB323C">
        <w:rPr>
          <w:rFonts w:cs="Calibri"/>
          <w:i/>
          <w:iCs/>
          <w:color w:val="000000"/>
          <w:shd w:val="clear" w:color="auto" w:fill="FFFFFF"/>
          <w:lang w:val="en-US"/>
        </w:rPr>
        <w:t>ies</w:t>
      </w:r>
      <w:r w:rsidRPr="00FD1FA3">
        <w:rPr>
          <w:rFonts w:cs="Calibri"/>
          <w:i/>
          <w:iCs/>
          <w:color w:val="000000"/>
          <w:shd w:val="clear" w:color="auto" w:fill="FFFFFF"/>
          <w:lang w:val="en-US"/>
        </w:rPr>
        <w:t xml:space="preserve"> must demonstrate, inter alia, that it has taken whatever steps are necessary, either alone or on the basis of international cooperation, to ascertain the full extent of homelessness and inadequate housing within its jurisdiction. In this regard, the revised general guidelines regarding the form and contents of reports adopted by the Committee (E/C.12/1991/1) emphasize the need to “provide detailed information about those groups within ... </w:t>
      </w:r>
      <w:proofErr w:type="gramStart"/>
      <w:r w:rsidRPr="00FD1FA3">
        <w:rPr>
          <w:rFonts w:cs="Calibri"/>
          <w:i/>
          <w:iCs/>
          <w:color w:val="000000"/>
          <w:shd w:val="clear" w:color="auto" w:fill="FFFFFF"/>
          <w:lang w:val="en-US"/>
        </w:rPr>
        <w:t>society that are</w:t>
      </w:r>
      <w:proofErr w:type="gramEnd"/>
      <w:r w:rsidRPr="00FD1FA3">
        <w:rPr>
          <w:rFonts w:cs="Calibri"/>
          <w:i/>
          <w:iCs/>
          <w:color w:val="000000"/>
          <w:shd w:val="clear" w:color="auto" w:fill="FFFFFF"/>
          <w:lang w:val="en-US"/>
        </w:rPr>
        <w:t xml:space="preserve"> vulnerable and disadvantaged with regard to housing”.</w:t>
      </w:r>
      <w:r w:rsidRPr="00BB323C">
        <w:rPr>
          <w:rStyle w:val="a7"/>
          <w:rFonts w:cs="Calibri"/>
          <w:i/>
          <w:lang w:val="en-GB"/>
        </w:rPr>
        <w:footnoteReference w:id="3"/>
      </w:r>
      <w:r w:rsidRPr="00BB323C">
        <w:rPr>
          <w:rFonts w:cs="Calibri"/>
          <w:lang w:val="en-GB"/>
        </w:rPr>
        <w:t xml:space="preserve"> The CESCR Committee has also explained that “segregation and isolation achieved through the imposition of physical and social barriers”</w:t>
      </w:r>
      <w:r w:rsidRPr="00BB323C">
        <w:rPr>
          <w:rFonts w:cs="Calibri"/>
          <w:vertAlign w:val="superscript"/>
          <w:lang w:val="en-GB"/>
        </w:rPr>
        <w:footnoteReference w:id="4"/>
      </w:r>
      <w:r w:rsidRPr="00BB323C">
        <w:rPr>
          <w:rFonts w:cs="Calibri"/>
          <w:lang w:val="en-GB"/>
        </w:rPr>
        <w:t xml:space="preserve"> is a form of discrimination. Such characteristics constitute an accurate description of Moldovan long-term residential institutions, which effectively segregate persons with disabilities for life.</w:t>
      </w:r>
    </w:p>
    <w:p w:rsidR="00C55ADF" w:rsidRPr="009D004C" w:rsidRDefault="00C55ADF" w:rsidP="00DF4048">
      <w:pPr>
        <w:jc w:val="both"/>
        <w:rPr>
          <w:rFonts w:cs="Calibri"/>
          <w:b/>
          <w:i/>
          <w:lang w:val="en-GB"/>
        </w:rPr>
      </w:pPr>
      <w:r w:rsidRPr="009F03BD">
        <w:rPr>
          <w:rFonts w:cs="Calibri"/>
          <w:b/>
          <w:i/>
          <w:lang w:val="en-GB"/>
        </w:rPr>
        <w:t>Choosing a place to live</w:t>
      </w:r>
    </w:p>
    <w:p w:rsidR="00C55ADF" w:rsidRDefault="00C55ADF" w:rsidP="00DF4048">
      <w:pPr>
        <w:jc w:val="both"/>
        <w:rPr>
          <w:rFonts w:cs="Calibri"/>
          <w:lang w:val="en-GB"/>
        </w:rPr>
      </w:pPr>
      <w:r w:rsidRPr="00BB323C">
        <w:rPr>
          <w:rFonts w:cs="Calibri"/>
          <w:lang w:val="en-GB"/>
        </w:rPr>
        <w:t xml:space="preserve">In spite of the on-going guardianship reform, persons with mental disabilities can still be deprived of legal capacity through judicial procedures. Moreover, not even the legal amendments proposed through this reform, which are currently being examined in the Parliament of the Republic of Moldova, would fully implement international CESCR standards, including relevant recommendations of the UN human </w:t>
      </w:r>
      <w:r w:rsidRPr="00BB323C">
        <w:rPr>
          <w:rFonts w:cs="Calibri"/>
          <w:lang w:val="en-GB"/>
        </w:rPr>
        <w:lastRenderedPageBreak/>
        <w:t>rights treaty bodies that monitor implementation of core international human rights treaties and of the Special Reporter on the rights of persons with disabilities.</w:t>
      </w:r>
      <w:r w:rsidRPr="00BB323C">
        <w:rPr>
          <w:rStyle w:val="a7"/>
          <w:rFonts w:cs="Calibri"/>
          <w:lang w:val="en-GB"/>
        </w:rPr>
        <w:footnoteReference w:id="5"/>
      </w:r>
    </w:p>
    <w:p w:rsidR="00C55ADF" w:rsidRPr="00D84E71" w:rsidRDefault="00C55ADF" w:rsidP="00D84E71">
      <w:pPr>
        <w:jc w:val="both"/>
        <w:rPr>
          <w:rFonts w:cs="Calibri"/>
          <w:lang w:val="en-GB"/>
        </w:rPr>
      </w:pPr>
      <w:r w:rsidRPr="00D84E71">
        <w:rPr>
          <w:rFonts w:cs="Calibri"/>
          <w:lang w:val="en-GB"/>
        </w:rPr>
        <w:t xml:space="preserve">According to domestic law, a person can be obligated to „psychiatric expertise” where an incapacitation would be stated in the report, in almost all cases when the person faces a psychiatric diagnosis. </w:t>
      </w:r>
    </w:p>
    <w:p w:rsidR="00C55ADF" w:rsidRDefault="00C55ADF" w:rsidP="00D84E71">
      <w:pPr>
        <w:jc w:val="both"/>
        <w:rPr>
          <w:rFonts w:cs="Calibri"/>
          <w:lang w:val="en-GB"/>
        </w:rPr>
      </w:pPr>
      <w:r w:rsidRPr="00D84E71">
        <w:rPr>
          <w:rFonts w:cs="Calibri"/>
          <w:lang w:val="en-GB"/>
        </w:rPr>
        <w:t>A psychiatric legal expertise is merely a subjective assessment of the mental disorder and does not provide for a complex functional assessment. Persons with mental disabilities that were declared “incapable persons” by a court decision, which is based on a medical expertise, cannot exercise any rights. Currently, in 6-neurological boarding houses are held about 600 persons who are declared incapable</w:t>
      </w:r>
      <w:r>
        <w:rPr>
          <w:rFonts w:cs="Calibri"/>
          <w:lang w:val="en-GB"/>
        </w:rPr>
        <w:t>,</w:t>
      </w:r>
      <w:r w:rsidRPr="00D84E71">
        <w:rPr>
          <w:rFonts w:cs="Calibri"/>
          <w:lang w:val="en-GB"/>
        </w:rPr>
        <w:t xml:space="preserve"> and therefore are deprived of their legal capacity.</w:t>
      </w:r>
    </w:p>
    <w:p w:rsidR="00C55ADF" w:rsidRPr="00BB323C" w:rsidRDefault="00C55ADF" w:rsidP="00D84E71">
      <w:pPr>
        <w:jc w:val="both"/>
        <w:rPr>
          <w:rFonts w:cs="Calibri"/>
          <w:lang w:val="en-GB"/>
        </w:rPr>
      </w:pPr>
      <w:r w:rsidRPr="00BB323C">
        <w:rPr>
          <w:rFonts w:cs="Calibri"/>
          <w:lang w:val="en-GB"/>
        </w:rPr>
        <w:t>This is relevant in the context of institutionalisation</w:t>
      </w:r>
      <w:r>
        <w:rPr>
          <w:rFonts w:cs="Calibri"/>
          <w:lang w:val="en-GB"/>
        </w:rPr>
        <w:t>,</w:t>
      </w:r>
      <w:r w:rsidRPr="00BB323C">
        <w:rPr>
          <w:rFonts w:cs="Calibri"/>
          <w:lang w:val="en-GB"/>
        </w:rPr>
        <w:t xml:space="preserve"> because when people are deprived of legal capacity, their right to make decision in relation to where to live is impaired, often giving guardians or relatives the right to intervene in such decisions and force them to leave in institutionalized settings. Many people with disabilities in Moldova are therefore placed in institutions against their will on the basis of such legislation, institutions which they can’t leave.</w:t>
      </w:r>
    </w:p>
    <w:p w:rsidR="00C55ADF" w:rsidRPr="00BB323C" w:rsidRDefault="00C55ADF" w:rsidP="005C27C7">
      <w:pPr>
        <w:jc w:val="both"/>
        <w:rPr>
          <w:rFonts w:eastAsia="MS Mincho" w:cs="Calibri"/>
          <w:lang w:val="en-GB" w:eastAsia="ru-RU"/>
        </w:rPr>
      </w:pPr>
      <w:r w:rsidRPr="00BB323C">
        <w:rPr>
          <w:rFonts w:cs="Calibri"/>
          <w:lang w:val="en-GB"/>
        </w:rPr>
        <w:t>Moreover, even when such legal provisions are not directly applied, people with disabilities have difficulties in choosing where their home will be</w:t>
      </w:r>
      <w:r>
        <w:rPr>
          <w:rFonts w:cs="Calibri"/>
          <w:lang w:val="en-GB"/>
        </w:rPr>
        <w:t>,</w:t>
      </w:r>
      <w:r w:rsidRPr="00BB323C">
        <w:rPr>
          <w:rFonts w:cs="Calibri"/>
          <w:lang w:val="en-GB"/>
        </w:rPr>
        <w:t xml:space="preserve"> due to practices strongly embedded in some settings. For example, IDOM has found cases where people where forbidden to leave the institution even if they had full legal capacity, as well as a medical opinions stating that their health state allows leaving the institution</w:t>
      </w:r>
      <w:r w:rsidRPr="00BB323C">
        <w:rPr>
          <w:rFonts w:eastAsia="MS Mincho" w:cs="Calibri"/>
          <w:lang w:val="en-GB" w:eastAsia="ru-RU"/>
        </w:rPr>
        <w:t>.</w:t>
      </w:r>
      <w:r w:rsidRPr="00BB323C">
        <w:rPr>
          <w:rStyle w:val="a7"/>
          <w:rFonts w:eastAsia="MS Mincho" w:cs="Calibri"/>
          <w:lang w:val="en-GB" w:eastAsia="ru-RU"/>
        </w:rPr>
        <w:footnoteReference w:id="6"/>
      </w:r>
      <w:r w:rsidRPr="00BB323C">
        <w:rPr>
          <w:rFonts w:eastAsia="MS Mincho" w:cs="Calibri"/>
          <w:lang w:val="en-GB" w:eastAsia="ru-RU"/>
        </w:rPr>
        <w:t xml:space="preserve"> This is despite that some of these people have </w:t>
      </w:r>
      <w:r>
        <w:rPr>
          <w:rFonts w:eastAsia="MS Mincho" w:cs="Calibri"/>
          <w:lang w:val="en-GB" w:eastAsia="ru-RU"/>
        </w:rPr>
        <w:t>indicated</w:t>
      </w:r>
      <w:r w:rsidRPr="00BB323C">
        <w:rPr>
          <w:rFonts w:eastAsia="MS Mincho" w:cs="Calibri"/>
          <w:lang w:val="en-GB" w:eastAsia="ru-RU"/>
        </w:rPr>
        <w:t xml:space="preserve"> place</w:t>
      </w:r>
      <w:r>
        <w:rPr>
          <w:rFonts w:eastAsia="MS Mincho" w:cs="Calibri"/>
          <w:lang w:val="en-GB" w:eastAsia="ru-RU"/>
        </w:rPr>
        <w:t>(</w:t>
      </w:r>
      <w:r w:rsidRPr="00BB323C">
        <w:rPr>
          <w:rFonts w:eastAsia="MS Mincho" w:cs="Calibri"/>
          <w:lang w:val="en-GB" w:eastAsia="ru-RU"/>
        </w:rPr>
        <w:t>s</w:t>
      </w:r>
      <w:r>
        <w:rPr>
          <w:rFonts w:eastAsia="MS Mincho" w:cs="Calibri"/>
          <w:lang w:val="en-GB" w:eastAsia="ru-RU"/>
        </w:rPr>
        <w:t>)</w:t>
      </w:r>
      <w:r w:rsidRPr="00BB323C">
        <w:rPr>
          <w:rFonts w:eastAsia="MS Mincho" w:cs="Calibri"/>
          <w:lang w:val="en-GB" w:eastAsia="ru-RU"/>
        </w:rPr>
        <w:t xml:space="preserve"> where they could leave outside the institution, such as reintegration in the family, leaving with partners or living in house</w:t>
      </w:r>
      <w:r>
        <w:rPr>
          <w:rFonts w:eastAsia="MS Mincho" w:cs="Calibri"/>
          <w:lang w:val="en-GB" w:eastAsia="ru-RU"/>
        </w:rPr>
        <w:t>(</w:t>
      </w:r>
      <w:r w:rsidRPr="00BB323C">
        <w:rPr>
          <w:rFonts w:eastAsia="MS Mincho" w:cs="Calibri"/>
          <w:lang w:val="en-GB" w:eastAsia="ru-RU"/>
        </w:rPr>
        <w:t>s</w:t>
      </w:r>
      <w:r>
        <w:rPr>
          <w:rFonts w:eastAsia="MS Mincho" w:cs="Calibri"/>
          <w:lang w:val="en-GB" w:eastAsia="ru-RU"/>
        </w:rPr>
        <w:t>)</w:t>
      </w:r>
      <w:r w:rsidRPr="00BB323C">
        <w:rPr>
          <w:rFonts w:eastAsia="MS Mincho" w:cs="Calibri"/>
          <w:lang w:val="en-GB" w:eastAsia="ru-RU"/>
        </w:rPr>
        <w:t xml:space="preserve"> they owned</w:t>
      </w:r>
      <w:r>
        <w:rPr>
          <w:rFonts w:eastAsia="MS Mincho" w:cs="Calibri"/>
          <w:lang w:val="en-GB" w:eastAsia="ru-RU"/>
        </w:rPr>
        <w:t>.</w:t>
      </w:r>
      <w:r w:rsidRPr="00BB323C">
        <w:rPr>
          <w:rFonts w:eastAsia="MS Mincho" w:cs="Calibri"/>
          <w:lang w:val="en-GB" w:eastAsia="ru-RU"/>
        </w:rPr>
        <w:t xml:space="preserve"> The Ministry of Labour, Social Policy and Family has refused to allow them to leave invoking the disagreement to such steps of some family members (some of which lived in houses partially owned by the person with disability) or the lack of financial resources to support them.</w:t>
      </w:r>
      <w:r w:rsidRPr="00BB323C">
        <w:rPr>
          <w:rStyle w:val="a7"/>
          <w:rFonts w:eastAsia="MS Mincho" w:cs="Calibri"/>
          <w:lang w:val="en-GB" w:eastAsia="ru-RU"/>
        </w:rPr>
        <w:t xml:space="preserve"> </w:t>
      </w:r>
      <w:r w:rsidRPr="00BB323C">
        <w:rPr>
          <w:rStyle w:val="a7"/>
          <w:rFonts w:eastAsia="MS Mincho" w:cs="Calibri"/>
          <w:lang w:val="en-GB" w:eastAsia="ru-RU"/>
        </w:rPr>
        <w:footnoteReference w:id="7"/>
      </w:r>
    </w:p>
    <w:p w:rsidR="00C55ADF" w:rsidRPr="00BB323C" w:rsidRDefault="00C55ADF" w:rsidP="00D31E4A">
      <w:pPr>
        <w:jc w:val="both"/>
        <w:rPr>
          <w:rFonts w:eastAsia="MS Mincho" w:cs="Calibri"/>
          <w:lang w:val="en-GB" w:eastAsia="ru-RU"/>
        </w:rPr>
      </w:pPr>
      <w:r w:rsidRPr="00BB323C">
        <w:rPr>
          <w:rFonts w:eastAsia="MS Mincho" w:cs="Calibri"/>
          <w:lang w:val="en-GB" w:eastAsia="ru-RU"/>
        </w:rPr>
        <w:t>What must be underlined is that irrespective of everything, the right to adequate housing should be interpreted in the light of the provisions of the UN Convention on the Rights of Persons with Disabilities, which guarantees them all the right to  living independently and being included in the community (Article 19), requiring  States Parties to recognize the equal right of all persons with disabilities to live in the community, with choices equal to others and to take effective and appropriate measures to facilitate full enjoyment by persons with disabilities of this right.</w:t>
      </w:r>
    </w:p>
    <w:p w:rsidR="00C55ADF" w:rsidRPr="00BB323C" w:rsidRDefault="00C55ADF" w:rsidP="008A2147">
      <w:pPr>
        <w:jc w:val="both"/>
        <w:rPr>
          <w:rFonts w:cs="Calibri"/>
          <w:lang w:val="en-GB"/>
        </w:rPr>
      </w:pPr>
      <w:r w:rsidRPr="00BB323C">
        <w:rPr>
          <w:rFonts w:cs="Calibri"/>
          <w:lang w:val="en-GB"/>
        </w:rPr>
        <w:t>In Moldova</w:t>
      </w:r>
      <w:r>
        <w:rPr>
          <w:rFonts w:cs="Calibri"/>
          <w:lang w:val="en-GB"/>
        </w:rPr>
        <w:t>,</w:t>
      </w:r>
      <w:r w:rsidRPr="00BB323C">
        <w:rPr>
          <w:rFonts w:cs="Calibri"/>
          <w:lang w:val="en-GB"/>
        </w:rPr>
        <w:t xml:space="preserve"> however</w:t>
      </w:r>
      <w:r>
        <w:rPr>
          <w:rFonts w:cs="Calibri"/>
          <w:lang w:val="en-GB"/>
        </w:rPr>
        <w:t>,</w:t>
      </w:r>
      <w:r w:rsidRPr="00BB323C">
        <w:rPr>
          <w:rFonts w:cs="Calibri"/>
          <w:lang w:val="en-GB"/>
        </w:rPr>
        <w:t xml:space="preserve"> people with disabilities are often not provided with alternatives to institutionalisation, which would enable them to live in the community. In the same time</w:t>
      </w:r>
      <w:r>
        <w:rPr>
          <w:rFonts w:cs="Calibri"/>
          <w:lang w:val="en-GB"/>
        </w:rPr>
        <w:t>,</w:t>
      </w:r>
      <w:r w:rsidRPr="00BB323C">
        <w:rPr>
          <w:rFonts w:cs="Calibri"/>
          <w:lang w:val="en-GB"/>
        </w:rPr>
        <w:t xml:space="preserve"> there are numerous reports</w:t>
      </w:r>
      <w:r>
        <w:rPr>
          <w:rFonts w:cs="Calibri"/>
          <w:lang w:val="en-GB"/>
        </w:rPr>
        <w:t>,</w:t>
      </w:r>
      <w:r w:rsidRPr="00BB323C">
        <w:rPr>
          <w:rFonts w:cs="Calibri"/>
          <w:lang w:val="en-GB"/>
        </w:rPr>
        <w:t xml:space="preserve"> which reveal that institutionalisation of persons with disabilities places </w:t>
      </w:r>
      <w:r>
        <w:rPr>
          <w:rFonts w:cs="Calibri"/>
          <w:lang w:val="en-GB"/>
        </w:rPr>
        <w:t xml:space="preserve">are </w:t>
      </w:r>
      <w:proofErr w:type="gramStart"/>
      <w:r>
        <w:rPr>
          <w:rFonts w:cs="Calibri"/>
          <w:lang w:val="en-GB"/>
        </w:rPr>
        <w:t xml:space="preserve">of </w:t>
      </w:r>
      <w:r w:rsidRPr="00BB323C">
        <w:rPr>
          <w:rFonts w:cs="Calibri"/>
          <w:lang w:val="en-GB"/>
        </w:rPr>
        <w:t xml:space="preserve"> significantly</w:t>
      </w:r>
      <w:proofErr w:type="gramEnd"/>
      <w:r w:rsidRPr="00BB323C">
        <w:rPr>
          <w:rFonts w:cs="Calibri"/>
          <w:lang w:val="en-GB"/>
        </w:rPr>
        <w:t xml:space="preserve"> increased risk of human rights abuses, including living</w:t>
      </w:r>
      <w:r>
        <w:rPr>
          <w:rFonts w:cs="Calibri"/>
          <w:lang w:val="en-GB"/>
        </w:rPr>
        <w:t xml:space="preserve"> in</w:t>
      </w:r>
      <w:r w:rsidRPr="00BB323C">
        <w:rPr>
          <w:rFonts w:cs="Calibri"/>
          <w:lang w:val="en-GB"/>
        </w:rPr>
        <w:t xml:space="preserve"> inhuman and degrading conditions, suffering from physical and emotional abuse and being subjected to forced treatments, cases which can often reach the level of inhuman or degrading treatment or punishment and even torture.</w:t>
      </w:r>
      <w:r w:rsidRPr="00BB323C">
        <w:rPr>
          <w:rFonts w:cs="Calibri"/>
          <w:vertAlign w:val="superscript"/>
          <w:lang w:val="en-GB"/>
        </w:rPr>
        <w:footnoteReference w:id="8"/>
      </w:r>
      <w:r w:rsidRPr="00BB323C">
        <w:rPr>
          <w:rFonts w:cs="Calibri"/>
          <w:lang w:val="en-GB"/>
        </w:rPr>
        <w:t xml:space="preserve"> Such </w:t>
      </w:r>
      <w:r w:rsidRPr="00BB323C">
        <w:rPr>
          <w:rFonts w:cs="Calibri"/>
          <w:lang w:val="en-GB"/>
        </w:rPr>
        <w:lastRenderedPageBreak/>
        <w:t>conditions cannot fulfil the requirements of an adequate standard of living or proper access to health services required by CESCR.</w:t>
      </w:r>
      <w:r>
        <w:rPr>
          <w:rFonts w:cs="Calibri"/>
          <w:lang w:val="en-GB"/>
        </w:rPr>
        <w:t xml:space="preserve"> Thus, there is </w:t>
      </w:r>
      <w:r w:rsidRPr="00BB323C">
        <w:rPr>
          <w:rFonts w:cs="Calibri"/>
          <w:lang w:val="en-GB"/>
        </w:rPr>
        <w:t xml:space="preserve">an urgent need to implement developing deinstitutionalisation policies in relation to both children and adults. </w:t>
      </w:r>
    </w:p>
    <w:p w:rsidR="00C55ADF" w:rsidRPr="009D004C" w:rsidRDefault="00C55ADF" w:rsidP="00A12250">
      <w:pPr>
        <w:jc w:val="both"/>
        <w:rPr>
          <w:rFonts w:cs="Calibri"/>
          <w:b/>
          <w:i/>
          <w:lang w:val="en-GB"/>
        </w:rPr>
      </w:pPr>
      <w:r w:rsidRPr="009F03BD">
        <w:rPr>
          <w:rFonts w:cs="Calibri"/>
          <w:b/>
          <w:i/>
          <w:lang w:val="en-GB"/>
        </w:rPr>
        <w:t>Deinstitutionalization plans and policies</w:t>
      </w:r>
    </w:p>
    <w:p w:rsidR="00C55ADF" w:rsidRPr="00BB323C" w:rsidRDefault="00C55ADF" w:rsidP="000A76BC">
      <w:pPr>
        <w:jc w:val="both"/>
        <w:rPr>
          <w:rFonts w:cs="Calibri"/>
          <w:lang w:val="en-GB"/>
        </w:rPr>
      </w:pPr>
      <w:r w:rsidRPr="00BB323C">
        <w:rPr>
          <w:rFonts w:cs="Calibri"/>
          <w:lang w:val="en-GB"/>
        </w:rPr>
        <w:t xml:space="preserve">Considering those said above, there is an urgent need for the Republic of Moldova to stick to the deinstitutionalisation obligations it has committed to. While the Moldovan Government has developed a plan of action and created some services through which people with disabilities can live in the community and receive community based treatment, when needed, in practice the number of available homes and services are insufficient. </w:t>
      </w:r>
    </w:p>
    <w:p w:rsidR="00C55ADF" w:rsidRPr="00BB323C" w:rsidRDefault="00C55ADF" w:rsidP="000A76BC">
      <w:pPr>
        <w:jc w:val="both"/>
        <w:rPr>
          <w:rFonts w:cs="Calibri"/>
          <w:lang w:val="en-GB"/>
        </w:rPr>
      </w:pPr>
      <w:r w:rsidRPr="00BB323C">
        <w:rPr>
          <w:rFonts w:cs="Calibri"/>
          <w:lang w:val="en-GB"/>
        </w:rPr>
        <w:t>Moreover, the implementation of the reform is slow. Technically</w:t>
      </w:r>
      <w:r>
        <w:rPr>
          <w:rFonts w:cs="Calibri"/>
          <w:lang w:val="en-GB"/>
        </w:rPr>
        <w:t>,</w:t>
      </w:r>
      <w:r w:rsidRPr="00BB323C">
        <w:rPr>
          <w:rFonts w:cs="Calibri"/>
          <w:lang w:val="en-GB"/>
        </w:rPr>
        <w:t xml:space="preserve"> the Republic of Moldova initiated deinstitutionalisation in 2009. Between 2009 and 2014 the number of people which were institutionalized decreasing with 1.000 residents (from 4100 in 2009 to 3100 in 2014)</w:t>
      </w:r>
      <w:proofErr w:type="gramStart"/>
      <w:r w:rsidRPr="00BB323C">
        <w:rPr>
          <w:rFonts w:cs="Calibri"/>
          <w:lang w:val="en-GB"/>
        </w:rPr>
        <w:t>.</w:t>
      </w:r>
      <w:proofErr w:type="gramEnd"/>
      <w:r w:rsidRPr="00BB323C">
        <w:rPr>
          <w:rFonts w:cs="Calibri"/>
          <w:lang w:val="en-GB"/>
        </w:rPr>
        <w:t xml:space="preserve"> In 2016 the number of people with institutions seems however to have increased with 230 people (to more than 3.300).</w:t>
      </w:r>
      <w:r w:rsidRPr="00BB323C">
        <w:rPr>
          <w:rStyle w:val="a7"/>
          <w:rFonts w:cs="Calibri"/>
          <w:lang w:val="en-GB"/>
        </w:rPr>
        <w:footnoteReference w:id="9"/>
      </w:r>
      <w:r>
        <w:rPr>
          <w:rFonts w:cs="Calibri"/>
          <w:lang w:val="en-GB"/>
        </w:rPr>
        <w:t xml:space="preserve"> </w:t>
      </w:r>
    </w:p>
    <w:p w:rsidR="00C55ADF" w:rsidRPr="00BB323C" w:rsidRDefault="00C55ADF" w:rsidP="000A76BC">
      <w:pPr>
        <w:jc w:val="both"/>
        <w:rPr>
          <w:rFonts w:cs="Calibri"/>
          <w:lang w:val="en-GB"/>
        </w:rPr>
      </w:pPr>
      <w:r>
        <w:rPr>
          <w:rFonts w:cs="Calibri"/>
          <w:lang w:val="en-GB"/>
        </w:rPr>
        <w:t xml:space="preserve">We consider that there is </w:t>
      </w:r>
      <w:r w:rsidRPr="00BB323C">
        <w:rPr>
          <w:rFonts w:cs="Calibri"/>
          <w:lang w:val="en-GB"/>
        </w:rPr>
        <w:t xml:space="preserve">no state policy </w:t>
      </w:r>
      <w:r>
        <w:rPr>
          <w:rFonts w:cs="Calibri"/>
          <w:lang w:val="en-GB"/>
        </w:rPr>
        <w:t xml:space="preserve">that would </w:t>
      </w:r>
      <w:r w:rsidRPr="00BB323C">
        <w:rPr>
          <w:rFonts w:cs="Calibri"/>
          <w:lang w:val="en-GB"/>
        </w:rPr>
        <w:t>adequately ensur</w:t>
      </w:r>
      <w:r>
        <w:rPr>
          <w:rFonts w:cs="Calibri"/>
          <w:lang w:val="en-GB"/>
        </w:rPr>
        <w:t xml:space="preserve">e </w:t>
      </w:r>
      <w:r w:rsidRPr="00BB323C">
        <w:rPr>
          <w:rFonts w:cs="Calibri"/>
          <w:lang w:val="en-GB"/>
        </w:rPr>
        <w:t>basic housing services within the community for all people with disabilities,</w:t>
      </w:r>
      <w:r>
        <w:rPr>
          <w:rFonts w:cs="Calibri"/>
          <w:lang w:val="en-GB"/>
        </w:rPr>
        <w:t xml:space="preserve"> and this </w:t>
      </w:r>
      <w:r w:rsidRPr="00BB323C">
        <w:rPr>
          <w:rFonts w:cs="Calibri"/>
          <w:lang w:val="en-GB"/>
        </w:rPr>
        <w:t xml:space="preserve">represents a violation of the right to social security. There is also no </w:t>
      </w:r>
      <w:r>
        <w:rPr>
          <w:rFonts w:cs="Calibri"/>
          <w:lang w:val="en-GB"/>
        </w:rPr>
        <w:t xml:space="preserve">state </w:t>
      </w:r>
      <w:r w:rsidRPr="00BB323C">
        <w:rPr>
          <w:rFonts w:cs="Calibri"/>
          <w:lang w:val="en-GB"/>
        </w:rPr>
        <w:t>system of collection of reliable data</w:t>
      </w:r>
      <w:r>
        <w:rPr>
          <w:rFonts w:cs="Calibri"/>
          <w:lang w:val="en-GB"/>
        </w:rPr>
        <w:t>/available data</w:t>
      </w:r>
      <w:r w:rsidRPr="00BB323C">
        <w:rPr>
          <w:rFonts w:cs="Calibri"/>
          <w:lang w:val="en-GB"/>
        </w:rPr>
        <w:t xml:space="preserve"> on the quality of services provided in the psychiatric and residential institutions. In addition to these, currently the development and maintenance of alternative support services for people with mental disabilities constitute </w:t>
      </w:r>
      <w:r>
        <w:rPr>
          <w:rFonts w:cs="Calibri"/>
          <w:lang w:val="en-GB"/>
        </w:rPr>
        <w:t xml:space="preserve">only </w:t>
      </w:r>
      <w:r w:rsidRPr="00BB323C">
        <w:rPr>
          <w:rFonts w:cs="Calibri"/>
          <w:lang w:val="en-GB"/>
        </w:rPr>
        <w:t xml:space="preserve">the responsibility of </w:t>
      </w:r>
      <w:r>
        <w:rPr>
          <w:rFonts w:cs="Calibri"/>
          <w:lang w:val="en-GB"/>
        </w:rPr>
        <w:t xml:space="preserve">the </w:t>
      </w:r>
      <w:r w:rsidRPr="00BB323C">
        <w:rPr>
          <w:rFonts w:cs="Calibri"/>
          <w:lang w:val="en-GB"/>
        </w:rPr>
        <w:t xml:space="preserve">local authorities, which often lack specific funding for </w:t>
      </w:r>
      <w:r>
        <w:rPr>
          <w:rFonts w:cs="Calibri"/>
          <w:lang w:val="en-GB"/>
        </w:rPr>
        <w:t xml:space="preserve">alternative </w:t>
      </w:r>
      <w:r w:rsidRPr="00BB323C">
        <w:rPr>
          <w:rFonts w:cs="Calibri"/>
          <w:lang w:val="en-GB"/>
        </w:rPr>
        <w:t>services</w:t>
      </w:r>
      <w:r>
        <w:rPr>
          <w:rFonts w:cs="Calibri"/>
          <w:lang w:val="en-GB"/>
        </w:rPr>
        <w:t xml:space="preserve"> for people in need</w:t>
      </w:r>
      <w:r w:rsidRPr="00BB323C">
        <w:rPr>
          <w:rFonts w:cs="Calibri"/>
          <w:lang w:val="en-GB"/>
        </w:rPr>
        <w:t xml:space="preserve">. </w:t>
      </w:r>
    </w:p>
    <w:p w:rsidR="00C55ADF" w:rsidRPr="009D004C" w:rsidRDefault="00C55ADF" w:rsidP="002431B9">
      <w:pPr>
        <w:jc w:val="both"/>
        <w:rPr>
          <w:rFonts w:cs="Calibri"/>
          <w:b/>
          <w:u w:val="single"/>
          <w:lang w:val="en-GB"/>
        </w:rPr>
      </w:pPr>
      <w:r w:rsidRPr="009F03BD">
        <w:rPr>
          <w:rFonts w:cs="Calibri"/>
          <w:b/>
          <w:u w:val="single"/>
          <w:lang w:val="en-GB"/>
        </w:rPr>
        <w:t>Suggested questions to the Government:</w:t>
      </w:r>
    </w:p>
    <w:p w:rsidR="00C55ADF" w:rsidRDefault="00C55ADF" w:rsidP="00B661FE">
      <w:pPr>
        <w:pStyle w:val="a8"/>
        <w:numPr>
          <w:ilvl w:val="0"/>
          <w:numId w:val="2"/>
        </w:numPr>
        <w:spacing w:after="0" w:line="240" w:lineRule="auto"/>
        <w:ind w:right="-46"/>
        <w:jc w:val="both"/>
        <w:rPr>
          <w:rFonts w:cs="Calibri"/>
          <w:b/>
          <w:lang w:val="en-GB"/>
        </w:rPr>
      </w:pPr>
      <w:r>
        <w:rPr>
          <w:rFonts w:cs="Calibri"/>
          <w:b/>
          <w:lang w:val="en-GB"/>
        </w:rPr>
        <w:t>Is the Government</w:t>
      </w:r>
      <w:r w:rsidRPr="00BB323C">
        <w:rPr>
          <w:rFonts w:cs="Calibri"/>
          <w:b/>
          <w:lang w:val="en-GB"/>
        </w:rPr>
        <w:t xml:space="preserve"> planning to institute a moratorium on depriving people of legal capacity for as long as the reform of the guardianship system will be adopted and implemented? </w:t>
      </w:r>
    </w:p>
    <w:p w:rsidR="00C55ADF" w:rsidRDefault="00C55ADF" w:rsidP="00B661FE">
      <w:pPr>
        <w:pStyle w:val="a8"/>
        <w:numPr>
          <w:ilvl w:val="0"/>
          <w:numId w:val="2"/>
        </w:numPr>
        <w:spacing w:after="0" w:line="240" w:lineRule="auto"/>
        <w:ind w:left="714" w:right="-45" w:hanging="357"/>
        <w:jc w:val="both"/>
        <w:rPr>
          <w:rFonts w:cs="Calibri"/>
          <w:b/>
          <w:lang w:val="en-GB"/>
        </w:rPr>
      </w:pPr>
      <w:r w:rsidRPr="008604CB">
        <w:rPr>
          <w:rFonts w:cs="Calibri"/>
          <w:b/>
          <w:lang w:val="en-GB"/>
        </w:rPr>
        <w:t>What steps is the Gover</w:t>
      </w:r>
      <w:r>
        <w:rPr>
          <w:rFonts w:cs="Calibri"/>
          <w:b/>
          <w:lang w:val="en-GB"/>
        </w:rPr>
        <w:t>n</w:t>
      </w:r>
      <w:r w:rsidRPr="008604CB">
        <w:rPr>
          <w:rFonts w:cs="Calibri"/>
          <w:b/>
          <w:lang w:val="en-GB"/>
        </w:rPr>
        <w:t>ment taking to abolish the measures through which people are limit</w:t>
      </w:r>
      <w:r>
        <w:rPr>
          <w:rFonts w:cs="Calibri"/>
          <w:b/>
          <w:lang w:val="en-GB"/>
        </w:rPr>
        <w:t xml:space="preserve">ed in their legal capacity and </w:t>
      </w:r>
      <w:r w:rsidRPr="008604CB">
        <w:rPr>
          <w:rFonts w:cs="Calibri"/>
          <w:b/>
          <w:lang w:val="en-GB"/>
        </w:rPr>
        <w:t>eliminating the psychiatric expertise?</w:t>
      </w:r>
    </w:p>
    <w:p w:rsidR="00C55ADF" w:rsidRDefault="00C55ADF" w:rsidP="00B661FE">
      <w:pPr>
        <w:pStyle w:val="a8"/>
        <w:numPr>
          <w:ilvl w:val="0"/>
          <w:numId w:val="2"/>
        </w:numPr>
        <w:spacing w:after="0" w:line="240" w:lineRule="auto"/>
        <w:ind w:right="-46"/>
        <w:jc w:val="both"/>
        <w:rPr>
          <w:rFonts w:cs="Calibri"/>
          <w:b/>
          <w:lang w:val="en-GB"/>
        </w:rPr>
      </w:pPr>
      <w:r w:rsidRPr="00D84E71">
        <w:rPr>
          <w:rFonts w:cs="Calibri"/>
          <w:b/>
          <w:lang w:val="en-GB"/>
        </w:rPr>
        <w:t>What are the standards that are followed by the legislative body to eliminate the deprivation or limitation of the legal capacity towards the persons with mental disabilities?</w:t>
      </w:r>
    </w:p>
    <w:p w:rsidR="00C55ADF" w:rsidRPr="00BB323C" w:rsidRDefault="00C55ADF" w:rsidP="00B661FE">
      <w:pPr>
        <w:pStyle w:val="a8"/>
        <w:numPr>
          <w:ilvl w:val="0"/>
          <w:numId w:val="2"/>
        </w:numPr>
        <w:spacing w:after="0" w:line="240" w:lineRule="auto"/>
        <w:ind w:left="714" w:right="-45" w:hanging="357"/>
        <w:jc w:val="both"/>
        <w:rPr>
          <w:rFonts w:cs="Calibri"/>
          <w:b/>
          <w:lang w:val="en-GB"/>
        </w:rPr>
      </w:pPr>
      <w:r w:rsidRPr="00BB323C">
        <w:rPr>
          <w:rFonts w:cs="Calibri"/>
          <w:b/>
          <w:lang w:val="en-GB"/>
        </w:rPr>
        <w:t xml:space="preserve">What measures is the Government planning to take in order the improve the system of assessing the support people with mental disabilities need in their daily life as to ensure their right to leave independently in the community? </w:t>
      </w:r>
    </w:p>
    <w:p w:rsidR="00C55ADF" w:rsidRPr="00BB323C" w:rsidRDefault="00C55ADF" w:rsidP="00A600A3">
      <w:pPr>
        <w:pStyle w:val="a8"/>
        <w:numPr>
          <w:ilvl w:val="0"/>
          <w:numId w:val="2"/>
        </w:numPr>
        <w:spacing w:after="0" w:line="240" w:lineRule="auto"/>
        <w:ind w:left="714" w:right="-46" w:hanging="357"/>
        <w:jc w:val="both"/>
        <w:rPr>
          <w:rFonts w:cs="Calibri"/>
          <w:lang w:val="en-GB"/>
        </w:rPr>
      </w:pPr>
      <w:r w:rsidRPr="00BB323C">
        <w:rPr>
          <w:rFonts w:cs="Calibri"/>
          <w:b/>
          <w:lang w:val="en-GB"/>
        </w:rPr>
        <w:t xml:space="preserve">Considering the reported cases of ill-treatment of people with disabilities in institutions (allegations of rape, physical abuse, deprivation of liberty, forced medication etc.), is the Government planning to take any measures to ensure the immediate protection of victims? </w:t>
      </w:r>
    </w:p>
    <w:p w:rsidR="00C55ADF" w:rsidRPr="00BB323C" w:rsidRDefault="00C55ADF" w:rsidP="00A600A3">
      <w:pPr>
        <w:pStyle w:val="a8"/>
        <w:numPr>
          <w:ilvl w:val="0"/>
          <w:numId w:val="2"/>
        </w:numPr>
        <w:spacing w:after="0" w:line="240" w:lineRule="auto"/>
        <w:ind w:left="714" w:hanging="357"/>
        <w:jc w:val="both"/>
        <w:rPr>
          <w:rFonts w:cs="Calibri"/>
          <w:b/>
          <w:lang w:val="en-GB"/>
        </w:rPr>
      </w:pPr>
      <w:r w:rsidRPr="00BB323C">
        <w:rPr>
          <w:rFonts w:cs="Calibri"/>
          <w:b/>
          <w:lang w:val="en-GB"/>
        </w:rPr>
        <w:t xml:space="preserve">What actions is the Government taking and planning to </w:t>
      </w:r>
      <w:r>
        <w:rPr>
          <w:rFonts w:cs="Calibri"/>
          <w:b/>
          <w:lang w:val="en-GB"/>
        </w:rPr>
        <w:t>under</w:t>
      </w:r>
      <w:r w:rsidRPr="00BB323C">
        <w:rPr>
          <w:rFonts w:cs="Calibri"/>
          <w:b/>
          <w:lang w:val="en-GB"/>
        </w:rPr>
        <w:t>take in order to ensure the closure of institutions that segregate people with disabilities and to ensure access to community-based services and accommodation, including access to mainstream services?</w:t>
      </w:r>
    </w:p>
    <w:p w:rsidR="00C55ADF" w:rsidRPr="00BB323C" w:rsidRDefault="00C55ADF" w:rsidP="00441BBF">
      <w:pPr>
        <w:pStyle w:val="a8"/>
        <w:numPr>
          <w:ilvl w:val="0"/>
          <w:numId w:val="2"/>
        </w:numPr>
        <w:spacing w:after="0" w:line="240" w:lineRule="auto"/>
        <w:ind w:left="714" w:hanging="357"/>
        <w:jc w:val="both"/>
        <w:rPr>
          <w:rFonts w:cs="Calibri"/>
          <w:b/>
          <w:lang w:val="en-GB"/>
        </w:rPr>
      </w:pPr>
      <w:r w:rsidRPr="00BB323C">
        <w:rPr>
          <w:rFonts w:cs="Calibri"/>
          <w:b/>
          <w:lang w:val="en-GB"/>
        </w:rPr>
        <w:lastRenderedPageBreak/>
        <w:t>Please provide information on the process of deinstitutionalisation of both</w:t>
      </w:r>
      <w:r>
        <w:rPr>
          <w:rFonts w:cs="Calibri"/>
          <w:b/>
          <w:lang w:val="en-GB"/>
        </w:rPr>
        <w:t>,</w:t>
      </w:r>
      <w:r w:rsidRPr="00BB323C">
        <w:rPr>
          <w:rFonts w:cs="Calibri"/>
          <w:b/>
          <w:lang w:val="en-GB"/>
        </w:rPr>
        <w:t xml:space="preserve"> children and adults, including a timeline for the finalisation of the process and information an available funding and on how such funding is being used</w:t>
      </w:r>
      <w:r>
        <w:rPr>
          <w:rFonts w:cs="Calibri"/>
          <w:b/>
          <w:lang w:val="en-GB"/>
        </w:rPr>
        <w:t>.</w:t>
      </w:r>
    </w:p>
    <w:p w:rsidR="00C55ADF" w:rsidRPr="00BB323C" w:rsidRDefault="00C55ADF" w:rsidP="00441BBF">
      <w:pPr>
        <w:pStyle w:val="a8"/>
        <w:numPr>
          <w:ilvl w:val="0"/>
          <w:numId w:val="2"/>
        </w:numPr>
        <w:spacing w:after="0" w:line="240" w:lineRule="auto"/>
        <w:ind w:left="714" w:hanging="357"/>
        <w:jc w:val="both"/>
        <w:rPr>
          <w:rFonts w:cs="Calibri"/>
          <w:b/>
          <w:lang w:val="en-GB"/>
        </w:rPr>
      </w:pPr>
      <w:r w:rsidRPr="00BB323C">
        <w:rPr>
          <w:rFonts w:cs="Calibri"/>
          <w:b/>
          <w:lang w:val="en-GB"/>
        </w:rPr>
        <w:t>What measures is the Government planning to take to ensure the right of people to choose where and with whom</w:t>
      </w:r>
      <w:r>
        <w:rPr>
          <w:rFonts w:cs="Calibri"/>
          <w:b/>
          <w:lang w:val="en-GB"/>
        </w:rPr>
        <w:t xml:space="preserve"> to </w:t>
      </w:r>
      <w:r w:rsidRPr="00BB323C">
        <w:rPr>
          <w:rFonts w:cs="Calibri"/>
          <w:b/>
          <w:lang w:val="en-GB"/>
        </w:rPr>
        <w:t xml:space="preserve">live, including for those adults with disabilities who are currently placed under guardianship? What support services will the Government make available for people with disabilities </w:t>
      </w:r>
      <w:proofErr w:type="gramStart"/>
      <w:r w:rsidRPr="00BB323C">
        <w:rPr>
          <w:rFonts w:cs="Calibri"/>
          <w:b/>
          <w:lang w:val="en-GB"/>
        </w:rPr>
        <w:t>who</w:t>
      </w:r>
      <w:proofErr w:type="gramEnd"/>
      <w:r w:rsidRPr="00BB323C">
        <w:rPr>
          <w:rFonts w:cs="Calibri"/>
          <w:b/>
          <w:lang w:val="en-GB"/>
        </w:rPr>
        <w:t xml:space="preserve"> </w:t>
      </w:r>
      <w:r>
        <w:rPr>
          <w:rFonts w:cs="Calibri"/>
          <w:b/>
          <w:lang w:val="en-GB"/>
        </w:rPr>
        <w:t xml:space="preserve">also </w:t>
      </w:r>
      <w:r w:rsidRPr="00BB323C">
        <w:rPr>
          <w:rFonts w:cs="Calibri"/>
          <w:b/>
          <w:lang w:val="en-GB"/>
        </w:rPr>
        <w:t>might need support in taking such decisions?</w:t>
      </w:r>
    </w:p>
    <w:p w:rsidR="00C55ADF" w:rsidRPr="00BB323C" w:rsidRDefault="00C55ADF" w:rsidP="00441BBF">
      <w:pPr>
        <w:pStyle w:val="a8"/>
        <w:numPr>
          <w:ilvl w:val="0"/>
          <w:numId w:val="2"/>
        </w:numPr>
        <w:spacing w:after="0" w:line="240" w:lineRule="auto"/>
        <w:ind w:left="714" w:hanging="357"/>
        <w:jc w:val="both"/>
        <w:rPr>
          <w:rFonts w:cs="Calibri"/>
          <w:b/>
          <w:lang w:val="en-GB"/>
        </w:rPr>
      </w:pPr>
      <w:r w:rsidRPr="00BB323C">
        <w:rPr>
          <w:rFonts w:cs="Calibri"/>
          <w:b/>
          <w:lang w:val="en-GB"/>
        </w:rPr>
        <w:t>Will the Government adopt a moratorium on new admissions to long-term residential social care institutions?</w:t>
      </w:r>
    </w:p>
    <w:p w:rsidR="00C55ADF" w:rsidRPr="00BB323C" w:rsidRDefault="00C55ADF" w:rsidP="00441BBF">
      <w:pPr>
        <w:pStyle w:val="a8"/>
        <w:numPr>
          <w:ilvl w:val="0"/>
          <w:numId w:val="2"/>
        </w:numPr>
        <w:spacing w:after="0" w:line="240" w:lineRule="auto"/>
        <w:ind w:left="714" w:hanging="357"/>
        <w:jc w:val="both"/>
        <w:rPr>
          <w:rFonts w:cs="Calibri"/>
          <w:b/>
          <w:i/>
          <w:u w:val="single"/>
          <w:lang w:val="en-GB"/>
        </w:rPr>
      </w:pPr>
      <w:r w:rsidRPr="00BB323C">
        <w:rPr>
          <w:rFonts w:cs="Calibri"/>
          <w:b/>
          <w:lang w:val="en-GB"/>
        </w:rPr>
        <w:t xml:space="preserve">What measures is the Government planning to take to ensure people </w:t>
      </w:r>
      <w:r>
        <w:rPr>
          <w:rFonts w:cs="Calibri"/>
          <w:b/>
          <w:lang w:val="en-GB"/>
        </w:rPr>
        <w:t xml:space="preserve">with the right to choose to </w:t>
      </w:r>
      <w:r w:rsidRPr="00BB323C">
        <w:rPr>
          <w:rFonts w:cs="Calibri"/>
          <w:b/>
          <w:lang w:val="en-GB"/>
        </w:rPr>
        <w:t>leave institutions when they want to?</w:t>
      </w:r>
    </w:p>
    <w:p w:rsidR="00C55ADF" w:rsidRPr="00BB323C" w:rsidRDefault="00C55ADF" w:rsidP="00441BBF">
      <w:pPr>
        <w:pStyle w:val="a8"/>
        <w:numPr>
          <w:ilvl w:val="0"/>
          <w:numId w:val="2"/>
        </w:numPr>
        <w:spacing w:after="0" w:line="240" w:lineRule="auto"/>
        <w:ind w:left="714" w:hanging="357"/>
        <w:jc w:val="both"/>
        <w:rPr>
          <w:rFonts w:cs="Calibri"/>
          <w:b/>
          <w:i/>
          <w:u w:val="single"/>
          <w:lang w:val="en-GB"/>
        </w:rPr>
      </w:pPr>
      <w:r w:rsidRPr="00BB323C">
        <w:rPr>
          <w:rFonts w:cs="Calibri"/>
          <w:b/>
          <w:lang w:val="en-GB"/>
        </w:rPr>
        <w:t xml:space="preserve">How is the Government planning to ensure the continuity of community services developed in rural areas, considering the fact that they depend on the will and </w:t>
      </w:r>
      <w:r>
        <w:rPr>
          <w:rFonts w:cs="Calibri"/>
          <w:b/>
          <w:lang w:val="en-GB"/>
        </w:rPr>
        <w:t xml:space="preserve">limited </w:t>
      </w:r>
      <w:r w:rsidRPr="00BB323C">
        <w:rPr>
          <w:rFonts w:cs="Calibri"/>
          <w:b/>
          <w:lang w:val="en-GB"/>
        </w:rPr>
        <w:t>financial resources of local authorities?</w:t>
      </w:r>
    </w:p>
    <w:p w:rsidR="00C55ADF" w:rsidRPr="00441BBF" w:rsidRDefault="00C55ADF" w:rsidP="00441BBF">
      <w:pPr>
        <w:pStyle w:val="a8"/>
        <w:numPr>
          <w:ilvl w:val="0"/>
          <w:numId w:val="2"/>
        </w:numPr>
        <w:spacing w:after="0" w:line="240" w:lineRule="auto"/>
        <w:ind w:left="714" w:hanging="357"/>
        <w:jc w:val="both"/>
        <w:rPr>
          <w:rFonts w:cs="Calibri"/>
          <w:b/>
          <w:i/>
          <w:u w:val="single"/>
          <w:lang w:val="en-GB"/>
        </w:rPr>
      </w:pPr>
      <w:r w:rsidRPr="00BB323C">
        <w:rPr>
          <w:rFonts w:cs="Calibri"/>
          <w:b/>
          <w:lang w:val="en-GB"/>
        </w:rPr>
        <w:t xml:space="preserve">What are the reasons for the increase in the number of institutionalized people and how </w:t>
      </w:r>
      <w:r>
        <w:rPr>
          <w:rFonts w:cs="Calibri"/>
          <w:b/>
          <w:lang w:val="en-GB"/>
        </w:rPr>
        <w:t xml:space="preserve">is </w:t>
      </w:r>
      <w:r w:rsidRPr="00BB323C">
        <w:rPr>
          <w:rFonts w:cs="Calibri"/>
          <w:b/>
          <w:lang w:val="en-GB"/>
        </w:rPr>
        <w:t>the</w:t>
      </w:r>
      <w:r>
        <w:rPr>
          <w:rFonts w:cs="Calibri"/>
          <w:b/>
          <w:lang w:val="en-GB"/>
        </w:rPr>
        <w:t xml:space="preserve"> </w:t>
      </w:r>
      <w:r w:rsidRPr="00BB323C">
        <w:rPr>
          <w:rFonts w:cs="Calibri"/>
          <w:b/>
          <w:lang w:val="en-GB"/>
        </w:rPr>
        <w:t xml:space="preserve">Government planning to ensure non-retrogression? </w:t>
      </w:r>
    </w:p>
    <w:p w:rsidR="00C55ADF" w:rsidRDefault="00C55ADF" w:rsidP="00441BBF">
      <w:pPr>
        <w:pStyle w:val="a8"/>
        <w:spacing w:after="0" w:line="240" w:lineRule="auto"/>
        <w:ind w:left="357"/>
        <w:jc w:val="both"/>
        <w:rPr>
          <w:rFonts w:cs="Calibri"/>
          <w:b/>
          <w:i/>
          <w:u w:val="single"/>
          <w:lang w:val="en-GB"/>
        </w:rPr>
      </w:pPr>
    </w:p>
    <w:p w:rsidR="00C55ADF" w:rsidRDefault="00C55ADF">
      <w:pPr>
        <w:pStyle w:val="a8"/>
        <w:spacing w:after="0"/>
        <w:jc w:val="both"/>
        <w:rPr>
          <w:rFonts w:cs="Calibri"/>
          <w:b/>
          <w:i/>
          <w:u w:val="single"/>
          <w:lang w:val="en-GB"/>
        </w:rPr>
      </w:pPr>
    </w:p>
    <w:p w:rsidR="00C55ADF" w:rsidRDefault="00C55ADF">
      <w:pPr>
        <w:spacing w:after="0"/>
        <w:rPr>
          <w:rFonts w:cs="Calibri"/>
          <w:b/>
          <w:i/>
          <w:u w:val="single"/>
          <w:lang w:val="en-GB"/>
        </w:rPr>
      </w:pPr>
      <w:r w:rsidRPr="00BB323C">
        <w:rPr>
          <w:rFonts w:cs="Calibri"/>
          <w:b/>
          <w:i/>
          <w:u w:val="single"/>
          <w:lang w:val="en-GB"/>
        </w:rPr>
        <w:t xml:space="preserve">III. The right to work (Articles 6, 7, 8 </w:t>
      </w:r>
      <w:proofErr w:type="spellStart"/>
      <w:r w:rsidRPr="00BB323C">
        <w:rPr>
          <w:rFonts w:cs="Calibri"/>
          <w:b/>
          <w:i/>
          <w:u w:val="single"/>
          <w:lang w:val="en-GB"/>
        </w:rPr>
        <w:t>și</w:t>
      </w:r>
      <w:proofErr w:type="spellEnd"/>
      <w:r w:rsidRPr="00BB323C">
        <w:rPr>
          <w:rFonts w:cs="Calibri"/>
          <w:b/>
          <w:i/>
          <w:u w:val="single"/>
          <w:lang w:val="en-GB"/>
        </w:rPr>
        <w:t xml:space="preserve"> 10)</w:t>
      </w:r>
    </w:p>
    <w:p w:rsidR="00C55ADF" w:rsidRDefault="00C55ADF">
      <w:pPr>
        <w:spacing w:after="0"/>
        <w:rPr>
          <w:rFonts w:cs="Calibri"/>
          <w:b/>
          <w:i/>
          <w:u w:val="single"/>
          <w:lang w:val="en-GB"/>
        </w:rPr>
      </w:pPr>
    </w:p>
    <w:p w:rsidR="00C55ADF" w:rsidRPr="00BB323C" w:rsidRDefault="00C55ADF" w:rsidP="00C752FE">
      <w:pPr>
        <w:jc w:val="both"/>
        <w:rPr>
          <w:rFonts w:cs="Calibri"/>
          <w:i/>
          <w:lang w:val="en-GB"/>
        </w:rPr>
      </w:pPr>
      <w:r w:rsidRPr="00BB323C">
        <w:rPr>
          <w:rFonts w:cs="Calibri"/>
          <w:i/>
          <w:lang w:val="en-GB"/>
        </w:rPr>
        <w:t>The right to work includes the right of everyone to the opportunity to gain his living by work which he/she freely chooses or accepts, which should be guaranteed by States through technical and vocational guidance and training programmes, policies and techniques to achieve steady economic, social and cultural development and full and productive employment under conditions safeguarding fundamental political and economic freedoms to the individual (Article 6).</w:t>
      </w:r>
    </w:p>
    <w:p w:rsidR="00C55ADF" w:rsidRPr="00BB323C" w:rsidRDefault="00C55ADF" w:rsidP="00C752FE">
      <w:pPr>
        <w:jc w:val="both"/>
        <w:rPr>
          <w:rFonts w:cs="Calibri"/>
          <w:i/>
          <w:lang w:val="en-GB"/>
        </w:rPr>
      </w:pPr>
      <w:r w:rsidRPr="00BB323C">
        <w:rPr>
          <w:rFonts w:cs="Calibri"/>
          <w:i/>
          <w:lang w:val="en-GB"/>
        </w:rPr>
        <w:t>States must also recognize the right of everyone to the enjoyment of just and favourable, safe and healthy  conditions of work which ensure fair wages and equal remuneration for work of equal value without distinction of any kind, with equal pay for equal work which should ensure a decent living for themselves and their families (Article 7).</w:t>
      </w:r>
    </w:p>
    <w:p w:rsidR="00C55ADF" w:rsidRPr="00BB323C" w:rsidRDefault="00C55ADF" w:rsidP="00DF4048">
      <w:pPr>
        <w:jc w:val="both"/>
        <w:rPr>
          <w:rFonts w:cs="Calibri"/>
          <w:i/>
          <w:lang w:val="en-GB"/>
        </w:rPr>
      </w:pPr>
      <w:r w:rsidRPr="00BB323C">
        <w:rPr>
          <w:rFonts w:cs="Calibri"/>
          <w:i/>
          <w:lang w:val="en-GB"/>
        </w:rPr>
        <w:t>People must also be ensured the right to form trade unions and join the trade union of his choice, subject only to the rules of the organization concerned, for the promotion and protection of his economic and social interests (Article 8). Moreover, forced labour is prohibited under international law and constituted a human rights violation (Article 10).</w:t>
      </w:r>
      <w:r w:rsidRPr="00BB323C">
        <w:rPr>
          <w:rStyle w:val="a7"/>
          <w:rFonts w:cs="Calibri"/>
          <w:i/>
          <w:lang w:val="en-GB"/>
        </w:rPr>
        <w:footnoteReference w:id="10"/>
      </w:r>
      <w:r w:rsidRPr="00BB323C">
        <w:rPr>
          <w:rFonts w:cs="Calibri"/>
          <w:i/>
          <w:lang w:val="en-GB"/>
        </w:rPr>
        <w:t xml:space="preserve"> </w:t>
      </w:r>
    </w:p>
    <w:p w:rsidR="00C55ADF" w:rsidRPr="00BB323C" w:rsidRDefault="00C55ADF" w:rsidP="00F727DE">
      <w:pPr>
        <w:jc w:val="both"/>
        <w:rPr>
          <w:rFonts w:cs="Calibri"/>
          <w:lang w:val="en-GB"/>
        </w:rPr>
      </w:pPr>
      <w:r>
        <w:rPr>
          <w:rFonts w:cs="Calibri"/>
          <w:lang w:val="en-GB"/>
        </w:rPr>
        <w:t>Although</w:t>
      </w:r>
      <w:r w:rsidRPr="00BB323C">
        <w:rPr>
          <w:rFonts w:cs="Calibri"/>
          <w:lang w:val="en-GB"/>
        </w:rPr>
        <w:t>, data shows that the</w:t>
      </w:r>
      <w:r>
        <w:rPr>
          <w:rFonts w:cs="Calibri"/>
          <w:lang w:val="en-GB"/>
        </w:rPr>
        <w:t xml:space="preserve">re are </w:t>
      </w:r>
      <w:r w:rsidRPr="00BB323C">
        <w:rPr>
          <w:rFonts w:cs="Calibri"/>
          <w:lang w:val="en-GB"/>
        </w:rPr>
        <w:t xml:space="preserve">people with disabilities in institutions that work in activities which are sometimes physically demanding and take important amount of times, they are officially employed in 0.25% or 0.5% of the salary units, what could be considered as unfair and disproportionate pay, </w:t>
      </w:r>
      <w:r>
        <w:rPr>
          <w:rFonts w:cs="Calibri"/>
          <w:lang w:val="en-GB"/>
        </w:rPr>
        <w:t>and constitute</w:t>
      </w:r>
      <w:r w:rsidRPr="00BB323C">
        <w:rPr>
          <w:rFonts w:cs="Calibri"/>
          <w:lang w:val="en-GB"/>
        </w:rPr>
        <w:t xml:space="preserve"> discrimination in employment on </w:t>
      </w:r>
      <w:r>
        <w:rPr>
          <w:rFonts w:cs="Calibri"/>
          <w:lang w:val="en-GB"/>
        </w:rPr>
        <w:t xml:space="preserve">the </w:t>
      </w:r>
      <w:r w:rsidRPr="00BB323C">
        <w:rPr>
          <w:rFonts w:cs="Calibri"/>
          <w:lang w:val="en-GB"/>
        </w:rPr>
        <w:t>grounds of disability.</w:t>
      </w:r>
      <w:r w:rsidRPr="00BB323C">
        <w:rPr>
          <w:rStyle w:val="a7"/>
          <w:rFonts w:cs="Calibri"/>
          <w:lang w:val="en-GB"/>
        </w:rPr>
        <w:footnoteReference w:id="11"/>
      </w:r>
      <w:r w:rsidRPr="00BB323C">
        <w:rPr>
          <w:rFonts w:cs="Calibri"/>
          <w:lang w:val="en-GB"/>
        </w:rPr>
        <w:t xml:space="preserve"> There are also </w:t>
      </w:r>
      <w:r>
        <w:rPr>
          <w:rFonts w:cs="Calibri"/>
          <w:lang w:val="en-GB"/>
        </w:rPr>
        <w:t>concerns that</w:t>
      </w:r>
      <w:r w:rsidRPr="00BB323C">
        <w:rPr>
          <w:rFonts w:cs="Calibri"/>
          <w:lang w:val="en-GB"/>
        </w:rPr>
        <w:t xml:space="preserve"> staff of psychiatric institutions </w:t>
      </w:r>
      <w:r>
        <w:rPr>
          <w:rFonts w:cs="Calibri"/>
          <w:lang w:val="en-GB"/>
        </w:rPr>
        <w:t xml:space="preserve">often involves </w:t>
      </w:r>
      <w:r w:rsidRPr="00BB323C">
        <w:rPr>
          <w:rFonts w:cs="Calibri"/>
          <w:lang w:val="en-GB"/>
        </w:rPr>
        <w:t>people</w:t>
      </w:r>
      <w:r>
        <w:rPr>
          <w:rFonts w:cs="Calibri"/>
          <w:lang w:val="en-GB"/>
        </w:rPr>
        <w:t xml:space="preserve"> with mental disabilities, who are i</w:t>
      </w:r>
      <w:r w:rsidRPr="007E14F5">
        <w:rPr>
          <w:rFonts w:cs="Calibri"/>
          <w:lang w:val="en-GB"/>
        </w:rPr>
        <w:t>nstitutionalized</w:t>
      </w:r>
      <w:r>
        <w:rPr>
          <w:rFonts w:cs="Calibri"/>
          <w:lang w:val="en-GB"/>
        </w:rPr>
        <w:t xml:space="preserve">, </w:t>
      </w:r>
      <w:r w:rsidRPr="00BB323C">
        <w:rPr>
          <w:rFonts w:cs="Calibri"/>
          <w:lang w:val="en-GB"/>
        </w:rPr>
        <w:t xml:space="preserve">to work on their personal property and houses, threatening </w:t>
      </w:r>
      <w:r>
        <w:rPr>
          <w:rFonts w:cs="Calibri"/>
          <w:lang w:val="en-GB"/>
        </w:rPr>
        <w:t xml:space="preserve">with not providing </w:t>
      </w:r>
      <w:r w:rsidRPr="00BB323C">
        <w:rPr>
          <w:rFonts w:cs="Calibri"/>
          <w:lang w:val="en-GB"/>
        </w:rPr>
        <w:t>medication</w:t>
      </w:r>
      <w:r>
        <w:rPr>
          <w:rFonts w:cs="Calibri"/>
          <w:lang w:val="en-GB"/>
        </w:rPr>
        <w:t xml:space="preserve"> or </w:t>
      </w:r>
      <w:proofErr w:type="spellStart"/>
      <w:r>
        <w:rPr>
          <w:rFonts w:cs="Calibri"/>
          <w:lang w:val="en-GB"/>
        </w:rPr>
        <w:t>neglection</w:t>
      </w:r>
      <w:proofErr w:type="spellEnd"/>
      <w:r>
        <w:rPr>
          <w:rFonts w:cs="Calibri"/>
          <w:lang w:val="en-GB"/>
        </w:rPr>
        <w:t xml:space="preserve">. </w:t>
      </w:r>
      <w:r w:rsidRPr="00BB323C">
        <w:rPr>
          <w:rFonts w:cs="Calibri"/>
          <w:lang w:val="en-GB"/>
        </w:rPr>
        <w:t xml:space="preserve"> There were also reported cases whe</w:t>
      </w:r>
      <w:r>
        <w:rPr>
          <w:rFonts w:cs="Calibri"/>
          <w:lang w:val="en-GB"/>
        </w:rPr>
        <w:t xml:space="preserve">n </w:t>
      </w:r>
      <w:r w:rsidRPr="00BB323C">
        <w:rPr>
          <w:rFonts w:cs="Calibri"/>
          <w:lang w:val="en-GB"/>
        </w:rPr>
        <w:t xml:space="preserve">residents working in the communities surrounding the </w:t>
      </w:r>
      <w:r w:rsidRPr="00BB323C">
        <w:rPr>
          <w:rFonts w:cs="Calibri"/>
          <w:lang w:val="en-GB"/>
        </w:rPr>
        <w:lastRenderedPageBreak/>
        <w:t>institutions have been paid with 10 lei (</w:t>
      </w:r>
      <w:proofErr w:type="spellStart"/>
      <w:r w:rsidRPr="00BB323C">
        <w:rPr>
          <w:rFonts w:cs="Calibri"/>
          <w:lang w:val="en-GB"/>
        </w:rPr>
        <w:t>aprox</w:t>
      </w:r>
      <w:proofErr w:type="spellEnd"/>
      <w:r>
        <w:rPr>
          <w:rFonts w:cs="Calibri"/>
          <w:lang w:val="en-GB"/>
        </w:rPr>
        <w:t>.</w:t>
      </w:r>
      <w:r w:rsidRPr="00BB323C">
        <w:rPr>
          <w:rFonts w:cs="Calibri"/>
          <w:lang w:val="en-GB"/>
        </w:rPr>
        <w:t xml:space="preserve"> 50 eurocents) for a full day of work or have been</w:t>
      </w:r>
      <w:r>
        <w:rPr>
          <w:rFonts w:cs="Calibri"/>
          <w:lang w:val="en-GB"/>
        </w:rPr>
        <w:t xml:space="preserve"> </w:t>
      </w:r>
      <w:r w:rsidRPr="00BB323C">
        <w:rPr>
          <w:rFonts w:cs="Calibri"/>
          <w:lang w:val="en-GB"/>
        </w:rPr>
        <w:t>fed, this being considered payment for their work.</w:t>
      </w:r>
      <w:r w:rsidRPr="00BB323C">
        <w:rPr>
          <w:rStyle w:val="a7"/>
          <w:rFonts w:cs="Calibri"/>
          <w:lang w:val="en-GB"/>
        </w:rPr>
        <w:footnoteReference w:id="12"/>
      </w:r>
    </w:p>
    <w:p w:rsidR="00C55ADF" w:rsidRPr="00BB323C" w:rsidRDefault="00C55ADF" w:rsidP="00944EFB">
      <w:pPr>
        <w:jc w:val="both"/>
        <w:rPr>
          <w:rFonts w:cs="Calibri"/>
          <w:lang w:val="en-GB"/>
        </w:rPr>
      </w:pPr>
      <w:r w:rsidRPr="00BB323C">
        <w:rPr>
          <w:rFonts w:cs="Calibri"/>
          <w:lang w:val="en-GB"/>
        </w:rPr>
        <w:t>Another problematic practice is that staff of institutions for peoples with disabilities delegat</w:t>
      </w:r>
      <w:r>
        <w:rPr>
          <w:rFonts w:cs="Calibri"/>
          <w:lang w:val="en-GB"/>
        </w:rPr>
        <w:t>es</w:t>
      </w:r>
      <w:r w:rsidRPr="00BB323C">
        <w:rPr>
          <w:rFonts w:cs="Calibri"/>
          <w:lang w:val="en-GB"/>
        </w:rPr>
        <w:t xml:space="preserve"> certain </w:t>
      </w:r>
      <w:r>
        <w:rPr>
          <w:rFonts w:cs="Calibri"/>
          <w:lang w:val="en-GB"/>
        </w:rPr>
        <w:t xml:space="preserve">job </w:t>
      </w:r>
      <w:r w:rsidRPr="00BB323C">
        <w:rPr>
          <w:rFonts w:cs="Calibri"/>
          <w:lang w:val="en-GB"/>
        </w:rPr>
        <w:t xml:space="preserve">duties to </w:t>
      </w:r>
      <w:r>
        <w:rPr>
          <w:rFonts w:cs="Calibri"/>
          <w:lang w:val="en-GB"/>
        </w:rPr>
        <w:t xml:space="preserve">the </w:t>
      </w:r>
      <w:r w:rsidRPr="00BB323C">
        <w:rPr>
          <w:rFonts w:cs="Calibri"/>
          <w:lang w:val="en-GB"/>
        </w:rPr>
        <w:t>residents</w:t>
      </w:r>
      <w:r>
        <w:rPr>
          <w:rFonts w:cs="Calibri"/>
          <w:lang w:val="en-GB"/>
        </w:rPr>
        <w:t xml:space="preserve">, e.g. </w:t>
      </w:r>
      <w:r w:rsidRPr="00BB323C">
        <w:rPr>
          <w:rFonts w:cs="Calibri"/>
          <w:lang w:val="en-GB"/>
        </w:rPr>
        <w:t>cleaning activities etc. No remuneration is provided in exchange</w:t>
      </w:r>
      <w:r w:rsidRPr="00BB323C">
        <w:rPr>
          <w:rFonts w:eastAsia="MS Mincho" w:cs="Calibri"/>
          <w:lang w:val="en-GB" w:eastAsia="ru-RU"/>
        </w:rPr>
        <w:t>.</w:t>
      </w:r>
      <w:r w:rsidRPr="00BB323C">
        <w:rPr>
          <w:rStyle w:val="a7"/>
          <w:rFonts w:eastAsia="MS Mincho" w:cs="Calibri"/>
          <w:lang w:val="en-GB" w:eastAsia="ru-RU"/>
        </w:rPr>
        <w:footnoteReference w:id="13"/>
      </w:r>
      <w:r w:rsidRPr="00BB323C">
        <w:rPr>
          <w:rFonts w:eastAsia="MS Mincho" w:cs="Calibri"/>
          <w:lang w:val="en-GB" w:eastAsia="ru-RU"/>
        </w:rPr>
        <w:t xml:space="preserve"> </w:t>
      </w:r>
    </w:p>
    <w:p w:rsidR="00C55ADF" w:rsidRPr="009D004C" w:rsidRDefault="00C55ADF" w:rsidP="00DF4048">
      <w:pPr>
        <w:jc w:val="both"/>
        <w:rPr>
          <w:rFonts w:cs="Calibri"/>
          <w:b/>
          <w:u w:val="single"/>
          <w:lang w:val="en-GB"/>
        </w:rPr>
      </w:pPr>
      <w:r w:rsidRPr="009F03BD">
        <w:rPr>
          <w:rFonts w:cs="Calibri"/>
          <w:b/>
          <w:u w:val="single"/>
          <w:lang w:val="en-GB"/>
        </w:rPr>
        <w:t>Suggested questions to the Government:</w:t>
      </w:r>
    </w:p>
    <w:p w:rsidR="00C55ADF" w:rsidRPr="00BB323C" w:rsidRDefault="00C55ADF" w:rsidP="00441BBF">
      <w:pPr>
        <w:pStyle w:val="a8"/>
        <w:numPr>
          <w:ilvl w:val="0"/>
          <w:numId w:val="2"/>
        </w:numPr>
        <w:spacing w:after="0" w:line="240" w:lineRule="auto"/>
        <w:ind w:left="714" w:hanging="357"/>
        <w:jc w:val="both"/>
        <w:rPr>
          <w:rFonts w:cs="Calibri"/>
          <w:lang w:val="en-GB"/>
        </w:rPr>
      </w:pPr>
      <w:r w:rsidRPr="00BB323C">
        <w:rPr>
          <w:rFonts w:cs="Calibri"/>
          <w:b/>
          <w:lang w:val="en-GB"/>
        </w:rPr>
        <w:t xml:space="preserve">How will the Government ensure that people </w:t>
      </w:r>
      <w:r w:rsidRPr="006C7391">
        <w:rPr>
          <w:rFonts w:cs="Calibri"/>
          <w:b/>
          <w:lang w:val="en-GB"/>
        </w:rPr>
        <w:t>living</w:t>
      </w:r>
      <w:r>
        <w:rPr>
          <w:rFonts w:cs="Calibri"/>
          <w:b/>
          <w:lang w:val="en-GB"/>
        </w:rPr>
        <w:t xml:space="preserve"> </w:t>
      </w:r>
      <w:r w:rsidRPr="00BB323C">
        <w:rPr>
          <w:rFonts w:cs="Calibri"/>
          <w:b/>
          <w:lang w:val="en-GB"/>
        </w:rPr>
        <w:t xml:space="preserve">in institutions can </w:t>
      </w:r>
      <w:r>
        <w:rPr>
          <w:rFonts w:cs="Calibri"/>
          <w:b/>
          <w:lang w:val="en-GB"/>
        </w:rPr>
        <w:t>h</w:t>
      </w:r>
      <w:r w:rsidRPr="00BB323C">
        <w:rPr>
          <w:rFonts w:cs="Calibri"/>
          <w:b/>
          <w:lang w:val="en-GB"/>
        </w:rPr>
        <w:t>ave access to the general labour market with access, when needed, to support for employment?</w:t>
      </w:r>
    </w:p>
    <w:p w:rsidR="00C55ADF" w:rsidRPr="00BB323C" w:rsidRDefault="00C55ADF" w:rsidP="00441BBF">
      <w:pPr>
        <w:pStyle w:val="a8"/>
        <w:numPr>
          <w:ilvl w:val="0"/>
          <w:numId w:val="2"/>
        </w:numPr>
        <w:spacing w:after="0" w:line="240" w:lineRule="auto"/>
        <w:ind w:left="714" w:hanging="357"/>
        <w:jc w:val="both"/>
        <w:rPr>
          <w:rFonts w:cs="Calibri"/>
          <w:lang w:val="en-GB"/>
        </w:rPr>
      </w:pPr>
      <w:r w:rsidRPr="00BB323C">
        <w:rPr>
          <w:rFonts w:cs="Calibri"/>
          <w:b/>
          <w:lang w:val="en-GB"/>
        </w:rPr>
        <w:t xml:space="preserve">Is there data available on the remuneration received by employees who work on the general labour market </w:t>
      </w:r>
      <w:r>
        <w:rPr>
          <w:rFonts w:cs="Calibri"/>
          <w:b/>
          <w:lang w:val="en-GB"/>
        </w:rPr>
        <w:t xml:space="preserve">and </w:t>
      </w:r>
      <w:r w:rsidRPr="00BB323C">
        <w:rPr>
          <w:rFonts w:cs="Calibri"/>
          <w:b/>
          <w:lang w:val="en-GB"/>
        </w:rPr>
        <w:t>live in social care homes</w:t>
      </w:r>
      <w:r>
        <w:rPr>
          <w:rFonts w:cs="Calibri"/>
          <w:b/>
          <w:lang w:val="en-GB"/>
        </w:rPr>
        <w:t xml:space="preserve"> in the same time</w:t>
      </w:r>
      <w:r w:rsidRPr="00BB323C">
        <w:rPr>
          <w:rFonts w:cs="Calibri"/>
          <w:b/>
          <w:lang w:val="en-GB"/>
        </w:rPr>
        <w:t xml:space="preserve">? How such remuneration in comparison with that is </w:t>
      </w:r>
      <w:proofErr w:type="spellStart"/>
      <w:r>
        <w:rPr>
          <w:rFonts w:cs="Calibri"/>
          <w:b/>
          <w:lang w:val="en-GB"/>
        </w:rPr>
        <w:t>is</w:t>
      </w:r>
      <w:proofErr w:type="spellEnd"/>
      <w:r>
        <w:rPr>
          <w:rFonts w:cs="Calibri"/>
          <w:b/>
          <w:lang w:val="en-GB"/>
        </w:rPr>
        <w:t xml:space="preserve"> </w:t>
      </w:r>
      <w:r w:rsidRPr="00BB323C">
        <w:rPr>
          <w:rFonts w:cs="Calibri"/>
          <w:b/>
          <w:lang w:val="en-GB"/>
        </w:rPr>
        <w:t>received for similar work by people not living in such institution</w:t>
      </w:r>
      <w:r>
        <w:rPr>
          <w:rFonts w:cs="Calibri"/>
          <w:b/>
          <w:lang w:val="en-GB"/>
        </w:rPr>
        <w:t>s</w:t>
      </w:r>
      <w:r w:rsidRPr="00BB323C">
        <w:rPr>
          <w:rFonts w:cs="Calibri"/>
          <w:b/>
          <w:lang w:val="en-GB"/>
        </w:rPr>
        <w:t>?</w:t>
      </w:r>
      <w:r w:rsidRPr="00BB323C">
        <w:rPr>
          <w:rFonts w:cs="Calibri"/>
          <w:lang w:val="en-GB"/>
        </w:rPr>
        <w:t xml:space="preserve"> </w:t>
      </w:r>
    </w:p>
    <w:p w:rsidR="00C55ADF" w:rsidRPr="00BB323C" w:rsidRDefault="00C55ADF" w:rsidP="00441BBF">
      <w:pPr>
        <w:pStyle w:val="a8"/>
        <w:numPr>
          <w:ilvl w:val="0"/>
          <w:numId w:val="2"/>
        </w:numPr>
        <w:spacing w:after="0" w:line="240" w:lineRule="auto"/>
        <w:ind w:left="714" w:hanging="357"/>
        <w:jc w:val="both"/>
        <w:rPr>
          <w:rFonts w:cs="Calibri"/>
          <w:lang w:val="en-GB"/>
        </w:rPr>
      </w:pPr>
      <w:r w:rsidRPr="00BB323C">
        <w:rPr>
          <w:rFonts w:cs="Calibri"/>
          <w:b/>
          <w:lang w:val="en-GB"/>
        </w:rPr>
        <w:t>How is the Government addressing allegations of forced labour among people with disabilities in institutions? What is the extent of the problem?</w:t>
      </w:r>
      <w:r w:rsidRPr="00BB323C">
        <w:rPr>
          <w:b/>
          <w:lang w:val="en-GB"/>
        </w:rPr>
        <w:t xml:space="preserve"> </w:t>
      </w:r>
    </w:p>
    <w:p w:rsidR="00C55ADF" w:rsidRDefault="00C55ADF" w:rsidP="00DF4048">
      <w:pPr>
        <w:jc w:val="both"/>
        <w:rPr>
          <w:rFonts w:cs="Calibri"/>
          <w:b/>
          <w:i/>
          <w:u w:val="single"/>
          <w:lang w:val="en-GB"/>
        </w:rPr>
      </w:pPr>
    </w:p>
    <w:p w:rsidR="00C55ADF" w:rsidRPr="00BB323C" w:rsidRDefault="00C55ADF" w:rsidP="00DF4048">
      <w:pPr>
        <w:jc w:val="both"/>
        <w:rPr>
          <w:rFonts w:cs="Calibri"/>
          <w:b/>
          <w:i/>
          <w:u w:val="single"/>
          <w:lang w:val="en-GB"/>
        </w:rPr>
      </w:pPr>
      <w:r w:rsidRPr="00BB323C">
        <w:rPr>
          <w:rFonts w:cs="Calibri"/>
          <w:b/>
          <w:i/>
          <w:u w:val="single"/>
          <w:lang w:val="en-GB"/>
        </w:rPr>
        <w:t xml:space="preserve">IV. Education (Articles 13 </w:t>
      </w:r>
      <w:proofErr w:type="spellStart"/>
      <w:r w:rsidRPr="00BB323C">
        <w:rPr>
          <w:rFonts w:cs="Calibri"/>
          <w:b/>
          <w:i/>
          <w:u w:val="single"/>
          <w:lang w:val="en-GB"/>
        </w:rPr>
        <w:t>și</w:t>
      </w:r>
      <w:proofErr w:type="spellEnd"/>
      <w:r w:rsidRPr="00BB323C">
        <w:rPr>
          <w:rFonts w:cs="Calibri"/>
          <w:b/>
          <w:i/>
          <w:u w:val="single"/>
          <w:lang w:val="en-GB"/>
        </w:rPr>
        <w:t xml:space="preserve"> 14)</w:t>
      </w:r>
    </w:p>
    <w:p w:rsidR="00C55ADF" w:rsidRPr="00BB323C" w:rsidRDefault="00C55ADF" w:rsidP="00DF4048">
      <w:pPr>
        <w:jc w:val="both"/>
        <w:rPr>
          <w:rFonts w:cs="Calibri"/>
          <w:lang w:val="en-GB"/>
        </w:rPr>
      </w:pPr>
      <w:r w:rsidRPr="00BB323C">
        <w:rPr>
          <w:rFonts w:cs="Calibri"/>
          <w:lang w:val="en-GB"/>
        </w:rPr>
        <w:t>The Covenant guarantees, in Article 13, the right to education for all. In addition, the United Nations Convention on the Rights of Persons with Disabilities in Article 24</w:t>
      </w:r>
      <w:r>
        <w:rPr>
          <w:rFonts w:cs="Calibri"/>
          <w:lang w:val="en-GB"/>
        </w:rPr>
        <w:t xml:space="preserve"> stipulates </w:t>
      </w:r>
      <w:r w:rsidRPr="00BB323C">
        <w:rPr>
          <w:rFonts w:cs="Calibri"/>
          <w:lang w:val="en-GB"/>
        </w:rPr>
        <w:t>that this right must be guaranteed without discrimination and on the basis of equal opportunity. Together, these obligations require the development of accessible educational systems</w:t>
      </w:r>
      <w:r>
        <w:rPr>
          <w:rFonts w:cs="Calibri"/>
          <w:lang w:val="en-GB"/>
        </w:rPr>
        <w:t>,</w:t>
      </w:r>
      <w:r w:rsidRPr="00BB323C">
        <w:rPr>
          <w:rFonts w:cs="Calibri"/>
          <w:lang w:val="en-GB"/>
        </w:rPr>
        <w:t xml:space="preserve"> which enable inclusion and life-long learning for all.</w:t>
      </w:r>
    </w:p>
    <w:p w:rsidR="00C55ADF" w:rsidRPr="00BB323C" w:rsidRDefault="00C55ADF" w:rsidP="00DF4048">
      <w:pPr>
        <w:jc w:val="both"/>
        <w:rPr>
          <w:rFonts w:cs="Calibri"/>
          <w:i/>
          <w:lang w:val="en-GB"/>
        </w:rPr>
      </w:pPr>
      <w:r w:rsidRPr="00BB323C">
        <w:rPr>
          <w:rFonts w:cs="Calibri"/>
          <w:i/>
          <w:lang w:val="en-GB"/>
        </w:rPr>
        <w:t>The right to education has two main components: increasing access to education for all persons on the basis of equality and non-discrimination and (ii) the freedom to choose the type and content of education. Universal primary education shall be compulsory and must protect from violations from parents or authorities.</w:t>
      </w:r>
      <w:r w:rsidRPr="00BB323C">
        <w:rPr>
          <w:rStyle w:val="a7"/>
          <w:rFonts w:cs="Calibri"/>
          <w:i/>
          <w:lang w:val="en-GB"/>
        </w:rPr>
        <w:footnoteReference w:id="14"/>
      </w:r>
    </w:p>
    <w:p w:rsidR="00C55ADF" w:rsidRPr="00BB323C" w:rsidRDefault="00C55ADF" w:rsidP="00D072D0">
      <w:pPr>
        <w:jc w:val="both"/>
        <w:rPr>
          <w:rFonts w:cs="Calibri"/>
          <w:lang w:val="en-GB"/>
        </w:rPr>
      </w:pPr>
      <w:r w:rsidRPr="00BB323C">
        <w:rPr>
          <w:rFonts w:cs="Calibri"/>
          <w:lang w:val="en-GB"/>
        </w:rPr>
        <w:t xml:space="preserve">People with disabilities living in </w:t>
      </w:r>
      <w:r>
        <w:rPr>
          <w:rFonts w:cs="Calibri"/>
          <w:lang w:val="en-GB"/>
        </w:rPr>
        <w:t xml:space="preserve">state </w:t>
      </w:r>
      <w:r w:rsidRPr="00BB323C">
        <w:rPr>
          <w:rFonts w:cs="Calibri"/>
          <w:lang w:val="en-GB"/>
        </w:rPr>
        <w:t xml:space="preserve">institutions often lack almost any kind of education, many </w:t>
      </w:r>
      <w:r>
        <w:rPr>
          <w:rFonts w:cs="Calibri"/>
          <w:lang w:val="en-GB"/>
        </w:rPr>
        <w:t xml:space="preserve">do </w:t>
      </w:r>
      <w:r w:rsidRPr="00BB323C">
        <w:rPr>
          <w:rFonts w:cs="Calibri"/>
          <w:lang w:val="en-GB"/>
        </w:rPr>
        <w:t xml:space="preserve">not know how to read or write. Not even the institutions for children seem to be concerned with protection </w:t>
      </w:r>
      <w:r>
        <w:rPr>
          <w:rFonts w:cs="Calibri"/>
          <w:lang w:val="en-GB"/>
        </w:rPr>
        <w:t xml:space="preserve">of </w:t>
      </w:r>
      <w:r w:rsidRPr="00BB323C">
        <w:rPr>
          <w:rFonts w:cs="Calibri"/>
          <w:lang w:val="en-GB"/>
        </w:rPr>
        <w:t>the right to education of their residents</w:t>
      </w:r>
      <w:r>
        <w:rPr>
          <w:rFonts w:cs="Calibri"/>
          <w:lang w:val="en-GB"/>
        </w:rPr>
        <w:t xml:space="preserve">; </w:t>
      </w:r>
      <w:r w:rsidRPr="00BB323C">
        <w:rPr>
          <w:rFonts w:cs="Calibri"/>
          <w:lang w:val="en-GB"/>
        </w:rPr>
        <w:t xml:space="preserve">sometimes their </w:t>
      </w:r>
      <w:proofErr w:type="gramStart"/>
      <w:r w:rsidRPr="00BB323C">
        <w:rPr>
          <w:rFonts w:cs="Calibri"/>
          <w:lang w:val="en-GB"/>
        </w:rPr>
        <w:t>staff</w:t>
      </w:r>
      <w:proofErr w:type="gramEnd"/>
      <w:r w:rsidRPr="00BB323C">
        <w:rPr>
          <w:rFonts w:cs="Calibri"/>
          <w:lang w:val="en-GB"/>
        </w:rPr>
        <w:t xml:space="preserve"> does not have the qualifications to ensure minimum educational programs and children do not attend mainstream schools.  </w:t>
      </w:r>
    </w:p>
    <w:p w:rsidR="00C55ADF" w:rsidRPr="009D004C" w:rsidRDefault="00C55ADF" w:rsidP="00DF4048">
      <w:pPr>
        <w:jc w:val="both"/>
        <w:rPr>
          <w:rFonts w:cs="Calibri"/>
          <w:b/>
          <w:u w:val="single"/>
          <w:lang w:val="en-GB"/>
        </w:rPr>
      </w:pPr>
      <w:r w:rsidRPr="009F03BD">
        <w:rPr>
          <w:rFonts w:cs="Calibri"/>
          <w:b/>
          <w:u w:val="single"/>
          <w:lang w:val="en-GB"/>
        </w:rPr>
        <w:t>Suggested questions to the Government:</w:t>
      </w:r>
    </w:p>
    <w:p w:rsidR="00C55ADF" w:rsidRPr="00BB323C" w:rsidRDefault="00C55ADF" w:rsidP="00441BBF">
      <w:pPr>
        <w:pStyle w:val="a8"/>
        <w:numPr>
          <w:ilvl w:val="0"/>
          <w:numId w:val="2"/>
        </w:numPr>
        <w:spacing w:after="0" w:line="240" w:lineRule="auto"/>
        <w:ind w:left="714" w:hanging="357"/>
        <w:jc w:val="both"/>
        <w:rPr>
          <w:rFonts w:cs="Calibri"/>
          <w:b/>
          <w:lang w:val="en-GB"/>
        </w:rPr>
      </w:pPr>
      <w:r w:rsidRPr="00BB323C">
        <w:rPr>
          <w:rFonts w:cs="Calibri"/>
          <w:b/>
          <w:lang w:val="en-GB"/>
        </w:rPr>
        <w:t xml:space="preserve">What steps are taken to reduce the high level of illiteracy among people living in institutions? </w:t>
      </w:r>
    </w:p>
    <w:p w:rsidR="00C55ADF" w:rsidRPr="00BB323C" w:rsidRDefault="00C55ADF" w:rsidP="00441BBF">
      <w:pPr>
        <w:pStyle w:val="a8"/>
        <w:numPr>
          <w:ilvl w:val="0"/>
          <w:numId w:val="2"/>
        </w:numPr>
        <w:spacing w:after="0" w:line="240" w:lineRule="auto"/>
        <w:ind w:left="714" w:hanging="357"/>
        <w:jc w:val="both"/>
        <w:rPr>
          <w:rFonts w:cs="Calibri"/>
          <w:b/>
          <w:lang w:val="en-GB"/>
        </w:rPr>
      </w:pPr>
      <w:r w:rsidRPr="00BB323C">
        <w:rPr>
          <w:rFonts w:cs="Calibri"/>
          <w:b/>
          <w:lang w:val="en-GB"/>
        </w:rPr>
        <w:t>Is the Government planning to ensure inclusive education for adults with disabilities living in and outside institutional settings (including access to vocational training)? Please provide details on the measures to be taken and on the timeline of their implementation.</w:t>
      </w:r>
    </w:p>
    <w:p w:rsidR="00C55ADF" w:rsidRDefault="00C55ADF" w:rsidP="00441BBF">
      <w:pPr>
        <w:pStyle w:val="a8"/>
        <w:numPr>
          <w:ilvl w:val="0"/>
          <w:numId w:val="2"/>
        </w:numPr>
        <w:spacing w:after="0" w:line="240" w:lineRule="auto"/>
        <w:ind w:left="714" w:hanging="357"/>
        <w:jc w:val="both"/>
        <w:rPr>
          <w:rFonts w:cs="Calibri"/>
          <w:b/>
          <w:lang w:val="en-GB"/>
        </w:rPr>
      </w:pPr>
      <w:r w:rsidRPr="00BB323C">
        <w:rPr>
          <w:rFonts w:cs="Calibri"/>
          <w:b/>
          <w:lang w:val="en-GB"/>
        </w:rPr>
        <w:t>What steps will the Government take to ensure that all children with disabilities, those living in institutional and in the community have access to an inclusive education, and what is the timeframe for this?</w:t>
      </w:r>
    </w:p>
    <w:p w:rsidR="00C55ADF" w:rsidRDefault="00C55ADF" w:rsidP="00A600A3">
      <w:pPr>
        <w:pStyle w:val="a8"/>
        <w:jc w:val="both"/>
        <w:rPr>
          <w:rFonts w:cs="Calibri"/>
          <w:b/>
          <w:lang w:val="en-GB"/>
        </w:rPr>
      </w:pPr>
    </w:p>
    <w:p w:rsidR="00C55ADF" w:rsidRDefault="00C55ADF" w:rsidP="00A600A3">
      <w:pPr>
        <w:pStyle w:val="a8"/>
        <w:jc w:val="both"/>
        <w:rPr>
          <w:rFonts w:cs="Calibri"/>
          <w:b/>
          <w:lang w:val="en-GB"/>
        </w:rPr>
      </w:pPr>
    </w:p>
    <w:p w:rsidR="00C55ADF" w:rsidRPr="00BB323C" w:rsidRDefault="00C55ADF" w:rsidP="00A600A3">
      <w:pPr>
        <w:pStyle w:val="a8"/>
        <w:jc w:val="both"/>
        <w:rPr>
          <w:rFonts w:cs="Calibri"/>
          <w:b/>
          <w:lang w:val="en-GB"/>
        </w:rPr>
      </w:pPr>
    </w:p>
    <w:p w:rsidR="00C55ADF" w:rsidRPr="00BB323C" w:rsidRDefault="00C55ADF" w:rsidP="00B661FE">
      <w:pPr>
        <w:jc w:val="both"/>
        <w:rPr>
          <w:rFonts w:cs="Calibri"/>
          <w:b/>
          <w:i/>
          <w:u w:val="single"/>
          <w:lang w:val="en-GB"/>
        </w:rPr>
      </w:pPr>
      <w:r w:rsidRPr="00BB323C">
        <w:rPr>
          <w:rFonts w:cs="Calibri"/>
          <w:b/>
          <w:i/>
          <w:u w:val="single"/>
          <w:lang w:val="en-GB"/>
        </w:rPr>
        <w:lastRenderedPageBreak/>
        <w:t>V. The right to the enjoyment of the highest attainable standard of physical and mental health. (Article 12)</w:t>
      </w:r>
    </w:p>
    <w:p w:rsidR="00C55ADF" w:rsidRDefault="00C55ADF">
      <w:pPr>
        <w:jc w:val="both"/>
        <w:rPr>
          <w:rFonts w:cs="Calibri"/>
          <w:i/>
          <w:lang w:val="en-GB"/>
        </w:rPr>
      </w:pPr>
      <w:r w:rsidRPr="00BB323C">
        <w:rPr>
          <w:rFonts w:cs="Calibri"/>
          <w:i/>
          <w:lang w:val="en-GB"/>
        </w:rPr>
        <w:t>Health is a fundamental human right indispensable for the exercise of other human rights. Every human being is entitled to the enjoyment of the highest attainable standard of health conducive to living a life in dignity. The right to health contains both freedoms and entitlements. […] The freedoms include the right to control one's health and body, including sexual and reproductive freedom, and the right to be free from interference, such as the right to be free from torture, non-consensual medical treatment and experimentation. By contrast, the entitlements include the right to a system of health protection which provides equality of opportunity for people to enjoy the highest attainable level of health.</w:t>
      </w:r>
      <w:r w:rsidRPr="00BB323C">
        <w:rPr>
          <w:rStyle w:val="a7"/>
          <w:rFonts w:cs="Calibri"/>
          <w:i/>
          <w:lang w:val="en-GB"/>
        </w:rPr>
        <w:footnoteReference w:id="15"/>
      </w:r>
      <w:r w:rsidRPr="00BB323C">
        <w:rPr>
          <w:rFonts w:cs="Calibri"/>
          <w:i/>
          <w:lang w:val="en-GB"/>
        </w:rPr>
        <w:t xml:space="preserve"> </w:t>
      </w:r>
    </w:p>
    <w:p w:rsidR="00C55ADF" w:rsidRPr="00BB323C" w:rsidRDefault="00C55ADF" w:rsidP="00B2132E">
      <w:pPr>
        <w:jc w:val="both"/>
        <w:rPr>
          <w:rFonts w:eastAsia="MS Mincho" w:cs="Calibri"/>
          <w:lang w:val="en-GB" w:eastAsia="ru-RU"/>
        </w:rPr>
      </w:pPr>
      <w:r w:rsidRPr="00BB323C">
        <w:rPr>
          <w:rFonts w:eastAsia="MS Mincho" w:cs="Calibri"/>
          <w:lang w:val="en-GB" w:eastAsia="ru-RU"/>
        </w:rPr>
        <w:t xml:space="preserve">The biggest psychiatric institution in Moldova (from </w:t>
      </w:r>
      <w:proofErr w:type="spellStart"/>
      <w:r w:rsidRPr="00BB323C">
        <w:rPr>
          <w:rFonts w:eastAsia="MS Mincho" w:cs="Calibri"/>
          <w:lang w:val="en-GB" w:eastAsia="ru-RU"/>
        </w:rPr>
        <w:t>Balti</w:t>
      </w:r>
      <w:proofErr w:type="spellEnd"/>
      <w:r w:rsidRPr="00BB323C">
        <w:rPr>
          <w:rFonts w:eastAsia="MS Mincho" w:cs="Calibri"/>
          <w:lang w:val="en-GB" w:eastAsia="ru-RU"/>
        </w:rPr>
        <w:t xml:space="preserve">) has at the moment, only one psychiatrist for approximately 400 people. Most residents have access to general medical services, which are often in great delay due to </w:t>
      </w:r>
      <w:r>
        <w:rPr>
          <w:rFonts w:eastAsia="MS Mincho" w:cs="Calibri"/>
          <w:lang w:val="en-GB" w:eastAsia="ru-RU"/>
        </w:rPr>
        <w:t xml:space="preserve">an extensive </w:t>
      </w:r>
      <w:r w:rsidRPr="00BB323C">
        <w:rPr>
          <w:rFonts w:eastAsia="MS Mincho" w:cs="Calibri"/>
          <w:lang w:val="en-GB" w:eastAsia="ru-RU"/>
        </w:rPr>
        <w:t>number of people</w:t>
      </w:r>
      <w:r>
        <w:rPr>
          <w:rFonts w:eastAsia="MS Mincho" w:cs="Calibri"/>
          <w:lang w:val="en-GB" w:eastAsia="ru-RU"/>
        </w:rPr>
        <w:t xml:space="preserve">, requesting </w:t>
      </w:r>
      <w:r w:rsidRPr="00BB323C">
        <w:rPr>
          <w:rFonts w:eastAsia="MS Mincho" w:cs="Calibri"/>
          <w:lang w:val="en-GB" w:eastAsia="ru-RU"/>
        </w:rPr>
        <w:t xml:space="preserve">such services and </w:t>
      </w:r>
      <w:r>
        <w:rPr>
          <w:rFonts w:eastAsia="MS Mincho" w:cs="Calibri"/>
          <w:lang w:val="en-GB" w:eastAsia="ru-RU"/>
        </w:rPr>
        <w:t xml:space="preserve">necessity to undertake </w:t>
      </w:r>
      <w:r w:rsidRPr="00BB323C">
        <w:rPr>
          <w:rFonts w:eastAsia="MS Mincho" w:cs="Calibri"/>
          <w:lang w:val="en-GB" w:eastAsia="ru-RU"/>
        </w:rPr>
        <w:t>relevant procedure</w:t>
      </w:r>
      <w:r>
        <w:rPr>
          <w:rFonts w:eastAsia="MS Mincho" w:cs="Calibri"/>
          <w:lang w:val="en-GB" w:eastAsia="ru-RU"/>
        </w:rPr>
        <w:t>.</w:t>
      </w:r>
      <w:r w:rsidRPr="00BB323C">
        <w:rPr>
          <w:rStyle w:val="a7"/>
          <w:rFonts w:eastAsia="MS Mincho" w:cs="Calibri"/>
          <w:lang w:val="en-GB" w:eastAsia="ru-RU"/>
        </w:rPr>
        <w:footnoteReference w:id="16"/>
      </w:r>
    </w:p>
    <w:p w:rsidR="00C55ADF" w:rsidRPr="00BB323C" w:rsidRDefault="00C55ADF" w:rsidP="00B2132E">
      <w:pPr>
        <w:jc w:val="both"/>
        <w:rPr>
          <w:rFonts w:eastAsia="MS Mincho" w:cs="Calibri"/>
          <w:lang w:val="en-GB" w:eastAsia="ru-RU"/>
        </w:rPr>
      </w:pPr>
      <w:r>
        <w:rPr>
          <w:rFonts w:eastAsia="MS Mincho" w:cs="Calibri"/>
          <w:lang w:val="en-GB" w:eastAsia="ru-RU"/>
        </w:rPr>
        <w:t>M</w:t>
      </w:r>
      <w:r w:rsidRPr="00BB323C">
        <w:rPr>
          <w:rFonts w:eastAsia="MS Mincho" w:cs="Calibri"/>
          <w:lang w:val="en-GB" w:eastAsia="ru-RU"/>
        </w:rPr>
        <w:t xml:space="preserve">edical treatment available in psychiatric institutions consists mostly </w:t>
      </w:r>
      <w:r>
        <w:rPr>
          <w:rFonts w:eastAsia="MS Mincho" w:cs="Calibri"/>
          <w:lang w:val="en-GB" w:eastAsia="ru-RU"/>
        </w:rPr>
        <w:t xml:space="preserve">only </w:t>
      </w:r>
      <w:r w:rsidRPr="00BB323C">
        <w:rPr>
          <w:rFonts w:eastAsia="MS Mincho" w:cs="Calibri"/>
          <w:lang w:val="en-GB" w:eastAsia="ru-RU"/>
        </w:rPr>
        <w:t xml:space="preserve">of medication. The monitoring visits show that a very significant number of patients are not aware of their rights, they are not informed properly on the conditions of hospitalization and simply are given two forms for signature – one consenting hospitalization and </w:t>
      </w:r>
      <w:r>
        <w:rPr>
          <w:rFonts w:eastAsia="MS Mincho" w:cs="Calibri"/>
          <w:lang w:val="en-GB" w:eastAsia="ru-RU"/>
        </w:rPr>
        <w:t>a</w:t>
      </w:r>
      <w:r w:rsidRPr="00BB323C">
        <w:rPr>
          <w:rFonts w:eastAsia="MS Mincho" w:cs="Calibri"/>
          <w:lang w:val="en-GB" w:eastAsia="ru-RU"/>
        </w:rPr>
        <w:t>n</w:t>
      </w:r>
      <w:r>
        <w:rPr>
          <w:rFonts w:eastAsia="MS Mincho" w:cs="Calibri"/>
          <w:lang w:val="en-GB" w:eastAsia="ru-RU"/>
        </w:rPr>
        <w:t xml:space="preserve">other one </w:t>
      </w:r>
      <w:r w:rsidRPr="00BB323C">
        <w:rPr>
          <w:rFonts w:eastAsia="MS Mincho" w:cs="Calibri"/>
          <w:lang w:val="en-GB" w:eastAsia="ru-RU"/>
        </w:rPr>
        <w:t>for the treatment</w:t>
      </w:r>
      <w:r>
        <w:rPr>
          <w:rFonts w:eastAsia="MS Mincho" w:cs="Calibri"/>
          <w:lang w:val="en-GB" w:eastAsia="ru-RU"/>
        </w:rPr>
        <w:t xml:space="preserve">, </w:t>
      </w:r>
      <w:r w:rsidRPr="00BB323C">
        <w:rPr>
          <w:rFonts w:eastAsia="MS Mincho" w:cs="Calibri"/>
          <w:lang w:val="en-GB" w:eastAsia="ru-RU"/>
        </w:rPr>
        <w:t xml:space="preserve">at the </w:t>
      </w:r>
      <w:r>
        <w:rPr>
          <w:rFonts w:eastAsia="MS Mincho" w:cs="Calibri"/>
          <w:lang w:val="en-GB" w:eastAsia="ru-RU"/>
        </w:rPr>
        <w:t xml:space="preserve">moment of </w:t>
      </w:r>
      <w:r w:rsidRPr="00BB323C">
        <w:rPr>
          <w:rFonts w:eastAsia="MS Mincho" w:cs="Calibri"/>
          <w:lang w:val="en-GB" w:eastAsia="ru-RU"/>
        </w:rPr>
        <w:t xml:space="preserve">admission or shortly </w:t>
      </w:r>
      <w:r>
        <w:rPr>
          <w:rFonts w:eastAsia="MS Mincho" w:cs="Calibri"/>
          <w:lang w:val="en-GB" w:eastAsia="ru-RU"/>
        </w:rPr>
        <w:t>there</w:t>
      </w:r>
      <w:r w:rsidRPr="00BB323C">
        <w:rPr>
          <w:rFonts w:eastAsia="MS Mincho" w:cs="Calibri"/>
          <w:lang w:val="en-GB" w:eastAsia="ru-RU"/>
        </w:rPr>
        <w:t>after. There are also cases of detention for several days on medication, even after clear verbal complaint about adverse reactions.</w:t>
      </w:r>
    </w:p>
    <w:p w:rsidR="00C55ADF" w:rsidRPr="00BB323C" w:rsidRDefault="00C55ADF" w:rsidP="00235544">
      <w:pPr>
        <w:pStyle w:val="yiv9681913240msonormal"/>
        <w:shd w:val="clear" w:color="auto" w:fill="FFFFFF"/>
        <w:spacing w:before="0" w:beforeAutospacing="0" w:after="0" w:afterAutospacing="0"/>
        <w:jc w:val="both"/>
        <w:rPr>
          <w:rFonts w:ascii="Calibri" w:hAnsi="Calibri" w:cs="Calibri"/>
          <w:color w:val="000000"/>
          <w:sz w:val="22"/>
          <w:szCs w:val="22"/>
          <w:lang w:val="en-GB"/>
        </w:rPr>
      </w:pPr>
      <w:r w:rsidRPr="00BB323C">
        <w:rPr>
          <w:rFonts w:ascii="Calibri" w:eastAsia="MS Mincho" w:hAnsi="Calibri" w:cs="Calibri"/>
          <w:sz w:val="22"/>
          <w:szCs w:val="22"/>
          <w:lang w:val="en-GB"/>
        </w:rPr>
        <w:t xml:space="preserve">According to available statistics the annual death rate </w:t>
      </w:r>
      <w:r>
        <w:rPr>
          <w:rFonts w:ascii="Calibri" w:eastAsia="MS Mincho" w:hAnsi="Calibri" w:cs="Calibri"/>
          <w:sz w:val="22"/>
          <w:szCs w:val="22"/>
          <w:lang w:val="en-GB"/>
        </w:rPr>
        <w:t xml:space="preserve">in such </w:t>
      </w:r>
      <w:r w:rsidRPr="00BB323C">
        <w:rPr>
          <w:rFonts w:ascii="Calibri" w:eastAsia="MS Mincho" w:hAnsi="Calibri" w:cs="Calibri"/>
          <w:sz w:val="22"/>
          <w:szCs w:val="22"/>
          <w:lang w:val="en-GB"/>
        </w:rPr>
        <w:t>institutional settings is of 5% (5.06)</w:t>
      </w:r>
      <w:r>
        <w:rPr>
          <w:rFonts w:ascii="Calibri" w:eastAsia="MS Mincho" w:hAnsi="Calibri" w:cs="Calibri"/>
          <w:sz w:val="22"/>
          <w:szCs w:val="22"/>
          <w:lang w:val="en-GB"/>
        </w:rPr>
        <w:t xml:space="preserve"> per year</w:t>
      </w:r>
      <w:r w:rsidRPr="00BB323C">
        <w:rPr>
          <w:rFonts w:ascii="Calibri" w:eastAsia="MS Mincho" w:hAnsi="Calibri" w:cs="Calibri"/>
          <w:sz w:val="22"/>
          <w:szCs w:val="22"/>
          <w:lang w:val="en-GB"/>
        </w:rPr>
        <w:t xml:space="preserve"> from the total number</w:t>
      </w:r>
      <w:r>
        <w:rPr>
          <w:rFonts w:ascii="Calibri" w:eastAsia="MS Mincho" w:hAnsi="Calibri" w:cs="Calibri"/>
          <w:sz w:val="22"/>
          <w:szCs w:val="22"/>
          <w:lang w:val="en-GB"/>
        </w:rPr>
        <w:t xml:space="preserve"> of residents. </w:t>
      </w:r>
      <w:r w:rsidRPr="00BB323C">
        <w:rPr>
          <w:rFonts w:ascii="Calibri" w:hAnsi="Calibri" w:cs="Calibri"/>
          <w:color w:val="000000"/>
          <w:sz w:val="22"/>
          <w:szCs w:val="22"/>
          <w:lang w:val="en-GB"/>
        </w:rPr>
        <w:t>There is no assessment of the causes of this high mortality rate in psychiatric institutions.</w:t>
      </w:r>
      <w:r w:rsidRPr="00BB323C">
        <w:rPr>
          <w:rStyle w:val="a7"/>
          <w:rFonts w:ascii="Calibri" w:hAnsi="Calibri" w:cs="Calibri"/>
          <w:color w:val="000000"/>
          <w:sz w:val="22"/>
          <w:szCs w:val="22"/>
          <w:lang w:val="en-GB"/>
        </w:rPr>
        <w:footnoteReference w:id="17"/>
      </w:r>
    </w:p>
    <w:p w:rsidR="00C55ADF" w:rsidRPr="00BB323C" w:rsidRDefault="00C55ADF" w:rsidP="00E639F9">
      <w:pPr>
        <w:tabs>
          <w:tab w:val="left" w:pos="284"/>
        </w:tabs>
        <w:spacing w:before="120" w:after="120"/>
        <w:jc w:val="both"/>
        <w:rPr>
          <w:rFonts w:eastAsia="MS Mincho" w:cs="Calibri"/>
          <w:lang w:val="en-GB" w:eastAsia="ru-RU"/>
        </w:rPr>
      </w:pPr>
      <w:r w:rsidRPr="00BB323C">
        <w:rPr>
          <w:rFonts w:eastAsia="MS Mincho" w:cs="Calibri"/>
          <w:lang w:val="en-GB" w:eastAsia="ru-RU"/>
        </w:rPr>
        <w:t>Moreover, in the Republic of Moldova people with intellectual and psychosocial disabilities can lawfully be subjected to treatment without their full and informed consent through the operation of the system of guardianships. In such cases, consent for medical or health care interventions can be gained from other people (relatives, guardians etc.), and the person is not provided with adequate information which would enable him/her to take the decision themselves. In other cases, legislation allows health professionals to impose various treatments without the direct consent of the patient.</w:t>
      </w:r>
    </w:p>
    <w:p w:rsidR="00C55ADF" w:rsidRPr="009D004C" w:rsidRDefault="00C55ADF" w:rsidP="00DF4048">
      <w:pPr>
        <w:tabs>
          <w:tab w:val="left" w:pos="284"/>
        </w:tabs>
        <w:spacing w:before="120" w:after="120"/>
        <w:jc w:val="both"/>
        <w:rPr>
          <w:rFonts w:eastAsia="MS Mincho" w:cs="Calibri"/>
          <w:u w:val="single"/>
          <w:lang w:val="en-GB" w:eastAsia="ru-RU"/>
        </w:rPr>
      </w:pPr>
      <w:r w:rsidRPr="009F03BD">
        <w:rPr>
          <w:rFonts w:eastAsia="MS Mincho" w:cs="Calibri"/>
          <w:b/>
          <w:u w:val="single"/>
          <w:lang w:val="en-GB" w:eastAsia="ru-RU"/>
        </w:rPr>
        <w:t>Suggested questions to the Government:</w:t>
      </w:r>
    </w:p>
    <w:p w:rsidR="00C55ADF" w:rsidRPr="00BB323C" w:rsidRDefault="00C55ADF" w:rsidP="00441BBF">
      <w:pPr>
        <w:pStyle w:val="a8"/>
        <w:numPr>
          <w:ilvl w:val="0"/>
          <w:numId w:val="2"/>
        </w:numPr>
        <w:tabs>
          <w:tab w:val="left" w:pos="284"/>
        </w:tabs>
        <w:spacing w:after="0" w:line="240" w:lineRule="auto"/>
        <w:ind w:left="714" w:hanging="357"/>
        <w:jc w:val="both"/>
        <w:rPr>
          <w:rFonts w:eastAsia="MS Mincho" w:cs="Calibri"/>
          <w:b/>
          <w:lang w:val="en-GB" w:eastAsia="ru-RU"/>
        </w:rPr>
      </w:pPr>
      <w:r w:rsidRPr="00BB323C">
        <w:rPr>
          <w:rFonts w:eastAsia="MS Mincho" w:cs="Calibri"/>
          <w:b/>
          <w:lang w:val="en-GB" w:eastAsia="ru-RU"/>
        </w:rPr>
        <w:t xml:space="preserve">What measures will the Government take to ensure that the will and preferences of people with disabilities are respected </w:t>
      </w:r>
      <w:r>
        <w:rPr>
          <w:rFonts w:eastAsia="MS Mincho" w:cs="Calibri"/>
          <w:b/>
          <w:lang w:val="en-GB" w:eastAsia="ru-RU"/>
        </w:rPr>
        <w:t xml:space="preserve">during provision of </w:t>
      </w:r>
      <w:r w:rsidRPr="00BB323C">
        <w:rPr>
          <w:rFonts w:eastAsia="MS Mincho" w:cs="Calibri"/>
          <w:b/>
          <w:lang w:val="en-GB" w:eastAsia="ru-RU"/>
        </w:rPr>
        <w:t>health services and treatment?</w:t>
      </w:r>
    </w:p>
    <w:p w:rsidR="00C55ADF" w:rsidRPr="00BB323C" w:rsidRDefault="00C55ADF" w:rsidP="00441BBF">
      <w:pPr>
        <w:pStyle w:val="a8"/>
        <w:numPr>
          <w:ilvl w:val="0"/>
          <w:numId w:val="2"/>
        </w:numPr>
        <w:spacing w:after="0" w:line="240" w:lineRule="auto"/>
        <w:ind w:left="714" w:hanging="357"/>
        <w:jc w:val="both"/>
        <w:rPr>
          <w:rFonts w:cs="Calibri"/>
          <w:b/>
          <w:lang w:val="en-GB"/>
        </w:rPr>
      </w:pPr>
      <w:r w:rsidRPr="00BB323C">
        <w:rPr>
          <w:rFonts w:cs="Calibri"/>
          <w:b/>
          <w:lang w:val="en-GB"/>
        </w:rPr>
        <w:t>What measures are taken to ensure adequate access to medical services by people with disabilities living in psychiatric institutions?</w:t>
      </w:r>
    </w:p>
    <w:p w:rsidR="00C55ADF" w:rsidRPr="00BB323C" w:rsidRDefault="00C55ADF" w:rsidP="00441BBF">
      <w:pPr>
        <w:pStyle w:val="a8"/>
        <w:numPr>
          <w:ilvl w:val="0"/>
          <w:numId w:val="2"/>
        </w:numPr>
        <w:spacing w:after="0" w:line="240" w:lineRule="auto"/>
        <w:ind w:left="714" w:hanging="357"/>
        <w:jc w:val="both"/>
        <w:rPr>
          <w:rFonts w:cs="Calibri"/>
          <w:lang w:val="en-GB"/>
        </w:rPr>
      </w:pPr>
      <w:r w:rsidRPr="00BB323C">
        <w:rPr>
          <w:rFonts w:cs="Calibri"/>
          <w:b/>
          <w:lang w:val="en-GB"/>
        </w:rPr>
        <w:t>Please provide data on the death rate in psychiatric institutional in comparison with data among the general population</w:t>
      </w:r>
      <w:r>
        <w:rPr>
          <w:rFonts w:cs="Calibri"/>
          <w:b/>
          <w:lang w:val="en-GB"/>
        </w:rPr>
        <w:t xml:space="preserve"> in medical institutions</w:t>
      </w:r>
      <w:r w:rsidRPr="00BB323C">
        <w:rPr>
          <w:rFonts w:cs="Calibri"/>
          <w:b/>
          <w:lang w:val="en-GB"/>
        </w:rPr>
        <w:t xml:space="preserve">? Please explain, if necessary, the distinction between these rates. </w:t>
      </w:r>
    </w:p>
    <w:p w:rsidR="00C55ADF" w:rsidRDefault="00C55ADF" w:rsidP="00505754">
      <w:pPr>
        <w:jc w:val="both"/>
        <w:rPr>
          <w:rFonts w:cs="Calibri"/>
          <w:lang w:val="en-GB"/>
        </w:rPr>
      </w:pPr>
    </w:p>
    <w:p w:rsidR="00C55ADF" w:rsidRDefault="00C55ADF" w:rsidP="00505754">
      <w:pPr>
        <w:jc w:val="both"/>
        <w:rPr>
          <w:rFonts w:cs="Calibri"/>
          <w:lang w:val="en-GB"/>
        </w:rPr>
      </w:pPr>
    </w:p>
    <w:p w:rsidR="00C55ADF" w:rsidRDefault="00C55ADF" w:rsidP="00505754">
      <w:pPr>
        <w:jc w:val="both"/>
        <w:rPr>
          <w:rFonts w:cs="Calibri"/>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C55ADF" w:rsidRPr="00A600A3" w:rsidTr="00DD05EE">
        <w:tc>
          <w:tcPr>
            <w:tcW w:w="9571" w:type="dxa"/>
            <w:shd w:val="clear" w:color="auto" w:fill="D9D9D9"/>
          </w:tcPr>
          <w:p w:rsidR="00C55ADF" w:rsidRPr="00DD05EE" w:rsidRDefault="00C55ADF" w:rsidP="00DD05EE">
            <w:pPr>
              <w:spacing w:after="0" w:line="240" w:lineRule="auto"/>
              <w:jc w:val="center"/>
              <w:rPr>
                <w:b/>
                <w:lang w:val="en-US"/>
              </w:rPr>
            </w:pPr>
            <w:r w:rsidRPr="00DD05EE">
              <w:rPr>
                <w:b/>
                <w:lang w:val="en-US"/>
              </w:rPr>
              <w:lastRenderedPageBreak/>
              <w:t xml:space="preserve">RIGHTS OF PERSON LIVING WITH HIV/AIDS </w:t>
            </w:r>
          </w:p>
          <w:p w:rsidR="00C55ADF" w:rsidRPr="00DD05EE" w:rsidRDefault="00C55ADF" w:rsidP="00DD05EE">
            <w:pPr>
              <w:spacing w:after="0" w:line="240" w:lineRule="auto"/>
              <w:jc w:val="center"/>
              <w:rPr>
                <w:b/>
                <w:u w:val="single"/>
                <w:lang w:val="en-US"/>
              </w:rPr>
            </w:pPr>
          </w:p>
        </w:tc>
      </w:tr>
    </w:tbl>
    <w:p w:rsidR="00C55ADF" w:rsidRPr="00BB323C" w:rsidRDefault="00C55ADF" w:rsidP="00505754">
      <w:pPr>
        <w:spacing w:after="0" w:line="240" w:lineRule="auto"/>
        <w:jc w:val="center"/>
        <w:rPr>
          <w:b/>
          <w:lang w:val="en-US"/>
        </w:rPr>
      </w:pPr>
      <w:r w:rsidRPr="00BB323C">
        <w:rPr>
          <w:b/>
          <w:lang w:val="en-US"/>
        </w:rPr>
        <w:t>Article 12 Right to Health: Concerns about legal provisions related to the transmission HIV test result that is confidential data of a patient</w:t>
      </w:r>
    </w:p>
    <w:p w:rsidR="00C55ADF" w:rsidRPr="00BB323C" w:rsidRDefault="00C55ADF" w:rsidP="00505754">
      <w:pPr>
        <w:spacing w:after="0" w:line="240" w:lineRule="auto"/>
        <w:jc w:val="both"/>
        <w:rPr>
          <w:lang w:val="en-US"/>
        </w:rPr>
      </w:pPr>
    </w:p>
    <w:p w:rsidR="00C55ADF" w:rsidRPr="00BB323C" w:rsidRDefault="00C55ADF" w:rsidP="00505754">
      <w:pPr>
        <w:spacing w:after="0" w:line="240" w:lineRule="auto"/>
        <w:jc w:val="both"/>
        <w:rPr>
          <w:lang w:val="en-US"/>
        </w:rPr>
      </w:pPr>
      <w:r w:rsidRPr="00BB323C">
        <w:rPr>
          <w:lang w:val="en-US"/>
        </w:rPr>
        <w:t>In 2012 the Parliament of the Republic of Moldova adopted amendments to the 2007 HIV Law (Law on HIV/AIDS infection prevention no.23-XVI of 16 February 2007), particularly to Article 14 “Confidentiality” that excluded the family doctor from the list of mandatory persons who has to get personal data of all the patients' HIV test results.</w:t>
      </w:r>
    </w:p>
    <w:p w:rsidR="00C55ADF" w:rsidRPr="00BB323C" w:rsidRDefault="00C55ADF" w:rsidP="00505754">
      <w:pPr>
        <w:spacing w:after="0" w:line="240" w:lineRule="auto"/>
        <w:jc w:val="both"/>
        <w:rPr>
          <w:lang w:val="en-US"/>
        </w:rPr>
      </w:pPr>
    </w:p>
    <w:p w:rsidR="00C55ADF" w:rsidRPr="00BB323C" w:rsidRDefault="00C55ADF" w:rsidP="00505754">
      <w:pPr>
        <w:spacing w:after="0" w:line="240" w:lineRule="auto"/>
        <w:jc w:val="both"/>
        <w:rPr>
          <w:lang w:val="en-US"/>
        </w:rPr>
      </w:pPr>
      <w:r w:rsidRPr="00BB323C">
        <w:rPr>
          <w:lang w:val="en-US"/>
        </w:rPr>
        <w:t>In 2012, the above mentioned legal provisions were reviewed in accordance to the Concluding observations and recommendation of the Committee on Economic Social and Cultural Rights of 46 session/E/C.12/MDA/CO/2</w:t>
      </w:r>
      <w:r w:rsidRPr="00BB323C">
        <w:rPr>
          <w:rStyle w:val="a7"/>
          <w:lang w:val="en-US"/>
        </w:rPr>
        <w:footnoteReference w:id="18"/>
      </w:r>
      <w:r w:rsidRPr="00BB323C">
        <w:rPr>
          <w:lang w:val="en-US"/>
        </w:rPr>
        <w:t xml:space="preserve">. It was a common practice of family doctors from the entire country to disclose HIV status of patients to third parties (e.g. relatives, habitants from the same village with the patient etc.). </w:t>
      </w:r>
    </w:p>
    <w:p w:rsidR="00C55ADF" w:rsidRPr="00BB323C" w:rsidRDefault="00C55ADF" w:rsidP="00505754">
      <w:pPr>
        <w:spacing w:after="0" w:line="240" w:lineRule="auto"/>
        <w:jc w:val="both"/>
        <w:rPr>
          <w:lang w:val="en-US"/>
        </w:rPr>
      </w:pPr>
    </w:p>
    <w:p w:rsidR="00C55ADF" w:rsidRPr="00BB323C" w:rsidRDefault="00C55ADF" w:rsidP="00505754">
      <w:pPr>
        <w:spacing w:after="0" w:line="240" w:lineRule="auto"/>
        <w:jc w:val="both"/>
        <w:rPr>
          <w:lang w:val="en-US"/>
        </w:rPr>
      </w:pPr>
      <w:r w:rsidRPr="00BB323C">
        <w:rPr>
          <w:lang w:val="en-US"/>
        </w:rPr>
        <w:t xml:space="preserve">According to the observations of the </w:t>
      </w:r>
      <w:r w:rsidRPr="00BB323C">
        <w:rPr>
          <w:bCs/>
          <w:lang w:val="en-US"/>
        </w:rPr>
        <w:t xml:space="preserve">Litigation Program that is formed based on the legal consultancies and strategic litigations, during the last 3 years the </w:t>
      </w:r>
      <w:r w:rsidRPr="00BB323C">
        <w:rPr>
          <w:lang w:val="en-US"/>
        </w:rPr>
        <w:t>disclosure of HIV status still occurs, but not in that scale as it was during 2007-2012. Nevertheless, on 16 March 2015 the Ministry of Health adopted</w:t>
      </w:r>
      <w:r w:rsidRPr="00BB323C">
        <w:rPr>
          <w:rStyle w:val="a7"/>
          <w:lang w:val="en-US"/>
        </w:rPr>
        <w:footnoteReference w:id="19"/>
      </w:r>
      <w:r w:rsidRPr="00BB323C">
        <w:rPr>
          <w:lang w:val="en-US"/>
        </w:rPr>
        <w:t xml:space="preserve"> the Order no. 198 that amends and supplements the Order no. 1227 of September 4, 2012 "On approval of regulations related to transmission of personal medical information about patients with HIV status". The Ministerial Order no. 198 from 2015 establishes a mandatory transmission of HIV test result by the infectious disease doctors to the family doctors. Actually, this procedure of transmission is absolutely contrary to the art. </w:t>
      </w:r>
      <w:proofErr w:type="gramStart"/>
      <w:r w:rsidRPr="00BB323C">
        <w:rPr>
          <w:lang w:val="en-US"/>
        </w:rPr>
        <w:t xml:space="preserve">14 </w:t>
      </w:r>
      <w:proofErr w:type="spellStart"/>
      <w:r w:rsidRPr="00BB323C">
        <w:rPr>
          <w:lang w:val="en-US"/>
        </w:rPr>
        <w:t>para</w:t>
      </w:r>
      <w:proofErr w:type="spellEnd"/>
      <w:r w:rsidR="009F0B77">
        <w:rPr>
          <w:lang w:val="en-US"/>
        </w:rPr>
        <w:t>.</w:t>
      </w:r>
      <w:proofErr w:type="gramEnd"/>
      <w:r w:rsidRPr="00BB323C">
        <w:rPr>
          <w:lang w:val="en-US"/>
        </w:rPr>
        <w:t xml:space="preserve"> </w:t>
      </w:r>
      <w:proofErr w:type="gramStart"/>
      <w:r w:rsidRPr="00BB323C">
        <w:rPr>
          <w:lang w:val="en-US"/>
        </w:rPr>
        <w:t>2 of the Law on HIV/AIDS (with amendments of 2012), because the family physicians are no longer in the list of persons who are entitled to get the HIV test result of patient(s).</w:t>
      </w:r>
      <w:proofErr w:type="gramEnd"/>
      <w:r w:rsidRPr="00BB323C">
        <w:rPr>
          <w:lang w:val="en-US"/>
        </w:rPr>
        <w:t xml:space="preserve"> </w:t>
      </w:r>
    </w:p>
    <w:p w:rsidR="00C55ADF" w:rsidRPr="00BB323C" w:rsidRDefault="00C55ADF" w:rsidP="00505754">
      <w:pPr>
        <w:spacing w:after="0" w:line="240" w:lineRule="auto"/>
        <w:jc w:val="both"/>
        <w:rPr>
          <w:lang w:val="en-US"/>
        </w:rPr>
      </w:pPr>
    </w:p>
    <w:p w:rsidR="00C55ADF" w:rsidRPr="00BB323C" w:rsidRDefault="00C55ADF" w:rsidP="00505754">
      <w:pPr>
        <w:spacing w:after="0" w:line="240" w:lineRule="auto"/>
        <w:jc w:val="both"/>
        <w:rPr>
          <w:lang w:val="en-US"/>
        </w:rPr>
      </w:pPr>
      <w:r w:rsidRPr="00BB323C">
        <w:rPr>
          <w:lang w:val="en-US"/>
        </w:rPr>
        <w:t xml:space="preserve">Within the Litigation and Advocacy Program of the Moldova Institute for Human Rights we had a few beneficiaries, (e.g. IDOM cases: </w:t>
      </w:r>
      <w:r w:rsidRPr="00BB323C">
        <w:rPr>
          <w:i/>
          <w:u w:val="single"/>
          <w:lang w:val="en-US"/>
        </w:rPr>
        <w:t xml:space="preserve">I.V.1087 from </w:t>
      </w:r>
      <w:proofErr w:type="spellStart"/>
      <w:r w:rsidRPr="00BB323C">
        <w:rPr>
          <w:i/>
          <w:u w:val="single"/>
          <w:lang w:val="en-US"/>
        </w:rPr>
        <w:t>Ryshkani</w:t>
      </w:r>
      <w:proofErr w:type="spellEnd"/>
      <w:r w:rsidRPr="00BB323C">
        <w:rPr>
          <w:i/>
          <w:u w:val="single"/>
          <w:lang w:val="en-US"/>
        </w:rPr>
        <w:t xml:space="preserve"> region of Moldova,</w:t>
      </w:r>
      <w:r w:rsidRPr="00BB323C">
        <w:rPr>
          <w:lang w:val="en-US"/>
        </w:rPr>
        <w:t xml:space="preserve"> </w:t>
      </w:r>
      <w:r w:rsidRPr="00BB323C">
        <w:rPr>
          <w:i/>
          <w:u w:val="single"/>
          <w:lang w:val="en-US"/>
        </w:rPr>
        <w:t>I.P. 1084</w:t>
      </w:r>
      <w:r w:rsidRPr="00BB323C">
        <w:rPr>
          <w:lang w:val="en-US"/>
        </w:rPr>
        <w:t xml:space="preserve">) who asked the lawyers to intervene and to stop the transmission the confidential information related to HIV test result from the infectious disease physician to family doctor. Moreover, the beneficiaries of IDOM’s partner </w:t>
      </w:r>
      <w:proofErr w:type="spellStart"/>
      <w:r w:rsidRPr="00BB323C">
        <w:rPr>
          <w:lang w:val="en-US"/>
        </w:rPr>
        <w:t>organisations</w:t>
      </w:r>
      <w:proofErr w:type="spellEnd"/>
      <w:r w:rsidRPr="00BB323C">
        <w:rPr>
          <w:lang w:val="en-US"/>
        </w:rPr>
        <w:t>, particularly the Social Regional Centers for people living with HIV and non-governmental organization “Positive Initiative” expressed their concerned related to procedure of data flotation/information flow control of the confidential data related to HIV from doctors to doctors. The ministerial Order no. 198 does not provide any option to the patient to refuse transmission of his/her information related to HIV to the family doctor(s), although some infectious disease physician doctors know that part of patients would not want their information to be passed to their family doctors, for different reasons (the same town/ village of living with doctors) or previously their family doctor did not respect the confidentiality of patients' medical data.</w:t>
      </w:r>
    </w:p>
    <w:p w:rsidR="00C55ADF" w:rsidRPr="00BB323C" w:rsidRDefault="00C55ADF" w:rsidP="00505754">
      <w:pPr>
        <w:spacing w:after="0" w:line="240" w:lineRule="auto"/>
        <w:jc w:val="both"/>
        <w:rPr>
          <w:lang w:val="en-US"/>
        </w:rPr>
      </w:pPr>
    </w:p>
    <w:p w:rsidR="00C55ADF" w:rsidRPr="00BB323C" w:rsidRDefault="00C55ADF" w:rsidP="00505754">
      <w:pPr>
        <w:spacing w:after="0" w:line="240" w:lineRule="auto"/>
        <w:jc w:val="both"/>
        <w:rPr>
          <w:b/>
          <w:u w:val="single"/>
          <w:lang w:val="en-US"/>
        </w:rPr>
      </w:pPr>
      <w:r w:rsidRPr="00BB323C">
        <w:rPr>
          <w:b/>
          <w:u w:val="single"/>
          <w:lang w:val="en-US"/>
        </w:rPr>
        <w:t xml:space="preserve">Suggested questions to the Government: </w:t>
      </w:r>
    </w:p>
    <w:p w:rsidR="00C55ADF" w:rsidRPr="00BB323C" w:rsidRDefault="00C55ADF" w:rsidP="00505754">
      <w:pPr>
        <w:spacing w:after="0" w:line="240" w:lineRule="auto"/>
        <w:jc w:val="both"/>
        <w:rPr>
          <w:lang w:val="en-US"/>
        </w:rPr>
      </w:pPr>
    </w:p>
    <w:p w:rsidR="00C55ADF" w:rsidRPr="00FD1FA3" w:rsidRDefault="00C55ADF" w:rsidP="00BB323C">
      <w:pPr>
        <w:pStyle w:val="a8"/>
        <w:numPr>
          <w:ilvl w:val="0"/>
          <w:numId w:val="2"/>
        </w:numPr>
        <w:spacing w:after="0" w:line="240" w:lineRule="auto"/>
        <w:jc w:val="both"/>
        <w:rPr>
          <w:b/>
          <w:lang w:val="en-US"/>
        </w:rPr>
      </w:pPr>
      <w:r w:rsidRPr="00FD1FA3">
        <w:rPr>
          <w:b/>
          <w:lang w:val="en-US"/>
        </w:rPr>
        <w:t xml:space="preserve">Why the Order no. 198 of 16 March, 2015, adopted by the Ministry of Health does not assure the fulfillment of the Article 14 </w:t>
      </w:r>
      <w:proofErr w:type="spellStart"/>
      <w:r w:rsidRPr="00FD1FA3">
        <w:rPr>
          <w:b/>
          <w:lang w:val="en-US"/>
        </w:rPr>
        <w:t>para</w:t>
      </w:r>
      <w:proofErr w:type="spellEnd"/>
      <w:r w:rsidR="009F0B77">
        <w:rPr>
          <w:b/>
          <w:lang w:val="en-US"/>
        </w:rPr>
        <w:t>.</w:t>
      </w:r>
      <w:r w:rsidRPr="00FD1FA3">
        <w:rPr>
          <w:b/>
          <w:lang w:val="en-US"/>
        </w:rPr>
        <w:t xml:space="preserve"> 2 “Confidentiality” of the “Law </w:t>
      </w:r>
      <w:r w:rsidRPr="00FD1FA3">
        <w:rPr>
          <w:b/>
          <w:bCs/>
          <w:kern w:val="36"/>
          <w:lang w:val="en-US" w:eastAsia="ru-RU"/>
        </w:rPr>
        <w:t>on</w:t>
      </w:r>
      <w:r w:rsidRPr="00FD1FA3">
        <w:rPr>
          <w:b/>
          <w:lang w:val="en-US"/>
        </w:rPr>
        <w:t xml:space="preserve"> HIV/AIDS infection prevention” that expressly prohibits the transmission of HIV test results to the family doctors?</w:t>
      </w:r>
    </w:p>
    <w:p w:rsidR="00C55ADF" w:rsidRPr="00BB323C" w:rsidRDefault="00C55ADF" w:rsidP="00BB323C">
      <w:pPr>
        <w:pStyle w:val="a8"/>
        <w:numPr>
          <w:ilvl w:val="0"/>
          <w:numId w:val="2"/>
        </w:numPr>
        <w:spacing w:after="0" w:line="240" w:lineRule="auto"/>
        <w:jc w:val="both"/>
        <w:rPr>
          <w:rFonts w:cs="Calibri"/>
          <w:lang w:val="en-GB"/>
        </w:rPr>
      </w:pPr>
      <w:r w:rsidRPr="00FD1FA3">
        <w:rPr>
          <w:b/>
          <w:lang w:val="en-US"/>
        </w:rPr>
        <w:t>When the Government intends to revoke the Order no. 198 of 16 March 2015, adopted by the Ministry of Health, in part which contrary to the Article 14 of the Law on HIV/AIDS infection prevention, obliges the infectious disease physicians to transmit HIV test results of each patient to the family doctors?</w:t>
      </w:r>
    </w:p>
    <w:sectPr w:rsidR="00C55ADF" w:rsidRPr="00BB323C" w:rsidSect="00951D55">
      <w:footerReference w:type="even" r:id="rId14"/>
      <w:footerReference w:type="default" r:id="rId1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710B" w:rsidRDefault="000D710B" w:rsidP="001A71F6">
      <w:pPr>
        <w:spacing w:after="0" w:line="240" w:lineRule="auto"/>
      </w:pPr>
      <w:r>
        <w:separator/>
      </w:r>
    </w:p>
  </w:endnote>
  <w:endnote w:type="continuationSeparator" w:id="0">
    <w:p w:rsidR="000D710B" w:rsidRDefault="000D710B" w:rsidP="001A71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ADF" w:rsidRDefault="007D09CF" w:rsidP="006C0DF6">
    <w:pPr>
      <w:pStyle w:val="ac"/>
      <w:framePr w:wrap="around" w:vAnchor="text" w:hAnchor="margin" w:xAlign="right" w:y="1"/>
      <w:rPr>
        <w:rStyle w:val="ae"/>
      </w:rPr>
    </w:pPr>
    <w:r>
      <w:rPr>
        <w:rStyle w:val="ae"/>
      </w:rPr>
      <w:fldChar w:fldCharType="begin"/>
    </w:r>
    <w:r w:rsidR="00C55ADF">
      <w:rPr>
        <w:rStyle w:val="ae"/>
      </w:rPr>
      <w:instrText xml:space="preserve">PAGE  </w:instrText>
    </w:r>
    <w:r>
      <w:rPr>
        <w:rStyle w:val="ae"/>
      </w:rPr>
      <w:fldChar w:fldCharType="end"/>
    </w:r>
  </w:p>
  <w:p w:rsidR="00C55ADF" w:rsidRDefault="00C55ADF" w:rsidP="00A600A3">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ADF" w:rsidRDefault="007D09CF" w:rsidP="006C0DF6">
    <w:pPr>
      <w:pStyle w:val="ac"/>
      <w:framePr w:wrap="around" w:vAnchor="text" w:hAnchor="margin" w:xAlign="right" w:y="1"/>
      <w:rPr>
        <w:rStyle w:val="ae"/>
      </w:rPr>
    </w:pPr>
    <w:r>
      <w:rPr>
        <w:rStyle w:val="ae"/>
      </w:rPr>
      <w:fldChar w:fldCharType="begin"/>
    </w:r>
    <w:r w:rsidR="00C55ADF">
      <w:rPr>
        <w:rStyle w:val="ae"/>
      </w:rPr>
      <w:instrText xml:space="preserve">PAGE  </w:instrText>
    </w:r>
    <w:r>
      <w:rPr>
        <w:rStyle w:val="ae"/>
      </w:rPr>
      <w:fldChar w:fldCharType="separate"/>
    </w:r>
    <w:r w:rsidR="009F0B77">
      <w:rPr>
        <w:rStyle w:val="ae"/>
        <w:noProof/>
      </w:rPr>
      <w:t>8</w:t>
    </w:r>
    <w:r>
      <w:rPr>
        <w:rStyle w:val="ae"/>
      </w:rPr>
      <w:fldChar w:fldCharType="end"/>
    </w:r>
  </w:p>
  <w:p w:rsidR="00C55ADF" w:rsidRDefault="00C55ADF" w:rsidP="00A600A3">
    <w:pPr>
      <w:pStyle w:val="ac"/>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710B" w:rsidRDefault="000D710B" w:rsidP="001A71F6">
      <w:pPr>
        <w:spacing w:after="0" w:line="240" w:lineRule="auto"/>
      </w:pPr>
      <w:r>
        <w:separator/>
      </w:r>
    </w:p>
  </w:footnote>
  <w:footnote w:type="continuationSeparator" w:id="0">
    <w:p w:rsidR="000D710B" w:rsidRDefault="000D710B" w:rsidP="001A71F6">
      <w:pPr>
        <w:spacing w:after="0" w:line="240" w:lineRule="auto"/>
      </w:pPr>
      <w:r>
        <w:continuationSeparator/>
      </w:r>
    </w:p>
  </w:footnote>
  <w:footnote w:id="1">
    <w:p w:rsidR="00C55ADF" w:rsidRPr="00BB323C" w:rsidRDefault="00C55ADF" w:rsidP="008C0FF0">
      <w:pPr>
        <w:pStyle w:val="a5"/>
        <w:jc w:val="both"/>
        <w:rPr>
          <w:rFonts w:cs="Arial"/>
          <w:sz w:val="16"/>
          <w:szCs w:val="16"/>
          <w:lang w:val="en-GB"/>
        </w:rPr>
      </w:pPr>
      <w:r w:rsidRPr="00BB323C">
        <w:rPr>
          <w:rStyle w:val="a7"/>
          <w:rFonts w:cs="Arial"/>
          <w:sz w:val="16"/>
          <w:szCs w:val="16"/>
          <w:lang w:val="en-GB"/>
        </w:rPr>
        <w:footnoteRef/>
      </w:r>
      <w:r w:rsidRPr="00BB323C">
        <w:rPr>
          <w:rFonts w:cs="Arial"/>
          <w:sz w:val="16"/>
          <w:szCs w:val="16"/>
          <w:lang w:val="en-GB"/>
        </w:rPr>
        <w:t xml:space="preserve"> The members of IDOM contribute to writing reports on diverse violations of human rights. The reports result from various sources, as the analysis of the situation and of cases, the comparison of national legislation with international acts in the domain of human rights and from recommendations for improvement, such as: Alternative Reports to the UN Committees: UN Committee for Civil and Political Rights, available at:</w:t>
      </w:r>
      <w:r>
        <w:rPr>
          <w:rFonts w:cs="Arial"/>
          <w:sz w:val="16"/>
          <w:szCs w:val="16"/>
          <w:lang w:val="en-GB"/>
        </w:rPr>
        <w:t xml:space="preserve"> </w:t>
      </w:r>
      <w:hyperlink r:id="rId1" w:history="1">
        <w:r w:rsidRPr="00BB323C">
          <w:rPr>
            <w:rStyle w:val="ab"/>
            <w:rFonts w:cs="Arial"/>
            <w:sz w:val="16"/>
            <w:szCs w:val="16"/>
            <w:lang w:val="en-GB"/>
          </w:rPr>
          <w:t>http://www2.ohchr.org/english/bodies/hrc/docs/ngos/CreDO_IDOM_Moldova97.pdf</w:t>
        </w:r>
      </w:hyperlink>
      <w:r w:rsidRPr="00BB323C">
        <w:rPr>
          <w:rFonts w:cs="Arial"/>
          <w:sz w:val="16"/>
          <w:szCs w:val="16"/>
          <w:lang w:val="en-GB"/>
        </w:rPr>
        <w:t xml:space="preserve"> (27.02.2011), </w:t>
      </w:r>
    </w:p>
    <w:p w:rsidR="00C55ADF" w:rsidRPr="00BB323C" w:rsidRDefault="00C55ADF" w:rsidP="008C0FF0">
      <w:pPr>
        <w:pStyle w:val="a5"/>
        <w:jc w:val="both"/>
        <w:rPr>
          <w:rFonts w:cs="Arial"/>
          <w:sz w:val="16"/>
          <w:szCs w:val="16"/>
          <w:lang w:val="en-GB"/>
        </w:rPr>
      </w:pPr>
      <w:r w:rsidRPr="00BB323C">
        <w:rPr>
          <w:rFonts w:cs="Arial"/>
          <w:sz w:val="16"/>
          <w:szCs w:val="16"/>
          <w:lang w:val="en-GB"/>
        </w:rPr>
        <w:t>List of issue</w:t>
      </w:r>
      <w:r>
        <w:rPr>
          <w:rFonts w:cs="Arial"/>
          <w:sz w:val="16"/>
          <w:szCs w:val="16"/>
          <w:lang w:val="en-GB"/>
        </w:rPr>
        <w:t>s</w:t>
      </w:r>
      <w:r w:rsidRPr="00BB323C">
        <w:rPr>
          <w:rFonts w:cs="Arial"/>
          <w:sz w:val="16"/>
          <w:szCs w:val="16"/>
          <w:lang w:val="en-GB"/>
        </w:rPr>
        <w:t xml:space="preserve"> </w:t>
      </w:r>
      <w:r>
        <w:rPr>
          <w:rFonts w:cs="Arial"/>
          <w:sz w:val="16"/>
          <w:szCs w:val="16"/>
          <w:lang w:val="en-GB"/>
        </w:rPr>
        <w:t xml:space="preserve">submitted </w:t>
      </w:r>
      <w:r w:rsidRPr="00BB323C">
        <w:rPr>
          <w:rFonts w:cs="Arial"/>
          <w:sz w:val="16"/>
          <w:szCs w:val="16"/>
          <w:lang w:val="en-GB"/>
        </w:rPr>
        <w:t xml:space="preserve">in 2010 to the  UN Committee for Social, Economic and Cultural Rights, available at  </w:t>
      </w:r>
      <w:hyperlink r:id="rId2" w:history="1">
        <w:r w:rsidRPr="00BB323C">
          <w:rPr>
            <w:rStyle w:val="ab"/>
            <w:rFonts w:cs="Arial"/>
            <w:sz w:val="16"/>
            <w:szCs w:val="16"/>
            <w:lang w:val="en-GB"/>
          </w:rPr>
          <w:t>http://www2.ohchr.org/english/bodies/cescr/cescrwg44.htm</w:t>
        </w:r>
      </w:hyperlink>
      <w:r w:rsidRPr="00BB323C">
        <w:rPr>
          <w:rFonts w:cs="Arial"/>
          <w:sz w:val="16"/>
          <w:szCs w:val="16"/>
          <w:lang w:val="en-GB"/>
        </w:rPr>
        <w:t xml:space="preserve"> (27.02.2011);</w:t>
      </w:r>
    </w:p>
    <w:p w:rsidR="00C55ADF" w:rsidRPr="00BB323C" w:rsidRDefault="00C55ADF" w:rsidP="008C0FF0">
      <w:pPr>
        <w:pStyle w:val="a5"/>
        <w:jc w:val="both"/>
        <w:rPr>
          <w:rFonts w:cs="Arial"/>
          <w:sz w:val="16"/>
          <w:szCs w:val="16"/>
          <w:lang w:val="en-GB"/>
        </w:rPr>
      </w:pPr>
      <w:r w:rsidRPr="00BB323C">
        <w:rPr>
          <w:rFonts w:cs="Arial"/>
          <w:sz w:val="16"/>
          <w:szCs w:val="16"/>
          <w:lang w:val="en-GB"/>
        </w:rPr>
        <w:t>UN Committee against Torture, available at:</w:t>
      </w:r>
    </w:p>
    <w:p w:rsidR="00C55ADF" w:rsidRDefault="007D09CF" w:rsidP="008C0FF0">
      <w:pPr>
        <w:pStyle w:val="a5"/>
        <w:jc w:val="both"/>
        <w:rPr>
          <w:rFonts w:cs="Arial"/>
          <w:sz w:val="16"/>
          <w:szCs w:val="16"/>
          <w:lang w:val="en-GB"/>
        </w:rPr>
      </w:pPr>
      <w:hyperlink r:id="rId3" w:history="1">
        <w:proofErr w:type="gramStart"/>
        <w:r w:rsidR="00C55ADF" w:rsidRPr="00BB323C">
          <w:rPr>
            <w:rStyle w:val="ab"/>
            <w:rFonts w:cs="Arial"/>
            <w:sz w:val="16"/>
            <w:szCs w:val="16"/>
            <w:lang w:val="en-GB"/>
          </w:rPr>
          <w:t>http://www2.ohchr.org/english/bodies/cat/docs/ngos/CReDO_IDOM_CNR_Moldova43.pdf</w:t>
        </w:r>
      </w:hyperlink>
      <w:r w:rsidR="00C55ADF" w:rsidRPr="00BB323C">
        <w:rPr>
          <w:rFonts w:cs="Arial"/>
          <w:sz w:val="16"/>
          <w:szCs w:val="16"/>
          <w:lang w:val="en-GB"/>
        </w:rPr>
        <w:t xml:space="preserve"> (27.02.2011)</w:t>
      </w:r>
      <w:r w:rsidR="00C55ADF">
        <w:rPr>
          <w:rFonts w:cs="Arial"/>
          <w:sz w:val="16"/>
          <w:szCs w:val="16"/>
          <w:lang w:val="en-GB"/>
        </w:rPr>
        <w:t xml:space="preserve"> and others.</w:t>
      </w:r>
      <w:proofErr w:type="gramEnd"/>
      <w:r w:rsidR="00C55ADF">
        <w:rPr>
          <w:rFonts w:cs="Arial"/>
          <w:sz w:val="16"/>
          <w:szCs w:val="16"/>
          <w:lang w:val="en-GB"/>
        </w:rPr>
        <w:t xml:space="preserve"> For more info, please see </w:t>
      </w:r>
      <w:hyperlink r:id="rId4" w:history="1">
        <w:r w:rsidR="00C55ADF" w:rsidRPr="00FB6DB8">
          <w:rPr>
            <w:rStyle w:val="ab"/>
            <w:rFonts w:cs="Arial"/>
            <w:sz w:val="16"/>
            <w:szCs w:val="16"/>
            <w:lang w:val="en-GB"/>
          </w:rPr>
          <w:t>http://idom.md/index.php?option=com_k2&amp;view=item&amp;layout=item&amp;id=76&amp;Itemid=400&amp;lang=en</w:t>
        </w:r>
      </w:hyperlink>
    </w:p>
    <w:p w:rsidR="00C55ADF" w:rsidRDefault="00C55ADF" w:rsidP="008C0FF0">
      <w:pPr>
        <w:pStyle w:val="a5"/>
        <w:jc w:val="both"/>
        <w:rPr>
          <w:rFonts w:cs="Arial"/>
          <w:sz w:val="16"/>
          <w:szCs w:val="16"/>
          <w:lang w:val="en-GB"/>
        </w:rPr>
      </w:pPr>
    </w:p>
    <w:p w:rsidR="00C55ADF" w:rsidRDefault="00C55ADF" w:rsidP="008C0FF0">
      <w:pPr>
        <w:pStyle w:val="a5"/>
        <w:jc w:val="both"/>
      </w:pPr>
    </w:p>
  </w:footnote>
  <w:footnote w:id="2">
    <w:p w:rsidR="00C55ADF" w:rsidRDefault="00C55ADF" w:rsidP="008C0FF0">
      <w:pPr>
        <w:pStyle w:val="a5"/>
        <w:jc w:val="both"/>
      </w:pPr>
      <w:r w:rsidRPr="00BB323C">
        <w:rPr>
          <w:rStyle w:val="a7"/>
          <w:rFonts w:cs="Arial"/>
          <w:sz w:val="16"/>
          <w:szCs w:val="16"/>
          <w:lang w:val="en-GB"/>
        </w:rPr>
        <w:footnoteRef/>
      </w:r>
      <w:r w:rsidRPr="00BB323C">
        <w:rPr>
          <w:rFonts w:cs="Arial"/>
          <w:sz w:val="16"/>
          <w:szCs w:val="16"/>
          <w:lang w:val="en-GB"/>
        </w:rPr>
        <w:t xml:space="preserve"> For example, </w:t>
      </w:r>
      <w:r w:rsidRPr="00BB323C">
        <w:rPr>
          <w:rFonts w:cs="Arial"/>
          <w:bCs/>
          <w:color w:val="000000"/>
          <w:sz w:val="16"/>
          <w:szCs w:val="16"/>
          <w:lang w:val="en-GB"/>
        </w:rPr>
        <w:t xml:space="preserve">Article 15 </w:t>
      </w:r>
      <w:proofErr w:type="spellStart"/>
      <w:r w:rsidRPr="00BB323C">
        <w:rPr>
          <w:rFonts w:cs="Arial"/>
          <w:bCs/>
          <w:color w:val="000000"/>
          <w:sz w:val="16"/>
          <w:szCs w:val="16"/>
          <w:lang w:val="en-GB"/>
        </w:rPr>
        <w:t>alin</w:t>
      </w:r>
      <w:proofErr w:type="spellEnd"/>
      <w:r w:rsidRPr="00BB323C">
        <w:rPr>
          <w:rFonts w:cs="Arial"/>
          <w:bCs/>
          <w:color w:val="000000"/>
          <w:sz w:val="16"/>
          <w:szCs w:val="16"/>
          <w:lang w:val="en-GB"/>
        </w:rPr>
        <w:t xml:space="preserve">. (1) </w:t>
      </w:r>
      <w:proofErr w:type="gramStart"/>
      <w:r w:rsidRPr="00BB323C">
        <w:rPr>
          <w:rFonts w:cs="Arial"/>
          <w:bCs/>
          <w:color w:val="000000"/>
          <w:sz w:val="16"/>
          <w:szCs w:val="16"/>
          <w:lang w:val="en-GB"/>
        </w:rPr>
        <w:t>lit</w:t>
      </w:r>
      <w:proofErr w:type="gramEnd"/>
      <w:r w:rsidRPr="00BB323C">
        <w:rPr>
          <w:rFonts w:cs="Arial"/>
          <w:bCs/>
          <w:color w:val="000000"/>
          <w:sz w:val="16"/>
          <w:szCs w:val="16"/>
          <w:lang w:val="en-GB"/>
        </w:rPr>
        <w:t xml:space="preserve">. f) </w:t>
      </w:r>
      <w:proofErr w:type="gramStart"/>
      <w:r w:rsidRPr="00BB323C">
        <w:rPr>
          <w:rFonts w:cs="Arial"/>
          <w:bCs/>
          <w:color w:val="000000"/>
          <w:sz w:val="16"/>
          <w:szCs w:val="16"/>
          <w:lang w:val="en-GB"/>
        </w:rPr>
        <w:t>of</w:t>
      </w:r>
      <w:proofErr w:type="gramEnd"/>
      <w:r w:rsidRPr="00BB323C">
        <w:rPr>
          <w:rFonts w:cs="Arial"/>
          <w:bCs/>
          <w:color w:val="000000"/>
          <w:sz w:val="16"/>
          <w:szCs w:val="16"/>
          <w:lang w:val="en-GB"/>
        </w:rPr>
        <w:t xml:space="preserve"> the Moldovan Family Code states: “It is not possible for two people to marry when at least one of them has been deprived of legal capacity” (in Romanian: </w:t>
      </w:r>
      <w:r w:rsidRPr="00BB323C">
        <w:rPr>
          <w:rFonts w:cs="Arial"/>
          <w:color w:val="000000"/>
          <w:sz w:val="16"/>
          <w:szCs w:val="16"/>
          <w:lang w:val="en-GB"/>
        </w:rPr>
        <w:t>„</w:t>
      </w:r>
      <w:proofErr w:type="spellStart"/>
      <w:r w:rsidRPr="00BB323C">
        <w:rPr>
          <w:rFonts w:cs="Arial"/>
          <w:color w:val="000000"/>
          <w:sz w:val="16"/>
          <w:szCs w:val="16"/>
          <w:lang w:val="en-GB"/>
        </w:rPr>
        <w:t>Nu</w:t>
      </w:r>
      <w:proofErr w:type="spellEnd"/>
      <w:r w:rsidRPr="00BB323C">
        <w:rPr>
          <w:rFonts w:cs="Arial"/>
          <w:color w:val="000000"/>
          <w:sz w:val="16"/>
          <w:szCs w:val="16"/>
          <w:lang w:val="en-GB"/>
        </w:rPr>
        <w:t xml:space="preserve"> se </w:t>
      </w:r>
      <w:proofErr w:type="spellStart"/>
      <w:r w:rsidRPr="00BB323C">
        <w:rPr>
          <w:rFonts w:cs="Arial"/>
          <w:color w:val="000000"/>
          <w:sz w:val="16"/>
          <w:szCs w:val="16"/>
          <w:lang w:val="en-GB"/>
        </w:rPr>
        <w:t>admite</w:t>
      </w:r>
      <w:proofErr w:type="spellEnd"/>
      <w:r w:rsidRPr="00BB323C">
        <w:rPr>
          <w:rFonts w:cs="Arial"/>
          <w:color w:val="000000"/>
          <w:sz w:val="16"/>
          <w:szCs w:val="16"/>
          <w:lang w:val="en-GB"/>
        </w:rPr>
        <w:t xml:space="preserve"> </w:t>
      </w:r>
      <w:proofErr w:type="spellStart"/>
      <w:r w:rsidRPr="00BB323C">
        <w:rPr>
          <w:rFonts w:cs="Arial"/>
          <w:color w:val="000000"/>
          <w:sz w:val="16"/>
          <w:szCs w:val="16"/>
          <w:lang w:val="en-GB"/>
        </w:rPr>
        <w:t>încheierea</w:t>
      </w:r>
      <w:proofErr w:type="spellEnd"/>
      <w:r w:rsidRPr="00BB323C">
        <w:rPr>
          <w:rFonts w:cs="Arial"/>
          <w:color w:val="000000"/>
          <w:sz w:val="16"/>
          <w:szCs w:val="16"/>
          <w:lang w:val="en-GB"/>
        </w:rPr>
        <w:t xml:space="preserve"> </w:t>
      </w:r>
      <w:proofErr w:type="spellStart"/>
      <w:r w:rsidRPr="00BB323C">
        <w:rPr>
          <w:rFonts w:cs="Arial"/>
          <w:color w:val="000000"/>
          <w:sz w:val="16"/>
          <w:szCs w:val="16"/>
          <w:lang w:val="en-GB"/>
        </w:rPr>
        <w:t>căsătoriei</w:t>
      </w:r>
      <w:proofErr w:type="spellEnd"/>
      <w:r w:rsidRPr="00BB323C">
        <w:rPr>
          <w:rStyle w:val="apple-converted-space"/>
          <w:rFonts w:cs="Arial"/>
          <w:color w:val="000000"/>
          <w:sz w:val="16"/>
          <w:szCs w:val="16"/>
          <w:lang w:val="en-GB"/>
        </w:rPr>
        <w:t> </w:t>
      </w:r>
      <w:proofErr w:type="spellStart"/>
      <w:r w:rsidRPr="00BB323C">
        <w:rPr>
          <w:rFonts w:cs="Arial"/>
          <w:color w:val="000000"/>
          <w:sz w:val="16"/>
          <w:szCs w:val="16"/>
          <w:lang w:val="en-GB"/>
        </w:rPr>
        <w:t>între</w:t>
      </w:r>
      <w:proofErr w:type="spellEnd"/>
      <w:r w:rsidRPr="00BB323C">
        <w:rPr>
          <w:rFonts w:cs="Arial"/>
          <w:color w:val="000000"/>
          <w:sz w:val="16"/>
          <w:szCs w:val="16"/>
          <w:lang w:val="en-GB"/>
        </w:rPr>
        <w:t xml:space="preserve"> </w:t>
      </w:r>
      <w:proofErr w:type="spellStart"/>
      <w:r w:rsidRPr="00BB323C">
        <w:rPr>
          <w:rFonts w:cs="Arial"/>
          <w:color w:val="000000"/>
          <w:sz w:val="16"/>
          <w:szCs w:val="16"/>
          <w:lang w:val="en-GB"/>
        </w:rPr>
        <w:t>persoane</w:t>
      </w:r>
      <w:proofErr w:type="spellEnd"/>
      <w:r w:rsidRPr="00BB323C">
        <w:rPr>
          <w:rFonts w:cs="Arial"/>
          <w:color w:val="000000"/>
          <w:sz w:val="16"/>
          <w:szCs w:val="16"/>
          <w:lang w:val="en-GB"/>
        </w:rPr>
        <w:t xml:space="preserve"> </w:t>
      </w:r>
      <w:proofErr w:type="spellStart"/>
      <w:r w:rsidRPr="00BB323C">
        <w:rPr>
          <w:rFonts w:cs="Arial"/>
          <w:color w:val="000000"/>
          <w:sz w:val="16"/>
          <w:szCs w:val="16"/>
          <w:lang w:val="en-GB"/>
        </w:rPr>
        <w:t>dintre</w:t>
      </w:r>
      <w:proofErr w:type="spellEnd"/>
      <w:r w:rsidRPr="00BB323C">
        <w:rPr>
          <w:rFonts w:cs="Arial"/>
          <w:color w:val="000000"/>
          <w:sz w:val="16"/>
          <w:szCs w:val="16"/>
          <w:lang w:val="en-GB"/>
        </w:rPr>
        <w:t xml:space="preserve"> care </w:t>
      </w:r>
      <w:proofErr w:type="spellStart"/>
      <w:r w:rsidRPr="00BB323C">
        <w:rPr>
          <w:rFonts w:cs="Arial"/>
          <w:color w:val="000000"/>
          <w:sz w:val="16"/>
          <w:szCs w:val="16"/>
          <w:lang w:val="en-GB"/>
        </w:rPr>
        <w:t>cel</w:t>
      </w:r>
      <w:proofErr w:type="spellEnd"/>
      <w:r w:rsidRPr="00BB323C">
        <w:rPr>
          <w:rFonts w:cs="Arial"/>
          <w:color w:val="000000"/>
          <w:sz w:val="16"/>
          <w:szCs w:val="16"/>
          <w:lang w:val="en-GB"/>
        </w:rPr>
        <w:t xml:space="preserve"> </w:t>
      </w:r>
      <w:proofErr w:type="spellStart"/>
      <w:r w:rsidRPr="00BB323C">
        <w:rPr>
          <w:rFonts w:cs="Arial"/>
          <w:color w:val="000000"/>
          <w:sz w:val="16"/>
          <w:szCs w:val="16"/>
          <w:lang w:val="en-GB"/>
        </w:rPr>
        <w:t>puţin</w:t>
      </w:r>
      <w:proofErr w:type="spellEnd"/>
      <w:r w:rsidRPr="00BB323C">
        <w:rPr>
          <w:rFonts w:cs="Arial"/>
          <w:color w:val="000000"/>
          <w:sz w:val="16"/>
          <w:szCs w:val="16"/>
          <w:lang w:val="en-GB"/>
        </w:rPr>
        <w:t xml:space="preserve"> </w:t>
      </w:r>
      <w:proofErr w:type="spellStart"/>
      <w:r w:rsidRPr="00BB323C">
        <w:rPr>
          <w:rFonts w:cs="Arial"/>
          <w:color w:val="000000"/>
          <w:sz w:val="16"/>
          <w:szCs w:val="16"/>
          <w:lang w:val="en-GB"/>
        </w:rPr>
        <w:t>una</w:t>
      </w:r>
      <w:proofErr w:type="spellEnd"/>
      <w:r w:rsidRPr="00BB323C">
        <w:rPr>
          <w:rFonts w:cs="Arial"/>
          <w:color w:val="000000"/>
          <w:sz w:val="16"/>
          <w:szCs w:val="16"/>
          <w:lang w:val="en-GB"/>
        </w:rPr>
        <w:t xml:space="preserve"> a </w:t>
      </w:r>
      <w:proofErr w:type="spellStart"/>
      <w:r w:rsidRPr="00BB323C">
        <w:rPr>
          <w:rFonts w:cs="Arial"/>
          <w:color w:val="000000"/>
          <w:sz w:val="16"/>
          <w:szCs w:val="16"/>
          <w:lang w:val="en-GB"/>
        </w:rPr>
        <w:t>fost</w:t>
      </w:r>
      <w:proofErr w:type="spellEnd"/>
      <w:r w:rsidRPr="00BB323C">
        <w:rPr>
          <w:rFonts w:cs="Arial"/>
          <w:color w:val="000000"/>
          <w:sz w:val="16"/>
          <w:szCs w:val="16"/>
          <w:lang w:val="en-GB"/>
        </w:rPr>
        <w:t xml:space="preserve"> </w:t>
      </w:r>
      <w:proofErr w:type="spellStart"/>
      <w:r w:rsidRPr="00BB323C">
        <w:rPr>
          <w:rFonts w:cs="Arial"/>
          <w:color w:val="000000"/>
          <w:sz w:val="16"/>
          <w:szCs w:val="16"/>
          <w:lang w:val="en-GB"/>
        </w:rPr>
        <w:t>lipsită</w:t>
      </w:r>
      <w:proofErr w:type="spellEnd"/>
      <w:r w:rsidRPr="00BB323C">
        <w:rPr>
          <w:rFonts w:cs="Arial"/>
          <w:color w:val="000000"/>
          <w:sz w:val="16"/>
          <w:szCs w:val="16"/>
          <w:lang w:val="en-GB"/>
        </w:rPr>
        <w:t xml:space="preserve"> de </w:t>
      </w:r>
      <w:proofErr w:type="spellStart"/>
      <w:r w:rsidRPr="00BB323C">
        <w:rPr>
          <w:rFonts w:cs="Arial"/>
          <w:color w:val="000000"/>
          <w:sz w:val="16"/>
          <w:szCs w:val="16"/>
          <w:lang w:val="en-GB"/>
        </w:rPr>
        <w:t>capacitatea</w:t>
      </w:r>
      <w:proofErr w:type="spellEnd"/>
      <w:r w:rsidRPr="00BB323C">
        <w:rPr>
          <w:rFonts w:cs="Arial"/>
          <w:color w:val="000000"/>
          <w:sz w:val="16"/>
          <w:szCs w:val="16"/>
          <w:lang w:val="en-GB"/>
        </w:rPr>
        <w:t xml:space="preserve"> de </w:t>
      </w:r>
      <w:proofErr w:type="spellStart"/>
      <w:r w:rsidRPr="00BB323C">
        <w:rPr>
          <w:rFonts w:cs="Arial"/>
          <w:color w:val="000000"/>
          <w:sz w:val="16"/>
          <w:szCs w:val="16"/>
          <w:lang w:val="en-GB"/>
        </w:rPr>
        <w:t>exerciţiu</w:t>
      </w:r>
      <w:proofErr w:type="spellEnd"/>
      <w:r w:rsidRPr="00BB323C">
        <w:rPr>
          <w:rFonts w:cs="Arial"/>
          <w:color w:val="000000"/>
          <w:sz w:val="16"/>
          <w:szCs w:val="16"/>
          <w:lang w:val="en-GB"/>
        </w:rPr>
        <w:t>”).</w:t>
      </w:r>
    </w:p>
  </w:footnote>
  <w:footnote w:id="3">
    <w:p w:rsidR="00C55ADF" w:rsidRDefault="00C55ADF" w:rsidP="008C0FF0">
      <w:pPr>
        <w:pStyle w:val="a5"/>
        <w:jc w:val="both"/>
      </w:pPr>
      <w:r w:rsidRPr="00BB323C">
        <w:rPr>
          <w:rStyle w:val="a7"/>
          <w:rFonts w:cs="Arial"/>
          <w:sz w:val="16"/>
          <w:szCs w:val="16"/>
          <w:lang w:val="en-GB"/>
        </w:rPr>
        <w:footnoteRef/>
      </w:r>
      <w:r w:rsidRPr="00BB323C">
        <w:rPr>
          <w:rFonts w:cs="Arial"/>
          <w:sz w:val="16"/>
          <w:szCs w:val="16"/>
          <w:lang w:val="en-GB"/>
        </w:rPr>
        <w:t xml:space="preserve"> </w:t>
      </w:r>
      <w:proofErr w:type="gramStart"/>
      <w:r w:rsidRPr="00BB323C">
        <w:rPr>
          <w:rFonts w:cs="Arial"/>
          <w:sz w:val="16"/>
          <w:szCs w:val="16"/>
          <w:lang w:val="en-GB"/>
        </w:rPr>
        <w:t>Committee on Economic, Social and Cultural Rights.</w:t>
      </w:r>
      <w:proofErr w:type="gramEnd"/>
      <w:r w:rsidRPr="00BB323C">
        <w:rPr>
          <w:rFonts w:cs="Arial"/>
          <w:i/>
          <w:sz w:val="16"/>
          <w:szCs w:val="16"/>
          <w:lang w:val="en-GB"/>
        </w:rPr>
        <w:t xml:space="preserve"> General Comment No. 4: The Right to Adequate Housing (Art. 11 (1) of the Covenant)</w:t>
      </w:r>
      <w:r w:rsidRPr="00BB323C">
        <w:rPr>
          <w:rFonts w:cs="Arial"/>
          <w:sz w:val="16"/>
          <w:szCs w:val="16"/>
          <w:lang w:val="en-GB"/>
        </w:rPr>
        <w:t xml:space="preserve">, U.N. Doc E/1992/23, 13 December, 1991, </w:t>
      </w:r>
      <w:proofErr w:type="spellStart"/>
      <w:r w:rsidRPr="00BB323C">
        <w:rPr>
          <w:rFonts w:cs="Arial"/>
          <w:sz w:val="16"/>
          <w:szCs w:val="16"/>
          <w:lang w:val="en-GB"/>
        </w:rPr>
        <w:t>para</w:t>
      </w:r>
      <w:proofErr w:type="spellEnd"/>
      <w:r w:rsidRPr="00BB323C">
        <w:rPr>
          <w:rFonts w:cs="Arial"/>
          <w:sz w:val="16"/>
          <w:szCs w:val="16"/>
          <w:lang w:val="en-GB"/>
        </w:rPr>
        <w:t>. 13</w:t>
      </w:r>
    </w:p>
  </w:footnote>
  <w:footnote w:id="4">
    <w:p w:rsidR="00C55ADF" w:rsidRDefault="00C55ADF" w:rsidP="008C0FF0">
      <w:pPr>
        <w:pStyle w:val="a5"/>
        <w:jc w:val="both"/>
      </w:pPr>
      <w:r w:rsidRPr="00BB323C">
        <w:rPr>
          <w:rStyle w:val="a7"/>
          <w:rFonts w:cs="Arial"/>
          <w:sz w:val="16"/>
          <w:szCs w:val="16"/>
          <w:lang w:val="en-GB"/>
        </w:rPr>
        <w:footnoteRef/>
      </w:r>
      <w:r w:rsidRPr="00BB323C">
        <w:rPr>
          <w:rFonts w:cs="Arial"/>
          <w:sz w:val="16"/>
          <w:szCs w:val="16"/>
          <w:lang w:val="en-GB"/>
        </w:rPr>
        <w:t xml:space="preserve"> </w:t>
      </w:r>
      <w:proofErr w:type="gramStart"/>
      <w:r w:rsidRPr="00BB323C">
        <w:rPr>
          <w:rFonts w:cs="Arial"/>
          <w:sz w:val="16"/>
          <w:szCs w:val="16"/>
          <w:lang w:val="en-GB"/>
        </w:rPr>
        <w:t xml:space="preserve">Committee on Economic, Social and Cultural </w:t>
      </w:r>
      <w:proofErr w:type="spellStart"/>
      <w:r w:rsidRPr="00BB323C">
        <w:rPr>
          <w:rFonts w:cs="Arial"/>
          <w:sz w:val="16"/>
          <w:szCs w:val="16"/>
          <w:lang w:val="en-GB"/>
        </w:rPr>
        <w:t>Rights.</w:t>
      </w:r>
      <w:r w:rsidRPr="00BB323C">
        <w:rPr>
          <w:rFonts w:cs="Arial"/>
          <w:i/>
          <w:sz w:val="16"/>
          <w:szCs w:val="16"/>
          <w:lang w:val="en-GB"/>
        </w:rPr>
        <w:t>General</w:t>
      </w:r>
      <w:proofErr w:type="spellEnd"/>
      <w:r w:rsidRPr="00BB323C">
        <w:rPr>
          <w:rFonts w:cs="Arial"/>
          <w:i/>
          <w:sz w:val="16"/>
          <w:szCs w:val="16"/>
          <w:lang w:val="en-GB"/>
        </w:rPr>
        <w:t xml:space="preserve"> Comment No. 5, Persons with disabilities</w:t>
      </w:r>
      <w:r w:rsidRPr="00BB323C">
        <w:rPr>
          <w:rFonts w:cs="Arial"/>
          <w:sz w:val="16"/>
          <w:szCs w:val="16"/>
          <w:lang w:val="en-GB"/>
        </w:rPr>
        <w:t>.</w:t>
      </w:r>
      <w:proofErr w:type="gramEnd"/>
      <w:r w:rsidRPr="00BB323C">
        <w:rPr>
          <w:rFonts w:cs="Arial"/>
          <w:sz w:val="16"/>
          <w:szCs w:val="16"/>
          <w:lang w:val="en-GB"/>
        </w:rPr>
        <w:t xml:space="preserve"> </w:t>
      </w:r>
      <w:proofErr w:type="gramStart"/>
      <w:r w:rsidRPr="00BB323C">
        <w:rPr>
          <w:rFonts w:cs="Arial"/>
          <w:sz w:val="16"/>
          <w:szCs w:val="16"/>
          <w:lang w:val="en-GB"/>
        </w:rPr>
        <w:t xml:space="preserve">(Eleventh session, 1994), U.N. Doc E/1995/22 at 19 (1995), </w:t>
      </w:r>
      <w:proofErr w:type="spellStart"/>
      <w:r w:rsidRPr="00BB323C">
        <w:rPr>
          <w:rFonts w:cs="Arial"/>
          <w:sz w:val="16"/>
          <w:szCs w:val="16"/>
          <w:lang w:val="en-GB"/>
        </w:rPr>
        <w:t>para</w:t>
      </w:r>
      <w:proofErr w:type="spellEnd"/>
      <w:r w:rsidRPr="00BB323C">
        <w:rPr>
          <w:rFonts w:cs="Arial"/>
          <w:sz w:val="16"/>
          <w:szCs w:val="16"/>
          <w:lang w:val="en-GB"/>
        </w:rPr>
        <w:t>.</w:t>
      </w:r>
      <w:proofErr w:type="gramEnd"/>
      <w:r w:rsidRPr="00BB323C">
        <w:rPr>
          <w:rFonts w:cs="Arial"/>
          <w:sz w:val="16"/>
          <w:szCs w:val="16"/>
          <w:lang w:val="en-GB"/>
        </w:rPr>
        <w:t xml:space="preserve"> 15. </w:t>
      </w:r>
    </w:p>
  </w:footnote>
  <w:footnote w:id="5">
    <w:p w:rsidR="00C55ADF" w:rsidRDefault="00C55ADF" w:rsidP="008C0FF0">
      <w:pPr>
        <w:pStyle w:val="a5"/>
        <w:jc w:val="both"/>
      </w:pPr>
      <w:r w:rsidRPr="00BB323C">
        <w:rPr>
          <w:rStyle w:val="a7"/>
          <w:rFonts w:cs="Arial"/>
          <w:sz w:val="16"/>
          <w:szCs w:val="16"/>
          <w:lang w:val="en-GB"/>
        </w:rPr>
        <w:footnoteRef/>
      </w:r>
      <w:r w:rsidRPr="00BB323C">
        <w:rPr>
          <w:rFonts w:cs="Arial"/>
          <w:sz w:val="16"/>
          <w:szCs w:val="16"/>
          <w:lang w:val="en-GB"/>
        </w:rPr>
        <w:t xml:space="preserve"> IDOM and MDAC’s Legal Opinion on the Law 292 on amending the relevant legislation on the legal guardianship </w:t>
      </w:r>
      <w:hyperlink r:id="rId5" w:anchor="download&amp;from_embed" w:history="1">
        <w:r w:rsidRPr="00BB323C">
          <w:rPr>
            <w:rStyle w:val="ab"/>
            <w:rFonts w:cs="Arial"/>
            <w:sz w:val="16"/>
            <w:szCs w:val="16"/>
            <w:lang w:val="en-GB"/>
          </w:rPr>
          <w:t>https://www.scribd.com/document/329227383/Concluziile-IDOM-MDAC-Proiectul-Lege-292-MP-Final#download&amp;from_embed</w:t>
        </w:r>
      </w:hyperlink>
      <w:r w:rsidRPr="00BB323C">
        <w:rPr>
          <w:rFonts w:cs="Arial"/>
          <w:sz w:val="16"/>
          <w:szCs w:val="16"/>
          <w:lang w:val="en-GB"/>
        </w:rPr>
        <w:t xml:space="preserve"> </w:t>
      </w:r>
    </w:p>
  </w:footnote>
  <w:footnote w:id="6">
    <w:p w:rsidR="00C55ADF" w:rsidRDefault="00C55ADF" w:rsidP="008C0FF0">
      <w:pPr>
        <w:pStyle w:val="a5"/>
        <w:jc w:val="both"/>
      </w:pPr>
      <w:r w:rsidRPr="00BB323C">
        <w:rPr>
          <w:rStyle w:val="a7"/>
          <w:rFonts w:cs="Arial"/>
          <w:sz w:val="16"/>
          <w:szCs w:val="16"/>
          <w:lang w:val="en-GB"/>
        </w:rPr>
        <w:footnoteRef/>
      </w:r>
      <w:r w:rsidRPr="00BB323C">
        <w:rPr>
          <w:rFonts w:cs="Arial"/>
          <w:sz w:val="16"/>
          <w:szCs w:val="16"/>
          <w:lang w:val="en-GB"/>
        </w:rPr>
        <w:t xml:space="preserve"> See the Report on the monitoring visit to the Psycho-neurological </w:t>
      </w:r>
      <w:proofErr w:type="spellStart"/>
      <w:r w:rsidRPr="00BB323C">
        <w:rPr>
          <w:rFonts w:cs="Arial"/>
          <w:sz w:val="16"/>
          <w:szCs w:val="16"/>
          <w:lang w:val="en-GB"/>
        </w:rPr>
        <w:t>Internat</w:t>
      </w:r>
      <w:proofErr w:type="spellEnd"/>
      <w:r w:rsidRPr="00BB323C">
        <w:rPr>
          <w:rFonts w:cs="Arial"/>
          <w:sz w:val="16"/>
          <w:szCs w:val="16"/>
          <w:lang w:val="en-GB"/>
        </w:rPr>
        <w:t xml:space="preserve"> of </w:t>
      </w:r>
      <w:proofErr w:type="spellStart"/>
      <w:r w:rsidRPr="00BB323C">
        <w:rPr>
          <w:rFonts w:cs="Arial"/>
          <w:sz w:val="16"/>
          <w:szCs w:val="16"/>
          <w:lang w:val="en-GB"/>
        </w:rPr>
        <w:t>Bălți</w:t>
      </w:r>
      <w:proofErr w:type="spellEnd"/>
      <w:r w:rsidRPr="00BB323C">
        <w:rPr>
          <w:rFonts w:cs="Arial"/>
          <w:sz w:val="16"/>
          <w:szCs w:val="16"/>
          <w:lang w:val="en-GB"/>
        </w:rPr>
        <w:t xml:space="preserve">, by IDOM, dated 08 November 2016, </w:t>
      </w:r>
      <w:proofErr w:type="spellStart"/>
      <w:r w:rsidRPr="00BB323C">
        <w:rPr>
          <w:rFonts w:cs="Arial"/>
          <w:sz w:val="16"/>
          <w:szCs w:val="16"/>
          <w:lang w:val="en-GB"/>
        </w:rPr>
        <w:t>para</w:t>
      </w:r>
      <w:proofErr w:type="spellEnd"/>
      <w:r w:rsidRPr="00BB323C">
        <w:rPr>
          <w:rFonts w:cs="Arial"/>
          <w:sz w:val="16"/>
          <w:szCs w:val="16"/>
          <w:lang w:val="en-GB"/>
        </w:rPr>
        <w:t xml:space="preserve">. 7.3; available at (Romanian language): </w:t>
      </w:r>
      <w:hyperlink r:id="rId6" w:history="1">
        <w:r w:rsidRPr="00BB323C">
          <w:rPr>
            <w:rStyle w:val="ab"/>
            <w:rFonts w:cs="Arial"/>
            <w:sz w:val="16"/>
            <w:szCs w:val="16"/>
            <w:lang w:val="en-GB"/>
          </w:rPr>
          <w:t>http://idom.md/index.php?option=com_k2&amp;view=item&amp;id=324:raport-privind-monitorizarea-respect%C4%83rii-drepturilor-electorale-%C3%AEn-institu%C8%9Biile-psihiatrice-%C8%99i-psihoneurologice-din-republica-moldova&amp;Itemid=396&amp;lang=en</w:t>
        </w:r>
      </w:hyperlink>
      <w:r w:rsidRPr="00BB323C">
        <w:rPr>
          <w:rFonts w:cs="Arial"/>
          <w:sz w:val="16"/>
          <w:szCs w:val="16"/>
          <w:lang w:val="en-GB"/>
        </w:rPr>
        <w:t xml:space="preserve"> </w:t>
      </w:r>
    </w:p>
  </w:footnote>
  <w:footnote w:id="7">
    <w:p w:rsidR="00C55ADF" w:rsidRDefault="00C55ADF" w:rsidP="008C0FF0">
      <w:pPr>
        <w:pStyle w:val="a5"/>
        <w:jc w:val="both"/>
      </w:pPr>
      <w:r w:rsidRPr="00BB323C">
        <w:rPr>
          <w:rStyle w:val="a7"/>
          <w:rFonts w:cs="Arial"/>
          <w:sz w:val="16"/>
          <w:szCs w:val="16"/>
          <w:lang w:val="en-GB"/>
        </w:rPr>
        <w:footnoteRef/>
      </w:r>
      <w:r w:rsidRPr="00BB323C">
        <w:rPr>
          <w:rFonts w:cs="Arial"/>
          <w:sz w:val="16"/>
          <w:szCs w:val="16"/>
          <w:lang w:val="en-GB"/>
        </w:rPr>
        <w:t xml:space="preserve"> </w:t>
      </w:r>
      <w:proofErr w:type="gramStart"/>
      <w:r w:rsidRPr="00BB323C">
        <w:rPr>
          <w:rFonts w:cs="Arial"/>
          <w:sz w:val="16"/>
          <w:szCs w:val="16"/>
          <w:lang w:val="en-GB"/>
        </w:rPr>
        <w:t xml:space="preserve">Ibid, </w:t>
      </w:r>
      <w:proofErr w:type="spellStart"/>
      <w:r w:rsidRPr="00BB323C">
        <w:rPr>
          <w:rFonts w:cs="Arial"/>
          <w:sz w:val="16"/>
          <w:szCs w:val="16"/>
          <w:lang w:val="en-GB"/>
        </w:rPr>
        <w:t>para</w:t>
      </w:r>
      <w:proofErr w:type="spellEnd"/>
      <w:r w:rsidRPr="00BB323C">
        <w:rPr>
          <w:rFonts w:cs="Arial"/>
          <w:sz w:val="16"/>
          <w:szCs w:val="16"/>
          <w:lang w:val="en-GB"/>
        </w:rPr>
        <w:t>.</w:t>
      </w:r>
      <w:proofErr w:type="gramEnd"/>
      <w:r w:rsidRPr="00BB323C">
        <w:rPr>
          <w:rFonts w:cs="Arial"/>
          <w:sz w:val="16"/>
          <w:szCs w:val="16"/>
          <w:lang w:val="en-GB"/>
        </w:rPr>
        <w:t xml:space="preserve"> 10.3.</w:t>
      </w:r>
    </w:p>
  </w:footnote>
  <w:footnote w:id="8">
    <w:p w:rsidR="00C55ADF" w:rsidRDefault="00C55ADF" w:rsidP="008C0FF0">
      <w:pPr>
        <w:pStyle w:val="a5"/>
        <w:jc w:val="both"/>
      </w:pPr>
      <w:r w:rsidRPr="00BB323C">
        <w:rPr>
          <w:rStyle w:val="a7"/>
          <w:rFonts w:cs="Arial"/>
          <w:sz w:val="16"/>
          <w:szCs w:val="16"/>
          <w:lang w:val="en-GB"/>
        </w:rPr>
        <w:footnoteRef/>
      </w:r>
      <w:r w:rsidRPr="00BB323C">
        <w:rPr>
          <w:rFonts w:cs="Arial"/>
          <w:sz w:val="16"/>
          <w:szCs w:val="16"/>
          <w:lang w:val="en-GB"/>
        </w:rPr>
        <w:t xml:space="preserve"> See relevant sections of 2015 MDAC’s report with OHCHR and other UN agencies- Study on Human Rights of Persons with Mental or Intellectual Disabilities in the Republic of Moldova, available at </w:t>
      </w:r>
      <w:hyperlink r:id="rId7" w:history="1">
        <w:r w:rsidRPr="00BB323C">
          <w:rPr>
            <w:rStyle w:val="ab"/>
            <w:rFonts w:cs="Arial"/>
            <w:sz w:val="16"/>
            <w:szCs w:val="16"/>
            <w:lang w:val="en-GB"/>
          </w:rPr>
          <w:t>http://www.mdac.org/sites/mdac.info/files/moldova_report_2015_english.pdf</w:t>
        </w:r>
      </w:hyperlink>
      <w:proofErr w:type="gramStart"/>
      <w:r w:rsidRPr="00BB323C">
        <w:rPr>
          <w:rFonts w:cs="Arial"/>
          <w:sz w:val="16"/>
          <w:szCs w:val="16"/>
          <w:lang w:val="en-GB"/>
        </w:rPr>
        <w:t>,  (</w:t>
      </w:r>
      <w:proofErr w:type="gramEnd"/>
      <w:r w:rsidRPr="00BB323C">
        <w:rPr>
          <w:rFonts w:cs="Arial"/>
          <w:sz w:val="16"/>
          <w:szCs w:val="16"/>
          <w:lang w:val="en-GB"/>
        </w:rPr>
        <w:t xml:space="preserve">2005). </w:t>
      </w:r>
      <w:proofErr w:type="gramStart"/>
      <w:r w:rsidRPr="00BB323C">
        <w:rPr>
          <w:rFonts w:cs="Arial"/>
          <w:i/>
          <w:sz w:val="16"/>
          <w:szCs w:val="16"/>
          <w:lang w:val="en-GB"/>
        </w:rPr>
        <w:t>ECONOMIC, SOCIAL AND CULTURAL RIGHTS.</w:t>
      </w:r>
      <w:proofErr w:type="gramEnd"/>
      <w:r w:rsidRPr="00BB323C">
        <w:rPr>
          <w:rFonts w:cs="Arial"/>
          <w:i/>
          <w:sz w:val="16"/>
          <w:szCs w:val="16"/>
          <w:lang w:val="en-GB"/>
        </w:rPr>
        <w:t xml:space="preserve"> Report of the Special </w:t>
      </w:r>
      <w:proofErr w:type="spellStart"/>
      <w:r w:rsidRPr="00BB323C">
        <w:rPr>
          <w:rFonts w:cs="Arial"/>
          <w:i/>
          <w:sz w:val="16"/>
          <w:szCs w:val="16"/>
          <w:lang w:val="en-GB"/>
        </w:rPr>
        <w:t>Rapporteur</w:t>
      </w:r>
      <w:proofErr w:type="spellEnd"/>
      <w:r w:rsidRPr="00BB323C">
        <w:rPr>
          <w:rFonts w:cs="Arial"/>
          <w:i/>
          <w:sz w:val="16"/>
          <w:szCs w:val="16"/>
          <w:lang w:val="en-GB"/>
        </w:rPr>
        <w:t xml:space="preserve"> on the right of everyone to the enjoyment of the highest attainable standard of physical and mental health, Paul Hunt</w:t>
      </w:r>
      <w:r w:rsidRPr="00BB323C">
        <w:rPr>
          <w:rFonts w:cs="Arial"/>
          <w:sz w:val="16"/>
          <w:szCs w:val="16"/>
          <w:lang w:val="en-GB"/>
        </w:rPr>
        <w:t xml:space="preserve">. E/CN.4/2005/51, </w:t>
      </w:r>
      <w:proofErr w:type="spellStart"/>
      <w:r w:rsidRPr="00BB323C">
        <w:rPr>
          <w:rFonts w:cs="Arial"/>
          <w:sz w:val="16"/>
          <w:szCs w:val="16"/>
          <w:lang w:val="en-GB"/>
        </w:rPr>
        <w:t>paras</w:t>
      </w:r>
      <w:proofErr w:type="spellEnd"/>
      <w:r w:rsidRPr="00BB323C">
        <w:rPr>
          <w:rFonts w:cs="Arial"/>
          <w:sz w:val="16"/>
          <w:szCs w:val="16"/>
          <w:lang w:val="en-GB"/>
        </w:rPr>
        <w:t xml:space="preserve">. </w:t>
      </w:r>
      <w:proofErr w:type="gramStart"/>
      <w:r w:rsidRPr="00BB323C">
        <w:rPr>
          <w:rFonts w:cs="Arial"/>
          <w:sz w:val="16"/>
          <w:szCs w:val="16"/>
          <w:lang w:val="en-GB"/>
        </w:rPr>
        <w:t>9 and 10; Judith Klein.</w:t>
      </w:r>
      <w:proofErr w:type="gramEnd"/>
      <w:r w:rsidRPr="00BB323C">
        <w:rPr>
          <w:rFonts w:cs="Arial"/>
          <w:sz w:val="16"/>
          <w:szCs w:val="16"/>
          <w:lang w:val="en-GB"/>
        </w:rPr>
        <w:t xml:space="preserve"> (2010). </w:t>
      </w:r>
      <w:r w:rsidRPr="00BB323C">
        <w:rPr>
          <w:rFonts w:cs="Arial"/>
          <w:i/>
          <w:sz w:val="16"/>
          <w:szCs w:val="16"/>
          <w:lang w:val="en-GB"/>
        </w:rPr>
        <w:t>Bring Europeans with Mental Disabilities Out of the Shadows</w:t>
      </w:r>
      <w:r w:rsidRPr="00BB323C">
        <w:rPr>
          <w:rFonts w:cs="Arial"/>
          <w:sz w:val="16"/>
          <w:szCs w:val="16"/>
          <w:lang w:val="en-GB"/>
        </w:rPr>
        <w:t>, available at https://www.opensocietyfoundations.org/voices/bring-europeans-mental-disabilities-out-shadows</w:t>
      </w:r>
    </w:p>
  </w:footnote>
  <w:footnote w:id="9">
    <w:p w:rsidR="00C55ADF" w:rsidRDefault="00C55ADF" w:rsidP="008C0FF0">
      <w:pPr>
        <w:pStyle w:val="a5"/>
        <w:jc w:val="both"/>
      </w:pPr>
      <w:r w:rsidRPr="00BB323C">
        <w:rPr>
          <w:rStyle w:val="a7"/>
          <w:rFonts w:cs="Arial"/>
          <w:sz w:val="16"/>
          <w:szCs w:val="16"/>
        </w:rPr>
        <w:footnoteRef/>
      </w:r>
      <w:r w:rsidRPr="00FD1FA3">
        <w:rPr>
          <w:rFonts w:cs="Arial"/>
          <w:sz w:val="16"/>
          <w:szCs w:val="16"/>
          <w:lang w:val="en-US"/>
        </w:rPr>
        <w:t xml:space="preserve"> </w:t>
      </w:r>
      <w:r w:rsidRPr="00FD1FA3">
        <w:rPr>
          <w:rFonts w:cs="Arial"/>
          <w:color w:val="000000"/>
          <w:sz w:val="16"/>
          <w:szCs w:val="16"/>
          <w:shd w:val="clear" w:color="auto" w:fill="FFFFFF"/>
          <w:lang w:val="en-US"/>
        </w:rPr>
        <w:t>See „</w:t>
      </w:r>
      <w:proofErr w:type="spellStart"/>
      <w:r w:rsidRPr="00FD1FA3">
        <w:rPr>
          <w:rFonts w:cs="Arial"/>
          <w:color w:val="000000"/>
          <w:sz w:val="16"/>
          <w:szCs w:val="16"/>
          <w:shd w:val="clear" w:color="auto" w:fill="FFFFFF"/>
          <w:lang w:val="en-US"/>
        </w:rPr>
        <w:t>Monitorizarea</w:t>
      </w:r>
      <w:proofErr w:type="spellEnd"/>
      <w:r w:rsidRPr="00FD1FA3">
        <w:rPr>
          <w:rFonts w:cs="Arial"/>
          <w:color w:val="000000"/>
          <w:sz w:val="16"/>
          <w:szCs w:val="16"/>
          <w:shd w:val="clear" w:color="auto" w:fill="FFFFFF"/>
          <w:lang w:val="en-US"/>
        </w:rPr>
        <w:t xml:space="preserve"> </w:t>
      </w:r>
      <w:proofErr w:type="spellStart"/>
      <w:r w:rsidRPr="00FD1FA3">
        <w:rPr>
          <w:rFonts w:cs="Arial"/>
          <w:color w:val="000000"/>
          <w:sz w:val="16"/>
          <w:szCs w:val="16"/>
          <w:shd w:val="clear" w:color="auto" w:fill="FFFFFF"/>
          <w:lang w:val="en-US"/>
        </w:rPr>
        <w:t>respectării</w:t>
      </w:r>
      <w:proofErr w:type="spellEnd"/>
      <w:r w:rsidRPr="00FD1FA3">
        <w:rPr>
          <w:rFonts w:cs="Arial"/>
          <w:color w:val="000000"/>
          <w:sz w:val="16"/>
          <w:szCs w:val="16"/>
          <w:shd w:val="clear" w:color="auto" w:fill="FFFFFF"/>
          <w:lang w:val="en-US"/>
        </w:rPr>
        <w:t xml:space="preserve"> </w:t>
      </w:r>
      <w:proofErr w:type="spellStart"/>
      <w:r w:rsidRPr="00FD1FA3">
        <w:rPr>
          <w:rFonts w:cs="Arial"/>
          <w:color w:val="000000"/>
          <w:sz w:val="16"/>
          <w:szCs w:val="16"/>
          <w:shd w:val="clear" w:color="auto" w:fill="FFFFFF"/>
          <w:lang w:val="en-US"/>
        </w:rPr>
        <w:t>drepturilor</w:t>
      </w:r>
      <w:proofErr w:type="spellEnd"/>
      <w:r w:rsidRPr="00FD1FA3">
        <w:rPr>
          <w:rFonts w:cs="Arial"/>
          <w:color w:val="000000"/>
          <w:sz w:val="16"/>
          <w:szCs w:val="16"/>
          <w:shd w:val="clear" w:color="auto" w:fill="FFFFFF"/>
          <w:lang w:val="en-US"/>
        </w:rPr>
        <w:t xml:space="preserve"> </w:t>
      </w:r>
      <w:proofErr w:type="spellStart"/>
      <w:r w:rsidRPr="00FD1FA3">
        <w:rPr>
          <w:rFonts w:cs="Arial"/>
          <w:color w:val="000000"/>
          <w:sz w:val="16"/>
          <w:szCs w:val="16"/>
          <w:shd w:val="clear" w:color="auto" w:fill="FFFFFF"/>
          <w:lang w:val="en-US"/>
        </w:rPr>
        <w:t>electorale</w:t>
      </w:r>
      <w:proofErr w:type="spellEnd"/>
      <w:r w:rsidRPr="00FD1FA3">
        <w:rPr>
          <w:rFonts w:cs="Arial"/>
          <w:color w:val="000000"/>
          <w:sz w:val="16"/>
          <w:szCs w:val="16"/>
          <w:shd w:val="clear" w:color="auto" w:fill="FFFFFF"/>
          <w:lang w:val="en-US"/>
        </w:rPr>
        <w:t xml:space="preserve"> </w:t>
      </w:r>
      <w:proofErr w:type="spellStart"/>
      <w:r w:rsidRPr="00FD1FA3">
        <w:rPr>
          <w:rFonts w:cs="Arial"/>
          <w:color w:val="000000"/>
          <w:sz w:val="16"/>
          <w:szCs w:val="16"/>
          <w:shd w:val="clear" w:color="auto" w:fill="FFFFFF"/>
          <w:lang w:val="en-US"/>
        </w:rPr>
        <w:t>în</w:t>
      </w:r>
      <w:proofErr w:type="spellEnd"/>
      <w:r w:rsidRPr="00FD1FA3">
        <w:rPr>
          <w:rFonts w:cs="Arial"/>
          <w:color w:val="000000"/>
          <w:sz w:val="16"/>
          <w:szCs w:val="16"/>
          <w:shd w:val="clear" w:color="auto" w:fill="FFFFFF"/>
          <w:lang w:val="en-US"/>
        </w:rPr>
        <w:t xml:space="preserve"> </w:t>
      </w:r>
      <w:proofErr w:type="spellStart"/>
      <w:r w:rsidRPr="00FD1FA3">
        <w:rPr>
          <w:rFonts w:cs="Arial"/>
          <w:color w:val="000000"/>
          <w:sz w:val="16"/>
          <w:szCs w:val="16"/>
          <w:shd w:val="clear" w:color="auto" w:fill="FFFFFF"/>
          <w:lang w:val="en-US"/>
        </w:rPr>
        <w:t>instituţiile</w:t>
      </w:r>
      <w:proofErr w:type="spellEnd"/>
      <w:r w:rsidRPr="00FD1FA3">
        <w:rPr>
          <w:rFonts w:cs="Arial"/>
          <w:color w:val="000000"/>
          <w:sz w:val="16"/>
          <w:szCs w:val="16"/>
          <w:shd w:val="clear" w:color="auto" w:fill="FFFFFF"/>
          <w:lang w:val="en-US"/>
        </w:rPr>
        <w:t xml:space="preserve"> </w:t>
      </w:r>
      <w:proofErr w:type="spellStart"/>
      <w:r w:rsidRPr="00FD1FA3">
        <w:rPr>
          <w:rFonts w:cs="Arial"/>
          <w:color w:val="000000"/>
          <w:sz w:val="16"/>
          <w:szCs w:val="16"/>
          <w:shd w:val="clear" w:color="auto" w:fill="FFFFFF"/>
          <w:lang w:val="en-US"/>
        </w:rPr>
        <w:t>psihiatrice</w:t>
      </w:r>
      <w:proofErr w:type="spellEnd"/>
      <w:r w:rsidRPr="00FD1FA3">
        <w:rPr>
          <w:rFonts w:cs="Arial"/>
          <w:color w:val="000000"/>
          <w:sz w:val="16"/>
          <w:szCs w:val="16"/>
          <w:shd w:val="clear" w:color="auto" w:fill="FFFFFF"/>
          <w:lang w:val="en-US"/>
        </w:rPr>
        <w:t xml:space="preserve"> </w:t>
      </w:r>
      <w:proofErr w:type="spellStart"/>
      <w:r w:rsidRPr="00FD1FA3">
        <w:rPr>
          <w:rFonts w:cs="Arial"/>
          <w:color w:val="000000"/>
          <w:sz w:val="16"/>
          <w:szCs w:val="16"/>
          <w:shd w:val="clear" w:color="auto" w:fill="FFFFFF"/>
          <w:lang w:val="en-US"/>
        </w:rPr>
        <w:t>și</w:t>
      </w:r>
      <w:proofErr w:type="spellEnd"/>
      <w:r w:rsidRPr="00FD1FA3">
        <w:rPr>
          <w:rFonts w:cs="Arial"/>
          <w:color w:val="000000"/>
          <w:sz w:val="16"/>
          <w:szCs w:val="16"/>
          <w:shd w:val="clear" w:color="auto" w:fill="FFFFFF"/>
          <w:lang w:val="en-US"/>
        </w:rPr>
        <w:t xml:space="preserve"> </w:t>
      </w:r>
      <w:proofErr w:type="spellStart"/>
      <w:r w:rsidRPr="00FD1FA3">
        <w:rPr>
          <w:rFonts w:cs="Arial"/>
          <w:color w:val="000000"/>
          <w:sz w:val="16"/>
          <w:szCs w:val="16"/>
          <w:shd w:val="clear" w:color="auto" w:fill="FFFFFF"/>
          <w:lang w:val="en-US"/>
        </w:rPr>
        <w:t>psihoneurologice</w:t>
      </w:r>
      <w:proofErr w:type="spellEnd"/>
      <w:r w:rsidRPr="00FD1FA3">
        <w:rPr>
          <w:rFonts w:cs="Arial"/>
          <w:color w:val="000000"/>
          <w:sz w:val="16"/>
          <w:szCs w:val="16"/>
          <w:shd w:val="clear" w:color="auto" w:fill="FFFFFF"/>
          <w:lang w:val="en-US"/>
        </w:rPr>
        <w:t xml:space="preserve"> din </w:t>
      </w:r>
      <w:proofErr w:type="spellStart"/>
      <w:r w:rsidRPr="00FD1FA3">
        <w:rPr>
          <w:rFonts w:cs="Arial"/>
          <w:color w:val="000000"/>
          <w:sz w:val="16"/>
          <w:szCs w:val="16"/>
          <w:shd w:val="clear" w:color="auto" w:fill="FFFFFF"/>
          <w:lang w:val="en-US"/>
        </w:rPr>
        <w:t>Republica</w:t>
      </w:r>
      <w:proofErr w:type="spellEnd"/>
      <w:r w:rsidRPr="00FD1FA3">
        <w:rPr>
          <w:rFonts w:cs="Arial"/>
          <w:color w:val="000000"/>
          <w:sz w:val="16"/>
          <w:szCs w:val="16"/>
          <w:shd w:val="clear" w:color="auto" w:fill="FFFFFF"/>
          <w:lang w:val="en-US"/>
        </w:rPr>
        <w:t xml:space="preserve"> Moldova. </w:t>
      </w:r>
      <w:proofErr w:type="spellStart"/>
      <w:r w:rsidRPr="00FD1FA3">
        <w:rPr>
          <w:rFonts w:cs="Arial"/>
          <w:color w:val="000000"/>
          <w:sz w:val="16"/>
          <w:szCs w:val="16"/>
          <w:shd w:val="clear" w:color="auto" w:fill="FFFFFF"/>
          <w:lang w:val="en-US"/>
        </w:rPr>
        <w:t>Alegeri</w:t>
      </w:r>
      <w:proofErr w:type="spellEnd"/>
      <w:r w:rsidRPr="00FD1FA3">
        <w:rPr>
          <w:rFonts w:cs="Arial"/>
          <w:color w:val="000000"/>
          <w:sz w:val="16"/>
          <w:szCs w:val="16"/>
          <w:shd w:val="clear" w:color="auto" w:fill="FFFFFF"/>
          <w:lang w:val="en-US"/>
        </w:rPr>
        <w:t xml:space="preserve"> </w:t>
      </w:r>
      <w:proofErr w:type="spellStart"/>
      <w:r w:rsidRPr="00FD1FA3">
        <w:rPr>
          <w:rFonts w:cs="Arial"/>
          <w:color w:val="000000"/>
          <w:sz w:val="16"/>
          <w:szCs w:val="16"/>
          <w:shd w:val="clear" w:color="auto" w:fill="FFFFFF"/>
          <w:lang w:val="en-US"/>
        </w:rPr>
        <w:t>prezidențiale</w:t>
      </w:r>
      <w:proofErr w:type="spellEnd"/>
      <w:r w:rsidRPr="00FD1FA3">
        <w:rPr>
          <w:rFonts w:cs="Arial"/>
          <w:color w:val="000000"/>
          <w:sz w:val="16"/>
          <w:szCs w:val="16"/>
          <w:shd w:val="clear" w:color="auto" w:fill="FFFFFF"/>
          <w:lang w:val="en-US"/>
        </w:rPr>
        <w:t xml:space="preserve"> din 2016</w:t>
      </w:r>
      <w:proofErr w:type="gramStart"/>
      <w:r w:rsidRPr="00FD1FA3">
        <w:rPr>
          <w:rFonts w:cs="Arial"/>
          <w:color w:val="000000"/>
          <w:sz w:val="16"/>
          <w:szCs w:val="16"/>
          <w:shd w:val="clear" w:color="auto" w:fill="FFFFFF"/>
          <w:lang w:val="en-US"/>
        </w:rPr>
        <w:t xml:space="preserve">” </w:t>
      </w:r>
      <w:r w:rsidRPr="00BB323C">
        <w:rPr>
          <w:rFonts w:cs="Arial"/>
          <w:color w:val="000000"/>
          <w:sz w:val="16"/>
          <w:szCs w:val="16"/>
          <w:shd w:val="clear" w:color="auto" w:fill="FFFFFF"/>
          <w:lang w:val="en-US"/>
        </w:rPr>
        <w:t xml:space="preserve"> (</w:t>
      </w:r>
      <w:proofErr w:type="gramEnd"/>
      <w:r w:rsidRPr="00BB323C">
        <w:rPr>
          <w:rFonts w:cs="Arial"/>
          <w:color w:val="000000"/>
          <w:sz w:val="16"/>
          <w:szCs w:val="16"/>
          <w:shd w:val="clear" w:color="auto" w:fill="FFFFFF"/>
          <w:lang w:val="en-US"/>
        </w:rPr>
        <w:t xml:space="preserve">Monitoring the respect for electoral rights in psychiatric and psycho-neurological institutions in the Republic of Moldova) </w:t>
      </w:r>
      <w:r w:rsidRPr="00FD1FA3">
        <w:rPr>
          <w:rFonts w:cs="Arial"/>
          <w:color w:val="000000"/>
          <w:sz w:val="16"/>
          <w:szCs w:val="16"/>
          <w:shd w:val="clear" w:color="auto" w:fill="FFFFFF"/>
          <w:lang w:val="en-US"/>
        </w:rPr>
        <w:t>by IDOM, page. 24; available at (Romanian</w:t>
      </w:r>
      <w:r w:rsidRPr="00FD1FA3">
        <w:rPr>
          <w:rStyle w:val="apple-converted-space"/>
          <w:rFonts w:cs="Arial"/>
          <w:color w:val="000000"/>
          <w:sz w:val="16"/>
          <w:szCs w:val="16"/>
          <w:shd w:val="clear" w:color="auto" w:fill="FFFFFF"/>
          <w:lang w:val="en-US"/>
        </w:rPr>
        <w:t> </w:t>
      </w:r>
      <w:r w:rsidRPr="00FD1FA3">
        <w:rPr>
          <w:rFonts w:cs="Arial"/>
          <w:color w:val="000000"/>
          <w:sz w:val="16"/>
          <w:szCs w:val="16"/>
          <w:shd w:val="clear" w:color="auto" w:fill="FFFFFF"/>
          <w:lang w:val="en-US"/>
        </w:rPr>
        <w:t>language):</w:t>
      </w:r>
      <w:r w:rsidRPr="00FD1FA3">
        <w:rPr>
          <w:rStyle w:val="apple-converted-space"/>
          <w:rFonts w:cs="Arial"/>
          <w:color w:val="000000"/>
          <w:sz w:val="16"/>
          <w:szCs w:val="16"/>
          <w:shd w:val="clear" w:color="auto" w:fill="FFFFFF"/>
          <w:lang w:val="en-US"/>
        </w:rPr>
        <w:t> </w:t>
      </w:r>
      <w:hyperlink r:id="rId8" w:tgtFrame="_blank" w:history="1">
        <w:r w:rsidRPr="00FD1FA3">
          <w:rPr>
            <w:rStyle w:val="ab"/>
            <w:rFonts w:cs="Arial"/>
            <w:sz w:val="16"/>
            <w:szCs w:val="16"/>
            <w:shd w:val="clear" w:color="auto" w:fill="FFFFFF"/>
            <w:lang w:val="en-US"/>
          </w:rPr>
          <w:t>http://idom.md/index.php?option=com_k2&amp;view=item&amp;id=324:raport-privind-monitorizarea-respect%C4%83rii-drepturilor-electorale-%C3%AEn-institu%C8%9Biile-psihiatrice-%C8%99i-psihoneurologice-din-republica-moldova&amp;Itemid=396&amp;lang=en</w:t>
        </w:r>
      </w:hyperlink>
    </w:p>
  </w:footnote>
  <w:footnote w:id="10">
    <w:p w:rsidR="00C55ADF" w:rsidRDefault="00C55ADF" w:rsidP="008C0FF0">
      <w:pPr>
        <w:spacing w:after="0" w:line="230" w:lineRule="atLeast"/>
        <w:jc w:val="both"/>
      </w:pPr>
      <w:r w:rsidRPr="00BB323C">
        <w:rPr>
          <w:rStyle w:val="a7"/>
          <w:rFonts w:cs="Arial"/>
          <w:color w:val="000000"/>
          <w:sz w:val="16"/>
          <w:szCs w:val="16"/>
          <w:lang w:val="en-GB"/>
        </w:rPr>
        <w:footnoteRef/>
      </w:r>
      <w:r w:rsidRPr="00BB323C">
        <w:rPr>
          <w:rFonts w:cs="Arial"/>
          <w:color w:val="000000"/>
          <w:sz w:val="16"/>
          <w:szCs w:val="16"/>
          <w:lang w:val="en-GB"/>
        </w:rPr>
        <w:t xml:space="preserve"> Committee on Economic, Social and Cultural Rights, </w:t>
      </w:r>
      <w:r w:rsidRPr="00BB323C">
        <w:rPr>
          <w:rFonts w:cs="Arial"/>
          <w:color w:val="000000"/>
          <w:sz w:val="16"/>
          <w:szCs w:val="16"/>
          <w:lang w:val="ro-RO" w:eastAsia="ro-RO"/>
        </w:rPr>
        <w:t xml:space="preserve">General Comment No. 18: The </w:t>
      </w:r>
      <w:proofErr w:type="spellStart"/>
      <w:r w:rsidRPr="00BB323C">
        <w:rPr>
          <w:rFonts w:cs="Arial"/>
          <w:color w:val="000000"/>
          <w:sz w:val="16"/>
          <w:szCs w:val="16"/>
          <w:lang w:val="ro-RO" w:eastAsia="ro-RO"/>
        </w:rPr>
        <w:t>Right</w:t>
      </w:r>
      <w:proofErr w:type="spellEnd"/>
      <w:r w:rsidRPr="00BB323C">
        <w:rPr>
          <w:rFonts w:cs="Arial"/>
          <w:color w:val="000000"/>
          <w:sz w:val="16"/>
          <w:szCs w:val="16"/>
          <w:lang w:val="ro-RO" w:eastAsia="ro-RO"/>
        </w:rPr>
        <w:t xml:space="preserve"> </w:t>
      </w:r>
      <w:proofErr w:type="spellStart"/>
      <w:r w:rsidRPr="00BB323C">
        <w:rPr>
          <w:rFonts w:cs="Arial"/>
          <w:color w:val="000000"/>
          <w:sz w:val="16"/>
          <w:szCs w:val="16"/>
          <w:lang w:val="ro-RO" w:eastAsia="ro-RO"/>
        </w:rPr>
        <w:t>to</w:t>
      </w:r>
      <w:proofErr w:type="spellEnd"/>
      <w:r w:rsidRPr="00BB323C">
        <w:rPr>
          <w:rFonts w:cs="Arial"/>
          <w:color w:val="000000"/>
          <w:sz w:val="16"/>
          <w:szCs w:val="16"/>
          <w:lang w:val="ro-RO" w:eastAsia="ro-RO"/>
        </w:rPr>
        <w:t xml:space="preserve"> </w:t>
      </w:r>
      <w:proofErr w:type="spellStart"/>
      <w:r w:rsidRPr="00BB323C">
        <w:rPr>
          <w:rFonts w:cs="Arial"/>
          <w:color w:val="000000"/>
          <w:sz w:val="16"/>
          <w:szCs w:val="16"/>
          <w:lang w:val="ro-RO" w:eastAsia="ro-RO"/>
        </w:rPr>
        <w:t>Work</w:t>
      </w:r>
      <w:proofErr w:type="spellEnd"/>
      <w:r w:rsidRPr="00BB323C">
        <w:rPr>
          <w:rFonts w:cs="Arial"/>
          <w:color w:val="000000"/>
          <w:sz w:val="16"/>
          <w:szCs w:val="16"/>
          <w:lang w:val="ro-RO" w:eastAsia="ro-RO"/>
        </w:rPr>
        <w:t xml:space="preserve"> (Art. 6 of </w:t>
      </w:r>
      <w:proofErr w:type="spellStart"/>
      <w:r w:rsidRPr="00BB323C">
        <w:rPr>
          <w:rFonts w:cs="Arial"/>
          <w:color w:val="000000"/>
          <w:sz w:val="16"/>
          <w:szCs w:val="16"/>
          <w:lang w:val="ro-RO" w:eastAsia="ro-RO"/>
        </w:rPr>
        <w:t>the</w:t>
      </w:r>
      <w:proofErr w:type="spellEnd"/>
      <w:r w:rsidRPr="00BB323C">
        <w:rPr>
          <w:rFonts w:cs="Arial"/>
          <w:color w:val="000000"/>
          <w:sz w:val="16"/>
          <w:szCs w:val="16"/>
          <w:lang w:val="ro-RO" w:eastAsia="ro-RO"/>
        </w:rPr>
        <w:t xml:space="preserve"> </w:t>
      </w:r>
      <w:proofErr w:type="spellStart"/>
      <w:r w:rsidRPr="00BB323C">
        <w:rPr>
          <w:rFonts w:cs="Arial"/>
          <w:color w:val="000000"/>
          <w:sz w:val="16"/>
          <w:szCs w:val="16"/>
          <w:lang w:val="ro-RO" w:eastAsia="ro-RO"/>
        </w:rPr>
        <w:t>Covenant</w:t>
      </w:r>
      <w:proofErr w:type="spellEnd"/>
      <w:r w:rsidRPr="00BB323C">
        <w:rPr>
          <w:rFonts w:cs="Arial"/>
          <w:color w:val="000000"/>
          <w:sz w:val="16"/>
          <w:szCs w:val="16"/>
          <w:lang w:val="ro-RO" w:eastAsia="ro-RO"/>
        </w:rPr>
        <w:t>)</w:t>
      </w:r>
      <w:r w:rsidRPr="00BB323C">
        <w:rPr>
          <w:rFonts w:cs="Arial"/>
          <w:color w:val="000000"/>
          <w:sz w:val="16"/>
          <w:szCs w:val="16"/>
          <w:lang w:val="en-GB"/>
        </w:rPr>
        <w:t>, U.N. Doc. E/C.12/GC/18, 6 February, 2006.</w:t>
      </w:r>
    </w:p>
  </w:footnote>
  <w:footnote w:id="11">
    <w:p w:rsidR="00C55ADF" w:rsidRDefault="00C55ADF" w:rsidP="008C0FF0">
      <w:pPr>
        <w:pStyle w:val="a5"/>
        <w:jc w:val="both"/>
      </w:pPr>
      <w:r w:rsidRPr="00BB323C">
        <w:rPr>
          <w:rStyle w:val="a7"/>
          <w:rFonts w:cs="Arial"/>
          <w:sz w:val="16"/>
          <w:szCs w:val="16"/>
          <w:lang w:val="en-GB"/>
        </w:rPr>
        <w:footnoteRef/>
      </w:r>
      <w:r w:rsidRPr="00BB323C">
        <w:rPr>
          <w:rFonts w:cs="Arial"/>
          <w:sz w:val="16"/>
          <w:szCs w:val="16"/>
          <w:lang w:val="en-GB"/>
        </w:rPr>
        <w:t xml:space="preserve"> See „</w:t>
      </w:r>
      <w:proofErr w:type="spellStart"/>
      <w:r w:rsidRPr="00BB323C">
        <w:rPr>
          <w:rFonts w:cs="Arial"/>
          <w:sz w:val="16"/>
          <w:szCs w:val="16"/>
          <w:lang w:val="en-GB"/>
        </w:rPr>
        <w:t>Raport</w:t>
      </w:r>
      <w:proofErr w:type="spellEnd"/>
      <w:r w:rsidRPr="00BB323C">
        <w:rPr>
          <w:rFonts w:cs="Arial"/>
          <w:sz w:val="16"/>
          <w:szCs w:val="16"/>
          <w:lang w:val="en-GB"/>
        </w:rPr>
        <w:t xml:space="preserve"> al </w:t>
      </w:r>
      <w:proofErr w:type="spellStart"/>
      <w:r w:rsidRPr="00BB323C">
        <w:rPr>
          <w:rFonts w:cs="Arial"/>
          <w:sz w:val="16"/>
          <w:szCs w:val="16"/>
          <w:lang w:val="en-GB"/>
        </w:rPr>
        <w:t>vizitei</w:t>
      </w:r>
      <w:proofErr w:type="spellEnd"/>
      <w:r w:rsidRPr="00BB323C">
        <w:rPr>
          <w:rFonts w:cs="Arial"/>
          <w:sz w:val="16"/>
          <w:szCs w:val="16"/>
          <w:lang w:val="en-GB"/>
        </w:rPr>
        <w:t xml:space="preserve"> de </w:t>
      </w:r>
      <w:proofErr w:type="spellStart"/>
      <w:r w:rsidRPr="00BB323C">
        <w:rPr>
          <w:rFonts w:cs="Arial"/>
          <w:sz w:val="16"/>
          <w:szCs w:val="16"/>
          <w:lang w:val="en-GB"/>
        </w:rPr>
        <w:t>monitorizare</w:t>
      </w:r>
      <w:proofErr w:type="spellEnd"/>
      <w:r w:rsidRPr="00BB323C">
        <w:rPr>
          <w:rFonts w:cs="Arial"/>
          <w:sz w:val="16"/>
          <w:szCs w:val="16"/>
          <w:lang w:val="en-GB"/>
        </w:rPr>
        <w:t xml:space="preserve"> la </w:t>
      </w:r>
      <w:proofErr w:type="spellStart"/>
      <w:r w:rsidRPr="00BB323C">
        <w:rPr>
          <w:rFonts w:cs="Arial"/>
          <w:sz w:val="16"/>
          <w:szCs w:val="16"/>
          <w:lang w:val="en-GB"/>
        </w:rPr>
        <w:t>Internatul</w:t>
      </w:r>
      <w:proofErr w:type="spellEnd"/>
      <w:r w:rsidRPr="00BB323C">
        <w:rPr>
          <w:rFonts w:cs="Arial"/>
          <w:sz w:val="16"/>
          <w:szCs w:val="16"/>
          <w:lang w:val="en-GB"/>
        </w:rPr>
        <w:t xml:space="preserve"> </w:t>
      </w:r>
      <w:proofErr w:type="spellStart"/>
      <w:r w:rsidRPr="00BB323C">
        <w:rPr>
          <w:rFonts w:cs="Arial"/>
          <w:sz w:val="16"/>
          <w:szCs w:val="16"/>
          <w:lang w:val="en-GB"/>
        </w:rPr>
        <w:t>Psihoneurologic</w:t>
      </w:r>
      <w:proofErr w:type="spellEnd"/>
      <w:r w:rsidRPr="00BB323C">
        <w:rPr>
          <w:rFonts w:cs="Arial"/>
          <w:sz w:val="16"/>
          <w:szCs w:val="16"/>
          <w:lang w:val="en-GB"/>
        </w:rPr>
        <w:t xml:space="preserve"> din s. </w:t>
      </w:r>
      <w:proofErr w:type="spellStart"/>
      <w:r w:rsidRPr="00BB323C">
        <w:rPr>
          <w:rFonts w:cs="Arial"/>
          <w:sz w:val="16"/>
          <w:szCs w:val="16"/>
          <w:lang w:val="en-GB"/>
        </w:rPr>
        <w:t>Bădiceni</w:t>
      </w:r>
      <w:proofErr w:type="spellEnd"/>
      <w:r w:rsidRPr="00BB323C">
        <w:rPr>
          <w:rFonts w:cs="Arial"/>
          <w:sz w:val="16"/>
          <w:szCs w:val="16"/>
          <w:lang w:val="en-GB"/>
        </w:rPr>
        <w:t xml:space="preserve">, r. </w:t>
      </w:r>
      <w:proofErr w:type="spellStart"/>
      <w:r w:rsidRPr="00BB323C">
        <w:rPr>
          <w:rFonts w:cs="Arial"/>
          <w:sz w:val="16"/>
          <w:szCs w:val="16"/>
          <w:lang w:val="en-GB"/>
        </w:rPr>
        <w:t>Soroca</w:t>
      </w:r>
      <w:proofErr w:type="spellEnd"/>
      <w:r w:rsidRPr="00BB323C">
        <w:rPr>
          <w:rFonts w:cs="Arial"/>
          <w:sz w:val="16"/>
          <w:szCs w:val="16"/>
          <w:lang w:val="en-GB"/>
        </w:rPr>
        <w:t xml:space="preserve">” (Report on monitoring visit to Psycho-neurological Home of </w:t>
      </w:r>
      <w:proofErr w:type="spellStart"/>
      <w:r w:rsidRPr="00BB323C">
        <w:rPr>
          <w:rFonts w:cs="Arial"/>
          <w:sz w:val="16"/>
          <w:szCs w:val="16"/>
          <w:lang w:val="en-GB"/>
        </w:rPr>
        <w:t>Badiceni</w:t>
      </w:r>
      <w:proofErr w:type="spellEnd"/>
      <w:r w:rsidRPr="00BB323C">
        <w:rPr>
          <w:rFonts w:cs="Arial"/>
          <w:sz w:val="16"/>
          <w:szCs w:val="16"/>
          <w:lang w:val="en-GB"/>
        </w:rPr>
        <w:t xml:space="preserve">, r. </w:t>
      </w:r>
      <w:proofErr w:type="spellStart"/>
      <w:r w:rsidRPr="00BB323C">
        <w:rPr>
          <w:rFonts w:cs="Arial"/>
          <w:sz w:val="16"/>
          <w:szCs w:val="16"/>
          <w:lang w:val="en-GB"/>
        </w:rPr>
        <w:t>Soroca</w:t>
      </w:r>
      <w:proofErr w:type="spellEnd"/>
      <w:r w:rsidRPr="00BB323C">
        <w:rPr>
          <w:rFonts w:cs="Arial"/>
          <w:sz w:val="16"/>
          <w:szCs w:val="16"/>
          <w:lang w:val="en-GB"/>
        </w:rPr>
        <w:t xml:space="preserve">) by IDOM, dated 24-25 august 2016, </w:t>
      </w:r>
      <w:proofErr w:type="spellStart"/>
      <w:r w:rsidRPr="00BB323C">
        <w:rPr>
          <w:rFonts w:cs="Arial"/>
          <w:sz w:val="16"/>
          <w:szCs w:val="16"/>
          <w:lang w:val="en-GB"/>
        </w:rPr>
        <w:t>para</w:t>
      </w:r>
      <w:proofErr w:type="spellEnd"/>
      <w:r w:rsidRPr="00BB323C">
        <w:rPr>
          <w:rFonts w:cs="Arial"/>
          <w:sz w:val="16"/>
          <w:szCs w:val="16"/>
          <w:lang w:val="en-GB"/>
        </w:rPr>
        <w:t xml:space="preserve">. 35; available at (Romanian language): </w:t>
      </w:r>
      <w:hyperlink r:id="rId9" w:history="1">
        <w:r w:rsidRPr="00FB6DB8">
          <w:rPr>
            <w:rStyle w:val="ab"/>
            <w:rFonts w:cs="Arial"/>
            <w:sz w:val="16"/>
            <w:szCs w:val="16"/>
            <w:lang w:val="en-GB"/>
          </w:rPr>
          <w:t>http://idom.md/index.php?option=com_k2&amp;view=item&amp;id=287:raport-badiceni&amp;Itemid=396&amp;lang=en</w:t>
        </w:r>
      </w:hyperlink>
    </w:p>
  </w:footnote>
  <w:footnote w:id="12">
    <w:p w:rsidR="00C55ADF" w:rsidRDefault="00C55ADF" w:rsidP="008C0FF0">
      <w:pPr>
        <w:pStyle w:val="a5"/>
        <w:jc w:val="both"/>
      </w:pPr>
      <w:r w:rsidRPr="00BB323C">
        <w:rPr>
          <w:rStyle w:val="a7"/>
          <w:rFonts w:cs="Arial"/>
          <w:sz w:val="16"/>
          <w:szCs w:val="16"/>
          <w:lang w:val="en-GB"/>
        </w:rPr>
        <w:footnoteRef/>
      </w:r>
      <w:r w:rsidRPr="00BB323C">
        <w:rPr>
          <w:rFonts w:cs="Arial"/>
          <w:sz w:val="16"/>
          <w:szCs w:val="16"/>
          <w:lang w:val="en-GB"/>
        </w:rPr>
        <w:t xml:space="preserve"> </w:t>
      </w:r>
      <w:proofErr w:type="gramStart"/>
      <w:r w:rsidRPr="00BB323C">
        <w:rPr>
          <w:rFonts w:cs="Arial"/>
          <w:sz w:val="16"/>
          <w:szCs w:val="16"/>
          <w:lang w:val="en-GB"/>
        </w:rPr>
        <w:t xml:space="preserve">Ibid, </w:t>
      </w:r>
      <w:proofErr w:type="spellStart"/>
      <w:r w:rsidRPr="00BB323C">
        <w:rPr>
          <w:rFonts w:cs="Arial"/>
          <w:sz w:val="16"/>
          <w:szCs w:val="16"/>
          <w:lang w:val="en-GB"/>
        </w:rPr>
        <w:t>para</w:t>
      </w:r>
      <w:proofErr w:type="spellEnd"/>
      <w:r w:rsidRPr="00BB323C">
        <w:rPr>
          <w:rFonts w:cs="Arial"/>
          <w:sz w:val="16"/>
          <w:szCs w:val="16"/>
          <w:lang w:val="en-GB"/>
        </w:rPr>
        <w:t>.</w:t>
      </w:r>
      <w:proofErr w:type="gramEnd"/>
      <w:r w:rsidRPr="00BB323C">
        <w:rPr>
          <w:rFonts w:cs="Arial"/>
          <w:sz w:val="16"/>
          <w:szCs w:val="16"/>
          <w:lang w:val="en-GB"/>
        </w:rPr>
        <w:t xml:space="preserve"> 30</w:t>
      </w:r>
    </w:p>
  </w:footnote>
  <w:footnote w:id="13">
    <w:p w:rsidR="00C55ADF" w:rsidRDefault="00C55ADF" w:rsidP="008C0FF0">
      <w:pPr>
        <w:pStyle w:val="a5"/>
        <w:jc w:val="both"/>
      </w:pPr>
      <w:r w:rsidRPr="00BB323C">
        <w:rPr>
          <w:rStyle w:val="a7"/>
          <w:rFonts w:cs="Arial"/>
          <w:sz w:val="16"/>
          <w:szCs w:val="16"/>
          <w:lang w:val="en-GB"/>
        </w:rPr>
        <w:footnoteRef/>
      </w:r>
      <w:r w:rsidRPr="00BB323C">
        <w:rPr>
          <w:rFonts w:cs="Arial"/>
          <w:sz w:val="16"/>
          <w:szCs w:val="16"/>
          <w:lang w:val="en-GB"/>
        </w:rPr>
        <w:t xml:space="preserve"> </w:t>
      </w:r>
      <w:proofErr w:type="gramStart"/>
      <w:r w:rsidRPr="00BB323C">
        <w:rPr>
          <w:rFonts w:cs="Arial"/>
          <w:sz w:val="16"/>
          <w:szCs w:val="16"/>
          <w:lang w:val="en-GB"/>
        </w:rPr>
        <w:t>op.cit.,</w:t>
      </w:r>
      <w:proofErr w:type="gramEnd"/>
      <w:r w:rsidRPr="00BB323C">
        <w:rPr>
          <w:rFonts w:cs="Arial"/>
          <w:sz w:val="16"/>
          <w:szCs w:val="16"/>
          <w:lang w:val="en-GB"/>
        </w:rPr>
        <w:t xml:space="preserve"> Report on the monitoring visit to the Psycho-neurological </w:t>
      </w:r>
      <w:proofErr w:type="spellStart"/>
      <w:r w:rsidRPr="00BB323C">
        <w:rPr>
          <w:rFonts w:cs="Arial"/>
          <w:sz w:val="16"/>
          <w:szCs w:val="16"/>
          <w:lang w:val="en-GB"/>
        </w:rPr>
        <w:t>Internat</w:t>
      </w:r>
      <w:proofErr w:type="spellEnd"/>
      <w:r w:rsidRPr="00BB323C">
        <w:rPr>
          <w:rFonts w:cs="Arial"/>
          <w:sz w:val="16"/>
          <w:szCs w:val="16"/>
          <w:lang w:val="en-GB"/>
        </w:rPr>
        <w:t xml:space="preserve"> of </w:t>
      </w:r>
      <w:proofErr w:type="spellStart"/>
      <w:r w:rsidRPr="00BB323C">
        <w:rPr>
          <w:rFonts w:cs="Arial"/>
          <w:sz w:val="16"/>
          <w:szCs w:val="16"/>
          <w:lang w:val="en-GB"/>
        </w:rPr>
        <w:t>Bălți</w:t>
      </w:r>
      <w:proofErr w:type="spellEnd"/>
      <w:r w:rsidRPr="00BB323C">
        <w:rPr>
          <w:rFonts w:cs="Arial"/>
          <w:sz w:val="16"/>
          <w:szCs w:val="16"/>
          <w:lang w:val="en-GB"/>
        </w:rPr>
        <w:t xml:space="preserve">, </w:t>
      </w:r>
      <w:proofErr w:type="spellStart"/>
      <w:r w:rsidRPr="00BB323C">
        <w:rPr>
          <w:rFonts w:cs="Arial"/>
          <w:sz w:val="16"/>
          <w:szCs w:val="16"/>
          <w:lang w:val="en-GB"/>
        </w:rPr>
        <w:t>para</w:t>
      </w:r>
      <w:proofErr w:type="spellEnd"/>
      <w:r w:rsidRPr="00BB323C">
        <w:rPr>
          <w:rFonts w:cs="Arial"/>
          <w:sz w:val="16"/>
          <w:szCs w:val="16"/>
          <w:lang w:val="en-GB"/>
        </w:rPr>
        <w:t xml:space="preserve">. 10.3. </w:t>
      </w:r>
    </w:p>
  </w:footnote>
  <w:footnote w:id="14">
    <w:p w:rsidR="00C55ADF" w:rsidRPr="00BB323C" w:rsidRDefault="00C55ADF" w:rsidP="008C0FF0">
      <w:pPr>
        <w:pStyle w:val="a5"/>
        <w:jc w:val="both"/>
        <w:rPr>
          <w:rFonts w:cs="Arial"/>
          <w:sz w:val="16"/>
          <w:szCs w:val="16"/>
          <w:lang w:val="en-GB"/>
        </w:rPr>
      </w:pPr>
      <w:r w:rsidRPr="00BB323C">
        <w:rPr>
          <w:rStyle w:val="a7"/>
          <w:rFonts w:cs="Arial"/>
          <w:sz w:val="16"/>
          <w:szCs w:val="16"/>
          <w:lang w:val="en-GB"/>
        </w:rPr>
        <w:footnoteRef/>
      </w:r>
      <w:r w:rsidRPr="00BB323C">
        <w:rPr>
          <w:rFonts w:cs="Arial"/>
          <w:sz w:val="16"/>
          <w:szCs w:val="16"/>
          <w:lang w:val="en-GB"/>
        </w:rPr>
        <w:t xml:space="preserve"> </w:t>
      </w:r>
      <w:proofErr w:type="gramStart"/>
      <w:r w:rsidRPr="00BB323C">
        <w:rPr>
          <w:rFonts w:cs="Arial"/>
          <w:sz w:val="16"/>
          <w:szCs w:val="16"/>
          <w:lang w:val="en-GB"/>
        </w:rPr>
        <w:t>Committee on Economic, Social and Cultural Rights, General Comment No. 13 (Twenty-first session, 1999).</w:t>
      </w:r>
      <w:proofErr w:type="gramEnd"/>
    </w:p>
    <w:p w:rsidR="00C55ADF" w:rsidRDefault="00C55ADF" w:rsidP="008C0FF0">
      <w:pPr>
        <w:pStyle w:val="a5"/>
        <w:jc w:val="both"/>
      </w:pPr>
      <w:proofErr w:type="gramStart"/>
      <w:r w:rsidRPr="00BB323C">
        <w:rPr>
          <w:rFonts w:cs="Arial"/>
          <w:sz w:val="16"/>
          <w:szCs w:val="16"/>
          <w:lang w:val="en-GB"/>
        </w:rPr>
        <w:t>The right to education (article 13 of the Covenant), U.N. Doc. E/C.12/1999/10, 8 December 1999.</w:t>
      </w:r>
      <w:proofErr w:type="gramEnd"/>
    </w:p>
  </w:footnote>
  <w:footnote w:id="15">
    <w:p w:rsidR="00C55ADF" w:rsidRDefault="00C55ADF" w:rsidP="008C0FF0">
      <w:pPr>
        <w:pStyle w:val="a5"/>
        <w:jc w:val="both"/>
      </w:pPr>
      <w:r w:rsidRPr="00BB323C">
        <w:rPr>
          <w:rStyle w:val="a7"/>
          <w:rFonts w:cs="Arial"/>
          <w:sz w:val="16"/>
          <w:szCs w:val="16"/>
          <w:lang w:val="en-GB"/>
        </w:rPr>
        <w:footnoteRef/>
      </w:r>
      <w:r w:rsidRPr="00BB323C">
        <w:rPr>
          <w:rFonts w:cs="Arial"/>
          <w:sz w:val="16"/>
          <w:szCs w:val="16"/>
          <w:lang w:val="en-GB"/>
        </w:rPr>
        <w:t xml:space="preserve"> </w:t>
      </w:r>
      <w:proofErr w:type="gramStart"/>
      <w:r w:rsidRPr="00BB323C">
        <w:rPr>
          <w:rFonts w:cs="Arial"/>
          <w:sz w:val="16"/>
          <w:szCs w:val="16"/>
          <w:lang w:val="en-GB"/>
        </w:rPr>
        <w:t>Committee on Economic, Social and Cultural Rights.</w:t>
      </w:r>
      <w:proofErr w:type="gramEnd"/>
      <w:r w:rsidRPr="00BB323C">
        <w:rPr>
          <w:rFonts w:cs="Arial"/>
          <w:sz w:val="16"/>
          <w:szCs w:val="16"/>
          <w:lang w:val="en-GB"/>
        </w:rPr>
        <w:t xml:space="preserve"> General Comment No. 14: The Right to the Highest Attainable Standard of Health (Art. 12 of the Covenant), U.N. Doc. E/C.12/2000/4, 8 August 2000.</w:t>
      </w:r>
    </w:p>
  </w:footnote>
  <w:footnote w:id="16">
    <w:p w:rsidR="00C55ADF" w:rsidRDefault="00C55ADF" w:rsidP="008C0FF0">
      <w:pPr>
        <w:pStyle w:val="a5"/>
        <w:jc w:val="both"/>
      </w:pPr>
      <w:r w:rsidRPr="00BB323C">
        <w:rPr>
          <w:rStyle w:val="a7"/>
          <w:rFonts w:cs="Arial"/>
          <w:sz w:val="16"/>
          <w:szCs w:val="16"/>
          <w:lang w:val="en-GB"/>
        </w:rPr>
        <w:footnoteRef/>
      </w:r>
      <w:r w:rsidRPr="00BB323C">
        <w:rPr>
          <w:rFonts w:cs="Arial"/>
          <w:sz w:val="16"/>
          <w:szCs w:val="16"/>
          <w:lang w:val="en-GB"/>
        </w:rPr>
        <w:t xml:space="preserve"> </w:t>
      </w:r>
      <w:proofErr w:type="gramStart"/>
      <w:r w:rsidRPr="00BB323C">
        <w:rPr>
          <w:rFonts w:cs="Arial"/>
          <w:sz w:val="16"/>
          <w:szCs w:val="16"/>
          <w:lang w:val="en-GB"/>
        </w:rPr>
        <w:t>op.cit.,</w:t>
      </w:r>
      <w:proofErr w:type="gramEnd"/>
      <w:r w:rsidRPr="00BB323C">
        <w:rPr>
          <w:rFonts w:cs="Arial"/>
          <w:sz w:val="16"/>
          <w:szCs w:val="16"/>
          <w:lang w:val="en-GB"/>
        </w:rPr>
        <w:t xml:space="preserve"> Report on the monitoring visit to the Psycho-neurological </w:t>
      </w:r>
      <w:proofErr w:type="spellStart"/>
      <w:r w:rsidRPr="00BB323C">
        <w:rPr>
          <w:rFonts w:cs="Arial"/>
          <w:sz w:val="16"/>
          <w:szCs w:val="16"/>
          <w:lang w:val="en-GB"/>
        </w:rPr>
        <w:t>Internat</w:t>
      </w:r>
      <w:proofErr w:type="spellEnd"/>
      <w:r w:rsidRPr="00BB323C">
        <w:rPr>
          <w:rFonts w:cs="Arial"/>
          <w:sz w:val="16"/>
          <w:szCs w:val="16"/>
          <w:lang w:val="en-GB"/>
        </w:rPr>
        <w:t xml:space="preserve"> of </w:t>
      </w:r>
      <w:proofErr w:type="spellStart"/>
      <w:r w:rsidRPr="00BB323C">
        <w:rPr>
          <w:rFonts w:cs="Arial"/>
          <w:sz w:val="16"/>
          <w:szCs w:val="16"/>
          <w:lang w:val="en-GB"/>
        </w:rPr>
        <w:t>Bălți</w:t>
      </w:r>
      <w:proofErr w:type="spellEnd"/>
      <w:r w:rsidRPr="00BB323C">
        <w:rPr>
          <w:rFonts w:cs="Arial"/>
          <w:sz w:val="16"/>
          <w:szCs w:val="16"/>
          <w:lang w:val="en-GB"/>
        </w:rPr>
        <w:t xml:space="preserve">, </w:t>
      </w:r>
      <w:proofErr w:type="spellStart"/>
      <w:r w:rsidRPr="00BB323C">
        <w:rPr>
          <w:rFonts w:cs="Arial"/>
          <w:sz w:val="16"/>
          <w:szCs w:val="16"/>
          <w:lang w:val="en-GB"/>
        </w:rPr>
        <w:t>para</w:t>
      </w:r>
      <w:proofErr w:type="spellEnd"/>
      <w:r w:rsidRPr="00BB323C">
        <w:rPr>
          <w:rFonts w:cs="Arial"/>
          <w:sz w:val="16"/>
          <w:szCs w:val="16"/>
          <w:lang w:val="en-GB"/>
        </w:rPr>
        <w:t>. 8.4.</w:t>
      </w:r>
    </w:p>
  </w:footnote>
  <w:footnote w:id="17">
    <w:p w:rsidR="00C55ADF" w:rsidRDefault="00C55ADF" w:rsidP="008C0FF0">
      <w:pPr>
        <w:pStyle w:val="a5"/>
        <w:jc w:val="both"/>
      </w:pPr>
      <w:r w:rsidRPr="00BB323C">
        <w:rPr>
          <w:rStyle w:val="a7"/>
          <w:rFonts w:cs="Arial"/>
          <w:sz w:val="16"/>
          <w:szCs w:val="16"/>
          <w:lang w:val="en-GB"/>
        </w:rPr>
        <w:footnoteRef/>
      </w:r>
      <w:r w:rsidRPr="00BB323C">
        <w:rPr>
          <w:rFonts w:cs="Arial"/>
          <w:sz w:val="16"/>
          <w:szCs w:val="16"/>
          <w:lang w:val="en-GB"/>
        </w:rPr>
        <w:t xml:space="preserve"> </w:t>
      </w:r>
      <w:proofErr w:type="gramStart"/>
      <w:r w:rsidRPr="00BB323C">
        <w:rPr>
          <w:rFonts w:cs="Arial"/>
          <w:sz w:val="16"/>
          <w:szCs w:val="16"/>
          <w:lang w:val="en-GB"/>
        </w:rPr>
        <w:t xml:space="preserve">Ibid, </w:t>
      </w:r>
      <w:proofErr w:type="spellStart"/>
      <w:r w:rsidRPr="00BB323C">
        <w:rPr>
          <w:rFonts w:cs="Arial"/>
          <w:sz w:val="16"/>
          <w:szCs w:val="16"/>
          <w:lang w:val="en-GB"/>
        </w:rPr>
        <w:t>para</w:t>
      </w:r>
      <w:proofErr w:type="spellEnd"/>
      <w:r w:rsidRPr="00BB323C">
        <w:rPr>
          <w:rFonts w:cs="Arial"/>
          <w:sz w:val="16"/>
          <w:szCs w:val="16"/>
          <w:lang w:val="en-GB"/>
        </w:rPr>
        <w:t>.</w:t>
      </w:r>
      <w:proofErr w:type="gramEnd"/>
      <w:r w:rsidRPr="00BB323C">
        <w:rPr>
          <w:rFonts w:cs="Arial"/>
          <w:sz w:val="16"/>
          <w:szCs w:val="16"/>
          <w:lang w:val="en-GB"/>
        </w:rPr>
        <w:t xml:space="preserve"> 7.2</w:t>
      </w:r>
    </w:p>
  </w:footnote>
  <w:footnote w:id="18">
    <w:p w:rsidR="00C55ADF" w:rsidRDefault="00C55ADF" w:rsidP="008C0FF0">
      <w:pPr>
        <w:pStyle w:val="SingleTxtG"/>
        <w:tabs>
          <w:tab w:val="num" w:pos="1800"/>
        </w:tabs>
        <w:spacing w:after="0" w:line="240" w:lineRule="auto"/>
        <w:ind w:left="0" w:right="-1"/>
      </w:pPr>
      <w:r w:rsidRPr="00BB323C">
        <w:rPr>
          <w:rStyle w:val="a7"/>
          <w:rFonts w:ascii="Calibri" w:hAnsi="Calibri"/>
        </w:rPr>
        <w:footnoteRef/>
      </w:r>
      <w:r w:rsidRPr="00BB323C">
        <w:rPr>
          <w:rFonts w:ascii="Calibri" w:hAnsi="Calibri"/>
        </w:rPr>
        <w:t xml:space="preserve"> (23)...</w:t>
      </w:r>
      <w:r w:rsidRPr="00BB323C">
        <w:rPr>
          <w:rFonts w:ascii="Calibri" w:hAnsi="Calibri"/>
          <w:bCs/>
        </w:rPr>
        <w:t>The Committee recommends that the State party ensure the confidentiality of a patient’s HIV status, including through reforming the Law on HIV/AIDS...</w:t>
      </w:r>
    </w:p>
  </w:footnote>
  <w:footnote w:id="19">
    <w:p w:rsidR="00C55ADF" w:rsidRPr="00BB323C" w:rsidRDefault="00C55ADF" w:rsidP="008C0FF0">
      <w:pPr>
        <w:pStyle w:val="a5"/>
        <w:jc w:val="both"/>
        <w:rPr>
          <w:sz w:val="18"/>
          <w:szCs w:val="18"/>
          <w:lang w:val="en-US"/>
        </w:rPr>
      </w:pPr>
      <w:r w:rsidRPr="00BB323C">
        <w:rPr>
          <w:rStyle w:val="a7"/>
          <w:sz w:val="18"/>
          <w:szCs w:val="18"/>
        </w:rPr>
        <w:footnoteRef/>
      </w:r>
      <w:r w:rsidRPr="00FD1FA3">
        <w:rPr>
          <w:sz w:val="18"/>
          <w:szCs w:val="18"/>
          <w:lang w:val="en-US"/>
        </w:rPr>
        <w:t xml:space="preserve"> </w:t>
      </w:r>
      <w:r w:rsidRPr="00BB323C">
        <w:rPr>
          <w:sz w:val="18"/>
          <w:szCs w:val="18"/>
          <w:lang w:val="en-US"/>
        </w:rPr>
        <w:t xml:space="preserve"> </w:t>
      </w:r>
      <w:proofErr w:type="gramStart"/>
      <w:r w:rsidRPr="00BB323C">
        <w:rPr>
          <w:sz w:val="18"/>
          <w:szCs w:val="18"/>
          <w:lang w:val="en-US"/>
        </w:rPr>
        <w:t>Ministry of Health Order nr.</w:t>
      </w:r>
      <w:proofErr w:type="gramEnd"/>
      <w:r w:rsidRPr="00BB323C">
        <w:rPr>
          <w:sz w:val="18"/>
          <w:szCs w:val="18"/>
          <w:lang w:val="en-US"/>
        </w:rPr>
        <w:t xml:space="preserve"> 198 </w:t>
      </w:r>
      <w:hyperlink r:id="rId10" w:history="1">
        <w:r w:rsidRPr="00FD1FA3">
          <w:rPr>
            <w:rStyle w:val="ab"/>
            <w:sz w:val="18"/>
            <w:szCs w:val="18"/>
            <w:lang w:val="en-US"/>
          </w:rPr>
          <w:t>http://www.ms.gov.md/sites/default/files/legislatie/ordinul_198_din_16.03.2015.pdf</w:t>
        </w:r>
      </w:hyperlink>
    </w:p>
    <w:p w:rsidR="00C55ADF" w:rsidRDefault="00C55ADF" w:rsidP="008C0FF0">
      <w:pPr>
        <w:pStyle w:val="a5"/>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3710F"/>
    <w:multiLevelType w:val="hybridMultilevel"/>
    <w:tmpl w:val="285EE510"/>
    <w:lvl w:ilvl="0" w:tplc="68F603CC">
      <w:start w:val="1"/>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CD309E1"/>
    <w:multiLevelType w:val="hybridMultilevel"/>
    <w:tmpl w:val="D1AC6EF6"/>
    <w:lvl w:ilvl="0" w:tplc="B5FAEE2C">
      <w:start w:val="2"/>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4FC4496"/>
    <w:multiLevelType w:val="hybridMultilevel"/>
    <w:tmpl w:val="F448FD96"/>
    <w:lvl w:ilvl="0" w:tplc="5734F52A">
      <w:start w:val="1"/>
      <w:numFmt w:val="bullet"/>
      <w:lvlText w:val="-"/>
      <w:lvlJc w:val="left"/>
      <w:pPr>
        <w:ind w:left="720" w:hanging="360"/>
      </w:pPr>
      <w:rPr>
        <w:rFonts w:ascii="Cambria" w:eastAsia="Times New Roman" w:hAnsi="Cambria"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C5B0211"/>
    <w:multiLevelType w:val="hybridMultilevel"/>
    <w:tmpl w:val="E3E41E7C"/>
    <w:lvl w:ilvl="0" w:tplc="C4DA50CA">
      <w:start w:val="3"/>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8382A"/>
    <w:rsid w:val="00010802"/>
    <w:rsid w:val="0001669A"/>
    <w:rsid w:val="00021CA8"/>
    <w:rsid w:val="00024A00"/>
    <w:rsid w:val="00032487"/>
    <w:rsid w:val="000371E5"/>
    <w:rsid w:val="00060B2C"/>
    <w:rsid w:val="000731A6"/>
    <w:rsid w:val="00073878"/>
    <w:rsid w:val="00074090"/>
    <w:rsid w:val="000917FB"/>
    <w:rsid w:val="00097F04"/>
    <w:rsid w:val="000A3D94"/>
    <w:rsid w:val="000A76BC"/>
    <w:rsid w:val="000D710B"/>
    <w:rsid w:val="000E6703"/>
    <w:rsid w:val="000F4682"/>
    <w:rsid w:val="000F69C6"/>
    <w:rsid w:val="0010454B"/>
    <w:rsid w:val="00104948"/>
    <w:rsid w:val="00106030"/>
    <w:rsid w:val="00122690"/>
    <w:rsid w:val="00124816"/>
    <w:rsid w:val="00132C6D"/>
    <w:rsid w:val="00140826"/>
    <w:rsid w:val="00146220"/>
    <w:rsid w:val="00160DF8"/>
    <w:rsid w:val="00164458"/>
    <w:rsid w:val="00165317"/>
    <w:rsid w:val="00165C69"/>
    <w:rsid w:val="001745C7"/>
    <w:rsid w:val="00182581"/>
    <w:rsid w:val="001A71F6"/>
    <w:rsid w:val="001B27E7"/>
    <w:rsid w:val="001B34FC"/>
    <w:rsid w:val="001C0A8B"/>
    <w:rsid w:val="001E22BB"/>
    <w:rsid w:val="001F0319"/>
    <w:rsid w:val="001F20F0"/>
    <w:rsid w:val="00234B16"/>
    <w:rsid w:val="00235544"/>
    <w:rsid w:val="002431B9"/>
    <w:rsid w:val="00260E9C"/>
    <w:rsid w:val="002711F1"/>
    <w:rsid w:val="002946EC"/>
    <w:rsid w:val="002A62E9"/>
    <w:rsid w:val="002B51ED"/>
    <w:rsid w:val="002C189A"/>
    <w:rsid w:val="002E0043"/>
    <w:rsid w:val="002E25C2"/>
    <w:rsid w:val="002E4F88"/>
    <w:rsid w:val="002F0C4D"/>
    <w:rsid w:val="002F1786"/>
    <w:rsid w:val="002F6146"/>
    <w:rsid w:val="00301929"/>
    <w:rsid w:val="00302238"/>
    <w:rsid w:val="00314044"/>
    <w:rsid w:val="003148EA"/>
    <w:rsid w:val="00334C2D"/>
    <w:rsid w:val="00336607"/>
    <w:rsid w:val="0036549F"/>
    <w:rsid w:val="00377DA0"/>
    <w:rsid w:val="00380322"/>
    <w:rsid w:val="003979B9"/>
    <w:rsid w:val="003A1EB9"/>
    <w:rsid w:val="003A3697"/>
    <w:rsid w:val="003C5CB2"/>
    <w:rsid w:val="003E2B88"/>
    <w:rsid w:val="0040061C"/>
    <w:rsid w:val="00401669"/>
    <w:rsid w:val="0041016C"/>
    <w:rsid w:val="00417CF8"/>
    <w:rsid w:val="0042769F"/>
    <w:rsid w:val="00440717"/>
    <w:rsid w:val="00441BBF"/>
    <w:rsid w:val="00441D20"/>
    <w:rsid w:val="00452352"/>
    <w:rsid w:val="00460BEC"/>
    <w:rsid w:val="00472967"/>
    <w:rsid w:val="0047545D"/>
    <w:rsid w:val="00483B02"/>
    <w:rsid w:val="00490BAB"/>
    <w:rsid w:val="00495EC2"/>
    <w:rsid w:val="004D5079"/>
    <w:rsid w:val="004D5D61"/>
    <w:rsid w:val="004D6FFD"/>
    <w:rsid w:val="004D7A74"/>
    <w:rsid w:val="004E5E3A"/>
    <w:rsid w:val="004F4931"/>
    <w:rsid w:val="00501796"/>
    <w:rsid w:val="005020A7"/>
    <w:rsid w:val="00505754"/>
    <w:rsid w:val="00510130"/>
    <w:rsid w:val="005127A7"/>
    <w:rsid w:val="00545AEC"/>
    <w:rsid w:val="005468C5"/>
    <w:rsid w:val="00547507"/>
    <w:rsid w:val="00581EE0"/>
    <w:rsid w:val="005824D0"/>
    <w:rsid w:val="0059387E"/>
    <w:rsid w:val="00594C2B"/>
    <w:rsid w:val="005A5D0F"/>
    <w:rsid w:val="005B782B"/>
    <w:rsid w:val="005C02D6"/>
    <w:rsid w:val="005C1232"/>
    <w:rsid w:val="005C2207"/>
    <w:rsid w:val="005C27C7"/>
    <w:rsid w:val="005C4E95"/>
    <w:rsid w:val="005D3337"/>
    <w:rsid w:val="005D350D"/>
    <w:rsid w:val="005E64D0"/>
    <w:rsid w:val="006012E9"/>
    <w:rsid w:val="0060610E"/>
    <w:rsid w:val="00624648"/>
    <w:rsid w:val="00627157"/>
    <w:rsid w:val="00633112"/>
    <w:rsid w:val="006454DB"/>
    <w:rsid w:val="00654433"/>
    <w:rsid w:val="00663E8E"/>
    <w:rsid w:val="0068489B"/>
    <w:rsid w:val="00687050"/>
    <w:rsid w:val="00691934"/>
    <w:rsid w:val="00693C49"/>
    <w:rsid w:val="006A31FF"/>
    <w:rsid w:val="006A4CCB"/>
    <w:rsid w:val="006A5D2F"/>
    <w:rsid w:val="006B0378"/>
    <w:rsid w:val="006B1657"/>
    <w:rsid w:val="006C0DF6"/>
    <w:rsid w:val="006C1983"/>
    <w:rsid w:val="006C7391"/>
    <w:rsid w:val="006D03C1"/>
    <w:rsid w:val="006D7461"/>
    <w:rsid w:val="00703DA9"/>
    <w:rsid w:val="00705556"/>
    <w:rsid w:val="00710B4A"/>
    <w:rsid w:val="00720231"/>
    <w:rsid w:val="00733C50"/>
    <w:rsid w:val="00747A74"/>
    <w:rsid w:val="0075085B"/>
    <w:rsid w:val="00754A63"/>
    <w:rsid w:val="00761946"/>
    <w:rsid w:val="007707C0"/>
    <w:rsid w:val="00775811"/>
    <w:rsid w:val="00781315"/>
    <w:rsid w:val="00787894"/>
    <w:rsid w:val="007A6544"/>
    <w:rsid w:val="007B5833"/>
    <w:rsid w:val="007C187E"/>
    <w:rsid w:val="007D09CF"/>
    <w:rsid w:val="007E14F5"/>
    <w:rsid w:val="007E6B01"/>
    <w:rsid w:val="007F351D"/>
    <w:rsid w:val="00807275"/>
    <w:rsid w:val="00815E1B"/>
    <w:rsid w:val="00817775"/>
    <w:rsid w:val="008232AD"/>
    <w:rsid w:val="008313D4"/>
    <w:rsid w:val="00835E83"/>
    <w:rsid w:val="00840A55"/>
    <w:rsid w:val="00855AAE"/>
    <w:rsid w:val="008604CB"/>
    <w:rsid w:val="00867E8F"/>
    <w:rsid w:val="008A2147"/>
    <w:rsid w:val="008B00D7"/>
    <w:rsid w:val="008B1698"/>
    <w:rsid w:val="008B3811"/>
    <w:rsid w:val="008B3CE3"/>
    <w:rsid w:val="008B6B77"/>
    <w:rsid w:val="008B6CC7"/>
    <w:rsid w:val="008C0FF0"/>
    <w:rsid w:val="008C2000"/>
    <w:rsid w:val="008F7D7B"/>
    <w:rsid w:val="009003EB"/>
    <w:rsid w:val="00901FF8"/>
    <w:rsid w:val="00912472"/>
    <w:rsid w:val="00913A91"/>
    <w:rsid w:val="0091478D"/>
    <w:rsid w:val="00934F74"/>
    <w:rsid w:val="00941114"/>
    <w:rsid w:val="00944EFB"/>
    <w:rsid w:val="00951D55"/>
    <w:rsid w:val="00962960"/>
    <w:rsid w:val="00964BB5"/>
    <w:rsid w:val="0097192F"/>
    <w:rsid w:val="0098224E"/>
    <w:rsid w:val="009853AF"/>
    <w:rsid w:val="009909A0"/>
    <w:rsid w:val="00993A24"/>
    <w:rsid w:val="009946EB"/>
    <w:rsid w:val="009A0EED"/>
    <w:rsid w:val="009A1282"/>
    <w:rsid w:val="009A2F73"/>
    <w:rsid w:val="009A5DEE"/>
    <w:rsid w:val="009B12BA"/>
    <w:rsid w:val="009B3774"/>
    <w:rsid w:val="009B4262"/>
    <w:rsid w:val="009D004C"/>
    <w:rsid w:val="009D5C98"/>
    <w:rsid w:val="009F02CE"/>
    <w:rsid w:val="009F03BD"/>
    <w:rsid w:val="009F0B77"/>
    <w:rsid w:val="00A12250"/>
    <w:rsid w:val="00A2142C"/>
    <w:rsid w:val="00A3223A"/>
    <w:rsid w:val="00A40DBB"/>
    <w:rsid w:val="00A43E0F"/>
    <w:rsid w:val="00A512BA"/>
    <w:rsid w:val="00A52252"/>
    <w:rsid w:val="00A600A3"/>
    <w:rsid w:val="00A7476E"/>
    <w:rsid w:val="00A83C50"/>
    <w:rsid w:val="00A83E64"/>
    <w:rsid w:val="00AA51F9"/>
    <w:rsid w:val="00AA552E"/>
    <w:rsid w:val="00AC095E"/>
    <w:rsid w:val="00AE0A67"/>
    <w:rsid w:val="00AF29CC"/>
    <w:rsid w:val="00B1226B"/>
    <w:rsid w:val="00B20791"/>
    <w:rsid w:val="00B2132E"/>
    <w:rsid w:val="00B3011B"/>
    <w:rsid w:val="00B31539"/>
    <w:rsid w:val="00B343B1"/>
    <w:rsid w:val="00B4117C"/>
    <w:rsid w:val="00B44535"/>
    <w:rsid w:val="00B526B4"/>
    <w:rsid w:val="00B5336D"/>
    <w:rsid w:val="00B661FE"/>
    <w:rsid w:val="00B66EFA"/>
    <w:rsid w:val="00B85AE5"/>
    <w:rsid w:val="00B956CF"/>
    <w:rsid w:val="00BB323C"/>
    <w:rsid w:val="00BC1C6A"/>
    <w:rsid w:val="00BC206A"/>
    <w:rsid w:val="00BC2C19"/>
    <w:rsid w:val="00BC4A5F"/>
    <w:rsid w:val="00BC5E52"/>
    <w:rsid w:val="00BD33BB"/>
    <w:rsid w:val="00BF0AAE"/>
    <w:rsid w:val="00BF4892"/>
    <w:rsid w:val="00C020B4"/>
    <w:rsid w:val="00C06414"/>
    <w:rsid w:val="00C11C8F"/>
    <w:rsid w:val="00C16516"/>
    <w:rsid w:val="00C44EF8"/>
    <w:rsid w:val="00C467CD"/>
    <w:rsid w:val="00C5337B"/>
    <w:rsid w:val="00C55ADF"/>
    <w:rsid w:val="00C57F45"/>
    <w:rsid w:val="00C61776"/>
    <w:rsid w:val="00C64515"/>
    <w:rsid w:val="00C752FE"/>
    <w:rsid w:val="00C82503"/>
    <w:rsid w:val="00C93E70"/>
    <w:rsid w:val="00C948A2"/>
    <w:rsid w:val="00C94B33"/>
    <w:rsid w:val="00CA14ED"/>
    <w:rsid w:val="00CA2F49"/>
    <w:rsid w:val="00CA7255"/>
    <w:rsid w:val="00CB0948"/>
    <w:rsid w:val="00CB5530"/>
    <w:rsid w:val="00CB5A83"/>
    <w:rsid w:val="00CC0C8D"/>
    <w:rsid w:val="00CC324D"/>
    <w:rsid w:val="00CD4CCA"/>
    <w:rsid w:val="00CD7DC8"/>
    <w:rsid w:val="00CF29B3"/>
    <w:rsid w:val="00D027D6"/>
    <w:rsid w:val="00D072D0"/>
    <w:rsid w:val="00D12A14"/>
    <w:rsid w:val="00D12E85"/>
    <w:rsid w:val="00D31E4A"/>
    <w:rsid w:val="00D34A40"/>
    <w:rsid w:val="00D45E41"/>
    <w:rsid w:val="00D507BE"/>
    <w:rsid w:val="00D62116"/>
    <w:rsid w:val="00D644B3"/>
    <w:rsid w:val="00D64DA3"/>
    <w:rsid w:val="00D7380F"/>
    <w:rsid w:val="00D80BCD"/>
    <w:rsid w:val="00D8109B"/>
    <w:rsid w:val="00D82788"/>
    <w:rsid w:val="00D8382A"/>
    <w:rsid w:val="00D83E27"/>
    <w:rsid w:val="00D84E71"/>
    <w:rsid w:val="00DA6C0A"/>
    <w:rsid w:val="00DA788D"/>
    <w:rsid w:val="00DB37F4"/>
    <w:rsid w:val="00DB7D57"/>
    <w:rsid w:val="00DD05EE"/>
    <w:rsid w:val="00DD0CC2"/>
    <w:rsid w:val="00DD6CA6"/>
    <w:rsid w:val="00DD6CB5"/>
    <w:rsid w:val="00DF4048"/>
    <w:rsid w:val="00DF7209"/>
    <w:rsid w:val="00E01D6A"/>
    <w:rsid w:val="00E1181E"/>
    <w:rsid w:val="00E17209"/>
    <w:rsid w:val="00E24CDA"/>
    <w:rsid w:val="00E31A20"/>
    <w:rsid w:val="00E340AB"/>
    <w:rsid w:val="00E421F7"/>
    <w:rsid w:val="00E454DF"/>
    <w:rsid w:val="00E459BE"/>
    <w:rsid w:val="00E60AB4"/>
    <w:rsid w:val="00E639F9"/>
    <w:rsid w:val="00E723D2"/>
    <w:rsid w:val="00E82673"/>
    <w:rsid w:val="00E8489E"/>
    <w:rsid w:val="00E866EA"/>
    <w:rsid w:val="00E9226E"/>
    <w:rsid w:val="00EA3DD9"/>
    <w:rsid w:val="00EA4418"/>
    <w:rsid w:val="00EA7B92"/>
    <w:rsid w:val="00EC0FC4"/>
    <w:rsid w:val="00EC5533"/>
    <w:rsid w:val="00ED3C1F"/>
    <w:rsid w:val="00ED5AA1"/>
    <w:rsid w:val="00EE19D1"/>
    <w:rsid w:val="00EE32B7"/>
    <w:rsid w:val="00EF1124"/>
    <w:rsid w:val="00EF277F"/>
    <w:rsid w:val="00EF2C15"/>
    <w:rsid w:val="00EF61BF"/>
    <w:rsid w:val="00F05BE5"/>
    <w:rsid w:val="00F15FAD"/>
    <w:rsid w:val="00F25F0F"/>
    <w:rsid w:val="00F26623"/>
    <w:rsid w:val="00F34719"/>
    <w:rsid w:val="00F46ABC"/>
    <w:rsid w:val="00F507DC"/>
    <w:rsid w:val="00F54AF5"/>
    <w:rsid w:val="00F5507C"/>
    <w:rsid w:val="00F727DE"/>
    <w:rsid w:val="00F7579C"/>
    <w:rsid w:val="00F97E98"/>
    <w:rsid w:val="00FA0B09"/>
    <w:rsid w:val="00FA31DD"/>
    <w:rsid w:val="00FA5A89"/>
    <w:rsid w:val="00FB6DB8"/>
    <w:rsid w:val="00FC0AD2"/>
    <w:rsid w:val="00FC3EBA"/>
    <w:rsid w:val="00FC704D"/>
    <w:rsid w:val="00FD13AF"/>
    <w:rsid w:val="00FD1FA3"/>
    <w:rsid w:val="00FD3F1C"/>
    <w:rsid w:val="00FD4602"/>
    <w:rsid w:val="00FD49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1D55"/>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5337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C5337B"/>
    <w:rPr>
      <w:rFonts w:ascii="Tahoma" w:hAnsi="Tahoma" w:cs="Tahoma"/>
      <w:sz w:val="16"/>
      <w:szCs w:val="16"/>
    </w:rPr>
  </w:style>
  <w:style w:type="paragraph" w:styleId="a5">
    <w:name w:val="footnote text"/>
    <w:aliases w:val="Footnote Text Char1,Footnote Text Char Char,Текст сноски Знак1 Знак Знак,Текст сноски Знак1 Знак,ft,Geneva 9,Font: Geneva 9,Boston 10,f,Текст сноски Знак1,Текст сноски Знак1 Char Char Char Char Char Char,Текст сноски Знак1 Char Char,fn"/>
    <w:basedOn w:val="a"/>
    <w:link w:val="a6"/>
    <w:uiPriority w:val="99"/>
    <w:rsid w:val="001A71F6"/>
    <w:pPr>
      <w:spacing w:after="0" w:line="240" w:lineRule="auto"/>
    </w:pPr>
    <w:rPr>
      <w:sz w:val="20"/>
      <w:szCs w:val="20"/>
    </w:rPr>
  </w:style>
  <w:style w:type="character" w:customStyle="1" w:styleId="a6">
    <w:name w:val="Текст сноски Знак"/>
    <w:aliases w:val="Footnote Text Char1 Знак,Footnote Text Char Char Знак,Текст сноски Знак1 Знак Знак Знак,Текст сноски Знак1 Знак Знак1,ft Знак,Geneva 9 Знак,Font: Geneva 9 Знак,Boston 10 Знак,f Знак,Текст сноски Знак1 Знак1,fn Знак"/>
    <w:basedOn w:val="a0"/>
    <w:link w:val="a5"/>
    <w:uiPriority w:val="99"/>
    <w:locked/>
    <w:rsid w:val="001A71F6"/>
    <w:rPr>
      <w:rFonts w:cs="Times New Roman"/>
      <w:sz w:val="20"/>
      <w:szCs w:val="20"/>
    </w:rPr>
  </w:style>
  <w:style w:type="character" w:styleId="a7">
    <w:name w:val="footnote reference"/>
    <w:aliases w:val="4_G,Footnote Refernece,callout,Footnote Reference Superscript,Footnotes refss,Appel note de bas de p.,Footnote Reference Number,BVI fnr,ftref,Fn Ref,Style 10,Footnote number,Footnote Refernece Char Char Char"/>
    <w:basedOn w:val="a0"/>
    <w:link w:val="BVIfnrCharCharCharCharCharCharCharCharCharCharCharCharCharCharCharCharChar"/>
    <w:uiPriority w:val="99"/>
    <w:locked/>
    <w:rsid w:val="001A71F6"/>
    <w:rPr>
      <w:rFonts w:cs="Times New Roman"/>
      <w:vertAlign w:val="superscript"/>
    </w:rPr>
  </w:style>
  <w:style w:type="paragraph" w:styleId="a8">
    <w:name w:val="List Paragraph"/>
    <w:basedOn w:val="a"/>
    <w:uiPriority w:val="99"/>
    <w:qFormat/>
    <w:rsid w:val="005127A7"/>
    <w:pPr>
      <w:ind w:left="720"/>
      <w:contextualSpacing/>
    </w:pPr>
  </w:style>
  <w:style w:type="paragraph" w:styleId="a9">
    <w:name w:val="Normal (Web)"/>
    <w:basedOn w:val="a"/>
    <w:uiPriority w:val="99"/>
    <w:rsid w:val="00E723D2"/>
    <w:pPr>
      <w:spacing w:before="100" w:beforeAutospacing="1" w:after="100" w:afterAutospacing="1" w:line="240" w:lineRule="auto"/>
    </w:pPr>
    <w:rPr>
      <w:rFonts w:ascii="Times" w:eastAsia="Times New Roman" w:hAnsi="Times"/>
      <w:sz w:val="20"/>
      <w:szCs w:val="20"/>
      <w:lang w:val="en-US"/>
    </w:rPr>
  </w:style>
  <w:style w:type="table" w:styleId="aa">
    <w:name w:val="Table Grid"/>
    <w:basedOn w:val="a1"/>
    <w:uiPriority w:val="99"/>
    <w:rsid w:val="00BD33BB"/>
    <w:rPr>
      <w:rFonts w:eastAsia="Times New Roman"/>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basedOn w:val="a0"/>
    <w:uiPriority w:val="99"/>
    <w:rsid w:val="00BD33BB"/>
    <w:rPr>
      <w:rFonts w:cs="Times New Roman"/>
      <w:color w:val="0000FF"/>
      <w:u w:val="single"/>
    </w:rPr>
  </w:style>
  <w:style w:type="paragraph" w:customStyle="1" w:styleId="Default">
    <w:name w:val="Default"/>
    <w:uiPriority w:val="99"/>
    <w:rsid w:val="002E0043"/>
    <w:pPr>
      <w:autoSpaceDE w:val="0"/>
      <w:autoSpaceDN w:val="0"/>
      <w:adjustRightInd w:val="0"/>
    </w:pPr>
    <w:rPr>
      <w:rFonts w:cs="Calibri"/>
      <w:color w:val="000000"/>
      <w:sz w:val="24"/>
      <w:szCs w:val="24"/>
      <w:lang w:eastAsia="en-US"/>
    </w:rPr>
  </w:style>
  <w:style w:type="character" w:customStyle="1" w:styleId="apple-converted-space">
    <w:name w:val="apple-converted-space"/>
    <w:basedOn w:val="a0"/>
    <w:uiPriority w:val="99"/>
    <w:rsid w:val="004F4931"/>
    <w:rPr>
      <w:rFonts w:cs="Times New Roman"/>
    </w:rPr>
  </w:style>
  <w:style w:type="paragraph" w:customStyle="1" w:styleId="yiv6979498878msonormal">
    <w:name w:val="yiv6979498878msonormal"/>
    <w:basedOn w:val="a"/>
    <w:uiPriority w:val="99"/>
    <w:rsid w:val="0014082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yiv6979498878msohyperlink">
    <w:name w:val="yiv6979498878msohyperlink"/>
    <w:basedOn w:val="a0"/>
    <w:uiPriority w:val="99"/>
    <w:rsid w:val="00DD0CC2"/>
    <w:rPr>
      <w:rFonts w:cs="Times New Roman"/>
    </w:rPr>
  </w:style>
  <w:style w:type="paragraph" w:customStyle="1" w:styleId="yiv9681913240msonormal">
    <w:name w:val="yiv9681913240msonormal"/>
    <w:basedOn w:val="a"/>
    <w:uiPriority w:val="99"/>
    <w:rsid w:val="00A5225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BVIfnrCharCharCharCharCharCharCharCharCharCharCharCharCharCharCharCharChar">
    <w:name w:val="BVI fnr Знак Знак Char Знак Знак Знак Знак Знак Знак Char Char Char Char Char Char Char Char Char Char Char Char Char Char Char Char"/>
    <w:basedOn w:val="a"/>
    <w:link w:val="a7"/>
    <w:uiPriority w:val="99"/>
    <w:rsid w:val="00B1226B"/>
    <w:pPr>
      <w:spacing w:after="160" w:line="240" w:lineRule="exact"/>
    </w:pPr>
    <w:rPr>
      <w:vertAlign w:val="superscript"/>
    </w:rPr>
  </w:style>
  <w:style w:type="paragraph" w:customStyle="1" w:styleId="SingleTxtG">
    <w:name w:val="_ Single Txt_G"/>
    <w:basedOn w:val="a"/>
    <w:link w:val="SingleTxtGChar"/>
    <w:uiPriority w:val="99"/>
    <w:rsid w:val="00505754"/>
    <w:pPr>
      <w:suppressAutoHyphens/>
      <w:spacing w:after="120" w:line="240" w:lineRule="atLeast"/>
      <w:ind w:left="1134" w:right="1134"/>
      <w:jc w:val="both"/>
    </w:pPr>
    <w:rPr>
      <w:rFonts w:ascii="Times New Roman" w:hAnsi="Times New Roman"/>
      <w:sz w:val="20"/>
      <w:szCs w:val="20"/>
      <w:lang w:val="en-GB"/>
    </w:rPr>
  </w:style>
  <w:style w:type="character" w:customStyle="1" w:styleId="SingleTxtGChar">
    <w:name w:val="_ Single Txt_G Char"/>
    <w:link w:val="SingleTxtG"/>
    <w:uiPriority w:val="99"/>
    <w:locked/>
    <w:rsid w:val="00505754"/>
    <w:rPr>
      <w:rFonts w:ascii="Times New Roman" w:hAnsi="Times New Roman"/>
      <w:sz w:val="20"/>
      <w:lang w:val="en-GB"/>
    </w:rPr>
  </w:style>
  <w:style w:type="paragraph" w:styleId="ac">
    <w:name w:val="footer"/>
    <w:basedOn w:val="a"/>
    <w:link w:val="ad"/>
    <w:uiPriority w:val="99"/>
    <w:rsid w:val="00A600A3"/>
    <w:pPr>
      <w:tabs>
        <w:tab w:val="center" w:pos="4677"/>
        <w:tab w:val="right" w:pos="9355"/>
      </w:tabs>
    </w:pPr>
  </w:style>
  <w:style w:type="character" w:customStyle="1" w:styleId="ad">
    <w:name w:val="Нижний колонтитул Знак"/>
    <w:basedOn w:val="a0"/>
    <w:link w:val="ac"/>
    <w:uiPriority w:val="99"/>
    <w:semiHidden/>
    <w:rsid w:val="00AE3569"/>
    <w:rPr>
      <w:lang w:eastAsia="en-US"/>
    </w:rPr>
  </w:style>
  <w:style w:type="character" w:styleId="ae">
    <w:name w:val="page number"/>
    <w:basedOn w:val="a0"/>
    <w:uiPriority w:val="99"/>
    <w:rsid w:val="00A600A3"/>
    <w:rPr>
      <w:rFonts w:cs="Times New Roman"/>
    </w:rPr>
  </w:style>
</w:styles>
</file>

<file path=word/webSettings.xml><?xml version="1.0" encoding="utf-8"?>
<w:webSettings xmlns:r="http://schemas.openxmlformats.org/officeDocument/2006/relationships" xmlns:w="http://schemas.openxmlformats.org/wordprocessingml/2006/main">
  <w:divs>
    <w:div w:id="1295017475">
      <w:marLeft w:val="0"/>
      <w:marRight w:val="0"/>
      <w:marTop w:val="0"/>
      <w:marBottom w:val="0"/>
      <w:divBdr>
        <w:top w:val="none" w:sz="0" w:space="0" w:color="auto"/>
        <w:left w:val="none" w:sz="0" w:space="0" w:color="auto"/>
        <w:bottom w:val="none" w:sz="0" w:space="0" w:color="auto"/>
        <w:right w:val="none" w:sz="0" w:space="0" w:color="auto"/>
      </w:divBdr>
    </w:div>
    <w:div w:id="1295017478">
      <w:marLeft w:val="0"/>
      <w:marRight w:val="0"/>
      <w:marTop w:val="0"/>
      <w:marBottom w:val="0"/>
      <w:divBdr>
        <w:top w:val="none" w:sz="0" w:space="0" w:color="auto"/>
        <w:left w:val="none" w:sz="0" w:space="0" w:color="auto"/>
        <w:bottom w:val="none" w:sz="0" w:space="0" w:color="auto"/>
        <w:right w:val="none" w:sz="0" w:space="0" w:color="auto"/>
      </w:divBdr>
    </w:div>
    <w:div w:id="1295017481">
      <w:marLeft w:val="0"/>
      <w:marRight w:val="0"/>
      <w:marTop w:val="0"/>
      <w:marBottom w:val="0"/>
      <w:divBdr>
        <w:top w:val="none" w:sz="0" w:space="0" w:color="auto"/>
        <w:left w:val="none" w:sz="0" w:space="0" w:color="auto"/>
        <w:bottom w:val="none" w:sz="0" w:space="0" w:color="auto"/>
        <w:right w:val="none" w:sz="0" w:space="0" w:color="auto"/>
      </w:divBdr>
    </w:div>
    <w:div w:id="1295017485">
      <w:marLeft w:val="0"/>
      <w:marRight w:val="0"/>
      <w:marTop w:val="0"/>
      <w:marBottom w:val="0"/>
      <w:divBdr>
        <w:top w:val="none" w:sz="0" w:space="0" w:color="auto"/>
        <w:left w:val="none" w:sz="0" w:space="0" w:color="auto"/>
        <w:bottom w:val="none" w:sz="0" w:space="0" w:color="auto"/>
        <w:right w:val="none" w:sz="0" w:space="0" w:color="auto"/>
      </w:divBdr>
    </w:div>
    <w:div w:id="1295017489">
      <w:marLeft w:val="0"/>
      <w:marRight w:val="0"/>
      <w:marTop w:val="0"/>
      <w:marBottom w:val="0"/>
      <w:divBdr>
        <w:top w:val="none" w:sz="0" w:space="0" w:color="auto"/>
        <w:left w:val="none" w:sz="0" w:space="0" w:color="auto"/>
        <w:bottom w:val="none" w:sz="0" w:space="0" w:color="auto"/>
        <w:right w:val="none" w:sz="0" w:space="0" w:color="auto"/>
      </w:divBdr>
      <w:divsChild>
        <w:div w:id="1295017476">
          <w:marLeft w:val="0"/>
          <w:marRight w:val="0"/>
          <w:marTop w:val="0"/>
          <w:marBottom w:val="0"/>
          <w:divBdr>
            <w:top w:val="none" w:sz="0" w:space="0" w:color="auto"/>
            <w:left w:val="none" w:sz="0" w:space="0" w:color="auto"/>
            <w:bottom w:val="none" w:sz="0" w:space="0" w:color="auto"/>
            <w:right w:val="none" w:sz="0" w:space="0" w:color="auto"/>
          </w:divBdr>
          <w:divsChild>
            <w:div w:id="1295017483">
              <w:marLeft w:val="0"/>
              <w:marRight w:val="0"/>
              <w:marTop w:val="0"/>
              <w:marBottom w:val="0"/>
              <w:divBdr>
                <w:top w:val="none" w:sz="0" w:space="0" w:color="auto"/>
                <w:left w:val="none" w:sz="0" w:space="0" w:color="auto"/>
                <w:bottom w:val="none" w:sz="0" w:space="0" w:color="auto"/>
                <w:right w:val="none" w:sz="0" w:space="0" w:color="auto"/>
              </w:divBdr>
              <w:divsChild>
                <w:div w:id="1295017488">
                  <w:marLeft w:val="0"/>
                  <w:marRight w:val="0"/>
                  <w:marTop w:val="0"/>
                  <w:marBottom w:val="0"/>
                  <w:divBdr>
                    <w:top w:val="none" w:sz="0" w:space="0" w:color="auto"/>
                    <w:left w:val="none" w:sz="0" w:space="0" w:color="auto"/>
                    <w:bottom w:val="none" w:sz="0" w:space="0" w:color="auto"/>
                    <w:right w:val="none" w:sz="0" w:space="0" w:color="auto"/>
                  </w:divBdr>
                  <w:divsChild>
                    <w:div w:id="1295017482">
                      <w:marLeft w:val="0"/>
                      <w:marRight w:val="0"/>
                      <w:marTop w:val="0"/>
                      <w:marBottom w:val="0"/>
                      <w:divBdr>
                        <w:top w:val="none" w:sz="0" w:space="0" w:color="auto"/>
                        <w:left w:val="none" w:sz="0" w:space="0" w:color="auto"/>
                        <w:bottom w:val="none" w:sz="0" w:space="0" w:color="auto"/>
                        <w:right w:val="none" w:sz="0" w:space="0" w:color="auto"/>
                      </w:divBdr>
                      <w:divsChild>
                        <w:div w:id="129501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5017490">
      <w:marLeft w:val="0"/>
      <w:marRight w:val="0"/>
      <w:marTop w:val="0"/>
      <w:marBottom w:val="0"/>
      <w:divBdr>
        <w:top w:val="none" w:sz="0" w:space="0" w:color="auto"/>
        <w:left w:val="none" w:sz="0" w:space="0" w:color="auto"/>
        <w:bottom w:val="none" w:sz="0" w:space="0" w:color="auto"/>
        <w:right w:val="none" w:sz="0" w:space="0" w:color="auto"/>
      </w:divBdr>
      <w:divsChild>
        <w:div w:id="1295017479">
          <w:marLeft w:val="0"/>
          <w:marRight w:val="0"/>
          <w:marTop w:val="0"/>
          <w:marBottom w:val="0"/>
          <w:divBdr>
            <w:top w:val="none" w:sz="0" w:space="0" w:color="auto"/>
            <w:left w:val="none" w:sz="0" w:space="0" w:color="auto"/>
            <w:bottom w:val="none" w:sz="0" w:space="0" w:color="auto"/>
            <w:right w:val="none" w:sz="0" w:space="0" w:color="auto"/>
          </w:divBdr>
          <w:divsChild>
            <w:div w:id="1295017484">
              <w:marLeft w:val="0"/>
              <w:marRight w:val="0"/>
              <w:marTop w:val="0"/>
              <w:marBottom w:val="0"/>
              <w:divBdr>
                <w:top w:val="none" w:sz="0" w:space="0" w:color="auto"/>
                <w:left w:val="none" w:sz="0" w:space="0" w:color="auto"/>
                <w:bottom w:val="none" w:sz="0" w:space="0" w:color="auto"/>
                <w:right w:val="none" w:sz="0" w:space="0" w:color="auto"/>
              </w:divBdr>
              <w:divsChild>
                <w:div w:id="1295017487">
                  <w:marLeft w:val="0"/>
                  <w:marRight w:val="0"/>
                  <w:marTop w:val="0"/>
                  <w:marBottom w:val="0"/>
                  <w:divBdr>
                    <w:top w:val="none" w:sz="0" w:space="0" w:color="auto"/>
                    <w:left w:val="none" w:sz="0" w:space="0" w:color="auto"/>
                    <w:bottom w:val="none" w:sz="0" w:space="0" w:color="auto"/>
                    <w:right w:val="none" w:sz="0" w:space="0" w:color="auto"/>
                  </w:divBdr>
                  <w:divsChild>
                    <w:div w:id="1295017486">
                      <w:marLeft w:val="0"/>
                      <w:marRight w:val="0"/>
                      <w:marTop w:val="0"/>
                      <w:marBottom w:val="0"/>
                      <w:divBdr>
                        <w:top w:val="none" w:sz="0" w:space="0" w:color="auto"/>
                        <w:left w:val="none" w:sz="0" w:space="0" w:color="auto"/>
                        <w:bottom w:val="none" w:sz="0" w:space="0" w:color="auto"/>
                        <w:right w:val="none" w:sz="0" w:space="0" w:color="auto"/>
                      </w:divBdr>
                      <w:divsChild>
                        <w:div w:id="129501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umitru.russu@idom.md" TargetMode="External"/><Relationship Id="rId13" Type="http://schemas.openxmlformats.org/officeDocument/2006/relationships/hyperlink" Target="http://www.mdac@mdac.org"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mailto:director@idom.md" TargetMode="Externa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dom.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mailto:oana@mdac.or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idom.md/index.php?option=com_k2&amp;view=item&amp;id=324:raport-privind-monitorizarea-respect%C4%83rii-drepturilor-electorale-%C3%AEn-institu%C8%9Biile-psihiatrice-%C8%99i-psihoneurologice-din-republica-moldova&amp;Itemid=396&amp;lang=en" TargetMode="External"/><Relationship Id="rId3" Type="http://schemas.openxmlformats.org/officeDocument/2006/relationships/hyperlink" Target="http://www2.ohchr.org/english/bodies/cat/docs/ngos/CReDO_IDOM_CNR_Moldova43.pdf" TargetMode="External"/><Relationship Id="rId7" Type="http://schemas.openxmlformats.org/officeDocument/2006/relationships/hyperlink" Target="http://www.mdac.org/sites/mdac.info/files/moldova_report_2015_english.pdf" TargetMode="External"/><Relationship Id="rId2" Type="http://schemas.openxmlformats.org/officeDocument/2006/relationships/hyperlink" Target="http://www2.ohchr.org/english/bodies/cescr/cescrwg44.htm" TargetMode="External"/><Relationship Id="rId1" Type="http://schemas.openxmlformats.org/officeDocument/2006/relationships/hyperlink" Target="http://www2.ohchr.org/english/bodies/hrc/docs/ngos/CreDO_IDOM_Moldova97.pdf" TargetMode="External"/><Relationship Id="rId6" Type="http://schemas.openxmlformats.org/officeDocument/2006/relationships/hyperlink" Target="http://idom.md/index.php?option=com_k2&amp;view=item&amp;id=324:raport-privind-monitorizarea-respect%C4%83rii-drepturilor-electorale-%C3%AEn-institu%C8%9Biile-psihiatrice-%C8%99i-psihoneurologice-din-republica-moldova&amp;Itemid=396&amp;lang=en" TargetMode="External"/><Relationship Id="rId5" Type="http://schemas.openxmlformats.org/officeDocument/2006/relationships/hyperlink" Target="https://www.scribd.com/document/329227383/Concluziile-IDOM-MDAC-Proiectul-Lege-292-MP-Final" TargetMode="External"/><Relationship Id="rId10" Type="http://schemas.openxmlformats.org/officeDocument/2006/relationships/hyperlink" Target="http://www.ms.gov.md/sites/default/files/legislatie/ordinul_198_din_16.03.2015.pdf" TargetMode="External"/><Relationship Id="rId4" Type="http://schemas.openxmlformats.org/officeDocument/2006/relationships/hyperlink" Target="http://idom.md/index.php?option=com_k2&amp;view=item&amp;layout=item&amp;id=76&amp;Itemid=400&amp;lang=en" TargetMode="External"/><Relationship Id="rId9" Type="http://schemas.openxmlformats.org/officeDocument/2006/relationships/hyperlink" Target="http://idom.md/index.php?option=com_k2&amp;view=item&amp;id=287:raport-badiceni&amp;Itemid=396&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6F99FD-E242-4379-80EE-C927AC2A7517}"/>
</file>

<file path=customXml/itemProps2.xml><?xml version="1.0" encoding="utf-8"?>
<ds:datastoreItem xmlns:ds="http://schemas.openxmlformats.org/officeDocument/2006/customXml" ds:itemID="{F85623EF-575B-4EF7-9A22-284C9849116A}"/>
</file>

<file path=customXml/itemProps3.xml><?xml version="1.0" encoding="utf-8"?>
<ds:datastoreItem xmlns:ds="http://schemas.openxmlformats.org/officeDocument/2006/customXml" ds:itemID="{8BC11382-E3C0-46FD-B131-18E417BF677C}"/>
</file>

<file path=docProps/app.xml><?xml version="1.0" encoding="utf-8"?>
<Properties xmlns="http://schemas.openxmlformats.org/officeDocument/2006/extended-properties" xmlns:vt="http://schemas.openxmlformats.org/officeDocument/2006/docPropsVTypes">
  <Template>Normal.dotm</Template>
  <TotalTime>4</TotalTime>
  <Pages>8</Pages>
  <Words>3670</Words>
  <Characters>20921</Characters>
  <Application>Microsoft Office Word</Application>
  <DocSecurity>0</DocSecurity>
  <Lines>174</Lines>
  <Paragraphs>49</Paragraphs>
  <ScaleCrop>false</ScaleCrop>
  <Company>CtrlSoft</Company>
  <LinksUpToDate>false</LinksUpToDate>
  <CharactersWithSpaces>24542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January 2017</dc:title>
  <dc:subject/>
  <dc:creator>РЗ</dc:creator>
  <cp:keywords/>
  <dc:description/>
  <cp:lastModifiedBy>РЗ</cp:lastModifiedBy>
  <cp:revision>3</cp:revision>
  <dcterms:created xsi:type="dcterms:W3CDTF">2017-01-30T22:17:00Z</dcterms:created>
  <dcterms:modified xsi:type="dcterms:W3CDTF">2017-01-30T22:20:00Z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