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Calibri" w:hAnsi="Calibri" w:eastAsia="Nunito" w:cs="Calibri"/>
          <w:b/>
          <w:sz w:val="28"/>
          <w:szCs w:val="28"/>
        </w:rPr>
      </w:pPr>
      <w:bookmarkStart w:id="14" w:name="_GoBack"/>
      <w:bookmarkEnd w:id="14"/>
      <w:r>
        <w:rPr>
          <w:rFonts w:ascii="Calibri" w:hAnsi="Calibri" w:eastAsia="Nunito" w:cs="Calibri"/>
          <w:b/>
          <w:sz w:val="28"/>
          <w:szCs w:val="28"/>
        </w:rPr>
        <w:t xml:space="preserve">South Rupununi District Council’s </w:t>
      </w:r>
    </w:p>
    <w:p>
      <w:pPr>
        <w:jc w:val="center"/>
        <w:rPr>
          <w:rFonts w:ascii="Calibri" w:hAnsi="Calibri" w:eastAsia="Nunito" w:cs="Calibri"/>
          <w:b/>
          <w:sz w:val="28"/>
          <w:szCs w:val="28"/>
        </w:rPr>
      </w:pPr>
      <w:r>
        <w:rPr>
          <w:rFonts w:ascii="Calibri" w:hAnsi="Calibri" w:eastAsia="Nunito" w:cs="Calibri"/>
          <w:b/>
          <w:sz w:val="28"/>
          <w:szCs w:val="28"/>
        </w:rPr>
        <w:t>Shadow Report to CEDAW Committee on Guyana Review</w:t>
      </w:r>
    </w:p>
    <w:p>
      <w:pPr>
        <w:jc w:val="center"/>
        <w:rPr>
          <w:rFonts w:ascii="Calibri" w:hAnsi="Calibri" w:eastAsia="Nunito" w:cs="Calibri"/>
          <w:b/>
          <w:sz w:val="28"/>
          <w:szCs w:val="28"/>
        </w:rPr>
      </w:pPr>
      <w:r>
        <w:rPr>
          <w:rFonts w:ascii="Calibri" w:hAnsi="Calibri" w:eastAsia="Nunito" w:cs="Calibri"/>
          <w:b/>
          <w:sz w:val="28"/>
          <w:szCs w:val="28"/>
        </w:rPr>
        <w:t>June 30, 2019</w:t>
      </w:r>
    </w:p>
    <w:p>
      <w:pPr>
        <w:rPr>
          <w:rFonts w:ascii="Calibri" w:hAnsi="Calibri" w:eastAsia="Nunito" w:cs="Calibri"/>
        </w:rPr>
      </w:pPr>
    </w:p>
    <w:p>
      <w:pPr>
        <w:rPr>
          <w:rFonts w:ascii="Calibri" w:hAnsi="Calibri" w:eastAsia="Nunito" w:cs="Calibri"/>
        </w:rPr>
      </w:pPr>
      <w:r>
        <w:rPr>
          <w:rFonts w:ascii="Calibri" w:hAnsi="Calibri" w:eastAsia="Nunito" w:cs="Calibri"/>
        </w:rPr>
        <w:t>This shadow report is submitted by the South Rupununi District Council (</w:t>
      </w:r>
      <w:r>
        <w:rPr>
          <w:rFonts w:ascii="Calibri" w:hAnsi="Calibri" w:eastAsia="Nunito" w:cs="Calibri"/>
          <w:b/>
        </w:rPr>
        <w:t>SRDC</w:t>
      </w:r>
      <w:r>
        <w:rPr>
          <w:rFonts w:ascii="Calibri" w:hAnsi="Calibri" w:eastAsia="Nunito" w:cs="Calibri"/>
        </w:rPr>
        <w:t>) to aid the CEDAW Committee’s review of Guyana scheduled for July 12, 2019. The SRDC authorizes the posting of this report on the CEDAW website for public information purposes.</w:t>
      </w:r>
    </w:p>
    <w:p>
      <w:pPr>
        <w:rPr>
          <w:rFonts w:ascii="Calibri" w:hAnsi="Calibri" w:eastAsia="Nunito" w:cs="Calibri"/>
        </w:rPr>
      </w:pPr>
    </w:p>
    <w:sdt>
      <w:sdtPr>
        <w:rPr>
          <w:rFonts w:ascii="Calibri" w:hAnsi="Calibri" w:cs="Calibri"/>
        </w:rPr>
        <w:id w:val="-85538369"/>
        <w:docPartObj>
          <w:docPartGallery w:val="Table of Contents"/>
          <w:docPartUnique/>
        </w:docPartObj>
      </w:sdtPr>
      <w:sdtEndPr>
        <w:rPr>
          <w:rFonts w:ascii="Calibri" w:hAnsi="Calibri" w:cs="Calibri"/>
        </w:rPr>
      </w:sdtEndPr>
      <w:sdtContent>
        <w:p>
          <w:pPr>
            <w:pStyle w:val="16"/>
            <w:tabs>
              <w:tab w:val="right" w:pos="9350"/>
            </w:tabs>
            <w:rPr>
              <w:rFonts w:asciiTheme="minorHAnsi" w:hAnsiTheme="minorHAnsi" w:eastAsiaTheme="minorEastAsia" w:cstheme="minorBidi"/>
              <w:sz w:val="24"/>
              <w:szCs w:val="24"/>
              <w:lang w:val="en-US"/>
            </w:rPr>
          </w:pPr>
          <w:r>
            <w:rPr>
              <w:rFonts w:ascii="Calibri" w:hAnsi="Calibri" w:cs="Calibri"/>
            </w:rPr>
            <w:fldChar w:fldCharType="begin"/>
          </w:r>
          <w:r>
            <w:rPr>
              <w:rFonts w:ascii="Calibri" w:hAnsi="Calibri" w:cs="Calibri"/>
            </w:rPr>
            <w:instrText xml:space="preserve"> TOC \h \u \z </w:instrText>
          </w:r>
          <w:r>
            <w:rPr>
              <w:rFonts w:ascii="Calibri" w:hAnsi="Calibri" w:cs="Calibri"/>
            </w:rPr>
            <w:fldChar w:fldCharType="separate"/>
          </w:r>
          <w:r>
            <w:fldChar w:fldCharType="begin"/>
          </w:r>
          <w:r>
            <w:instrText xml:space="preserve"> HYPERLINK \l "_Toc12772731" </w:instrText>
          </w:r>
          <w:r>
            <w:fldChar w:fldCharType="separate"/>
          </w:r>
          <w:r>
            <w:rPr>
              <w:rStyle w:val="22"/>
              <w:rFonts w:ascii="Calibri" w:hAnsi="Calibri" w:cs="Calibri"/>
            </w:rPr>
            <w:t>Executive Summary</w:t>
          </w:r>
          <w:r>
            <w:tab/>
          </w:r>
          <w:r>
            <w:fldChar w:fldCharType="begin"/>
          </w:r>
          <w:r>
            <w:instrText xml:space="preserve"> PAGEREF _Toc12772731 \h </w:instrText>
          </w:r>
          <w:r>
            <w:fldChar w:fldCharType="separate"/>
          </w:r>
          <w:r>
            <w:t>1</w:t>
          </w:r>
          <w:r>
            <w:fldChar w:fldCharType="end"/>
          </w:r>
          <w:r>
            <w:fldChar w:fldCharType="end"/>
          </w:r>
        </w:p>
        <w:p>
          <w:pPr>
            <w:pStyle w:val="16"/>
            <w:tabs>
              <w:tab w:val="right" w:pos="9350"/>
            </w:tabs>
            <w:rPr>
              <w:rFonts w:asciiTheme="minorHAnsi" w:hAnsiTheme="minorHAnsi" w:eastAsiaTheme="minorEastAsia" w:cstheme="minorBidi"/>
              <w:sz w:val="24"/>
              <w:szCs w:val="24"/>
              <w:lang w:val="en-US"/>
            </w:rPr>
          </w:pPr>
          <w:r>
            <w:fldChar w:fldCharType="begin"/>
          </w:r>
          <w:r>
            <w:instrText xml:space="preserve"> HYPERLINK \l "_Toc12772732" </w:instrText>
          </w:r>
          <w:r>
            <w:fldChar w:fldCharType="separate"/>
          </w:r>
          <w:r>
            <w:rPr>
              <w:rStyle w:val="22"/>
              <w:rFonts w:ascii="Calibri" w:hAnsi="Calibri" w:cs="Calibri"/>
            </w:rPr>
            <w:t>Introduction</w:t>
          </w:r>
          <w:r>
            <w:tab/>
          </w:r>
          <w:r>
            <w:fldChar w:fldCharType="begin"/>
          </w:r>
          <w:r>
            <w:instrText xml:space="preserve"> PAGEREF _Toc12772732 \h </w:instrText>
          </w:r>
          <w:r>
            <w:fldChar w:fldCharType="separate"/>
          </w:r>
          <w:r>
            <w:t>2</w:t>
          </w:r>
          <w:r>
            <w:fldChar w:fldCharType="end"/>
          </w:r>
          <w:r>
            <w:fldChar w:fldCharType="end"/>
          </w:r>
        </w:p>
        <w:p>
          <w:pPr>
            <w:pStyle w:val="17"/>
            <w:tabs>
              <w:tab w:val="right" w:pos="9350"/>
            </w:tabs>
            <w:rPr>
              <w:rFonts w:asciiTheme="minorHAnsi" w:hAnsiTheme="minorHAnsi" w:eastAsiaTheme="minorEastAsia" w:cstheme="minorBidi"/>
              <w:sz w:val="24"/>
              <w:szCs w:val="24"/>
              <w:lang w:val="en-US"/>
            </w:rPr>
          </w:pPr>
          <w:r>
            <w:fldChar w:fldCharType="begin"/>
          </w:r>
          <w:r>
            <w:instrText xml:space="preserve"> HYPERLINK \l "_Toc12772733" </w:instrText>
          </w:r>
          <w:r>
            <w:fldChar w:fldCharType="separate"/>
          </w:r>
          <w:r>
            <w:rPr>
              <w:rStyle w:val="22"/>
              <w:rFonts w:ascii="Calibri" w:hAnsi="Calibri" w:cs="Calibri"/>
            </w:rPr>
            <w:t>Articles 1-5: Elimination of Discrimination and Advancement of Women</w:t>
          </w:r>
          <w:r>
            <w:tab/>
          </w:r>
          <w:r>
            <w:fldChar w:fldCharType="begin"/>
          </w:r>
          <w:r>
            <w:instrText xml:space="preserve"> PAGEREF _Toc12772733 \h </w:instrText>
          </w:r>
          <w:r>
            <w:fldChar w:fldCharType="separate"/>
          </w:r>
          <w:r>
            <w:t>3</w:t>
          </w:r>
          <w:r>
            <w:fldChar w:fldCharType="end"/>
          </w:r>
          <w:r>
            <w:fldChar w:fldCharType="end"/>
          </w:r>
        </w:p>
        <w:p>
          <w:pPr>
            <w:pStyle w:val="17"/>
            <w:tabs>
              <w:tab w:val="right" w:pos="9350"/>
            </w:tabs>
            <w:rPr>
              <w:rFonts w:asciiTheme="minorHAnsi" w:hAnsiTheme="minorHAnsi" w:eastAsiaTheme="minorEastAsia" w:cstheme="minorBidi"/>
              <w:sz w:val="24"/>
              <w:szCs w:val="24"/>
              <w:lang w:val="en-US"/>
            </w:rPr>
          </w:pPr>
          <w:r>
            <w:fldChar w:fldCharType="begin"/>
          </w:r>
          <w:r>
            <w:instrText xml:space="preserve"> HYPERLINK \l "_Toc12772734" </w:instrText>
          </w:r>
          <w:r>
            <w:fldChar w:fldCharType="separate"/>
          </w:r>
          <w:r>
            <w:rPr>
              <w:rStyle w:val="22"/>
              <w:rFonts w:ascii="Calibri" w:hAnsi="Calibri" w:cs="Calibri"/>
            </w:rPr>
            <w:t>Articles 11, 13: Employment, Economic and Social Benefits</w:t>
          </w:r>
          <w:r>
            <w:tab/>
          </w:r>
          <w:r>
            <w:fldChar w:fldCharType="begin"/>
          </w:r>
          <w:r>
            <w:instrText xml:space="preserve"> PAGEREF _Toc12772734 \h </w:instrText>
          </w:r>
          <w:r>
            <w:fldChar w:fldCharType="separate"/>
          </w:r>
          <w:r>
            <w:t>5</w:t>
          </w:r>
          <w:r>
            <w:fldChar w:fldCharType="end"/>
          </w:r>
          <w:r>
            <w:fldChar w:fldCharType="end"/>
          </w:r>
        </w:p>
        <w:p>
          <w:pPr>
            <w:pStyle w:val="17"/>
            <w:tabs>
              <w:tab w:val="right" w:pos="9350"/>
            </w:tabs>
            <w:rPr>
              <w:rFonts w:asciiTheme="minorHAnsi" w:hAnsiTheme="minorHAnsi" w:eastAsiaTheme="minorEastAsia" w:cstheme="minorBidi"/>
              <w:sz w:val="24"/>
              <w:szCs w:val="24"/>
              <w:lang w:val="en-US"/>
            </w:rPr>
          </w:pPr>
          <w:r>
            <w:fldChar w:fldCharType="begin"/>
          </w:r>
          <w:r>
            <w:instrText xml:space="preserve"> HYPERLINK \l "_Toc12772735" </w:instrText>
          </w:r>
          <w:r>
            <w:fldChar w:fldCharType="separate"/>
          </w:r>
          <w:r>
            <w:rPr>
              <w:rStyle w:val="22"/>
              <w:rFonts w:ascii="Calibri" w:hAnsi="Calibri" w:cs="Calibri"/>
            </w:rPr>
            <w:t>Article 12: Healthcare and Family Planning</w:t>
          </w:r>
          <w:r>
            <w:tab/>
          </w:r>
          <w:r>
            <w:fldChar w:fldCharType="begin"/>
          </w:r>
          <w:r>
            <w:instrText xml:space="preserve"> PAGEREF _Toc12772735 \h </w:instrText>
          </w:r>
          <w:r>
            <w:fldChar w:fldCharType="separate"/>
          </w:r>
          <w:r>
            <w:t>7</w:t>
          </w:r>
          <w:r>
            <w:fldChar w:fldCharType="end"/>
          </w:r>
          <w:r>
            <w:fldChar w:fldCharType="end"/>
          </w:r>
        </w:p>
        <w:p>
          <w:pPr>
            <w:pStyle w:val="18"/>
            <w:tabs>
              <w:tab w:val="right" w:pos="9350"/>
            </w:tabs>
            <w:rPr>
              <w:rFonts w:asciiTheme="minorHAnsi" w:hAnsiTheme="minorHAnsi" w:eastAsiaTheme="minorEastAsia" w:cstheme="minorBidi"/>
              <w:sz w:val="24"/>
              <w:szCs w:val="24"/>
              <w:lang w:val="en-US"/>
            </w:rPr>
          </w:pPr>
          <w:r>
            <w:fldChar w:fldCharType="begin"/>
          </w:r>
          <w:r>
            <w:instrText xml:space="preserve"> HYPERLINK \l "_Toc12772736" </w:instrText>
          </w:r>
          <w:r>
            <w:fldChar w:fldCharType="separate"/>
          </w:r>
          <w:r>
            <w:rPr>
              <w:rStyle w:val="22"/>
              <w:rFonts w:ascii="Calibri" w:hAnsi="Calibri" w:cs="Calibri"/>
            </w:rPr>
            <w:t>Inadequate Healthcare Infrastructure in Indigenous Communities</w:t>
          </w:r>
          <w:r>
            <w:tab/>
          </w:r>
          <w:r>
            <w:fldChar w:fldCharType="begin"/>
          </w:r>
          <w:r>
            <w:instrText xml:space="preserve"> PAGEREF _Toc12772736 \h </w:instrText>
          </w:r>
          <w:r>
            <w:fldChar w:fldCharType="separate"/>
          </w:r>
          <w:r>
            <w:t>7</w:t>
          </w:r>
          <w:r>
            <w:fldChar w:fldCharType="end"/>
          </w:r>
          <w:r>
            <w:fldChar w:fldCharType="end"/>
          </w:r>
        </w:p>
        <w:p>
          <w:pPr>
            <w:pStyle w:val="18"/>
            <w:tabs>
              <w:tab w:val="right" w:pos="9350"/>
            </w:tabs>
            <w:rPr>
              <w:rFonts w:asciiTheme="minorHAnsi" w:hAnsiTheme="minorHAnsi" w:eastAsiaTheme="minorEastAsia" w:cstheme="minorBidi"/>
              <w:sz w:val="24"/>
              <w:szCs w:val="24"/>
              <w:lang w:val="en-US"/>
            </w:rPr>
          </w:pPr>
          <w:r>
            <w:fldChar w:fldCharType="begin"/>
          </w:r>
          <w:r>
            <w:instrText xml:space="preserve"> HYPERLINK \l "_Toc12772737" </w:instrText>
          </w:r>
          <w:r>
            <w:fldChar w:fldCharType="separate"/>
          </w:r>
          <w:r>
            <w:rPr>
              <w:rStyle w:val="22"/>
              <w:rFonts w:ascii="Calibri" w:hAnsi="Calibri" w:cs="Calibri"/>
            </w:rPr>
            <w:t>Adverse Health Impacts of Mining</w:t>
          </w:r>
          <w:r>
            <w:tab/>
          </w:r>
          <w:r>
            <w:fldChar w:fldCharType="begin"/>
          </w:r>
          <w:r>
            <w:instrText xml:space="preserve"> PAGEREF _Toc12772737 \h </w:instrText>
          </w:r>
          <w:r>
            <w:fldChar w:fldCharType="separate"/>
          </w:r>
          <w:r>
            <w:t>8</w:t>
          </w:r>
          <w:r>
            <w:fldChar w:fldCharType="end"/>
          </w:r>
          <w:r>
            <w:fldChar w:fldCharType="end"/>
          </w:r>
        </w:p>
        <w:p>
          <w:pPr>
            <w:pStyle w:val="17"/>
            <w:tabs>
              <w:tab w:val="right" w:pos="9350"/>
            </w:tabs>
            <w:rPr>
              <w:rFonts w:asciiTheme="minorHAnsi" w:hAnsiTheme="minorHAnsi" w:eastAsiaTheme="minorEastAsia" w:cstheme="minorBidi"/>
              <w:sz w:val="24"/>
              <w:szCs w:val="24"/>
              <w:lang w:val="en-US"/>
            </w:rPr>
          </w:pPr>
          <w:r>
            <w:fldChar w:fldCharType="begin"/>
          </w:r>
          <w:r>
            <w:instrText xml:space="preserve"> HYPERLINK \l "_Toc12772738" </w:instrText>
          </w:r>
          <w:r>
            <w:fldChar w:fldCharType="separate"/>
          </w:r>
          <w:r>
            <w:rPr>
              <w:rStyle w:val="22"/>
              <w:rFonts w:ascii="Calibri" w:hAnsi="Calibri" w:cs="Calibri"/>
            </w:rPr>
            <w:t>Article 16: Marriage and Family Life / GR 19: Violence Against Women</w:t>
          </w:r>
          <w:r>
            <w:tab/>
          </w:r>
          <w:r>
            <w:fldChar w:fldCharType="begin"/>
          </w:r>
          <w:r>
            <w:instrText xml:space="preserve"> PAGEREF _Toc12772738 \h </w:instrText>
          </w:r>
          <w:r>
            <w:fldChar w:fldCharType="separate"/>
          </w:r>
          <w:r>
            <w:t>10</w:t>
          </w:r>
          <w:r>
            <w:fldChar w:fldCharType="end"/>
          </w:r>
          <w:r>
            <w:fldChar w:fldCharType="end"/>
          </w:r>
        </w:p>
        <w:p>
          <w:pPr>
            <w:pStyle w:val="16"/>
            <w:tabs>
              <w:tab w:val="right" w:pos="9350"/>
            </w:tabs>
            <w:rPr>
              <w:rFonts w:asciiTheme="minorHAnsi" w:hAnsiTheme="minorHAnsi" w:eastAsiaTheme="minorEastAsia" w:cstheme="minorBidi"/>
              <w:sz w:val="24"/>
              <w:szCs w:val="24"/>
              <w:lang w:val="en-US"/>
            </w:rPr>
          </w:pPr>
          <w:r>
            <w:fldChar w:fldCharType="begin"/>
          </w:r>
          <w:r>
            <w:instrText xml:space="preserve"> HYPERLINK \l "_Toc12772739" </w:instrText>
          </w:r>
          <w:r>
            <w:fldChar w:fldCharType="separate"/>
          </w:r>
          <w:r>
            <w:rPr>
              <w:rStyle w:val="22"/>
              <w:rFonts w:ascii="Calibri" w:hAnsi="Calibri" w:cs="Calibri"/>
            </w:rPr>
            <w:t>Appendix</w:t>
          </w:r>
          <w:r>
            <w:tab/>
          </w:r>
          <w:r>
            <w:fldChar w:fldCharType="begin"/>
          </w:r>
          <w:r>
            <w:instrText xml:space="preserve"> PAGEREF _Toc12772739 \h </w:instrText>
          </w:r>
          <w:r>
            <w:fldChar w:fldCharType="separate"/>
          </w:r>
          <w:r>
            <w:t>12</w:t>
          </w:r>
          <w:r>
            <w:fldChar w:fldCharType="end"/>
          </w:r>
          <w:r>
            <w:fldChar w:fldCharType="end"/>
          </w:r>
        </w:p>
        <w:p>
          <w:pPr>
            <w:pStyle w:val="17"/>
            <w:tabs>
              <w:tab w:val="right" w:pos="9350"/>
            </w:tabs>
            <w:rPr>
              <w:rFonts w:asciiTheme="minorHAnsi" w:hAnsiTheme="minorHAnsi" w:eastAsiaTheme="minorEastAsia" w:cstheme="minorBidi"/>
              <w:sz w:val="24"/>
              <w:szCs w:val="24"/>
              <w:lang w:val="en-US"/>
            </w:rPr>
          </w:pPr>
          <w:r>
            <w:fldChar w:fldCharType="begin"/>
          </w:r>
          <w:r>
            <w:instrText xml:space="preserve"> HYPERLINK \l "_Toc12772740" </w:instrText>
          </w:r>
          <w:r>
            <w:fldChar w:fldCharType="separate"/>
          </w:r>
          <w:r>
            <w:rPr>
              <w:rStyle w:val="22"/>
              <w:rFonts w:ascii="Calibri" w:hAnsi="Calibri" w:cs="Calibri"/>
            </w:rPr>
            <w:t>Article 6: Trafficking and Prostitution</w:t>
          </w:r>
          <w:r>
            <w:tab/>
          </w:r>
          <w:r>
            <w:fldChar w:fldCharType="begin"/>
          </w:r>
          <w:r>
            <w:instrText xml:space="preserve"> PAGEREF _Toc12772740 \h </w:instrText>
          </w:r>
          <w:r>
            <w:fldChar w:fldCharType="separate"/>
          </w:r>
          <w:r>
            <w:t>12</w:t>
          </w:r>
          <w:r>
            <w:fldChar w:fldCharType="end"/>
          </w:r>
          <w:r>
            <w:fldChar w:fldCharType="end"/>
          </w:r>
        </w:p>
        <w:p>
          <w:pPr>
            <w:pStyle w:val="17"/>
            <w:tabs>
              <w:tab w:val="right" w:pos="9350"/>
            </w:tabs>
            <w:rPr>
              <w:rFonts w:asciiTheme="minorHAnsi" w:hAnsiTheme="minorHAnsi" w:eastAsiaTheme="minorEastAsia" w:cstheme="minorBidi"/>
              <w:sz w:val="24"/>
              <w:szCs w:val="24"/>
              <w:lang w:val="en-US"/>
            </w:rPr>
          </w:pPr>
          <w:r>
            <w:fldChar w:fldCharType="begin"/>
          </w:r>
          <w:r>
            <w:instrText xml:space="preserve"> HYPERLINK \l "_Toc12772741" </w:instrText>
          </w:r>
          <w:r>
            <w:fldChar w:fldCharType="separate"/>
          </w:r>
          <w:r>
            <w:rPr>
              <w:rStyle w:val="22"/>
              <w:rFonts w:ascii="Calibri" w:hAnsi="Calibri" w:cs="Calibri"/>
            </w:rPr>
            <w:t>Articles 7-8: Political and Public Life and International Participation</w:t>
          </w:r>
          <w:r>
            <w:tab/>
          </w:r>
          <w:r>
            <w:fldChar w:fldCharType="begin"/>
          </w:r>
          <w:r>
            <w:instrText xml:space="preserve"> PAGEREF _Toc12772741 \h </w:instrText>
          </w:r>
          <w:r>
            <w:fldChar w:fldCharType="separate"/>
          </w:r>
          <w:r>
            <w:t>13</w:t>
          </w:r>
          <w:r>
            <w:fldChar w:fldCharType="end"/>
          </w:r>
          <w:r>
            <w:fldChar w:fldCharType="end"/>
          </w:r>
        </w:p>
        <w:p>
          <w:pPr>
            <w:pStyle w:val="17"/>
            <w:tabs>
              <w:tab w:val="right" w:pos="9350"/>
            </w:tabs>
            <w:rPr>
              <w:rFonts w:asciiTheme="minorHAnsi" w:hAnsiTheme="minorHAnsi" w:eastAsiaTheme="minorEastAsia" w:cstheme="minorBidi"/>
              <w:sz w:val="24"/>
              <w:szCs w:val="24"/>
              <w:lang w:val="en-US"/>
            </w:rPr>
          </w:pPr>
          <w:r>
            <w:fldChar w:fldCharType="begin"/>
          </w:r>
          <w:r>
            <w:instrText xml:space="preserve"> HYPERLINK \l "_Toc12772742" </w:instrText>
          </w:r>
          <w:r>
            <w:fldChar w:fldCharType="separate"/>
          </w:r>
          <w:r>
            <w:rPr>
              <w:rStyle w:val="22"/>
              <w:rFonts w:ascii="Calibri" w:hAnsi="Calibri" w:cs="Calibri"/>
            </w:rPr>
            <w:t>Article 10: Education</w:t>
          </w:r>
          <w:r>
            <w:tab/>
          </w:r>
          <w:r>
            <w:fldChar w:fldCharType="begin"/>
          </w:r>
          <w:r>
            <w:instrText xml:space="preserve"> PAGEREF _Toc12772742 \h </w:instrText>
          </w:r>
          <w:r>
            <w:fldChar w:fldCharType="separate"/>
          </w:r>
          <w:r>
            <w:t>14</w:t>
          </w:r>
          <w:r>
            <w:fldChar w:fldCharType="end"/>
          </w:r>
          <w:r>
            <w:fldChar w:fldCharType="end"/>
          </w:r>
        </w:p>
        <w:p>
          <w:pPr>
            <w:tabs>
              <w:tab w:val="right" w:pos="9360"/>
            </w:tabs>
            <w:spacing w:before="60" w:after="80" w:line="240" w:lineRule="auto"/>
            <w:ind w:left="360"/>
            <w:rPr>
              <w:rFonts w:ascii="Calibri" w:hAnsi="Calibri" w:eastAsia="Nunito" w:cs="Calibri"/>
              <w:b/>
              <w:color w:val="000000"/>
            </w:rPr>
          </w:pPr>
          <w:r>
            <w:rPr>
              <w:rFonts w:ascii="Calibri" w:hAnsi="Calibri" w:cs="Calibri"/>
            </w:rPr>
            <w:fldChar w:fldCharType="end"/>
          </w:r>
        </w:p>
      </w:sdtContent>
    </w:sdt>
    <w:p>
      <w:pPr>
        <w:pStyle w:val="4"/>
        <w:rPr>
          <w:rFonts w:ascii="Calibri" w:hAnsi="Calibri" w:eastAsia="Nunito" w:cs="Calibri"/>
        </w:rPr>
      </w:pPr>
      <w:bookmarkStart w:id="0" w:name="_2vy66ze67tzm" w:colFirst="0" w:colLast="0"/>
      <w:bookmarkEnd w:id="0"/>
      <w:r>
        <w:rPr>
          <w:rFonts w:ascii="Calibri" w:hAnsi="Calibri" w:cs="Calibri"/>
        </w:rPr>
        <w:br w:type="page"/>
      </w:r>
    </w:p>
    <w:p>
      <w:pPr>
        <w:pStyle w:val="3"/>
        <w:rPr>
          <w:rFonts w:ascii="Calibri" w:hAnsi="Calibri" w:cs="Calibri"/>
        </w:rPr>
      </w:pPr>
      <w:bookmarkStart w:id="1" w:name="_Toc12772731"/>
      <w:r>
        <w:rPr>
          <w:rFonts w:ascii="Calibri" w:hAnsi="Calibri" w:cs="Calibri"/>
        </w:rPr>
        <w:t>Executive Summary</w:t>
      </w:r>
      <w:bookmarkEnd w:id="1"/>
    </w:p>
    <w:p>
      <w:pPr>
        <w:rPr>
          <w:rFonts w:ascii="Calibri" w:hAnsi="Calibri" w:eastAsia="Nunito" w:cs="Calibri"/>
        </w:rPr>
      </w:pPr>
      <w:r>
        <w:rPr>
          <w:rFonts w:ascii="Calibri" w:hAnsi="Calibri" w:eastAsia="Nunito" w:cs="Calibri"/>
        </w:rPr>
        <w:t>Despite the Government of Guyana’s (GoG’s) ratification of the Convention on the Elimination of All Forms of Discrimination Against Women (CEDAW) and its incorporation into Guyana’s Constitution,</w:t>
      </w:r>
      <w:r>
        <w:rPr>
          <w:rFonts w:ascii="Calibri" w:hAnsi="Calibri" w:eastAsia="Nunito" w:cs="Calibri"/>
          <w:vertAlign w:val="superscript"/>
        </w:rPr>
        <w:footnoteReference w:id="0"/>
      </w:r>
      <w:r>
        <w:rPr>
          <w:rFonts w:ascii="Calibri" w:hAnsi="Calibri" w:eastAsia="Nunito" w:cs="Calibri"/>
        </w:rPr>
        <w:t xml:space="preserve"> Wapichan and other indigenous women continue to face significant challenges to the realization of rights protected under CEDAW. The South Rupununi District Council, as the representative body for the Wapichan villages of Guyana, submits this report to highlight these concerns and recommend actions for the GoG to take. </w:t>
      </w:r>
    </w:p>
    <w:p>
      <w:pPr>
        <w:rPr>
          <w:rFonts w:ascii="Calibri" w:hAnsi="Calibri" w:eastAsia="Nunito" w:cs="Calibri"/>
        </w:rPr>
      </w:pPr>
    </w:p>
    <w:p>
      <w:pPr>
        <w:rPr>
          <w:rFonts w:ascii="Calibri" w:hAnsi="Calibri" w:eastAsia="Nunito" w:cs="Calibri"/>
          <w:b/>
        </w:rPr>
      </w:pPr>
      <w:r>
        <w:rPr>
          <w:rFonts w:ascii="Calibri" w:hAnsi="Calibri" w:eastAsia="Nunito" w:cs="Calibri"/>
        </w:rPr>
        <w:t>The government has failed to adopt an intersectional framework to address the discrimination that our indigenous women face and barriers to their advancement. Existing government efforts aimed at combatting gender inequality often do not reach our indigenous villages in the less populated interior of Guyana. In addition, government policies are often imposed on us without our free, prior or informed consent (FPIC), which undermines our right to self-determination and results in ineffective programs. The GoG conducts insufficient data gathering on many of the issues discussed in this report, leading to poorly informed decision-making.</w:t>
      </w:r>
      <w:r>
        <w:rPr>
          <w:rStyle w:val="21"/>
          <w:rFonts w:ascii="Calibri" w:hAnsi="Calibri" w:eastAsia="Nunito" w:cs="Calibri"/>
        </w:rPr>
        <w:footnoteReference w:id="1"/>
      </w:r>
      <w:r>
        <w:rPr>
          <w:rFonts w:ascii="Calibri" w:hAnsi="Calibri" w:eastAsia="Nunito" w:cs="Calibri"/>
        </w:rPr>
        <w:t xml:space="preserve"> </w:t>
      </w:r>
      <w:r>
        <w:rPr>
          <w:rFonts w:ascii="Calibri" w:hAnsi="Calibri" w:eastAsia="Nunito" w:cs="Calibri"/>
          <w:b/>
        </w:rPr>
        <w:t>The GoG should proactively engage with indigenous women in our communities and ensure our women are empowered to participate in the decision-making process when formulating policies that affect our people.</w:t>
      </w:r>
    </w:p>
    <w:p>
      <w:pPr>
        <w:rPr>
          <w:rFonts w:ascii="Calibri" w:hAnsi="Calibri" w:eastAsia="Nunito" w:cs="Calibri"/>
        </w:rPr>
      </w:pPr>
    </w:p>
    <w:p>
      <w:pPr>
        <w:rPr>
          <w:rFonts w:ascii="Calibri" w:hAnsi="Calibri" w:eastAsia="Nunito" w:cs="Calibri"/>
          <w:b/>
        </w:rPr>
      </w:pPr>
      <w:r>
        <w:rPr>
          <w:rFonts w:ascii="Calibri" w:hAnsi="Calibri" w:eastAsia="Nunito" w:cs="Calibri"/>
        </w:rPr>
        <w:t xml:space="preserve">While parts of our lands have been legally recognized, the GoG’s failure to fully recognize our collective territorial rights hinders our women’s ability to enjoy the rights protected under CEDAW. Mining activity, which was authorized by the government without our FPIC, has polluted our waters, damaged our forests, and harmed our ability to farm, causing substantial disruption to our traditional economies. There are limited job opportunities available to our women, as the low-paying government jobs are far away from home, and systemic barriers prevent women from accessing loans to start their own businesses. The high costs of education, and the limited number of post-secondary institutions in close proximity to our communities limits our women’s ability to pursue their education to seek other jobs. </w:t>
      </w:r>
      <w:r>
        <w:rPr>
          <w:rFonts w:ascii="Calibri" w:hAnsi="Calibri" w:eastAsia="Nunito" w:cs="Calibri"/>
          <w:b/>
        </w:rPr>
        <w:t xml:space="preserve">The GoG should work with our communities to provide training and funding for indigenous women to pursue economic opportunities of their choosing. </w:t>
      </w:r>
    </w:p>
    <w:p>
      <w:pPr>
        <w:rPr>
          <w:rFonts w:ascii="Calibri" w:hAnsi="Calibri" w:eastAsia="Nunito" w:cs="Calibri"/>
          <w:b/>
        </w:rPr>
      </w:pPr>
    </w:p>
    <w:p>
      <w:pPr>
        <w:rPr>
          <w:rFonts w:ascii="Calibri" w:hAnsi="Calibri" w:eastAsia="Nunito" w:cs="Calibri"/>
        </w:rPr>
      </w:pPr>
      <w:r>
        <w:rPr>
          <w:rFonts w:ascii="Calibri" w:hAnsi="Calibri" w:eastAsia="Nunito" w:cs="Calibri"/>
        </w:rPr>
        <w:t xml:space="preserve">Our limited access to medical services and the impacts of mining have negatively affected our health. Our women risk passing on malaria and high levels of mercury to developing fetuses and experience high rates of diabetes and hypertension due to our changed diets. Due to increased prostitution and drug and alcohol abuse stemming from the mines, our communities are currently struggling with addiction and sexually transmitted infections, which we do not have the resources or support to handle. Mining has also contributed to increased teenage pregnancies, leading more young women to drop out of school, which negatively impacts their ability to pursue economic opportunities in the future. </w:t>
      </w:r>
      <w:r>
        <w:rPr>
          <w:rFonts w:ascii="Calibri" w:hAnsi="Calibri" w:eastAsia="Nunito" w:cs="Calibri"/>
          <w:b/>
        </w:rPr>
        <w:t xml:space="preserve">The GoG should work with our communities to implement effective health care. The GoG should seek our FPIC regarding the use of our lands and should work with our communities to address the harmful impacts of mining. </w:t>
      </w:r>
      <w:r>
        <w:rPr>
          <w:rFonts w:ascii="Calibri" w:hAnsi="Calibri" w:eastAsia="Nunito" w:cs="Calibri"/>
        </w:rPr>
        <w:t xml:space="preserve"> </w:t>
      </w:r>
    </w:p>
    <w:p>
      <w:pPr>
        <w:rPr>
          <w:rFonts w:ascii="Calibri" w:hAnsi="Calibri" w:eastAsia="Nunito" w:cs="Calibri"/>
        </w:rPr>
      </w:pPr>
    </w:p>
    <w:p>
      <w:pPr>
        <w:rPr>
          <w:rFonts w:ascii="Calibri" w:hAnsi="Calibri" w:eastAsia="Nunito" w:cs="Calibri"/>
          <w:b/>
        </w:rPr>
      </w:pPr>
      <w:r>
        <w:rPr>
          <w:rFonts w:ascii="Calibri" w:hAnsi="Calibri" w:eastAsia="Nunito" w:cs="Calibri"/>
        </w:rPr>
        <w:t xml:space="preserve">Violence against women remains a significant concern within our communities, yet domestic violence laws are not adequately enforced. This leads to severe underreporting to the police and leaves survivors without recourse. While the GoG has identified alcohol abuse and poverty as root causes of domestic violence, it has not engaged us on any plans to address the connection between these, the impacts of mining, and domestic violence. Female community members are expected to support survivors of abuse, but do not have adequate resources to effectively support survivors, or to address the issue within our communities. Child sexual abuse and child marriage are also issues of concern that our communities require support and resources to address. </w:t>
      </w:r>
      <w:r>
        <w:rPr>
          <w:rFonts w:ascii="Calibri" w:hAnsi="Calibri" w:eastAsia="Nunito" w:cs="Calibri"/>
          <w:b/>
        </w:rPr>
        <w:t xml:space="preserve">The GoG should work with our communities to implement support services for survivors of abuse and educational awareness raising programs to help combat such abuse.  </w:t>
      </w:r>
    </w:p>
    <w:p>
      <w:pPr>
        <w:rPr>
          <w:rFonts w:ascii="Calibri" w:hAnsi="Calibri" w:eastAsia="Nunito" w:cs="Calibri"/>
        </w:rPr>
      </w:pPr>
    </w:p>
    <w:p>
      <w:pPr>
        <w:rPr>
          <w:rFonts w:ascii="Calibri" w:hAnsi="Calibri" w:eastAsia="Nunito" w:cs="Calibri"/>
        </w:rPr>
      </w:pPr>
      <w:r>
        <w:rPr>
          <w:rFonts w:ascii="Calibri" w:hAnsi="Calibri" w:eastAsia="Nunito" w:cs="Calibri"/>
        </w:rPr>
        <w:t>The GoG should do more to offer our women capacity building, training, social services, and resources, in culturally appropriate ways and through our representative institutions, to empower Wapichan and other indigenous women to realize our protected rights. We hope the GoG will take to heart Special Rapporteur Tauli Corpuz’s observations that indigenous women “experience complex, multidimensional and mutually reinforcing human rights violations”, requiring States to adopt a “multidimensional approach” and strike a “balance between the protection of indigenous women and respect for self-determination and autonomy of indigenous peoples”.</w:t>
      </w:r>
      <w:r>
        <w:rPr>
          <w:rFonts w:ascii="Calibri" w:hAnsi="Calibri" w:eastAsia="Nunito" w:cs="Calibri"/>
          <w:vertAlign w:val="superscript"/>
        </w:rPr>
        <w:footnoteReference w:id="2"/>
      </w:r>
      <w:r>
        <w:rPr>
          <w:rFonts w:ascii="Calibri" w:hAnsi="Calibri" w:eastAsia="Nunito" w:cs="Calibri"/>
        </w:rPr>
        <w:t xml:space="preserve"> To the extent that we have proposed government action throughout this report, it should always be provided in coordination with our representative institutions, namely, the South Rupununi District Council, village councils, and women’s organizations in our villages, in a manner that respects our right to self-determination as indigenous peoples.</w:t>
      </w:r>
    </w:p>
    <w:p>
      <w:pPr>
        <w:pStyle w:val="3"/>
        <w:rPr>
          <w:rFonts w:ascii="Calibri" w:hAnsi="Calibri" w:eastAsia="Nunito" w:cs="Calibri"/>
        </w:rPr>
      </w:pPr>
      <w:bookmarkStart w:id="2" w:name="_Toc12772732"/>
      <w:r>
        <w:rPr>
          <w:rFonts w:ascii="Calibri" w:hAnsi="Calibri" w:cs="Calibri"/>
        </w:rPr>
        <w:t>Introduction</w:t>
      </w:r>
      <w:bookmarkEnd w:id="2"/>
    </w:p>
    <w:p>
      <w:pPr>
        <w:rPr>
          <w:rFonts w:ascii="Calibri" w:hAnsi="Calibri" w:eastAsia="Nunito" w:cs="Calibri"/>
          <w:highlight w:val="white"/>
        </w:rPr>
      </w:pPr>
      <w:r>
        <w:rPr>
          <w:rFonts w:ascii="Calibri" w:hAnsi="Calibri" w:eastAsia="Nunito" w:cs="Calibri"/>
        </w:rPr>
        <w:t xml:space="preserve">The South Rupununi District Council (SRDC) is the representative body of the 21 Wapichan villages in the South Rupununi, Region 9, Guyana. The SRDC exercises collective authority and stewardship over Wapichan </w:t>
      </w:r>
      <w:r>
        <w:rPr>
          <w:rFonts w:ascii="Calibri" w:hAnsi="Calibri" w:eastAsia="Nunito" w:cs="Calibri"/>
          <w:i/>
        </w:rPr>
        <w:t>wiizi</w:t>
      </w:r>
      <w:r>
        <w:rPr>
          <w:rFonts w:ascii="Calibri" w:hAnsi="Calibri" w:eastAsia="Nunito" w:cs="Calibri"/>
        </w:rPr>
        <w:t xml:space="preserve"> (territory), represents our people on issues of common concern, and coordinates collective decision-making and action across our territory.</w:t>
      </w:r>
      <w:r>
        <w:rPr>
          <w:rFonts w:ascii="Calibri" w:hAnsi="Calibri" w:eastAsia="Nunito" w:cs="Calibri"/>
          <w:color w:val="434343"/>
          <w:sz w:val="28"/>
          <w:szCs w:val="28"/>
          <w:vertAlign w:val="superscript"/>
        </w:rPr>
        <w:footnoteReference w:id="3"/>
      </w:r>
      <w:r>
        <w:rPr>
          <w:rFonts w:ascii="Calibri" w:hAnsi="Calibri" w:eastAsia="Nunito" w:cs="Calibri"/>
        </w:rPr>
        <w:t xml:space="preserve"> </w:t>
      </w:r>
    </w:p>
    <w:p>
      <w:pPr>
        <w:pBdr>
          <w:top w:val="none" w:color="auto" w:sz="0" w:space="0"/>
          <w:left w:val="none" w:color="auto" w:sz="0" w:space="0"/>
          <w:bottom w:val="none" w:color="auto" w:sz="0" w:space="0"/>
          <w:right w:val="none" w:color="auto" w:sz="0" w:space="0"/>
          <w:between w:val="none" w:color="auto" w:sz="0" w:space="0"/>
        </w:pBdr>
        <w:rPr>
          <w:rFonts w:ascii="Calibri" w:hAnsi="Calibri" w:eastAsia="Nunito" w:cs="Calibri"/>
        </w:rPr>
      </w:pPr>
    </w:p>
    <w:p>
      <w:pPr>
        <w:rPr>
          <w:rFonts w:ascii="Calibri" w:hAnsi="Calibri" w:eastAsia="Nunito" w:cs="Calibri"/>
          <w:highlight w:val="white"/>
        </w:rPr>
      </w:pPr>
      <w:r>
        <w:rPr>
          <w:rFonts w:ascii="Calibri" w:hAnsi="Calibri" w:eastAsia="Nunito" w:cs="Calibri"/>
        </w:rPr>
        <w:t xml:space="preserve">Our people and our ancestors have traditionally owned Wapichan </w:t>
      </w:r>
      <w:r>
        <w:rPr>
          <w:rFonts w:ascii="Calibri" w:hAnsi="Calibri" w:eastAsia="Nunito" w:cs="Calibri"/>
          <w:i/>
        </w:rPr>
        <w:t>wiizi</w:t>
      </w:r>
      <w:r>
        <w:rPr>
          <w:rFonts w:ascii="Calibri" w:hAnsi="Calibri" w:eastAsia="Nunito" w:cs="Calibri"/>
        </w:rPr>
        <w:t xml:space="preserve"> for generations. We live in harmony with our environment through our close spiritual attachment to and respect for the land, which has been passed down to us by our foreparents. Across our landscapes are important sites of cultural, historical, and spiritual significance, as well as valuable resources for food, building materials, medicines, and for ceremonial and spiritual purposes. </w:t>
      </w:r>
    </w:p>
    <w:p>
      <w:pPr>
        <w:rPr>
          <w:rFonts w:ascii="Calibri" w:hAnsi="Calibri" w:eastAsia="Nunito" w:cs="Calibri"/>
        </w:rPr>
      </w:pPr>
    </w:p>
    <w:p>
      <w:pPr>
        <w:rPr>
          <w:rFonts w:ascii="Calibri" w:hAnsi="Calibri" w:eastAsia="Nunito" w:cs="Calibri"/>
          <w:sz w:val="24"/>
          <w:szCs w:val="24"/>
        </w:rPr>
      </w:pPr>
      <w:r>
        <w:rPr>
          <w:rFonts w:ascii="Calibri" w:hAnsi="Calibri" w:eastAsia="Nunito" w:cs="Calibri"/>
        </w:rPr>
        <w:t xml:space="preserve">Wapichan women play critical roles in maintaining our culture, sustaining our people, and contributing to our communities’ development. Our women work hard to provide for our families and maintain our homes, while also supporting our work to uphold indigenous rights and protect Wapichan </w:t>
      </w:r>
      <w:r>
        <w:rPr>
          <w:rFonts w:ascii="Calibri" w:hAnsi="Calibri" w:eastAsia="Nunito" w:cs="Calibri"/>
          <w:i/>
        </w:rPr>
        <w:t>wiizi</w:t>
      </w:r>
      <w:r>
        <w:rPr>
          <w:rFonts w:ascii="Calibri" w:hAnsi="Calibri" w:eastAsia="Nunito" w:cs="Calibri"/>
        </w:rPr>
        <w:t xml:space="preserve">. The GoG’s failure to respect indigenous rights, and in particular its failure to recognize and title Wapichan </w:t>
      </w:r>
      <w:r>
        <w:rPr>
          <w:rFonts w:ascii="Calibri" w:hAnsi="Calibri" w:eastAsia="Nunito" w:cs="Calibri"/>
          <w:i/>
        </w:rPr>
        <w:t>wiizi</w:t>
      </w:r>
      <w:r>
        <w:rPr>
          <w:rFonts w:ascii="Calibri" w:hAnsi="Calibri" w:eastAsia="Nunito" w:cs="Calibri"/>
        </w:rPr>
        <w:t>,</w:t>
      </w:r>
      <w:r>
        <w:rPr>
          <w:rFonts w:ascii="Calibri" w:hAnsi="Calibri" w:eastAsia="Nunito" w:cs="Calibri"/>
          <w:i/>
        </w:rPr>
        <w:t xml:space="preserve"> </w:t>
      </w:r>
      <w:r>
        <w:rPr>
          <w:rFonts w:ascii="Calibri" w:hAnsi="Calibri" w:eastAsia="Nunito" w:cs="Calibri"/>
        </w:rPr>
        <w:t>causes our women ongoing hardship: they shoulder the double burden of preserving our culture in a changing climate and globalizing economy while fighting to secure our peoples’ rights. It is imperative that the GoG uphold its commitments and responsibilities in protecting and advancing their rights both as women and as indigenous people.</w:t>
      </w:r>
    </w:p>
    <w:p>
      <w:pPr>
        <w:pStyle w:val="4"/>
        <w:rPr>
          <w:rFonts w:ascii="Calibri" w:hAnsi="Calibri" w:cs="Calibri"/>
        </w:rPr>
      </w:pPr>
      <w:bookmarkStart w:id="3" w:name="_Toc12772733"/>
      <w:r>
        <w:rPr>
          <w:rFonts w:ascii="Calibri" w:hAnsi="Calibri" w:cs="Calibri"/>
        </w:rPr>
        <w:t>Articles 1-5: Elimination of Discrimination and Advancement of Women</w:t>
      </w:r>
      <w:bookmarkEnd w:id="3"/>
    </w:p>
    <w:p>
      <w:pPr>
        <w:rPr>
          <w:rFonts w:ascii="Calibri" w:hAnsi="Calibri" w:eastAsia="Nunito" w:cs="Calibri"/>
        </w:rPr>
      </w:pPr>
      <w:r>
        <w:rPr>
          <w:rFonts w:ascii="Calibri" w:hAnsi="Calibri" w:eastAsia="Nunito" w:cs="Calibri"/>
        </w:rPr>
        <w:t xml:space="preserve">The GoG fails to adopt the intersectional frame needed to recognize and address the multiple forms of oppression that indigenous women suffer. In addition to discrimination against indigenous peoples, our women suffer gender discrimination, as local cultural perceptions stemming from religious beliefs introduced by missionaries since the late 19th century reinforce gender stereotypes. </w:t>
      </w:r>
    </w:p>
    <w:p>
      <w:pPr>
        <w:rPr>
          <w:rFonts w:ascii="Calibri" w:hAnsi="Calibri" w:eastAsia="Nunito" w:cs="Calibri"/>
        </w:rPr>
      </w:pPr>
    </w:p>
    <w:p>
      <w:pPr>
        <w:rPr>
          <w:rFonts w:ascii="Calibri" w:hAnsi="Calibri" w:eastAsia="Nunito" w:cs="Calibri"/>
        </w:rPr>
      </w:pPr>
      <w:r>
        <w:rPr>
          <w:rFonts w:ascii="Calibri" w:hAnsi="Calibri" w:eastAsia="Nunito" w:cs="Calibri"/>
        </w:rPr>
        <w:t>We are unaware of government programs to advance gender equality in our villages and have little exposure to the work of the Women and Gender Equality</w:t>
      </w:r>
      <w:r>
        <w:rPr>
          <w:rFonts w:ascii="Calibri" w:hAnsi="Calibri" w:eastAsia="Nunito" w:cs="Calibri"/>
          <w:vertAlign w:val="superscript"/>
        </w:rPr>
        <w:footnoteReference w:id="4"/>
      </w:r>
      <w:r>
        <w:rPr>
          <w:rFonts w:ascii="Calibri" w:hAnsi="Calibri" w:eastAsia="Nunito" w:cs="Calibri"/>
        </w:rPr>
        <w:t xml:space="preserve"> and Indigenous Peoples’ Commissions. Government efforts focus on those in Georgetown and the coast and rarely reach our communities. To the extent that outreach is made, little attention is paid to the unique issues that indigenous women face, so we do not experience the full benefits of such efforts.</w:t>
      </w:r>
    </w:p>
    <w:p>
      <w:pPr>
        <w:rPr>
          <w:rFonts w:ascii="Calibri" w:hAnsi="Calibri" w:eastAsia="Nunito" w:cs="Calibri"/>
        </w:rPr>
      </w:pPr>
    </w:p>
    <w:p>
      <w:pPr>
        <w:rPr>
          <w:rFonts w:ascii="Calibri" w:hAnsi="Calibri" w:eastAsia="Nunito" w:cs="Calibri"/>
        </w:rPr>
      </w:pPr>
      <w:r>
        <w:rPr>
          <w:rFonts w:ascii="Calibri" w:hAnsi="Calibri" w:eastAsia="Nunito" w:cs="Calibri"/>
        </w:rPr>
        <w:t>The GoG’s ‘policy discussions’</w:t>
      </w:r>
      <w:r>
        <w:rPr>
          <w:rFonts w:ascii="Calibri" w:hAnsi="Calibri" w:eastAsia="Nunito" w:cs="Calibri"/>
          <w:vertAlign w:val="superscript"/>
        </w:rPr>
        <w:footnoteReference w:id="5"/>
      </w:r>
      <w:r>
        <w:rPr>
          <w:rFonts w:ascii="Calibri" w:hAnsi="Calibri" w:eastAsia="Nunito" w:cs="Calibri"/>
        </w:rPr>
        <w:t xml:space="preserve"> fail to include indigenous voices and do not respect our rights to effective participation and FPIC (see also Appendix: Articles 7-8).</w:t>
      </w:r>
      <w:r>
        <w:rPr>
          <w:rFonts w:ascii="Calibri" w:hAnsi="Calibri" w:eastAsia="Nunito" w:cs="Calibri"/>
          <w:vertAlign w:val="superscript"/>
        </w:rPr>
        <w:footnoteReference w:id="6"/>
      </w:r>
      <w:r>
        <w:rPr>
          <w:rFonts w:ascii="Calibri" w:hAnsi="Calibri" w:eastAsia="Nunito" w:cs="Calibri"/>
        </w:rPr>
        <w:t xml:space="preserve"> Our communities are rarely consulted on program development or on the best ways to disseminate information effectively. Trainings and consultations are often held in Georgetown, impeding the participation of rural indigenous women.</w:t>
      </w:r>
      <w:r>
        <w:rPr>
          <w:rFonts w:ascii="Calibri" w:hAnsi="Calibri" w:eastAsia="Nunito" w:cs="Calibri"/>
          <w:vertAlign w:val="superscript"/>
        </w:rPr>
        <w:footnoteReference w:id="7"/>
      </w:r>
      <w:r>
        <w:rPr>
          <w:rFonts w:ascii="Calibri" w:hAnsi="Calibri" w:eastAsia="Nunito" w:cs="Calibri"/>
        </w:rPr>
        <w:t xml:space="preserve"> When the GoG invites indigenous persons to consultations, it often fails to do so through our representative institutions.</w:t>
      </w:r>
      <w:r>
        <w:rPr>
          <w:rFonts w:ascii="Calibri" w:hAnsi="Calibri" w:eastAsia="Nunito" w:cs="Calibri"/>
          <w:vertAlign w:val="superscript"/>
        </w:rPr>
        <w:footnoteReference w:id="8"/>
      </w:r>
      <w:r>
        <w:rPr>
          <w:rFonts w:ascii="Calibri" w:hAnsi="Calibri" w:eastAsia="Nunito" w:cs="Calibri"/>
        </w:rPr>
        <w:t xml:space="preserve"> The GoG also fails to provide support to ensure we can relay the information back to our communities, particularly those in remote locations, and to obtain their input.</w:t>
      </w:r>
      <w:r>
        <w:rPr>
          <w:rFonts w:ascii="Calibri" w:hAnsi="Calibri" w:eastAsia="Nunito" w:cs="Calibri"/>
          <w:vertAlign w:val="superscript"/>
        </w:rPr>
        <w:footnoteReference w:id="9"/>
      </w:r>
      <w:r>
        <w:rPr>
          <w:rFonts w:ascii="Calibri" w:hAnsi="Calibri" w:eastAsia="Nunito" w:cs="Calibri"/>
        </w:rPr>
        <w:t xml:space="preserve"> Because we are given insufficient time to provide feedback, the few consultations in which we participate rarely address our needs. </w:t>
      </w:r>
    </w:p>
    <w:p>
      <w:pPr>
        <w:rPr>
          <w:rFonts w:ascii="Calibri" w:hAnsi="Calibri" w:eastAsia="Nunito" w:cs="Calibri"/>
        </w:rPr>
      </w:pPr>
    </w:p>
    <w:p>
      <w:pPr>
        <w:rPr>
          <w:rFonts w:ascii="Calibri" w:hAnsi="Calibri" w:eastAsia="Nunito" w:cs="Calibri"/>
          <w:b/>
        </w:rPr>
      </w:pPr>
      <w:r>
        <w:rPr>
          <w:rFonts w:ascii="Calibri" w:hAnsi="Calibri" w:eastAsia="Nunito" w:cs="Calibri"/>
          <w:b/>
        </w:rPr>
        <w:t>Recommendation(s) to the GoG:</w:t>
      </w:r>
    </w:p>
    <w:p>
      <w:pPr>
        <w:numPr>
          <w:ilvl w:val="0"/>
          <w:numId w:val="1"/>
        </w:numPr>
        <w:rPr>
          <w:rFonts w:ascii="Calibri" w:hAnsi="Calibri" w:eastAsia="Nunito" w:cs="Calibri"/>
          <w:b/>
        </w:rPr>
      </w:pPr>
      <w:r>
        <w:rPr>
          <w:rFonts w:ascii="Calibri" w:hAnsi="Calibri" w:eastAsia="Nunito" w:cs="Calibri"/>
          <w:b/>
        </w:rPr>
        <w:t>Implement an FPIC policy that includes a gender mainstreaming strategy and take measures to advance gender equality throughout consultation processes, including by carrying out separate consultations with women.</w:t>
      </w:r>
    </w:p>
    <w:p>
      <w:pPr>
        <w:numPr>
          <w:ilvl w:val="0"/>
          <w:numId w:val="1"/>
        </w:numPr>
        <w:rPr>
          <w:rFonts w:ascii="Calibri" w:hAnsi="Calibri" w:eastAsia="Nunito" w:cs="Calibri"/>
          <w:b/>
        </w:rPr>
      </w:pPr>
      <w:r>
        <w:rPr>
          <w:rFonts w:ascii="Calibri" w:hAnsi="Calibri" w:eastAsia="Nunito" w:cs="Calibri"/>
          <w:b/>
        </w:rPr>
        <w:t>Proactively engage with indigenous women through our representative institutions and apply the principle of FPIC to the development of laws and policies, including culturally appropriate consultation policies.</w:t>
      </w:r>
      <w:r>
        <w:rPr>
          <w:rFonts w:ascii="Calibri" w:hAnsi="Calibri" w:eastAsia="Nunito" w:cs="Calibri"/>
          <w:b/>
          <w:vertAlign w:val="superscript"/>
        </w:rPr>
        <w:footnoteReference w:id="10"/>
      </w:r>
      <w:r>
        <w:rPr>
          <w:rFonts w:ascii="Calibri" w:hAnsi="Calibri" w:eastAsia="Nunito" w:cs="Calibri"/>
          <w:b/>
        </w:rPr>
        <w:t xml:space="preserve"> Official translators from our bilingual education program, the Wapichan Wadauniinao Ati’o (WWA), should be asked to assist in preparing Wapichan language versions of any workshops, trainings, or consultations.</w:t>
      </w:r>
      <w:r>
        <w:rPr>
          <w:rFonts w:ascii="Calibri" w:hAnsi="Calibri" w:eastAsia="Nunito" w:cs="Calibri"/>
          <w:b/>
          <w:vertAlign w:val="superscript"/>
        </w:rPr>
        <w:footnoteReference w:id="11"/>
      </w:r>
    </w:p>
    <w:p>
      <w:pPr>
        <w:numPr>
          <w:ilvl w:val="0"/>
          <w:numId w:val="1"/>
        </w:numPr>
        <w:rPr>
          <w:rFonts w:ascii="Calibri" w:hAnsi="Calibri" w:eastAsia="Nunito" w:cs="Calibri"/>
          <w:b/>
        </w:rPr>
      </w:pPr>
      <w:r>
        <w:rPr>
          <w:rFonts w:ascii="Calibri" w:hAnsi="Calibri" w:eastAsia="Nunito" w:cs="Calibri"/>
          <w:b/>
        </w:rPr>
        <w:t>Enable indigenous representative institutions to effectively participate in the design of school curricula and outreach programs that combat gender stereotypes.</w:t>
      </w:r>
    </w:p>
    <w:p>
      <w:pPr>
        <w:numPr>
          <w:ilvl w:val="0"/>
          <w:numId w:val="1"/>
        </w:numPr>
        <w:rPr>
          <w:rFonts w:ascii="Calibri" w:hAnsi="Calibri" w:eastAsia="Nunito" w:cs="Calibri"/>
          <w:b/>
        </w:rPr>
      </w:pPr>
      <w:r>
        <w:rPr>
          <w:rFonts w:ascii="Calibri" w:hAnsi="Calibri" w:eastAsia="Nunito" w:cs="Calibri"/>
          <w:b/>
        </w:rPr>
        <w:t>As previously recommended by the Committee,</w:t>
      </w:r>
      <w:r>
        <w:rPr>
          <w:rFonts w:ascii="Calibri" w:hAnsi="Calibri" w:eastAsia="Nunito" w:cs="Calibri"/>
          <w:b/>
          <w:vertAlign w:val="superscript"/>
        </w:rPr>
        <w:footnoteReference w:id="12"/>
      </w:r>
      <w:r>
        <w:rPr>
          <w:rFonts w:ascii="Calibri" w:hAnsi="Calibri" w:eastAsia="Nunito" w:cs="Calibri"/>
          <w:b/>
        </w:rPr>
        <w:t xml:space="preserve"> support our communities’ efforts to disseminate information to enhance awareness of women’s rights and the means to enforce these rights. For example, grant our request for additional airtime to host programs of our choice on our local radio, Radio Aishalton.</w:t>
      </w:r>
      <w:r>
        <w:rPr>
          <w:rFonts w:ascii="Calibri" w:hAnsi="Calibri" w:eastAsia="Nunito" w:cs="Calibri"/>
          <w:b/>
          <w:vertAlign w:val="superscript"/>
        </w:rPr>
        <w:footnoteReference w:id="13"/>
      </w:r>
      <w:r>
        <w:rPr>
          <w:rFonts w:ascii="Calibri" w:hAnsi="Calibri" w:eastAsia="Nunito" w:cs="Calibri"/>
          <w:b/>
        </w:rPr>
        <w:t xml:space="preserve"> </w:t>
      </w:r>
    </w:p>
    <w:p>
      <w:pPr>
        <w:pStyle w:val="4"/>
        <w:rPr>
          <w:rFonts w:ascii="Calibri" w:hAnsi="Calibri" w:cs="Calibri"/>
        </w:rPr>
      </w:pPr>
      <w:bookmarkStart w:id="4" w:name="_Toc12772734"/>
      <w:r>
        <w:rPr>
          <w:rFonts w:ascii="Calibri" w:hAnsi="Calibri" w:cs="Calibri"/>
        </w:rPr>
        <w:t>Articles 11, 13: Employment, Economic and Social Benefits</w:t>
      </w:r>
      <w:bookmarkEnd w:id="4"/>
    </w:p>
    <w:p>
      <w:pPr>
        <w:rPr>
          <w:rFonts w:ascii="Calibri" w:hAnsi="Calibri" w:eastAsia="Nunito" w:cs="Calibri"/>
        </w:rPr>
      </w:pPr>
      <w:r>
        <w:rPr>
          <w:rFonts w:ascii="Calibri" w:hAnsi="Calibri" w:eastAsia="Nunito" w:cs="Calibri"/>
        </w:rPr>
        <w:t xml:space="preserve">While portions of our territory have been legally recognized through land titles, the GoG has not recognized our collective territorial rights. The untitled portions of our territory remain susceptible to GoG grants of mining concessions and grazing leases. Indeed, the GoG is presently considering a lease application that encompasses a significant portion of our territory. This lack of tenure security impacts our women’s enjoyment of many of the rights protected under CEDAW, including the rights to employment and to economic and social benefits. </w:t>
      </w:r>
    </w:p>
    <w:p>
      <w:pPr>
        <w:rPr>
          <w:rFonts w:ascii="Calibri" w:hAnsi="Calibri" w:eastAsia="Nunito" w:cs="Calibri"/>
        </w:rPr>
      </w:pPr>
    </w:p>
    <w:p>
      <w:pPr>
        <w:rPr>
          <w:rFonts w:ascii="Calibri" w:hAnsi="Calibri" w:eastAsia="Nunito" w:cs="Calibri"/>
        </w:rPr>
      </w:pPr>
      <w:r>
        <w:rPr>
          <w:rFonts w:ascii="Calibri" w:hAnsi="Calibri" w:eastAsia="Nunito" w:cs="Calibri"/>
        </w:rPr>
        <w:t>The GoG’s authorization of mining activity on our territory without our FPIC has been detrimental to our traditional economies. The water pollution and deforestation caused by mining activities compounds the effects of climate change, leading to decreased food sources.</w:t>
      </w:r>
      <w:r>
        <w:rPr>
          <w:rFonts w:ascii="Calibri" w:hAnsi="Calibri" w:eastAsia="Nunito" w:cs="Calibri"/>
          <w:vertAlign w:val="superscript"/>
        </w:rPr>
        <w:footnoteReference w:id="14"/>
      </w:r>
      <w:r>
        <w:rPr>
          <w:rFonts w:ascii="Calibri" w:hAnsi="Calibri" w:eastAsia="Nunito" w:cs="Calibri"/>
        </w:rPr>
        <w:t xml:space="preserve"> Farming, hunting, and fishing are no longer sufficient to meet our needs and do not provide income to pay our children’s school fees. Without alternative opportunities, many indigenous men turn to mining as a form of income; however, the money they earn is often spent within mining areas and does not return to our communities. When our men work in mines, women face greater pressures to stay home with children, further restricting their employment opportunities because of government failures to provide childcare benefits.</w:t>
      </w:r>
    </w:p>
    <w:p>
      <w:pPr>
        <w:rPr>
          <w:rFonts w:ascii="Calibri" w:hAnsi="Calibri" w:eastAsia="Nunito" w:cs="Calibri"/>
        </w:rPr>
      </w:pPr>
    </w:p>
    <w:p>
      <w:pPr>
        <w:rPr>
          <w:rFonts w:ascii="Calibri" w:hAnsi="Calibri" w:eastAsia="Nunito" w:cs="Calibri"/>
        </w:rPr>
      </w:pPr>
      <w:r>
        <w:rPr>
          <w:rFonts w:ascii="Calibri" w:hAnsi="Calibri" w:eastAsia="Nunito" w:cs="Calibri"/>
        </w:rPr>
        <w:t>Our women have not experienced the increased job opportunities that the GoG suggests extractive industries provide</w:t>
      </w:r>
      <w:r>
        <w:rPr>
          <w:rFonts w:ascii="Calibri" w:hAnsi="Calibri" w:eastAsia="Nunito" w:cs="Calibri"/>
          <w:vertAlign w:val="superscript"/>
        </w:rPr>
        <w:footnoteReference w:id="15"/>
      </w:r>
      <w:r>
        <w:rPr>
          <w:rFonts w:ascii="Calibri" w:hAnsi="Calibri" w:eastAsia="Nunito" w:cs="Calibri"/>
        </w:rPr>
        <w:t xml:space="preserve">; instead, mining contributes to a cycle of poverty in our communities. Currently, the main job opportunities for indigenous women are in low-wage government roles that are far from home. When women seek jobs in mining, they are largely confined to cooking jobs and are underpaid, if paid at all (see also Appendix: Article 6). The GoG fails to pay living wages and has failed to address the pay gap between men and women working in the mines. </w:t>
      </w:r>
    </w:p>
    <w:p>
      <w:pPr>
        <w:rPr>
          <w:rFonts w:ascii="Calibri" w:hAnsi="Calibri" w:eastAsia="Nunito" w:cs="Calibri"/>
        </w:rPr>
      </w:pPr>
    </w:p>
    <w:p>
      <w:pPr>
        <w:rPr>
          <w:rFonts w:ascii="Calibri" w:hAnsi="Calibri" w:eastAsia="Nunito" w:cs="Calibri"/>
        </w:rPr>
      </w:pPr>
      <w:r>
        <w:rPr>
          <w:rFonts w:ascii="Calibri" w:hAnsi="Calibri" w:eastAsia="Nunito" w:cs="Calibri"/>
        </w:rPr>
        <w:t>Although our women seek opportunities to run their own businesses</w:t>
      </w:r>
      <w:r>
        <w:rPr>
          <w:rFonts w:ascii="Calibri" w:hAnsi="Calibri" w:eastAsia="Nunito" w:cs="Calibri"/>
          <w:vertAlign w:val="superscript"/>
        </w:rPr>
        <w:footnoteReference w:id="16"/>
      </w:r>
      <w:r>
        <w:rPr>
          <w:rFonts w:ascii="Calibri" w:hAnsi="Calibri" w:eastAsia="Nunito" w:cs="Calibri"/>
        </w:rPr>
        <w:t>, they have not had the opportunity to partake in the women’s leadership training programs referenced by the GoG</w:t>
      </w:r>
      <w:r>
        <w:rPr>
          <w:rFonts w:ascii="Calibri" w:hAnsi="Calibri" w:eastAsia="Nunito" w:cs="Calibri"/>
          <w:vertAlign w:val="superscript"/>
        </w:rPr>
        <w:footnoteReference w:id="17"/>
      </w:r>
      <w:r>
        <w:rPr>
          <w:rFonts w:ascii="Calibri" w:hAnsi="Calibri" w:eastAsia="Nunito" w:cs="Calibri"/>
        </w:rPr>
        <w:t xml:space="preserve">. Indigenous peoples, particularly women, also struggle to access bank loans, because we often lack the required collateral or the identification documentation needed. Further, the time and expense of traveling to the nearest town to access a bank is largely prohibitive, particularly for women who take care of their families. </w:t>
      </w:r>
    </w:p>
    <w:p>
      <w:pPr>
        <w:rPr>
          <w:rFonts w:ascii="Calibri" w:hAnsi="Calibri" w:eastAsia="Nunito" w:cs="Calibri"/>
        </w:rPr>
      </w:pPr>
    </w:p>
    <w:p>
      <w:pPr>
        <w:rPr>
          <w:rFonts w:ascii="Calibri" w:hAnsi="Calibri" w:eastAsia="Nunito" w:cs="Calibri"/>
        </w:rPr>
      </w:pPr>
      <w:r>
        <w:rPr>
          <w:rFonts w:ascii="Calibri" w:hAnsi="Calibri" w:eastAsia="Nunito" w:cs="Calibri"/>
        </w:rPr>
        <w:t>Our people are not aware of Rupununi Ventures, the low-interest loan facility that the GoG referenced</w:t>
      </w:r>
      <w:r>
        <w:rPr>
          <w:rFonts w:ascii="Calibri" w:hAnsi="Calibri" w:eastAsia="Nunito" w:cs="Calibri"/>
          <w:vertAlign w:val="superscript"/>
        </w:rPr>
        <w:footnoteReference w:id="18"/>
      </w:r>
      <w:r>
        <w:rPr>
          <w:rFonts w:ascii="Calibri" w:hAnsi="Calibri" w:eastAsia="Nunito" w:cs="Calibri"/>
        </w:rPr>
        <w:t>. The GoG generally fails to provide information to indigenous communities on loan programs. When our people applied for loans in the past, the application process was often lengthy, burdensome, and ultimately unsuccessful.</w:t>
      </w:r>
    </w:p>
    <w:p>
      <w:pPr>
        <w:rPr>
          <w:rFonts w:ascii="Calibri" w:hAnsi="Calibri" w:eastAsia="Nunito" w:cs="Calibri"/>
        </w:rPr>
      </w:pPr>
    </w:p>
    <w:p>
      <w:pPr>
        <w:pBdr>
          <w:top w:val="none" w:color="auto" w:sz="0" w:space="0"/>
          <w:left w:val="none" w:color="auto" w:sz="0" w:space="0"/>
          <w:bottom w:val="none" w:color="auto" w:sz="0" w:space="0"/>
          <w:right w:val="none" w:color="auto" w:sz="0" w:space="0"/>
          <w:between w:val="none" w:color="auto" w:sz="0" w:space="0"/>
        </w:pBdr>
        <w:rPr>
          <w:rFonts w:ascii="Calibri" w:hAnsi="Calibri" w:eastAsia="Nunito" w:cs="Calibri"/>
          <w:b/>
        </w:rPr>
      </w:pPr>
      <w:r>
        <w:rPr>
          <w:rFonts w:ascii="Calibri" w:hAnsi="Calibri" w:eastAsia="Nunito" w:cs="Calibri"/>
          <w:b/>
        </w:rPr>
        <w:t>Recommendation(s) to the GoG:</w:t>
      </w:r>
    </w:p>
    <w:p>
      <w:pPr>
        <w:numPr>
          <w:ilvl w:val="0"/>
          <w:numId w:val="2"/>
        </w:numPr>
        <w:rPr>
          <w:rFonts w:ascii="Calibri" w:hAnsi="Calibri" w:eastAsia="Nunito" w:cs="Calibri"/>
          <w:b/>
        </w:rPr>
      </w:pPr>
      <w:r>
        <w:rPr>
          <w:rFonts w:ascii="Calibri" w:hAnsi="Calibri" w:eastAsia="Nunito" w:cs="Calibri"/>
          <w:b/>
        </w:rPr>
        <w:t>Implement previous recommendations by UN treaty bodies</w:t>
      </w:r>
      <w:r>
        <w:rPr>
          <w:rFonts w:ascii="Calibri" w:hAnsi="Calibri" w:eastAsia="Nunito" w:cs="Calibri"/>
          <w:b/>
          <w:vertAlign w:val="superscript"/>
        </w:rPr>
        <w:footnoteReference w:id="19"/>
      </w:r>
      <w:r>
        <w:rPr>
          <w:rFonts w:ascii="Calibri" w:hAnsi="Calibri" w:eastAsia="Nunito" w:cs="Calibri"/>
          <w:b/>
        </w:rPr>
        <w:t xml:space="preserve"> to revise the Amerindian Act 2006 and other laws in accordance with the United Nations Declaration on the Rights of Indigenous Peoples (UNDRIP), using a gender-sensitive lens, to ensure that our rights to self-determination, our territory, lands, and resources and to FPIC, are fully recognized and protected.</w:t>
      </w:r>
      <w:r>
        <w:rPr>
          <w:rFonts w:ascii="Calibri" w:hAnsi="Calibri" w:eastAsia="Nunito" w:cs="Calibri"/>
          <w:b/>
          <w:vertAlign w:val="superscript"/>
        </w:rPr>
        <w:footnoteReference w:id="20"/>
      </w:r>
      <w:r>
        <w:rPr>
          <w:rFonts w:ascii="Calibri" w:hAnsi="Calibri" w:eastAsia="Nunito" w:cs="Calibri"/>
          <w:b/>
        </w:rPr>
        <w:t xml:space="preserve"> </w:t>
      </w:r>
    </w:p>
    <w:p>
      <w:pPr>
        <w:numPr>
          <w:ilvl w:val="0"/>
          <w:numId w:val="2"/>
        </w:numPr>
        <w:rPr>
          <w:rFonts w:ascii="Calibri" w:hAnsi="Calibri" w:eastAsia="Nunito" w:cs="Calibri"/>
          <w:b/>
        </w:rPr>
      </w:pPr>
      <w:r>
        <w:rPr>
          <w:rFonts w:ascii="Calibri" w:hAnsi="Calibri" w:eastAsia="Nunito" w:cs="Calibri"/>
          <w:b/>
        </w:rPr>
        <w:t xml:space="preserve"> Conduct gender impact assessments and prior consultations concerning alternative livelihoods and compensation and seek our FPIC prior to granting large-scale extractive concessions or agricultural leases on our lands.</w:t>
      </w:r>
      <w:r>
        <w:rPr>
          <w:rFonts w:ascii="Calibri" w:hAnsi="Calibri" w:eastAsia="Nunito" w:cs="Calibri"/>
          <w:b/>
          <w:vertAlign w:val="superscript"/>
        </w:rPr>
        <w:footnoteReference w:id="21"/>
      </w:r>
      <w:r>
        <w:rPr>
          <w:rFonts w:ascii="Calibri" w:hAnsi="Calibri" w:eastAsia="Nunito" w:cs="Calibri"/>
          <w:b/>
        </w:rPr>
        <w:t xml:space="preserve"> </w:t>
      </w:r>
    </w:p>
    <w:p>
      <w:pPr>
        <w:numPr>
          <w:ilvl w:val="0"/>
          <w:numId w:val="2"/>
        </w:numPr>
        <w:rPr>
          <w:rFonts w:ascii="Calibri" w:hAnsi="Calibri" w:eastAsia="Nunito" w:cs="Calibri"/>
          <w:b/>
        </w:rPr>
      </w:pPr>
      <w:r>
        <w:rPr>
          <w:rFonts w:ascii="Calibri" w:hAnsi="Calibri" w:eastAsia="Nunito" w:cs="Calibri"/>
          <w:b/>
        </w:rPr>
        <w:t>Work with our representative institutions to provide training for indigenous women to pursue economic opportunities of their choice and fund indigenous women’s groups to manage business ventures in their villages.</w:t>
      </w:r>
    </w:p>
    <w:p>
      <w:pPr>
        <w:numPr>
          <w:ilvl w:val="0"/>
          <w:numId w:val="2"/>
        </w:numPr>
        <w:rPr>
          <w:rFonts w:ascii="Calibri" w:hAnsi="Calibri" w:eastAsia="Nunito" w:cs="Calibri"/>
          <w:b/>
        </w:rPr>
      </w:pPr>
      <w:r>
        <w:rPr>
          <w:rFonts w:ascii="Calibri" w:hAnsi="Calibri" w:eastAsia="Nunito" w:cs="Calibri"/>
          <w:b/>
        </w:rPr>
        <w:t>Provide access to benefits and welfare such as childcare benefits and food stamps to support mothers in providing for their families.</w:t>
      </w:r>
    </w:p>
    <w:p>
      <w:pPr>
        <w:numPr>
          <w:ilvl w:val="0"/>
          <w:numId w:val="2"/>
        </w:numPr>
        <w:rPr>
          <w:rFonts w:ascii="Calibri" w:hAnsi="Calibri" w:eastAsia="Nunito" w:cs="Calibri"/>
          <w:b/>
        </w:rPr>
      </w:pPr>
      <w:r>
        <w:rPr>
          <w:rFonts w:ascii="Calibri" w:hAnsi="Calibri" w:eastAsia="Nunito" w:cs="Calibri"/>
          <w:b/>
        </w:rPr>
        <w:t xml:space="preserve">With our effective participation, create a loan program specifically for indigenous peoples that includes a gender mainstreaming strategy, provides alternatives to collateral requirements, and accepts alternative forms of identification. </w:t>
      </w:r>
    </w:p>
    <w:p>
      <w:pPr>
        <w:pStyle w:val="4"/>
        <w:rPr>
          <w:rFonts w:ascii="Calibri" w:hAnsi="Calibri" w:eastAsia="Nunito" w:cs="Calibri"/>
          <w:b/>
        </w:rPr>
      </w:pPr>
      <w:bookmarkStart w:id="5" w:name="_Toc12772735"/>
      <w:r>
        <w:rPr>
          <w:rFonts w:ascii="Calibri" w:hAnsi="Calibri" w:cs="Calibri"/>
        </w:rPr>
        <w:t>Article 12: Healthcare and Family Planning</w:t>
      </w:r>
      <w:bookmarkEnd w:id="5"/>
    </w:p>
    <w:p>
      <w:pPr>
        <w:pStyle w:val="5"/>
        <w:rPr>
          <w:rFonts w:ascii="Calibri" w:hAnsi="Calibri" w:eastAsia="Nunito" w:cs="Calibri"/>
        </w:rPr>
      </w:pPr>
      <w:bookmarkStart w:id="6" w:name="_Toc12772736"/>
      <w:r>
        <w:rPr>
          <w:rFonts w:ascii="Calibri" w:hAnsi="Calibri" w:cs="Calibri"/>
        </w:rPr>
        <w:t>Inadequate Healthcare Infrastructure in Indigenous Communities</w:t>
      </w:r>
      <w:bookmarkEnd w:id="6"/>
    </w:p>
    <w:p>
      <w:pPr>
        <w:rPr>
          <w:rFonts w:ascii="Calibri" w:hAnsi="Calibri" w:eastAsia="Nunito" w:cs="Calibri"/>
        </w:rPr>
      </w:pPr>
      <w:r>
        <w:rPr>
          <w:rFonts w:ascii="Calibri" w:hAnsi="Calibri" w:eastAsia="Nunito" w:cs="Calibri"/>
        </w:rPr>
        <w:t xml:space="preserve">The GoG has failed to provide adequate healthcare infrastructure in our communities. Health centres are not stocked with necessary medications or properly staffed and are ill-equipped to deal with medical emergencies. There are only two hospitals in our region: the Aishalton District Hospital and the Lethem Hospital. The Aishalton hospital does not have reliable electricity and struggles with lack of medical personnel, and the Lethem hospital is upwards of 100 miles away from some of our villages. Access to specialists and screenings for illnesses is often only available when travelling technical teams visit villages. As a result, many of our women suffer from undiagnosed and untreated cervical and breast cancers, and some of our women have died during childbirth. </w:t>
      </w:r>
    </w:p>
    <w:p>
      <w:pPr>
        <w:rPr>
          <w:rFonts w:ascii="Calibri" w:hAnsi="Calibri" w:eastAsia="Nunito" w:cs="Calibri"/>
        </w:rPr>
      </w:pPr>
    </w:p>
    <w:p>
      <w:pPr>
        <w:rPr>
          <w:rFonts w:ascii="Calibri" w:hAnsi="Calibri" w:eastAsia="Nunito" w:cs="Calibri"/>
        </w:rPr>
      </w:pPr>
      <w:r>
        <w:rPr>
          <w:rFonts w:ascii="Calibri" w:hAnsi="Calibri" w:eastAsia="Nunito" w:cs="Calibri"/>
        </w:rPr>
        <w:t>We disagree with the GoG’s claim that it is difficult to provide health infrastructure in villages due to the “transient culture” of indigenous peoples</w:t>
      </w:r>
      <w:r>
        <w:rPr>
          <w:rFonts w:ascii="Calibri" w:hAnsi="Calibri" w:eastAsia="Nunito" w:cs="Calibri"/>
          <w:vertAlign w:val="superscript"/>
        </w:rPr>
        <w:footnoteReference w:id="22"/>
      </w:r>
      <w:r>
        <w:rPr>
          <w:rFonts w:ascii="Calibri" w:hAnsi="Calibri" w:eastAsia="Nunito" w:cs="Calibri"/>
        </w:rPr>
        <w:t>. While indigenous peoples may move across our territory and establish new villages, we are not a nomadic people and effective consultations with our communities would enable the GoG to identify the best locations for new facilities. Many of our people also seek to enroll in nurse training programs to address personnel shortages in our communities, but are frequently rejected.</w:t>
      </w:r>
    </w:p>
    <w:p>
      <w:pPr>
        <w:rPr>
          <w:rFonts w:ascii="Calibri" w:hAnsi="Calibri" w:eastAsia="Nunito" w:cs="Calibri"/>
        </w:rPr>
      </w:pPr>
    </w:p>
    <w:p>
      <w:pPr>
        <w:rPr>
          <w:rFonts w:ascii="Calibri" w:hAnsi="Calibri" w:eastAsia="Nunito" w:cs="Calibri"/>
        </w:rPr>
      </w:pPr>
      <w:r>
        <w:rPr>
          <w:rFonts w:ascii="Calibri" w:hAnsi="Calibri" w:eastAsia="Nunito" w:cs="Calibri"/>
        </w:rPr>
        <w:t xml:space="preserve">Access to reproductive health care is particularly difficult, due to inadequately trained community workers, limited birth control options, inadequate stocks of birth control supplies in health centres, and religious stigma. </w:t>
      </w:r>
    </w:p>
    <w:p>
      <w:pPr>
        <w:pStyle w:val="5"/>
        <w:rPr>
          <w:rFonts w:ascii="Calibri" w:hAnsi="Calibri" w:cs="Calibri"/>
        </w:rPr>
      </w:pPr>
      <w:bookmarkStart w:id="7" w:name="_Toc12772737"/>
      <w:r>
        <w:rPr>
          <w:rFonts w:ascii="Calibri" w:hAnsi="Calibri" w:cs="Calibri"/>
        </w:rPr>
        <w:t>Adverse Health Impacts of Mining</w:t>
      </w:r>
      <w:bookmarkEnd w:id="7"/>
    </w:p>
    <w:p>
      <w:pPr>
        <w:rPr>
          <w:rFonts w:ascii="Calibri" w:hAnsi="Calibri" w:eastAsia="Nunito" w:cs="Calibri"/>
        </w:rPr>
      </w:pPr>
      <w:r>
        <w:rPr>
          <w:rFonts w:ascii="Calibri" w:hAnsi="Calibri" w:eastAsia="Nunito" w:cs="Calibri"/>
        </w:rPr>
        <w:t>Mining activities disproportionately affect indigenous communities and correspondingly, our health.</w:t>
      </w:r>
      <w:r>
        <w:rPr>
          <w:rFonts w:ascii="Calibri" w:hAnsi="Calibri" w:eastAsia="Nunito" w:cs="Calibri"/>
          <w:vertAlign w:val="superscript"/>
        </w:rPr>
        <w:footnoteReference w:id="23"/>
      </w:r>
      <w:r>
        <w:rPr>
          <w:rFonts w:ascii="Calibri" w:hAnsi="Calibri" w:eastAsia="Nunito" w:cs="Calibri"/>
        </w:rPr>
        <w:t xml:space="preserve"> Due to poor mining waste management practices, stagnant water becomes a breeding ground for mosquitoes that transmit malaria, which can be passed down from pregnant mothers to babies. Further, the prevalence of mercury use in mining has led to unhealthy mercury levels in our bodies, which threatens developing fetuses with severe neurological damage.</w:t>
      </w:r>
      <w:r>
        <w:rPr>
          <w:rFonts w:ascii="Calibri" w:hAnsi="Calibri" w:eastAsia="Nunito" w:cs="Calibri"/>
          <w:vertAlign w:val="superscript"/>
        </w:rPr>
        <w:footnoteReference w:id="24"/>
      </w:r>
      <w:r>
        <w:rPr>
          <w:rFonts w:ascii="Calibri" w:hAnsi="Calibri" w:eastAsia="Nunito" w:cs="Calibri"/>
        </w:rPr>
        <w:t xml:space="preserve"> Most recently, the GoG’s unreasonable delay in responding to our requests for wells to be installed in Parabara Village—where the creeks and rivers that residents depend on are likely to cause malaria and continued mercury poisoning—means that the community continues to have no accessible, safe drinking water.</w:t>
      </w:r>
    </w:p>
    <w:p>
      <w:pPr>
        <w:rPr>
          <w:rFonts w:ascii="Calibri" w:hAnsi="Calibri" w:eastAsia="Nunito" w:cs="Calibri"/>
        </w:rPr>
      </w:pPr>
      <w:r>
        <w:rPr>
          <w:rFonts w:ascii="Calibri" w:hAnsi="Calibri" w:eastAsia="Nunito" w:cs="Calibri"/>
        </w:rPr>
        <w:t xml:space="preserve"> </w:t>
      </w:r>
    </w:p>
    <w:p>
      <w:pPr>
        <w:rPr>
          <w:rFonts w:ascii="Calibri" w:hAnsi="Calibri" w:eastAsia="Nunito" w:cs="Calibri"/>
        </w:rPr>
      </w:pPr>
      <w:r>
        <w:rPr>
          <w:rFonts w:ascii="Calibri" w:hAnsi="Calibri" w:eastAsia="Nunito" w:cs="Calibri"/>
        </w:rPr>
        <w:t>The impacts of mining and climate change have resulted in lower crop yields, making us more dependent on food from outside our communities. This change in diet combined with a lack of education on nutrition leads to poor health among indigenous women, who experience high levels of chronic diseases, including diabetes and hypertension.</w:t>
      </w:r>
    </w:p>
    <w:p>
      <w:pPr>
        <w:rPr>
          <w:rFonts w:ascii="Calibri" w:hAnsi="Calibri" w:eastAsia="Nunito" w:cs="Calibri"/>
        </w:rPr>
      </w:pPr>
    </w:p>
    <w:p>
      <w:pPr>
        <w:rPr>
          <w:rFonts w:ascii="Calibri" w:hAnsi="Calibri" w:eastAsia="Nunito" w:cs="Calibri"/>
        </w:rPr>
      </w:pPr>
      <w:r>
        <w:rPr>
          <w:rFonts w:ascii="Calibri" w:hAnsi="Calibri" w:eastAsia="Nunito" w:cs="Calibri"/>
        </w:rPr>
        <w:t xml:space="preserve">There is also increased drug and alcohol abuse, which spreads from the mining camps to our communities, especially our youth. This impacts our women, who are expected to manage problems within the home, particularly when the men are away fishing and hunting. The GoG does not provide access to services and support to help navigate the complexities of addiction and there are few to no psychological services available in Wapichan communities. </w:t>
      </w:r>
    </w:p>
    <w:p>
      <w:pPr>
        <w:rPr>
          <w:rFonts w:ascii="Calibri" w:hAnsi="Calibri" w:eastAsia="Nunito" w:cs="Calibri"/>
        </w:rPr>
      </w:pPr>
    </w:p>
    <w:p>
      <w:pPr>
        <w:rPr>
          <w:rFonts w:ascii="Calibri" w:hAnsi="Calibri" w:eastAsia="Nunito" w:cs="Calibri"/>
        </w:rPr>
      </w:pPr>
      <w:r>
        <w:rPr>
          <w:rFonts w:ascii="Calibri" w:hAnsi="Calibri" w:eastAsia="Nunito" w:cs="Calibri"/>
        </w:rPr>
        <w:t xml:space="preserve">As more men go to work in the mines and spend money on prostitution, the levels of sexually transmitted infections and HIV have increased within our communities. The GoG has failed to regulate sex work in the mines and to raise awareness within our communities about the risks of unprotected sex (see also Appendix: Article 6). Mining has also contributed to teenage pregnancies in our communities, as miners enter our titled lands--without respect for village authority or village residents and without reporting to community leaders--and take advantage of our teenage girls. </w:t>
      </w:r>
    </w:p>
    <w:p>
      <w:pPr>
        <w:rPr>
          <w:rFonts w:ascii="Calibri" w:hAnsi="Calibri" w:eastAsia="Nunito" w:cs="Calibri"/>
        </w:rPr>
      </w:pPr>
    </w:p>
    <w:p>
      <w:pPr>
        <w:rPr>
          <w:rFonts w:ascii="Calibri" w:hAnsi="Calibri" w:eastAsia="Nunito" w:cs="Calibri"/>
        </w:rPr>
      </w:pPr>
      <w:r>
        <w:rPr>
          <w:rFonts w:ascii="Calibri" w:hAnsi="Calibri" w:eastAsia="Nunito" w:cs="Calibri"/>
        </w:rPr>
        <w:t>These issues are not addressed in a draft environmental and social impact assessment (ESIA) prepared for the mining concession held by a foreign-owned mining company</w:t>
      </w:r>
      <w:r>
        <w:rPr>
          <w:rFonts w:ascii="Calibri" w:hAnsi="Calibri" w:eastAsia="Nunito" w:cs="Calibri"/>
          <w:vertAlign w:val="superscript"/>
        </w:rPr>
        <w:footnoteReference w:id="25"/>
      </w:r>
      <w:r>
        <w:rPr>
          <w:rFonts w:ascii="Calibri" w:hAnsi="Calibri" w:eastAsia="Nunito" w:cs="Calibri"/>
        </w:rPr>
        <w:t xml:space="preserve"> on Marudi Mountain in our territory. We were not properly consulted in the course of the ESIA and remain concerned that should the ESIA be approved and the mining company be granted the authorisation to mine, these problems may worsen. </w:t>
      </w:r>
    </w:p>
    <w:p>
      <w:pPr>
        <w:rPr>
          <w:rFonts w:ascii="Calibri" w:hAnsi="Calibri" w:eastAsia="Nunito" w:cs="Calibri"/>
        </w:rPr>
      </w:pPr>
    </w:p>
    <w:p>
      <w:pPr>
        <w:rPr>
          <w:rFonts w:ascii="Calibri" w:hAnsi="Calibri" w:eastAsia="Nunito" w:cs="Calibri"/>
          <w:b/>
        </w:rPr>
      </w:pPr>
      <w:r>
        <w:rPr>
          <w:rFonts w:ascii="Calibri" w:hAnsi="Calibri" w:eastAsia="Nunito" w:cs="Calibri"/>
          <w:b/>
        </w:rPr>
        <w:t xml:space="preserve">Recommendations to the GoG: </w:t>
      </w:r>
    </w:p>
    <w:p>
      <w:pPr>
        <w:numPr>
          <w:ilvl w:val="0"/>
          <w:numId w:val="3"/>
        </w:numPr>
        <w:rPr>
          <w:rFonts w:ascii="Calibri" w:hAnsi="Calibri" w:eastAsia="Nunito" w:cs="Calibri"/>
          <w:b/>
        </w:rPr>
      </w:pPr>
      <w:r>
        <w:rPr>
          <w:rFonts w:ascii="Calibri" w:hAnsi="Calibri" w:eastAsia="Nunito" w:cs="Calibri"/>
          <w:b/>
        </w:rPr>
        <w:t>Consult with indigenous women through our representative institutions regarding the best system for effective delivery of medical services. In accordance with the Committee’s previous recommendation,</w:t>
      </w:r>
      <w:r>
        <w:rPr>
          <w:rFonts w:ascii="Calibri" w:hAnsi="Calibri" w:eastAsia="Nunito" w:cs="Calibri"/>
          <w:b/>
          <w:vertAlign w:val="superscript"/>
        </w:rPr>
        <w:footnoteReference w:id="26"/>
      </w:r>
      <w:r>
        <w:rPr>
          <w:rFonts w:ascii="Calibri" w:hAnsi="Calibri" w:eastAsia="Nunito" w:cs="Calibri"/>
          <w:b/>
        </w:rPr>
        <w:t xml:space="preserve"> offer consistent access to resources, including culturally competent doctors and nurses, equipment, services, medications, and birth control, within communities.</w:t>
      </w:r>
    </w:p>
    <w:p>
      <w:pPr>
        <w:numPr>
          <w:ilvl w:val="0"/>
          <w:numId w:val="3"/>
        </w:numPr>
        <w:rPr>
          <w:rFonts w:ascii="Calibri" w:hAnsi="Calibri" w:eastAsia="Nunito" w:cs="Calibri"/>
          <w:b/>
        </w:rPr>
      </w:pPr>
      <w:r>
        <w:rPr>
          <w:rFonts w:ascii="Calibri" w:hAnsi="Calibri" w:eastAsia="Nunito" w:cs="Calibri"/>
          <w:b/>
        </w:rPr>
        <w:t xml:space="preserve">Develop, with our effective participation, culturally competent programs and education on health, nutrition, wellbeing, and teenage pregnancy, and support the SRDC to monitor the programs’ efficacy through data collection.  </w:t>
      </w:r>
    </w:p>
    <w:p>
      <w:pPr>
        <w:numPr>
          <w:ilvl w:val="0"/>
          <w:numId w:val="3"/>
        </w:numPr>
        <w:rPr>
          <w:rFonts w:ascii="Calibri" w:hAnsi="Calibri" w:eastAsia="Nunito" w:cs="Calibri"/>
          <w:b/>
        </w:rPr>
      </w:pPr>
      <w:r>
        <w:rPr>
          <w:rFonts w:ascii="Calibri" w:hAnsi="Calibri" w:eastAsia="Nunito" w:cs="Calibri"/>
          <w:b/>
        </w:rPr>
        <w:t>Set up a mandatory consultation mechanism to seek our FPIC regarding the use of our traditional lands</w:t>
      </w:r>
      <w:r>
        <w:rPr>
          <w:rFonts w:ascii="Calibri" w:hAnsi="Calibri" w:eastAsia="Nunito" w:cs="Calibri"/>
          <w:b/>
          <w:vertAlign w:val="superscript"/>
        </w:rPr>
        <w:footnoteReference w:id="27"/>
      </w:r>
      <w:r>
        <w:rPr>
          <w:rFonts w:ascii="Calibri" w:hAnsi="Calibri" w:eastAsia="Nunito" w:cs="Calibri"/>
          <w:b/>
        </w:rPr>
        <w:t xml:space="preserve"> and to understand the harmful impacts of mining on our communities.  Enforce existing mining and environmental laws, and work with the SRDC to develop a system to authorize us to enforce some of these laws ourselves, to prevent further destruction of our rivers and environment.</w:t>
      </w:r>
    </w:p>
    <w:p>
      <w:pPr>
        <w:numPr>
          <w:ilvl w:val="0"/>
          <w:numId w:val="3"/>
        </w:numPr>
        <w:rPr>
          <w:rFonts w:ascii="Calibri" w:hAnsi="Calibri" w:eastAsia="Nunito" w:cs="Calibri"/>
          <w:b/>
        </w:rPr>
      </w:pPr>
      <w:r>
        <w:rPr>
          <w:rFonts w:ascii="Calibri" w:hAnsi="Calibri" w:eastAsia="Nunito" w:cs="Calibri"/>
          <w:b/>
        </w:rPr>
        <w:t>Implement the Committee on the Elimination of Racial Discrimination’s recommendation to revoke the draft ESIA for the mining project on Marudi Mountain and require a new ESIA that involves our full participation.</w:t>
      </w:r>
      <w:r>
        <w:rPr>
          <w:rFonts w:ascii="Calibri" w:hAnsi="Calibri" w:eastAsia="Nunito" w:cs="Calibri"/>
          <w:b/>
          <w:vertAlign w:val="superscript"/>
        </w:rPr>
        <w:footnoteReference w:id="28"/>
      </w:r>
    </w:p>
    <w:p>
      <w:pPr>
        <w:numPr>
          <w:ilvl w:val="0"/>
          <w:numId w:val="3"/>
        </w:numPr>
        <w:rPr>
          <w:rFonts w:ascii="Calibri" w:hAnsi="Calibri" w:eastAsia="Nunito" w:cs="Calibri"/>
          <w:b/>
        </w:rPr>
      </w:pPr>
      <w:r>
        <w:rPr>
          <w:rFonts w:ascii="Calibri" w:hAnsi="Calibri" w:eastAsia="Nunito" w:cs="Calibri"/>
          <w:b/>
        </w:rPr>
        <w:t>Establish a mechanism to regulate the activities of foreign-owned private mining companies and monitor their compliance with legislation and the advancement of women’s rights.</w:t>
      </w:r>
      <w:r>
        <w:rPr>
          <w:rFonts w:ascii="Calibri" w:hAnsi="Calibri" w:eastAsia="Nunito" w:cs="Calibri"/>
          <w:b/>
          <w:vertAlign w:val="superscript"/>
        </w:rPr>
        <w:footnoteReference w:id="29"/>
      </w:r>
    </w:p>
    <w:p>
      <w:pPr>
        <w:pStyle w:val="4"/>
        <w:rPr>
          <w:rFonts w:ascii="Calibri" w:hAnsi="Calibri" w:cs="Calibri"/>
        </w:rPr>
      </w:pPr>
      <w:bookmarkStart w:id="8" w:name="_Toc12772738"/>
      <w:r>
        <w:rPr>
          <w:rFonts w:ascii="Calibri" w:hAnsi="Calibri" w:cs="Calibri"/>
        </w:rPr>
        <w:t>Article 16: Marriage and Family Life / GR 19: Violence Against Women</w:t>
      </w:r>
      <w:bookmarkEnd w:id="8"/>
    </w:p>
    <w:p>
      <w:pPr>
        <w:rPr>
          <w:rFonts w:ascii="Calibri" w:hAnsi="Calibri" w:eastAsia="Nunito" w:cs="Calibri"/>
        </w:rPr>
      </w:pPr>
      <w:r>
        <w:rPr>
          <w:rFonts w:ascii="Calibri" w:hAnsi="Calibri" w:eastAsia="Nunito" w:cs="Calibri"/>
        </w:rPr>
        <w:t xml:space="preserve">Domestic violence (“DV”), particularly violence against women, remains a significant problem in our communities. Existing DV laws are not enforced, survivors lack access to support services, and our communities lack information, education, and training on issues surrounding DV. Without an understanding of the laws that protect them, survivors are denied access to justice. This lack of information and a distrust of the police means that DV often goes unreported, skewing the data on the prevalence of gender-based violence. </w:t>
      </w:r>
    </w:p>
    <w:p>
      <w:pPr>
        <w:rPr>
          <w:rFonts w:ascii="Calibri" w:hAnsi="Calibri" w:eastAsia="Nunito" w:cs="Calibri"/>
        </w:rPr>
      </w:pPr>
    </w:p>
    <w:p>
      <w:pPr>
        <w:rPr>
          <w:rFonts w:ascii="Calibri" w:hAnsi="Calibri" w:eastAsia="Nunito" w:cs="Calibri"/>
        </w:rPr>
      </w:pPr>
      <w:r>
        <w:rPr>
          <w:rFonts w:ascii="Calibri" w:hAnsi="Calibri" w:eastAsia="Nunito" w:cs="Calibri"/>
        </w:rPr>
        <w:t>Our villages require training and support to effectively address DV within our communities, as well as additional resources to support survivors and women seeking to leave abusive homes. Our requests for the GoG to train police officers and social welfare workers on appropriately supporting survivors have gone unmet, and the GoG has not consulted our villages on any plans to address DV.</w:t>
      </w:r>
    </w:p>
    <w:p>
      <w:pPr>
        <w:rPr>
          <w:rFonts w:ascii="Calibri" w:hAnsi="Calibri" w:eastAsia="Nunito" w:cs="Calibri"/>
        </w:rPr>
      </w:pPr>
    </w:p>
    <w:p>
      <w:pPr>
        <w:rPr>
          <w:rFonts w:ascii="Calibri" w:hAnsi="Calibri" w:eastAsia="Nunito" w:cs="Calibri"/>
          <w:highlight w:val="yellow"/>
        </w:rPr>
      </w:pPr>
      <w:r>
        <w:rPr>
          <w:rFonts w:ascii="Calibri" w:hAnsi="Calibri" w:eastAsia="Nunito" w:cs="Calibri"/>
        </w:rPr>
        <w:t>The GoG identified alcohol abuse and poverty as two root causes of gender-based violence.</w:t>
      </w:r>
      <w:r>
        <w:rPr>
          <w:rFonts w:ascii="Calibri" w:hAnsi="Calibri" w:eastAsia="Nunito" w:cs="Calibri"/>
          <w:vertAlign w:val="superscript"/>
        </w:rPr>
        <w:footnoteReference w:id="30"/>
      </w:r>
      <w:r>
        <w:rPr>
          <w:rFonts w:ascii="Calibri" w:hAnsi="Calibri" w:eastAsia="Nunito" w:cs="Calibri"/>
        </w:rPr>
        <w:t xml:space="preserve"> Although we have observed mining lead to increased alcohol consumption, separation of families, and a shift away from our traditional subsistence economies, the GoG has failed to acknowledge and address the impacts of mining on alcohol abuse, poverty, and DV within our communities. </w:t>
      </w:r>
    </w:p>
    <w:p>
      <w:pPr>
        <w:rPr>
          <w:rFonts w:ascii="Calibri" w:hAnsi="Calibri" w:eastAsia="Nunito" w:cs="Calibri"/>
        </w:rPr>
      </w:pPr>
    </w:p>
    <w:p>
      <w:pPr>
        <w:rPr>
          <w:rFonts w:ascii="Calibri" w:hAnsi="Calibri" w:eastAsia="Nunito" w:cs="Calibri"/>
        </w:rPr>
      </w:pPr>
      <w:r>
        <w:rPr>
          <w:rFonts w:ascii="Calibri" w:hAnsi="Calibri" w:eastAsia="Nunito" w:cs="Calibri"/>
        </w:rPr>
        <w:t xml:space="preserve">There has also been a lack of government action to address child sexual abuse and child marriage, which undermines children’s agency and adversely affects their education (see also Appendix: Article 10). There are insufficient awareness raising campaigns to sensitize our communities to these issues or psychological support services for survivors and their families. The government has failed to make relevant laws and information accessible to our communities and in the school curriculum. </w:t>
      </w:r>
    </w:p>
    <w:p>
      <w:pPr>
        <w:rPr>
          <w:rFonts w:ascii="Calibri" w:hAnsi="Calibri" w:eastAsia="Nunito" w:cs="Calibri"/>
        </w:rPr>
      </w:pPr>
    </w:p>
    <w:p>
      <w:pPr>
        <w:rPr>
          <w:rFonts w:ascii="Calibri" w:hAnsi="Calibri" w:eastAsia="Nunito" w:cs="Calibri"/>
          <w:b/>
        </w:rPr>
      </w:pPr>
      <w:r>
        <w:rPr>
          <w:rFonts w:ascii="Calibri" w:hAnsi="Calibri" w:eastAsia="Nunito" w:cs="Calibri"/>
          <w:b/>
        </w:rPr>
        <w:t>Recommendation(s) to the GoG:</w:t>
      </w:r>
    </w:p>
    <w:p>
      <w:pPr>
        <w:numPr>
          <w:ilvl w:val="0"/>
          <w:numId w:val="4"/>
        </w:numPr>
        <w:rPr>
          <w:rFonts w:ascii="Calibri" w:hAnsi="Calibri" w:eastAsia="Nunito" w:cs="Calibri"/>
          <w:b/>
        </w:rPr>
      </w:pPr>
      <w:r>
        <w:rPr>
          <w:rFonts w:ascii="Calibri" w:hAnsi="Calibri" w:eastAsia="Nunito" w:cs="Calibri"/>
          <w:b/>
        </w:rPr>
        <w:t xml:space="preserve">Work with the SRDC and female community leaders to address DV and raise awareness within our communities, and sensitize social welfare and police officers to the issue of abuse, cultural sensitivity, and appropriate responses. </w:t>
      </w:r>
    </w:p>
    <w:p>
      <w:pPr>
        <w:numPr>
          <w:ilvl w:val="0"/>
          <w:numId w:val="4"/>
        </w:numPr>
        <w:rPr>
          <w:rFonts w:ascii="Calibri" w:hAnsi="Calibri" w:eastAsia="Nunito" w:cs="Calibri"/>
          <w:b/>
        </w:rPr>
      </w:pPr>
      <w:r>
        <w:rPr>
          <w:rFonts w:ascii="Calibri" w:hAnsi="Calibri" w:eastAsia="Nunito" w:cs="Calibri"/>
          <w:b/>
        </w:rPr>
        <w:t>Support the SRDC to develop support services, legal aid, and shelters within our communities, including programs that enable survivors to obtain financial independence from abusive partners.</w:t>
      </w:r>
    </w:p>
    <w:p>
      <w:pPr>
        <w:numPr>
          <w:ilvl w:val="0"/>
          <w:numId w:val="4"/>
        </w:numPr>
        <w:rPr>
          <w:rFonts w:ascii="Calibri" w:hAnsi="Calibri" w:cs="Calibri"/>
        </w:rPr>
      </w:pPr>
      <w:r>
        <w:rPr>
          <w:rFonts w:ascii="Calibri" w:hAnsi="Calibri" w:eastAsia="Nunito" w:cs="Calibri"/>
          <w:b/>
        </w:rPr>
        <w:t xml:space="preserve"> In coordination with the SRDC and village councils, incorporate culturally competent sexual and physical abuse awareness programs and education into school curricula, and offer educational workshops to community members on the harmful consequences of child marriage.</w:t>
      </w:r>
      <w:bookmarkStart w:id="9" w:name="_rcx4hsxl60st" w:colFirst="0" w:colLast="0"/>
      <w:bookmarkEnd w:id="9"/>
      <w:r>
        <w:rPr>
          <w:rFonts w:ascii="Calibri" w:hAnsi="Calibri" w:cs="Calibri"/>
        </w:rPr>
        <w:t xml:space="preserve"> </w:t>
      </w:r>
      <w:r>
        <w:rPr>
          <w:rFonts w:ascii="Calibri" w:hAnsi="Calibri" w:cs="Calibri"/>
        </w:rPr>
        <w:br w:type="page"/>
      </w:r>
    </w:p>
    <w:p>
      <w:pPr>
        <w:pStyle w:val="3"/>
        <w:jc w:val="center"/>
        <w:rPr>
          <w:rFonts w:ascii="Calibri" w:hAnsi="Calibri" w:cs="Calibri"/>
        </w:rPr>
      </w:pPr>
      <w:bookmarkStart w:id="10" w:name="_Toc12772739"/>
      <w:r>
        <w:rPr>
          <w:rFonts w:ascii="Calibri" w:hAnsi="Calibri" w:cs="Calibri"/>
        </w:rPr>
        <w:t>Appendix</w:t>
      </w:r>
      <w:bookmarkEnd w:id="10"/>
    </w:p>
    <w:p>
      <w:pPr>
        <w:pStyle w:val="4"/>
        <w:rPr>
          <w:rFonts w:ascii="Calibri" w:hAnsi="Calibri" w:cs="Calibri"/>
        </w:rPr>
      </w:pPr>
      <w:bookmarkStart w:id="11" w:name="_Toc12772740"/>
      <w:r>
        <w:rPr>
          <w:rFonts w:ascii="Calibri" w:hAnsi="Calibri" w:cs="Calibri"/>
        </w:rPr>
        <w:t>Article 6: Trafficking and Prostitution</w:t>
      </w:r>
      <w:bookmarkEnd w:id="11"/>
    </w:p>
    <w:p>
      <w:pPr>
        <w:rPr>
          <w:rFonts w:ascii="Calibri" w:hAnsi="Calibri" w:eastAsia="Nunito" w:cs="Calibri"/>
        </w:rPr>
      </w:pPr>
      <w:r>
        <w:rPr>
          <w:rFonts w:ascii="Calibri" w:hAnsi="Calibri" w:eastAsia="Nunito" w:cs="Calibri"/>
        </w:rPr>
        <w:t>The GoG has not focused sufficiently on empowering local communities to address issues related to trafficking and prostitution. The main cause of these issues is unregulated mining in our territory.</w:t>
      </w:r>
      <w:r>
        <w:rPr>
          <w:rFonts w:ascii="Calibri" w:hAnsi="Calibri" w:eastAsia="Nunito" w:cs="Calibri"/>
          <w:vertAlign w:val="superscript"/>
        </w:rPr>
        <w:footnoteReference w:id="31"/>
      </w:r>
      <w:r>
        <w:rPr>
          <w:rFonts w:ascii="Calibri" w:hAnsi="Calibri" w:eastAsia="Nunito" w:cs="Calibri"/>
        </w:rPr>
        <w:t xml:space="preserve"> Our women become vulnerable to trafficking and prostitution because of the lack of opportunities for women (see comments under Articles 11, 13); lack of education (see comments under Article 10); and financial insecurity. For example, labour trafficking occurs when women are misled by the promise of employment within mining camps, and are later underpaid or not paid at all, with no available redress.  </w:t>
      </w:r>
    </w:p>
    <w:p>
      <w:pPr>
        <w:rPr>
          <w:rFonts w:ascii="Calibri" w:hAnsi="Calibri" w:eastAsia="Nunito" w:cs="Calibri"/>
        </w:rPr>
      </w:pPr>
    </w:p>
    <w:p>
      <w:pPr>
        <w:rPr>
          <w:rFonts w:ascii="Calibri" w:hAnsi="Calibri" w:eastAsia="Nunito" w:cs="Calibri"/>
        </w:rPr>
      </w:pPr>
      <w:r>
        <w:rPr>
          <w:rFonts w:ascii="Calibri" w:hAnsi="Calibri" w:eastAsia="Nunito" w:cs="Calibri"/>
        </w:rPr>
        <w:t>Most of the services the GoG states it has established for victims of trafficking</w:t>
      </w:r>
      <w:r>
        <w:rPr>
          <w:rFonts w:ascii="Calibri" w:hAnsi="Calibri" w:eastAsia="Nunito" w:cs="Calibri"/>
          <w:vertAlign w:val="superscript"/>
        </w:rPr>
        <w:footnoteReference w:id="32"/>
      </w:r>
      <w:r>
        <w:rPr>
          <w:rFonts w:ascii="Calibri" w:hAnsi="Calibri" w:eastAsia="Nunito" w:cs="Calibri"/>
        </w:rPr>
        <w:t xml:space="preserve"> are inaccessible from our communities and do not have culturally competent service providers. Although one of our constituent villages requested a social worker or welfare officer to be placed in the South Rupununi, no such support has been made available.</w:t>
      </w:r>
    </w:p>
    <w:p>
      <w:pPr>
        <w:rPr>
          <w:rFonts w:ascii="Calibri" w:hAnsi="Calibri" w:eastAsia="Nunito" w:cs="Calibri"/>
        </w:rPr>
      </w:pPr>
    </w:p>
    <w:p>
      <w:pPr>
        <w:rPr>
          <w:rFonts w:ascii="Calibri" w:hAnsi="Calibri" w:eastAsia="Nunito" w:cs="Calibri"/>
        </w:rPr>
      </w:pPr>
      <w:r>
        <w:rPr>
          <w:rFonts w:ascii="Calibri" w:hAnsi="Calibri" w:eastAsia="Nunito" w:cs="Calibri"/>
        </w:rPr>
        <w:t>We are unaware of any GoG program to address the links between mining activities and trafficking and prostitution. The mining at Marudi Mountain—a sacred site for the Wapichan people—has had social impacts on our communities, including prostitution of young Wapichan women in the mining camps, increasing levels of sexually transmitted infections and teenage pregnancies.</w:t>
      </w:r>
      <w:r>
        <w:rPr>
          <w:rFonts w:ascii="Calibri" w:hAnsi="Calibri" w:eastAsia="Nunito" w:cs="Calibri"/>
          <w:vertAlign w:val="superscript"/>
        </w:rPr>
        <w:footnoteReference w:id="33"/>
      </w:r>
      <w:r>
        <w:rPr>
          <w:rFonts w:ascii="Calibri" w:hAnsi="Calibri" w:eastAsia="Nunito" w:cs="Calibri"/>
        </w:rPr>
        <w:t xml:space="preserve"> When our youth go to the mining sites, they are influenced by the idea of making money and lose their connection to our sacred land and families. </w:t>
      </w:r>
    </w:p>
    <w:p>
      <w:pPr>
        <w:rPr>
          <w:rFonts w:ascii="Calibri" w:hAnsi="Calibri" w:eastAsia="Nunito" w:cs="Calibri"/>
        </w:rPr>
      </w:pPr>
    </w:p>
    <w:p>
      <w:pPr>
        <w:rPr>
          <w:rFonts w:ascii="Calibri" w:hAnsi="Calibri" w:eastAsia="Nunito" w:cs="Calibri"/>
        </w:rPr>
      </w:pPr>
      <w:r>
        <w:rPr>
          <w:rFonts w:ascii="Calibri" w:hAnsi="Calibri" w:eastAsia="Nunito" w:cs="Calibri"/>
        </w:rPr>
        <w:t>The SRDC was not involved in the GoG trainings on counter-trafficking that included indigenous participants.</w:t>
      </w:r>
      <w:r>
        <w:rPr>
          <w:rFonts w:ascii="Calibri" w:hAnsi="Calibri" w:eastAsia="Nunito" w:cs="Calibri"/>
          <w:vertAlign w:val="superscript"/>
        </w:rPr>
        <w:footnoteReference w:id="34"/>
      </w:r>
      <w:r>
        <w:rPr>
          <w:rFonts w:ascii="Calibri" w:hAnsi="Calibri" w:eastAsia="Nunito" w:cs="Calibri"/>
        </w:rPr>
        <w:t xml:space="preserve"> When the GoG does invite indigenous participants, the trainings are rushed and seem to be focused on fulfilling an “indigenous participation” requirement rather than promoting community learning.</w:t>
      </w:r>
      <w:r>
        <w:rPr>
          <w:rStyle w:val="21"/>
          <w:rFonts w:ascii="Calibri" w:hAnsi="Calibri" w:eastAsia="Nunito" w:cs="Calibri"/>
        </w:rPr>
        <w:footnoteReference w:id="35"/>
      </w:r>
      <w:r>
        <w:rPr>
          <w:rFonts w:ascii="Calibri" w:hAnsi="Calibri" w:eastAsia="Nunito" w:cs="Calibri"/>
        </w:rPr>
        <w:t xml:space="preserve"> We are also denied resources necessary to bring back what we have learned to our communities and without prior capacity building, we are unable to properly address these complex issues.</w:t>
      </w:r>
    </w:p>
    <w:p>
      <w:pPr>
        <w:rPr>
          <w:rFonts w:ascii="Calibri" w:hAnsi="Calibri" w:eastAsia="Nunito" w:cs="Calibri"/>
          <w:b/>
        </w:rPr>
      </w:pPr>
      <w:r>
        <w:rPr>
          <w:rFonts w:ascii="Calibri" w:hAnsi="Calibri" w:eastAsia="Nunito" w:cs="Calibri"/>
          <w:b/>
        </w:rPr>
        <w:t>Recommendation(s) to the GoG:</w:t>
      </w:r>
    </w:p>
    <w:p>
      <w:pPr>
        <w:rPr>
          <w:rFonts w:ascii="Calibri" w:hAnsi="Calibri" w:eastAsia="Nunito" w:cs="Calibri"/>
          <w:b/>
        </w:rPr>
      </w:pPr>
    </w:p>
    <w:p>
      <w:pPr>
        <w:numPr>
          <w:ilvl w:val="0"/>
          <w:numId w:val="5"/>
        </w:numPr>
        <w:rPr>
          <w:rFonts w:ascii="Calibri" w:hAnsi="Calibri" w:eastAsia="Nunito" w:cs="Calibri"/>
          <w:b/>
          <w:color w:val="000000"/>
        </w:rPr>
      </w:pPr>
      <w:r>
        <w:rPr>
          <w:rFonts w:ascii="Calibri" w:hAnsi="Calibri" w:eastAsia="Nunito" w:cs="Calibri"/>
          <w:b/>
        </w:rPr>
        <w:t xml:space="preserve">Collaborate with the SRDC to provide ongoing trainings and workshops within our communities, which address the root causes of and the risks of trafficking and prostitution. </w:t>
      </w:r>
    </w:p>
    <w:p>
      <w:pPr>
        <w:numPr>
          <w:ilvl w:val="0"/>
          <w:numId w:val="5"/>
        </w:numPr>
        <w:rPr>
          <w:rFonts w:ascii="Calibri" w:hAnsi="Calibri" w:eastAsia="Nunito" w:cs="Calibri"/>
          <w:b/>
          <w:color w:val="000000"/>
        </w:rPr>
      </w:pPr>
      <w:r>
        <w:rPr>
          <w:rFonts w:ascii="Calibri" w:hAnsi="Calibri" w:eastAsia="Nunito" w:cs="Calibri"/>
          <w:b/>
        </w:rPr>
        <w:t>Work with a Wapichan translator from the WWA to produce translated information that can be circulated within our communities, to ensure that community members can understand the trainings.</w:t>
      </w:r>
    </w:p>
    <w:p>
      <w:pPr>
        <w:pStyle w:val="4"/>
        <w:rPr>
          <w:rFonts w:ascii="Calibri" w:hAnsi="Calibri" w:cs="Calibri"/>
        </w:rPr>
      </w:pPr>
      <w:bookmarkStart w:id="12" w:name="_Toc12772741"/>
      <w:r>
        <w:rPr>
          <w:rFonts w:ascii="Calibri" w:hAnsi="Calibri" w:cs="Calibri"/>
        </w:rPr>
        <w:t>Articles 7-8: Political and Public Life and International Participation</w:t>
      </w:r>
      <w:bookmarkEnd w:id="12"/>
    </w:p>
    <w:p>
      <w:pPr>
        <w:rPr>
          <w:rFonts w:ascii="Calibri" w:hAnsi="Calibri" w:eastAsia="Nunito" w:cs="Calibri"/>
          <w:sz w:val="24"/>
          <w:szCs w:val="24"/>
          <w:highlight w:val="yellow"/>
        </w:rPr>
      </w:pPr>
    </w:p>
    <w:p>
      <w:pPr>
        <w:rPr>
          <w:rFonts w:ascii="Calibri" w:hAnsi="Calibri" w:eastAsia="Nunito" w:cs="Calibri"/>
        </w:rPr>
      </w:pPr>
      <w:r>
        <w:rPr>
          <w:rFonts w:ascii="Calibri" w:hAnsi="Calibri" w:eastAsia="Nunito" w:cs="Calibri"/>
        </w:rPr>
        <w:t xml:space="preserve">The GoG should increase efforts to ensure the equal representation and participation of indigenous women in public and political life, at the local, national and international levels. Indigenous women remain severely underrepresented at all levels of Guyanese politics as a result of gender stereotypes (see comments under Articles 1-5) and family responsibilities, which continue to hinder women’s participation. Further, women’s access to government agencies and civil society organizations is limited because most do not have a presence in remote indigenous communities. </w:t>
      </w:r>
    </w:p>
    <w:p>
      <w:pPr>
        <w:rPr>
          <w:rFonts w:ascii="Calibri" w:hAnsi="Calibri" w:eastAsia="Nunito" w:cs="Calibri"/>
        </w:rPr>
      </w:pPr>
    </w:p>
    <w:p>
      <w:pPr>
        <w:rPr>
          <w:rFonts w:ascii="Calibri" w:hAnsi="Calibri" w:eastAsia="Nunito" w:cs="Calibri"/>
        </w:rPr>
      </w:pPr>
      <w:r>
        <w:rPr>
          <w:rFonts w:ascii="Calibri" w:hAnsi="Calibri" w:eastAsia="Nunito" w:cs="Calibri"/>
        </w:rPr>
        <w:t>The GoG provides inadequate opportunities for indigenous women to participate in decision-making that influences government policies and programs. Programs are generally imposed on our communities without any opportunities for women to provide meaningful input (see also comments in Articles 1-5). When consultations do take place, they often occur in the largest village in our territory, Aishalton Village, and villages from outside of Aishalton are underrepresented. The GoG representatives also often do not bring resources to share with the participants. Recommendations are sought by the GoG almost immediately from the consultation, giving little time for independent discussions and deliberations, and as a result of gender stereotypes, our women are less likely to speak up and have their voices heard.</w:t>
      </w:r>
    </w:p>
    <w:p>
      <w:pPr>
        <w:rPr>
          <w:rFonts w:ascii="Calibri" w:hAnsi="Calibri" w:eastAsia="Nunito" w:cs="Calibri"/>
        </w:rPr>
      </w:pPr>
    </w:p>
    <w:p>
      <w:pPr>
        <w:rPr>
          <w:rFonts w:ascii="Calibri" w:hAnsi="Calibri" w:eastAsia="Nunito" w:cs="Calibri"/>
        </w:rPr>
      </w:pPr>
      <w:r>
        <w:rPr>
          <w:rFonts w:ascii="Calibri" w:hAnsi="Calibri" w:eastAsia="Nunito" w:cs="Calibri"/>
        </w:rPr>
        <w:t xml:space="preserve">In the limited circumstances in which indigenous representatives are invited to international conferences and meetings, those who work in the Government or for the national indigenous rights advocacy organization get preferential treatment. </w:t>
      </w:r>
    </w:p>
    <w:p>
      <w:pPr>
        <w:rPr>
          <w:rFonts w:ascii="Calibri" w:hAnsi="Calibri" w:eastAsia="Nunito" w:cs="Calibri"/>
          <w:b/>
        </w:rPr>
      </w:pPr>
    </w:p>
    <w:p>
      <w:pPr>
        <w:rPr>
          <w:rFonts w:ascii="Calibri" w:hAnsi="Calibri" w:eastAsia="Nunito" w:cs="Calibri"/>
          <w:b/>
        </w:rPr>
      </w:pPr>
      <w:r>
        <w:rPr>
          <w:rFonts w:ascii="Calibri" w:hAnsi="Calibri" w:eastAsia="Nunito" w:cs="Calibri"/>
          <w:b/>
        </w:rPr>
        <w:t>Recommendation(s) to the GoG:</w:t>
      </w:r>
    </w:p>
    <w:p>
      <w:pPr>
        <w:numPr>
          <w:ilvl w:val="0"/>
          <w:numId w:val="6"/>
        </w:numPr>
        <w:rPr>
          <w:rFonts w:ascii="Calibri" w:hAnsi="Calibri" w:eastAsia="Nunito" w:cs="Calibri"/>
          <w:b/>
        </w:rPr>
      </w:pPr>
      <w:r>
        <w:rPr>
          <w:rFonts w:ascii="Calibri" w:hAnsi="Calibri" w:eastAsia="Nunito" w:cs="Calibri"/>
          <w:b/>
        </w:rPr>
        <w:t xml:space="preserve">Devote more resources to consultations that respect our right to effective participation and FPIC. Our communities should determine the method in which consultations are conducted to ensure respect for our culture and methods of decision-making. </w:t>
      </w:r>
    </w:p>
    <w:p>
      <w:pPr>
        <w:numPr>
          <w:ilvl w:val="0"/>
          <w:numId w:val="6"/>
        </w:numPr>
        <w:rPr>
          <w:rFonts w:ascii="Calibri" w:hAnsi="Calibri" w:eastAsia="Nunito" w:cs="Calibri"/>
          <w:b/>
        </w:rPr>
      </w:pPr>
      <w:r>
        <w:rPr>
          <w:rFonts w:ascii="Calibri" w:hAnsi="Calibri" w:eastAsia="Nunito" w:cs="Calibri"/>
          <w:b/>
        </w:rPr>
        <w:t>Extend invitations to, and provide funding for, representatives of indigenous women in remote communities to attend international conferences and meetings to promote the voices of those who actually live in the communities to ensure the equal enjoyment of Article 8 by rural women, in line with Article 14.</w:t>
      </w:r>
      <w:r>
        <w:rPr>
          <w:rFonts w:ascii="Calibri" w:hAnsi="Calibri" w:eastAsia="Nunito" w:cs="Calibri"/>
          <w:b/>
          <w:vertAlign w:val="superscript"/>
        </w:rPr>
        <w:footnoteReference w:id="36"/>
      </w:r>
      <w:r>
        <w:rPr>
          <w:rFonts w:ascii="Calibri" w:hAnsi="Calibri" w:eastAsia="Nunito" w:cs="Calibri"/>
          <w:b/>
        </w:rPr>
        <w:t xml:space="preserve"> </w:t>
      </w:r>
    </w:p>
    <w:p>
      <w:pPr>
        <w:numPr>
          <w:ilvl w:val="0"/>
          <w:numId w:val="6"/>
        </w:numPr>
        <w:rPr>
          <w:rFonts w:ascii="Calibri" w:hAnsi="Calibri" w:eastAsia="Nunito" w:cs="Calibri"/>
          <w:b/>
        </w:rPr>
      </w:pPr>
      <w:r>
        <w:rPr>
          <w:rFonts w:ascii="Calibri" w:hAnsi="Calibri" w:eastAsia="Nunito" w:cs="Calibri"/>
          <w:b/>
        </w:rPr>
        <w:t>Implement the Committee’s previous recommendation to strengthen the use of temporary special measures in order to accelerate women’s full and equal participation in political and public life, and to achieve de facto or substantive equality of indigenous women with men in the enjoyment of their rights.</w:t>
      </w:r>
      <w:r>
        <w:rPr>
          <w:rFonts w:ascii="Calibri" w:hAnsi="Calibri" w:eastAsia="Nunito" w:cs="Calibri"/>
          <w:b/>
          <w:vertAlign w:val="superscript"/>
        </w:rPr>
        <w:footnoteReference w:id="37"/>
      </w:r>
      <w:r>
        <w:rPr>
          <w:rFonts w:ascii="Calibri" w:hAnsi="Calibri" w:eastAsia="Nunito" w:cs="Calibri"/>
          <w:b/>
        </w:rPr>
        <w:t xml:space="preserve"> Take steps to amplify the voices of our female indigenous leaders as valued and respected leaders within the community.</w:t>
      </w:r>
    </w:p>
    <w:p>
      <w:pPr>
        <w:numPr>
          <w:ilvl w:val="0"/>
          <w:numId w:val="6"/>
        </w:numPr>
        <w:rPr>
          <w:rFonts w:ascii="Calibri" w:hAnsi="Calibri" w:eastAsia="Nunito" w:cs="Calibri"/>
          <w:b/>
        </w:rPr>
      </w:pPr>
      <w:r>
        <w:rPr>
          <w:rFonts w:ascii="Calibri" w:hAnsi="Calibri" w:eastAsia="Nunito" w:cs="Calibri"/>
          <w:b/>
        </w:rPr>
        <w:t xml:space="preserve">Work with the SRDC to offer programs that empower Wapichan women to enjoy full and equal participation in public and political life. </w:t>
      </w:r>
    </w:p>
    <w:p>
      <w:pPr>
        <w:pStyle w:val="4"/>
        <w:rPr>
          <w:rFonts w:ascii="Calibri" w:hAnsi="Calibri" w:cs="Calibri"/>
        </w:rPr>
      </w:pPr>
      <w:bookmarkStart w:id="13" w:name="_Toc12772742"/>
      <w:r>
        <w:rPr>
          <w:rFonts w:ascii="Calibri" w:hAnsi="Calibri" w:cs="Calibri"/>
        </w:rPr>
        <w:t>Article 10: Education</w:t>
      </w:r>
      <w:bookmarkEnd w:id="13"/>
    </w:p>
    <w:p>
      <w:pPr>
        <w:rPr>
          <w:rFonts w:ascii="Calibri" w:hAnsi="Calibri" w:eastAsia="Nunito" w:cs="Calibri"/>
        </w:rPr>
      </w:pPr>
      <w:r>
        <w:rPr>
          <w:rFonts w:ascii="Calibri" w:hAnsi="Calibri" w:eastAsia="Nunito" w:cs="Calibri"/>
        </w:rPr>
        <w:t xml:space="preserve">The GoG should ensure equal opportunities for indigenous women to further their education. Many indigenous youths are unable to pursue education beyond secondary school due to financial impediments. Scholarship opportunities for indigenous youths are limited, and none exist exclusively for indigenous women. </w:t>
      </w:r>
    </w:p>
    <w:p>
      <w:pPr>
        <w:rPr>
          <w:rFonts w:ascii="Calibri" w:hAnsi="Calibri" w:eastAsia="Nunito" w:cs="Calibri"/>
        </w:rPr>
      </w:pPr>
    </w:p>
    <w:p>
      <w:pPr>
        <w:rPr>
          <w:rFonts w:ascii="Calibri" w:hAnsi="Calibri" w:eastAsia="Nunito" w:cs="Calibri"/>
        </w:rPr>
      </w:pPr>
      <w:r>
        <w:rPr>
          <w:rFonts w:ascii="Calibri" w:hAnsi="Calibri" w:eastAsia="Nunito" w:cs="Calibri"/>
        </w:rPr>
        <w:t>Female students who are able to attend school in Georgetown face additional challenges, including sexual harassment and security threats, which make it difficult for them to safely walk to school. While threats to safety negatively impact many people in Georgetown, the intersecting struggles our indigenous women face exacerbates the discrimination. Indigenous families who are fearful of the unaddressed safety risks in Georgetown keep their daughters in the hinterland, thereby denying indigenous girls access to higher education.</w:t>
      </w:r>
    </w:p>
    <w:p>
      <w:pPr>
        <w:rPr>
          <w:rFonts w:ascii="Calibri" w:hAnsi="Calibri" w:eastAsia="Nunito" w:cs="Calibri"/>
        </w:rPr>
      </w:pPr>
    </w:p>
    <w:p>
      <w:pPr>
        <w:rPr>
          <w:rFonts w:ascii="Calibri" w:hAnsi="Calibri" w:eastAsia="Nunito" w:cs="Calibri"/>
        </w:rPr>
      </w:pPr>
      <w:r>
        <w:rPr>
          <w:rFonts w:ascii="Calibri" w:hAnsi="Calibri" w:eastAsia="Nunito" w:cs="Calibri"/>
        </w:rPr>
        <w:t xml:space="preserve">The GoG has also failed to ensure that indigenous youth, and particularly women, have access to specialized educational programs, including programs on birth control, family planning and computer programming. Neither birth control nor family planning are taught in indigenous schools. Computer programming is taught only in schools in Georgetown, which are difficult for our indigenous girls to access. </w:t>
      </w:r>
    </w:p>
    <w:p>
      <w:pPr>
        <w:rPr>
          <w:rFonts w:ascii="Calibri" w:hAnsi="Calibri" w:eastAsia="Nunito" w:cs="Calibri"/>
        </w:rPr>
      </w:pPr>
    </w:p>
    <w:p>
      <w:pPr>
        <w:rPr>
          <w:rFonts w:ascii="Calibri" w:hAnsi="Calibri" w:eastAsia="Nunito" w:cs="Calibri"/>
        </w:rPr>
      </w:pPr>
      <w:r>
        <w:rPr>
          <w:rFonts w:ascii="Calibri" w:hAnsi="Calibri" w:eastAsia="Nunito" w:cs="Calibri"/>
        </w:rPr>
        <w:t>The GoG does not provide sufficient support to assist indigenous teenage mothers, who have often dropped out of school, to reintegrate into the education system. For instance, the support that the GoG claims to provide teenage mothers</w:t>
      </w:r>
      <w:r>
        <w:rPr>
          <w:rFonts w:ascii="Calibri" w:hAnsi="Calibri" w:eastAsia="Nunito" w:cs="Calibri"/>
          <w:vertAlign w:val="superscript"/>
        </w:rPr>
        <w:footnoteReference w:id="38"/>
      </w:r>
      <w:r>
        <w:rPr>
          <w:rFonts w:ascii="Calibri" w:hAnsi="Calibri" w:eastAsia="Nunito" w:cs="Calibri"/>
        </w:rPr>
        <w:t xml:space="preserve"> does not, to our knowledge, provide childcare support. Further, the GoG has neither consulted our communities in the formulation of any national policies to enable girls to return to school after a teenage pregnancy, nor has the GoG informed our communities about how these policies can benefit Wapichan women.</w:t>
      </w:r>
    </w:p>
    <w:p>
      <w:pPr>
        <w:ind w:left="720"/>
        <w:rPr>
          <w:rFonts w:ascii="Calibri" w:hAnsi="Calibri" w:eastAsia="Nunito" w:cs="Calibri"/>
          <w:b/>
        </w:rPr>
      </w:pPr>
    </w:p>
    <w:p>
      <w:pPr>
        <w:rPr>
          <w:rFonts w:ascii="Calibri" w:hAnsi="Calibri" w:eastAsia="Nunito" w:cs="Calibri"/>
          <w:b/>
        </w:rPr>
      </w:pPr>
      <w:r>
        <w:rPr>
          <w:rFonts w:ascii="Calibri" w:hAnsi="Calibri" w:eastAsia="Nunito" w:cs="Calibri"/>
          <w:b/>
        </w:rPr>
        <w:t>Recommendation(s) to the GoG:</w:t>
      </w:r>
    </w:p>
    <w:p>
      <w:pPr>
        <w:numPr>
          <w:ilvl w:val="0"/>
          <w:numId w:val="7"/>
        </w:numPr>
        <w:rPr>
          <w:rFonts w:ascii="Calibri" w:hAnsi="Calibri" w:eastAsia="Nunito" w:cs="Calibri"/>
          <w:b/>
        </w:rPr>
      </w:pPr>
      <w:r>
        <w:rPr>
          <w:rFonts w:ascii="Calibri" w:hAnsi="Calibri" w:eastAsia="Nunito" w:cs="Calibri"/>
          <w:b/>
        </w:rPr>
        <w:t>Provide additional educational scholarships exclusively for indigenous women.</w:t>
      </w:r>
    </w:p>
    <w:p>
      <w:pPr>
        <w:numPr>
          <w:ilvl w:val="0"/>
          <w:numId w:val="7"/>
        </w:numPr>
        <w:rPr>
          <w:rFonts w:ascii="Calibri" w:hAnsi="Calibri" w:eastAsia="Nunito" w:cs="Calibri"/>
          <w:b/>
        </w:rPr>
      </w:pPr>
      <w:r>
        <w:rPr>
          <w:rFonts w:ascii="Calibri" w:hAnsi="Calibri" w:eastAsia="Nunito" w:cs="Calibri"/>
          <w:b/>
        </w:rPr>
        <w:t xml:space="preserve">Establish more learning institutions in the hinterland regions so indigenous youth, particularly young women providing for children, can have easier access to educational opportunities. </w:t>
      </w:r>
    </w:p>
    <w:p>
      <w:pPr>
        <w:numPr>
          <w:ilvl w:val="0"/>
          <w:numId w:val="7"/>
        </w:numPr>
        <w:rPr>
          <w:rFonts w:ascii="Calibri" w:hAnsi="Calibri" w:eastAsia="Nunito" w:cs="Calibri"/>
          <w:b/>
        </w:rPr>
      </w:pPr>
      <w:r>
        <w:rPr>
          <w:rFonts w:ascii="Calibri" w:hAnsi="Calibri" w:eastAsia="Nunito" w:cs="Calibri"/>
          <w:b/>
        </w:rPr>
        <w:t>Work with the SRDC to create ongoing female empowerment workshops, which will develop women’s capacity to make informed decisions about their reproductive rights and educate men on the importance of supporting young mothers to continue their education.</w:t>
      </w:r>
    </w:p>
    <w:sectPr>
      <w:headerReference r:id="rId5" w:type="first"/>
      <w:headerReference r:id="rId4" w:type="default"/>
      <w:footerReference r:id="rId6" w:type="default"/>
      <w:pgSz w:w="12240" w:h="15840"/>
      <w:pgMar w:top="1440" w:right="1440" w:bottom="1440" w:left="1440" w:header="720" w:footer="720" w:gutter="0"/>
      <w:pgNumType w:start="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Nunito">
    <w:altName w:val="Calibri"/>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Roboto">
    <w:altName w:val="Arial"/>
    <w:panose1 w:val="00000000000000000000"/>
    <w:charset w:val="00"/>
    <w:family w:val="auto"/>
    <w:pitch w:val="default"/>
    <w:sig w:usb0="00000000" w:usb1="00000000"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Nunito" w:hAnsi="Nunito"/>
      </w:rPr>
      <w:id w:val="-1316256069"/>
      <w:docPartObj>
        <w:docPartGallery w:val="AutoText"/>
      </w:docPartObj>
    </w:sdtPr>
    <w:sdtEndPr>
      <w:rPr>
        <w:rFonts w:ascii="Nunito" w:hAnsi="Nunito"/>
      </w:rPr>
    </w:sdtEndPr>
    <w:sdtContent>
      <w:p>
        <w:pPr>
          <w:pStyle w:val="11"/>
          <w:jc w:val="right"/>
          <w:rPr>
            <w:rFonts w:ascii="Nunito" w:hAnsi="Nunito"/>
          </w:rPr>
        </w:pPr>
        <w:r>
          <w:rPr>
            <w:rFonts w:ascii="Nunito" w:hAnsi="Nunito"/>
          </w:rPr>
          <w:t xml:space="preserve">SRDC Shadow Report to CEDAW </w:t>
        </w:r>
        <w:r>
          <w:rPr>
            <w:rFonts w:ascii="Nunito" w:hAnsi="Nunito"/>
          </w:rPr>
          <w:tab/>
        </w:r>
        <w:r>
          <w:rPr>
            <w:rFonts w:ascii="Nunito" w:hAnsi="Nunito"/>
          </w:rPr>
          <w:tab/>
        </w:r>
        <w:r>
          <w:rPr>
            <w:rFonts w:ascii="Nunito" w:hAnsi="Nunito"/>
          </w:rPr>
          <w:fldChar w:fldCharType="begin"/>
        </w:r>
        <w:r>
          <w:rPr>
            <w:rFonts w:ascii="Nunito" w:hAnsi="Nunito"/>
          </w:rPr>
          <w:instrText xml:space="preserve"> PAGE   \* MERGEFORMAT </w:instrText>
        </w:r>
        <w:r>
          <w:rPr>
            <w:rFonts w:ascii="Nunito" w:hAnsi="Nunito"/>
          </w:rPr>
          <w:fldChar w:fldCharType="separate"/>
        </w:r>
        <w:r>
          <w:rPr>
            <w:rFonts w:ascii="Nunito" w:hAnsi="Nunito"/>
          </w:rPr>
          <w:t>2</w:t>
        </w:r>
        <w:r>
          <w:rPr>
            <w:rFonts w:ascii="Nunito" w:hAnsi="Nunito"/>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cs="Calibri"/>
          <w:i/>
          <w:sz w:val="20"/>
          <w:szCs w:val="20"/>
        </w:rPr>
        <w:t>See</w:t>
      </w:r>
      <w:r>
        <w:rPr>
          <w:rFonts w:ascii="Calibri" w:hAnsi="Calibri" w:cs="Calibri"/>
          <w:sz w:val="20"/>
          <w:szCs w:val="20"/>
        </w:rPr>
        <w:t xml:space="preserve"> Constitution of Guyana, Article 154A and Fourth Schedule.</w:t>
      </w:r>
    </w:p>
  </w:footnote>
  <w:footnote w:id="1">
    <w:p>
      <w:pPr>
        <w:pStyle w:val="12"/>
        <w:rPr>
          <w:lang w:val="en-US"/>
        </w:rPr>
      </w:pPr>
      <w:r>
        <w:rPr>
          <w:rStyle w:val="21"/>
        </w:rPr>
        <w:footnoteRef/>
      </w:r>
      <w:r>
        <w:t xml:space="preserve"> </w:t>
      </w:r>
      <w:r>
        <w:rPr>
          <w:rFonts w:ascii="Calibri" w:hAnsi="Calibri" w:eastAsia="Nunito" w:cs="Calibri"/>
        </w:rPr>
        <w:t>Our own comments throughout this report are based upon qualitative data, namely, community experiences and observations and not quantitative data that we have collected systematically.</w:t>
      </w:r>
    </w:p>
  </w:footnote>
  <w:footnote w:id="2">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Report of the Special Rapporteur on the rights of indigenous peoples, Victoria Tauli Corpuz, A/HRC/30/41, para 73-75.</w:t>
      </w:r>
    </w:p>
  </w:footnote>
  <w:footnote w:id="3">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Wapichanao, “About Us”, accessed at: </w:t>
      </w:r>
      <w:r>
        <w:fldChar w:fldCharType="begin"/>
      </w:r>
      <w:r>
        <w:instrText xml:space="preserve"> HYPERLINK "http://wapichanao.communitylands.org/aboutus.html" \h </w:instrText>
      </w:r>
      <w:r>
        <w:fldChar w:fldCharType="separate"/>
      </w:r>
      <w:r>
        <w:rPr>
          <w:rFonts w:ascii="Calibri" w:hAnsi="Calibri" w:cs="Calibri"/>
          <w:color w:val="1155CC"/>
          <w:sz w:val="20"/>
          <w:szCs w:val="20"/>
          <w:u w:val="single"/>
        </w:rPr>
        <w:t>http://wapichanao.communitylands.org/aboutus.html</w:t>
      </w:r>
      <w:r>
        <w:rPr>
          <w:rFonts w:ascii="Calibri" w:hAnsi="Calibri" w:cs="Calibri"/>
          <w:color w:val="1155CC"/>
          <w:sz w:val="20"/>
          <w:szCs w:val="20"/>
          <w:u w:val="single"/>
        </w:rPr>
        <w:fldChar w:fldCharType="end"/>
      </w:r>
      <w:r>
        <w:rPr>
          <w:rFonts w:ascii="Calibri" w:hAnsi="Calibri" w:cs="Calibri"/>
          <w:sz w:val="20"/>
          <w:szCs w:val="20"/>
        </w:rPr>
        <w:t>.</w:t>
      </w:r>
    </w:p>
  </w:footnote>
  <w:footnote w:id="4">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See </w:t>
      </w:r>
      <w:r>
        <w:rPr>
          <w:rFonts w:ascii="Calibri" w:hAnsi="Calibri" w:eastAsia="Nunito" w:cs="Calibri"/>
          <w:sz w:val="20"/>
          <w:szCs w:val="20"/>
        </w:rPr>
        <w:t>Ninth periodic report submitted by Guyana under article 18 of the convention, CEDAW/C/GUY/9, paras 32-33.</w:t>
      </w:r>
    </w:p>
  </w:footnote>
  <w:footnote w:id="5">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Ninth periodic report submitted by Guyana under article 18 of the convention, CEDAW/C/GUY/9, para 28.</w:t>
      </w:r>
    </w:p>
  </w:footnote>
  <w:footnote w:id="6">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See Report of the Special Rapporteur on the rights of indigenous peoples, Victoria Tauli Corpuz, A/HRC/30/41,</w:t>
      </w:r>
      <w:r>
        <w:rPr>
          <w:rFonts w:ascii="Calibri" w:hAnsi="Calibri" w:eastAsia="Nunito" w:cs="Calibri"/>
          <w:sz w:val="20"/>
          <w:szCs w:val="20"/>
        </w:rPr>
        <w:t xml:space="preserve"> para 77(g).</w:t>
      </w:r>
    </w:p>
  </w:footnote>
  <w:footnote w:id="7">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For example, we </w:t>
      </w:r>
      <w:r>
        <w:rPr>
          <w:rFonts w:ascii="Calibri" w:hAnsi="Calibri" w:eastAsia="Nunito" w:cs="Calibri"/>
          <w:sz w:val="20"/>
          <w:szCs w:val="20"/>
        </w:rPr>
        <w:t xml:space="preserve">were invited to a gender and development training in May 2019. The training’s location in Georgetown inhibited many rural indigenous women from attending. Travel to Georgetown often takes a full day for some of our communities, and with washed out roads in rainy season, can take more than one day. </w:t>
      </w:r>
    </w:p>
  </w:footnote>
  <w:footnote w:id="8">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 xml:space="preserve">While the GoG reported providing training to female toshaos in indigenous communities (see Ninth periodic report submitted by Guyana under article 18 of the convention, CEDAW/C/GUY/9, para 32), the SRDC was not informed of this training despite having a female toshao serving in a Wapichan village. </w:t>
      </w:r>
    </w:p>
  </w:footnote>
  <w:footnote w:id="9">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A newly established radio station, Radio Aishalton, services our region; however, the majority of airtime is given to a national broadcast and only three hours a week are reserved for local programming. One of our indigenous women representatives delivered a segment on domestic violence within the limited local programming window which restricted the depth of information that could be broadcast. We requested additional airtime months ago to host programs of our choice, including to raise awareness of women’s rights, as well as indigenous rights, land rights, and other human rights, but the GoG has not responded to this request to date.</w:t>
      </w:r>
    </w:p>
  </w:footnote>
  <w:footnote w:id="10">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Report of the Special Rapporteur on the rights of indigenous peoples, Victoria Tauli Corpuz, A/HRC/30/41,</w:t>
      </w:r>
      <w:r>
        <w:rPr>
          <w:rFonts w:ascii="Calibri" w:hAnsi="Calibri" w:eastAsia="Nunito" w:cs="Calibri"/>
          <w:sz w:val="20"/>
          <w:szCs w:val="20"/>
        </w:rPr>
        <w:t xml:space="preserve"> para 77(g).</w:t>
      </w:r>
    </w:p>
  </w:footnote>
  <w:footnote w:id="11">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See Concluding observations of the Committee on the Elimination of Discrimination against Women: Guyana, CEDAW/CO/GUY/7-8, para 9: “The Committee calls upon the State party to take all appropriate measures to enhance women’s awareness of their rights and the means to enforce them, including by providing women with information on the Convention in languages accessible to them in all regions of the State party, in particular in hinterland and rural areas and among the Amerindian communities, emphasizing ways to use the available legal remedies in cases of violations of their rights.”</w:t>
      </w:r>
    </w:p>
  </w:footnote>
  <w:footnote w:id="12">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See Concluding observations of the Committee on the Elimination of Discrimination against Women: Guyana, CEDAW/CO/GUY/7-8, para 9.</w:t>
      </w:r>
    </w:p>
  </w:footnote>
  <w:footnote w:id="13">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Replies of Guyana to the list of issues, CEDAW/C/GUY/Q/9/Add.1, para 107.</w:t>
      </w:r>
    </w:p>
  </w:footnote>
  <w:footnote w:id="14">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Most recently, for example, there has been a shortage of our main staple food—farine, as a result of poor yields of the cassava plant.</w:t>
      </w:r>
    </w:p>
  </w:footnote>
  <w:footnote w:id="15">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Ninth periodic report submitted by Guyana under article 18 of the convention, CEDAW/C/GUY/9 9th periodic report, para 89.</w:t>
      </w:r>
    </w:p>
  </w:footnote>
  <w:footnote w:id="16">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Many of our women aspire to start businesses </w:t>
      </w:r>
      <w:r>
        <w:rPr>
          <w:rFonts w:ascii="Calibri" w:hAnsi="Calibri" w:eastAsia="Nunito" w:cs="Calibri"/>
          <w:sz w:val="20"/>
          <w:szCs w:val="20"/>
        </w:rPr>
        <w:t>that use our natural resources, such as soap making, fruit preservation and the production of herbal medicines and oils from forest materials.</w:t>
      </w:r>
    </w:p>
  </w:footnote>
  <w:footnote w:id="17">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Replies of Guyana to the list of issues, CEDAW/C/GUY/Q/9/Add.1I, para 106.</w:t>
      </w:r>
    </w:p>
  </w:footnote>
  <w:footnote w:id="18">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Replies of Guyana to the list of issues, CEDAW/C/GUY/Q/9/Add.1, para 105.</w:t>
      </w:r>
    </w:p>
  </w:footnote>
  <w:footnote w:id="19">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cs="Calibri"/>
          <w:i/>
          <w:sz w:val="20"/>
          <w:szCs w:val="20"/>
        </w:rPr>
        <w:t xml:space="preserve">See </w:t>
      </w:r>
      <w:r>
        <w:rPr>
          <w:rFonts w:ascii="Calibri" w:hAnsi="Calibri" w:cs="Calibri"/>
          <w:sz w:val="20"/>
          <w:szCs w:val="20"/>
        </w:rPr>
        <w:t>Concluding observations on the combined second to fourth periodic reports of Guyana, E/C.12/GUY/CO/2-4, para 15: “The Committee recommends that the State party revise the Amerindian Act 2006 and other relevant laws with a view to ensuring, in accordance with the United Nations Declaration on the Rights of Indigenous Peoples, that the Amerindian people’s rights to their lands, territories and resources are fully recognized and protected and that their free, prior and informed consent is obtained in respect of the adoption of any legislation, policy and/or project affecting their lands or territories and other resources”; UN Committee on the Elimination of Racial Discrimination (CERD), UN Committee on the Elimination of Racial Discrimination: Concluding Observations, Guyana, 4 April 2006, CERD/C/GUY/CO/14, para 16: “The Committee urges the State party to recognize and protect the rights of all indigenous communities to own, develop and control the lands which they traditionally occupy, including water and subsoil resources, and to safeguard their right to use lands not exclusively occupied by them, to which they have traditionally had access for their subsistence, in accordance with the Committee’s General Recommendation No. 233 and taking into account ILO Convention No. 169 on Indigenous and Tribal Peoples. It also urges the State party, in consultation with the indigenous communities concerned, (a) to demarcate or otherwise identify the lands which they traditionally occupy or use, (b) to establish adequate procedures, and to define clear and just criteria to resolve land claims by indigenous communities within the domestic judicial system while taking due account of relevant indigenous customary laws.”</w:t>
      </w:r>
    </w:p>
  </w:footnote>
  <w:footnote w:id="20">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See also Concluding observations Nepal, CEDAW/C/NPL/CO/6, 14 November 2018, para 41(a).</w:t>
      </w:r>
    </w:p>
  </w:footnote>
  <w:footnote w:id="21">
    <w:p>
      <w:pPr>
        <w:spacing w:line="240" w:lineRule="auto"/>
        <w:rPr>
          <w:rFonts w:ascii="Calibri" w:hAnsi="Calibri" w:eastAsia="Nunito" w:cs="Calibri"/>
          <w:sz w:val="20"/>
          <w:szCs w:val="20"/>
        </w:rPr>
      </w:pPr>
      <w:r>
        <w:rPr>
          <w:rFonts w:ascii="Calibri" w:hAnsi="Calibri" w:cs="Calibri"/>
          <w:sz w:val="20"/>
          <w:szCs w:val="20"/>
          <w:vertAlign w:val="superscript"/>
        </w:rPr>
        <w:footnoteRef/>
      </w:r>
      <w:r>
        <w:rPr>
          <w:rFonts w:ascii="Calibri" w:hAnsi="Calibri" w:eastAsia="Nunito" w:cs="Calibri"/>
          <w:sz w:val="20"/>
          <w:szCs w:val="20"/>
        </w:rPr>
        <w:t xml:space="preserve"> </w:t>
      </w:r>
      <w:r>
        <w:rPr>
          <w:rFonts w:ascii="Calibri" w:hAnsi="Calibri" w:eastAsia="Nunito" w:cs="Calibri"/>
          <w:i/>
          <w:sz w:val="20"/>
          <w:szCs w:val="20"/>
        </w:rPr>
        <w:t>See</w:t>
      </w:r>
      <w:r>
        <w:rPr>
          <w:rFonts w:ascii="Calibri" w:hAnsi="Calibri" w:eastAsia="Nunito" w:cs="Calibri"/>
          <w:sz w:val="20"/>
          <w:szCs w:val="20"/>
        </w:rPr>
        <w:t xml:space="preserve"> Concluding observations on the combined eighth and ninth periodic reports of Canada, CEDAW/C/CAN/CO/8-9, para 39(e); Concluding observations on Paraguay, CEDAW/C/PRY/CO/7, 22 November 2017, para 41(c): “The Committee, in line with its general recommendation No. 34 (2016) on the rights of rural women, recommends that the State party: ...(c) Establish a legal framework to ensure that large-scale development projects, agro-industrial and other business projects are implemented only after a gender impact assessment has been conducted and there has been prior consultation of affected indigenous and rural women concerning alternative livelihoods and their adequate compensation…”; Tanzania, CEDAW/C/TZA/CO/7-8, 9 March 2016, para 41(c): “The Committee calls upon the State party: … (c) To preserve tribal ancestral land, protect it from being sold or leased and award appropriate compensation to those whose access has been impeded….”</w:t>
      </w:r>
    </w:p>
  </w:footnote>
  <w:footnote w:id="22">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Ninth periodic report submitted by Guyana under article 18 of the convention, CEDAW/C/GUY/9 9th periodic report,</w:t>
      </w:r>
      <w:r>
        <w:rPr>
          <w:rFonts w:ascii="Calibri" w:hAnsi="Calibri" w:eastAsia="Nunito" w:cs="Calibri"/>
          <w:sz w:val="20"/>
          <w:szCs w:val="20"/>
        </w:rPr>
        <w:t xml:space="preserve"> para 103.</w:t>
      </w:r>
    </w:p>
  </w:footnote>
  <w:footnote w:id="23">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Ninth periodic report submitted by Guyana under article 18 of the convention, CEDAW/C/GUY/9 9th periodic report, </w:t>
      </w:r>
      <w:r>
        <w:rPr>
          <w:rFonts w:ascii="Calibri" w:hAnsi="Calibri" w:eastAsia="Nunito" w:cs="Calibri"/>
          <w:sz w:val="20"/>
          <w:szCs w:val="20"/>
        </w:rPr>
        <w:t>para 108.</w:t>
      </w:r>
    </w:p>
  </w:footnote>
  <w:footnote w:id="24">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A 2017 study found that women of childbearing age within one of our mining-affected constituent villages had up to double the World Health Organization’s recommended hair mercury levels.</w:t>
      </w:r>
      <w:r>
        <w:rPr>
          <w:rFonts w:ascii="Calibri" w:hAnsi="Calibri" w:cs="Calibri"/>
          <w:sz w:val="20"/>
          <w:szCs w:val="20"/>
        </w:rPr>
        <w:t xml:space="preserve"> A Rapid Risk Assessment on Mercury Exposure and Accumulation in Four Indigenous Communities in the Southern Rupununi Region, Guyana, World Wildlife Fund, June 2017, p. 31.</w:t>
      </w:r>
    </w:p>
  </w:footnote>
  <w:footnote w:id="25">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The mining concession is owned by a Guyanese mining company, Romanex Guyana, which is a wholly-owned subsidiary of a Canadian mining company, Guyana Goldstrike. </w:t>
      </w:r>
    </w:p>
  </w:footnote>
  <w:footnote w:id="26">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Concluding observations of the Committee on the Elimination of Discrimination against Women: Guyana, CEDAW/CO/GUY/7-8, para 37: “The Committee calls upon the State party to pay special attention to the needs of rural women to ensure that they enjoy access to health, education, clean water and sanitation services and income-generation projects.”</w:t>
      </w:r>
    </w:p>
  </w:footnote>
  <w:footnote w:id="27">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cs="Calibri"/>
          <w:i/>
          <w:sz w:val="20"/>
          <w:szCs w:val="20"/>
        </w:rPr>
        <w:t xml:space="preserve">See </w:t>
      </w:r>
      <w:r>
        <w:rPr>
          <w:rFonts w:ascii="Calibri" w:hAnsi="Calibri" w:cs="Calibri"/>
          <w:sz w:val="20"/>
          <w:szCs w:val="20"/>
        </w:rPr>
        <w:t xml:space="preserve">Concluding observations on the seventh periodic report of Chile, CEDAW/C/CHL/CO/7, para 47: “The Committee recommends that the State party: Set up a mandatory consultation mechanism to seek the free, prior and informed consent of indigenous women regarding the use of their natural resources and lands.”; Concluding observations on Ecuador, CEDAW/C/ECU/CO/8-9, 11 March 2015: “The Committee calls upon the State party to systematically consult indigenous, Afro-Ecuadorian and Montubio women and seek their free, prior and informed consent in decision-making processes relating to large-scale projects for the exploitation of natural resources that have an impact on their rights and legitimate interests. The State party should also provide adequate alternative housing and livelihoods to the women concerned and ensure that public and private companies that execute projects for the exploitation of natural resources compensate adequately women living in territories and areas affected by such projects.”; Concluding observations on Bolivia, CEDAW/C/BOL/CO/5-6, 28 July 2015, para 35. </w:t>
      </w:r>
    </w:p>
  </w:footnote>
  <w:footnote w:id="28">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Communication of the Committee on the Elimination of Racial Discrimination to the Government of Guyana, CERD/EWUAP/Guyana/2018/JP/ks, 14 December 2018, accessed at: </w:t>
      </w:r>
      <w:r>
        <w:fldChar w:fldCharType="begin"/>
      </w:r>
      <w:r>
        <w:instrText xml:space="preserve"> HYPERLINK "https://tbinternet.ohchr.org/Treaties/CERD/Shared%20Documents/GUY/INT_CERD_ALE_GUY_8821_E.pdf" \h </w:instrText>
      </w:r>
      <w:r>
        <w:fldChar w:fldCharType="separate"/>
      </w:r>
      <w:r>
        <w:rPr>
          <w:rFonts w:ascii="Calibri" w:hAnsi="Calibri" w:cs="Calibri"/>
          <w:color w:val="1155CC"/>
          <w:sz w:val="20"/>
          <w:szCs w:val="20"/>
          <w:u w:val="single"/>
        </w:rPr>
        <w:t>https://tbinternet.ohchr.org/Treaties/CERD/Shared%20Documents/GUY/INT_CERD_ALE_GUY_8821_E.pdf</w:t>
      </w:r>
      <w:r>
        <w:rPr>
          <w:rFonts w:ascii="Calibri" w:hAnsi="Calibri" w:cs="Calibri"/>
          <w:color w:val="1155CC"/>
          <w:sz w:val="20"/>
          <w:szCs w:val="20"/>
          <w:u w:val="single"/>
        </w:rPr>
        <w:fldChar w:fldCharType="end"/>
      </w:r>
      <w:r>
        <w:rPr>
          <w:rFonts w:ascii="Calibri" w:hAnsi="Calibri" w:cs="Calibri"/>
          <w:sz w:val="20"/>
          <w:szCs w:val="20"/>
        </w:rPr>
        <w:t xml:space="preserve">. </w:t>
      </w:r>
    </w:p>
  </w:footnote>
  <w:footnote w:id="29">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See Concluding observations on Suriname, CEDAW/C/SUR/CO/4-6, 14 March 2018, para 21(b): “21. The Committee recommends that the State party: (a) Strengthen its legislation governing the conduct of companies registered in the State party, including the Mining Decree, to establish minimum standards for environmental protection, water quality, labour and health, with a view to protecting the rights of rural women, Maroon women and indigenous women affected or likely to be affected by their operations; (b) Establish a mechanism or body to regulate the activities of foreign owned private mining companies and monitor their compliance with legislation and the advancement of the human rights of women.”</w:t>
      </w:r>
    </w:p>
  </w:footnote>
  <w:footnote w:id="30">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Replies of Guyana to the list of issues, CEDAW/C/GUY/Q/9/Add.1, para 47.</w:t>
      </w:r>
    </w:p>
  </w:footnote>
  <w:footnote w:id="31">
    <w:p>
      <w:pPr>
        <w:spacing w:line="240" w:lineRule="auto"/>
        <w:rPr>
          <w:rFonts w:ascii="Calibri" w:hAnsi="Calibri" w:eastAsia="Nunito" w:cs="Calibri"/>
          <w:sz w:val="20"/>
          <w:szCs w:val="20"/>
        </w:rPr>
      </w:pPr>
      <w:r>
        <w:rPr>
          <w:rFonts w:ascii="Calibri" w:hAnsi="Calibri" w:cs="Calibri"/>
          <w:sz w:val="20"/>
          <w:szCs w:val="20"/>
          <w:vertAlign w:val="superscript"/>
        </w:rPr>
        <w:footnoteRef/>
      </w:r>
      <w:r>
        <w:rPr>
          <w:rFonts w:ascii="Calibri" w:hAnsi="Calibri" w:eastAsia="Nunito" w:cs="Calibri"/>
          <w:sz w:val="20"/>
          <w:szCs w:val="20"/>
        </w:rPr>
        <w:t xml:space="preserve"> See also List of issues and questions in relation to the ninth periodic report of Guyana, CEDAW/C/GUY/Q/9 at 12.</w:t>
      </w:r>
    </w:p>
  </w:footnote>
  <w:footnote w:id="32">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eastAsia="Nunito" w:cs="Calibri"/>
          <w:sz w:val="20"/>
          <w:szCs w:val="20"/>
        </w:rPr>
        <w:t>Replies of Guyana to the list of issues, CEDAW/C/GUY/Q/9/Add.1, para 64.</w:t>
      </w:r>
    </w:p>
  </w:footnote>
  <w:footnote w:id="33">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South Rupununi District Counsel, Wapichan Environmental Monitoring Report,  accessed at: </w:t>
      </w:r>
      <w:r>
        <w:fldChar w:fldCharType="begin"/>
      </w:r>
      <w:r>
        <w:instrText xml:space="preserve"> HYPERLINK "http://wapichanao.communitylands.org/1548691773093-wapichan-environmental-monitoring-report-2018-v2.pdf" \h </w:instrText>
      </w:r>
      <w:r>
        <w:fldChar w:fldCharType="separate"/>
      </w:r>
      <w:r>
        <w:rPr>
          <w:rFonts w:ascii="Calibri" w:hAnsi="Calibri" w:cs="Calibri"/>
          <w:color w:val="1155CC"/>
          <w:sz w:val="20"/>
          <w:szCs w:val="20"/>
          <w:u w:val="single"/>
        </w:rPr>
        <w:t>http://wapichanao.communitylands.org/1548691773093-wapichan-environmental-monitoring-report-2018-v2.pdf</w:t>
      </w:r>
      <w:r>
        <w:rPr>
          <w:rFonts w:ascii="Calibri" w:hAnsi="Calibri" w:cs="Calibri"/>
          <w:color w:val="1155CC"/>
          <w:sz w:val="20"/>
          <w:szCs w:val="20"/>
          <w:u w:val="single"/>
        </w:rPr>
        <w:fldChar w:fldCharType="end"/>
      </w:r>
      <w:r>
        <w:rPr>
          <w:rFonts w:ascii="Calibri" w:hAnsi="Calibri" w:cs="Calibri"/>
          <w:sz w:val="20"/>
          <w:szCs w:val="20"/>
        </w:rPr>
        <w:t>, page 25.</w:t>
      </w:r>
    </w:p>
  </w:footnote>
  <w:footnote w:id="34">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Ninth periodic report submitted by Guyana under article 18 of the convention, CEDAW/C/GUY/9 9th periodic report</w:t>
      </w:r>
      <w:r>
        <w:rPr>
          <w:rFonts w:ascii="Calibri" w:hAnsi="Calibri" w:eastAsia="Nunito" w:cs="Calibri"/>
          <w:sz w:val="20"/>
          <w:szCs w:val="20"/>
        </w:rPr>
        <w:t>, paras 51-52.</w:t>
      </w:r>
    </w:p>
  </w:footnote>
  <w:footnote w:id="35">
    <w:p>
      <w:pPr>
        <w:pStyle w:val="12"/>
        <w:rPr>
          <w:lang w:val="en-US"/>
        </w:rPr>
      </w:pPr>
      <w:r>
        <w:rPr>
          <w:rStyle w:val="21"/>
        </w:rPr>
        <w:footnoteRef/>
      </w:r>
      <w:r>
        <w:t xml:space="preserve"> </w:t>
      </w:r>
      <w:r>
        <w:rPr>
          <w:rFonts w:ascii="Calibri" w:hAnsi="Calibri" w:eastAsia="Nunito" w:cs="Calibri"/>
        </w:rPr>
        <w:t>One of our indigenous women attended a one-day GoG training on trafficking, prostitution, domestic violence and child abuse, but these issues are too complex to be adequately addressed in one day.</w:t>
      </w:r>
    </w:p>
  </w:footnote>
  <w:footnote w:id="36">
    <w:p>
      <w:pPr>
        <w:spacing w:line="240" w:lineRule="auto"/>
        <w:rPr>
          <w:rFonts w:ascii="Calibri" w:hAnsi="Calibri" w:cs="Calibri"/>
          <w:color w:val="000000" w:themeColor="text1"/>
          <w:sz w:val="20"/>
          <w:szCs w:val="20"/>
          <w14:textFill>
            <w14:solidFill>
              <w14:schemeClr w14:val="tx1"/>
            </w14:solidFill>
          </w14:textFill>
        </w:rPr>
      </w:pPr>
      <w:r>
        <w:rPr>
          <w:rFonts w:ascii="Calibri" w:hAnsi="Calibri" w:cs="Calibri"/>
          <w:sz w:val="20"/>
          <w:szCs w:val="20"/>
          <w:vertAlign w:val="superscript"/>
        </w:rPr>
        <w:footnoteRef/>
      </w:r>
      <w:r>
        <w:rPr>
          <w:rFonts w:ascii="Calibri" w:hAnsi="Calibri" w:cs="Calibri"/>
          <w:sz w:val="20"/>
          <w:szCs w:val="20"/>
        </w:rPr>
        <w:t xml:space="preserve"> </w:t>
      </w:r>
      <w:r>
        <w:rPr>
          <w:rFonts w:ascii="Calibri" w:hAnsi="Calibri" w:cs="Calibri"/>
          <w:color w:val="000000" w:themeColor="text1"/>
          <w:sz w:val="20"/>
          <w:szCs w:val="20"/>
          <w14:textFill>
            <w14:solidFill>
              <w14:schemeClr w14:val="tx1"/>
            </w14:solidFill>
          </w14:textFill>
        </w:rPr>
        <w:t>General recommendation No. 34 (2016) on the rights of rural women, CEDAW/C/GC/34.</w:t>
      </w:r>
    </w:p>
  </w:footnote>
  <w:footnote w:id="37">
    <w:p>
      <w:pPr>
        <w:spacing w:line="240" w:lineRule="auto"/>
        <w:rPr>
          <w:rFonts w:ascii="Calibri" w:hAnsi="Calibri" w:eastAsia="Roboto" w:cs="Calibri"/>
          <w:color w:val="000000" w:themeColor="text1"/>
          <w:sz w:val="20"/>
          <w:szCs w:val="20"/>
          <w:highlight w:val="white"/>
          <w14:textFill>
            <w14:solidFill>
              <w14:schemeClr w14:val="tx1"/>
            </w14:solidFill>
          </w14:textFill>
        </w:rPr>
      </w:pPr>
      <w:r>
        <w:rPr>
          <w:rFonts w:ascii="Calibri" w:hAnsi="Calibri" w:cs="Calibri"/>
          <w:color w:val="000000" w:themeColor="text1"/>
          <w:sz w:val="20"/>
          <w:szCs w:val="20"/>
          <w:vertAlign w:val="superscript"/>
          <w14:textFill>
            <w14:solidFill>
              <w14:schemeClr w14:val="tx1"/>
            </w14:solidFill>
          </w14:textFill>
        </w:rPr>
        <w:footnoteRef/>
      </w:r>
      <w:r>
        <w:rPr>
          <w:rFonts w:ascii="Calibri" w:hAnsi="Calibri" w:cs="Calibri"/>
          <w:color w:val="000000" w:themeColor="text1"/>
          <w:sz w:val="20"/>
          <w:szCs w:val="20"/>
          <w14:textFill>
            <w14:solidFill>
              <w14:schemeClr w14:val="tx1"/>
            </w14:solidFill>
          </w14:textFill>
        </w:rPr>
        <w:t xml:space="preserve"> Concluding observations of the Committee on the Elimination of Discrimination against Women: Guyana, </w:t>
      </w:r>
      <w:r>
        <w:rPr>
          <w:rFonts w:ascii="Calibri" w:hAnsi="Calibri" w:eastAsia="Nunito" w:cs="Calibri"/>
          <w:color w:val="000000" w:themeColor="text1"/>
          <w:sz w:val="20"/>
          <w:szCs w:val="20"/>
          <w14:textFill>
            <w14:solidFill>
              <w14:schemeClr w14:val="tx1"/>
            </w14:solidFill>
          </w14:textFill>
        </w:rPr>
        <w:t xml:space="preserve">CEDAW/CO/GUY/7-8 at 19. </w:t>
      </w:r>
      <w:r>
        <w:rPr>
          <w:rFonts w:ascii="Calibri" w:hAnsi="Calibri" w:eastAsia="Roboto" w:cs="Calibri"/>
          <w:color w:val="000000" w:themeColor="text1"/>
          <w:sz w:val="20"/>
          <w:szCs w:val="20"/>
          <w:highlight w:val="white"/>
          <w14:textFill>
            <w14:solidFill>
              <w14:schemeClr w14:val="tx1"/>
            </w14:solidFill>
          </w14:textFill>
        </w:rPr>
        <w:t>"The Committee is concerned at the slow progress in ensuring the equal participation of Amerindian women in leadership and decision-making positions in political and public life. 27. The Committee calls upon the State party:</w:t>
      </w:r>
    </w:p>
    <w:p>
      <w:pPr>
        <w:spacing w:line="240" w:lineRule="auto"/>
        <w:rPr>
          <w:rFonts w:ascii="Calibri" w:hAnsi="Calibri" w:eastAsia="Roboto" w:cs="Calibri"/>
          <w:color w:val="000000" w:themeColor="text1"/>
          <w:sz w:val="20"/>
          <w:szCs w:val="20"/>
          <w14:textFill>
            <w14:solidFill>
              <w14:schemeClr w14:val="tx1"/>
            </w14:solidFill>
          </w14:textFill>
        </w:rPr>
      </w:pPr>
      <w:r>
        <w:rPr>
          <w:rFonts w:ascii="Calibri" w:hAnsi="Calibri" w:eastAsia="Roboto" w:cs="Calibri"/>
          <w:color w:val="000000" w:themeColor="text1"/>
          <w:sz w:val="20"/>
          <w:szCs w:val="20"/>
          <w:highlight w:val="white"/>
          <w14:textFill>
            <w14:solidFill>
              <w14:schemeClr w14:val="tx1"/>
            </w14:solidFill>
          </w14:textFill>
        </w:rPr>
        <w:t xml:space="preserve">(a) To strengthen its efforts to amend or adopt legislation aimed at increasing the de facto participation of women in political and public life and to pursue sustained policies aimed at the promotion of women’s full and equal participation in decision-making as a democratic requirement in </w:t>
      </w:r>
      <w:r>
        <w:rPr>
          <w:rFonts w:ascii="Calibri" w:hAnsi="Calibri" w:eastAsia="Roboto" w:cs="Calibri"/>
          <w:color w:val="000000" w:themeColor="text1"/>
          <w:sz w:val="20"/>
          <w:szCs w:val="20"/>
          <w14:textFill>
            <w14:solidFill>
              <w14:schemeClr w14:val="tx1"/>
            </w14:solidFill>
          </w14:textFill>
        </w:rPr>
        <w:t>all areas of public, political and professional life by giving effect to general recommendation No. 23 of the Committee, on women in political and public life;</w:t>
      </w:r>
    </w:p>
    <w:p>
      <w:pPr>
        <w:spacing w:line="240" w:lineRule="auto"/>
        <w:rPr>
          <w:rFonts w:ascii="Calibri" w:hAnsi="Calibri" w:eastAsia="Roboto" w:cs="Calibri"/>
          <w:color w:val="000000" w:themeColor="text1"/>
          <w:sz w:val="20"/>
          <w:szCs w:val="20"/>
          <w14:textFill>
            <w14:solidFill>
              <w14:schemeClr w14:val="tx1"/>
            </w14:solidFill>
          </w14:textFill>
        </w:rPr>
      </w:pPr>
      <w:r>
        <w:rPr>
          <w:rFonts w:ascii="Calibri" w:hAnsi="Calibri" w:eastAsia="Roboto" w:cs="Calibri"/>
          <w:color w:val="000000" w:themeColor="text1"/>
          <w:sz w:val="20"/>
          <w:szCs w:val="20"/>
          <w14:textFill>
            <w14:solidFill>
              <w14:schemeClr w14:val="tx1"/>
            </w14:solidFill>
          </w14:textFill>
        </w:rPr>
        <w:t>(b) To adopt and implement temporary special measures in accordance with article 4 (1) of the Convention and general recommendation No. 25 of the Committee in order to accelerate women’s full and equal participation in political and public life, in particular with regard to Amerindian women;</w:t>
      </w:r>
    </w:p>
    <w:p>
      <w:pPr>
        <w:spacing w:line="240" w:lineRule="auto"/>
        <w:rPr>
          <w:rFonts w:ascii="Calibri" w:hAnsi="Calibri" w:eastAsia="Roboto" w:cs="Calibri"/>
          <w:color w:val="3C4043"/>
          <w:sz w:val="20"/>
          <w:szCs w:val="20"/>
        </w:rPr>
      </w:pPr>
      <w:r>
        <w:rPr>
          <w:rFonts w:ascii="Calibri" w:hAnsi="Calibri" w:eastAsia="Roboto" w:cs="Calibri"/>
          <w:color w:val="000000" w:themeColor="text1"/>
          <w:sz w:val="20"/>
          <w:szCs w:val="20"/>
          <w14:textFill>
            <w14:solidFill>
              <w14:schemeClr w14:val="tx1"/>
            </w14:solidFill>
          </w14:textFill>
        </w:rPr>
        <w:t>(c) To carry out awareness-raising campaigns targeting both men and women aimed at eliminating patriarchal attitudes and stereotypes regarding roles for men and women and at highlighting the importance of women’s full and equal participation in political and public life and in decision-making positions in the public and private sectors and in all fields.</w:t>
      </w:r>
      <w:r>
        <w:rPr>
          <w:rFonts w:ascii="Calibri" w:hAnsi="Calibri" w:eastAsia="Nunito" w:cs="Calibri"/>
          <w:color w:val="000000" w:themeColor="text1"/>
          <w:sz w:val="20"/>
          <w:szCs w:val="20"/>
          <w14:textFill>
            <w14:solidFill>
              <w14:schemeClr w14:val="tx1"/>
            </w14:solidFill>
          </w14:textFill>
        </w:rPr>
        <w:t xml:space="preserve"> </w:t>
      </w:r>
    </w:p>
  </w:footnote>
  <w:footnote w:id="38">
    <w:p>
      <w:pPr>
        <w:spacing w:line="240" w:lineRule="auto"/>
        <w:rPr>
          <w:rFonts w:ascii="Calibri" w:hAnsi="Calibri" w:cs="Calibri"/>
          <w:sz w:val="20"/>
          <w:szCs w:val="20"/>
        </w:rPr>
      </w:pPr>
      <w:r>
        <w:rPr>
          <w:rFonts w:ascii="Calibri" w:hAnsi="Calibri" w:cs="Calibri"/>
          <w:sz w:val="20"/>
          <w:szCs w:val="20"/>
          <w:vertAlign w:val="superscript"/>
        </w:rPr>
        <w:footnoteRef/>
      </w:r>
      <w:r>
        <w:rPr>
          <w:rFonts w:ascii="Calibri" w:hAnsi="Calibri" w:cs="Calibri"/>
          <w:sz w:val="20"/>
          <w:szCs w:val="20"/>
        </w:rPr>
        <w:t xml:space="preserve"> Replies of Guyana to the list of issues, CEDAW/C/GUY/Q/9/Add.1, paras 77-78.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distribute"/>
      <w:rPr>
        <w:rFonts w:asciiTheme="majorHAnsi" w:hAnsiTheme="majorHAnsi" w:cstheme="majorHAnsi"/>
        <w:color w:val="C4BD97" w:themeColor="background2" w:themeShade="BF"/>
        <w:sz w:val="36"/>
        <w14:shadow w14:blurRad="50800" w14:dist="38100" w14:dir="2700000" w14:sx="100000" w14:sy="100000" w14:kx="0" w14:ky="0" w14:algn="tl">
          <w14:srgbClr w14:val="000000">
            <w14:alpha w14:val="60000"/>
          </w14:srgbClr>
        </w14:shadow>
      </w:rPr>
    </w:pPr>
    <w:r>
      <w:rPr>
        <w:rFonts w:asciiTheme="majorHAnsi" w:hAnsiTheme="majorHAnsi" w:cstheme="majorHAnsi"/>
        <w:lang w:val="en-US"/>
      </w:rPr>
      <w:drawing>
        <wp:anchor distT="0" distB="0" distL="114300" distR="114300" simplePos="0" relativeHeight="251660288" behindDoc="0" locked="0" layoutInCell="1" allowOverlap="1">
          <wp:simplePos x="0" y="0"/>
          <wp:positionH relativeFrom="margin">
            <wp:posOffset>-177800</wp:posOffset>
          </wp:positionH>
          <wp:positionV relativeFrom="paragraph">
            <wp:posOffset>-298450</wp:posOffset>
          </wp:positionV>
          <wp:extent cx="1314450" cy="13144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14450" cy="1314450"/>
                  </a:xfrm>
                  <a:prstGeom prst="rect">
                    <a:avLst/>
                  </a:prstGeom>
                  <a:noFill/>
                </pic:spPr>
              </pic:pic>
            </a:graphicData>
          </a:graphic>
        </wp:anchor>
      </w:drawing>
    </w:r>
    <w:r>
      <w:rPr>
        <w:rFonts w:asciiTheme="majorHAnsi" w:hAnsiTheme="majorHAnsi" w:cstheme="majorHAnsi"/>
        <w:color w:val="C4BD97" w:themeColor="background2" w:themeShade="BF"/>
        <w:sz w:val="36"/>
        <w14:shadow w14:blurRad="50800" w14:dist="38100" w14:dir="2700000" w14:sx="100000" w14:sy="100000" w14:kx="0" w14:ky="0" w14:algn="tl">
          <w14:srgbClr w14:val="000000">
            <w14:alpha w14:val="60000"/>
          </w14:srgbClr>
        </w14:shadow>
      </w:rPr>
      <w:t xml:space="preserve"> SOUTH RUPUNUNI DISTRICT COUNCIL</w:t>
    </w:r>
  </w:p>
  <w:p>
    <w:pPr>
      <w:pStyle w:val="13"/>
      <w:jc w:val="distribute"/>
      <w:rPr>
        <w:rFonts w:asciiTheme="majorHAnsi" w:hAnsiTheme="majorHAnsi" w:cstheme="majorHAnsi"/>
        <w:color w:val="C4BD97" w:themeColor="background2" w:themeShade="BF"/>
        <w:sz w:val="28"/>
      </w:rPr>
    </w:pPr>
  </w:p>
  <w:p>
    <w:pPr>
      <w:pStyle w:val="13"/>
      <w:jc w:val="distribute"/>
      <w:rPr>
        <w:color w:val="C4BD97" w:themeColor="background2" w:themeShade="BF"/>
      </w:rPr>
    </w:pPr>
    <w:r>
      <w:rPr>
        <w:rFonts w:asciiTheme="majorHAnsi" w:hAnsiTheme="majorHAnsi" w:cstheme="majorHAnsi"/>
        <w:color w:val="C4BD97" w:themeColor="background2" w:themeShade="BF"/>
      </w:rPr>
      <w:t xml:space="preserve">South Rupununi, Region 9, Guyana | </w:t>
    </w:r>
    <w:r>
      <w:fldChar w:fldCharType="begin"/>
    </w:r>
    <w:r>
      <w:instrText xml:space="preserve"> HYPERLINK "mailto:southrupununidistrictcouncil@gmail.com" </w:instrText>
    </w:r>
    <w:r>
      <w:fldChar w:fldCharType="separate"/>
    </w:r>
    <w:r>
      <w:rPr>
        <w:rStyle w:val="22"/>
        <w:rFonts w:asciiTheme="majorHAnsi" w:hAnsiTheme="majorHAnsi" w:cstheme="majorHAnsi"/>
      </w:rPr>
      <w:t>southrupununidistrictcouncil@gmail.com</w:t>
    </w:r>
    <w:r>
      <w:rPr>
        <w:rStyle w:val="22"/>
        <w:rFonts w:asciiTheme="majorHAnsi" w:hAnsiTheme="majorHAnsi" w:cstheme="majorHAnsi"/>
      </w:rPr>
      <w:fldChar w:fldCharType="end"/>
    </w:r>
  </w:p>
  <w:p>
    <w:pPr>
      <w:pStyle w:val="13"/>
      <w:jc w:val="distribute"/>
      <w:rPr>
        <w:color w:val="C4BD97" w:themeColor="background2" w:themeShade="BF"/>
      </w:rPr>
    </w:pPr>
  </w:p>
  <w:p>
    <w:pPr>
      <w:pStyle w:val="13"/>
      <w:jc w:val="distribute"/>
      <w:rPr>
        <w:color w:val="C4BD97" w:themeColor="background2" w:themeShade="BF"/>
      </w:rPr>
    </w:pPr>
  </w:p>
  <w:p>
    <w:pPr>
      <w:pStyle w:val="13"/>
    </w:pPr>
  </w:p>
  <w:p>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distribute"/>
      <w:rPr>
        <w:rFonts w:asciiTheme="majorHAnsi" w:hAnsiTheme="majorHAnsi" w:cstheme="majorHAnsi"/>
        <w:color w:val="C4BD97" w:themeColor="background2" w:themeShade="BF"/>
        <w:sz w:val="36"/>
        <w14:shadow w14:blurRad="50800" w14:dist="38100" w14:dir="2700000" w14:sx="100000" w14:sy="100000" w14:kx="0" w14:ky="0" w14:algn="tl">
          <w14:srgbClr w14:val="000000">
            <w14:alpha w14:val="60000"/>
          </w14:srgbClr>
        </w14:shadow>
      </w:rPr>
    </w:pPr>
    <w:r>
      <w:rPr>
        <w:rFonts w:asciiTheme="majorHAnsi" w:hAnsiTheme="majorHAnsi" w:cstheme="majorHAnsi"/>
        <w:lang w:val="en-US"/>
      </w:rPr>
      <w:drawing>
        <wp:anchor distT="0" distB="0" distL="114300" distR="114300" simplePos="0" relativeHeight="251658240" behindDoc="0" locked="0" layoutInCell="1" allowOverlap="1">
          <wp:simplePos x="0" y="0"/>
          <wp:positionH relativeFrom="margin">
            <wp:posOffset>-177800</wp:posOffset>
          </wp:positionH>
          <wp:positionV relativeFrom="paragraph">
            <wp:posOffset>-298450</wp:posOffset>
          </wp:positionV>
          <wp:extent cx="1314450" cy="1314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14450" cy="1314450"/>
                  </a:xfrm>
                  <a:prstGeom prst="rect">
                    <a:avLst/>
                  </a:prstGeom>
                  <a:noFill/>
                </pic:spPr>
              </pic:pic>
            </a:graphicData>
          </a:graphic>
        </wp:anchor>
      </w:drawing>
    </w:r>
    <w:r>
      <w:rPr>
        <w:rFonts w:asciiTheme="majorHAnsi" w:hAnsiTheme="majorHAnsi" w:cstheme="majorHAnsi"/>
        <w:color w:val="C4BD97" w:themeColor="background2" w:themeShade="BF"/>
        <w:sz w:val="36"/>
        <w14:shadow w14:blurRad="50800" w14:dist="38100" w14:dir="2700000" w14:sx="100000" w14:sy="100000" w14:kx="0" w14:ky="0" w14:algn="tl">
          <w14:srgbClr w14:val="000000">
            <w14:alpha w14:val="60000"/>
          </w14:srgbClr>
        </w14:shadow>
      </w:rPr>
      <w:t xml:space="preserve"> SOUTH RUPUNUNI DISTRICT COUNCIL</w:t>
    </w:r>
  </w:p>
  <w:p>
    <w:pPr>
      <w:pStyle w:val="13"/>
      <w:jc w:val="distribute"/>
      <w:rPr>
        <w:rFonts w:asciiTheme="majorHAnsi" w:hAnsiTheme="majorHAnsi" w:cstheme="majorHAnsi"/>
        <w:color w:val="C4BD97" w:themeColor="background2" w:themeShade="BF"/>
        <w:sz w:val="28"/>
      </w:rPr>
    </w:pPr>
  </w:p>
  <w:p>
    <w:pPr>
      <w:pStyle w:val="13"/>
      <w:jc w:val="distribute"/>
      <w:rPr>
        <w:color w:val="C4BD97" w:themeColor="background2" w:themeShade="BF"/>
      </w:rPr>
    </w:pPr>
    <w:r>
      <w:rPr>
        <w:rFonts w:asciiTheme="majorHAnsi" w:hAnsiTheme="majorHAnsi" w:cstheme="majorHAnsi"/>
        <w:color w:val="C4BD97" w:themeColor="background2" w:themeShade="BF"/>
      </w:rPr>
      <w:t xml:space="preserve">South Rupununi, Region 9, Guyana | </w:t>
    </w:r>
    <w:r>
      <w:fldChar w:fldCharType="begin"/>
    </w:r>
    <w:r>
      <w:instrText xml:space="preserve"> HYPERLINK "mailto:southrupununidistrictcouncil@gmail.com" </w:instrText>
    </w:r>
    <w:r>
      <w:fldChar w:fldCharType="separate"/>
    </w:r>
    <w:r>
      <w:rPr>
        <w:rStyle w:val="22"/>
        <w:rFonts w:asciiTheme="majorHAnsi" w:hAnsiTheme="majorHAnsi" w:cstheme="majorHAnsi"/>
      </w:rPr>
      <w:t>southrupununidistrictcouncil@gmail.com</w:t>
    </w:r>
    <w:r>
      <w:rPr>
        <w:rStyle w:val="22"/>
        <w:rFonts w:asciiTheme="majorHAnsi" w:hAnsiTheme="majorHAnsi" w:cstheme="majorHAnsi"/>
      </w:rPr>
      <w:fldChar w:fldCharType="end"/>
    </w:r>
  </w:p>
  <w:p>
    <w:pPr>
      <w:pStyle w:val="13"/>
      <w:jc w:val="distribute"/>
      <w:rPr>
        <w:color w:val="C4BD97" w:themeColor="background2" w:themeShade="BF"/>
      </w:rPr>
    </w:pPr>
  </w:p>
  <w:p>
    <w:pPr>
      <w:pStyle w:val="13"/>
      <w:jc w:val="distribute"/>
      <w:rPr>
        <w:color w:val="C4BD97" w:themeColor="background2" w:themeShade="BF"/>
      </w:rPr>
    </w:pPr>
  </w:p>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473EE"/>
    <w:multiLevelType w:val="multilevel"/>
    <w:tmpl w:val="0F3473E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E4F6985"/>
    <w:multiLevelType w:val="multilevel"/>
    <w:tmpl w:val="1E4F698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3353411C"/>
    <w:multiLevelType w:val="multilevel"/>
    <w:tmpl w:val="3353411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5B273F0A"/>
    <w:multiLevelType w:val="multilevel"/>
    <w:tmpl w:val="5B273F0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655948BA"/>
    <w:multiLevelType w:val="multilevel"/>
    <w:tmpl w:val="655948B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70FD5C8D"/>
    <w:multiLevelType w:val="multilevel"/>
    <w:tmpl w:val="70FD5C8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74A94C7C"/>
    <w:multiLevelType w:val="multilevel"/>
    <w:tmpl w:val="74A94C7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2"/>
  </w:num>
  <w:num w:numId="2">
    <w:abstractNumId w:val="5"/>
  </w:num>
  <w:num w:numId="3">
    <w:abstractNumId w:val="0"/>
  </w:num>
  <w:num w:numId="4">
    <w:abstractNumId w:val="4"/>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F02"/>
    <w:rsid w:val="00073A19"/>
    <w:rsid w:val="00076711"/>
    <w:rsid w:val="000B01C9"/>
    <w:rsid w:val="00195CD6"/>
    <w:rsid w:val="001A26C9"/>
    <w:rsid w:val="001A3B83"/>
    <w:rsid w:val="002045BE"/>
    <w:rsid w:val="00287360"/>
    <w:rsid w:val="002B6AC1"/>
    <w:rsid w:val="002F3BD4"/>
    <w:rsid w:val="003405A4"/>
    <w:rsid w:val="0035184A"/>
    <w:rsid w:val="003B30FD"/>
    <w:rsid w:val="004B6204"/>
    <w:rsid w:val="004C6D42"/>
    <w:rsid w:val="004E1967"/>
    <w:rsid w:val="004F43E8"/>
    <w:rsid w:val="006022A9"/>
    <w:rsid w:val="00613EBE"/>
    <w:rsid w:val="00667E17"/>
    <w:rsid w:val="006A120A"/>
    <w:rsid w:val="006F2195"/>
    <w:rsid w:val="00744A48"/>
    <w:rsid w:val="007843BB"/>
    <w:rsid w:val="0086173F"/>
    <w:rsid w:val="00863553"/>
    <w:rsid w:val="008F07DD"/>
    <w:rsid w:val="00910E05"/>
    <w:rsid w:val="00921F7D"/>
    <w:rsid w:val="009D67E7"/>
    <w:rsid w:val="009E6353"/>
    <w:rsid w:val="00A416D0"/>
    <w:rsid w:val="00A436DF"/>
    <w:rsid w:val="00A83584"/>
    <w:rsid w:val="00AA478D"/>
    <w:rsid w:val="00AC4636"/>
    <w:rsid w:val="00AD2BB8"/>
    <w:rsid w:val="00B07C3D"/>
    <w:rsid w:val="00B81FF5"/>
    <w:rsid w:val="00BA11EF"/>
    <w:rsid w:val="00C33D79"/>
    <w:rsid w:val="00C52B3F"/>
    <w:rsid w:val="00C67AE1"/>
    <w:rsid w:val="00C74432"/>
    <w:rsid w:val="00CA45CF"/>
    <w:rsid w:val="00CB657C"/>
    <w:rsid w:val="00CE424C"/>
    <w:rsid w:val="00D0501E"/>
    <w:rsid w:val="00D239DC"/>
    <w:rsid w:val="00D82F73"/>
    <w:rsid w:val="00DA2A44"/>
    <w:rsid w:val="00E2137E"/>
    <w:rsid w:val="00EA157A"/>
    <w:rsid w:val="00EE1F02"/>
    <w:rsid w:val="00F07D7E"/>
    <w:rsid w:val="00F62162"/>
    <w:rsid w:val="00F83088"/>
    <w:rsid w:val="00F84D42"/>
    <w:rsid w:val="7A572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semiHidden="0" w:name="toc 3"/>
    <w:lsdException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unhideWhenUsed/>
    <w:qFormat/>
    <w:uiPriority w:val="9"/>
    <w:pPr>
      <w:keepNext/>
      <w:keepLines/>
      <w:spacing w:before="360" w:after="120"/>
      <w:outlineLvl w:val="1"/>
    </w:pPr>
    <w:rPr>
      <w:sz w:val="32"/>
      <w:szCs w:val="32"/>
    </w:rPr>
  </w:style>
  <w:style w:type="paragraph" w:styleId="4">
    <w:name w:val="heading 3"/>
    <w:basedOn w:val="1"/>
    <w:next w:val="1"/>
    <w:unhideWhenUsed/>
    <w:qFormat/>
    <w:uiPriority w:val="9"/>
    <w:pPr>
      <w:keepNext/>
      <w:keepLines/>
      <w:spacing w:before="320" w:after="80"/>
      <w:outlineLvl w:val="2"/>
    </w:pPr>
    <w:rPr>
      <w:color w:val="434343"/>
      <w:sz w:val="28"/>
      <w:szCs w:val="28"/>
    </w:rPr>
  </w:style>
  <w:style w:type="paragraph" w:styleId="5">
    <w:name w:val="heading 4"/>
    <w:basedOn w:val="1"/>
    <w:next w:val="1"/>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19">
    <w:name w:val="Default Paragraph Font"/>
    <w:semiHidden/>
    <w:unhideWhenUsed/>
    <w:uiPriority w:val="1"/>
  </w:style>
  <w:style w:type="table" w:default="1" w:styleId="23">
    <w:name w:val="Normal Table"/>
    <w:semiHidden/>
    <w:unhideWhenUsed/>
    <w:uiPriority w:val="99"/>
    <w:tblPr>
      <w:tblLayout w:type="fixed"/>
      <w:tblCellMar>
        <w:top w:w="0" w:type="dxa"/>
        <w:left w:w="108" w:type="dxa"/>
        <w:bottom w:w="0" w:type="dxa"/>
        <w:right w:w="108" w:type="dxa"/>
      </w:tblCellMar>
    </w:tblPr>
  </w:style>
  <w:style w:type="paragraph" w:styleId="8">
    <w:name w:val="Balloon Text"/>
    <w:basedOn w:val="1"/>
    <w:link w:val="25"/>
    <w:semiHidden/>
    <w:unhideWhenUsed/>
    <w:uiPriority w:val="99"/>
    <w:pPr>
      <w:spacing w:line="240" w:lineRule="auto"/>
    </w:pPr>
    <w:rPr>
      <w:rFonts w:ascii="Times New Roman" w:hAnsi="Times New Roman" w:cs="Times New Roman"/>
      <w:sz w:val="18"/>
      <w:szCs w:val="18"/>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annotation subject"/>
    <w:basedOn w:val="9"/>
    <w:next w:val="9"/>
    <w:link w:val="26"/>
    <w:semiHidden/>
    <w:unhideWhenUsed/>
    <w:uiPriority w:val="99"/>
    <w:rPr>
      <w:b/>
      <w:bCs/>
    </w:rPr>
  </w:style>
  <w:style w:type="paragraph" w:styleId="11">
    <w:name w:val="footer"/>
    <w:basedOn w:val="1"/>
    <w:link w:val="28"/>
    <w:unhideWhenUsed/>
    <w:qFormat/>
    <w:uiPriority w:val="99"/>
    <w:pPr>
      <w:tabs>
        <w:tab w:val="center" w:pos="4680"/>
        <w:tab w:val="right" w:pos="9360"/>
      </w:tabs>
      <w:spacing w:line="240" w:lineRule="auto"/>
    </w:pPr>
  </w:style>
  <w:style w:type="paragraph" w:styleId="12">
    <w:name w:val="footnote text"/>
    <w:basedOn w:val="1"/>
    <w:link w:val="29"/>
    <w:semiHidden/>
    <w:unhideWhenUsed/>
    <w:uiPriority w:val="99"/>
    <w:pPr>
      <w:spacing w:line="240" w:lineRule="auto"/>
    </w:pPr>
    <w:rPr>
      <w:sz w:val="20"/>
      <w:szCs w:val="20"/>
    </w:rPr>
  </w:style>
  <w:style w:type="paragraph" w:styleId="13">
    <w:name w:val="header"/>
    <w:basedOn w:val="1"/>
    <w:link w:val="27"/>
    <w:unhideWhenUsed/>
    <w:uiPriority w:val="99"/>
    <w:pPr>
      <w:tabs>
        <w:tab w:val="center" w:pos="4680"/>
        <w:tab w:val="right" w:pos="9360"/>
      </w:tabs>
      <w:spacing w:line="240" w:lineRule="auto"/>
    </w:pPr>
  </w:style>
  <w:style w:type="paragraph" w:styleId="14">
    <w:name w:val="Subtitle"/>
    <w:basedOn w:val="1"/>
    <w:next w:val="1"/>
    <w:qFormat/>
    <w:uiPriority w:val="11"/>
    <w:pPr>
      <w:keepNext/>
      <w:keepLines/>
      <w:spacing w:after="320"/>
    </w:pPr>
    <w:rPr>
      <w:color w:val="666666"/>
      <w:sz w:val="30"/>
      <w:szCs w:val="30"/>
    </w:rPr>
  </w:style>
  <w:style w:type="paragraph" w:styleId="15">
    <w:name w:val="Title"/>
    <w:basedOn w:val="1"/>
    <w:next w:val="1"/>
    <w:qFormat/>
    <w:uiPriority w:val="10"/>
    <w:pPr>
      <w:keepNext/>
      <w:keepLines/>
      <w:spacing w:after="60"/>
    </w:pPr>
    <w:rPr>
      <w:sz w:val="52"/>
      <w:szCs w:val="52"/>
    </w:rPr>
  </w:style>
  <w:style w:type="paragraph" w:styleId="16">
    <w:name w:val="toc 2"/>
    <w:basedOn w:val="1"/>
    <w:next w:val="1"/>
    <w:unhideWhenUsed/>
    <w:qFormat/>
    <w:uiPriority w:val="39"/>
    <w:pPr>
      <w:spacing w:after="100"/>
      <w:ind w:left="220"/>
    </w:pPr>
  </w:style>
  <w:style w:type="paragraph" w:styleId="17">
    <w:name w:val="toc 3"/>
    <w:basedOn w:val="1"/>
    <w:next w:val="1"/>
    <w:unhideWhenUsed/>
    <w:uiPriority w:val="39"/>
    <w:pPr>
      <w:spacing w:after="100"/>
      <w:ind w:left="440"/>
    </w:pPr>
  </w:style>
  <w:style w:type="paragraph" w:styleId="18">
    <w:name w:val="toc 4"/>
    <w:basedOn w:val="1"/>
    <w:next w:val="1"/>
    <w:unhideWhenUsed/>
    <w:uiPriority w:val="39"/>
    <w:pPr>
      <w:spacing w:after="100"/>
      <w:ind w:left="660"/>
    </w:pPr>
  </w:style>
  <w:style w:type="character" w:styleId="20">
    <w:name w:val="annotation reference"/>
    <w:basedOn w:val="19"/>
    <w:semiHidden/>
    <w:unhideWhenUsed/>
    <w:uiPriority w:val="99"/>
    <w:rPr>
      <w:sz w:val="16"/>
      <w:szCs w:val="16"/>
    </w:rPr>
  </w:style>
  <w:style w:type="character" w:styleId="21">
    <w:name w:val="footnote reference"/>
    <w:basedOn w:val="19"/>
    <w:semiHidden/>
    <w:unhideWhenUsed/>
    <w:qFormat/>
    <w:uiPriority w:val="99"/>
    <w:rPr>
      <w:vertAlign w:val="superscript"/>
    </w:rPr>
  </w:style>
  <w:style w:type="character" w:styleId="22">
    <w:name w:val="Hyperlink"/>
    <w:basedOn w:val="19"/>
    <w:unhideWhenUsed/>
    <w:qFormat/>
    <w:uiPriority w:val="99"/>
    <w:rPr>
      <w:color w:val="0000FF" w:themeColor="hyperlink"/>
      <w:u w:val="single"/>
      <w14:textFill>
        <w14:solidFill>
          <w14:schemeClr w14:val="hlink"/>
        </w14:solidFill>
      </w14:textFill>
    </w:rPr>
  </w:style>
  <w:style w:type="character" w:customStyle="1" w:styleId="24">
    <w:name w:val="Comment Text Char"/>
    <w:basedOn w:val="19"/>
    <w:link w:val="9"/>
    <w:semiHidden/>
    <w:uiPriority w:val="99"/>
    <w:rPr>
      <w:sz w:val="20"/>
      <w:szCs w:val="20"/>
    </w:rPr>
  </w:style>
  <w:style w:type="character" w:customStyle="1" w:styleId="25">
    <w:name w:val="Balloon Text Char"/>
    <w:basedOn w:val="19"/>
    <w:link w:val="8"/>
    <w:semiHidden/>
    <w:uiPriority w:val="99"/>
    <w:rPr>
      <w:rFonts w:ascii="Times New Roman" w:hAnsi="Times New Roman" w:cs="Times New Roman"/>
      <w:sz w:val="18"/>
      <w:szCs w:val="18"/>
    </w:rPr>
  </w:style>
  <w:style w:type="character" w:customStyle="1" w:styleId="26">
    <w:name w:val="Comment Subject Char"/>
    <w:basedOn w:val="24"/>
    <w:link w:val="10"/>
    <w:semiHidden/>
    <w:uiPriority w:val="99"/>
    <w:rPr>
      <w:b/>
      <w:bCs/>
      <w:sz w:val="20"/>
      <w:szCs w:val="20"/>
    </w:rPr>
  </w:style>
  <w:style w:type="character" w:customStyle="1" w:styleId="27">
    <w:name w:val="Header Char"/>
    <w:basedOn w:val="19"/>
    <w:link w:val="13"/>
    <w:uiPriority w:val="99"/>
  </w:style>
  <w:style w:type="character" w:customStyle="1" w:styleId="28">
    <w:name w:val="Footer Char"/>
    <w:basedOn w:val="19"/>
    <w:link w:val="11"/>
    <w:uiPriority w:val="99"/>
  </w:style>
  <w:style w:type="character" w:customStyle="1" w:styleId="29">
    <w:name w:val="Footnote Text Char"/>
    <w:basedOn w:val="19"/>
    <w:link w:val="12"/>
    <w:semiHidden/>
    <w:uiPriority w:val="99"/>
    <w:rPr>
      <w:sz w:val="20"/>
      <w:szCs w:val="20"/>
    </w:rPr>
  </w:style>
  <w:style w:type="paragraph" w:customStyle="1" w:styleId="30">
    <w:name w:val="Revision"/>
    <w:hidden/>
    <w:semiHidden/>
    <w:uiPriority w:val="99"/>
    <w:pPr>
      <w:spacing w:line="240" w:lineRule="auto"/>
    </w:pPr>
    <w:rPr>
      <w:rFonts w:ascii="Arial" w:hAnsi="Arial" w:eastAsia="Arial" w:cs="Arial"/>
      <w:sz w:val="22"/>
      <w:szCs w:val="22"/>
      <w:lang w:val="en" w:eastAsia="en-US" w:bidi="ar-SA"/>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13" Type="http://schemas.openxmlformats.org/officeDocument/2006/relationships/customXml" Target="../customXml/item4.xml"/><Relationship Id="rId3" Type="http://schemas.openxmlformats.org/officeDocument/2006/relationships/footnotes" Target="footnotes.xml"/><Relationship Id="rId7" Type="http://schemas.openxmlformats.org/officeDocument/2006/relationships/theme" Target="theme/theme1.xml"/><Relationship Id="rId12" Type="http://schemas.openxmlformats.org/officeDocument/2006/relationships/customXml" Target="../customXml/item3.xml"/><Relationship Id="rId2" Type="http://schemas.openxmlformats.org/officeDocument/2006/relationships/settings" Target="settings.xml"/><Relationship Id="rId6" Type="http://schemas.openxmlformats.org/officeDocument/2006/relationships/footer" Target="footer1.xml"/><Relationship Id="rId11" Type="http://schemas.openxmlformats.org/officeDocument/2006/relationships/fontTable" Target="fontTable.xml"/><Relationship Id="rId1" Type="http://schemas.openxmlformats.org/officeDocument/2006/relationships/styles" Target="styles.xml"/><Relationship Id="rId5" Type="http://schemas.openxmlformats.org/officeDocument/2006/relationships/header" Target="header2.xml"/><Relationship Id="rId10" Type="http://schemas.openxmlformats.org/officeDocument/2006/relationships/customXml" Target="../customXml/item2.xml"/><Relationship Id="rId9" Type="http://schemas.openxmlformats.org/officeDocument/2006/relationships/numbering" Target="numbering.xml"/><Relationship Id="rId4" Type="http://schemas.openxmlformats.org/officeDocument/2006/relationships/header" Target="header1.xml"/><Relationship Id="rId14"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20D726-099E-41FE-A0B6-06AD33C8069A}">
  <ds:schemaRefs/>
</ds:datastoreItem>
</file>

<file path=customXml/itemProps3.xml><?xml version="1.0" encoding="utf-8"?>
<ds:datastoreItem xmlns:ds="http://schemas.openxmlformats.org/officeDocument/2006/customXml" ds:itemID="{6F439AC7-9737-428E-990F-16D53D13D791}"/>
</file>

<file path=customXml/itemProps4.xml><?xml version="1.0" encoding="utf-8"?>
<ds:datastoreItem xmlns:ds="http://schemas.openxmlformats.org/officeDocument/2006/customXml" ds:itemID="{1C782C4F-42C3-4EE6-8114-16454E845206}"/>
</file>

<file path=customXml/itemProps5.xml><?xml version="1.0" encoding="utf-8"?>
<ds:datastoreItem xmlns:ds="http://schemas.openxmlformats.org/officeDocument/2006/customXml" ds:itemID="{B541C509-A718-4607-87B3-8346818AA810}"/>
</file>

<file path=docProps/app.xml><?xml version="1.0" encoding="utf-8"?>
<Properties xmlns="http://schemas.openxmlformats.org/officeDocument/2006/extended-properties" xmlns:vt="http://schemas.openxmlformats.org/officeDocument/2006/docPropsVTypes">
  <Template>Normal.dotm</Template>
  <Pages>16</Pages>
  <Words>4512</Words>
  <Characters>26578</Characters>
  <Lines>221</Lines>
  <Paragraphs>62</Paragraphs>
  <TotalTime>1</TotalTime>
  <ScaleCrop>false</ScaleCrop>
  <LinksUpToDate>false</LinksUpToDate>
  <CharactersWithSpaces>31028</CharactersWithSpaces>
  <Application>WPS Office_10.2.0.7516_F1E327BC-269C-435d-A152-05C5408002CA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 - all users</dc:creator>
  <cp:lastModifiedBy>SRDC</cp:lastModifiedBy>
  <cp:revision>2</cp:revision>
  <cp:lastPrinted>2019-06-30T15:37:00Z</cp:lastPrinted>
  <dcterms:created xsi:type="dcterms:W3CDTF">2019-07-02T18:07:00Z</dcterms:created>
  <dcterms:modified xsi:type="dcterms:W3CDTF">2019-07-02T18:34:12Z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1033-10.2.0.7516</vt:lpwstr>
  </property>
  <property fmtid="{D5CDD505-2E9C-101B-9397-08002B2CF9AE}" pid="3" name="ContentTypeId">
    <vt:lpwstr>0x010100F397614B75B84E4C841CE911BA0CCB9D</vt:lpwstr>
  </property>
</Properties>
</file>