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E6052" w14:textId="77777777" w:rsidR="003B3B1D" w:rsidRDefault="001572DC">
      <w:pPr>
        <w:pStyle w:val="Heading1"/>
        <w:keepLines w:val="0"/>
        <w:spacing w:before="0" w:line="240" w:lineRule="auto"/>
        <w:ind w:left="-1440"/>
        <w:rPr>
          <w:rFonts w:ascii="Times New Roman" w:eastAsia="Times New Roman" w:hAnsi="Times New Roman" w:cs="Times New Roman"/>
          <w:b/>
          <w:sz w:val="23"/>
          <w:szCs w:val="23"/>
        </w:rPr>
      </w:pPr>
      <w:bookmarkStart w:id="0" w:name="_heading=h.hz9ygaq6bd16" w:colFirst="0" w:colLast="0"/>
      <w:bookmarkEnd w:id="0"/>
      <w:r>
        <w:rPr>
          <w:rFonts w:ascii="Times New Roman" w:eastAsia="Times New Roman" w:hAnsi="Times New Roman" w:cs="Times New Roman"/>
          <w:b/>
          <w:noProof/>
          <w:sz w:val="23"/>
          <w:szCs w:val="23"/>
        </w:rPr>
        <w:drawing>
          <wp:anchor distT="0" distB="0" distL="114300" distR="114300" simplePos="0" relativeHeight="251658240" behindDoc="0" locked="0" layoutInCell="1" hidden="0" allowOverlap="1" wp14:anchorId="62CEFB6E" wp14:editId="39909031">
            <wp:simplePos x="0" y="0"/>
            <wp:positionH relativeFrom="page">
              <wp:posOffset>9525</wp:posOffset>
            </wp:positionH>
            <wp:positionV relativeFrom="page">
              <wp:posOffset>152400</wp:posOffset>
            </wp:positionV>
            <wp:extent cx="7748588" cy="1390772"/>
            <wp:effectExtent l="0" t="0" r="0" b="0"/>
            <wp:wrapTopAndBottom distT="0" distB="0"/>
            <wp:docPr id="106481210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748588" cy="1390772"/>
                    </a:xfrm>
                    <a:prstGeom prst="rect">
                      <a:avLst/>
                    </a:prstGeom>
                    <a:ln/>
                  </pic:spPr>
                </pic:pic>
              </a:graphicData>
            </a:graphic>
          </wp:anchor>
        </w:drawing>
      </w:r>
    </w:p>
    <w:p w14:paraId="57820C05" w14:textId="77777777" w:rsidR="003B3B1D" w:rsidRDefault="001572DC">
      <w:pPr>
        <w:pStyle w:val="Title"/>
        <w:rPr>
          <w:rFonts w:ascii="Times New Roman" w:hAnsi="Times New Roman"/>
          <w:b/>
          <w:sz w:val="27"/>
          <w:szCs w:val="27"/>
        </w:rPr>
      </w:pPr>
      <w:r>
        <w:t>The compliance of the State of Qatar with the Covenant on Economic, Social and Cultural Rights</w:t>
      </w:r>
    </w:p>
    <w:p w14:paraId="3313FAAD" w14:textId="77777777" w:rsidR="003B3B1D" w:rsidRDefault="001572DC">
      <w:pPr>
        <w:pStyle w:val="Subtitle"/>
      </w:pPr>
      <w:bookmarkStart w:id="1" w:name="_heading=h.i6y6rwhome8m" w:colFirst="0" w:colLast="0"/>
      <w:bookmarkEnd w:id="1"/>
      <w:r>
        <w:t>Concerning Qatari citizens and residents in Qatar who are members of the Bahá'í community</w:t>
      </w:r>
    </w:p>
    <w:p w14:paraId="2084970A" w14:textId="77777777" w:rsidR="003B3B1D" w:rsidRDefault="001572DC">
      <w:pPr>
        <w:spacing w:before="240" w:line="240" w:lineRule="auto"/>
        <w:rPr>
          <w:rFonts w:ascii="Times New Roman" w:eastAsia="Times New Roman" w:hAnsi="Times New Roman" w:cs="Times New Roman"/>
          <w:b/>
          <w:sz w:val="23"/>
          <w:szCs w:val="23"/>
        </w:rPr>
      </w:pPr>
      <w:r>
        <w:rPr>
          <w:rFonts w:ascii="Times New Roman" w:eastAsia="Times New Roman" w:hAnsi="Times New Roman" w:cs="Times New Roman"/>
          <w:b/>
          <w:sz w:val="23"/>
          <w:szCs w:val="23"/>
        </w:rPr>
        <w:t>(August 2023)</w:t>
      </w:r>
    </w:p>
    <w:p w14:paraId="19A32C75" w14:textId="77777777" w:rsidR="003B3B1D" w:rsidRDefault="001572DC">
      <w:pPr>
        <w:spacing w:before="240" w:line="240" w:lineRule="auto"/>
        <w:ind w:right="479"/>
        <w:rPr>
          <w:rFonts w:ascii="Times New Roman" w:eastAsia="Times New Roman" w:hAnsi="Times New Roman" w:cs="Times New Roman"/>
          <w:sz w:val="23"/>
          <w:szCs w:val="23"/>
        </w:rPr>
      </w:pPr>
      <w:r>
        <w:rPr>
          <w:rFonts w:ascii="Times New Roman" w:eastAsia="Times New Roman" w:hAnsi="Times New Roman" w:cs="Times New Roman"/>
          <w:sz w:val="23"/>
          <w:szCs w:val="23"/>
        </w:rPr>
        <w:t>The following document provides information regarding the report of the government of Qatar on the implementation of the International Covenant on Econo</w:t>
      </w:r>
      <w:r>
        <w:rPr>
          <w:rFonts w:ascii="Times New Roman" w:eastAsia="Times New Roman" w:hAnsi="Times New Roman" w:cs="Times New Roman"/>
          <w:sz w:val="23"/>
          <w:szCs w:val="23"/>
        </w:rPr>
        <w:t xml:space="preserve">mic, Social, and Cultural Rights (ICESCR).  </w:t>
      </w:r>
    </w:p>
    <w:p w14:paraId="23ED4578" w14:textId="77777777" w:rsidR="003B3B1D" w:rsidRDefault="001572DC">
      <w:pPr>
        <w:spacing w:before="240" w:line="240" w:lineRule="auto"/>
        <w:ind w:right="479"/>
        <w:rPr>
          <w:rFonts w:ascii="Times New Roman" w:eastAsia="Times New Roman" w:hAnsi="Times New Roman" w:cs="Times New Roman"/>
          <w:sz w:val="23"/>
          <w:szCs w:val="23"/>
        </w:rPr>
      </w:pPr>
      <w:r>
        <w:rPr>
          <w:rFonts w:ascii="Times New Roman" w:eastAsia="Times New Roman" w:hAnsi="Times New Roman" w:cs="Times New Roman"/>
          <w:sz w:val="23"/>
          <w:szCs w:val="23"/>
        </w:rPr>
        <w:t>Baháʼís have been living in Qatar since the 1940s, representing over 30 different nationalities, including Qataris. However, members of the Bahá’í community in Qatar have gradually been deprived of certain right</w:t>
      </w:r>
      <w:r>
        <w:rPr>
          <w:rFonts w:ascii="Times New Roman" w:eastAsia="Times New Roman" w:hAnsi="Times New Roman" w:cs="Times New Roman"/>
          <w:sz w:val="23"/>
          <w:szCs w:val="23"/>
        </w:rPr>
        <w:t xml:space="preserve">s and freedoms guaranteed by the ICESCR. Qatar’s actions indicate a gradual effort to eradicate the Bahá'í community, with specific human rights violations targeting them. </w:t>
      </w:r>
    </w:p>
    <w:p w14:paraId="608ED293" w14:textId="77777777" w:rsidR="003B3B1D" w:rsidRDefault="001572DC">
      <w:pPr>
        <w:spacing w:before="240" w:line="240" w:lineRule="auto"/>
        <w:ind w:right="479"/>
        <w:rPr>
          <w:rFonts w:ascii="Times New Roman" w:eastAsia="Times New Roman" w:hAnsi="Times New Roman" w:cs="Times New Roman"/>
          <w:sz w:val="23"/>
          <w:szCs w:val="23"/>
        </w:rPr>
      </w:pPr>
      <w:r>
        <w:rPr>
          <w:rFonts w:ascii="Times New Roman" w:eastAsia="Times New Roman" w:hAnsi="Times New Roman" w:cs="Times New Roman"/>
          <w:sz w:val="23"/>
          <w:szCs w:val="23"/>
        </w:rPr>
        <w:t>Throughout the text, footnote references contain links to supporting documents avai</w:t>
      </w:r>
      <w:r>
        <w:rPr>
          <w:rFonts w:ascii="Times New Roman" w:eastAsia="Times New Roman" w:hAnsi="Times New Roman" w:cs="Times New Roman"/>
          <w:sz w:val="23"/>
          <w:szCs w:val="23"/>
        </w:rPr>
        <w:t>lable electronically.  The print copies transmitted to the Committee include all of this supporting documentation.</w:t>
      </w:r>
    </w:p>
    <w:p w14:paraId="62314444" w14:textId="77777777" w:rsidR="003B3B1D" w:rsidRDefault="001572DC">
      <w:pPr>
        <w:spacing w:before="240" w:line="240" w:lineRule="auto"/>
        <w:ind w:right="569"/>
        <w:rPr>
          <w:rFonts w:ascii="Times New Roman" w:eastAsia="Times New Roman" w:hAnsi="Times New Roman" w:cs="Times New Roman"/>
          <w:sz w:val="23"/>
          <w:szCs w:val="23"/>
        </w:rPr>
      </w:pPr>
      <w:r>
        <w:rPr>
          <w:rFonts w:ascii="Times New Roman" w:eastAsia="Times New Roman" w:hAnsi="Times New Roman" w:cs="Times New Roman"/>
          <w:sz w:val="23"/>
          <w:szCs w:val="23"/>
        </w:rPr>
        <w:t>For additional information, please visit:</w:t>
      </w:r>
    </w:p>
    <w:p w14:paraId="1714D001" w14:textId="77777777" w:rsidR="003B3B1D" w:rsidRDefault="001572DC">
      <w:pPr>
        <w:spacing w:before="240" w:line="240" w:lineRule="auto"/>
        <w:ind w:right="569"/>
        <w:rPr>
          <w:rFonts w:ascii="Times New Roman" w:eastAsia="Times New Roman" w:hAnsi="Times New Roman" w:cs="Times New Roman"/>
          <w:sz w:val="23"/>
          <w:szCs w:val="23"/>
        </w:rPr>
      </w:pPr>
      <w:hyperlink r:id="rId9">
        <w:r>
          <w:rPr>
            <w:rFonts w:ascii="Times New Roman" w:eastAsia="Times New Roman" w:hAnsi="Times New Roman" w:cs="Times New Roman"/>
            <w:color w:val="0563C1"/>
            <w:sz w:val="23"/>
            <w:szCs w:val="23"/>
            <w:u w:val="single"/>
          </w:rPr>
          <w:t>https://www.bic.org/statements/stat</w:t>
        </w:r>
        <w:r>
          <w:rPr>
            <w:rFonts w:ascii="Times New Roman" w:eastAsia="Times New Roman" w:hAnsi="Times New Roman" w:cs="Times New Roman"/>
            <w:color w:val="0563C1"/>
            <w:sz w:val="23"/>
            <w:szCs w:val="23"/>
            <w:u w:val="single"/>
          </w:rPr>
          <w:t>ement-qatar</w:t>
        </w:r>
      </w:hyperlink>
      <w:r>
        <w:rPr>
          <w:rFonts w:ascii="Times New Roman" w:eastAsia="Times New Roman" w:hAnsi="Times New Roman" w:cs="Times New Roman"/>
          <w:sz w:val="23"/>
          <w:szCs w:val="23"/>
        </w:rPr>
        <w:t xml:space="preserve"> </w:t>
      </w:r>
    </w:p>
    <w:p w14:paraId="147C6E0A" w14:textId="77777777" w:rsidR="003B3B1D" w:rsidRDefault="001572DC">
      <w:pPr>
        <w:spacing w:before="240" w:line="240" w:lineRule="auto"/>
        <w:ind w:right="569"/>
        <w:rPr>
          <w:rFonts w:ascii="Times New Roman" w:eastAsia="Times New Roman" w:hAnsi="Times New Roman" w:cs="Times New Roman"/>
          <w:b/>
          <w:sz w:val="23"/>
          <w:szCs w:val="23"/>
        </w:rPr>
      </w:pPr>
      <w:hyperlink r:id="rId10">
        <w:r>
          <w:rPr>
            <w:rFonts w:ascii="Times New Roman" w:eastAsia="Times New Roman" w:hAnsi="Times New Roman" w:cs="Times New Roman"/>
            <w:color w:val="0563C1"/>
            <w:sz w:val="23"/>
            <w:szCs w:val="23"/>
            <w:u w:val="single"/>
          </w:rPr>
          <w:t>https://www.almeezan.qa/LawPage.aspx?id=2284&amp;language=en</w:t>
        </w:r>
      </w:hyperlink>
      <w:r>
        <w:rPr>
          <w:rFonts w:ascii="Times New Roman" w:eastAsia="Times New Roman" w:hAnsi="Times New Roman" w:cs="Times New Roman"/>
          <w:sz w:val="23"/>
          <w:szCs w:val="23"/>
        </w:rPr>
        <w:t xml:space="preserve"> </w:t>
      </w:r>
    </w:p>
    <w:p w14:paraId="0496278A" w14:textId="77777777" w:rsidR="003B3B1D" w:rsidRDefault="003B3B1D">
      <w:pPr>
        <w:spacing w:before="240" w:line="240" w:lineRule="auto"/>
        <w:ind w:right="569"/>
        <w:rPr>
          <w:rFonts w:ascii="Times New Roman" w:eastAsia="Times New Roman" w:hAnsi="Times New Roman" w:cs="Times New Roman"/>
          <w:b/>
          <w:sz w:val="23"/>
          <w:szCs w:val="23"/>
        </w:rPr>
      </w:pPr>
    </w:p>
    <w:p w14:paraId="0F778B90" w14:textId="77777777" w:rsidR="003B3B1D" w:rsidRDefault="003B3B1D">
      <w:pPr>
        <w:spacing w:before="240" w:line="240" w:lineRule="auto"/>
        <w:ind w:right="569"/>
        <w:rPr>
          <w:rFonts w:ascii="Times New Roman" w:eastAsia="Times New Roman" w:hAnsi="Times New Roman" w:cs="Times New Roman"/>
          <w:b/>
          <w:sz w:val="23"/>
          <w:szCs w:val="23"/>
        </w:rPr>
      </w:pPr>
    </w:p>
    <w:p w14:paraId="7831D027" w14:textId="77777777" w:rsidR="003B3B1D" w:rsidRDefault="001572DC">
      <w:pPr>
        <w:spacing w:before="240" w:line="240" w:lineRule="auto"/>
        <w:ind w:right="569"/>
        <w:rPr>
          <w:rFonts w:ascii="Times New Roman" w:eastAsia="Times New Roman" w:hAnsi="Times New Roman" w:cs="Times New Roman"/>
          <w:b/>
          <w:sz w:val="23"/>
          <w:szCs w:val="23"/>
        </w:rPr>
      </w:pPr>
      <w:r>
        <w:rPr>
          <w:rFonts w:ascii="Times New Roman" w:eastAsia="Times New Roman" w:hAnsi="Times New Roman" w:cs="Times New Roman"/>
          <w:b/>
          <w:sz w:val="23"/>
          <w:szCs w:val="23"/>
        </w:rPr>
        <w:t>CONTENTS</w:t>
      </w:r>
    </w:p>
    <w:sdt>
      <w:sdtPr>
        <w:rPr>
          <w:rtl/>
        </w:rPr>
        <w:id w:val="-1892260641"/>
        <w:docPartObj>
          <w:docPartGallery w:val="Table of Contents"/>
          <w:docPartUnique/>
        </w:docPartObj>
      </w:sdtPr>
      <w:sdtEndPr/>
      <w:sdtContent>
        <w:p w14:paraId="2A0B54E4" w14:textId="77777777" w:rsidR="003B3B1D" w:rsidRDefault="001572DC">
          <w:pPr>
            <w:widowControl w:val="0"/>
            <w:tabs>
              <w:tab w:val="right" w:leader="dot" w:pos="12000"/>
            </w:tabs>
            <w:spacing w:before="60" w:after="0" w:line="360" w:lineRule="auto"/>
            <w:rPr>
              <w:b/>
              <w:color w:val="000000"/>
            </w:rPr>
          </w:pPr>
          <w:r>
            <w:fldChar w:fldCharType="begin"/>
          </w:r>
          <w:r>
            <w:instrText xml:space="preserve"> TOC \h \u \z \t "Heading 1,</w:instrText>
          </w:r>
          <w:r>
            <w:instrText>1,Heading 3,3,Heading 4,4,Heading 5,5,Heading 6,6,"</w:instrText>
          </w:r>
          <w:r>
            <w:fldChar w:fldCharType="separate"/>
          </w:r>
          <w:hyperlink w:anchor="_heading=h.k6rymimrhpyo">
            <w:r>
              <w:rPr>
                <w:rFonts w:ascii="Times New Roman" w:eastAsia="Times New Roman" w:hAnsi="Times New Roman" w:cs="Times New Roman"/>
                <w:color w:val="000000"/>
                <w:sz w:val="23"/>
                <w:szCs w:val="23"/>
              </w:rPr>
              <w:t>Article 6 – Denial of the Right to Work</w:t>
            </w:r>
            <w:r>
              <w:rPr>
                <w:rFonts w:ascii="Times New Roman" w:eastAsia="Times New Roman" w:hAnsi="Times New Roman" w:cs="Times New Roman"/>
                <w:color w:val="000000"/>
                <w:sz w:val="23"/>
                <w:szCs w:val="23"/>
              </w:rPr>
              <w:tab/>
              <w:t>2</w:t>
            </w:r>
          </w:hyperlink>
        </w:p>
        <w:p w14:paraId="0FC477E3" w14:textId="77777777" w:rsidR="003B3B1D" w:rsidRDefault="001572DC">
          <w:pPr>
            <w:widowControl w:val="0"/>
            <w:tabs>
              <w:tab w:val="right" w:leader="dot" w:pos="12000"/>
            </w:tabs>
            <w:spacing w:before="60" w:after="0" w:line="360" w:lineRule="auto"/>
            <w:rPr>
              <w:b/>
              <w:color w:val="000000"/>
            </w:rPr>
          </w:pPr>
          <w:hyperlink w:anchor="_heading=h.y6sjwns6e1ko">
            <w:r>
              <w:rPr>
                <w:rFonts w:ascii="Times New Roman" w:eastAsia="Times New Roman" w:hAnsi="Times New Roman" w:cs="Times New Roman"/>
                <w:color w:val="000000"/>
                <w:sz w:val="23"/>
                <w:szCs w:val="23"/>
              </w:rPr>
              <w:t>Article 10 – Denial of the Right to Preserve Family Ties</w:t>
            </w:r>
            <w:r>
              <w:rPr>
                <w:rFonts w:ascii="Times New Roman" w:eastAsia="Times New Roman" w:hAnsi="Times New Roman" w:cs="Times New Roman"/>
                <w:color w:val="000000"/>
                <w:sz w:val="23"/>
                <w:szCs w:val="23"/>
              </w:rPr>
              <w:tab/>
              <w:t>3</w:t>
            </w:r>
          </w:hyperlink>
        </w:p>
        <w:p w14:paraId="7F37F6C2" w14:textId="77777777" w:rsidR="003B3B1D" w:rsidRDefault="001572DC">
          <w:pPr>
            <w:widowControl w:val="0"/>
            <w:tabs>
              <w:tab w:val="right" w:leader="dot" w:pos="12000"/>
            </w:tabs>
            <w:spacing w:before="60" w:after="0" w:line="360" w:lineRule="auto"/>
            <w:rPr>
              <w:b/>
              <w:color w:val="000000"/>
            </w:rPr>
          </w:pPr>
          <w:hyperlink w:anchor="_heading=h.w0vk8g259evs">
            <w:r>
              <w:rPr>
                <w:rFonts w:ascii="Times New Roman" w:eastAsia="Times New Roman" w:hAnsi="Times New Roman" w:cs="Times New Roman"/>
                <w:color w:val="000000"/>
                <w:sz w:val="23"/>
                <w:szCs w:val="23"/>
              </w:rPr>
              <w:t>Article 15 – Denial of the Right to Take Part in Cultural Life</w:t>
            </w:r>
            <w:r>
              <w:rPr>
                <w:rFonts w:ascii="Times New Roman" w:eastAsia="Times New Roman" w:hAnsi="Times New Roman" w:cs="Times New Roman"/>
                <w:color w:val="000000"/>
                <w:sz w:val="23"/>
                <w:szCs w:val="23"/>
              </w:rPr>
              <w:tab/>
              <w:t>4</w:t>
            </w:r>
          </w:hyperlink>
        </w:p>
        <w:p w14:paraId="210272A1" w14:textId="77777777" w:rsidR="003B3B1D" w:rsidRDefault="001572DC">
          <w:pPr>
            <w:widowControl w:val="0"/>
            <w:tabs>
              <w:tab w:val="right" w:leader="dot" w:pos="12000"/>
            </w:tabs>
            <w:spacing w:before="60" w:after="0" w:line="360" w:lineRule="auto"/>
            <w:rPr>
              <w:b/>
              <w:color w:val="000000"/>
            </w:rPr>
          </w:pPr>
          <w:hyperlink w:anchor="_heading=h.ss4s42k3cxuh">
            <w:r>
              <w:rPr>
                <w:rFonts w:ascii="Times New Roman" w:eastAsia="Times New Roman" w:hAnsi="Times New Roman" w:cs="Times New Roman"/>
                <w:color w:val="000000"/>
                <w:sz w:val="23"/>
                <w:szCs w:val="23"/>
              </w:rPr>
              <w:t>Conclusion</w:t>
            </w:r>
            <w:r>
              <w:rPr>
                <w:rFonts w:ascii="Times New Roman" w:eastAsia="Times New Roman" w:hAnsi="Times New Roman" w:cs="Times New Roman"/>
                <w:color w:val="000000"/>
                <w:sz w:val="23"/>
                <w:szCs w:val="23"/>
              </w:rPr>
              <w:tab/>
              <w:t>6</w:t>
            </w:r>
          </w:hyperlink>
          <w:r>
            <w:fldChar w:fldCharType="end"/>
          </w:r>
        </w:p>
      </w:sdtContent>
    </w:sdt>
    <w:p w14:paraId="75F45198" w14:textId="77777777" w:rsidR="003B3B1D" w:rsidRDefault="003B3B1D">
      <w:pPr>
        <w:spacing w:before="240" w:line="240" w:lineRule="auto"/>
        <w:ind w:right="569"/>
        <w:rPr>
          <w:rFonts w:ascii="Times New Roman" w:eastAsia="Times New Roman" w:hAnsi="Times New Roman" w:cs="Times New Roman"/>
          <w:b/>
          <w:sz w:val="23"/>
          <w:szCs w:val="23"/>
        </w:rPr>
      </w:pPr>
    </w:p>
    <w:p w14:paraId="38EB1C85" w14:textId="77777777" w:rsidR="003B3B1D" w:rsidRDefault="001572DC">
      <w:pPr>
        <w:pStyle w:val="Heading1"/>
        <w:spacing w:line="240" w:lineRule="auto"/>
        <w:ind w:right="569"/>
      </w:pPr>
      <w:bookmarkStart w:id="2" w:name="_heading=h.k6rymimrhpyo" w:colFirst="0" w:colLast="0"/>
      <w:bookmarkEnd w:id="2"/>
      <w:r>
        <w:lastRenderedPageBreak/>
        <w:t>Article 6 – Denial of the Right to Work</w:t>
      </w:r>
    </w:p>
    <w:p w14:paraId="2EB1EE2A"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Many Bahá’ís in Qatar have faced dismissals from their employment positions solely due to their religion. This discrimination spans various professions, including the public sector, particularly in more outward-facing governmental sectors, and continues to</w:t>
      </w:r>
      <w:r>
        <w:rPr>
          <w:rFonts w:ascii="Times New Roman" w:eastAsia="Times New Roman" w:hAnsi="Times New Roman" w:cs="Times New Roman"/>
          <w:sz w:val="23"/>
          <w:szCs w:val="23"/>
        </w:rPr>
        <w:t xml:space="preserve"> be an ongoing issue. Bahá'í residents in Qatar are denied the right to work through various means, such as sudden terminations of work and contracts, refusal to issue 'certificates of good conduct,' and exclusion and restrictions in the 'sensitive' educat</w:t>
      </w:r>
      <w:r>
        <w:rPr>
          <w:rFonts w:ascii="Times New Roman" w:eastAsia="Times New Roman" w:hAnsi="Times New Roman" w:cs="Times New Roman"/>
          <w:sz w:val="23"/>
          <w:szCs w:val="23"/>
        </w:rPr>
        <w:t>ion sector. These actions violate Article 6 of ICESCR, making it a discriminatory approach that denies the right to work for Bahá’ís in Qatar. Additionally, this discriminatory approach also contravenes Article 28 of Qatar constitution that guarantees free</w:t>
      </w:r>
      <w:r>
        <w:rPr>
          <w:rFonts w:ascii="Times New Roman" w:eastAsia="Times New Roman" w:hAnsi="Times New Roman" w:cs="Times New Roman"/>
          <w:sz w:val="23"/>
          <w:szCs w:val="23"/>
        </w:rPr>
        <w:t xml:space="preserve">dom of economic enterprise based on social justice and aims to achieve socio-economic development and ensure public welfare. </w:t>
      </w:r>
    </w:p>
    <w:p w14:paraId="7B0A7E8C"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The most pivotal institutional discriminatory gauge/driver for prohibiting Bahá'í residents in Qatar from securing a job has been </w:t>
      </w:r>
      <w:r>
        <w:rPr>
          <w:rFonts w:ascii="Times New Roman" w:eastAsia="Times New Roman" w:hAnsi="Times New Roman" w:cs="Times New Roman"/>
          <w:sz w:val="23"/>
          <w:szCs w:val="23"/>
        </w:rPr>
        <w:t xml:space="preserve">related to the denial of issuing a </w:t>
      </w:r>
      <w:r>
        <w:rPr>
          <w:rFonts w:ascii="Times New Roman" w:eastAsia="Times New Roman" w:hAnsi="Times New Roman" w:cs="Times New Roman"/>
          <w:b/>
          <w:sz w:val="23"/>
          <w:szCs w:val="23"/>
        </w:rPr>
        <w:t>‘certificate of good conduct’</w:t>
      </w:r>
      <w:r>
        <w:rPr>
          <w:rFonts w:ascii="Times New Roman" w:eastAsia="Times New Roman" w:hAnsi="Times New Roman" w:cs="Times New Roman"/>
          <w:sz w:val="23"/>
          <w:szCs w:val="23"/>
        </w:rPr>
        <w:t xml:space="preserve">, since the 1980s until now, despite the absence of any criminal history or misconduct. The ‘certificate of good conduct’ is a required document for job applicants in Qatar, and the State has </w:t>
      </w:r>
      <w:r>
        <w:rPr>
          <w:rFonts w:ascii="Times New Roman" w:eastAsia="Times New Roman" w:hAnsi="Times New Roman" w:cs="Times New Roman"/>
          <w:sz w:val="23"/>
          <w:szCs w:val="23"/>
        </w:rPr>
        <w:t xml:space="preserve">misused this tool to impose multi-dimensional discrimination against the Bahá’ís in this country. In other words, once offered a position, post holders need to obtain a ‘hosn alsyra wa solook’ or ‘certificate of good conduct’ clearance before the offer is </w:t>
      </w:r>
      <w:r>
        <w:rPr>
          <w:rFonts w:ascii="Times New Roman" w:eastAsia="Times New Roman" w:hAnsi="Times New Roman" w:cs="Times New Roman"/>
          <w:sz w:val="23"/>
          <w:szCs w:val="23"/>
        </w:rPr>
        <w:t xml:space="preserve">confirmed. This clearance is obtained from internal and state security. </w:t>
      </w:r>
    </w:p>
    <w:p w14:paraId="5CA5B107"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More and more Baháʼís in Qatar are being denied these certificates, despite having no criminal record or misdemeanors. The clearance process lacks transparency, with no right of appea</w:t>
      </w:r>
      <w:r>
        <w:rPr>
          <w:rFonts w:ascii="Times New Roman" w:eastAsia="Times New Roman" w:hAnsi="Times New Roman" w:cs="Times New Roman"/>
          <w:sz w:val="23"/>
          <w:szCs w:val="23"/>
        </w:rPr>
        <w:t>l, making the determination final. Qualified and educated Baháʼís in fields like medicine</w:t>
      </w:r>
      <w:r>
        <w:rPr>
          <w:rFonts w:ascii="Times New Roman" w:eastAsia="Times New Roman" w:hAnsi="Times New Roman" w:cs="Times New Roman"/>
          <w:sz w:val="23"/>
          <w:szCs w:val="23"/>
          <w:vertAlign w:val="superscript"/>
        </w:rPr>
        <w:footnoteReference w:id="1"/>
      </w:r>
      <w:r>
        <w:rPr>
          <w:rFonts w:ascii="Times New Roman" w:eastAsia="Times New Roman" w:hAnsi="Times New Roman" w:cs="Times New Roman"/>
          <w:sz w:val="23"/>
          <w:szCs w:val="23"/>
        </w:rPr>
        <w:t xml:space="preserve"> are offered positions in the government and private sectors, only to be refused the necessary ‘certificate of good conduct’ for confirmation. Others, specifically recruited for their expertise</w:t>
      </w:r>
      <w:r>
        <w:rPr>
          <w:rFonts w:ascii="Times New Roman" w:eastAsia="Times New Roman" w:hAnsi="Times New Roman" w:cs="Times New Roman"/>
          <w:sz w:val="23"/>
          <w:szCs w:val="23"/>
          <w:vertAlign w:val="superscript"/>
        </w:rPr>
        <w:footnoteReference w:id="2"/>
      </w:r>
      <w:r>
        <w:rPr>
          <w:rFonts w:ascii="Times New Roman" w:eastAsia="Times New Roman" w:hAnsi="Times New Roman" w:cs="Times New Roman"/>
          <w:sz w:val="23"/>
          <w:szCs w:val="23"/>
        </w:rPr>
        <w:t>, find themselves in precarious situations, leaving secure po</w:t>
      </w:r>
      <w:r>
        <w:rPr>
          <w:rFonts w:ascii="Times New Roman" w:eastAsia="Times New Roman" w:hAnsi="Times New Roman" w:cs="Times New Roman"/>
          <w:sz w:val="23"/>
          <w:szCs w:val="23"/>
        </w:rPr>
        <w:t>sitions to take up better ones, only to be left entirely unemployed after the clearance is denied.</w:t>
      </w:r>
      <w:r>
        <w:rPr>
          <w:rFonts w:ascii="Times New Roman" w:eastAsia="Times New Roman" w:hAnsi="Times New Roman" w:cs="Times New Roman"/>
          <w:sz w:val="23"/>
          <w:szCs w:val="23"/>
          <w:vertAlign w:val="superscript"/>
        </w:rPr>
        <w:footnoteReference w:id="3"/>
      </w:r>
      <w:r>
        <w:rPr>
          <w:rFonts w:ascii="Times New Roman" w:eastAsia="Times New Roman" w:hAnsi="Times New Roman" w:cs="Times New Roman"/>
          <w:sz w:val="23"/>
          <w:szCs w:val="23"/>
        </w:rPr>
        <w:t xml:space="preserve"> This situation also violates Article 9 of ICESCR, as it impacts the right to social security, including social insurance, for everyone. The violation of th</w:t>
      </w:r>
      <w:r>
        <w:rPr>
          <w:rFonts w:ascii="Times New Roman" w:eastAsia="Times New Roman" w:hAnsi="Times New Roman" w:cs="Times New Roman"/>
          <w:sz w:val="23"/>
          <w:szCs w:val="23"/>
        </w:rPr>
        <w:t>e right to work for Bahá’ís in Qatar (Article 6) results in a violation of the right to social security (Article 9).</w:t>
      </w:r>
    </w:p>
    <w:p w14:paraId="5B85303C"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Another form of discrimination in the economic sector against Bahá’ís in Qatar is related to their exclusion and </w:t>
      </w:r>
      <w:r>
        <w:rPr>
          <w:rFonts w:ascii="Times New Roman" w:eastAsia="Times New Roman" w:hAnsi="Times New Roman" w:cs="Times New Roman"/>
          <w:b/>
          <w:sz w:val="23"/>
          <w:szCs w:val="23"/>
        </w:rPr>
        <w:t>restriction from the ‘sens</w:t>
      </w:r>
      <w:r>
        <w:rPr>
          <w:rFonts w:ascii="Times New Roman" w:eastAsia="Times New Roman" w:hAnsi="Times New Roman" w:cs="Times New Roman"/>
          <w:b/>
          <w:sz w:val="23"/>
          <w:szCs w:val="23"/>
        </w:rPr>
        <w:t>itive’ education sector</w:t>
      </w:r>
      <w:r>
        <w:rPr>
          <w:rFonts w:ascii="Times New Roman" w:eastAsia="Times New Roman" w:hAnsi="Times New Roman" w:cs="Times New Roman"/>
          <w:sz w:val="23"/>
          <w:szCs w:val="23"/>
        </w:rPr>
        <w:t>. Although there is no explicit rule in the Qatar constitution, since the late 1980s, Baháʼís seeking to work in areas of high demand in the education sector, such as specialized fields at the university level or opening kindergarten</w:t>
      </w:r>
      <w:r>
        <w:rPr>
          <w:rFonts w:ascii="Times New Roman" w:eastAsia="Times New Roman" w:hAnsi="Times New Roman" w:cs="Times New Roman"/>
          <w:sz w:val="23"/>
          <w:szCs w:val="23"/>
        </w:rPr>
        <w:t xml:space="preserve">s and schools, face obstacles. For instance, one of Qatar’s early female graduates, a Baháʼí, returned to the country in the early 1980s after studying at the American University of Beirut (AUB) and in the UK. Despite her skills being highly needed in the </w:t>
      </w:r>
      <w:r>
        <w:rPr>
          <w:rFonts w:ascii="Times New Roman" w:eastAsia="Times New Roman" w:hAnsi="Times New Roman" w:cs="Times New Roman"/>
          <w:sz w:val="23"/>
          <w:szCs w:val="23"/>
        </w:rPr>
        <w:t xml:space="preserve">Qatari Ministry of Education, her application was blocked and she was denied employment due to her faith. There are several other similar instances. Meanwhile, many others with similar backgrounds and qualifications, and some even less qualified, </w:t>
      </w:r>
      <w:r>
        <w:rPr>
          <w:rFonts w:ascii="Times New Roman" w:eastAsia="Times New Roman" w:hAnsi="Times New Roman" w:cs="Times New Roman"/>
          <w:sz w:val="23"/>
          <w:szCs w:val="23"/>
        </w:rPr>
        <w:lastRenderedPageBreak/>
        <w:t>are routi</w:t>
      </w:r>
      <w:r>
        <w:rPr>
          <w:rFonts w:ascii="Times New Roman" w:eastAsia="Times New Roman" w:hAnsi="Times New Roman" w:cs="Times New Roman"/>
          <w:sz w:val="23"/>
          <w:szCs w:val="23"/>
        </w:rPr>
        <w:t>nely granted such positions. Some are explicitly told that Baháʼís cannot work in such ‘sensitive’ educational settings or hold positions of ‘influence’.</w:t>
      </w:r>
    </w:p>
    <w:p w14:paraId="1F984DB5"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From the 1980s until today, this particular form of institutional harassment instills fear, instabilit</w:t>
      </w:r>
      <w:r>
        <w:rPr>
          <w:rFonts w:ascii="Times New Roman" w:eastAsia="Times New Roman" w:hAnsi="Times New Roman" w:cs="Times New Roman"/>
          <w:sz w:val="23"/>
          <w:szCs w:val="23"/>
        </w:rPr>
        <w:t xml:space="preserve">y and a chilling effect among generations of Baháʼís. Its consequences go far beyond the economic aspect of life. When Bahá’ís manage to secure work, they are often subjected to inferior or temporary employment contracts, significantly reducing employment </w:t>
      </w:r>
      <w:r>
        <w:rPr>
          <w:rFonts w:ascii="Times New Roman" w:eastAsia="Times New Roman" w:hAnsi="Times New Roman" w:cs="Times New Roman"/>
          <w:sz w:val="23"/>
          <w:szCs w:val="23"/>
        </w:rPr>
        <w:t>benefits and job/social security, thereby increasing vulnerability (violating Article 9). Another significant consequence of this discrimination relates to residency permits and the possibility of Bahá’ís obtaining residency in Qatar. As employment is a ke</w:t>
      </w:r>
      <w:r>
        <w:rPr>
          <w:rFonts w:ascii="Times New Roman" w:eastAsia="Times New Roman" w:hAnsi="Times New Roman" w:cs="Times New Roman"/>
          <w:sz w:val="23"/>
          <w:szCs w:val="23"/>
        </w:rPr>
        <w:t>y requirement for residency, many families have lost their sponsorship, leading to the loss of residency,</w:t>
      </w:r>
      <w:r>
        <w:rPr>
          <w:rFonts w:ascii="Times New Roman" w:eastAsia="Times New Roman" w:hAnsi="Times New Roman" w:cs="Times New Roman"/>
          <w:sz w:val="23"/>
          <w:szCs w:val="23"/>
          <w:vertAlign w:val="superscript"/>
        </w:rPr>
        <w:footnoteReference w:id="4"/>
      </w:r>
      <w:r>
        <w:rPr>
          <w:rFonts w:ascii="Times New Roman" w:eastAsia="Times New Roman" w:hAnsi="Times New Roman" w:cs="Times New Roman"/>
          <w:sz w:val="23"/>
          <w:szCs w:val="23"/>
        </w:rPr>
        <w:t xml:space="preserve"> and ultimately forcing them to leave the country. In short, the opaque denial of the certificate of good conduct offers </w:t>
      </w:r>
      <w:r>
        <w:rPr>
          <w:rFonts w:ascii="Times New Roman" w:eastAsia="Times New Roman" w:hAnsi="Times New Roman" w:cs="Times New Roman"/>
          <w:b/>
          <w:sz w:val="23"/>
          <w:szCs w:val="23"/>
        </w:rPr>
        <w:t>a means to expel Baháʼís</w:t>
      </w:r>
      <w:r>
        <w:rPr>
          <w:rFonts w:ascii="Times New Roman" w:eastAsia="Times New Roman" w:hAnsi="Times New Roman" w:cs="Times New Roman"/>
          <w:sz w:val="23"/>
          <w:szCs w:val="23"/>
        </w:rPr>
        <w:t xml:space="preserve"> who</w:t>
      </w:r>
      <w:r>
        <w:rPr>
          <w:rFonts w:ascii="Times New Roman" w:eastAsia="Times New Roman" w:hAnsi="Times New Roman" w:cs="Times New Roman"/>
          <w:sz w:val="23"/>
          <w:szCs w:val="23"/>
        </w:rPr>
        <w:t xml:space="preserve"> are not Qatari citizens without any accountability or right of redress. One of the major consequences of being forced to leave the country is the loss of community identity, socio-cultural and familial bonds (violating Articles 15 &amp; 10), and the experienc</w:t>
      </w:r>
      <w:r>
        <w:rPr>
          <w:rFonts w:ascii="Times New Roman" w:eastAsia="Times New Roman" w:hAnsi="Times New Roman" w:cs="Times New Roman"/>
          <w:sz w:val="23"/>
          <w:szCs w:val="23"/>
        </w:rPr>
        <w:t>e of various uncertain situations leading to personal trauma (psychological issues). Over three generations, hundreds of Baháʼís have been removed from Qatar in this manner. Had they been allowed to remain, the population of Baháʼís in Qatar would now have</w:t>
      </w:r>
      <w:r>
        <w:rPr>
          <w:rFonts w:ascii="Times New Roman" w:eastAsia="Times New Roman" w:hAnsi="Times New Roman" w:cs="Times New Roman"/>
          <w:sz w:val="23"/>
          <w:szCs w:val="23"/>
        </w:rPr>
        <w:t xml:space="preserve"> numbered well into the thousands instead of the low hundreds.</w:t>
      </w:r>
    </w:p>
    <w:p w14:paraId="30E9DF6A"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p>
    <w:p w14:paraId="172CA400" w14:textId="77777777" w:rsidR="003B3B1D" w:rsidRDefault="001572DC">
      <w:pPr>
        <w:pStyle w:val="Heading1"/>
        <w:spacing w:line="240" w:lineRule="auto"/>
        <w:ind w:right="569"/>
      </w:pPr>
      <w:bookmarkStart w:id="3" w:name="_heading=h.y6sjwns6e1ko" w:colFirst="0" w:colLast="0"/>
      <w:bookmarkEnd w:id="3"/>
      <w:r>
        <w:t>Article 10 – Denial of the Right to Preserve Family Ties</w:t>
      </w:r>
    </w:p>
    <w:p w14:paraId="269C5A36"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The Baháʼí community in Qatar has never received any level of recognition, neither de facto nor de jure registration, or understanding</w:t>
      </w:r>
      <w:r>
        <w:rPr>
          <w:rFonts w:ascii="Times New Roman" w:eastAsia="Times New Roman" w:hAnsi="Times New Roman" w:cs="Times New Roman"/>
          <w:sz w:val="23"/>
          <w:szCs w:val="23"/>
        </w:rPr>
        <w:t xml:space="preserve"> of how it should operate its day-to-day community activities. This lack of recognition has significantly affected the family bonds of Bahá’ís in Qatar. The discrimination they face includes the non-recognition of Bahá'í marriage and personal status laws, </w:t>
      </w:r>
      <w:r>
        <w:rPr>
          <w:rFonts w:ascii="Times New Roman" w:eastAsia="Times New Roman" w:hAnsi="Times New Roman" w:cs="Times New Roman"/>
          <w:sz w:val="23"/>
          <w:szCs w:val="23"/>
        </w:rPr>
        <w:t>as well as the refusal to grant residency permits for Bahá’ís, which violates Article 10 of ICESCR. Moreover, Qatar’s approach towards Bahá’ís in this regard contradicts its own constitution. Article 21 of the Qatar constitution emphasizes the importance o</w:t>
      </w:r>
      <w:r>
        <w:rPr>
          <w:rFonts w:ascii="Times New Roman" w:eastAsia="Times New Roman" w:hAnsi="Times New Roman" w:cs="Times New Roman"/>
          <w:sz w:val="23"/>
          <w:szCs w:val="23"/>
        </w:rPr>
        <w:t>f family as “the basis of society” and states that “the law shall regulate it as necessary to protect the family, support its structure, strengthen its ties and protect mother, children and the elderly.”</w:t>
      </w:r>
    </w:p>
    <w:p w14:paraId="573D84A9"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As in the case with any religious community anywhere</w:t>
      </w:r>
      <w:r>
        <w:rPr>
          <w:rFonts w:ascii="Times New Roman" w:eastAsia="Times New Roman" w:hAnsi="Times New Roman" w:cs="Times New Roman"/>
          <w:sz w:val="23"/>
          <w:szCs w:val="23"/>
        </w:rPr>
        <w:t xml:space="preserve">, the Baháʼí families in Qatar need to register births, marriages, divorces and deaths and conduct burial ceremonies. However, the </w:t>
      </w:r>
      <w:r>
        <w:rPr>
          <w:rFonts w:ascii="Times New Roman" w:eastAsia="Times New Roman" w:hAnsi="Times New Roman" w:cs="Times New Roman"/>
          <w:b/>
          <w:sz w:val="23"/>
          <w:szCs w:val="23"/>
        </w:rPr>
        <w:t>non-recognition of Baháʼí marriage and personal status laws</w:t>
      </w:r>
      <w:r>
        <w:rPr>
          <w:rFonts w:ascii="Times New Roman" w:eastAsia="Times New Roman" w:hAnsi="Times New Roman" w:cs="Times New Roman"/>
          <w:sz w:val="23"/>
          <w:szCs w:val="23"/>
        </w:rPr>
        <w:t xml:space="preserve">, both de facto and de jure, has led to numerous consequences and </w:t>
      </w:r>
      <w:r>
        <w:rPr>
          <w:rFonts w:ascii="Times New Roman" w:eastAsia="Times New Roman" w:hAnsi="Times New Roman" w:cs="Times New Roman"/>
          <w:sz w:val="23"/>
          <w:szCs w:val="23"/>
        </w:rPr>
        <w:t xml:space="preserve">violations over the past 75 years, worsening in the 2000s. This lack of recognition makes </w:t>
      </w:r>
      <w:r>
        <w:rPr>
          <w:rFonts w:ascii="Times New Roman" w:eastAsia="Times New Roman" w:hAnsi="Times New Roman" w:cs="Times New Roman"/>
          <w:b/>
          <w:sz w:val="23"/>
          <w:szCs w:val="23"/>
        </w:rPr>
        <w:t>family reunification significantly more challenging for Baháʼís,</w:t>
      </w:r>
      <w:r>
        <w:rPr>
          <w:rFonts w:ascii="Times New Roman" w:eastAsia="Times New Roman" w:hAnsi="Times New Roman" w:cs="Times New Roman"/>
          <w:sz w:val="23"/>
          <w:szCs w:val="23"/>
        </w:rPr>
        <w:t xml:space="preserve"> even when their salary conditions and status already qualify them to bring their spouses into the cou</w:t>
      </w:r>
      <w:r>
        <w:rPr>
          <w:rFonts w:ascii="Times New Roman" w:eastAsia="Times New Roman" w:hAnsi="Times New Roman" w:cs="Times New Roman"/>
          <w:sz w:val="23"/>
          <w:szCs w:val="23"/>
        </w:rPr>
        <w:t xml:space="preserve">ntry. For example, a group of eight Bahá’í families endured a total of 60 years of family separation. Many of these Baháʼís were eventually forced to leave the country after generations of residency in Qatar. </w:t>
      </w:r>
    </w:p>
    <w:p w14:paraId="6E172654"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The second discrimination by the State of Qata</w:t>
      </w:r>
      <w:r>
        <w:rPr>
          <w:rFonts w:ascii="Times New Roman" w:eastAsia="Times New Roman" w:hAnsi="Times New Roman" w:cs="Times New Roman"/>
          <w:sz w:val="23"/>
          <w:szCs w:val="23"/>
        </w:rPr>
        <w:t>r that affects the family ties of Bahá'í residents is the refusal</w:t>
      </w:r>
      <w:r>
        <w:rPr>
          <w:rFonts w:ascii="Times New Roman" w:eastAsia="Times New Roman" w:hAnsi="Times New Roman" w:cs="Times New Roman"/>
          <w:b/>
          <w:sz w:val="23"/>
          <w:szCs w:val="23"/>
        </w:rPr>
        <w:t xml:space="preserve"> to grant or renew residency permits</w:t>
      </w:r>
      <w:r>
        <w:rPr>
          <w:rFonts w:ascii="Times New Roman" w:eastAsia="Times New Roman" w:hAnsi="Times New Roman" w:cs="Times New Roman"/>
          <w:sz w:val="23"/>
          <w:szCs w:val="23"/>
        </w:rPr>
        <w:t xml:space="preserve">, and in some cases, </w:t>
      </w:r>
      <w:r>
        <w:rPr>
          <w:rFonts w:ascii="Times New Roman" w:eastAsia="Times New Roman" w:hAnsi="Times New Roman" w:cs="Times New Roman"/>
          <w:b/>
          <w:sz w:val="23"/>
          <w:szCs w:val="23"/>
        </w:rPr>
        <w:t>sudden acts of deportation</w:t>
      </w:r>
      <w:r>
        <w:rPr>
          <w:rFonts w:ascii="Times New Roman" w:eastAsia="Times New Roman" w:hAnsi="Times New Roman" w:cs="Times New Roman"/>
          <w:sz w:val="23"/>
          <w:szCs w:val="23"/>
        </w:rPr>
        <w:t xml:space="preserve">. The </w:t>
      </w:r>
      <w:r>
        <w:rPr>
          <w:rFonts w:ascii="Times New Roman" w:eastAsia="Times New Roman" w:hAnsi="Times New Roman" w:cs="Times New Roman"/>
          <w:sz w:val="23"/>
          <w:szCs w:val="23"/>
        </w:rPr>
        <w:lastRenderedPageBreak/>
        <w:t>Qatari authorities have been deporting Baháʼís who are not Qatari citizens, preventing them from retur</w:t>
      </w:r>
      <w:r>
        <w:rPr>
          <w:rFonts w:ascii="Times New Roman" w:eastAsia="Times New Roman" w:hAnsi="Times New Roman" w:cs="Times New Roman"/>
          <w:sz w:val="23"/>
          <w:szCs w:val="23"/>
        </w:rPr>
        <w:t>ning. Instead of respecting the religious rights and freedoms of the Bahá'í community, the authorities have consistently terminated or denied residency permits for Bahá’ís, blacklisting</w:t>
      </w:r>
      <w:r>
        <w:rPr>
          <w:rFonts w:ascii="Times New Roman" w:eastAsia="Times New Roman" w:hAnsi="Times New Roman" w:cs="Times New Roman"/>
          <w:sz w:val="23"/>
          <w:szCs w:val="23"/>
          <w:vertAlign w:val="superscript"/>
        </w:rPr>
        <w:footnoteReference w:id="5"/>
      </w:r>
      <w:r>
        <w:rPr>
          <w:rFonts w:ascii="Times New Roman" w:eastAsia="Times New Roman" w:hAnsi="Times New Roman" w:cs="Times New Roman"/>
          <w:sz w:val="23"/>
          <w:szCs w:val="23"/>
        </w:rPr>
        <w:t xml:space="preserve"> them. This policy seems to be directed from the highest national aut</w:t>
      </w:r>
      <w:r>
        <w:rPr>
          <w:rFonts w:ascii="Times New Roman" w:eastAsia="Times New Roman" w:hAnsi="Times New Roman" w:cs="Times New Roman"/>
          <w:sz w:val="23"/>
          <w:szCs w:val="23"/>
        </w:rPr>
        <w:t xml:space="preserve">horities. In recent years, individuals and families from various nationalities, including American, British, Dominican, Egyptian, Indian, Iranian, Jordanian, Malaysian, and Tunisian, have faced deportation due to their adherence to the Bahá’í Faith. These </w:t>
      </w:r>
      <w:r>
        <w:rPr>
          <w:rFonts w:ascii="Times New Roman" w:eastAsia="Times New Roman" w:hAnsi="Times New Roman" w:cs="Times New Roman"/>
          <w:sz w:val="23"/>
          <w:szCs w:val="23"/>
        </w:rPr>
        <w:t xml:space="preserve">sudden deportations have caused social, emotional, and economic hardship for Bahá’í families in Qatar, leading to unjust and painful separations for years.  </w:t>
      </w:r>
    </w:p>
    <w:p w14:paraId="092643AE"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This continued discrimination has affected various families, leading hundreds of Baháʼís of Qatar </w:t>
      </w:r>
      <w:r>
        <w:rPr>
          <w:rFonts w:ascii="Times New Roman" w:eastAsia="Times New Roman" w:hAnsi="Times New Roman" w:cs="Times New Roman"/>
          <w:sz w:val="23"/>
          <w:szCs w:val="23"/>
        </w:rPr>
        <w:t xml:space="preserve">to be effectively </w:t>
      </w:r>
      <w:r>
        <w:rPr>
          <w:rFonts w:ascii="Times New Roman" w:eastAsia="Times New Roman" w:hAnsi="Times New Roman" w:cs="Times New Roman"/>
          <w:b/>
          <w:sz w:val="23"/>
          <w:szCs w:val="23"/>
        </w:rPr>
        <w:t>forced to leave the country over decades and generations.</w:t>
      </w:r>
      <w:r>
        <w:rPr>
          <w:rFonts w:ascii="Times New Roman" w:eastAsia="Times New Roman" w:hAnsi="Times New Roman" w:cs="Times New Roman"/>
          <w:sz w:val="23"/>
          <w:szCs w:val="23"/>
        </w:rPr>
        <w:t xml:space="preserve"> This situation has significantly impacted family bonds and relations. By reviewing three examples that vary in terms of situation and periods, it becomes clear that one of the main</w:t>
      </w:r>
      <w:r>
        <w:rPr>
          <w:rFonts w:ascii="Times New Roman" w:eastAsia="Times New Roman" w:hAnsi="Times New Roman" w:cs="Times New Roman"/>
          <w:sz w:val="23"/>
          <w:szCs w:val="23"/>
        </w:rPr>
        <w:t xml:space="preserve"> consequences of discrimination for Bahá’ís of Qatar is its direct effect on their family bonds. </w:t>
      </w:r>
    </w:p>
    <w:p w14:paraId="1BFF11B3"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One of the first examples dates back to the 1970s when a Baháʼí was killed in a car accident by a Qatari driver. The Qatari traditional justice mechanism of c</w:t>
      </w:r>
      <w:r>
        <w:rPr>
          <w:rFonts w:ascii="Times New Roman" w:eastAsia="Times New Roman" w:hAnsi="Times New Roman" w:cs="Times New Roman"/>
          <w:sz w:val="23"/>
          <w:szCs w:val="23"/>
        </w:rPr>
        <w:t xml:space="preserve">ompensation (called ‘blood money’) was refused due to him being considered ‘kafir’ or ‘infidel’. Due to lack of support, the man’s young widow and three young children were eventually forced to leave the country. </w:t>
      </w:r>
    </w:p>
    <w:p w14:paraId="2356CF4E"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Secondly, around the early 1980s, a second</w:t>
      </w:r>
      <w:r>
        <w:rPr>
          <w:rFonts w:ascii="Times New Roman" w:eastAsia="Times New Roman" w:hAnsi="Times New Roman" w:cs="Times New Roman"/>
          <w:sz w:val="23"/>
          <w:szCs w:val="23"/>
        </w:rPr>
        <w:t xml:space="preserve">-generation Baháʼí resident of Qatar brought her new husband to join her under an employment visa. Because of the </w:t>
      </w:r>
      <w:r>
        <w:rPr>
          <w:rFonts w:ascii="Times New Roman" w:eastAsia="Times New Roman" w:hAnsi="Times New Roman" w:cs="Times New Roman"/>
          <w:b/>
          <w:sz w:val="23"/>
          <w:szCs w:val="23"/>
        </w:rPr>
        <w:t>non-recognition of the Baháʼí</w:t>
      </w:r>
      <w:r>
        <w:rPr>
          <w:rFonts w:ascii="Times New Roman" w:eastAsia="Times New Roman" w:hAnsi="Times New Roman" w:cs="Times New Roman"/>
          <w:sz w:val="23"/>
          <w:szCs w:val="23"/>
        </w:rPr>
        <w:t xml:space="preserve"> community and its rites, there was no means by which their </w:t>
      </w:r>
      <w:r>
        <w:rPr>
          <w:rFonts w:ascii="Times New Roman" w:eastAsia="Times New Roman" w:hAnsi="Times New Roman" w:cs="Times New Roman"/>
          <w:b/>
          <w:sz w:val="23"/>
          <w:szCs w:val="23"/>
        </w:rPr>
        <w:t>marriage</w:t>
      </w:r>
      <w:r>
        <w:rPr>
          <w:rFonts w:ascii="Times New Roman" w:eastAsia="Times New Roman" w:hAnsi="Times New Roman" w:cs="Times New Roman"/>
          <w:sz w:val="23"/>
          <w:szCs w:val="23"/>
        </w:rPr>
        <w:t xml:space="preserve"> could be recognized. The husband was impriso</w:t>
      </w:r>
      <w:r>
        <w:rPr>
          <w:rFonts w:ascii="Times New Roman" w:eastAsia="Times New Roman" w:hAnsi="Times New Roman" w:cs="Times New Roman"/>
          <w:sz w:val="23"/>
          <w:szCs w:val="23"/>
        </w:rPr>
        <w:t xml:space="preserve">ned and later deported in handcuffs. As a result, the whole family, and later the extended family, had to leave the country. </w:t>
      </w:r>
    </w:p>
    <w:p w14:paraId="545B9D8E"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The third recent example is about the </w:t>
      </w:r>
      <w:r>
        <w:rPr>
          <w:rFonts w:ascii="Times New Roman" w:eastAsia="Times New Roman" w:hAnsi="Times New Roman" w:cs="Times New Roman"/>
          <w:b/>
          <w:sz w:val="23"/>
          <w:szCs w:val="23"/>
        </w:rPr>
        <w:t>deportation</w:t>
      </w:r>
      <w:r>
        <w:rPr>
          <w:rFonts w:ascii="Times New Roman" w:eastAsia="Times New Roman" w:hAnsi="Times New Roman" w:cs="Times New Roman"/>
          <w:sz w:val="23"/>
          <w:szCs w:val="23"/>
        </w:rPr>
        <w:t xml:space="preserve"> of a high ranking Bahá’í —Mr Omid Seioshansian—who was born in Qatar, and </w:t>
      </w:r>
      <w:r>
        <w:rPr>
          <w:rFonts w:ascii="Times New Roman" w:eastAsia="Times New Roman" w:hAnsi="Times New Roman" w:cs="Times New Roman"/>
          <w:b/>
          <w:sz w:val="23"/>
          <w:szCs w:val="23"/>
        </w:rPr>
        <w:t xml:space="preserve">whose </w:t>
      </w:r>
      <w:r>
        <w:rPr>
          <w:rFonts w:ascii="Times New Roman" w:eastAsia="Times New Roman" w:hAnsi="Times New Roman" w:cs="Times New Roman"/>
          <w:b/>
          <w:sz w:val="23"/>
          <w:szCs w:val="23"/>
        </w:rPr>
        <w:t>family has been living there for generations</w:t>
      </w:r>
      <w:r>
        <w:rPr>
          <w:rFonts w:ascii="Times New Roman" w:eastAsia="Times New Roman" w:hAnsi="Times New Roman" w:cs="Times New Roman"/>
          <w:sz w:val="23"/>
          <w:szCs w:val="23"/>
        </w:rPr>
        <w:t>. Instead of responding positively to the human rights concerns raised with respect to Mr Seioshansian, the Qatari authorities have further escalated their assault on the community. All these examples are obvious</w:t>
      </w:r>
      <w:r>
        <w:rPr>
          <w:rFonts w:ascii="Times New Roman" w:eastAsia="Times New Roman" w:hAnsi="Times New Roman" w:cs="Times New Roman"/>
          <w:sz w:val="23"/>
          <w:szCs w:val="23"/>
        </w:rPr>
        <w:t xml:space="preserve"> violations of Article 10 of ICESCR, and on top of that, these activities are in overt contraction to Article 21 of Qatar Constitution, which emphasizes preserving family ties. </w:t>
      </w:r>
    </w:p>
    <w:p w14:paraId="59B82F98" w14:textId="77777777" w:rsidR="003B3B1D" w:rsidRDefault="003B3B1D">
      <w:pPr>
        <w:spacing w:before="240" w:line="240" w:lineRule="auto"/>
        <w:rPr>
          <w:rFonts w:ascii="Times New Roman" w:eastAsia="Times New Roman" w:hAnsi="Times New Roman" w:cs="Times New Roman"/>
          <w:sz w:val="23"/>
          <w:szCs w:val="23"/>
        </w:rPr>
      </w:pPr>
    </w:p>
    <w:p w14:paraId="0A06C05A" w14:textId="77777777" w:rsidR="003B3B1D" w:rsidRDefault="001572DC">
      <w:pPr>
        <w:pStyle w:val="Heading1"/>
        <w:spacing w:line="240" w:lineRule="auto"/>
        <w:ind w:right="569"/>
      </w:pPr>
      <w:bookmarkStart w:id="4" w:name="_heading=h.w0vk8g259evs" w:colFirst="0" w:colLast="0"/>
      <w:bookmarkEnd w:id="4"/>
      <w:r>
        <w:t>Article 15 – Denial of the Right to Take Part in Cultural Life</w:t>
      </w:r>
    </w:p>
    <w:p w14:paraId="400DDFE9"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Restrictions o</w:t>
      </w:r>
      <w:r>
        <w:rPr>
          <w:rFonts w:ascii="Times New Roman" w:eastAsia="Times New Roman" w:hAnsi="Times New Roman" w:cs="Times New Roman"/>
          <w:sz w:val="23"/>
          <w:szCs w:val="23"/>
        </w:rPr>
        <w:t xml:space="preserve">n Bahá’ís in Qatar participating in cultural life can be categorized into two types: </w:t>
      </w:r>
    </w:p>
    <w:p w14:paraId="6F53D5B8" w14:textId="77777777" w:rsidR="003B3B1D" w:rsidRDefault="001572DC">
      <w:pPr>
        <w:numPr>
          <w:ilvl w:val="0"/>
          <w:numId w:val="1"/>
        </w:numPr>
        <w:pBdr>
          <w:top w:val="nil"/>
          <w:left w:val="nil"/>
          <w:bottom w:val="nil"/>
          <w:right w:val="nil"/>
          <w:between w:val="nil"/>
        </w:pBdr>
        <w:spacing w:before="240" w:after="0" w:line="240" w:lineRule="auto"/>
        <w:rPr>
          <w:color w:val="000000"/>
          <w:sz w:val="23"/>
          <w:szCs w:val="23"/>
        </w:rPr>
      </w:pPr>
      <w:r>
        <w:rPr>
          <w:rFonts w:ascii="Times New Roman" w:eastAsia="Times New Roman" w:hAnsi="Times New Roman" w:cs="Times New Roman"/>
          <w:color w:val="000000"/>
          <w:sz w:val="23"/>
          <w:szCs w:val="23"/>
        </w:rPr>
        <w:t xml:space="preserve">Bahá’ís being </w:t>
      </w:r>
      <w:r>
        <w:rPr>
          <w:rFonts w:ascii="Times New Roman" w:eastAsia="Times New Roman" w:hAnsi="Times New Roman" w:cs="Times New Roman"/>
          <w:b/>
          <w:color w:val="000000"/>
          <w:sz w:val="23"/>
          <w:szCs w:val="23"/>
        </w:rPr>
        <w:t>limited in their own cultural and religious activities</w:t>
      </w:r>
      <w:r>
        <w:rPr>
          <w:rFonts w:ascii="Times New Roman" w:eastAsia="Times New Roman" w:hAnsi="Times New Roman" w:cs="Times New Roman"/>
          <w:color w:val="000000"/>
          <w:sz w:val="23"/>
          <w:szCs w:val="23"/>
        </w:rPr>
        <w:t>, such as holding Bahá'í meetings, accessing religious literature, engaging in Bahá'í administrative activities, and dealing with burial matters.</w:t>
      </w:r>
    </w:p>
    <w:p w14:paraId="7E3AD925" w14:textId="77777777" w:rsidR="003B3B1D" w:rsidRDefault="001572DC">
      <w:pPr>
        <w:numPr>
          <w:ilvl w:val="0"/>
          <w:numId w:val="1"/>
        </w:numPr>
        <w:pBdr>
          <w:top w:val="nil"/>
          <w:left w:val="nil"/>
          <w:bottom w:val="nil"/>
          <w:right w:val="nil"/>
          <w:between w:val="nil"/>
        </w:pBdr>
        <w:spacing w:line="240" w:lineRule="auto"/>
        <w:rPr>
          <w:color w:val="000000"/>
          <w:sz w:val="23"/>
          <w:szCs w:val="23"/>
        </w:rPr>
      </w:pPr>
      <w:r>
        <w:rPr>
          <w:rFonts w:ascii="Times New Roman" w:eastAsia="Times New Roman" w:hAnsi="Times New Roman" w:cs="Times New Roman"/>
          <w:color w:val="000000"/>
          <w:sz w:val="23"/>
          <w:szCs w:val="23"/>
        </w:rPr>
        <w:t xml:space="preserve">Bahá’ís facing barriers to </w:t>
      </w:r>
      <w:r>
        <w:rPr>
          <w:rFonts w:ascii="Times New Roman" w:eastAsia="Times New Roman" w:hAnsi="Times New Roman" w:cs="Times New Roman"/>
          <w:b/>
          <w:color w:val="000000"/>
          <w:sz w:val="23"/>
          <w:szCs w:val="23"/>
        </w:rPr>
        <w:t>contributing to the broader Qatari</w:t>
      </w:r>
      <w:r>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b/>
          <w:color w:val="000000"/>
          <w:sz w:val="23"/>
          <w:szCs w:val="23"/>
        </w:rPr>
        <w:t>cultural life</w:t>
      </w:r>
      <w:r>
        <w:rPr>
          <w:rFonts w:ascii="Times New Roman" w:eastAsia="Times New Roman" w:hAnsi="Times New Roman" w:cs="Times New Roman"/>
          <w:color w:val="000000"/>
          <w:sz w:val="23"/>
          <w:szCs w:val="23"/>
        </w:rPr>
        <w:t>, including being excluded from edu</w:t>
      </w:r>
      <w:r>
        <w:rPr>
          <w:rFonts w:ascii="Times New Roman" w:eastAsia="Times New Roman" w:hAnsi="Times New Roman" w:cs="Times New Roman"/>
          <w:color w:val="000000"/>
          <w:sz w:val="23"/>
          <w:szCs w:val="23"/>
        </w:rPr>
        <w:t>cational institutions like schools and universities, which are essential spaces for cultural participation.</w:t>
      </w:r>
    </w:p>
    <w:p w14:paraId="32A95076"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lastRenderedPageBreak/>
        <w:t>Both categories violate Article 15 (Paragraph 2) of CESCR and, furthermore, infringe upon Articles 50 (freedom to practice religious rites) of the Q</w:t>
      </w:r>
      <w:r>
        <w:rPr>
          <w:rFonts w:ascii="Times New Roman" w:eastAsia="Times New Roman" w:hAnsi="Times New Roman" w:cs="Times New Roman"/>
          <w:sz w:val="23"/>
          <w:szCs w:val="23"/>
        </w:rPr>
        <w:t>atar constitution. These violations will be elaborated on below:</w:t>
      </w:r>
    </w:p>
    <w:p w14:paraId="248087A0" w14:textId="77777777" w:rsidR="003B3B1D" w:rsidRDefault="001572DC">
      <w:pPr>
        <w:pStyle w:val="Heading2"/>
        <w:numPr>
          <w:ilvl w:val="0"/>
          <w:numId w:val="2"/>
        </w:numPr>
        <w:spacing w:before="240" w:line="240" w:lineRule="auto"/>
      </w:pPr>
      <w:bookmarkStart w:id="5" w:name="_heading=h.s0btu1gctxa4" w:colFirst="0" w:colLast="0"/>
      <w:bookmarkEnd w:id="5"/>
      <w:r>
        <w:t>Taking part in Bahá'í cultural life</w:t>
      </w:r>
    </w:p>
    <w:p w14:paraId="71DFC6E9"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As with any religious community worldwide, the Baháʼí community of Qatar engages in various religious activities, including holding prayer and other meetin</w:t>
      </w:r>
      <w:r>
        <w:rPr>
          <w:rFonts w:ascii="Times New Roman" w:eastAsia="Times New Roman" w:hAnsi="Times New Roman" w:cs="Times New Roman"/>
          <w:sz w:val="23"/>
          <w:szCs w:val="23"/>
        </w:rPr>
        <w:t>gs, accessing religious literature, and attending to important religious events like births, deaths, and marriage. Additionally, communication with co-believers from different regions fosters a sense of unity. Bahá'í communities, rather than having a clerg</w:t>
      </w:r>
      <w:r>
        <w:rPr>
          <w:rFonts w:ascii="Times New Roman" w:eastAsia="Times New Roman" w:hAnsi="Times New Roman" w:cs="Times New Roman"/>
          <w:sz w:val="23"/>
          <w:szCs w:val="23"/>
        </w:rPr>
        <w:t xml:space="preserve">y or religious leadership class, elect councils of nine persons called “Assemblies” at the local and national levels to manage their community affairs. Furthermore, a select group of distinguished members are periodically appointed to provide guidance and </w:t>
      </w:r>
      <w:r>
        <w:rPr>
          <w:rFonts w:ascii="Times New Roman" w:eastAsia="Times New Roman" w:hAnsi="Times New Roman" w:cs="Times New Roman"/>
          <w:sz w:val="23"/>
          <w:szCs w:val="23"/>
        </w:rPr>
        <w:t xml:space="preserve">assistance in particular aspects of community development and positive engagement in broader society. </w:t>
      </w:r>
    </w:p>
    <w:p w14:paraId="30DEC4EB"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In 1989, the elected members of the </w:t>
      </w:r>
      <w:r>
        <w:rPr>
          <w:rFonts w:ascii="Times New Roman" w:eastAsia="Times New Roman" w:hAnsi="Times New Roman" w:cs="Times New Roman"/>
          <w:b/>
          <w:sz w:val="23"/>
          <w:szCs w:val="23"/>
        </w:rPr>
        <w:t>community’s leadership</w:t>
      </w:r>
      <w:r>
        <w:rPr>
          <w:rFonts w:ascii="Times New Roman" w:eastAsia="Times New Roman" w:hAnsi="Times New Roman" w:cs="Times New Roman"/>
          <w:sz w:val="23"/>
          <w:szCs w:val="23"/>
        </w:rPr>
        <w:t xml:space="preserve"> group were taken for interrogation, and their passports were confiscated for a period. Additio</w:t>
      </w:r>
      <w:r>
        <w:rPr>
          <w:rFonts w:ascii="Times New Roman" w:eastAsia="Times New Roman" w:hAnsi="Times New Roman" w:cs="Times New Roman"/>
          <w:sz w:val="23"/>
          <w:szCs w:val="23"/>
        </w:rPr>
        <w:t xml:space="preserve">nally, all community administration files, which included records of marriages, births, deaths, and internal documents related to the management of community life, spanning 50 years, were seized and never returned. </w:t>
      </w:r>
    </w:p>
    <w:p w14:paraId="6D3530FA"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The last two decades have shown a signif</w:t>
      </w:r>
      <w:r>
        <w:rPr>
          <w:rFonts w:ascii="Times New Roman" w:eastAsia="Times New Roman" w:hAnsi="Times New Roman" w:cs="Times New Roman"/>
          <w:sz w:val="23"/>
          <w:szCs w:val="23"/>
        </w:rPr>
        <w:t>icant increase in the targeting of Baháʼís in ‘leadership’ positions, both elected and appointed, for monitoring and exclusion from the country. Starting from 2010, there are numerous documented instances of blatant targeting of Baháʼís serving their commu</w:t>
      </w:r>
      <w:r>
        <w:rPr>
          <w:rFonts w:ascii="Times New Roman" w:eastAsia="Times New Roman" w:hAnsi="Times New Roman" w:cs="Times New Roman"/>
          <w:sz w:val="23"/>
          <w:szCs w:val="23"/>
        </w:rPr>
        <w:t xml:space="preserve">nity in an administrative capacity. </w:t>
      </w:r>
    </w:p>
    <w:p w14:paraId="2CA4DD35"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In 2017, a high-ranking Qatari official, made a proposition to a member of the Baha’i community requiring him to sign a document on behalf of two Baha’is  (one who had been deported and another facing deportation)  decl</w:t>
      </w:r>
      <w:r>
        <w:rPr>
          <w:rFonts w:ascii="Times New Roman" w:eastAsia="Times New Roman" w:hAnsi="Times New Roman" w:cs="Times New Roman"/>
          <w:sz w:val="23"/>
          <w:szCs w:val="23"/>
        </w:rPr>
        <w:t>aring that they would no longer be involved in Baháʼí community activities in order to remove the ban and avoid deportation respectively.  He refused to sign the undertaking on behalf of others.  As a result, the ban in respect of one remained in place des</w:t>
      </w:r>
      <w:r>
        <w:rPr>
          <w:rFonts w:ascii="Times New Roman" w:eastAsia="Times New Roman" w:hAnsi="Times New Roman" w:cs="Times New Roman"/>
          <w:sz w:val="23"/>
          <w:szCs w:val="23"/>
        </w:rPr>
        <w:t xml:space="preserve">pite his immediate family still residing in Qatar. </w:t>
      </w:r>
    </w:p>
    <w:p w14:paraId="4BC713CB"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In addition to the intimidation of its leadership, there are </w:t>
      </w:r>
      <w:r>
        <w:rPr>
          <w:rFonts w:ascii="Times New Roman" w:eastAsia="Times New Roman" w:hAnsi="Times New Roman" w:cs="Times New Roman"/>
          <w:b/>
          <w:sz w:val="23"/>
          <w:szCs w:val="23"/>
        </w:rPr>
        <w:t>general restrictions on holding any medium-scale Baháʼí religious events</w:t>
      </w:r>
      <w:r>
        <w:rPr>
          <w:rFonts w:ascii="Times New Roman" w:eastAsia="Times New Roman" w:hAnsi="Times New Roman" w:cs="Times New Roman"/>
          <w:sz w:val="23"/>
          <w:szCs w:val="23"/>
        </w:rPr>
        <w:t xml:space="preserve"> in public spaces and on Baháʼís interacting with fellow believers from</w:t>
      </w:r>
      <w:r>
        <w:rPr>
          <w:rFonts w:ascii="Times New Roman" w:eastAsia="Times New Roman" w:hAnsi="Times New Roman" w:cs="Times New Roman"/>
          <w:sz w:val="23"/>
          <w:szCs w:val="23"/>
        </w:rPr>
        <w:t xml:space="preserve"> other countries.There are also </w:t>
      </w:r>
      <w:r>
        <w:rPr>
          <w:rFonts w:ascii="Times New Roman" w:eastAsia="Times New Roman" w:hAnsi="Times New Roman" w:cs="Times New Roman"/>
          <w:b/>
          <w:sz w:val="23"/>
          <w:szCs w:val="23"/>
        </w:rPr>
        <w:t xml:space="preserve">severe restrictions on the importation of any religious publications and materials, as they cannot be published in the country. </w:t>
      </w:r>
    </w:p>
    <w:p w14:paraId="2F4F2EE9"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In the following decade, things took a turn for the worse. In 2009, </w:t>
      </w:r>
      <w:r>
        <w:rPr>
          <w:rFonts w:ascii="Times New Roman" w:eastAsia="Times New Roman" w:hAnsi="Times New Roman" w:cs="Times New Roman"/>
          <w:b/>
          <w:sz w:val="23"/>
          <w:szCs w:val="23"/>
        </w:rPr>
        <w:t xml:space="preserve">the Bahá’í cemetery </w:t>
      </w:r>
      <w:r>
        <w:rPr>
          <w:rFonts w:ascii="Times New Roman" w:eastAsia="Times New Roman" w:hAnsi="Times New Roman" w:cs="Times New Roman"/>
          <w:sz w:val="23"/>
          <w:szCs w:val="23"/>
        </w:rPr>
        <w:t>in Doha</w:t>
      </w:r>
      <w:r>
        <w:rPr>
          <w:rFonts w:ascii="Times New Roman" w:eastAsia="Times New Roman" w:hAnsi="Times New Roman" w:cs="Times New Roman"/>
          <w:sz w:val="23"/>
          <w:szCs w:val="23"/>
        </w:rPr>
        <w:t xml:space="preserve"> was bulldozed, and graves were exhumed and destroyed in a </w:t>
      </w:r>
      <w:hyperlink r:id="rId11">
        <w:r>
          <w:rPr>
            <w:rFonts w:ascii="Times New Roman" w:eastAsia="Times New Roman" w:hAnsi="Times New Roman" w:cs="Times New Roman"/>
            <w:color w:val="1155CC"/>
            <w:sz w:val="23"/>
            <w:szCs w:val="23"/>
            <w:u w:val="single"/>
          </w:rPr>
          <w:t xml:space="preserve">move </w:t>
        </w:r>
      </w:hyperlink>
      <w:r>
        <w:rPr>
          <w:rFonts w:ascii="Times New Roman" w:eastAsia="Times New Roman" w:hAnsi="Times New Roman" w:cs="Times New Roman"/>
          <w:sz w:val="23"/>
          <w:szCs w:val="23"/>
        </w:rPr>
        <w:t>reminiscent of the human rights violations of authorities in Iran. The former wasteland had been informally granted to the Baháʼí community to use as a cemetery. The community had beautified the plot with greenery, and a number of Baháʼí graves were well e</w:t>
      </w:r>
      <w:r>
        <w:rPr>
          <w:rFonts w:ascii="Times New Roman" w:eastAsia="Times New Roman" w:hAnsi="Times New Roman" w:cs="Times New Roman"/>
          <w:sz w:val="23"/>
          <w:szCs w:val="23"/>
        </w:rPr>
        <w:t>stablished. The community was shocked by this act of desecration carried out by the Doha Municipality. Eventually, an official  of the Ministry of Municipality verbally apologised to representatives of the Baháʼí community. This case also shows that having</w:t>
      </w:r>
      <w:r>
        <w:rPr>
          <w:rFonts w:ascii="Times New Roman" w:eastAsia="Times New Roman" w:hAnsi="Times New Roman" w:cs="Times New Roman"/>
          <w:sz w:val="23"/>
          <w:szCs w:val="23"/>
        </w:rPr>
        <w:t xml:space="preserve"> the right to bury the dead for a religious minority group is part of the right of taking part in Bahá'í cultural life, which had been attacked and violated in Qatar. </w:t>
      </w:r>
    </w:p>
    <w:p w14:paraId="0BC76429" w14:textId="77777777" w:rsidR="003B3B1D" w:rsidRDefault="003B3B1D">
      <w:pPr>
        <w:spacing w:before="240" w:line="240" w:lineRule="auto"/>
        <w:rPr>
          <w:rFonts w:ascii="Times New Roman" w:eastAsia="Times New Roman" w:hAnsi="Times New Roman" w:cs="Times New Roman"/>
          <w:sz w:val="23"/>
          <w:szCs w:val="23"/>
        </w:rPr>
      </w:pPr>
    </w:p>
    <w:p w14:paraId="7B5A1F41" w14:textId="77777777" w:rsidR="003B3B1D" w:rsidRDefault="001572DC">
      <w:pPr>
        <w:pStyle w:val="Heading2"/>
        <w:numPr>
          <w:ilvl w:val="0"/>
          <w:numId w:val="2"/>
        </w:numPr>
        <w:spacing w:before="240" w:line="240" w:lineRule="auto"/>
      </w:pPr>
      <w:bookmarkStart w:id="6" w:name="_heading=h.m1si6m10ybzs" w:colFirst="0" w:colLast="0"/>
      <w:bookmarkEnd w:id="6"/>
      <w:r>
        <w:lastRenderedPageBreak/>
        <w:t>Taking part in the cultural life of the broader Qatari society</w:t>
      </w:r>
    </w:p>
    <w:p w14:paraId="4B6E00D1"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As mentioned earlier, the imposed discrimination on Bahá’ís for their contribution to cultural life is not limited to their participation in Bahá'í activities and religious gatherings. Their presence – as residents or citizens of Qatar – in the social and </w:t>
      </w:r>
      <w:r>
        <w:rPr>
          <w:rFonts w:ascii="Times New Roman" w:eastAsia="Times New Roman" w:hAnsi="Times New Roman" w:cs="Times New Roman"/>
          <w:sz w:val="23"/>
          <w:szCs w:val="23"/>
        </w:rPr>
        <w:t>cultural life of the country has been subjected to various forms of discrimination. There has been a critical concern about the presence of Bahá’ís in educational activities and their associations with the broader Qatari society, such as their education in</w:t>
      </w:r>
      <w:r>
        <w:rPr>
          <w:rFonts w:ascii="Times New Roman" w:eastAsia="Times New Roman" w:hAnsi="Times New Roman" w:cs="Times New Roman"/>
          <w:sz w:val="23"/>
          <w:szCs w:val="23"/>
        </w:rPr>
        <w:t xml:space="preserve"> public schools as a high-school student, or their employment as professionals in specific areas like education or the health system. </w:t>
      </w:r>
    </w:p>
    <w:p w14:paraId="562223AC"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In the 1960s, Baháʼí </w:t>
      </w:r>
      <w:r>
        <w:rPr>
          <w:rFonts w:ascii="Times New Roman" w:eastAsia="Times New Roman" w:hAnsi="Times New Roman" w:cs="Times New Roman"/>
          <w:b/>
          <w:sz w:val="23"/>
          <w:szCs w:val="23"/>
        </w:rPr>
        <w:t>high school students</w:t>
      </w:r>
      <w:r>
        <w:rPr>
          <w:rFonts w:ascii="Times New Roman" w:eastAsia="Times New Roman" w:hAnsi="Times New Roman" w:cs="Times New Roman"/>
          <w:sz w:val="23"/>
          <w:szCs w:val="23"/>
        </w:rPr>
        <w:t xml:space="preserve"> </w:t>
      </w:r>
      <w:r>
        <w:rPr>
          <w:rFonts w:ascii="Times New Roman" w:eastAsia="Times New Roman" w:hAnsi="Times New Roman" w:cs="Times New Roman"/>
          <w:b/>
          <w:sz w:val="23"/>
          <w:szCs w:val="23"/>
        </w:rPr>
        <w:t>were thrown out of Islamic religious education classes</w:t>
      </w:r>
      <w:r>
        <w:rPr>
          <w:rFonts w:ascii="Times New Roman" w:eastAsia="Times New Roman" w:hAnsi="Times New Roman" w:cs="Times New Roman"/>
          <w:sz w:val="23"/>
          <w:szCs w:val="23"/>
        </w:rPr>
        <w:t xml:space="preserve"> in public schools, and t</w:t>
      </w:r>
      <w:r>
        <w:rPr>
          <w:rFonts w:ascii="Times New Roman" w:eastAsia="Times New Roman" w:hAnsi="Times New Roman" w:cs="Times New Roman"/>
          <w:sz w:val="23"/>
          <w:szCs w:val="23"/>
        </w:rPr>
        <w:t>hey were unable to obtain grades for that subject, negatively affecting their academic records and prospects. It took years of parental appeals and objections before they were reinstated. In the 1990s, a number of Bahá’í high school students (including a E</w:t>
      </w:r>
      <w:r>
        <w:rPr>
          <w:rFonts w:ascii="Times New Roman" w:eastAsia="Times New Roman" w:hAnsi="Times New Roman" w:cs="Times New Roman"/>
          <w:sz w:val="23"/>
          <w:szCs w:val="23"/>
        </w:rPr>
        <w:t xml:space="preserve">uropean and a Qatari) were </w:t>
      </w:r>
      <w:r>
        <w:rPr>
          <w:rFonts w:ascii="Times New Roman" w:eastAsia="Times New Roman" w:hAnsi="Times New Roman" w:cs="Times New Roman"/>
          <w:b/>
          <w:sz w:val="23"/>
          <w:szCs w:val="23"/>
        </w:rPr>
        <w:t>publicly taunted by one of their teachers</w:t>
      </w:r>
      <w:r>
        <w:rPr>
          <w:rFonts w:ascii="Times New Roman" w:eastAsia="Times New Roman" w:hAnsi="Times New Roman" w:cs="Times New Roman"/>
          <w:sz w:val="23"/>
          <w:szCs w:val="23"/>
        </w:rPr>
        <w:t xml:space="preserve"> in a Qatari public school. They were forced to stand at the back of the classroom and denounced by the teacher as infidels. The students were warned not to associate with them. Despite be</w:t>
      </w:r>
      <w:r>
        <w:rPr>
          <w:rFonts w:ascii="Times New Roman" w:eastAsia="Times New Roman" w:hAnsi="Times New Roman" w:cs="Times New Roman"/>
          <w:sz w:val="23"/>
          <w:szCs w:val="23"/>
        </w:rPr>
        <w:t xml:space="preserve">ing outstanding students, no correction, retraction, or apology was ever made. </w:t>
      </w:r>
    </w:p>
    <w:p w14:paraId="76BF5DD7" w14:textId="77777777" w:rsidR="003B3B1D" w:rsidRDefault="001572DC">
      <w:pP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These discriminations in taking part in the cultural life of Qatar society is not limited to Bahá'í students. Bahá'í professionals were also denied opportunities to work in var</w:t>
      </w:r>
      <w:r>
        <w:rPr>
          <w:rFonts w:ascii="Times New Roman" w:eastAsia="Times New Roman" w:hAnsi="Times New Roman" w:cs="Times New Roman"/>
          <w:sz w:val="23"/>
          <w:szCs w:val="23"/>
        </w:rPr>
        <w:t>ious educational, academic, cultural, medical and health fields due to their religious beliefs. For example, in the 1990s, outstanding Baháʼí female graduates from the University of Qatar were refused entry into specific professional streams, despite suppo</w:t>
      </w:r>
      <w:r>
        <w:rPr>
          <w:rFonts w:ascii="Times New Roman" w:eastAsia="Times New Roman" w:hAnsi="Times New Roman" w:cs="Times New Roman"/>
          <w:sz w:val="23"/>
          <w:szCs w:val="23"/>
        </w:rPr>
        <w:t>rt from senior Qatari personnel. Employment offers were blocked under the pretext of security, based on their faith, leading many of these graduates to leave the country. Today, this group includes professors, doctors, scientists, and an author, none of wh</w:t>
      </w:r>
      <w:r>
        <w:rPr>
          <w:rFonts w:ascii="Times New Roman" w:eastAsia="Times New Roman" w:hAnsi="Times New Roman" w:cs="Times New Roman"/>
          <w:sz w:val="23"/>
          <w:szCs w:val="23"/>
        </w:rPr>
        <w:t xml:space="preserve">om are in Qatar. These discriminations clearly violate  Article 15 (Paragraph 2) of CESCR and, furthermore, Article 50 (freedom to practice religious rites) of the Qatar constitution.  </w:t>
      </w:r>
    </w:p>
    <w:p w14:paraId="267FF193" w14:textId="77777777" w:rsidR="003B3B1D" w:rsidRDefault="003B3B1D">
      <w:pPr>
        <w:spacing w:before="240" w:line="240" w:lineRule="auto"/>
        <w:rPr>
          <w:rFonts w:ascii="Times New Roman" w:eastAsia="Times New Roman" w:hAnsi="Times New Roman" w:cs="Times New Roman"/>
          <w:sz w:val="23"/>
          <w:szCs w:val="23"/>
        </w:rPr>
      </w:pPr>
    </w:p>
    <w:p w14:paraId="1563609B" w14:textId="77777777" w:rsidR="003B3B1D" w:rsidRDefault="001572DC">
      <w:pPr>
        <w:pStyle w:val="Heading1"/>
        <w:spacing w:line="240" w:lineRule="auto"/>
        <w:ind w:right="569"/>
      </w:pPr>
      <w:bookmarkStart w:id="7" w:name="_heading=h.ss4s42k3cxuh" w:colFirst="0" w:colLast="0"/>
      <w:bookmarkEnd w:id="7"/>
      <w:r>
        <w:t>Conclusion</w:t>
      </w:r>
    </w:p>
    <w:p w14:paraId="207DE9BC" w14:textId="77777777" w:rsidR="003B3B1D" w:rsidRDefault="001572DC">
      <w:pPr>
        <w:spacing w:before="240" w:after="45" w:line="240" w:lineRule="auto"/>
        <w:rPr>
          <w:rFonts w:ascii="Times New Roman" w:eastAsia="Times New Roman" w:hAnsi="Times New Roman" w:cs="Times New Roman"/>
          <w:b/>
          <w:sz w:val="23"/>
          <w:szCs w:val="23"/>
        </w:rPr>
      </w:pPr>
      <w:r>
        <w:rPr>
          <w:rFonts w:ascii="Times New Roman" w:eastAsia="Times New Roman" w:hAnsi="Times New Roman" w:cs="Times New Roman"/>
          <w:sz w:val="23"/>
          <w:szCs w:val="23"/>
        </w:rPr>
        <w:t>Baháʼís have been living in Qatar since the 1940s, from ov</w:t>
      </w:r>
      <w:r>
        <w:rPr>
          <w:rFonts w:ascii="Times New Roman" w:eastAsia="Times New Roman" w:hAnsi="Times New Roman" w:cs="Times New Roman"/>
          <w:sz w:val="23"/>
          <w:szCs w:val="23"/>
        </w:rPr>
        <w:t>er 30 different nationalities, including Qataris. They have actively been involved with others in various sectors, contributing to Qatari society in areas such as medical and health, oil and gas. However, as previously explained, the Bahá'í community in Qa</w:t>
      </w:r>
      <w:r>
        <w:rPr>
          <w:rFonts w:ascii="Times New Roman" w:eastAsia="Times New Roman" w:hAnsi="Times New Roman" w:cs="Times New Roman"/>
          <w:sz w:val="23"/>
          <w:szCs w:val="23"/>
        </w:rPr>
        <w:t>tar has faced increasing institutional discrimination imposed by the State. This discrimination aims to restrict the contributions of Bahá’ís to the economic and cultural life of Qatari society, and weaken their religious identity and family bonds. These d</w:t>
      </w:r>
      <w:r>
        <w:rPr>
          <w:rFonts w:ascii="Times New Roman" w:eastAsia="Times New Roman" w:hAnsi="Times New Roman" w:cs="Times New Roman"/>
          <w:sz w:val="23"/>
          <w:szCs w:val="23"/>
        </w:rPr>
        <w:t xml:space="preserve">iscriminatory practices include the non-recognition of marriages  of its members, as well as the refusal to issue “certificate of good conduct” required for various job positions. Moreover, there have been instances of deportations and reluctance to issue </w:t>
      </w:r>
      <w:r>
        <w:rPr>
          <w:rFonts w:ascii="Times New Roman" w:eastAsia="Times New Roman" w:hAnsi="Times New Roman" w:cs="Times New Roman"/>
          <w:sz w:val="23"/>
          <w:szCs w:val="23"/>
        </w:rPr>
        <w:t>residency permits for Bahá’ís.</w:t>
      </w:r>
    </w:p>
    <w:p w14:paraId="197C9975" w14:textId="77777777" w:rsidR="003B3B1D" w:rsidRDefault="001572DC">
      <w:pPr>
        <w:spacing w:before="240" w:after="45"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Baháʼís in Qatar have felt a strong connection with the broader Qatari community, leading them to refrain from reporting instances of discrimination and human rights violations they have faced as individuals and as a religiou</w:t>
      </w:r>
      <w:r>
        <w:rPr>
          <w:rFonts w:ascii="Times New Roman" w:eastAsia="Times New Roman" w:hAnsi="Times New Roman" w:cs="Times New Roman"/>
          <w:sz w:val="23"/>
          <w:szCs w:val="23"/>
        </w:rPr>
        <w:t>s minority. Despite this, in recent years, Baháʼís have actively engaged with the Qatari authorities, seeking redress and remedies where the State has fallen short of its obligations. However, despite receiving assurances and promises, meaningful changes h</w:t>
      </w:r>
      <w:r>
        <w:rPr>
          <w:rFonts w:ascii="Times New Roman" w:eastAsia="Times New Roman" w:hAnsi="Times New Roman" w:cs="Times New Roman"/>
          <w:sz w:val="23"/>
          <w:szCs w:val="23"/>
        </w:rPr>
        <w:t xml:space="preserve">ave not been </w:t>
      </w:r>
      <w:r>
        <w:rPr>
          <w:rFonts w:ascii="Times New Roman" w:eastAsia="Times New Roman" w:hAnsi="Times New Roman" w:cs="Times New Roman"/>
          <w:sz w:val="23"/>
          <w:szCs w:val="23"/>
        </w:rPr>
        <w:lastRenderedPageBreak/>
        <w:t>realized. The cumulative impact of these discriminatory acts has now become unsustainable and poses a significant threat to the existence of the small Bahá'í community in Qatar.</w:t>
      </w:r>
    </w:p>
    <w:p w14:paraId="5C17CDE8" w14:textId="77777777" w:rsidR="003B3B1D" w:rsidRDefault="001572DC">
      <w:pPr>
        <w:pBdr>
          <w:top w:val="nil"/>
          <w:left w:val="nil"/>
          <w:bottom w:val="nil"/>
          <w:right w:val="nil"/>
          <w:between w:val="nil"/>
        </w:pBd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It is evident from the facts presented above that international m</w:t>
      </w:r>
      <w:r>
        <w:rPr>
          <w:rFonts w:ascii="Times New Roman" w:eastAsia="Times New Roman" w:hAnsi="Times New Roman" w:cs="Times New Roman"/>
          <w:sz w:val="23"/>
          <w:szCs w:val="23"/>
        </w:rPr>
        <w:t>onitoring remains crucial for protecting the Bahá'í community in Qatar. The community has faced complex and interconnected forms of discrimination. For example, the ‘denial of the right to work’ not only affects the economic well-being of individuals and t</w:t>
      </w:r>
      <w:r>
        <w:rPr>
          <w:rFonts w:ascii="Times New Roman" w:eastAsia="Times New Roman" w:hAnsi="Times New Roman" w:cs="Times New Roman"/>
          <w:sz w:val="23"/>
          <w:szCs w:val="23"/>
        </w:rPr>
        <w:t>he community, but also leads to the weakening of Bahá'í cultural life in Qatar. Simultaneously, it impacts the “right to preserve family bonds” as unstable job contracts create concerns for supporting families financially. Deportation of Bahá’ís also resul</w:t>
      </w:r>
      <w:r>
        <w:rPr>
          <w:rFonts w:ascii="Times New Roman" w:eastAsia="Times New Roman" w:hAnsi="Times New Roman" w:cs="Times New Roman"/>
          <w:sz w:val="23"/>
          <w:szCs w:val="23"/>
        </w:rPr>
        <w:t xml:space="preserve">ts in forced family separations. Moreover, restrictions on contributing to their religious community activities serve as a systematic tool for marginalizing and eliminating Bahá’ís from the country. </w:t>
      </w:r>
    </w:p>
    <w:p w14:paraId="18432429" w14:textId="77777777" w:rsidR="003B3B1D" w:rsidRDefault="001572DC">
      <w:pPr>
        <w:pBdr>
          <w:top w:val="nil"/>
          <w:left w:val="nil"/>
          <w:bottom w:val="nil"/>
          <w:right w:val="nil"/>
          <w:between w:val="nil"/>
        </w:pBdr>
        <w:spacing w:before="24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As </w:t>
      </w:r>
      <w:hyperlink r:id="rId12" w:anchor="record-files-collapse-header">
        <w:r>
          <w:rPr>
            <w:rFonts w:ascii="Times New Roman" w:eastAsia="Times New Roman" w:hAnsi="Times New Roman" w:cs="Times New Roman"/>
            <w:color w:val="1155CC"/>
            <w:sz w:val="23"/>
            <w:szCs w:val="23"/>
            <w:u w:val="single"/>
          </w:rPr>
          <w:t>a member of the UN Human Rights Council</w:t>
        </w:r>
      </w:hyperlink>
      <w:r>
        <w:rPr>
          <w:rFonts w:ascii="Times New Roman" w:eastAsia="Times New Roman" w:hAnsi="Times New Roman" w:cs="Times New Roman"/>
          <w:sz w:val="23"/>
          <w:szCs w:val="23"/>
        </w:rPr>
        <w:t>, Qatar promotes cooperation and compliance with these standards by other states. It voluntarily pledged to “further develop its nati</w:t>
      </w:r>
      <w:r>
        <w:rPr>
          <w:rFonts w:ascii="Times New Roman" w:eastAsia="Times New Roman" w:hAnsi="Times New Roman" w:cs="Times New Roman"/>
          <w:sz w:val="23"/>
          <w:szCs w:val="23"/>
        </w:rPr>
        <w:t>onal laws and harmonize them with international human rights law” and to “use its position as a member of the Human Rights Council in order to preserve the country’s effective, constructive and positive role in advancing human rights and fundamental freedo</w:t>
      </w:r>
      <w:r>
        <w:rPr>
          <w:rFonts w:ascii="Times New Roman" w:eastAsia="Times New Roman" w:hAnsi="Times New Roman" w:cs="Times New Roman"/>
          <w:sz w:val="23"/>
          <w:szCs w:val="23"/>
        </w:rPr>
        <w:t xml:space="preserve">ms around the world”. Qatar’s obligations under the </w:t>
      </w:r>
      <w:hyperlink r:id="rId13">
        <w:r>
          <w:rPr>
            <w:rFonts w:ascii="Times New Roman" w:eastAsia="Times New Roman" w:hAnsi="Times New Roman" w:cs="Times New Roman"/>
            <w:color w:val="1155CC"/>
            <w:sz w:val="23"/>
            <w:szCs w:val="23"/>
            <w:u w:val="single"/>
          </w:rPr>
          <w:t>ICESCR</w:t>
        </w:r>
      </w:hyperlink>
      <w:r>
        <w:rPr>
          <w:rFonts w:ascii="Times New Roman" w:eastAsia="Times New Roman" w:hAnsi="Times New Roman" w:cs="Times New Roman"/>
          <w:sz w:val="23"/>
          <w:szCs w:val="23"/>
        </w:rPr>
        <w:t xml:space="preserve"> include being bound by Article 6 on the right to work, Article 10 on the right to </w:t>
      </w:r>
      <w:r>
        <w:rPr>
          <w:rFonts w:ascii="Times New Roman" w:eastAsia="Times New Roman" w:hAnsi="Times New Roman" w:cs="Times New Roman"/>
          <w:sz w:val="23"/>
          <w:szCs w:val="23"/>
        </w:rPr>
        <w:t>preserve family ties, and Article 15 on the right to take part in cultural life.</w:t>
      </w:r>
    </w:p>
    <w:sectPr w:rsidR="003B3B1D">
      <w:headerReference w:type="defaul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19677" w14:textId="77777777" w:rsidR="00000000" w:rsidRDefault="001572DC">
      <w:pPr>
        <w:spacing w:after="0" w:line="240" w:lineRule="auto"/>
      </w:pPr>
      <w:r>
        <w:separator/>
      </w:r>
    </w:p>
  </w:endnote>
  <w:endnote w:type="continuationSeparator" w:id="0">
    <w:p w14:paraId="7F38B8C5" w14:textId="77777777" w:rsidR="00000000" w:rsidRDefault="00157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86A7C" w14:textId="77777777" w:rsidR="00000000" w:rsidRDefault="001572DC">
      <w:pPr>
        <w:spacing w:after="0" w:line="240" w:lineRule="auto"/>
      </w:pPr>
      <w:r>
        <w:separator/>
      </w:r>
    </w:p>
  </w:footnote>
  <w:footnote w:type="continuationSeparator" w:id="0">
    <w:p w14:paraId="64069A7F" w14:textId="77777777" w:rsidR="00000000" w:rsidRDefault="001572DC">
      <w:pPr>
        <w:spacing w:after="0" w:line="240" w:lineRule="auto"/>
      </w:pPr>
      <w:r>
        <w:continuationSeparator/>
      </w:r>
    </w:p>
  </w:footnote>
  <w:footnote w:id="1">
    <w:p w14:paraId="085107D9" w14:textId="77777777" w:rsidR="003B3B1D" w:rsidRDefault="001572DC">
      <w:pPr>
        <w:jc w:val="both"/>
        <w:rPr>
          <w:sz w:val="20"/>
          <w:szCs w:val="20"/>
        </w:rPr>
      </w:pPr>
      <w:r>
        <w:rPr>
          <w:vertAlign w:val="superscript"/>
        </w:rPr>
        <w:footnoteRef/>
      </w:r>
      <w:r>
        <w:rPr>
          <w:rFonts w:ascii="Times New Roman" w:eastAsia="Times New Roman" w:hAnsi="Times New Roman" w:cs="Times New Roman"/>
          <w:sz w:val="20"/>
          <w:szCs w:val="20"/>
        </w:rPr>
        <w:t xml:space="preserve"> A pertinent example of this is the case of Dr Farid Shafiei Sarvestani.</w:t>
      </w:r>
    </w:p>
  </w:footnote>
  <w:footnote w:id="2">
    <w:p w14:paraId="27A6C688" w14:textId="77777777" w:rsidR="003B3B1D" w:rsidRDefault="001572DC">
      <w:pPr>
        <w:rPr>
          <w:sz w:val="20"/>
          <w:szCs w:val="20"/>
        </w:rPr>
      </w:pPr>
      <w:r>
        <w:rPr>
          <w:vertAlign w:val="superscript"/>
        </w:rPr>
        <w:footnoteRef/>
      </w:r>
      <w:r>
        <w:rPr>
          <w:rFonts w:ascii="Times New Roman" w:eastAsia="Times New Roman" w:hAnsi="Times New Roman" w:cs="Times New Roman"/>
          <w:sz w:val="20"/>
          <w:szCs w:val="20"/>
        </w:rPr>
        <w:t xml:space="preserve"> William Milne Lawson’s case was one such instance. </w:t>
      </w:r>
    </w:p>
  </w:footnote>
  <w:footnote w:id="3">
    <w:p w14:paraId="441B19CF" w14:textId="77777777" w:rsidR="003B3B1D" w:rsidRDefault="001572DC">
      <w:pPr>
        <w:rPr>
          <w:sz w:val="20"/>
          <w:szCs w:val="20"/>
        </w:rPr>
      </w:pPr>
      <w:r>
        <w:rPr>
          <w:vertAlign w:val="superscript"/>
        </w:rPr>
        <w:footnoteRef/>
      </w:r>
      <w:r>
        <w:rPr>
          <w:rFonts w:ascii="Times New Roman" w:eastAsia="Times New Roman" w:hAnsi="Times New Roman" w:cs="Times New Roman"/>
          <w:sz w:val="20"/>
          <w:szCs w:val="20"/>
        </w:rPr>
        <w:t xml:space="preserve"> One instance of this was the case of Mr Baher Seioshansian.</w:t>
      </w:r>
    </w:p>
  </w:footnote>
  <w:footnote w:id="4">
    <w:p w14:paraId="5EBA0233" w14:textId="77777777" w:rsidR="003B3B1D" w:rsidRDefault="001572DC">
      <w:pPr>
        <w:rPr>
          <w:sz w:val="20"/>
          <w:szCs w:val="20"/>
        </w:rPr>
      </w:pPr>
      <w:r>
        <w:rPr>
          <w:vertAlign w:val="superscript"/>
        </w:rPr>
        <w:footnoteRef/>
      </w:r>
      <w:r>
        <w:rPr>
          <w:rFonts w:ascii="Times New Roman" w:eastAsia="Times New Roman" w:hAnsi="Times New Roman" w:cs="Times New Roman"/>
          <w:sz w:val="20"/>
          <w:szCs w:val="20"/>
        </w:rPr>
        <w:t xml:space="preserve"> One example was the case of Mr Rohit Goel, whose family of five were forced to leave Qatar. In another case, Mr Omid Seioshansian was simply told that his residency was cancelled as his file suggested he had allegedly committed a criminal act. They did no</w:t>
      </w:r>
      <w:r>
        <w:rPr>
          <w:rFonts w:ascii="Times New Roman" w:eastAsia="Times New Roman" w:hAnsi="Times New Roman" w:cs="Times New Roman"/>
          <w:sz w:val="20"/>
          <w:szCs w:val="20"/>
        </w:rPr>
        <w:t xml:space="preserve">t care to share with him what his ‘crime’ was. </w:t>
      </w:r>
    </w:p>
  </w:footnote>
  <w:footnote w:id="5">
    <w:p w14:paraId="20F33CDD" w14:textId="77777777" w:rsidR="003B3B1D" w:rsidRDefault="001572DC">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One instance of this was the case of Mr Faroukh Abdul-Salam Ahmad Hasan Amer and his family of four.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A5D78" w14:textId="77777777" w:rsidR="003B3B1D" w:rsidRDefault="001572DC">
    <w:pPr>
      <w:pBdr>
        <w:top w:val="nil"/>
        <w:left w:val="nil"/>
        <w:bottom w:val="nil"/>
        <w:right w:val="nil"/>
        <w:between w:val="nil"/>
      </w:pBdr>
      <w:tabs>
        <w:tab w:val="center" w:pos="4680"/>
        <w:tab w:val="right" w:pos="9360"/>
      </w:tabs>
      <w:spacing w:after="0" w:line="240" w:lineRule="auto"/>
      <w:ind w:left="720" w:right="360"/>
      <w:rPr>
        <w:color w:val="000000"/>
      </w:rPr>
    </w:pPr>
    <w:r>
      <w:rPr>
        <w:color w:val="000000"/>
        <w:sz w:val="20"/>
        <w:szCs w:val="20"/>
      </w:rPr>
      <w:t>Qatar / CESCR  –</w:t>
    </w:r>
    <w:r>
      <w:rPr>
        <w:i/>
        <w:color w:val="000000"/>
        <w:sz w:val="20"/>
        <w:szCs w:val="20"/>
      </w:rPr>
      <w:t xml:space="preserve">  </w:t>
    </w: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23E09704" w14:textId="77777777" w:rsidR="003B3B1D" w:rsidRDefault="003B3B1D">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E11A7"/>
    <w:multiLevelType w:val="multilevel"/>
    <w:tmpl w:val="E9422FE8"/>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BAC3636"/>
    <w:multiLevelType w:val="multilevel"/>
    <w:tmpl w:val="0ABAFC1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2122607511">
    <w:abstractNumId w:val="0"/>
  </w:num>
  <w:num w:numId="2" w16cid:durableId="1455715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B1D"/>
    <w:rsid w:val="001572DC"/>
    <w:rsid w:val="003B3B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3919B"/>
  <w15:docId w15:val="{17EEE178-8DF0-4921-AE90-A52683CC0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fr-FR"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F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61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Heading2"/>
    <w:next w:val="Normal"/>
    <w:link w:val="Heading4Char"/>
    <w:uiPriority w:val="9"/>
    <w:semiHidden/>
    <w:unhideWhenUsed/>
    <w:qFormat/>
    <w:rsid w:val="00C761B2"/>
    <w:pPr>
      <w:keepLines w:val="0"/>
      <w:bidi w:val="0"/>
      <w:spacing w:before="120" w:after="120" w:line="240" w:lineRule="auto"/>
      <w:outlineLvl w:val="3"/>
    </w:pPr>
    <w:rPr>
      <w:rFonts w:ascii="Calibri" w:eastAsia="Times New Roman" w:hAnsi="Calibri" w:cs="Times New Roman"/>
      <w:b/>
      <w:color w:val="auto"/>
      <w:spacing w:val="10"/>
      <w:szCs w:val="24"/>
      <w:lang w:val="en-G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C761B2"/>
    <w:pPr>
      <w:bidi w:val="0"/>
      <w:spacing w:after="0" w:line="240" w:lineRule="auto"/>
    </w:pPr>
    <w:rPr>
      <w:rFonts w:eastAsia="Times New Roman" w:cs="Times New Roman"/>
      <w:spacing w:val="12"/>
      <w:sz w:val="28"/>
      <w:szCs w:val="28"/>
      <w:lang w:val="en-GB"/>
    </w:rPr>
  </w:style>
  <w:style w:type="character" w:customStyle="1" w:styleId="TitleChar">
    <w:name w:val="Title Char"/>
    <w:basedOn w:val="DefaultParagraphFont"/>
    <w:link w:val="Title"/>
    <w:rsid w:val="00C761B2"/>
    <w:rPr>
      <w:rFonts w:ascii="Calibri" w:eastAsia="Times New Roman" w:hAnsi="Calibri" w:cs="Times New Roman"/>
      <w:spacing w:val="12"/>
      <w:kern w:val="0"/>
      <w:sz w:val="28"/>
      <w:szCs w:val="28"/>
      <w:lang w:val="en-GB" w:bidi="ar-SA"/>
    </w:rPr>
  </w:style>
  <w:style w:type="character" w:customStyle="1" w:styleId="Heading4Char">
    <w:name w:val="Heading 4 Char"/>
    <w:basedOn w:val="DefaultParagraphFont"/>
    <w:link w:val="Heading4"/>
    <w:rsid w:val="00C761B2"/>
    <w:rPr>
      <w:rFonts w:ascii="Calibri" w:eastAsia="Times New Roman" w:hAnsi="Calibri" w:cs="Times New Roman"/>
      <w:b/>
      <w:spacing w:val="10"/>
      <w:kern w:val="0"/>
      <w:sz w:val="26"/>
      <w:szCs w:val="24"/>
      <w:lang w:val="en-GB" w:bidi="ar-SA"/>
    </w:rPr>
  </w:style>
  <w:style w:type="character" w:customStyle="1" w:styleId="Heading2Char">
    <w:name w:val="Heading 2 Char"/>
    <w:basedOn w:val="DefaultParagraphFont"/>
    <w:link w:val="Heading2"/>
    <w:uiPriority w:val="9"/>
    <w:semiHidden/>
    <w:rsid w:val="00C761B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E3842"/>
    <w:rPr>
      <w:color w:val="0563C1" w:themeColor="hyperlink"/>
      <w:u w:val="single"/>
    </w:rPr>
  </w:style>
  <w:style w:type="character" w:styleId="UnresolvedMention">
    <w:name w:val="Unresolved Mention"/>
    <w:basedOn w:val="DefaultParagraphFont"/>
    <w:uiPriority w:val="99"/>
    <w:semiHidden/>
    <w:unhideWhenUsed/>
    <w:rsid w:val="008E3842"/>
    <w:rPr>
      <w:color w:val="605E5C"/>
      <w:shd w:val="clear" w:color="auto" w:fill="E1DFDD"/>
    </w:rPr>
  </w:style>
  <w:style w:type="paragraph" w:styleId="ListParagraph">
    <w:name w:val="List Paragraph"/>
    <w:basedOn w:val="Normal"/>
    <w:uiPriority w:val="34"/>
    <w:qFormat/>
    <w:rsid w:val="00357636"/>
    <w:pPr>
      <w:ind w:left="720"/>
      <w:contextualSpacing/>
    </w:pPr>
  </w:style>
  <w:style w:type="character" w:customStyle="1" w:styleId="Heading1Char">
    <w:name w:val="Heading 1 Char"/>
    <w:basedOn w:val="DefaultParagraphFont"/>
    <w:link w:val="Heading1"/>
    <w:uiPriority w:val="9"/>
    <w:rsid w:val="00F95F5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C6339"/>
    <w:rPr>
      <w:color w:val="954F72" w:themeColor="followedHyperlink"/>
      <w:u w:val="single"/>
    </w:rPr>
  </w:style>
  <w:style w:type="table" w:styleId="TableGrid">
    <w:name w:val="Table Grid"/>
    <w:basedOn w:val="TableNormal"/>
    <w:uiPriority w:val="39"/>
    <w:rsid w:val="00664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87399"/>
    <w:rPr>
      <w:sz w:val="16"/>
      <w:szCs w:val="16"/>
    </w:rPr>
  </w:style>
  <w:style w:type="paragraph" w:styleId="CommentText">
    <w:name w:val="annotation text"/>
    <w:basedOn w:val="Normal"/>
    <w:link w:val="CommentTextChar"/>
    <w:uiPriority w:val="99"/>
    <w:unhideWhenUsed/>
    <w:rsid w:val="00A87399"/>
    <w:pPr>
      <w:spacing w:line="240" w:lineRule="auto"/>
    </w:pPr>
    <w:rPr>
      <w:sz w:val="20"/>
      <w:szCs w:val="20"/>
    </w:rPr>
  </w:style>
  <w:style w:type="character" w:customStyle="1" w:styleId="CommentTextChar">
    <w:name w:val="Comment Text Char"/>
    <w:basedOn w:val="DefaultParagraphFont"/>
    <w:link w:val="CommentText"/>
    <w:uiPriority w:val="99"/>
    <w:rsid w:val="00A87399"/>
    <w:rPr>
      <w:sz w:val="20"/>
      <w:szCs w:val="20"/>
    </w:rPr>
  </w:style>
  <w:style w:type="paragraph" w:styleId="CommentSubject">
    <w:name w:val="annotation subject"/>
    <w:basedOn w:val="CommentText"/>
    <w:next w:val="CommentText"/>
    <w:link w:val="CommentSubjectChar"/>
    <w:uiPriority w:val="99"/>
    <w:semiHidden/>
    <w:unhideWhenUsed/>
    <w:rsid w:val="00A87399"/>
    <w:rPr>
      <w:b/>
      <w:bCs/>
    </w:rPr>
  </w:style>
  <w:style w:type="character" w:customStyle="1" w:styleId="CommentSubjectChar">
    <w:name w:val="Comment Subject Char"/>
    <w:basedOn w:val="CommentTextChar"/>
    <w:link w:val="CommentSubject"/>
    <w:uiPriority w:val="99"/>
    <w:semiHidden/>
    <w:rsid w:val="00A87399"/>
    <w:rPr>
      <w:b/>
      <w:bCs/>
      <w:sz w:val="20"/>
      <w:szCs w:val="20"/>
    </w:rPr>
  </w:style>
  <w:style w:type="paragraph" w:styleId="NormalWeb">
    <w:name w:val="Normal (Web)"/>
    <w:basedOn w:val="Normal"/>
    <w:uiPriority w:val="99"/>
    <w:semiHidden/>
    <w:unhideWhenUsed/>
    <w:rsid w:val="00DF5F4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357EFD"/>
    <w:rPr>
      <w:rFonts w:ascii="Segoe UI" w:hAnsi="Segoe UI" w:cs="Segoe UI" w:hint="default"/>
      <w:sz w:val="18"/>
      <w:szCs w:val="18"/>
    </w:rPr>
  </w:style>
  <w:style w:type="character" w:customStyle="1" w:styleId="cf11">
    <w:name w:val="cf11"/>
    <w:basedOn w:val="DefaultParagraphFont"/>
    <w:rsid w:val="00357EFD"/>
    <w:rPr>
      <w:rFonts w:ascii="Segoe UI" w:hAnsi="Segoe UI" w:cs="Segoe UI" w:hint="default"/>
      <w:b/>
      <w:bCs/>
      <w:sz w:val="18"/>
      <w:szCs w:val="18"/>
    </w:rPr>
  </w:style>
  <w:style w:type="character" w:customStyle="1" w:styleId="cf21">
    <w:name w:val="cf21"/>
    <w:basedOn w:val="DefaultParagraphFont"/>
    <w:rsid w:val="00084B61"/>
    <w:rPr>
      <w:rFonts w:ascii="Segoe UI" w:hAnsi="Segoe UI" w:cs="Segoe UI" w:hint="default"/>
      <w:b/>
      <w:bCs/>
      <w:sz w:val="18"/>
      <w:szCs w:val="18"/>
    </w:rPr>
  </w:style>
  <w:style w:type="paragraph" w:styleId="z-TopofForm">
    <w:name w:val="HTML Top of Form"/>
    <w:basedOn w:val="Normal"/>
    <w:next w:val="Normal"/>
    <w:link w:val="z-TopofFormChar"/>
    <w:hidden/>
    <w:uiPriority w:val="99"/>
    <w:semiHidden/>
    <w:unhideWhenUsed/>
    <w:rsid w:val="00535D2F"/>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35D2F"/>
    <w:rPr>
      <w:rFonts w:ascii="Arial" w:eastAsia="Times New Roman" w:hAnsi="Arial" w:cs="Arial"/>
      <w:vanish/>
      <w:kern w:val="0"/>
      <w:sz w:val="16"/>
      <w:szCs w:val="16"/>
    </w:rPr>
  </w:style>
  <w:style w:type="paragraph" w:styleId="Header">
    <w:name w:val="header"/>
    <w:basedOn w:val="Normal"/>
    <w:link w:val="HeaderChar"/>
    <w:unhideWhenUsed/>
    <w:rsid w:val="00CD0CF1"/>
    <w:pPr>
      <w:tabs>
        <w:tab w:val="center" w:pos="4680"/>
        <w:tab w:val="right" w:pos="9360"/>
      </w:tabs>
      <w:spacing w:after="0" w:line="240" w:lineRule="auto"/>
    </w:pPr>
  </w:style>
  <w:style w:type="character" w:customStyle="1" w:styleId="HeaderChar">
    <w:name w:val="Header Char"/>
    <w:basedOn w:val="DefaultParagraphFont"/>
    <w:link w:val="Header"/>
    <w:rsid w:val="00CD0CF1"/>
  </w:style>
  <w:style w:type="paragraph" w:styleId="Footer">
    <w:name w:val="footer"/>
    <w:basedOn w:val="Normal"/>
    <w:link w:val="FooterChar"/>
    <w:uiPriority w:val="99"/>
    <w:unhideWhenUsed/>
    <w:rsid w:val="00CD0C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CF1"/>
  </w:style>
  <w:style w:type="character" w:styleId="PageNumber">
    <w:name w:val="page number"/>
    <w:basedOn w:val="DefaultParagraphFont"/>
    <w:semiHidden/>
    <w:rsid w:val="00CD0CF1"/>
  </w:style>
  <w:style w:type="paragraph" w:styleId="Revision">
    <w:name w:val="Revision"/>
    <w:hidden/>
    <w:uiPriority w:val="99"/>
    <w:semiHidden/>
    <w:rsid w:val="00463622"/>
    <w:pPr>
      <w:spacing w:after="0" w:line="240" w:lineRule="auto"/>
    </w:pPr>
  </w:style>
  <w:style w:type="paragraph" w:styleId="Subtitle">
    <w:name w:val="Subtitle"/>
    <w:basedOn w:val="Normal"/>
    <w:next w:val="Normal"/>
    <w:uiPriority w:val="11"/>
    <w:qFormat/>
    <w:pPr>
      <w:keepNext/>
      <w:keepLines/>
      <w:spacing w:before="240" w:after="120" w:line="240" w:lineRule="auto"/>
      <w:ind w:right="479"/>
    </w:pPr>
    <w:rPr>
      <w:rFonts w:ascii="Times New Roman" w:eastAsia="Times New Roman" w:hAnsi="Times New Roman" w:cs="Times New Roman"/>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hchr.org/en/professionalinterest/pages/cescr.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library.un.org/record/3905554?ln=e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nesty.org/en/latest/press-release/2021/04/iran-stop-destruction-of-mass-grave-site-and-allow-dignified-burials-of-persecuted-baha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lmeezan.qa/LawPage.aspx?id=2284&amp;language=en" TargetMode="External"/><Relationship Id="rId4" Type="http://schemas.openxmlformats.org/officeDocument/2006/relationships/settings" Target="settings.xml"/><Relationship Id="rId9" Type="http://schemas.openxmlformats.org/officeDocument/2006/relationships/hyperlink" Target="https://www.bic.org/statements/statement-qatar"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UAMRvad+dD28YQoTaM6/1k5Icw==">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3329</Words>
  <Characters>17580</Characters>
  <Application>Microsoft Office Word</Application>
  <DocSecurity>0</DocSecurity>
  <Lines>283</Lines>
  <Paragraphs>101</Paragraphs>
  <ScaleCrop>false</ScaleCrop>
  <Company>OHCHR</Company>
  <LinksUpToDate>false</LinksUpToDate>
  <CharactersWithSpaces>20808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pbehrooz@student.ubc.ca</dc:creator>
  <cp:lastModifiedBy>Celine Reynaud</cp:lastModifiedBy>
  <cp:revision>2</cp:revision>
  <dcterms:created xsi:type="dcterms:W3CDTF">2023-08-16T08:30:00Z</dcterms:created>
  <dcterms:modified xsi:type="dcterms:W3CDTF">2023-08-16T08:30:00Z</dcterms:modified>
</cp:coreProperties>
</file>