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22BBB" w14:paraId="07FC1516" w14:textId="77777777">
        <w:trPr>
          <w:cantSplit/>
          <w:trHeight w:hRule="exact" w:val="851"/>
        </w:trPr>
        <w:tc>
          <w:tcPr>
            <w:tcW w:w="1276" w:type="dxa"/>
            <w:tcBorders>
              <w:bottom w:val="single" w:sz="4" w:space="0" w:color="auto"/>
            </w:tcBorders>
            <w:vAlign w:val="bottom"/>
          </w:tcPr>
          <w:p w14:paraId="7D48D451" w14:textId="77777777" w:rsidR="00023A38" w:rsidRDefault="00023A38">
            <w:pPr>
              <w:spacing w:after="80"/>
            </w:pPr>
          </w:p>
        </w:tc>
        <w:tc>
          <w:tcPr>
            <w:tcW w:w="2268" w:type="dxa"/>
            <w:tcBorders>
              <w:bottom w:val="single" w:sz="4" w:space="0" w:color="auto"/>
            </w:tcBorders>
            <w:vAlign w:val="bottom"/>
          </w:tcPr>
          <w:p w14:paraId="6E062228" w14:textId="6DC244E9" w:rsidR="00023A38" w:rsidRDefault="00023A38">
            <w:pPr>
              <w:spacing w:after="80" w:line="300" w:lineRule="exact"/>
              <w:rPr>
                <w:b/>
                <w:sz w:val="24"/>
                <w:szCs w:val="24"/>
              </w:rPr>
            </w:pPr>
          </w:p>
        </w:tc>
        <w:tc>
          <w:tcPr>
            <w:tcW w:w="6095" w:type="dxa"/>
            <w:gridSpan w:val="2"/>
            <w:tcBorders>
              <w:bottom w:val="single" w:sz="4" w:space="0" w:color="auto"/>
            </w:tcBorders>
            <w:vAlign w:val="bottom"/>
          </w:tcPr>
          <w:p w14:paraId="7C5946BF" w14:textId="77777777" w:rsidR="00023A38" w:rsidRDefault="009A6334">
            <w:pPr>
              <w:suppressAutoHyphens w:val="0"/>
              <w:spacing w:after="20"/>
              <w:jc w:val="right"/>
            </w:pPr>
            <w:r>
              <w:rPr>
                <w:sz w:val="40"/>
              </w:rPr>
              <w:t>CEDAW</w:t>
            </w:r>
            <w:r>
              <w:t>/C/GEO/FCO/6</w:t>
            </w:r>
          </w:p>
        </w:tc>
      </w:tr>
      <w:tr w:rsidR="00A22BBB" w14:paraId="01ABAEEA" w14:textId="77777777">
        <w:trPr>
          <w:cantSplit/>
          <w:trHeight w:hRule="exact" w:val="2835"/>
        </w:trPr>
        <w:tc>
          <w:tcPr>
            <w:tcW w:w="1276" w:type="dxa"/>
            <w:tcBorders>
              <w:top w:val="single" w:sz="4" w:space="0" w:color="auto"/>
              <w:bottom w:val="single" w:sz="12" w:space="0" w:color="auto"/>
            </w:tcBorders>
          </w:tcPr>
          <w:p w14:paraId="6CC19EAB" w14:textId="50DA8AB1" w:rsidR="00023A38" w:rsidRDefault="00023A38">
            <w:pPr>
              <w:spacing w:before="120"/>
              <w:jc w:val="center"/>
            </w:pPr>
          </w:p>
        </w:tc>
        <w:tc>
          <w:tcPr>
            <w:tcW w:w="5528" w:type="dxa"/>
            <w:gridSpan w:val="2"/>
            <w:tcBorders>
              <w:top w:val="single" w:sz="4" w:space="0" w:color="auto"/>
              <w:bottom w:val="single" w:sz="12" w:space="0" w:color="auto"/>
            </w:tcBorders>
          </w:tcPr>
          <w:p w14:paraId="5AF0F05E" w14:textId="15D4A65A" w:rsidR="00023A38" w:rsidRDefault="009A6334">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684235DD" w14:textId="77777777" w:rsidR="00023A38" w:rsidRPr="009458E4" w:rsidRDefault="009A6334">
            <w:pPr>
              <w:suppressAutoHyphens w:val="0"/>
              <w:spacing w:before="240" w:line="240" w:lineRule="exact"/>
              <w:rPr>
                <w:lang w:val="en-US"/>
              </w:rPr>
            </w:pPr>
            <w:r w:rsidRPr="009458E4">
              <w:rPr>
                <w:lang w:val="en-US"/>
              </w:rPr>
              <w:t>Distr.: General</w:t>
            </w:r>
          </w:p>
          <w:p w14:paraId="4F1958D1" w14:textId="77777777" w:rsidR="00023A38" w:rsidRPr="009458E4" w:rsidRDefault="007F4501">
            <w:pPr>
              <w:suppressAutoHyphens w:val="0"/>
              <w:rPr>
                <w:lang w:val="en-US"/>
              </w:rPr>
            </w:pPr>
            <w:r w:rsidRPr="009458E4">
              <w:rPr>
                <w:lang w:val="en-US"/>
              </w:rPr>
              <w:t>8 January 2025</w:t>
            </w:r>
          </w:p>
          <w:p w14:paraId="1A713B98" w14:textId="77777777" w:rsidR="00023A38" w:rsidRPr="009458E4" w:rsidRDefault="00023A38">
            <w:pPr>
              <w:suppressAutoHyphens w:val="0"/>
              <w:rPr>
                <w:lang w:val="en-US"/>
              </w:rPr>
            </w:pPr>
          </w:p>
          <w:p w14:paraId="0507FEC1" w14:textId="77777777" w:rsidR="00023A38" w:rsidRPr="009458E4" w:rsidRDefault="009A6334">
            <w:pPr>
              <w:suppressAutoHyphens w:val="0"/>
              <w:rPr>
                <w:lang w:val="en-US"/>
              </w:rPr>
            </w:pPr>
            <w:r w:rsidRPr="009458E4">
              <w:rPr>
                <w:lang w:val="en-US"/>
              </w:rPr>
              <w:t>Original: English</w:t>
            </w:r>
          </w:p>
          <w:p w14:paraId="1EC4DEFF" w14:textId="77777777" w:rsidR="00023A38" w:rsidRDefault="007F4501">
            <w:pPr>
              <w:suppressAutoHyphens w:val="0"/>
            </w:pPr>
            <w:r>
              <w:t>English, French and Spanish only</w:t>
            </w:r>
          </w:p>
        </w:tc>
      </w:tr>
    </w:tbl>
    <w:p w14:paraId="3261E50E" w14:textId="77777777" w:rsidR="00023A38" w:rsidRDefault="009A6334">
      <w:pPr>
        <w:spacing w:before="120"/>
        <w:rPr>
          <w:b/>
          <w:sz w:val="24"/>
          <w:szCs w:val="24"/>
        </w:rPr>
      </w:pPr>
      <w:r>
        <w:rPr>
          <w:b/>
          <w:sz w:val="24"/>
          <w:szCs w:val="24"/>
        </w:rPr>
        <w:t xml:space="preserve">Committee on the Elimination of Discrimination </w:t>
      </w:r>
      <w:r>
        <w:rPr>
          <w:b/>
          <w:sz w:val="24"/>
          <w:szCs w:val="24"/>
        </w:rPr>
        <w:br/>
        <w:t>against Women</w:t>
      </w:r>
    </w:p>
    <w:p w14:paraId="709D1DB5" w14:textId="11035CAD" w:rsidR="00023A38" w:rsidRDefault="009A6334" w:rsidP="004A43A3">
      <w:pPr>
        <w:pStyle w:val="HMG"/>
      </w:pPr>
      <w:r>
        <w:tab/>
      </w:r>
      <w:r>
        <w:tab/>
      </w:r>
      <w:r w:rsidR="003D6145">
        <w:t>Information received from Georgia on follow-up to the concl</w:t>
      </w:r>
      <w:r>
        <w:t xml:space="preserve">uding observations on </w:t>
      </w:r>
      <w:r w:rsidR="003D6145">
        <w:t>its</w:t>
      </w:r>
      <w:r>
        <w:t xml:space="preserve"> </w:t>
      </w:r>
      <w:r w:rsidR="00737760">
        <w:t>sixth periodic report</w:t>
      </w:r>
      <w:r>
        <w:rPr>
          <w:rStyle w:val="FootnoteReference"/>
          <w:b w:val="0"/>
          <w:sz w:val="20"/>
          <w:vertAlign w:val="baseline"/>
        </w:rPr>
        <w:footnoteReference w:customMarkFollows="1" w:id="2"/>
        <w:t>*</w:t>
      </w:r>
    </w:p>
    <w:p w14:paraId="56898E81" w14:textId="2F9D5804" w:rsidR="00023A38" w:rsidRDefault="009A6334">
      <w:pPr>
        <w:pStyle w:val="SingleTxtG"/>
        <w:jc w:val="right"/>
      </w:pPr>
      <w:r>
        <w:t xml:space="preserve">[Date received: </w:t>
      </w:r>
      <w:r w:rsidR="009458E4">
        <w:t>27 December 2024</w:t>
      </w:r>
      <w:r>
        <w:t>]</w:t>
      </w:r>
    </w:p>
    <w:p w14:paraId="325FD293" w14:textId="1BC8E43E" w:rsidR="009458E4" w:rsidRDefault="009458E4">
      <w:pPr>
        <w:suppressAutoHyphens w:val="0"/>
        <w:spacing w:after="200" w:line="276" w:lineRule="auto"/>
        <w:rPr>
          <w:rFonts w:eastAsiaTheme="minorHAnsi"/>
          <w:color w:val="0000FF"/>
        </w:rPr>
      </w:pPr>
      <w:r>
        <w:rPr>
          <w:color w:val="0000FF"/>
        </w:rPr>
        <w:br w:type="page"/>
      </w:r>
    </w:p>
    <w:p w14:paraId="3D634108" w14:textId="43DBB6FB" w:rsidR="00B37DE2" w:rsidRDefault="00B37DE2" w:rsidP="00B37DE2">
      <w:pPr>
        <w:pStyle w:val="HChG"/>
        <w:rPr>
          <w:lang w:val="en-US"/>
        </w:rPr>
      </w:pPr>
      <w:r>
        <w:rPr>
          <w:lang w:val="en-US"/>
        </w:rPr>
        <w:lastRenderedPageBreak/>
        <w:tab/>
      </w:r>
      <w:r>
        <w:rPr>
          <w:lang w:val="en-US"/>
        </w:rPr>
        <w:tab/>
      </w:r>
      <w:r w:rsidRPr="00B37DE2">
        <w:rPr>
          <w:lang w:val="en-US"/>
        </w:rPr>
        <w:t>Follow-up information</w:t>
      </w:r>
    </w:p>
    <w:p w14:paraId="4B86A2FF" w14:textId="2FAF330D" w:rsidR="00DE5D1E" w:rsidRPr="00DE5D1E" w:rsidRDefault="00BA3784" w:rsidP="006960AE">
      <w:pPr>
        <w:pStyle w:val="H1G"/>
        <w:rPr>
          <w:lang w:val="en-US"/>
        </w:rPr>
      </w:pPr>
      <w:r>
        <w:tab/>
      </w:r>
      <w:bookmarkStart w:id="0" w:name="_Hlk187152972"/>
      <w:r>
        <w:t>A.</w:t>
      </w:r>
      <w:r>
        <w:tab/>
      </w:r>
      <w:r w:rsidRPr="001604FE">
        <w:rPr>
          <w:lang w:val="en-US"/>
        </w:rPr>
        <w:t>Follow-up information relating to paragraph</w:t>
      </w:r>
      <w:r>
        <w:rPr>
          <w:lang w:val="en-US"/>
        </w:rPr>
        <w:t xml:space="preserve"> 12 (b)</w:t>
      </w:r>
      <w:r w:rsidRPr="00BA3784">
        <w:rPr>
          <w:lang w:val="en-US"/>
        </w:rPr>
        <w:t xml:space="preserve"> </w:t>
      </w:r>
      <w:r>
        <w:rPr>
          <w:lang w:val="en-US"/>
        </w:rPr>
        <w:t xml:space="preserve">of the concluding observations </w:t>
      </w:r>
      <w:bookmarkEnd w:id="0"/>
    </w:p>
    <w:p w14:paraId="0727E7EF" w14:textId="77777777" w:rsidR="00DE5D1E" w:rsidRPr="00DE5D1E" w:rsidRDefault="00DE5D1E" w:rsidP="006960AE">
      <w:pPr>
        <w:pStyle w:val="SingleTxtG"/>
        <w:numPr>
          <w:ilvl w:val="0"/>
          <w:numId w:val="27"/>
        </w:numPr>
        <w:ind w:left="1134" w:firstLine="0"/>
      </w:pPr>
      <w:r w:rsidRPr="00DE5D1E">
        <w:t>In the light of constitutional amendments regarding the de facto (substantive) equality of women and men, on October 6, 2022, the Parliament of Georgia approved a legislative amendment to the “Gender Equality Law” of Georgia. The amendment explicitly stipulates that the state should stimulate the de facto equality of men and women and eliminate “real” inequality. The mentioned provision is a binding principle; therefore, all actors are obliged to consider this principle into policymaking process.</w:t>
      </w:r>
    </w:p>
    <w:p w14:paraId="20F96064" w14:textId="1A013E0F" w:rsidR="00DE5D1E" w:rsidRPr="00DE5D1E" w:rsidRDefault="00A07768" w:rsidP="00291CC7">
      <w:pPr>
        <w:pStyle w:val="H1G"/>
        <w:rPr>
          <w:lang w:val="en-US"/>
        </w:rPr>
      </w:pPr>
      <w:r>
        <w:rPr>
          <w:lang w:val="en-US"/>
        </w:rPr>
        <w:tab/>
        <w:t>B.</w:t>
      </w:r>
      <w:r w:rsidRPr="00A07768">
        <w:rPr>
          <w:lang w:val="en-US"/>
        </w:rPr>
        <w:tab/>
        <w:t>Follow-up information relating to paragraph 1</w:t>
      </w:r>
      <w:r>
        <w:rPr>
          <w:lang w:val="en-US"/>
        </w:rPr>
        <w:t>8</w:t>
      </w:r>
      <w:r w:rsidRPr="00A07768">
        <w:rPr>
          <w:lang w:val="en-US"/>
        </w:rPr>
        <w:t xml:space="preserve"> (</w:t>
      </w:r>
      <w:r>
        <w:rPr>
          <w:lang w:val="en-US"/>
        </w:rPr>
        <w:t>c</w:t>
      </w:r>
      <w:r w:rsidRPr="00A07768">
        <w:rPr>
          <w:lang w:val="en-US"/>
        </w:rPr>
        <w:t xml:space="preserve">) of the concluding observations </w:t>
      </w:r>
    </w:p>
    <w:p w14:paraId="19F3A862" w14:textId="1FB5681A" w:rsidR="00DE5D1E" w:rsidRPr="00DE5D1E" w:rsidRDefault="00A07768" w:rsidP="00A07768">
      <w:pPr>
        <w:pStyle w:val="H23G"/>
        <w:rPr>
          <w:lang w:val="en-US"/>
        </w:rPr>
      </w:pPr>
      <w:r>
        <w:rPr>
          <w:lang w:val="en-US"/>
        </w:rPr>
        <w:tab/>
      </w:r>
      <w:r>
        <w:rPr>
          <w:lang w:val="en-US"/>
        </w:rPr>
        <w:tab/>
      </w:r>
      <w:r w:rsidR="00DE5D1E" w:rsidRPr="00DE5D1E">
        <w:rPr>
          <w:lang w:val="en-US"/>
        </w:rPr>
        <w:t>Inter-Agency Commission on Gender Equality</w:t>
      </w:r>
      <w:r w:rsidR="00DE5D1E" w:rsidRPr="00DE5D1E">
        <w:rPr>
          <w:lang w:val="ka-GE"/>
        </w:rPr>
        <w:t>,</w:t>
      </w:r>
      <w:r w:rsidR="00DE5D1E" w:rsidRPr="00DE5D1E">
        <w:rPr>
          <w:lang w:val="en-US"/>
        </w:rPr>
        <w:t xml:space="preserve"> Violence against Women and Domestic Violence (CGE)</w:t>
      </w:r>
    </w:p>
    <w:p w14:paraId="338F7917" w14:textId="77777777" w:rsidR="00DE5D1E" w:rsidRPr="00DE5D1E" w:rsidRDefault="00DE5D1E" w:rsidP="00A07768">
      <w:pPr>
        <w:pStyle w:val="SingleTxtG"/>
        <w:numPr>
          <w:ilvl w:val="0"/>
          <w:numId w:val="27"/>
        </w:numPr>
        <w:ind w:left="1134" w:firstLine="0"/>
        <w:rPr>
          <w:lang w:val="en-US"/>
        </w:rPr>
      </w:pPr>
      <w:r w:rsidRPr="00DE5D1E">
        <w:rPr>
          <w:lang w:val="en-US"/>
        </w:rPr>
        <w:t xml:space="preserve">On March 15, 2024, based on the resolution of the Government of Georgia (GoG), amendments were made to the provisions of the CGE. Composition of the CGE was expanded and the number of state agencies with deliberative voting rights was increased. </w:t>
      </w:r>
    </w:p>
    <w:p w14:paraId="222537C1" w14:textId="77777777" w:rsidR="00DE5D1E" w:rsidRPr="00DE5D1E" w:rsidRDefault="00DE5D1E" w:rsidP="00A07768">
      <w:pPr>
        <w:pStyle w:val="SingleTxtG"/>
        <w:numPr>
          <w:ilvl w:val="0"/>
          <w:numId w:val="27"/>
        </w:numPr>
        <w:ind w:left="1134" w:firstLine="0"/>
        <w:rPr>
          <w:lang w:val="en-US"/>
        </w:rPr>
      </w:pPr>
      <w:r w:rsidRPr="00DE5D1E">
        <w:rPr>
          <w:lang w:val="en-US"/>
        </w:rPr>
        <w:t xml:space="preserve">Since September 1, 2023, a new Human Rights Department was established within the GoG’s Administration. The department combines the functions of the former Human Rights Secretariat with a newly created division dedicated to analysis and research. By focusing on research and evidence-based policy recommendations, the Human Rights Department not only facilitates better decision-making but also reinforces Georgia’s long-term commitment to human rights. Its creation reflects the government’s intent to further expand its staff by three members and capacity to effectively address emerging human rights issues. </w:t>
      </w:r>
    </w:p>
    <w:p w14:paraId="08D8BD22" w14:textId="77777777" w:rsidR="00DE5D1E" w:rsidRPr="00DE5D1E" w:rsidRDefault="00DE5D1E" w:rsidP="00A07768">
      <w:pPr>
        <w:pStyle w:val="SingleTxtG"/>
        <w:numPr>
          <w:ilvl w:val="0"/>
          <w:numId w:val="27"/>
        </w:numPr>
        <w:ind w:left="1134" w:firstLine="0"/>
        <w:rPr>
          <w:lang w:val="en-US"/>
        </w:rPr>
      </w:pPr>
      <w:r w:rsidRPr="00DE5D1E">
        <w:rPr>
          <w:lang w:val="en-US"/>
        </w:rPr>
        <w:t>In 2022-2024, the CGE worked with the partners intensively to elaborate policy papers for the promotion of women’s right and gender equality.</w:t>
      </w:r>
    </w:p>
    <w:p w14:paraId="7DDC88E8" w14:textId="77777777" w:rsidR="00DE5D1E" w:rsidRPr="00DE5D1E" w:rsidRDefault="00DE5D1E" w:rsidP="00A07768">
      <w:pPr>
        <w:pStyle w:val="SingleTxtG"/>
        <w:numPr>
          <w:ilvl w:val="0"/>
          <w:numId w:val="27"/>
        </w:numPr>
        <w:ind w:left="1134" w:firstLine="0"/>
        <w:rPr>
          <w:lang w:val="en-US"/>
        </w:rPr>
      </w:pPr>
      <w:r w:rsidRPr="00DE5D1E">
        <w:rPr>
          <w:lang w:val="en-US"/>
        </w:rPr>
        <w:t>In 2022, the CGE facilitated the development of the National Action Plan on the Measures to be implemented for Combating Violence against Women and Domestic Violence and Protection of Victims/Survivors for the years 2022-2024 and the National Action Plan on the Implementation of the UN Security Council Resolutions on Women, Peace and Security for the years 2022-2024. The Action Plans were approved by the GoG on October 25, 2022.</w:t>
      </w:r>
    </w:p>
    <w:p w14:paraId="107D1808" w14:textId="77777777" w:rsidR="00DE5D1E" w:rsidRPr="00DE5D1E" w:rsidRDefault="00DE5D1E" w:rsidP="00A07768">
      <w:pPr>
        <w:pStyle w:val="SingleTxtG"/>
        <w:numPr>
          <w:ilvl w:val="0"/>
          <w:numId w:val="27"/>
        </w:numPr>
        <w:ind w:left="1134" w:firstLine="0"/>
        <w:rPr>
          <w:lang w:val="en-US"/>
        </w:rPr>
      </w:pPr>
      <w:r w:rsidRPr="00DE5D1E">
        <w:rPr>
          <w:lang w:val="en-US"/>
        </w:rPr>
        <w:t xml:space="preserve">Above mentioned NAPs have been elaborated in close cooperation with relevant state agencies, international organizations and local NGOs that work on women’s rights, as well as women activists. Moreover, based on the 2022 Memorandum of Cooperation between the Administration of the GoG and the National Association </w:t>
      </w:r>
      <w:r w:rsidRPr="00DE5D1E">
        <w:t>of</w:t>
      </w:r>
      <w:r w:rsidRPr="00DE5D1E">
        <w:rPr>
          <w:lang w:val="en-US"/>
        </w:rPr>
        <w:t xml:space="preserve"> Local Authorities of Georgia, municipalities also actively participated in the elaboration process. Currently, the next set of Action Plans for the 2025-2027 years is being elaborated. </w:t>
      </w:r>
    </w:p>
    <w:p w14:paraId="2A0FA62D" w14:textId="77777777" w:rsidR="00DE5D1E" w:rsidRPr="00DE5D1E" w:rsidRDefault="00DE5D1E" w:rsidP="00A07768">
      <w:pPr>
        <w:pStyle w:val="SingleTxtG"/>
        <w:numPr>
          <w:ilvl w:val="0"/>
          <w:numId w:val="27"/>
        </w:numPr>
        <w:ind w:left="1134" w:firstLine="0"/>
        <w:rPr>
          <w:lang w:val="en-US"/>
        </w:rPr>
      </w:pPr>
      <w:r w:rsidRPr="00DE5D1E">
        <w:rPr>
          <w:lang w:val="en-US"/>
        </w:rPr>
        <w:t xml:space="preserve">In January 2024, by the resolution of the GoG, the “National referral procedures for identification, protection, assistance and rehabilitation of </w:t>
      </w:r>
      <w:r w:rsidRPr="00DE5D1E">
        <w:t>victims</w:t>
      </w:r>
      <w:r w:rsidRPr="00DE5D1E">
        <w:rPr>
          <w:lang w:val="en-US"/>
        </w:rPr>
        <w:t xml:space="preserve"> of violence against women and/or domestic violence” was approved. The key aim of the document is the development of prompt and effective coordination among the relevant agencies. </w:t>
      </w:r>
    </w:p>
    <w:p w14:paraId="3566D9D3" w14:textId="77777777" w:rsidR="00DE5D1E" w:rsidRPr="00DE5D1E" w:rsidRDefault="00DE5D1E" w:rsidP="00A07768">
      <w:pPr>
        <w:pStyle w:val="SingleTxtG"/>
        <w:numPr>
          <w:ilvl w:val="0"/>
          <w:numId w:val="27"/>
        </w:numPr>
        <w:ind w:left="1134" w:firstLine="0"/>
        <w:rPr>
          <w:lang w:val="en-US"/>
        </w:rPr>
      </w:pPr>
      <w:r w:rsidRPr="00DE5D1E">
        <w:rPr>
          <w:lang w:val="en-US"/>
        </w:rPr>
        <w:t>On July 25, 2023, the CGE established two working groups under its auspices:</w:t>
      </w:r>
      <w:r w:rsidRPr="00DE5D1E">
        <w:rPr>
          <w:lang w:val="ka-GE"/>
        </w:rPr>
        <w:t xml:space="preserve"> </w:t>
      </w:r>
      <w:r w:rsidRPr="00DE5D1E">
        <w:rPr>
          <w:lang w:val="en-US"/>
        </w:rPr>
        <w:t xml:space="preserve">the Working Group on assisting the fulfillment of recommendations of international organizations (such as GREVIO and CEDAW); and the Working Group for </w:t>
      </w:r>
      <w:r w:rsidRPr="00DE5D1E">
        <w:t>elaboration</w:t>
      </w:r>
      <w:r w:rsidRPr="00DE5D1E">
        <w:rPr>
          <w:lang w:val="en-US"/>
        </w:rPr>
        <w:t xml:space="preserve"> of the Action Plan for the prevention of violence against women and domestic violence. Both working groups are comprised of state agencies and non-governmental organizations.</w:t>
      </w:r>
    </w:p>
    <w:p w14:paraId="45BF4673" w14:textId="57FD137E" w:rsidR="00DE5D1E" w:rsidRPr="00DE5D1E" w:rsidRDefault="00A07768" w:rsidP="00A07768">
      <w:pPr>
        <w:pStyle w:val="H23G"/>
        <w:rPr>
          <w:lang w:val="en-US"/>
        </w:rPr>
      </w:pPr>
      <w:r>
        <w:rPr>
          <w:lang w:val="en-US"/>
        </w:rPr>
        <w:lastRenderedPageBreak/>
        <w:tab/>
      </w:r>
      <w:r>
        <w:rPr>
          <w:lang w:val="en-US"/>
        </w:rPr>
        <w:tab/>
      </w:r>
      <w:r w:rsidR="00DE5D1E" w:rsidRPr="00DE5D1E">
        <w:rPr>
          <w:lang w:val="en-US"/>
        </w:rPr>
        <w:t>Permanent Parliamentary Gender Equality Council (GEC)</w:t>
      </w:r>
    </w:p>
    <w:p w14:paraId="55FE789A" w14:textId="77777777" w:rsidR="00DE5D1E" w:rsidRPr="00DE5D1E" w:rsidRDefault="00DE5D1E" w:rsidP="00A07768">
      <w:pPr>
        <w:pStyle w:val="SingleTxtG"/>
        <w:numPr>
          <w:ilvl w:val="0"/>
          <w:numId w:val="27"/>
        </w:numPr>
        <w:ind w:left="1134" w:firstLine="0"/>
        <w:rPr>
          <w:lang w:val="en-US"/>
        </w:rPr>
      </w:pPr>
      <w:r w:rsidRPr="00DE5D1E">
        <w:rPr>
          <w:lang w:val="en-US"/>
        </w:rPr>
        <w:t>In order to reinforce the monitoring on gender equality and gender mainstreaming processes in the country, the Parliament of Georgia reviews relevant reports submitted by the Government. Regular oversight activities include the considerations of the national action plan reports on the implementation of UN Security Council Resolutions on Women, Peace and Security; Reports on the implementation of action plans on combating violence against women and domestic violence and protection of victims. Relevant Parliamentary committee considers the submitted reports and reflects recommendations to the respected state agencies in its opinion.</w:t>
      </w:r>
      <w:r w:rsidRPr="00DE5D1E" w:rsidDel="00954C5E">
        <w:rPr>
          <w:lang w:val="en-US"/>
        </w:rPr>
        <w:t xml:space="preserve"> </w:t>
      </w:r>
    </w:p>
    <w:p w14:paraId="1E658915" w14:textId="77777777" w:rsidR="00DE5D1E" w:rsidRPr="00DE5D1E" w:rsidRDefault="00DE5D1E" w:rsidP="00A07768">
      <w:pPr>
        <w:pStyle w:val="SingleTxtG"/>
        <w:numPr>
          <w:ilvl w:val="0"/>
          <w:numId w:val="27"/>
        </w:numPr>
        <w:ind w:left="1134" w:firstLine="0"/>
        <w:rPr>
          <w:lang w:val="en-US"/>
        </w:rPr>
      </w:pPr>
      <w:r w:rsidRPr="00DE5D1E">
        <w:rPr>
          <w:lang w:val="en-US"/>
        </w:rPr>
        <w:t>One of the essential directions of the GEC’s activity is raising awareness about gender equality. For this purpose, the GEC cooperates with the Gender Equality Councils of the Supreme Councils of the Autonomous Republics of Abkhazia and Adjara, the Gender Equality Councils in the municipalities of Georgia, and the advisors appointed to ensure gender equality issues in the town halls. In order to conduct communication effectively, the GEC creates a communication strategy and uses several social platforms, monthly newsletters, and an educational website, which</w:t>
      </w:r>
      <w:r w:rsidRPr="00DE5D1E">
        <w:rPr>
          <w:lang w:val="ka-GE"/>
        </w:rPr>
        <w:t xml:space="preserve"> </w:t>
      </w:r>
      <w:r w:rsidRPr="00DE5D1E">
        <w:rPr>
          <w:lang w:val="en-US"/>
        </w:rPr>
        <w:t xml:space="preserve">provides versatile information for those interested in gender equality issues. </w:t>
      </w:r>
    </w:p>
    <w:p w14:paraId="3848BC00" w14:textId="77777777" w:rsidR="00DE5D1E" w:rsidRPr="00DE5D1E" w:rsidRDefault="00DE5D1E" w:rsidP="00A07768">
      <w:pPr>
        <w:pStyle w:val="SingleTxtG"/>
        <w:numPr>
          <w:ilvl w:val="0"/>
          <w:numId w:val="27"/>
        </w:numPr>
        <w:ind w:left="1134" w:firstLine="0"/>
        <w:rPr>
          <w:lang w:val="en-US"/>
        </w:rPr>
      </w:pPr>
      <w:r w:rsidRPr="00DE5D1E">
        <w:rPr>
          <w:lang w:val="en-US"/>
        </w:rPr>
        <w:t xml:space="preserve">Gender Impact Analysis (GIA), which was institutionalized in 2022, holds significant importance for the Parliament, especially for the GEC. Amendments were made to the Organic Law of Georgia “On Normative Acts“, which contributed to the establishment of the institutional framework and mechanism of GIA. The change mainly affected the process of preparation of legislative and normative acts. As a result, it became necessary for the author and the initiator to present their views and positions regarding the impact the initiative can have on gender equality. </w:t>
      </w:r>
    </w:p>
    <w:p w14:paraId="59612FE1" w14:textId="77777777" w:rsidR="00DE5D1E" w:rsidRPr="00DE5D1E" w:rsidRDefault="00DE5D1E" w:rsidP="00A07768">
      <w:pPr>
        <w:pStyle w:val="SingleTxtG"/>
        <w:numPr>
          <w:ilvl w:val="0"/>
          <w:numId w:val="27"/>
        </w:numPr>
        <w:ind w:left="1134" w:firstLine="0"/>
        <w:rPr>
          <w:lang w:val="en-US"/>
        </w:rPr>
      </w:pPr>
      <w:r w:rsidRPr="00DE5D1E">
        <w:rPr>
          <w:lang w:val="en-US"/>
        </w:rPr>
        <w:t>In recent years, work on gender budgeting has been actively started, and at the same time, the GIA tool has been used to analyze legislative proposals and state policies. However, there are still necessary steps to be taken to ensure the systematic use of these tools in practice. The principles of gender-sensitive budgeting are reflected in Article 13, Paragraph 2 of the Law of Georgia “On Gender Equality“, according to which municipal programs and plans must be developed in such a way as to exclude any form of discrimination. According to the same Law, gender-disaggregated data must be included in official statistical reports regarding gender issues.</w:t>
      </w:r>
    </w:p>
    <w:p w14:paraId="0076A974" w14:textId="77777777" w:rsidR="00DE5D1E" w:rsidRPr="00DE5D1E" w:rsidRDefault="00DE5D1E" w:rsidP="00A07768">
      <w:pPr>
        <w:pStyle w:val="SingleTxtG"/>
        <w:numPr>
          <w:ilvl w:val="0"/>
          <w:numId w:val="27"/>
        </w:numPr>
        <w:ind w:left="1134" w:firstLine="0"/>
        <w:rPr>
          <w:lang w:val="en-US"/>
        </w:rPr>
      </w:pPr>
      <w:r w:rsidRPr="00DE5D1E">
        <w:rPr>
          <w:lang w:val="en-US"/>
        </w:rPr>
        <w:t>In addition, from 2021, in the program budget of the Parliament of Georgia, in the legislative activity part (budget program code 01 01 03 02), a record of gender activities is reflected in the following wording: “Ensuring systematic and coordinated work on gender issues, promoting awareness raising about gender equality and implementing measures to support women’s empowerment“. And from 2022, in order to carry out activities, the GEC allocated a budget of 50,000 GEL, which is a clear step forward in terms of recognizing the importance of gender policy and introducing gender budgeting.</w:t>
      </w:r>
    </w:p>
    <w:p w14:paraId="634F6B08" w14:textId="77777777" w:rsidR="00DE5D1E" w:rsidRPr="00DE5D1E" w:rsidRDefault="00DE5D1E" w:rsidP="00A07768">
      <w:pPr>
        <w:pStyle w:val="SingleTxtG"/>
        <w:numPr>
          <w:ilvl w:val="0"/>
          <w:numId w:val="27"/>
        </w:numPr>
        <w:ind w:left="1134" w:firstLine="0"/>
        <w:rPr>
          <w:lang w:val="en-US"/>
        </w:rPr>
      </w:pPr>
      <w:r w:rsidRPr="00DE5D1E">
        <w:rPr>
          <w:lang w:val="en-US"/>
        </w:rPr>
        <w:t>In order to raise awareness about gender equality and implement measures supporting women’s economic empowerment, the GEC cooperates with the gender equality councils in all 64 municipalities. In 2023, the Parliament of Georgia adopted the Concept on the Economic Empowerment of Women. The concept aims at establishing the vision of women’s economic empowerment in Georgia and defining the main policy. The concept substantiates the needs of the measures and is aimed at strengthening equality in Georgia through women’s economic empowerment, which will further contribute to increasing the country’s prosperity and economic well-being.</w:t>
      </w:r>
    </w:p>
    <w:p w14:paraId="78C9EBF8" w14:textId="77777777" w:rsidR="00DE5D1E" w:rsidRPr="00DE5D1E" w:rsidRDefault="00DE5D1E" w:rsidP="00A07768">
      <w:pPr>
        <w:pStyle w:val="SingleTxtG"/>
        <w:numPr>
          <w:ilvl w:val="0"/>
          <w:numId w:val="27"/>
        </w:numPr>
        <w:ind w:left="1134" w:firstLine="0"/>
        <w:rPr>
          <w:lang w:val="en-US"/>
        </w:rPr>
      </w:pPr>
      <w:r w:rsidRPr="00DE5D1E">
        <w:rPr>
          <w:lang w:val="en-US"/>
        </w:rPr>
        <w:t>It is noteworthy that in 2023, the</w:t>
      </w:r>
      <w:r w:rsidRPr="00DE5D1E">
        <w:rPr>
          <w:lang w:val="ka-GE"/>
        </w:rPr>
        <w:t xml:space="preserve"> </w:t>
      </w:r>
      <w:r w:rsidRPr="00DE5D1E">
        <w:rPr>
          <w:lang w:val="en-US"/>
        </w:rPr>
        <w:t>GEC, in coordination with the Ministry of Regional Development and Infrastructure of Georgia (MRDI), developed a recommendatory policy document “Policy for the support and strengthening of victims of violence against women and domestic violence at the municipal level.“</w:t>
      </w:r>
    </w:p>
    <w:p w14:paraId="756E7B22" w14:textId="6B651E5B" w:rsidR="00DE5D1E" w:rsidRPr="00DE5D1E" w:rsidRDefault="00A07768" w:rsidP="00A07768">
      <w:pPr>
        <w:pStyle w:val="H23G"/>
        <w:rPr>
          <w:lang w:val="en-US"/>
        </w:rPr>
      </w:pPr>
      <w:r>
        <w:rPr>
          <w:lang w:val="en-US"/>
        </w:rPr>
        <w:tab/>
      </w:r>
      <w:r>
        <w:rPr>
          <w:lang w:val="en-US"/>
        </w:rPr>
        <w:tab/>
      </w:r>
      <w:r w:rsidR="00DE5D1E" w:rsidRPr="00DE5D1E">
        <w:rPr>
          <w:lang w:val="en-US"/>
        </w:rPr>
        <w:t>Gender Equality in Municipalities</w:t>
      </w:r>
    </w:p>
    <w:p w14:paraId="2A76B2E0" w14:textId="77777777" w:rsidR="00DE5D1E" w:rsidRPr="00DE5D1E" w:rsidRDefault="00DE5D1E" w:rsidP="00A07768">
      <w:pPr>
        <w:pStyle w:val="SingleTxtG"/>
        <w:numPr>
          <w:ilvl w:val="0"/>
          <w:numId w:val="27"/>
        </w:numPr>
        <w:ind w:left="1134" w:firstLine="0"/>
        <w:rPr>
          <w:lang w:val="en-US"/>
        </w:rPr>
      </w:pPr>
      <w:r w:rsidRPr="00DE5D1E">
        <w:rPr>
          <w:lang w:val="en-US"/>
        </w:rPr>
        <w:t xml:space="preserve">Gender equality principles are included in regional development policy, in all strategies and action plans of the MRDI. MRDI takes into account gender aspects during </w:t>
      </w:r>
      <w:r w:rsidRPr="00DE5D1E">
        <w:rPr>
          <w:lang w:val="en-US"/>
        </w:rPr>
        <w:lastRenderedPageBreak/>
        <w:t>planning and implementing infrastructure projects. Gender equality aspects and gender budgeting are integrated into the MRDI’s budgeting process.</w:t>
      </w:r>
    </w:p>
    <w:p w14:paraId="26B90807" w14:textId="77777777" w:rsidR="00DE5D1E" w:rsidRPr="00DE5D1E" w:rsidRDefault="00DE5D1E" w:rsidP="00A07768">
      <w:pPr>
        <w:pStyle w:val="SingleTxtG"/>
        <w:numPr>
          <w:ilvl w:val="0"/>
          <w:numId w:val="27"/>
        </w:numPr>
        <w:ind w:left="1134" w:firstLine="0"/>
        <w:rPr>
          <w:lang w:val="en-US"/>
        </w:rPr>
      </w:pPr>
      <w:r w:rsidRPr="00DE5D1E">
        <w:rPr>
          <w:lang w:val="en-US"/>
        </w:rPr>
        <w:t xml:space="preserve">Each municipal council establishes a gender equality council. The composition, status, functions, and powers of these councils are defined by the regulations of both the municipal council and the gender equality council itself. This ensures systematic and coordinated work with the GEC and is approved by the relevant City Council. To study gender equality issues, plan activities, and coordinate events, the mayor appoints a civil servant responsible for gender equality in the City Hall. </w:t>
      </w:r>
    </w:p>
    <w:p w14:paraId="2375C76A" w14:textId="77777777" w:rsidR="00DE5D1E" w:rsidRPr="00DE5D1E" w:rsidRDefault="00DE5D1E" w:rsidP="00A07768">
      <w:pPr>
        <w:pStyle w:val="SingleTxtG"/>
        <w:numPr>
          <w:ilvl w:val="0"/>
          <w:numId w:val="27"/>
        </w:numPr>
        <w:ind w:left="1134" w:firstLine="0"/>
        <w:rPr>
          <w:lang w:val="en-US"/>
        </w:rPr>
      </w:pPr>
      <w:r w:rsidRPr="00DE5D1E">
        <w:rPr>
          <w:lang w:val="en"/>
        </w:rPr>
        <w:t xml:space="preserve">Gender equality and gender budgeting are integrated into the municipal budgeting process to ensure that gender equality is reflected in policies, programs, and priorities at the municipal level. However, </w:t>
      </w:r>
      <w:r w:rsidRPr="00DE5D1E">
        <w:rPr>
          <w:lang w:val="en-US"/>
        </w:rPr>
        <w:t>according to the data of 2022, the municipalities had insufficient resources for gender equality programs and relevant services; only 22 municipalities had similar gender budgeting. In 2023, this number doubled. According to the recommendation of the GEC, all municipalities should have clearly defined programs in this direction in their budgets in the following years.</w:t>
      </w:r>
      <w:r w:rsidRPr="00DE5D1E">
        <w:rPr>
          <w:lang w:val="en"/>
        </w:rPr>
        <w:t xml:space="preserve"> </w:t>
      </w:r>
    </w:p>
    <w:p w14:paraId="7870034C" w14:textId="77777777" w:rsidR="00DE5D1E" w:rsidRPr="00DE5D1E" w:rsidRDefault="00DE5D1E" w:rsidP="00A07768">
      <w:pPr>
        <w:pStyle w:val="SingleTxtG"/>
        <w:numPr>
          <w:ilvl w:val="0"/>
          <w:numId w:val="27"/>
        </w:numPr>
        <w:ind w:left="1134" w:firstLine="0"/>
        <w:rPr>
          <w:lang w:val="en-US"/>
        </w:rPr>
      </w:pPr>
      <w:r w:rsidRPr="00DE5D1E">
        <w:rPr>
          <w:lang w:val="en"/>
        </w:rPr>
        <w:t xml:space="preserve">Municipalities have sub-programs to promote gender equality, which include support for events related to gender issues, thematic </w:t>
      </w:r>
      <w:r w:rsidRPr="00DE5D1E">
        <w:rPr>
          <w:lang w:val="en-US"/>
        </w:rPr>
        <w:t>training</w:t>
      </w:r>
      <w:r w:rsidRPr="00DE5D1E">
        <w:rPr>
          <w:lang w:val="en"/>
        </w:rPr>
        <w:t>, and the preparation and distribution of information bulletins to raise gender awareness.</w:t>
      </w:r>
      <w:r w:rsidRPr="00DE5D1E" w:rsidDel="00EB4F84">
        <w:rPr>
          <w:lang w:val="en-US"/>
        </w:rPr>
        <w:t xml:space="preserve"> </w:t>
      </w:r>
    </w:p>
    <w:p w14:paraId="7C3B79FC" w14:textId="77777777" w:rsidR="00DE5D1E" w:rsidRPr="00DE5D1E" w:rsidRDefault="00DE5D1E" w:rsidP="00A07768">
      <w:pPr>
        <w:pStyle w:val="SingleTxtG"/>
        <w:numPr>
          <w:ilvl w:val="0"/>
          <w:numId w:val="27"/>
        </w:numPr>
        <w:ind w:left="1134" w:firstLine="0"/>
        <w:rPr>
          <w:lang w:val="en-US"/>
        </w:rPr>
      </w:pPr>
      <w:r w:rsidRPr="00DE5D1E">
        <w:rPr>
          <w:lang w:val="en-US"/>
        </w:rPr>
        <w:t>The MRDI promotes the involvement of women in selecting infrastructure projects. At the end of 2022, in order to effectively implement the rural support program in 2023, the MRDI updated the manual of the rural support program, which was sent to the municipalities. The manual is an instruction for municipalities, which defines the procedures for selecting projects and ensuring equal involvement of men and women at all stages of the decision-making process.</w:t>
      </w:r>
    </w:p>
    <w:p w14:paraId="10C3B0A9" w14:textId="77777777" w:rsidR="00DE5D1E" w:rsidRPr="00DE5D1E" w:rsidRDefault="00DE5D1E" w:rsidP="00A07768">
      <w:pPr>
        <w:pStyle w:val="SingleTxtG"/>
        <w:numPr>
          <w:ilvl w:val="0"/>
          <w:numId w:val="27"/>
        </w:numPr>
        <w:ind w:left="1134" w:firstLine="0"/>
        <w:rPr>
          <w:lang w:val="en-US"/>
        </w:rPr>
      </w:pPr>
      <w:r w:rsidRPr="00DE5D1E">
        <w:rPr>
          <w:lang w:val="en"/>
        </w:rPr>
        <w:t xml:space="preserve">In 2023, consulting activities were carried out within the framework of the loan agreement, accompanied by grant, signed between Georgia and the European Bank for Reconstruction and Development (EBRD) on November 29, 2019 (for the purchase of buses for 6 municipalities of Georgia). Gender program was implemented by the EBRD within the framework of the project. In particular, as part of the consulting service, the transport companies of the project participant cities (Rustavi, Gori, Kutaisi, Telavi, Zugdidi and Poti) were supported in the development and implementation of the human resources policy, the purpose of which is to promote gender equality and provide equal opportunities to the </w:t>
      </w:r>
      <w:r w:rsidRPr="00DE5D1E">
        <w:rPr>
          <w:lang w:val="en-US"/>
        </w:rPr>
        <w:t>employees</w:t>
      </w:r>
      <w:r w:rsidRPr="00DE5D1E">
        <w:rPr>
          <w:lang w:val="en"/>
        </w:rPr>
        <w:t xml:space="preserve"> of the transport companies, to recruit, retain and support women and ensure that women are employed in traditionally male dominated positions (especially bus driver roles as well as technical and managerial positions). Legal acts, regulations and possible barriers were studied and revealed.</w:t>
      </w:r>
    </w:p>
    <w:p w14:paraId="3E5CFD77" w14:textId="77777777" w:rsidR="00DE5D1E" w:rsidRPr="00DE5D1E" w:rsidRDefault="00DE5D1E" w:rsidP="00A07768">
      <w:pPr>
        <w:pStyle w:val="SingleTxtG"/>
        <w:numPr>
          <w:ilvl w:val="0"/>
          <w:numId w:val="27"/>
        </w:numPr>
        <w:ind w:left="1134" w:firstLine="0"/>
        <w:rPr>
          <w:lang w:val="en-US"/>
        </w:rPr>
      </w:pPr>
      <w:r w:rsidRPr="00DE5D1E">
        <w:rPr>
          <w:lang w:val="en"/>
        </w:rPr>
        <w:t xml:space="preserve">Mechanisms are being introduced to prevent sexual harassment and respond effectively to it, along with ongoing awareness-raising campaigns for </w:t>
      </w:r>
      <w:r w:rsidRPr="00DE5D1E">
        <w:rPr>
          <w:lang w:val="en-US"/>
        </w:rPr>
        <w:t>employees</w:t>
      </w:r>
      <w:r w:rsidRPr="00DE5D1E">
        <w:rPr>
          <w:lang w:val="en"/>
        </w:rPr>
        <w:t>. Gender equality issues are also integrated into professional training and qualification programs for City Hall and City Council employees.</w:t>
      </w:r>
    </w:p>
    <w:p w14:paraId="10748F4E" w14:textId="77777777" w:rsidR="00DE5D1E" w:rsidRPr="00DE5D1E" w:rsidRDefault="00DE5D1E" w:rsidP="00A07768">
      <w:pPr>
        <w:pStyle w:val="SingleTxtG"/>
        <w:numPr>
          <w:ilvl w:val="0"/>
          <w:numId w:val="27"/>
        </w:numPr>
        <w:ind w:left="1134" w:firstLine="0"/>
        <w:rPr>
          <w:lang w:val="en-US"/>
        </w:rPr>
      </w:pPr>
      <w:r w:rsidRPr="00DE5D1E">
        <w:rPr>
          <w:lang w:val="en-US"/>
        </w:rPr>
        <w:t>There is a successful gender equality management system in the Tbilisi City Hall, which is based on the Mayor’s Advisor and a selected number of employees. 75% of the Tbilisi City Hall staff, as well as decision-makers, have received professional training in gender equality issues. Tbilisi has a budget addressing gender issues. The management policy of the capital is based on gender mainstreaming, which is also reflected in the action plan.</w:t>
      </w:r>
    </w:p>
    <w:p w14:paraId="62AA6B57" w14:textId="77777777" w:rsidR="00DE5D1E" w:rsidRPr="00DE5D1E" w:rsidRDefault="00DE5D1E" w:rsidP="00A07768">
      <w:pPr>
        <w:pStyle w:val="SingleTxtG"/>
        <w:numPr>
          <w:ilvl w:val="0"/>
          <w:numId w:val="27"/>
        </w:numPr>
        <w:ind w:left="1134" w:firstLine="0"/>
        <w:rPr>
          <w:lang w:val="en-US"/>
        </w:rPr>
      </w:pPr>
      <w:r w:rsidRPr="00DE5D1E">
        <w:rPr>
          <w:lang w:val="en"/>
        </w:rPr>
        <w:t xml:space="preserve">Consequently, every municipality now has a Gender Equality Council, a civil servant responsible for gender equality issues, and an action plan developed and approved by the Gender Equality Council. </w:t>
      </w:r>
      <w:r w:rsidRPr="00DE5D1E">
        <w:rPr>
          <w:lang w:val="en-US"/>
        </w:rPr>
        <w:t xml:space="preserve">The municipal budget, socio-economic development priorities, and municipal programs and plans should be developed to exclude any form of discrimination. State bodies, within their competence, provide organizational, informational, and other types of assistance to municipal bodies to prevent discrimination and protect universally recognized human rights and freedoms. </w:t>
      </w:r>
      <w:r w:rsidRPr="00DE5D1E">
        <w:rPr>
          <w:lang w:val="en"/>
        </w:rPr>
        <w:t>As a result of various legislative changes and implemented measures, there is a growing trend of women’s representation in politics.</w:t>
      </w:r>
      <w:r w:rsidRPr="00DE5D1E" w:rsidDel="00D668FF">
        <w:rPr>
          <w:lang w:val="en-US"/>
        </w:rPr>
        <w:t xml:space="preserve"> </w:t>
      </w:r>
    </w:p>
    <w:p w14:paraId="3EE4D7CD" w14:textId="3E8B055E" w:rsidR="00DE5D1E" w:rsidRPr="00DE5D1E" w:rsidRDefault="00BB3468" w:rsidP="00BB3468">
      <w:pPr>
        <w:pStyle w:val="H1G"/>
        <w:rPr>
          <w:lang w:val="en-US"/>
        </w:rPr>
      </w:pPr>
      <w:r>
        <w:lastRenderedPageBreak/>
        <w:tab/>
      </w:r>
      <w:bookmarkStart w:id="1" w:name="_Hlk187153122"/>
      <w:r>
        <w:t>C.</w:t>
      </w:r>
      <w:r w:rsidRPr="00BB3468">
        <w:tab/>
      </w:r>
      <w:r w:rsidRPr="00BB3468">
        <w:rPr>
          <w:lang w:val="en-US"/>
        </w:rPr>
        <w:t xml:space="preserve">Follow-up information relating to paragraph </w:t>
      </w:r>
      <w:r>
        <w:rPr>
          <w:lang w:val="en-US"/>
        </w:rPr>
        <w:t>26</w:t>
      </w:r>
      <w:r w:rsidRPr="00BB3468">
        <w:rPr>
          <w:lang w:val="en-US"/>
        </w:rPr>
        <w:t xml:space="preserve"> (</w:t>
      </w:r>
      <w:r>
        <w:rPr>
          <w:lang w:val="en-US"/>
        </w:rPr>
        <w:t>a</w:t>
      </w:r>
      <w:r w:rsidRPr="00BB3468">
        <w:rPr>
          <w:lang w:val="en-US"/>
        </w:rPr>
        <w:t>) of the concluding observations</w:t>
      </w:r>
      <w:bookmarkEnd w:id="1"/>
    </w:p>
    <w:p w14:paraId="6C379C3A" w14:textId="77777777" w:rsidR="00DE5D1E" w:rsidRPr="00DE5D1E" w:rsidRDefault="00DE5D1E" w:rsidP="00BB3468">
      <w:pPr>
        <w:pStyle w:val="SingleTxtG"/>
        <w:numPr>
          <w:ilvl w:val="0"/>
          <w:numId w:val="27"/>
        </w:numPr>
        <w:ind w:left="1134" w:firstLine="0"/>
        <w:rPr>
          <w:lang w:val="en-US"/>
        </w:rPr>
      </w:pPr>
      <w:r w:rsidRPr="00DE5D1E">
        <w:rPr>
          <w:lang w:val="en-US"/>
        </w:rPr>
        <w:t>Georgia pursues exceptionally strict policy regarding domestic violence and crimes against women, including crimes against sexual freedom and sexual inviolability. The harsh punishments for crimes against sexual freedom and inviolability under Chapter 22 of the Criminal Code of Georgia highlight this stringent policy.</w:t>
      </w:r>
    </w:p>
    <w:p w14:paraId="2C714539" w14:textId="77777777" w:rsidR="00DE5D1E" w:rsidRPr="00DE5D1E" w:rsidRDefault="00DE5D1E" w:rsidP="00BB3468">
      <w:pPr>
        <w:pStyle w:val="SingleTxtG"/>
        <w:numPr>
          <w:ilvl w:val="0"/>
          <w:numId w:val="27"/>
        </w:numPr>
        <w:ind w:left="1134" w:firstLine="0"/>
        <w:rPr>
          <w:lang w:val="en-US"/>
        </w:rPr>
      </w:pPr>
      <w:r w:rsidRPr="00DE5D1E">
        <w:rPr>
          <w:lang w:val="en-US"/>
        </w:rPr>
        <w:t xml:space="preserve">Regarding the definition of rape, it should be noted that no international or regional instrument/standard, including the Istanbul Convention, provides a precise definition of “consent”. For instance, states parties to the Istanbul Convention have the authority to adopt their national legislation and enumerate the factors that negate freely given consent. Article 36, paragraph 2 of the Convention merely states that consent must be voluntary and assessed in the context of the surrounding circumstances. </w:t>
      </w:r>
    </w:p>
    <w:p w14:paraId="107961C5" w14:textId="77777777" w:rsidR="00DE5D1E" w:rsidRPr="00DE5D1E" w:rsidRDefault="00DE5D1E" w:rsidP="00BB3468">
      <w:pPr>
        <w:pStyle w:val="SingleTxtG"/>
        <w:numPr>
          <w:ilvl w:val="0"/>
          <w:numId w:val="27"/>
        </w:numPr>
        <w:ind w:left="1134" w:firstLine="0"/>
        <w:rPr>
          <w:lang w:val="en-US"/>
        </w:rPr>
      </w:pPr>
      <w:r w:rsidRPr="00DE5D1E">
        <w:rPr>
          <w:lang w:val="en-US"/>
        </w:rPr>
        <w:t>As for Georgian legislation, following Georgia’s ratification of the Istanbul Convention, several amendments were made to Chapter 22 (crimes against sexual freedom and inviolability) of the Criminal Code to ensure full compliance with the Convention. Specifically, Article 137 (rape) and Article 138 (another action of a sexual nature) of the Criminal Code, along with the elements of violence or the threat of violence, also criminalize the abusing a helpless condition of a victim.</w:t>
      </w:r>
      <w:r w:rsidRPr="00DE5D1E">
        <w:rPr>
          <w:lang w:val="ka-GE"/>
        </w:rPr>
        <w:t xml:space="preserve"> Cases, where due to certain subjective factors or influence, the victim could not express consent to sexual relations are included under the element of a “helpless condition”</w:t>
      </w:r>
      <w:r w:rsidRPr="00DE5D1E">
        <w:rPr>
          <w:lang w:val="en-US"/>
        </w:rPr>
        <w:t>. Additionally, Article 139 of the Criminal Code criminalizes coercing sexual penetration into a person’s body or other actions of sexual nature. In particular, coercion into penetration of a sexual nature into the body of a person, or into another action of a sexual nature, committed under the threat of damaging property, disclosing defamatory information, information representing private life or such information that may substantially affect the right of that person, and/or by abusing a helpless condition of a person affected, or material, official or other kind of dependence, – shall be punished by a fine or imprisonment for a term of up to five years. Furthermore, the list of circumstances provided in the Article is not exhaustive, allowing other relevant cases to fall within its scope. Thus, under Georgian legislation, establishing a sexual relationship with a person without their consent is a punishable act.</w:t>
      </w:r>
    </w:p>
    <w:p w14:paraId="1BA86FAD" w14:textId="77777777" w:rsidR="00DE5D1E" w:rsidRPr="00DE5D1E" w:rsidRDefault="00DE5D1E" w:rsidP="00BB3468">
      <w:pPr>
        <w:pStyle w:val="SingleTxtG"/>
        <w:numPr>
          <w:ilvl w:val="0"/>
          <w:numId w:val="27"/>
        </w:numPr>
        <w:ind w:left="1134" w:firstLine="0"/>
        <w:rPr>
          <w:lang w:val="en-US"/>
        </w:rPr>
      </w:pPr>
      <w:r w:rsidRPr="00DE5D1E">
        <w:rPr>
          <w:lang w:val="en-US"/>
        </w:rPr>
        <w:t xml:space="preserve">The process of working on the amendment of the definition of rape is currently ongoing. A specific working group was created, where representatives of relevant agencies, local and international non-governmental, as well as donor organizations were invited. In addition, other interested parties with expert knowledge participated in the work. </w:t>
      </w:r>
    </w:p>
    <w:p w14:paraId="27D100AA" w14:textId="77777777" w:rsidR="00DE5D1E" w:rsidRPr="00DE5D1E" w:rsidRDefault="00DE5D1E" w:rsidP="00BB3468">
      <w:pPr>
        <w:pStyle w:val="SingleTxtG"/>
        <w:numPr>
          <w:ilvl w:val="0"/>
          <w:numId w:val="27"/>
        </w:numPr>
        <w:ind w:left="1134" w:firstLine="0"/>
        <w:rPr>
          <w:lang w:val="en-US"/>
        </w:rPr>
      </w:pPr>
      <w:r w:rsidRPr="00DE5D1E">
        <w:rPr>
          <w:lang w:val="en-US"/>
        </w:rPr>
        <w:t>After some internal consultations, it was revealed that the lack of readiness led the process being taken out for external consultations. At this stage, all the parties of the working group agree that the consultation should be expanded and continued (e.g., with the academia, various relevant professional groups, etc.) to make the amendment’s consequences more straightforward. Communication with representatives of law enforcement agencies is planned to continue as well.</w:t>
      </w:r>
    </w:p>
    <w:p w14:paraId="181331CF" w14:textId="77777777" w:rsidR="00DE5D1E" w:rsidRPr="00DE5D1E" w:rsidRDefault="00DE5D1E" w:rsidP="00BB3468">
      <w:pPr>
        <w:pStyle w:val="SingleTxtG"/>
        <w:numPr>
          <w:ilvl w:val="0"/>
          <w:numId w:val="27"/>
        </w:numPr>
        <w:ind w:left="1134" w:firstLine="0"/>
        <w:rPr>
          <w:lang w:val="en-US"/>
        </w:rPr>
      </w:pPr>
      <w:r w:rsidRPr="00DE5D1E">
        <w:rPr>
          <w:lang w:val="en-US"/>
        </w:rPr>
        <w:t>It should be noted that Georgian legislation does not provide</w:t>
      </w:r>
      <w:r w:rsidRPr="00DE5D1E">
        <w:rPr>
          <w:lang w:val="ka-GE"/>
        </w:rPr>
        <w:t xml:space="preserve"> </w:t>
      </w:r>
      <w:r w:rsidRPr="00DE5D1E">
        <w:rPr>
          <w:lang w:val="en-US"/>
        </w:rPr>
        <w:t>the concept of honour crimes. Additionally, Article 4, subparagraph “e” of the Law of Georgia “On Prevention of Violence Against Women and/or Domestic Violence, Protection and Support to Victims of Violence” defines the concept of economic violence as an act, which causes restriction of the right to have food, dwelling and other conditions for normal development, to enjoy property and labour rights, to use common property and to administer one’s own share of that property.</w:t>
      </w:r>
    </w:p>
    <w:p w14:paraId="336A8095" w14:textId="77777777" w:rsidR="00DE5D1E" w:rsidRPr="00DE5D1E" w:rsidRDefault="00DE5D1E" w:rsidP="00BB3468">
      <w:pPr>
        <w:pStyle w:val="SingleTxtG"/>
        <w:numPr>
          <w:ilvl w:val="0"/>
          <w:numId w:val="27"/>
        </w:numPr>
        <w:ind w:left="1134" w:firstLine="0"/>
        <w:rPr>
          <w:lang w:val="en-US"/>
        </w:rPr>
      </w:pPr>
      <w:r w:rsidRPr="00DE5D1E">
        <w:rPr>
          <w:lang w:val="en-US"/>
        </w:rPr>
        <w:t>There has to be mentioned some significant amendments which harmonize the Georgian legislation system with the Istanbul Convention:</w:t>
      </w:r>
    </w:p>
    <w:p w14:paraId="17D39851" w14:textId="4A0BDD6C" w:rsidR="00DE5D1E" w:rsidRPr="00DE5D1E" w:rsidRDefault="00DE5D1E" w:rsidP="00AC5053">
      <w:pPr>
        <w:pStyle w:val="Bullet1G"/>
        <w:rPr>
          <w:lang w:val="en-US"/>
        </w:rPr>
      </w:pPr>
      <w:r w:rsidRPr="00DE5D1E">
        <w:rPr>
          <w:lang w:val="en-US"/>
        </w:rPr>
        <w:t>In 2023, the prerequisite of having the so-called “victim status” for the use of asylum was abolished, thereby simplifying the possibility of using state asylum for victims of violence. The main goal of the mentioned change is to strengthen support for victims of violence against women and domestic violence and to overcome the existing barrier to use state services, including state asylum</w:t>
      </w:r>
      <w:r w:rsidR="00AC5053">
        <w:rPr>
          <w:lang w:val="en-US"/>
        </w:rPr>
        <w:t>;</w:t>
      </w:r>
    </w:p>
    <w:p w14:paraId="2B871A24" w14:textId="5A6F7B81" w:rsidR="00DE5D1E" w:rsidRPr="00DE5D1E" w:rsidRDefault="00DE5D1E" w:rsidP="00AC5053">
      <w:pPr>
        <w:pStyle w:val="Bullet1G"/>
        <w:rPr>
          <w:lang w:val="en-US"/>
        </w:rPr>
      </w:pPr>
      <w:r w:rsidRPr="00DE5D1E">
        <w:rPr>
          <w:lang w:val="en-US"/>
        </w:rPr>
        <w:lastRenderedPageBreak/>
        <w:t>Legal recognition of gender-based violence against women as a form of persecution that can lead to refugee status</w:t>
      </w:r>
      <w:r w:rsidR="00AC5053">
        <w:rPr>
          <w:lang w:val="en-US"/>
        </w:rPr>
        <w:t>;</w:t>
      </w:r>
    </w:p>
    <w:p w14:paraId="7902B230" w14:textId="5544830C" w:rsidR="00DE5D1E" w:rsidRPr="00DE5D1E" w:rsidRDefault="00DE5D1E" w:rsidP="00AC5053">
      <w:pPr>
        <w:pStyle w:val="Bullet1G"/>
        <w:rPr>
          <w:lang w:val="en-US"/>
        </w:rPr>
      </w:pPr>
      <w:r w:rsidRPr="00DE5D1E">
        <w:rPr>
          <w:lang w:val="en-US"/>
        </w:rPr>
        <w:t>Amendments to the Code of Administrative Offenses of Georgia - the bill improves the definition of sexual harassment and fully complies with the Istanbul Convention. Also, it is envisaged that more effective, proportional, and deterrent sanctions for the said crime be established</w:t>
      </w:r>
      <w:r w:rsidR="00AC5053">
        <w:rPr>
          <w:lang w:val="en-US"/>
        </w:rPr>
        <w:t>;</w:t>
      </w:r>
    </w:p>
    <w:p w14:paraId="777AD6D7" w14:textId="4DFF0BCC" w:rsidR="00DE5D1E" w:rsidRPr="00DE5D1E" w:rsidRDefault="00DE5D1E" w:rsidP="00AC5053">
      <w:pPr>
        <w:pStyle w:val="Bullet1G"/>
        <w:rPr>
          <w:lang w:val="en-US"/>
        </w:rPr>
      </w:pPr>
      <w:r w:rsidRPr="00DE5D1E">
        <w:rPr>
          <w:lang w:val="en-US"/>
        </w:rPr>
        <w:t>Alignment of the Criminal Code of Georgia with the requirements of the Istanbul Convention: defining new criminal offences such as stalking, female genital mutilation and forced marriage; definition of psychological violence as a crime of domestic violence; Ensuring affordable legal assistance for victims</w:t>
      </w:r>
      <w:r w:rsidR="00AC5053">
        <w:rPr>
          <w:lang w:val="en-US"/>
        </w:rPr>
        <w:t>;</w:t>
      </w:r>
    </w:p>
    <w:p w14:paraId="3E90FC9A" w14:textId="77777777" w:rsidR="00DE5D1E" w:rsidRPr="00DE5D1E" w:rsidRDefault="00DE5D1E" w:rsidP="00AC5053">
      <w:pPr>
        <w:pStyle w:val="Bullet1G"/>
        <w:rPr>
          <w:lang w:val="en-US"/>
        </w:rPr>
      </w:pPr>
      <w:r w:rsidRPr="00DE5D1E">
        <w:rPr>
          <w:lang w:val="en-US"/>
        </w:rPr>
        <w:t>Improvement the collection of statistical data in the criminal justice system, in particular the number of arrest warrants issued by law enforcement agencies and prosecutors, and the introduction of a new electronic criminal case management system, disaggregated data collection in the criminal justice chain, as required by harmonization with the Istanbul Convention;</w:t>
      </w:r>
    </w:p>
    <w:p w14:paraId="5B377B95" w14:textId="77777777" w:rsidR="00DE5D1E" w:rsidRPr="00DE5D1E" w:rsidRDefault="00DE5D1E" w:rsidP="00AC5053">
      <w:pPr>
        <w:pStyle w:val="Bullet1G"/>
        <w:rPr>
          <w:lang w:val="en-US"/>
        </w:rPr>
      </w:pPr>
      <w:r w:rsidRPr="00DE5D1E">
        <w:rPr>
          <w:lang w:val="en-US"/>
        </w:rPr>
        <w:t>On September 7, 2023, the Minister of Internal Affairs issued an Order establishing a comprehensive system of rules and procedures designed to enhance the qualifications of investigators within the Ministry of Internal Affairs (MIA). In alignment with this initiative, the MIA has systematically organized advanced qualification courses in collaboration with the Academy and the Human Rights Protection Department of the MIA. Between October 2, 2023, and October 1, 2024, two training courses were conducted: one focused on the investigation of sexual crimes and sexual harassment and the other on addressing violence against women and domestic violence, with 243 and 247 investigators participating, respectively.</w:t>
      </w:r>
    </w:p>
    <w:p w14:paraId="7A8CE296" w14:textId="10165A1C" w:rsidR="00DE5D1E" w:rsidRPr="00DE5D1E" w:rsidRDefault="008E7E9C" w:rsidP="008E7E9C">
      <w:pPr>
        <w:pStyle w:val="H1G"/>
        <w:rPr>
          <w:lang w:val="en-US"/>
        </w:rPr>
      </w:pPr>
      <w:r>
        <w:tab/>
        <w:t>D</w:t>
      </w:r>
      <w:r w:rsidRPr="008E7E9C">
        <w:t>.</w:t>
      </w:r>
      <w:r w:rsidRPr="008E7E9C">
        <w:tab/>
      </w:r>
      <w:r w:rsidRPr="008E7E9C">
        <w:rPr>
          <w:lang w:val="en-US"/>
        </w:rPr>
        <w:t xml:space="preserve">Follow-up information relating to paragraph </w:t>
      </w:r>
      <w:r>
        <w:rPr>
          <w:lang w:val="en-US"/>
        </w:rPr>
        <w:t>44</w:t>
      </w:r>
      <w:r w:rsidRPr="008E7E9C">
        <w:rPr>
          <w:lang w:val="en-US"/>
        </w:rPr>
        <w:t xml:space="preserve"> (</w:t>
      </w:r>
      <w:r>
        <w:rPr>
          <w:lang w:val="en-US"/>
        </w:rPr>
        <w:t>c</w:t>
      </w:r>
      <w:r w:rsidRPr="008E7E9C">
        <w:rPr>
          <w:lang w:val="en-US"/>
        </w:rPr>
        <w:t>) of the concluding observations</w:t>
      </w:r>
    </w:p>
    <w:p w14:paraId="09DD7E12" w14:textId="77777777" w:rsidR="00DE5D1E" w:rsidRPr="00DE5D1E" w:rsidRDefault="00DE5D1E" w:rsidP="00BB3468">
      <w:pPr>
        <w:pStyle w:val="SingleTxtG"/>
        <w:numPr>
          <w:ilvl w:val="0"/>
          <w:numId w:val="27"/>
        </w:numPr>
        <w:ind w:left="1134" w:firstLine="0"/>
        <w:rPr>
          <w:lang w:val="en-US"/>
        </w:rPr>
      </w:pPr>
      <w:r w:rsidRPr="00DE5D1E">
        <w:rPr>
          <w:lang w:val="en-US"/>
        </w:rPr>
        <w:t>In order to monitor the condition of the Rights of persons with disabilities (PWDs), Parliament of Georgia uses various supervisory mechanisms, including consideration of the Public Defender’s annual reports as well as reviewing the annual reports of the Government on the Conditions of the Rights of Persons with Disabilities. Based on the PDO report, the Parliament issues the decree with, inter alia, specific assignments to the relevant state agencies on deinstitutionalization, services for the support of independent living of PWDs etc. Annual reports of the Government on the Condition of the Rights of Persons with Disabilities include consolidated information and data from both central and local governmental agencies. Parliamentary committee considers and prepares an opinion with specific recommendations to the executive bodies.</w:t>
      </w:r>
    </w:p>
    <w:p w14:paraId="113A2978" w14:textId="77777777" w:rsidR="00DE5D1E" w:rsidRPr="00DE5D1E" w:rsidRDefault="00DE5D1E" w:rsidP="00BB3468">
      <w:pPr>
        <w:pStyle w:val="SingleTxtG"/>
        <w:numPr>
          <w:ilvl w:val="0"/>
          <w:numId w:val="27"/>
        </w:numPr>
        <w:ind w:left="1134" w:firstLine="0"/>
        <w:rPr>
          <w:lang w:val="en-US"/>
        </w:rPr>
      </w:pPr>
      <w:r w:rsidRPr="00DE5D1E">
        <w:rPr>
          <w:lang w:val="en-US"/>
        </w:rPr>
        <w:t>The deinstitutionalization of PWDs is currently being implemented as part of the reform of social protection systems in the country. This initiative aims to reform the country’s alternative care system through a policy-driven approach that aims to reduce reliance on institutional care for various vulnerable groups and facilitate a smooth transition to independent living. Currently, deinstitutionalization process in Martkhopi is completed. A total of 34 beneficiaries have been successfully relocated to the new facilities.</w:t>
      </w:r>
    </w:p>
    <w:p w14:paraId="7F55AB85" w14:textId="77777777" w:rsidR="00DE5D1E" w:rsidRPr="00DE5D1E" w:rsidRDefault="00DE5D1E" w:rsidP="00BB3468">
      <w:pPr>
        <w:pStyle w:val="SingleTxtG"/>
        <w:numPr>
          <w:ilvl w:val="0"/>
          <w:numId w:val="27"/>
        </w:numPr>
        <w:ind w:left="1134" w:firstLine="0"/>
        <w:rPr>
          <w:lang w:val="en-US"/>
        </w:rPr>
      </w:pPr>
      <w:r w:rsidRPr="00DE5D1E">
        <w:rPr>
          <w:lang w:val="en-US"/>
        </w:rPr>
        <w:t>2023-2025 Action Plan for Independent Living and Deinstitutionalization of Persons with Disabilities, emphasizes the importance of transferring children from large institutions to foster care or kinship placements that meet their needs and act in their best interests. To support this transition, the Agency for State Care and Assistance for the Victims of Human Trafficking (the State Care Agency) has partnered with UNICEF and World Vision Georgia to launch a project aimed at finding and supporting foster parents.</w:t>
      </w:r>
    </w:p>
    <w:p w14:paraId="14A1FFBC" w14:textId="77777777" w:rsidR="00DE5D1E" w:rsidRPr="00DE5D1E" w:rsidRDefault="00DE5D1E" w:rsidP="00BB3468">
      <w:pPr>
        <w:pStyle w:val="SingleTxtG"/>
        <w:numPr>
          <w:ilvl w:val="0"/>
          <w:numId w:val="27"/>
        </w:numPr>
        <w:ind w:left="1134" w:firstLine="0"/>
        <w:rPr>
          <w:lang w:val="en-US"/>
        </w:rPr>
      </w:pPr>
      <w:r w:rsidRPr="00DE5D1E">
        <w:rPr>
          <w:lang w:val="en-US"/>
        </w:rPr>
        <w:t xml:space="preserve">In addition to these initiatives, the State Care Agency operates six shelters for victims of human trafficking and violence, as well as seven crisis centres for victims of violence. Notably, a new crisis centre in Zugdidi opened in January of this year, offering services to the victims of violence, including PWDs. The State Care Agency also runs shelters for mothers and their children that provide 24-hour services to ensure a secure environment, </w:t>
      </w:r>
      <w:r w:rsidRPr="00DE5D1E">
        <w:rPr>
          <w:lang w:val="en-US"/>
        </w:rPr>
        <w:lastRenderedPageBreak/>
        <w:t>address daily needs, and facilitate vocational and non-formal education for beneficiaries. These shelters offer access to medical care and on-site psychological support, and activities are planned collaboratively with mothers and children to encourage their active participation.</w:t>
      </w:r>
      <w:r w:rsidRPr="00DE5D1E">
        <w:rPr>
          <w:lang w:val="ka-GE"/>
        </w:rPr>
        <w:t xml:space="preserve"> </w:t>
      </w:r>
      <w:r w:rsidRPr="00DE5D1E">
        <w:rPr>
          <w:lang w:val="en-US"/>
        </w:rPr>
        <w:t xml:space="preserve">Upon arrival at the shelter, an individual service plan is created within 30 days, outlining relevant activities, which is reviewed every six months. Mothers retain the autonomy to choose professional or educational programs while receiving support from psychologists and social workers throughout their decision-making process. Funding for these services increased in 2023, reflecting a growing commitment to supporting vulnerable populations. Currently, there are six operational Shelters for Mothers and their Children, four located in Tbilisi, one in Khashuri, and one in Imereti, accommodating a total of 39 mothers and 34 minors in 2023. </w:t>
      </w:r>
    </w:p>
    <w:p w14:paraId="25DC90DC" w14:textId="77777777" w:rsidR="00DE5D1E" w:rsidRPr="00DE5D1E" w:rsidRDefault="00DE5D1E" w:rsidP="00BB3468">
      <w:pPr>
        <w:pStyle w:val="SingleTxtG"/>
        <w:numPr>
          <w:ilvl w:val="0"/>
          <w:numId w:val="27"/>
        </w:numPr>
        <w:ind w:left="1134" w:firstLine="0"/>
      </w:pPr>
      <w:r w:rsidRPr="00DE5D1E">
        <w:t>It is noteworthy that</w:t>
      </w:r>
      <w:r w:rsidRPr="00DE5D1E">
        <w:rPr>
          <w:lang w:val="ka-GE"/>
        </w:rPr>
        <w:t xml:space="preserve"> </w:t>
      </w:r>
      <w:r w:rsidRPr="00DE5D1E">
        <w:t>Social Rehabilitation and Child Care Program</w:t>
      </w:r>
      <w:r w:rsidRPr="00DE5D1E">
        <w:rPr>
          <w:lang w:val="ka-GE"/>
        </w:rPr>
        <w:t xml:space="preserve"> </w:t>
      </w:r>
      <w:r w:rsidRPr="00DE5D1E">
        <w:t>is reviewed and approved annually within the country.</w:t>
      </w:r>
      <w:r w:rsidRPr="00DE5D1E">
        <w:rPr>
          <w:lang w:val="ka-GE"/>
        </w:rPr>
        <w:t xml:space="preserve"> </w:t>
      </w:r>
      <w:r w:rsidRPr="00DE5D1E">
        <w:t>The programme includes various sub-programs and components aimed at supporting PWDs, such as:</w:t>
      </w:r>
    </w:p>
    <w:p w14:paraId="19AE1F4A" w14:textId="5D09BB68" w:rsidR="00DE5D1E" w:rsidRPr="00DE5D1E" w:rsidRDefault="00DE5D1E" w:rsidP="00583E8C">
      <w:pPr>
        <w:pStyle w:val="Bullet1G"/>
      </w:pPr>
      <w:r w:rsidRPr="00583E8C">
        <w:t>Subprogram - Service Provision in Day Care Centres</w:t>
      </w:r>
      <w:r w:rsidRPr="00DE5D1E">
        <w:t>: focuses on providing services in day care centers, for the PWDs to promote social inclusion and independent living</w:t>
      </w:r>
      <w:r w:rsidR="00583E8C">
        <w:t>;</w:t>
      </w:r>
    </w:p>
    <w:p w14:paraId="47F32BC7" w14:textId="35AEF815" w:rsidR="00DE5D1E" w:rsidRPr="00DE5D1E" w:rsidRDefault="00DE5D1E" w:rsidP="00583E8C">
      <w:pPr>
        <w:pStyle w:val="Bullet1G"/>
      </w:pPr>
      <w:r w:rsidRPr="003D21D0">
        <w:t>Subprogram - Service Provision in community-based organisations:</w:t>
      </w:r>
      <w:r w:rsidRPr="00DE5D1E">
        <w:t xml:space="preserve"> </w:t>
      </w:r>
      <w:r w:rsidR="003D21D0">
        <w:t>S</w:t>
      </w:r>
      <w:r w:rsidRPr="00DE5D1E">
        <w:t>upports community organizations that aid the deinstitutionalization process and social integration, particularly through small family-type services that prevent institutionalization. The subprogram unites component aimed at supporting the independent leaving for PWDs</w:t>
      </w:r>
      <w:r w:rsidR="003D21D0">
        <w:t>;</w:t>
      </w:r>
    </w:p>
    <w:p w14:paraId="56E35F96" w14:textId="27D74F95" w:rsidR="00DE5D1E" w:rsidRPr="00DE5D1E" w:rsidRDefault="00DE5D1E" w:rsidP="00583E8C">
      <w:pPr>
        <w:pStyle w:val="Bullet1G"/>
      </w:pPr>
      <w:r w:rsidRPr="003D21D0">
        <w:rPr>
          <w:lang w:val="en-US"/>
        </w:rPr>
        <w:t>Subprogram – Service Provision of Shelters for Mothers and their Children:</w:t>
      </w:r>
      <w:r w:rsidRPr="00DE5D1E">
        <w:rPr>
          <w:lang w:val="en-US"/>
        </w:rPr>
        <w:t xml:space="preserve"> </w:t>
      </w:r>
      <w:r w:rsidR="003D21D0">
        <w:rPr>
          <w:lang w:val="en-US"/>
        </w:rPr>
        <w:t>A</w:t>
      </w:r>
      <w:r w:rsidRPr="00DE5D1E">
        <w:rPr>
          <w:lang w:val="en-US"/>
        </w:rPr>
        <w:t>ddresses various needs, specifically focusing on women who are under the 26</w:t>
      </w:r>
      <w:r w:rsidRPr="00DE5D1E">
        <w:rPr>
          <w:vertAlign w:val="superscript"/>
          <w:lang w:val="en-US"/>
        </w:rPr>
        <w:t>th</w:t>
      </w:r>
      <w:r w:rsidRPr="00DE5D1E">
        <w:rPr>
          <w:lang w:val="en-US"/>
        </w:rPr>
        <w:t xml:space="preserve"> week of pregnancy.</w:t>
      </w:r>
    </w:p>
    <w:p w14:paraId="6BD6E5B7" w14:textId="77777777" w:rsidR="00DE5D1E" w:rsidRPr="00DE5D1E" w:rsidRDefault="00DE5D1E" w:rsidP="008E7E9C">
      <w:pPr>
        <w:pStyle w:val="SingleTxtG"/>
        <w:numPr>
          <w:ilvl w:val="0"/>
          <w:numId w:val="27"/>
        </w:numPr>
        <w:ind w:left="1134" w:firstLine="0"/>
        <w:rPr>
          <w:lang w:val="en-US"/>
        </w:rPr>
      </w:pPr>
      <w:r w:rsidRPr="00DE5D1E">
        <w:rPr>
          <w:lang w:val="en-US"/>
        </w:rPr>
        <w:t xml:space="preserve">Inclusive education has been implemented in the kindergartens of the capital, therefore, priority is given to the registration of children of PWDs, children with special needs, children of large and socially </w:t>
      </w:r>
      <w:r w:rsidRPr="00DE5D1E">
        <w:t>disadvantaged</w:t>
      </w:r>
      <w:r w:rsidRPr="00DE5D1E">
        <w:rPr>
          <w:lang w:val="en-US"/>
        </w:rPr>
        <w:t xml:space="preserve"> families in early and preschool education and educational institutions, which ensures freeing up time for families.</w:t>
      </w:r>
    </w:p>
    <w:p w14:paraId="04E8D84C" w14:textId="7EFC2476" w:rsidR="00023A38" w:rsidRPr="00DE5D1E" w:rsidRDefault="00DE5D1E" w:rsidP="00DE5D1E">
      <w:pPr>
        <w:pStyle w:val="SingleTxtG"/>
        <w:jc w:val="center"/>
        <w:rPr>
          <w:u w:val="single"/>
          <w:lang w:val="en-US"/>
        </w:rPr>
      </w:pPr>
      <w:r>
        <w:rPr>
          <w:u w:val="single"/>
          <w:lang w:val="en-US"/>
        </w:rPr>
        <w:tab/>
      </w:r>
      <w:r>
        <w:rPr>
          <w:u w:val="single"/>
          <w:lang w:val="en-US"/>
        </w:rPr>
        <w:tab/>
      </w:r>
      <w:r>
        <w:rPr>
          <w:u w:val="single"/>
          <w:lang w:val="en-US"/>
        </w:rPr>
        <w:tab/>
      </w:r>
    </w:p>
    <w:sectPr w:rsidR="00023A38" w:rsidRPr="00DE5D1E">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97263B" w14:textId="77777777" w:rsidR="00023A38" w:rsidRDefault="00023A38">
      <w:pPr>
        <w:spacing w:line="240" w:lineRule="auto"/>
      </w:pPr>
    </w:p>
  </w:endnote>
  <w:endnote w:type="continuationSeparator" w:id="0">
    <w:p w14:paraId="62101A0C" w14:textId="77777777" w:rsidR="00023A38" w:rsidRDefault="00023A38">
      <w:pPr>
        <w:pStyle w:val="Footer"/>
      </w:pPr>
    </w:p>
  </w:endnote>
  <w:endnote w:type="continuationNotice" w:id="1">
    <w:p w14:paraId="63ECADAE" w14:textId="77777777" w:rsidR="00023A38" w:rsidRDefault="00023A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BFB72A" w14:textId="77777777" w:rsidR="00023A38" w:rsidRDefault="009A6334">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5F7A44">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12D52" w14:textId="77777777" w:rsidR="00023A38" w:rsidRDefault="007F450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2AD7D4" w14:textId="77777777" w:rsidR="00023A38" w:rsidRDefault="009A6334">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7DD3A6B4" wp14:editId="3BAF4BA4">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A22BBB" w14:paraId="4DBC1C97" w14:textId="77777777">
      <w:tc>
        <w:tcPr>
          <w:tcW w:w="1848" w:type="dxa"/>
          <w:vAlign w:val="bottom"/>
        </w:tcPr>
        <w:p w14:paraId="06A688EE" w14:textId="77777777" w:rsidR="00023A38" w:rsidRDefault="009A6334">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4EF59CFB" wp14:editId="3F94312F">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3DDFCCAF" w14:textId="77777777" w:rsidR="00023A38" w:rsidRDefault="00023A38">
          <w:pPr>
            <w:kinsoku w:val="0"/>
            <w:overflowPunct w:val="0"/>
            <w:autoSpaceDE w:val="0"/>
            <w:autoSpaceDN w:val="0"/>
            <w:adjustRightInd w:val="0"/>
            <w:snapToGrid w:val="0"/>
            <w:spacing w:line="240" w:lineRule="auto"/>
            <w:jc w:val="right"/>
            <w:rPr>
              <w:rFonts w:eastAsiaTheme="minorHAnsi"/>
              <w:sz w:val="16"/>
              <w:lang w:val="fr-CH"/>
            </w:rPr>
          </w:pPr>
        </w:p>
      </w:tc>
    </w:tr>
  </w:tbl>
  <w:p w14:paraId="44A1BDB3" w14:textId="77777777" w:rsidR="00023A38" w:rsidRDefault="00023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F0E371" w14:textId="77777777" w:rsidR="00023A38" w:rsidRDefault="009A6334">
      <w:pPr>
        <w:pStyle w:val="Footer"/>
        <w:tabs>
          <w:tab w:val="right" w:pos="2155"/>
        </w:tabs>
        <w:spacing w:after="80" w:line="240" w:lineRule="atLeast"/>
        <w:ind w:left="680"/>
        <w:rPr>
          <w:u w:val="single"/>
        </w:rPr>
      </w:pPr>
      <w:r>
        <w:rPr>
          <w:u w:val="single"/>
        </w:rPr>
        <w:tab/>
      </w:r>
    </w:p>
  </w:footnote>
  <w:footnote w:type="continuationSeparator" w:id="0">
    <w:p w14:paraId="7150AEB4" w14:textId="77777777" w:rsidR="00023A38" w:rsidRDefault="009A6334">
      <w:pPr>
        <w:pStyle w:val="Footer"/>
        <w:tabs>
          <w:tab w:val="right" w:pos="2155"/>
        </w:tabs>
        <w:spacing w:after="80" w:line="240" w:lineRule="atLeast"/>
        <w:ind w:left="680"/>
        <w:rPr>
          <w:u w:val="single"/>
        </w:rPr>
      </w:pPr>
      <w:r>
        <w:rPr>
          <w:u w:val="single"/>
        </w:rPr>
        <w:tab/>
      </w:r>
    </w:p>
  </w:footnote>
  <w:footnote w:type="continuationNotice" w:id="1">
    <w:p w14:paraId="3DD0410B" w14:textId="77777777" w:rsidR="00023A38" w:rsidRDefault="00023A38">
      <w:pPr>
        <w:spacing w:line="240" w:lineRule="auto"/>
        <w:rPr>
          <w:sz w:val="2"/>
          <w:szCs w:val="2"/>
        </w:rPr>
      </w:pPr>
    </w:p>
  </w:footnote>
  <w:footnote w:id="2">
    <w:p w14:paraId="3C702767" w14:textId="77777777" w:rsidR="00023A38" w:rsidRDefault="009A6334">
      <w:pPr>
        <w:pStyle w:val="FootnoteText"/>
        <w:rPr>
          <w:lang w:val="en-US"/>
        </w:rPr>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E7BA65" w14:textId="77777777" w:rsidR="00023A38" w:rsidRDefault="007F4501">
    <w:pPr>
      <w:pStyle w:val="Header"/>
    </w:pPr>
    <w:r>
      <w:t>CEDAW/C/GEO/FCO/6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EC4EA8" w14:textId="77777777" w:rsidR="00023A38" w:rsidRDefault="007F4501">
    <w:pPr>
      <w:pStyle w:val="Header"/>
      <w:jc w:val="right"/>
    </w:pPr>
    <w:r>
      <w:t>CEDAW/C/GEO/FCO/6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61AA2BB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E2A5430" w:tentative="1">
      <w:start w:val="1"/>
      <w:numFmt w:val="lowerLetter"/>
      <w:lvlText w:val="%2."/>
      <w:lvlJc w:val="left"/>
      <w:pPr>
        <w:tabs>
          <w:tab w:val="num" w:pos="1440"/>
        </w:tabs>
        <w:ind w:left="1440" w:hanging="360"/>
      </w:pPr>
    </w:lvl>
    <w:lvl w:ilvl="2" w:tplc="32400D04" w:tentative="1">
      <w:start w:val="1"/>
      <w:numFmt w:val="lowerRoman"/>
      <w:lvlText w:val="%3."/>
      <w:lvlJc w:val="right"/>
      <w:pPr>
        <w:tabs>
          <w:tab w:val="num" w:pos="2160"/>
        </w:tabs>
        <w:ind w:left="2160" w:hanging="180"/>
      </w:pPr>
    </w:lvl>
    <w:lvl w:ilvl="3" w:tplc="B9CA1F5C" w:tentative="1">
      <w:start w:val="1"/>
      <w:numFmt w:val="decimal"/>
      <w:lvlText w:val="%4."/>
      <w:lvlJc w:val="left"/>
      <w:pPr>
        <w:tabs>
          <w:tab w:val="num" w:pos="2880"/>
        </w:tabs>
        <w:ind w:left="2880" w:hanging="360"/>
      </w:pPr>
    </w:lvl>
    <w:lvl w:ilvl="4" w:tplc="4DBCA136" w:tentative="1">
      <w:start w:val="1"/>
      <w:numFmt w:val="lowerLetter"/>
      <w:lvlText w:val="%5."/>
      <w:lvlJc w:val="left"/>
      <w:pPr>
        <w:tabs>
          <w:tab w:val="num" w:pos="3600"/>
        </w:tabs>
        <w:ind w:left="3600" w:hanging="360"/>
      </w:pPr>
    </w:lvl>
    <w:lvl w:ilvl="5" w:tplc="29C6F578" w:tentative="1">
      <w:start w:val="1"/>
      <w:numFmt w:val="lowerRoman"/>
      <w:lvlText w:val="%6."/>
      <w:lvlJc w:val="right"/>
      <w:pPr>
        <w:tabs>
          <w:tab w:val="num" w:pos="4320"/>
        </w:tabs>
        <w:ind w:left="4320" w:hanging="180"/>
      </w:pPr>
    </w:lvl>
    <w:lvl w:ilvl="6" w:tplc="89A02C2A" w:tentative="1">
      <w:start w:val="1"/>
      <w:numFmt w:val="decimal"/>
      <w:lvlText w:val="%7."/>
      <w:lvlJc w:val="left"/>
      <w:pPr>
        <w:tabs>
          <w:tab w:val="num" w:pos="5040"/>
        </w:tabs>
        <w:ind w:left="5040" w:hanging="360"/>
      </w:pPr>
    </w:lvl>
    <w:lvl w:ilvl="7" w:tplc="B5284E82" w:tentative="1">
      <w:start w:val="1"/>
      <w:numFmt w:val="lowerLetter"/>
      <w:lvlText w:val="%8."/>
      <w:lvlJc w:val="left"/>
      <w:pPr>
        <w:tabs>
          <w:tab w:val="num" w:pos="5760"/>
        </w:tabs>
        <w:ind w:left="5760" w:hanging="360"/>
      </w:pPr>
    </w:lvl>
    <w:lvl w:ilvl="8" w:tplc="61DA3D44" w:tentative="1">
      <w:start w:val="1"/>
      <w:numFmt w:val="lowerRoman"/>
      <w:lvlText w:val="%9."/>
      <w:lvlJc w:val="right"/>
      <w:pPr>
        <w:tabs>
          <w:tab w:val="num" w:pos="6480"/>
        </w:tabs>
        <w:ind w:left="6480" w:hanging="180"/>
      </w:pPr>
    </w:lvl>
  </w:abstractNum>
  <w:abstractNum w:abstractNumId="11" w15:restartNumberingAfterBreak="0">
    <w:nsid w:val="1C9F44A3"/>
    <w:multiLevelType w:val="hybridMultilevel"/>
    <w:tmpl w:val="D00E2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8617DB"/>
    <w:multiLevelType w:val="hybridMultilevel"/>
    <w:tmpl w:val="C8CA7696"/>
    <w:lvl w:ilvl="0" w:tplc="4B9E42A6">
      <w:start w:val="24"/>
      <w:numFmt w:val="decimal"/>
      <w:lvlText w:val="%1."/>
      <w:lvlJc w:val="left"/>
      <w:pPr>
        <w:ind w:left="1080" w:hanging="360"/>
      </w:pPr>
      <w:rPr>
        <w:rFonts w:ascii="Times New Roman" w:hAnsi="Times New Roman" w:cs="Times New Roman"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6E61DD"/>
    <w:multiLevelType w:val="hybridMultilevel"/>
    <w:tmpl w:val="8B18C358"/>
    <w:lvl w:ilvl="0" w:tplc="04090015">
      <w:start w:val="1"/>
      <w:numFmt w:val="upperLetter"/>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966606E"/>
    <w:multiLevelType w:val="hybridMultilevel"/>
    <w:tmpl w:val="89A61272"/>
    <w:lvl w:ilvl="0" w:tplc="27B6EB7C">
      <w:start w:val="2"/>
      <w:numFmt w:val="decimal"/>
      <w:suff w:val="space"/>
      <w:lvlText w:val="%1."/>
      <w:lvlJc w:val="left"/>
      <w:pPr>
        <w:ind w:left="567" w:hanging="567"/>
      </w:pPr>
      <w:rPr>
        <w:rFonts w:ascii="Times New Roman" w:hAnsi="Times New Roman" w:cs="Times New Roman"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0E19A2"/>
    <w:multiLevelType w:val="hybridMultilevel"/>
    <w:tmpl w:val="9BDA819C"/>
    <w:lvl w:ilvl="0" w:tplc="2000000F">
      <w:start w:val="1"/>
      <w:numFmt w:val="decimal"/>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3ACF4EB2"/>
    <w:multiLevelType w:val="hybridMultilevel"/>
    <w:tmpl w:val="CB6C816A"/>
    <w:lvl w:ilvl="0" w:tplc="D3842990">
      <w:start w:val="1"/>
      <w:numFmt w:val="bullet"/>
      <w:pStyle w:val="Bullet2G"/>
      <w:lvlText w:val="•"/>
      <w:lvlJc w:val="left"/>
      <w:pPr>
        <w:tabs>
          <w:tab w:val="num" w:pos="2268"/>
        </w:tabs>
        <w:ind w:left="2268" w:hanging="170"/>
      </w:pPr>
      <w:rPr>
        <w:rFonts w:ascii="Times New Roman" w:hAnsi="Times New Roman" w:cs="Times New Roman" w:hint="default"/>
      </w:rPr>
    </w:lvl>
    <w:lvl w:ilvl="1" w:tplc="D1123F0E" w:tentative="1">
      <w:start w:val="1"/>
      <w:numFmt w:val="bullet"/>
      <w:lvlText w:val="o"/>
      <w:lvlJc w:val="left"/>
      <w:pPr>
        <w:tabs>
          <w:tab w:val="num" w:pos="3708"/>
        </w:tabs>
        <w:ind w:left="3708" w:hanging="360"/>
      </w:pPr>
      <w:rPr>
        <w:rFonts w:ascii="Courier New" w:hAnsi="Courier New" w:hint="default"/>
      </w:rPr>
    </w:lvl>
    <w:lvl w:ilvl="2" w:tplc="77823EB0" w:tentative="1">
      <w:start w:val="1"/>
      <w:numFmt w:val="bullet"/>
      <w:lvlText w:val=""/>
      <w:lvlJc w:val="left"/>
      <w:pPr>
        <w:tabs>
          <w:tab w:val="num" w:pos="4428"/>
        </w:tabs>
        <w:ind w:left="4428" w:hanging="360"/>
      </w:pPr>
      <w:rPr>
        <w:rFonts w:ascii="Wingdings" w:hAnsi="Wingdings" w:hint="default"/>
      </w:rPr>
    </w:lvl>
    <w:lvl w:ilvl="3" w:tplc="6908DF90" w:tentative="1">
      <w:start w:val="1"/>
      <w:numFmt w:val="bullet"/>
      <w:lvlText w:val=""/>
      <w:lvlJc w:val="left"/>
      <w:pPr>
        <w:tabs>
          <w:tab w:val="num" w:pos="5148"/>
        </w:tabs>
        <w:ind w:left="5148" w:hanging="360"/>
      </w:pPr>
      <w:rPr>
        <w:rFonts w:ascii="Symbol" w:hAnsi="Symbol" w:hint="default"/>
      </w:rPr>
    </w:lvl>
    <w:lvl w:ilvl="4" w:tplc="5AE6B71A" w:tentative="1">
      <w:start w:val="1"/>
      <w:numFmt w:val="bullet"/>
      <w:lvlText w:val="o"/>
      <w:lvlJc w:val="left"/>
      <w:pPr>
        <w:tabs>
          <w:tab w:val="num" w:pos="5868"/>
        </w:tabs>
        <w:ind w:left="5868" w:hanging="360"/>
      </w:pPr>
      <w:rPr>
        <w:rFonts w:ascii="Courier New" w:hAnsi="Courier New" w:hint="default"/>
      </w:rPr>
    </w:lvl>
    <w:lvl w:ilvl="5" w:tplc="FFB42D26" w:tentative="1">
      <w:start w:val="1"/>
      <w:numFmt w:val="bullet"/>
      <w:lvlText w:val=""/>
      <w:lvlJc w:val="left"/>
      <w:pPr>
        <w:tabs>
          <w:tab w:val="num" w:pos="6588"/>
        </w:tabs>
        <w:ind w:left="6588" w:hanging="360"/>
      </w:pPr>
      <w:rPr>
        <w:rFonts w:ascii="Wingdings" w:hAnsi="Wingdings" w:hint="default"/>
      </w:rPr>
    </w:lvl>
    <w:lvl w:ilvl="6" w:tplc="580ACBE2" w:tentative="1">
      <w:start w:val="1"/>
      <w:numFmt w:val="bullet"/>
      <w:lvlText w:val=""/>
      <w:lvlJc w:val="left"/>
      <w:pPr>
        <w:tabs>
          <w:tab w:val="num" w:pos="7308"/>
        </w:tabs>
        <w:ind w:left="7308" w:hanging="360"/>
      </w:pPr>
      <w:rPr>
        <w:rFonts w:ascii="Symbol" w:hAnsi="Symbol" w:hint="default"/>
      </w:rPr>
    </w:lvl>
    <w:lvl w:ilvl="7" w:tplc="473A12FA" w:tentative="1">
      <w:start w:val="1"/>
      <w:numFmt w:val="bullet"/>
      <w:lvlText w:val="o"/>
      <w:lvlJc w:val="left"/>
      <w:pPr>
        <w:tabs>
          <w:tab w:val="num" w:pos="8028"/>
        </w:tabs>
        <w:ind w:left="8028" w:hanging="360"/>
      </w:pPr>
      <w:rPr>
        <w:rFonts w:ascii="Courier New" w:hAnsi="Courier New" w:hint="default"/>
      </w:rPr>
    </w:lvl>
    <w:lvl w:ilvl="8" w:tplc="6AFCDC34"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9BA2F9E"/>
    <w:multiLevelType w:val="hybridMultilevel"/>
    <w:tmpl w:val="F3489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24380C"/>
    <w:multiLevelType w:val="hybridMultilevel"/>
    <w:tmpl w:val="54687C52"/>
    <w:lvl w:ilvl="0" w:tplc="83442CF6">
      <w:start w:val="1"/>
      <w:numFmt w:val="decimal"/>
      <w:lvlText w:val="%1."/>
      <w:lvlJc w:val="left"/>
      <w:pPr>
        <w:ind w:left="4111" w:hanging="567"/>
      </w:pPr>
      <w:rPr>
        <w:rFonts w:ascii="Sylfaen" w:eastAsia="Calibri" w:hAnsi="Sylfaen" w:cs="Calibri" w:hint="default"/>
        <w:b w:val="0"/>
        <w:color w:val="0E101A"/>
        <w:sz w:val="22"/>
      </w:rPr>
    </w:lvl>
    <w:lvl w:ilvl="1" w:tplc="04090019" w:tentative="1">
      <w:start w:val="1"/>
      <w:numFmt w:val="lowerLetter"/>
      <w:lvlText w:val="%2."/>
      <w:lvlJc w:val="left"/>
      <w:pPr>
        <w:ind w:left="4984" w:hanging="360"/>
      </w:pPr>
    </w:lvl>
    <w:lvl w:ilvl="2" w:tplc="0409001B" w:tentative="1">
      <w:start w:val="1"/>
      <w:numFmt w:val="lowerRoman"/>
      <w:lvlText w:val="%3."/>
      <w:lvlJc w:val="right"/>
      <w:pPr>
        <w:ind w:left="5704" w:hanging="180"/>
      </w:pPr>
    </w:lvl>
    <w:lvl w:ilvl="3" w:tplc="0409000F" w:tentative="1">
      <w:start w:val="1"/>
      <w:numFmt w:val="decimal"/>
      <w:lvlText w:val="%4."/>
      <w:lvlJc w:val="left"/>
      <w:pPr>
        <w:ind w:left="6424" w:hanging="360"/>
      </w:pPr>
    </w:lvl>
    <w:lvl w:ilvl="4" w:tplc="04090019" w:tentative="1">
      <w:start w:val="1"/>
      <w:numFmt w:val="lowerLetter"/>
      <w:lvlText w:val="%5."/>
      <w:lvlJc w:val="left"/>
      <w:pPr>
        <w:ind w:left="7144" w:hanging="360"/>
      </w:pPr>
    </w:lvl>
    <w:lvl w:ilvl="5" w:tplc="0409001B" w:tentative="1">
      <w:start w:val="1"/>
      <w:numFmt w:val="lowerRoman"/>
      <w:lvlText w:val="%6."/>
      <w:lvlJc w:val="right"/>
      <w:pPr>
        <w:ind w:left="7864" w:hanging="180"/>
      </w:pPr>
    </w:lvl>
    <w:lvl w:ilvl="6" w:tplc="0409000F" w:tentative="1">
      <w:start w:val="1"/>
      <w:numFmt w:val="decimal"/>
      <w:lvlText w:val="%7."/>
      <w:lvlJc w:val="left"/>
      <w:pPr>
        <w:ind w:left="8584" w:hanging="360"/>
      </w:pPr>
    </w:lvl>
    <w:lvl w:ilvl="7" w:tplc="04090019" w:tentative="1">
      <w:start w:val="1"/>
      <w:numFmt w:val="lowerLetter"/>
      <w:lvlText w:val="%8."/>
      <w:lvlJc w:val="left"/>
      <w:pPr>
        <w:ind w:left="9304" w:hanging="360"/>
      </w:pPr>
    </w:lvl>
    <w:lvl w:ilvl="8" w:tplc="0409001B" w:tentative="1">
      <w:start w:val="1"/>
      <w:numFmt w:val="lowerRoman"/>
      <w:lvlText w:val="%9."/>
      <w:lvlJc w:val="right"/>
      <w:pPr>
        <w:ind w:left="10024" w:hanging="180"/>
      </w:p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EB2C9BF6">
      <w:start w:val="1"/>
      <w:numFmt w:val="bullet"/>
      <w:pStyle w:val="Bullet1G"/>
      <w:lvlText w:val="•"/>
      <w:lvlJc w:val="left"/>
      <w:pPr>
        <w:tabs>
          <w:tab w:val="num" w:pos="1701"/>
        </w:tabs>
        <w:ind w:left="1701" w:hanging="170"/>
      </w:pPr>
      <w:rPr>
        <w:rFonts w:ascii="Times New Roman" w:hAnsi="Times New Roman" w:cs="Times New Roman" w:hint="default"/>
      </w:rPr>
    </w:lvl>
    <w:lvl w:ilvl="1" w:tplc="9F3E8A3C" w:tentative="1">
      <w:start w:val="1"/>
      <w:numFmt w:val="bullet"/>
      <w:lvlText w:val="o"/>
      <w:lvlJc w:val="left"/>
      <w:pPr>
        <w:tabs>
          <w:tab w:val="num" w:pos="3141"/>
        </w:tabs>
        <w:ind w:left="3141" w:hanging="360"/>
      </w:pPr>
      <w:rPr>
        <w:rFonts w:ascii="Courier New" w:hAnsi="Courier New" w:hint="default"/>
      </w:rPr>
    </w:lvl>
    <w:lvl w:ilvl="2" w:tplc="A322F50C" w:tentative="1">
      <w:start w:val="1"/>
      <w:numFmt w:val="bullet"/>
      <w:lvlText w:val=""/>
      <w:lvlJc w:val="left"/>
      <w:pPr>
        <w:tabs>
          <w:tab w:val="num" w:pos="3861"/>
        </w:tabs>
        <w:ind w:left="3861" w:hanging="360"/>
      </w:pPr>
      <w:rPr>
        <w:rFonts w:ascii="Wingdings" w:hAnsi="Wingdings" w:hint="default"/>
      </w:rPr>
    </w:lvl>
    <w:lvl w:ilvl="3" w:tplc="5CAA37CA" w:tentative="1">
      <w:start w:val="1"/>
      <w:numFmt w:val="bullet"/>
      <w:lvlText w:val=""/>
      <w:lvlJc w:val="left"/>
      <w:pPr>
        <w:tabs>
          <w:tab w:val="num" w:pos="4581"/>
        </w:tabs>
        <w:ind w:left="4581" w:hanging="360"/>
      </w:pPr>
      <w:rPr>
        <w:rFonts w:ascii="Symbol" w:hAnsi="Symbol" w:hint="default"/>
      </w:rPr>
    </w:lvl>
    <w:lvl w:ilvl="4" w:tplc="A23C433E" w:tentative="1">
      <w:start w:val="1"/>
      <w:numFmt w:val="bullet"/>
      <w:lvlText w:val="o"/>
      <w:lvlJc w:val="left"/>
      <w:pPr>
        <w:tabs>
          <w:tab w:val="num" w:pos="5301"/>
        </w:tabs>
        <w:ind w:left="5301" w:hanging="360"/>
      </w:pPr>
      <w:rPr>
        <w:rFonts w:ascii="Courier New" w:hAnsi="Courier New" w:hint="default"/>
      </w:rPr>
    </w:lvl>
    <w:lvl w:ilvl="5" w:tplc="2194B57E" w:tentative="1">
      <w:start w:val="1"/>
      <w:numFmt w:val="bullet"/>
      <w:lvlText w:val=""/>
      <w:lvlJc w:val="left"/>
      <w:pPr>
        <w:tabs>
          <w:tab w:val="num" w:pos="6021"/>
        </w:tabs>
        <w:ind w:left="6021" w:hanging="360"/>
      </w:pPr>
      <w:rPr>
        <w:rFonts w:ascii="Wingdings" w:hAnsi="Wingdings" w:hint="default"/>
      </w:rPr>
    </w:lvl>
    <w:lvl w:ilvl="6" w:tplc="3D900F88" w:tentative="1">
      <w:start w:val="1"/>
      <w:numFmt w:val="bullet"/>
      <w:lvlText w:val=""/>
      <w:lvlJc w:val="left"/>
      <w:pPr>
        <w:tabs>
          <w:tab w:val="num" w:pos="6741"/>
        </w:tabs>
        <w:ind w:left="6741" w:hanging="360"/>
      </w:pPr>
      <w:rPr>
        <w:rFonts w:ascii="Symbol" w:hAnsi="Symbol" w:hint="default"/>
      </w:rPr>
    </w:lvl>
    <w:lvl w:ilvl="7" w:tplc="5582D11E" w:tentative="1">
      <w:start w:val="1"/>
      <w:numFmt w:val="bullet"/>
      <w:lvlText w:val="o"/>
      <w:lvlJc w:val="left"/>
      <w:pPr>
        <w:tabs>
          <w:tab w:val="num" w:pos="7461"/>
        </w:tabs>
        <w:ind w:left="7461" w:hanging="360"/>
      </w:pPr>
      <w:rPr>
        <w:rFonts w:ascii="Courier New" w:hAnsi="Courier New" w:hint="default"/>
      </w:rPr>
    </w:lvl>
    <w:lvl w:ilvl="8" w:tplc="F0440C04"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56577131">
    <w:abstractNumId w:val="22"/>
  </w:num>
  <w:num w:numId="2" w16cid:durableId="1635333497">
    <w:abstractNumId w:val="16"/>
  </w:num>
  <w:num w:numId="3" w16cid:durableId="112094046">
    <w:abstractNumId w:val="10"/>
  </w:num>
  <w:num w:numId="4" w16cid:durableId="964190405">
    <w:abstractNumId w:val="8"/>
  </w:num>
  <w:num w:numId="5" w16cid:durableId="1547832783">
    <w:abstractNumId w:val="3"/>
  </w:num>
  <w:num w:numId="6" w16cid:durableId="237058915">
    <w:abstractNumId w:val="2"/>
  </w:num>
  <w:num w:numId="7" w16cid:durableId="1302734325">
    <w:abstractNumId w:val="1"/>
  </w:num>
  <w:num w:numId="8" w16cid:durableId="866285956">
    <w:abstractNumId w:val="0"/>
  </w:num>
  <w:num w:numId="9" w16cid:durableId="2070030156">
    <w:abstractNumId w:val="9"/>
  </w:num>
  <w:num w:numId="10" w16cid:durableId="1091122972">
    <w:abstractNumId w:val="7"/>
  </w:num>
  <w:num w:numId="11" w16cid:durableId="477890272">
    <w:abstractNumId w:val="6"/>
  </w:num>
  <w:num w:numId="12" w16cid:durableId="522090788">
    <w:abstractNumId w:val="5"/>
  </w:num>
  <w:num w:numId="13" w16cid:durableId="342903467">
    <w:abstractNumId w:val="4"/>
  </w:num>
  <w:num w:numId="14" w16cid:durableId="271089306">
    <w:abstractNumId w:val="22"/>
  </w:num>
  <w:num w:numId="15" w16cid:durableId="998970600">
    <w:abstractNumId w:val="16"/>
  </w:num>
  <w:num w:numId="16" w16cid:durableId="1502159313">
    <w:abstractNumId w:val="10"/>
  </w:num>
  <w:num w:numId="17" w16cid:durableId="768164774">
    <w:abstractNumId w:val="17"/>
  </w:num>
  <w:num w:numId="18" w16cid:durableId="550769916">
    <w:abstractNumId w:val="21"/>
  </w:num>
  <w:num w:numId="19" w16cid:durableId="1902867557">
    <w:abstractNumId w:val="20"/>
  </w:num>
  <w:num w:numId="20" w16cid:durableId="2115052412">
    <w:abstractNumId w:val="23"/>
  </w:num>
  <w:num w:numId="21" w16cid:durableId="1698503714">
    <w:abstractNumId w:val="13"/>
  </w:num>
  <w:num w:numId="22" w16cid:durableId="1959792746">
    <w:abstractNumId w:val="14"/>
  </w:num>
  <w:num w:numId="23" w16cid:durableId="1857233498">
    <w:abstractNumId w:val="12"/>
  </w:num>
  <w:num w:numId="24" w16cid:durableId="1266964806">
    <w:abstractNumId w:val="19"/>
  </w:num>
  <w:num w:numId="25" w16cid:durableId="1015694607">
    <w:abstractNumId w:val="18"/>
  </w:num>
  <w:num w:numId="26" w16cid:durableId="978537931">
    <w:abstractNumId w:val="11"/>
  </w:num>
  <w:num w:numId="27" w16cid:durableId="30698146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A38"/>
    <w:rsid w:val="00023A38"/>
    <w:rsid w:val="0026466C"/>
    <w:rsid w:val="00277A61"/>
    <w:rsid w:val="00291CC7"/>
    <w:rsid w:val="00394C19"/>
    <w:rsid w:val="003D21D0"/>
    <w:rsid w:val="003D6145"/>
    <w:rsid w:val="00421AEF"/>
    <w:rsid w:val="004330CD"/>
    <w:rsid w:val="004A43A3"/>
    <w:rsid w:val="00583E8C"/>
    <w:rsid w:val="005F7A44"/>
    <w:rsid w:val="006960AE"/>
    <w:rsid w:val="006D1C47"/>
    <w:rsid w:val="006E3E56"/>
    <w:rsid w:val="00737760"/>
    <w:rsid w:val="007C6769"/>
    <w:rsid w:val="007F4501"/>
    <w:rsid w:val="008E7E9C"/>
    <w:rsid w:val="009458E4"/>
    <w:rsid w:val="009A6334"/>
    <w:rsid w:val="00A07768"/>
    <w:rsid w:val="00A22BBB"/>
    <w:rsid w:val="00A44539"/>
    <w:rsid w:val="00AC5053"/>
    <w:rsid w:val="00AF2308"/>
    <w:rsid w:val="00B37DE2"/>
    <w:rsid w:val="00BA3784"/>
    <w:rsid w:val="00BB3468"/>
    <w:rsid w:val="00D72177"/>
    <w:rsid w:val="00DE5D1E"/>
    <w:rsid w:val="00F650D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F5CB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0C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2025-01-07T13:44:24+00:00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A5D47C-D9C6-499E-9359-81CF91844D52}">
  <ds:schemaRefs>
    <ds:schemaRef ds:uri="http://schemas.microsoft.com/sharepoint/v3/contenttype/forms"/>
  </ds:schemaRefs>
</ds:datastoreItem>
</file>

<file path=customXml/itemProps2.xml><?xml version="1.0" encoding="utf-8"?>
<ds:datastoreItem xmlns:ds="http://schemas.openxmlformats.org/officeDocument/2006/customXml" ds:itemID="{14DFC919-DEF2-4D93-B3A2-2D836A1CAF8D}">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3.xml><?xml version="1.0" encoding="utf-8"?>
<ds:datastoreItem xmlns:ds="http://schemas.openxmlformats.org/officeDocument/2006/customXml" ds:itemID="{ED435862-5A31-414C-B5A9-EEECE257E4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3465</Words>
  <Characters>19751</Characters>
  <Application>Microsoft Office Word</Application>
  <DocSecurity>0</DocSecurity>
  <Lines>164</Lines>
  <Paragraphs>46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CEDAW/C/GEO/FCO/6</vt:lpstr>
      <vt:lpstr/>
      <vt:lpstr/>
    </vt:vector>
  </TitlesOfParts>
  <Company>DCM</Company>
  <LinksUpToDate>false</LinksUpToDate>
  <CharactersWithSpaces>23170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CEDAW/C/GEO/FCO/6</dc:title>
  <dc:creator>Gloria</dc:creator>
  <cp:lastModifiedBy>Jamila Devi Seerathun</cp:lastModifiedBy>
  <cp:revision>5</cp:revision>
  <cp:lastPrinted>2017-04-21T12:16:00Z</cp:lastPrinted>
  <dcterms:created xsi:type="dcterms:W3CDTF">2025-01-07T13:44:00Z</dcterms:created>
  <dcterms:modified xsi:type="dcterms:W3CDTF">2025-01-07T14:00:00Z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unt">
    <vt:lpwstr>Georgia</vt:lpwstr>
  </property>
  <property fmtid="{D5CDD505-2E9C-101B-9397-08002B2CF9AE}" pid="8" name="countw">
    <vt:lpwstr>Georgia</vt:lpwstr>
  </property>
  <property fmtid="{D5CDD505-2E9C-101B-9397-08002B2CF9AE}" pid="9" name="countwd">
    <vt:lpwstr>Georgia</vt:lpwstr>
  </property>
  <property fmtid="{D5CDD505-2E9C-101B-9397-08002B2CF9AE}" pid="10" name="date">
    <vt:lpwstr>8 January 2025</vt:lpwstr>
  </property>
  <property fmtid="{D5CDD505-2E9C-101B-9397-08002B2CF9AE}" pid="11" name="Date-Generated">
    <vt:filetime>2025-01-07T13:23:44Z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Nmeet">
    <vt:lpwstr>Number</vt:lpwstr>
  </property>
  <property fmtid="{D5CDD505-2E9C-101B-9397-08002B2CF9AE}" pid="18" name="olang">
    <vt:lpwstr>English</vt:lpwstr>
  </property>
  <property fmtid="{D5CDD505-2E9C-101B-9397-08002B2CF9AE}" pid="19" name="Order">
    <vt:r8>160000</vt:r8>
  </property>
  <property fmtid="{D5CDD505-2E9C-101B-9397-08002B2CF9AE}" pid="20" name="Org">
    <vt:lpwstr>OHCHR</vt:lpwstr>
  </property>
  <property fmtid="{D5CDD505-2E9C-101B-9397-08002B2CF9AE}" pid="21" name="prep">
    <vt:lpwstr>sixth periodic report of Georgia</vt:lpwstr>
  </property>
  <property fmtid="{D5CDD505-2E9C-101B-9397-08002B2CF9AE}" pid="22" name="preps">
    <vt:lpwstr>sixth periodic report of Georgia</vt:lpwstr>
  </property>
  <property fmtid="{D5CDD505-2E9C-101B-9397-08002B2CF9AE}" pid="23" name="prepw">
    <vt:lpwstr>sixth periodic report</vt:lpwstr>
  </property>
  <property fmtid="{D5CDD505-2E9C-101B-9397-08002B2CF9AE}" pid="24" name="prepwc">
    <vt:lpwstr>Sixth periodic report </vt:lpwstr>
  </property>
  <property fmtid="{D5CDD505-2E9C-101B-9397-08002B2CF9AE}" pid="25" name="prepws">
    <vt:lpwstr>sixth periodic report</vt:lpwstr>
  </property>
  <property fmtid="{D5CDD505-2E9C-101B-9397-08002B2CF9AE}" pid="26" name="sdate">
    <vt:lpwstr>[Start-End Dates]</vt:lpwstr>
  </property>
  <property fmtid="{D5CDD505-2E9C-101B-9397-08002B2CF9AE}" pid="27" name="sloca">
    <vt:lpwstr>[Location]</vt:lpwstr>
  </property>
  <property fmtid="{D5CDD505-2E9C-101B-9397-08002B2CF9AE}" pid="28" name="snum">
    <vt:lpwstr>[NUMBER]</vt:lpwstr>
  </property>
  <property fmtid="{D5CDD505-2E9C-101B-9397-08002B2CF9AE}" pid="29" name="stitle">
    <vt:lpwstr>[Title]</vt:lpwstr>
  </property>
  <property fmtid="{D5CDD505-2E9C-101B-9397-08002B2CF9AE}" pid="30" name="sym1">
    <vt:lpwstr>C/GEO/FCO/6</vt:lpwstr>
  </property>
  <property fmtid="{D5CDD505-2E9C-101B-9397-08002B2CF9AE}" pid="31" name="symh">
    <vt:lpwstr>CEDAW/C/GEO/FCO/6</vt:lpwstr>
  </property>
  <property fmtid="{D5CDD505-2E9C-101B-9397-08002B2CF9AE}" pid="32" name="Title">
    <vt:lpwstr>CEDAW/C/GEO/FCO/6</vt:lpwstr>
  </property>
  <property fmtid="{D5CDD505-2E9C-101B-9397-08002B2CF9AE}" pid="33" name="tlang">
    <vt:lpwstr/>
  </property>
  <property fmtid="{D5CDD505-2E9C-101B-9397-08002B2CF9AE}" pid="34" name="virs">
    <vt:lpwstr>English, French and Spanish only</vt:lpwstr>
  </property>
  <property fmtid="{D5CDD505-2E9C-101B-9397-08002B2CF9AE}" pid="35" name="ContentTypeId">
    <vt:lpwstr>0x010100A3CFA62B47352B44BFD11BEB9CD9FD5A</vt:lpwstr>
  </property>
  <property fmtid="{D5CDD505-2E9C-101B-9397-08002B2CF9AE}" pid="36" name="MediaServiceImageTags">
    <vt:lpwstr/>
  </property>
</Properties>
</file>