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7C85A" w14:textId="3D392B81" w:rsidR="00C05D9B" w:rsidRPr="004A4E9F" w:rsidRDefault="00C923A3" w:rsidP="00C923A3">
      <w:pPr>
        <w:tabs>
          <w:tab w:val="left" w:pos="1410"/>
        </w:tabs>
        <w:rPr>
          <w:color w:val="auto"/>
          <w:sz w:val="24"/>
          <w:szCs w:val="24"/>
        </w:rPr>
      </w:pPr>
      <w:r w:rsidRPr="004A4E9F">
        <w:rPr>
          <w:noProof/>
          <w:sz w:val="24"/>
          <w:szCs w:val="24"/>
        </w:rPr>
        <w:drawing>
          <wp:anchor distT="0" distB="0" distL="114300" distR="114300" simplePos="0" relativeHeight="251657216" behindDoc="0" locked="0" layoutInCell="1" allowOverlap="1" wp14:anchorId="0ADF30D2" wp14:editId="57FB7874">
            <wp:simplePos x="0" y="0"/>
            <wp:positionH relativeFrom="column">
              <wp:posOffset>1665605</wp:posOffset>
            </wp:positionH>
            <wp:positionV relativeFrom="paragraph">
              <wp:posOffset>-684530</wp:posOffset>
            </wp:positionV>
            <wp:extent cx="1209136" cy="1127687"/>
            <wp:effectExtent l="0" t="0" r="0" b="0"/>
            <wp:wrapNone/>
            <wp:docPr id="10" name="Picture 10" descr="A logo with a hexagon and a red hex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logo with a hexagon and a red hexag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9136" cy="11276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2C66">
        <w:rPr>
          <w:noProof/>
        </w:rPr>
        <w:drawing>
          <wp:anchor distT="0" distB="0" distL="114300" distR="114300" simplePos="0" relativeHeight="251661312" behindDoc="0" locked="0" layoutInCell="1" allowOverlap="1" wp14:anchorId="2BD9DE71" wp14:editId="176463A0">
            <wp:simplePos x="0" y="0"/>
            <wp:positionH relativeFrom="column">
              <wp:posOffset>-24765</wp:posOffset>
            </wp:positionH>
            <wp:positionV relativeFrom="paragraph">
              <wp:posOffset>-544830</wp:posOffset>
            </wp:positionV>
            <wp:extent cx="1586865" cy="986155"/>
            <wp:effectExtent l="0" t="0" r="0" b="4445"/>
            <wp:wrapNone/>
            <wp:docPr id="11" name="Picture 11"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sign with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86865" cy="9861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auto"/>
          <w:sz w:val="24"/>
          <w:szCs w:val="24"/>
        </w:rPr>
        <w:tab/>
      </w:r>
    </w:p>
    <w:p w14:paraId="65FE03C7" w14:textId="77777777" w:rsidR="005403E3" w:rsidRPr="004A4E9F" w:rsidRDefault="005403E3" w:rsidP="00626C39">
      <w:pPr>
        <w:rPr>
          <w:color w:val="auto"/>
          <w:sz w:val="24"/>
          <w:szCs w:val="24"/>
        </w:rPr>
      </w:pPr>
    </w:p>
    <w:p w14:paraId="5CE3D663" w14:textId="77777777" w:rsidR="005403E3" w:rsidRPr="004A4E9F" w:rsidRDefault="005403E3" w:rsidP="00626C39">
      <w:pPr>
        <w:rPr>
          <w:color w:val="auto"/>
          <w:sz w:val="24"/>
          <w:szCs w:val="24"/>
        </w:rPr>
      </w:pPr>
    </w:p>
    <w:p w14:paraId="2BA47FCA" w14:textId="46DCE997" w:rsidR="00266AA3" w:rsidRPr="004A4E9F" w:rsidRDefault="00F30109" w:rsidP="004B1E4E">
      <w:pPr>
        <w:jc w:val="center"/>
        <w:rPr>
          <w:b/>
          <w:sz w:val="24"/>
          <w:szCs w:val="24"/>
        </w:rPr>
      </w:pPr>
      <w:r w:rsidRPr="004A4E9F">
        <w:rPr>
          <w:b/>
          <w:sz w:val="24"/>
          <w:szCs w:val="24"/>
        </w:rPr>
        <w:t>Iran</w:t>
      </w:r>
      <w:r w:rsidR="004B1E4E" w:rsidRPr="004A4E9F">
        <w:rPr>
          <w:b/>
          <w:sz w:val="24"/>
          <w:szCs w:val="24"/>
        </w:rPr>
        <w:t xml:space="preserve">’s Compliance with </w:t>
      </w:r>
      <w:r w:rsidRPr="004A4E9F">
        <w:rPr>
          <w:b/>
          <w:sz w:val="24"/>
          <w:szCs w:val="24"/>
        </w:rPr>
        <w:t>International Convention on the Elimination of All Forms of Racial Discrimination</w:t>
      </w:r>
    </w:p>
    <w:p w14:paraId="60C72A78" w14:textId="79B2125E" w:rsidR="004B1E4E" w:rsidRPr="004A4E9F" w:rsidRDefault="00266AA3" w:rsidP="004B1E4E">
      <w:pPr>
        <w:jc w:val="center"/>
        <w:rPr>
          <w:b/>
          <w:sz w:val="24"/>
          <w:szCs w:val="24"/>
        </w:rPr>
      </w:pPr>
      <w:r w:rsidRPr="004A4E9F">
        <w:rPr>
          <w:b/>
          <w:sz w:val="24"/>
          <w:szCs w:val="24"/>
        </w:rPr>
        <w:t xml:space="preserve">Suggested List of </w:t>
      </w:r>
      <w:r w:rsidR="00B57596" w:rsidRPr="004A4E9F">
        <w:rPr>
          <w:b/>
          <w:sz w:val="24"/>
          <w:szCs w:val="24"/>
        </w:rPr>
        <w:t xml:space="preserve">Themes </w:t>
      </w:r>
      <w:r w:rsidRPr="004A4E9F">
        <w:rPr>
          <w:b/>
          <w:sz w:val="24"/>
          <w:szCs w:val="24"/>
        </w:rPr>
        <w:t xml:space="preserve">Relating to </w:t>
      </w:r>
      <w:r w:rsidR="00C705A4" w:rsidRPr="004A4E9F">
        <w:rPr>
          <w:b/>
          <w:sz w:val="24"/>
          <w:szCs w:val="24"/>
        </w:rPr>
        <w:t>the Death Penalty</w:t>
      </w:r>
    </w:p>
    <w:p w14:paraId="53B51F60" w14:textId="77777777" w:rsidR="004B1E4E" w:rsidRPr="004A4E9F" w:rsidRDefault="004B1E4E" w:rsidP="004B1E4E">
      <w:pPr>
        <w:jc w:val="center"/>
        <w:rPr>
          <w:sz w:val="24"/>
          <w:szCs w:val="24"/>
        </w:rPr>
      </w:pPr>
    </w:p>
    <w:p w14:paraId="66818149" w14:textId="77777777" w:rsidR="004B1E4E" w:rsidRPr="004A4E9F" w:rsidRDefault="004B1E4E" w:rsidP="004B1E4E">
      <w:pPr>
        <w:jc w:val="center"/>
        <w:rPr>
          <w:b/>
          <w:sz w:val="24"/>
          <w:szCs w:val="24"/>
        </w:rPr>
      </w:pPr>
      <w:r w:rsidRPr="004A4E9F">
        <w:rPr>
          <w:b/>
          <w:sz w:val="24"/>
          <w:szCs w:val="24"/>
        </w:rPr>
        <w:t xml:space="preserve">Submitted by </w:t>
      </w:r>
      <w:r w:rsidR="00AA7FCB" w:rsidRPr="004A4E9F">
        <w:rPr>
          <w:b/>
          <w:sz w:val="24"/>
          <w:szCs w:val="24"/>
        </w:rPr>
        <w:t>T</w:t>
      </w:r>
      <w:r w:rsidRPr="004A4E9F">
        <w:rPr>
          <w:b/>
          <w:sz w:val="24"/>
          <w:szCs w:val="24"/>
        </w:rPr>
        <w:t>he Advocates for Human Rights</w:t>
      </w:r>
    </w:p>
    <w:p w14:paraId="1149BE71" w14:textId="77777777" w:rsidR="004B1E4E" w:rsidRDefault="004B1E4E" w:rsidP="004B1E4E">
      <w:pPr>
        <w:jc w:val="center"/>
        <w:rPr>
          <w:sz w:val="24"/>
          <w:szCs w:val="24"/>
        </w:rPr>
      </w:pPr>
      <w:r w:rsidRPr="004A4E9F">
        <w:rPr>
          <w:sz w:val="24"/>
          <w:szCs w:val="24"/>
        </w:rPr>
        <w:t>a non-governmental organization in special consultative status with ECOSOC</w:t>
      </w:r>
      <w:r w:rsidR="00624A10" w:rsidRPr="004A4E9F">
        <w:rPr>
          <w:sz w:val="24"/>
          <w:szCs w:val="24"/>
        </w:rPr>
        <w:t xml:space="preserve"> since 1996</w:t>
      </w:r>
    </w:p>
    <w:p w14:paraId="367859C4" w14:textId="0DD03FDD" w:rsidR="003334BC" w:rsidRPr="004A4E9F" w:rsidRDefault="003334BC" w:rsidP="004B1E4E">
      <w:pPr>
        <w:jc w:val="center"/>
        <w:rPr>
          <w:b/>
          <w:bCs/>
          <w:sz w:val="24"/>
          <w:szCs w:val="24"/>
        </w:rPr>
      </w:pPr>
      <w:r w:rsidRPr="004A4E9F">
        <w:rPr>
          <w:b/>
          <w:bCs/>
          <w:sz w:val="24"/>
          <w:szCs w:val="24"/>
        </w:rPr>
        <w:t>Iran Human Rights</w:t>
      </w:r>
    </w:p>
    <w:p w14:paraId="6282AFDC" w14:textId="451D927D" w:rsidR="003334BC" w:rsidRDefault="004170AB" w:rsidP="004B1E4E">
      <w:pPr>
        <w:jc w:val="center"/>
        <w:rPr>
          <w:sz w:val="24"/>
          <w:szCs w:val="24"/>
        </w:rPr>
      </w:pPr>
      <w:r>
        <w:rPr>
          <w:b/>
          <w:bCs/>
          <w:sz w:val="24"/>
          <w:szCs w:val="24"/>
        </w:rPr>
        <w:t>The World Coalition Against the Death Penalty</w:t>
      </w:r>
    </w:p>
    <w:p w14:paraId="2D81027C" w14:textId="159F7BE3" w:rsidR="004170AB" w:rsidRDefault="004170AB" w:rsidP="004B1E4E">
      <w:pPr>
        <w:jc w:val="center"/>
        <w:rPr>
          <w:sz w:val="24"/>
          <w:szCs w:val="24"/>
        </w:rPr>
      </w:pPr>
      <w:r>
        <w:rPr>
          <w:sz w:val="24"/>
          <w:szCs w:val="24"/>
        </w:rPr>
        <w:t>and</w:t>
      </w:r>
    </w:p>
    <w:p w14:paraId="69D260C5" w14:textId="5F2E2D8D" w:rsidR="004170AB" w:rsidRDefault="007E576A" w:rsidP="004B1E4E">
      <w:pPr>
        <w:jc w:val="center"/>
        <w:rPr>
          <w:b/>
          <w:bCs/>
          <w:sz w:val="24"/>
          <w:szCs w:val="24"/>
        </w:rPr>
      </w:pPr>
      <w:r>
        <w:rPr>
          <w:b/>
          <w:bCs/>
          <w:sz w:val="24"/>
          <w:szCs w:val="24"/>
        </w:rPr>
        <w:t>ECPM (Together Against the Death Penalty)</w:t>
      </w:r>
    </w:p>
    <w:p w14:paraId="0D3F7539" w14:textId="1E133958" w:rsidR="003B6212" w:rsidRPr="003B6212" w:rsidRDefault="003B6212" w:rsidP="004B1E4E">
      <w:pPr>
        <w:jc w:val="center"/>
        <w:rPr>
          <w:sz w:val="24"/>
          <w:szCs w:val="24"/>
        </w:rPr>
      </w:pPr>
      <w:r>
        <w:rPr>
          <w:sz w:val="24"/>
          <w:szCs w:val="24"/>
        </w:rPr>
        <w:t>for the</w:t>
      </w:r>
    </w:p>
    <w:p w14:paraId="1F93466F" w14:textId="67D45688" w:rsidR="004B1E4E" w:rsidRPr="004A4E9F" w:rsidRDefault="00C705A4" w:rsidP="004B1E4E">
      <w:pPr>
        <w:jc w:val="center"/>
        <w:rPr>
          <w:b/>
          <w:sz w:val="24"/>
          <w:szCs w:val="24"/>
        </w:rPr>
      </w:pPr>
      <w:r w:rsidRPr="004A4E9F">
        <w:rPr>
          <w:b/>
          <w:sz w:val="24"/>
          <w:szCs w:val="24"/>
        </w:rPr>
        <w:t>113th</w:t>
      </w:r>
      <w:r w:rsidR="004B1E4E" w:rsidRPr="004A4E9F">
        <w:rPr>
          <w:b/>
          <w:sz w:val="24"/>
          <w:szCs w:val="24"/>
        </w:rPr>
        <w:t xml:space="preserve"> Session of the </w:t>
      </w:r>
      <w:r w:rsidRPr="004A4E9F">
        <w:rPr>
          <w:b/>
          <w:sz w:val="24"/>
          <w:szCs w:val="24"/>
        </w:rPr>
        <w:t>Committee on the Elimination of Racial Discrimination</w:t>
      </w:r>
    </w:p>
    <w:p w14:paraId="7001DED9" w14:textId="46171707" w:rsidR="004B1E4E" w:rsidRPr="004A4E9F" w:rsidRDefault="00B57596" w:rsidP="004B1E4E">
      <w:pPr>
        <w:jc w:val="center"/>
        <w:rPr>
          <w:b/>
          <w:sz w:val="24"/>
          <w:szCs w:val="24"/>
        </w:rPr>
      </w:pPr>
      <w:r w:rsidRPr="004A4E9F">
        <w:rPr>
          <w:b/>
          <w:sz w:val="24"/>
          <w:szCs w:val="24"/>
        </w:rPr>
        <w:t>5</w:t>
      </w:r>
      <w:r w:rsidR="004B1E4E" w:rsidRPr="004A4E9F">
        <w:rPr>
          <w:b/>
          <w:sz w:val="24"/>
          <w:szCs w:val="24"/>
        </w:rPr>
        <w:t>–</w:t>
      </w:r>
      <w:r w:rsidRPr="004A4E9F">
        <w:rPr>
          <w:b/>
          <w:sz w:val="24"/>
          <w:szCs w:val="24"/>
        </w:rPr>
        <w:t>23 August 2024</w:t>
      </w:r>
    </w:p>
    <w:p w14:paraId="12CF1276" w14:textId="77777777" w:rsidR="001565F9" w:rsidRPr="004A4E9F" w:rsidRDefault="001565F9" w:rsidP="005132BB">
      <w:pPr>
        <w:rPr>
          <w:sz w:val="24"/>
          <w:szCs w:val="24"/>
          <w:lang w:val="es-ES"/>
        </w:rPr>
      </w:pPr>
    </w:p>
    <w:p w14:paraId="2D03F470" w14:textId="26AD4252" w:rsidR="005132BB" w:rsidRPr="004A4E9F" w:rsidRDefault="000C380B" w:rsidP="000C380B">
      <w:pPr>
        <w:jc w:val="center"/>
        <w:rPr>
          <w:b/>
          <w:color w:val="auto"/>
          <w:sz w:val="24"/>
          <w:szCs w:val="24"/>
        </w:rPr>
      </w:pPr>
      <w:r w:rsidRPr="004A4E9F">
        <w:rPr>
          <w:b/>
          <w:color w:val="auto"/>
          <w:sz w:val="24"/>
          <w:szCs w:val="24"/>
        </w:rPr>
        <w:t xml:space="preserve">Submitted </w:t>
      </w:r>
      <w:r w:rsidR="00C705A4" w:rsidRPr="004A4E9F">
        <w:rPr>
          <w:b/>
          <w:color w:val="auto"/>
          <w:sz w:val="24"/>
          <w:szCs w:val="24"/>
        </w:rPr>
        <w:t>5 May 2024</w:t>
      </w:r>
      <w:r w:rsidR="00A76AD1" w:rsidRPr="00A76AD1">
        <w:rPr>
          <w:rStyle w:val="FootnoteReference"/>
          <w:bCs/>
          <w:color w:val="auto"/>
          <w:sz w:val="24"/>
          <w:szCs w:val="24"/>
        </w:rPr>
        <w:footnoteReference w:customMarkFollows="1" w:id="2"/>
        <w:sym w:font="Symbol" w:char="F02A"/>
      </w:r>
    </w:p>
    <w:p w14:paraId="0BC52FAD" w14:textId="77777777" w:rsidR="000C380B" w:rsidRPr="004A4E9F" w:rsidRDefault="000C380B" w:rsidP="00596B08">
      <w:pPr>
        <w:jc w:val="both"/>
        <w:rPr>
          <w:color w:val="auto"/>
          <w:sz w:val="24"/>
          <w:szCs w:val="24"/>
        </w:rPr>
      </w:pPr>
    </w:p>
    <w:p w14:paraId="713B6190" w14:textId="77777777" w:rsidR="003E7E28" w:rsidRPr="004A4E9F" w:rsidRDefault="004B1E4E" w:rsidP="004170AB">
      <w:pPr>
        <w:spacing w:after="240"/>
        <w:jc w:val="both"/>
        <w:rPr>
          <w:sz w:val="24"/>
          <w:szCs w:val="24"/>
        </w:rPr>
      </w:pPr>
      <w:r w:rsidRPr="004A4E9F">
        <w:rPr>
          <w:b/>
          <w:sz w:val="24"/>
          <w:szCs w:val="24"/>
        </w:rPr>
        <w:t xml:space="preserve">The Advocates for Human Rights </w:t>
      </w:r>
      <w:r w:rsidRPr="004A4E9F">
        <w:rPr>
          <w:sz w:val="24"/>
          <w:szCs w:val="24"/>
        </w:rPr>
        <w:t>(The Advocates) is a volunteer-based non</w:t>
      </w:r>
      <w:r w:rsidR="00266AA3" w:rsidRPr="004A4E9F">
        <w:rPr>
          <w:sz w:val="24"/>
          <w:szCs w:val="24"/>
        </w:rPr>
        <w:t>-</w:t>
      </w:r>
      <w:r w:rsidRPr="004A4E9F">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3E7E28" w:rsidRPr="004A4E9F">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48C3B0A" w14:textId="5CE573C2" w:rsidR="00B65BF7" w:rsidRDefault="00B65BF7" w:rsidP="004170AB">
      <w:pPr>
        <w:spacing w:after="240"/>
        <w:jc w:val="both"/>
        <w:rPr>
          <w:sz w:val="24"/>
          <w:szCs w:val="24"/>
        </w:rPr>
      </w:pPr>
      <w:r w:rsidRPr="004A4E9F">
        <w:rPr>
          <w:b/>
          <w:bCs/>
          <w:sz w:val="24"/>
          <w:szCs w:val="24"/>
        </w:rPr>
        <w:t>Iran Human Rights (IHR</w:t>
      </w:r>
      <w:r w:rsidRPr="004A4E9F">
        <w:rPr>
          <w:b/>
          <w:bCs/>
          <w:sz w:val="24"/>
          <w:szCs w:val="24"/>
          <w:lang w:val="en-GB"/>
        </w:rPr>
        <w:t>NGO</w:t>
      </w:r>
      <w:r w:rsidRPr="004A4E9F">
        <w:rPr>
          <w:b/>
          <w:bCs/>
          <w:sz w:val="24"/>
          <w:szCs w:val="24"/>
        </w:rPr>
        <w:t xml:space="preserve">) </w:t>
      </w:r>
      <w:r w:rsidRPr="004A4E9F">
        <w:rPr>
          <w:sz w:val="24"/>
          <w:szCs w:val="24"/>
        </w:rPr>
        <w:t xml:space="preserve">is a non-profit NGO with its base in Oslo, Norway. IHRNGO has active and supporting members in Iran, North </w:t>
      </w:r>
      <w:proofErr w:type="gramStart"/>
      <w:r w:rsidRPr="004A4E9F">
        <w:rPr>
          <w:sz w:val="24"/>
          <w:szCs w:val="24"/>
        </w:rPr>
        <w:t>America</w:t>
      </w:r>
      <w:proofErr w:type="gramEnd"/>
      <w:r w:rsidRPr="004A4E9F">
        <w:rPr>
          <w:sz w:val="24"/>
          <w:szCs w:val="24"/>
        </w:rPr>
        <w:t xml:space="preserve"> and several European countries. IHRNGO is committed to promote human rights in Iran, through reporting, </w:t>
      </w:r>
      <w:proofErr w:type="gramStart"/>
      <w:r w:rsidRPr="004A4E9F">
        <w:rPr>
          <w:sz w:val="24"/>
          <w:szCs w:val="24"/>
        </w:rPr>
        <w:t>monitoring</w:t>
      </w:r>
      <w:proofErr w:type="gramEnd"/>
      <w:r w:rsidRPr="004A4E9F">
        <w:rPr>
          <w:sz w:val="24"/>
          <w:szCs w:val="24"/>
        </w:rPr>
        <w:t xml:space="preserve"> and advocacy. Reporting about the death penalty in Iran has been the </w:t>
      </w:r>
      <w:proofErr w:type="gramStart"/>
      <w:r w:rsidRPr="004A4E9F">
        <w:rPr>
          <w:sz w:val="24"/>
          <w:szCs w:val="24"/>
        </w:rPr>
        <w:t>main focus</w:t>
      </w:r>
      <w:proofErr w:type="gramEnd"/>
      <w:r w:rsidRPr="004A4E9F">
        <w:rPr>
          <w:sz w:val="24"/>
          <w:szCs w:val="24"/>
        </w:rPr>
        <w:t xml:space="preserve"> of IHRNGO in the past 10 years. Because of its sources </w:t>
      </w:r>
      <w:r w:rsidRPr="004A4E9F">
        <w:rPr>
          <w:bCs/>
          <w:sz w:val="24"/>
          <w:szCs w:val="24"/>
        </w:rPr>
        <w:t>inside</w:t>
      </w:r>
      <w:r w:rsidRPr="004A4E9F">
        <w:rPr>
          <w:sz w:val="24"/>
          <w:szCs w:val="24"/>
        </w:rPr>
        <w:t xml:space="preserve"> Iran, IHRNGO </w:t>
      </w:r>
      <w:proofErr w:type="gramStart"/>
      <w:r w:rsidRPr="004A4E9F">
        <w:rPr>
          <w:sz w:val="24"/>
          <w:szCs w:val="24"/>
        </w:rPr>
        <w:t>is able to</w:t>
      </w:r>
      <w:proofErr w:type="gramEnd"/>
      <w:r w:rsidRPr="004A4E9F">
        <w:rPr>
          <w:sz w:val="24"/>
          <w:szCs w:val="24"/>
        </w:rPr>
        <w:t xml:space="preserve"> produce accurate reports about the death penalty in Iran. Besides the death penalty, promoting due process and rule of law, and defending the human rights defenders constitute the core activities of IHRNGO. IHRNGO is a member of the Steering Committee of the World Coalition Against the Death Penalty and a member of Impact Iran.</w:t>
      </w:r>
    </w:p>
    <w:p w14:paraId="61AFB646" w14:textId="77777777" w:rsidR="004170AB" w:rsidRDefault="004170AB" w:rsidP="004170AB">
      <w:pPr>
        <w:spacing w:after="240"/>
        <w:jc w:val="both"/>
        <w:rPr>
          <w:sz w:val="24"/>
          <w:szCs w:val="24"/>
        </w:rPr>
      </w:pPr>
      <w:r w:rsidRPr="004A4E9F">
        <w:rPr>
          <w:b/>
          <w:bCs/>
          <w:sz w:val="24"/>
          <w:szCs w:val="24"/>
        </w:rPr>
        <w:t>The World Coalition Against the Death</w:t>
      </w:r>
      <w:r w:rsidRPr="004A4E9F">
        <w:rPr>
          <w:sz w:val="24"/>
          <w:szCs w:val="24"/>
        </w:rPr>
        <w:t xml:space="preserve"> </w:t>
      </w:r>
      <w:r w:rsidRPr="004A4E9F">
        <w:rPr>
          <w:b/>
          <w:bCs/>
          <w:sz w:val="24"/>
          <w:szCs w:val="24"/>
        </w:rPr>
        <w:t>Penalty</w:t>
      </w:r>
      <w:r w:rsidRPr="004A4E9F">
        <w:rPr>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w:t>
      </w:r>
      <w:r w:rsidRPr="004A4E9F">
        <w:rPr>
          <w:sz w:val="24"/>
          <w:szCs w:val="24"/>
        </w:rPr>
        <w:lastRenderedPageBreak/>
        <w:t>and executions in those countries where the death penalty is in force. In some countries, it is seeking to obtain a reduction in the use of capital punishment as a first step towards abolition.</w:t>
      </w:r>
    </w:p>
    <w:p w14:paraId="0DBE9840" w14:textId="2DA1F1AF" w:rsidR="007E576A" w:rsidRPr="004A4E9F" w:rsidRDefault="007E576A" w:rsidP="004170AB">
      <w:pPr>
        <w:spacing w:after="240"/>
        <w:jc w:val="both"/>
        <w:rPr>
          <w:sz w:val="24"/>
          <w:szCs w:val="24"/>
        </w:rPr>
      </w:pPr>
      <w:r w:rsidRPr="007E576A">
        <w:rPr>
          <w:b/>
          <w:bCs/>
          <w:sz w:val="24"/>
          <w:szCs w:val="24"/>
        </w:rPr>
        <w:t>ECPM</w:t>
      </w:r>
      <w:r w:rsidRPr="007E576A">
        <w:rPr>
          <w:sz w:val="24"/>
          <w:szCs w:val="24"/>
        </w:rPr>
        <w:t xml:space="preserve"> (Together Against the Death Penalty) is a French non-governmental </w:t>
      </w:r>
      <w:proofErr w:type="spellStart"/>
      <w:r w:rsidRPr="007E576A">
        <w:rPr>
          <w:sz w:val="24"/>
          <w:szCs w:val="24"/>
        </w:rPr>
        <w:t>organisation</w:t>
      </w:r>
      <w:proofErr w:type="spellEnd"/>
      <w:r w:rsidRPr="007E576A">
        <w:rPr>
          <w:sz w:val="24"/>
          <w:szCs w:val="24"/>
        </w:rPr>
        <w:t xml:space="preserve"> that fights against the death penalty worldwide and in all circumstances by uniting and rallying abolitionist forces across the world. The </w:t>
      </w:r>
      <w:proofErr w:type="spellStart"/>
      <w:r w:rsidRPr="007E576A">
        <w:rPr>
          <w:sz w:val="24"/>
          <w:szCs w:val="24"/>
        </w:rPr>
        <w:t>organisation</w:t>
      </w:r>
      <w:proofErr w:type="spellEnd"/>
      <w:r w:rsidRPr="007E576A">
        <w:rPr>
          <w:sz w:val="24"/>
          <w:szCs w:val="24"/>
        </w:rPr>
        <w:t xml:space="preserve"> advocates with international bodies and encourages universal abolition through education, information, local </w:t>
      </w:r>
      <w:proofErr w:type="gramStart"/>
      <w:r w:rsidRPr="007E576A">
        <w:rPr>
          <w:sz w:val="24"/>
          <w:szCs w:val="24"/>
        </w:rPr>
        <w:t>partnerships</w:t>
      </w:r>
      <w:proofErr w:type="gramEnd"/>
      <w:r w:rsidRPr="007E576A">
        <w:rPr>
          <w:sz w:val="24"/>
          <w:szCs w:val="24"/>
        </w:rPr>
        <w:t xml:space="preserve"> and public awareness campaigns. ECPM is the </w:t>
      </w:r>
      <w:proofErr w:type="spellStart"/>
      <w:r w:rsidRPr="007E576A">
        <w:rPr>
          <w:sz w:val="24"/>
          <w:szCs w:val="24"/>
        </w:rPr>
        <w:t>organiser</w:t>
      </w:r>
      <w:proofErr w:type="spellEnd"/>
      <w:r w:rsidRPr="007E576A">
        <w:rPr>
          <w:sz w:val="24"/>
          <w:szCs w:val="24"/>
        </w:rPr>
        <w:t xml:space="preserve"> of the World Congresses against the death penalty and a founding member of the World Coalition Against the Death Penalty. In 2016, ECPM was granted consultative status with ECOSOC.</w:t>
      </w:r>
    </w:p>
    <w:p w14:paraId="6A1A21AF" w14:textId="77777777" w:rsidR="004170AB" w:rsidRPr="004A4E9F" w:rsidRDefault="004170AB" w:rsidP="003B2B95">
      <w:pPr>
        <w:spacing w:after="120"/>
        <w:jc w:val="both"/>
        <w:rPr>
          <w:sz w:val="24"/>
          <w:szCs w:val="24"/>
        </w:rPr>
      </w:pPr>
    </w:p>
    <w:p w14:paraId="55CC9FCC" w14:textId="77777777" w:rsidR="00AA281D" w:rsidRPr="004A4E9F" w:rsidRDefault="00AA281D" w:rsidP="00596B08">
      <w:pPr>
        <w:jc w:val="both"/>
        <w:rPr>
          <w:sz w:val="24"/>
          <w:szCs w:val="24"/>
        </w:rPr>
      </w:pPr>
    </w:p>
    <w:p w14:paraId="261B29B5" w14:textId="77777777" w:rsidR="004B1E4E" w:rsidRPr="004A4E9F" w:rsidRDefault="004B1E4E" w:rsidP="00626C39">
      <w:pPr>
        <w:rPr>
          <w:b/>
          <w:bCs/>
          <w:color w:val="auto"/>
          <w:sz w:val="24"/>
          <w:szCs w:val="24"/>
        </w:rPr>
      </w:pPr>
    </w:p>
    <w:p w14:paraId="7B1BBB00" w14:textId="77777777" w:rsidR="004B1E4E" w:rsidRPr="004A4E9F" w:rsidRDefault="004B1E4E" w:rsidP="004B1E4E">
      <w:pPr>
        <w:jc w:val="center"/>
        <w:rPr>
          <w:b/>
          <w:caps/>
          <w:color w:val="auto"/>
          <w:sz w:val="24"/>
          <w:szCs w:val="24"/>
        </w:rPr>
      </w:pPr>
      <w:r w:rsidRPr="004A4E9F">
        <w:rPr>
          <w:color w:val="auto"/>
          <w:sz w:val="24"/>
          <w:szCs w:val="24"/>
        </w:rPr>
        <w:br w:type="page"/>
      </w:r>
      <w:r w:rsidRPr="004A4E9F">
        <w:rPr>
          <w:b/>
          <w:caps/>
          <w:color w:val="auto"/>
          <w:sz w:val="24"/>
          <w:szCs w:val="24"/>
        </w:rPr>
        <w:lastRenderedPageBreak/>
        <w:t>Executive Summary</w:t>
      </w:r>
    </w:p>
    <w:p w14:paraId="71E1DC51" w14:textId="77777777" w:rsidR="004B1E4E" w:rsidRPr="004A4E9F" w:rsidRDefault="004B1E4E" w:rsidP="00626C39">
      <w:pPr>
        <w:rPr>
          <w:color w:val="auto"/>
          <w:sz w:val="24"/>
          <w:szCs w:val="24"/>
        </w:rPr>
      </w:pPr>
    </w:p>
    <w:p w14:paraId="00CE103B" w14:textId="23D69230" w:rsidR="004B1E4E" w:rsidRPr="004A4E9F" w:rsidRDefault="00F80BC4" w:rsidP="00F65395">
      <w:pPr>
        <w:numPr>
          <w:ilvl w:val="0"/>
          <w:numId w:val="7"/>
        </w:numPr>
        <w:spacing w:after="120"/>
        <w:ind w:left="360"/>
        <w:jc w:val="both"/>
        <w:rPr>
          <w:color w:val="auto"/>
          <w:sz w:val="24"/>
          <w:szCs w:val="24"/>
        </w:rPr>
      </w:pPr>
      <w:r w:rsidRPr="004A4E9F">
        <w:rPr>
          <w:color w:val="auto"/>
          <w:sz w:val="24"/>
          <w:szCs w:val="24"/>
        </w:rPr>
        <w:t xml:space="preserve">Iran Human Rights (IHRNGO) has confirmed </w:t>
      </w:r>
      <w:r w:rsidR="00042BFC" w:rsidRPr="004A4E9F">
        <w:rPr>
          <w:color w:val="auto"/>
          <w:sz w:val="24"/>
          <w:szCs w:val="24"/>
        </w:rPr>
        <w:t xml:space="preserve">that Iranian authorities have carried out </w:t>
      </w:r>
      <w:r w:rsidRPr="004A4E9F">
        <w:rPr>
          <w:color w:val="auto"/>
          <w:sz w:val="24"/>
          <w:szCs w:val="24"/>
        </w:rPr>
        <w:t xml:space="preserve">at least </w:t>
      </w:r>
      <w:r w:rsidR="00042BFC" w:rsidRPr="004A4E9F">
        <w:rPr>
          <w:color w:val="auto"/>
          <w:sz w:val="24"/>
          <w:szCs w:val="24"/>
        </w:rPr>
        <w:t>7,284 executions between 2011 and 2023.</w:t>
      </w:r>
      <w:r w:rsidR="00042BFC" w:rsidRPr="004A4E9F">
        <w:rPr>
          <w:rStyle w:val="FootnoteReference"/>
          <w:color w:val="auto"/>
          <w:sz w:val="24"/>
          <w:szCs w:val="24"/>
        </w:rPr>
        <w:footnoteReference w:id="3"/>
      </w:r>
      <w:r w:rsidR="00DF5DE8" w:rsidRPr="004A4E9F">
        <w:rPr>
          <w:color w:val="auto"/>
          <w:sz w:val="24"/>
          <w:szCs w:val="24"/>
        </w:rPr>
        <w:t xml:space="preserve"> 2023 marked the second-highest year for executions over that period</w:t>
      </w:r>
      <w:r w:rsidR="000A2EFC" w:rsidRPr="004A4E9F">
        <w:rPr>
          <w:color w:val="auto"/>
          <w:sz w:val="24"/>
          <w:szCs w:val="24"/>
        </w:rPr>
        <w:t>, with 834 confirmed executions.</w:t>
      </w:r>
      <w:r w:rsidR="000A2EFC" w:rsidRPr="004A4E9F">
        <w:rPr>
          <w:rStyle w:val="FootnoteReference"/>
          <w:color w:val="auto"/>
          <w:sz w:val="24"/>
          <w:szCs w:val="24"/>
        </w:rPr>
        <w:footnoteReference w:id="4"/>
      </w:r>
      <w:r w:rsidR="002219C1" w:rsidRPr="004A4E9F">
        <w:rPr>
          <w:color w:val="auto"/>
          <w:sz w:val="24"/>
          <w:szCs w:val="24"/>
        </w:rPr>
        <w:t xml:space="preserve"> </w:t>
      </w:r>
      <w:r w:rsidR="00322428" w:rsidRPr="004A4E9F">
        <w:rPr>
          <w:color w:val="auto"/>
          <w:sz w:val="24"/>
          <w:szCs w:val="24"/>
        </w:rPr>
        <w:t>IHRNGO has documented that “ethnic minorities in Iran are overrepresented in death penalty statistics.”</w:t>
      </w:r>
      <w:r w:rsidR="00322428" w:rsidRPr="004A4E9F">
        <w:rPr>
          <w:rStyle w:val="FootnoteReference"/>
          <w:color w:val="auto"/>
          <w:sz w:val="24"/>
          <w:szCs w:val="24"/>
        </w:rPr>
        <w:footnoteReference w:id="5"/>
      </w:r>
      <w:r w:rsidR="00322428" w:rsidRPr="004A4E9F">
        <w:rPr>
          <w:color w:val="auto"/>
          <w:sz w:val="24"/>
          <w:szCs w:val="24"/>
        </w:rPr>
        <w:t xml:space="preserve"> </w:t>
      </w:r>
    </w:p>
    <w:p w14:paraId="7C516432" w14:textId="156E6907" w:rsidR="008F2F99" w:rsidRPr="004A4E9F" w:rsidRDefault="004A4CB9" w:rsidP="008F2F99">
      <w:pPr>
        <w:spacing w:after="120"/>
        <w:jc w:val="center"/>
        <w:rPr>
          <w:b/>
          <w:color w:val="auto"/>
          <w:sz w:val="24"/>
          <w:szCs w:val="24"/>
        </w:rPr>
      </w:pPr>
      <w:r w:rsidRPr="004A4E9F">
        <w:rPr>
          <w:b/>
          <w:color w:val="auto"/>
          <w:sz w:val="24"/>
          <w:szCs w:val="24"/>
        </w:rPr>
        <w:t>Iran</w:t>
      </w:r>
      <w:r w:rsidR="008F2F99" w:rsidRPr="004A4E9F">
        <w:rPr>
          <w:b/>
          <w:color w:val="auto"/>
          <w:sz w:val="24"/>
          <w:szCs w:val="24"/>
        </w:rPr>
        <w:t xml:space="preserve"> fails to uphold its obligations under the </w:t>
      </w:r>
      <w:r w:rsidRPr="004A4E9F">
        <w:rPr>
          <w:b/>
          <w:color w:val="auto"/>
          <w:sz w:val="24"/>
          <w:szCs w:val="24"/>
        </w:rPr>
        <w:t>Convention on the Elimination of All Forms of Racial Discrimination</w:t>
      </w:r>
    </w:p>
    <w:p w14:paraId="4CC548CC" w14:textId="6AA9651B" w:rsidR="004B1E4E" w:rsidRPr="004A4E9F" w:rsidRDefault="00FC7BD3" w:rsidP="1F12A760">
      <w:pPr>
        <w:keepNext/>
        <w:numPr>
          <w:ilvl w:val="0"/>
          <w:numId w:val="8"/>
        </w:numPr>
        <w:spacing w:before="240" w:after="120"/>
        <w:ind w:left="720" w:hanging="360"/>
        <w:rPr>
          <w:b/>
          <w:bCs/>
          <w:color w:val="auto"/>
          <w:sz w:val="24"/>
          <w:szCs w:val="24"/>
        </w:rPr>
      </w:pPr>
      <w:r w:rsidRPr="004A4E9F">
        <w:rPr>
          <w:b/>
          <w:bCs/>
          <w:color w:val="auto"/>
          <w:sz w:val="24"/>
          <w:szCs w:val="24"/>
        </w:rPr>
        <w:t>Iran disproportionately sentences ethnic minorities to death and executes ethnic minorities.</w:t>
      </w:r>
    </w:p>
    <w:p w14:paraId="7467F950" w14:textId="73C90A1E" w:rsidR="009F2A21" w:rsidRPr="004A4E9F" w:rsidRDefault="00607719" w:rsidP="00974E48">
      <w:pPr>
        <w:numPr>
          <w:ilvl w:val="0"/>
          <w:numId w:val="7"/>
        </w:numPr>
        <w:spacing w:after="120"/>
        <w:ind w:left="360"/>
        <w:jc w:val="both"/>
        <w:rPr>
          <w:color w:val="auto"/>
          <w:sz w:val="24"/>
          <w:szCs w:val="24"/>
        </w:rPr>
      </w:pPr>
      <w:r w:rsidRPr="004A4E9F">
        <w:rPr>
          <w:color w:val="auto"/>
          <w:sz w:val="24"/>
          <w:szCs w:val="24"/>
        </w:rPr>
        <w:t>Official government data on executions do not always disclose</w:t>
      </w:r>
      <w:r w:rsidR="009F2A21" w:rsidRPr="004A4E9F">
        <w:rPr>
          <w:color w:val="auto"/>
          <w:sz w:val="24"/>
          <w:szCs w:val="24"/>
        </w:rPr>
        <w:t xml:space="preserve"> the ethnicity or nationality of the person sentenced to death.</w:t>
      </w:r>
      <w:r w:rsidR="00EB7449" w:rsidRPr="004A4E9F">
        <w:rPr>
          <w:rStyle w:val="FootnoteReference"/>
          <w:color w:val="auto"/>
          <w:sz w:val="24"/>
          <w:szCs w:val="24"/>
        </w:rPr>
        <w:footnoteReference w:id="6"/>
      </w:r>
      <w:r w:rsidR="009F2A21" w:rsidRPr="004A4E9F">
        <w:rPr>
          <w:color w:val="auto"/>
          <w:sz w:val="24"/>
          <w:szCs w:val="24"/>
        </w:rPr>
        <w:t xml:space="preserve"> As the Committee observed in its 2010 Concluding Observations, </w:t>
      </w:r>
      <w:r w:rsidR="00F05AC0" w:rsidRPr="004A4E9F">
        <w:rPr>
          <w:color w:val="auto"/>
          <w:sz w:val="24"/>
          <w:szCs w:val="24"/>
        </w:rPr>
        <w:t xml:space="preserve">Iranian authorities do not </w:t>
      </w:r>
      <w:r w:rsidR="00730E99" w:rsidRPr="004A4E9F">
        <w:rPr>
          <w:color w:val="auto"/>
          <w:sz w:val="24"/>
          <w:szCs w:val="24"/>
        </w:rPr>
        <w:t>maintain</w:t>
      </w:r>
      <w:r w:rsidR="00F05AC0" w:rsidRPr="004A4E9F">
        <w:rPr>
          <w:color w:val="auto"/>
          <w:sz w:val="24"/>
          <w:szCs w:val="24"/>
        </w:rPr>
        <w:t xml:space="preserve"> good data-collection practices </w:t>
      </w:r>
      <w:r w:rsidR="001B25EA" w:rsidRPr="004A4E9F">
        <w:rPr>
          <w:color w:val="auto"/>
          <w:sz w:val="24"/>
          <w:szCs w:val="24"/>
        </w:rPr>
        <w:t>based on self-identification of ethnicity.</w:t>
      </w:r>
      <w:r w:rsidR="001B25EA" w:rsidRPr="004A4E9F">
        <w:rPr>
          <w:rStyle w:val="FootnoteReference"/>
          <w:color w:val="auto"/>
          <w:sz w:val="24"/>
          <w:szCs w:val="24"/>
        </w:rPr>
        <w:footnoteReference w:id="7"/>
      </w:r>
      <w:r w:rsidR="00121859" w:rsidRPr="004A4E9F">
        <w:rPr>
          <w:color w:val="auto"/>
          <w:sz w:val="24"/>
          <w:szCs w:val="24"/>
        </w:rPr>
        <w:t xml:space="preserve"> The 2022 State Party Report reflects hostility toward such data collection</w:t>
      </w:r>
      <w:r w:rsidR="008B5463" w:rsidRPr="004A4E9F">
        <w:rPr>
          <w:color w:val="auto"/>
          <w:sz w:val="24"/>
          <w:szCs w:val="24"/>
        </w:rPr>
        <w:t>.</w:t>
      </w:r>
      <w:r w:rsidR="008B5463" w:rsidRPr="004A4E9F">
        <w:rPr>
          <w:rStyle w:val="FootnoteReference"/>
          <w:color w:val="auto"/>
          <w:sz w:val="24"/>
          <w:szCs w:val="24"/>
        </w:rPr>
        <w:footnoteReference w:id="8"/>
      </w:r>
      <w:r w:rsidR="007957DA" w:rsidRPr="004A4E9F">
        <w:rPr>
          <w:color w:val="auto"/>
          <w:sz w:val="24"/>
          <w:szCs w:val="24"/>
        </w:rPr>
        <w:t xml:space="preserve"> The State Party Report also asserts that the “Legal Certainty Document” enshrines “the equality of all and their right to a fair trial . . . regardless of their gender, race, color, language, religion, political beliefs, and other characteristics.”</w:t>
      </w:r>
      <w:r w:rsidR="007957DA" w:rsidRPr="004A4E9F">
        <w:rPr>
          <w:rStyle w:val="FootnoteReference"/>
          <w:color w:val="auto"/>
          <w:sz w:val="24"/>
          <w:szCs w:val="24"/>
        </w:rPr>
        <w:footnoteReference w:id="9"/>
      </w:r>
    </w:p>
    <w:p w14:paraId="3D396CF5" w14:textId="731C4FD7" w:rsidR="00534E62" w:rsidRPr="004A4E9F" w:rsidRDefault="00913D59" w:rsidP="00974E48">
      <w:pPr>
        <w:numPr>
          <w:ilvl w:val="0"/>
          <w:numId w:val="7"/>
        </w:numPr>
        <w:spacing w:after="120"/>
        <w:ind w:left="360"/>
        <w:jc w:val="both"/>
        <w:rPr>
          <w:color w:val="auto"/>
          <w:sz w:val="24"/>
          <w:szCs w:val="24"/>
        </w:rPr>
      </w:pPr>
      <w:bookmarkStart w:id="0" w:name="_Ref165636164"/>
      <w:r w:rsidRPr="004A4E9F">
        <w:rPr>
          <w:color w:val="auto"/>
          <w:sz w:val="24"/>
          <w:szCs w:val="24"/>
        </w:rPr>
        <w:t>In 2023 alone, members of the Baluch ethnic minority group made up 20% of all recorded executions, while they account for just 2-6% of the country’s overall population.</w:t>
      </w:r>
      <w:r w:rsidRPr="004A4E9F">
        <w:rPr>
          <w:rStyle w:val="FootnoteReference"/>
          <w:color w:val="auto"/>
          <w:sz w:val="24"/>
          <w:szCs w:val="24"/>
        </w:rPr>
        <w:footnoteReference w:id="10"/>
      </w:r>
      <w:r w:rsidR="00525289" w:rsidRPr="004A4E9F">
        <w:rPr>
          <w:color w:val="auto"/>
          <w:sz w:val="24"/>
          <w:szCs w:val="24"/>
        </w:rPr>
        <w:t xml:space="preserve"> </w:t>
      </w:r>
      <w:r w:rsidR="00CA64EA" w:rsidRPr="004A4E9F">
        <w:rPr>
          <w:color w:val="auto"/>
          <w:sz w:val="24"/>
          <w:szCs w:val="24"/>
        </w:rPr>
        <w:t>Executions of members of the Baluch ethnic group also accounted for nearly 30% of all executions for drug-related offenses.</w:t>
      </w:r>
      <w:r w:rsidR="00CA64EA" w:rsidRPr="004A4E9F">
        <w:rPr>
          <w:rStyle w:val="FootnoteReference"/>
          <w:color w:val="auto"/>
          <w:sz w:val="24"/>
          <w:szCs w:val="24"/>
        </w:rPr>
        <w:footnoteReference w:id="11"/>
      </w:r>
      <w:r w:rsidR="00B04CF9" w:rsidRPr="004A4E9F">
        <w:rPr>
          <w:color w:val="auto"/>
          <w:sz w:val="24"/>
          <w:szCs w:val="24"/>
        </w:rPr>
        <w:t xml:space="preserve"> </w:t>
      </w:r>
      <w:r w:rsidR="00BC4EF3">
        <w:rPr>
          <w:color w:val="auto"/>
          <w:sz w:val="24"/>
          <w:szCs w:val="24"/>
        </w:rPr>
        <w:t>Five</w:t>
      </w:r>
      <w:r w:rsidR="00B04CF9" w:rsidRPr="004A4E9F">
        <w:rPr>
          <w:color w:val="auto"/>
          <w:sz w:val="24"/>
          <w:szCs w:val="24"/>
        </w:rPr>
        <w:t xml:space="preserve"> of the 167 </w:t>
      </w:r>
      <w:proofErr w:type="spellStart"/>
      <w:r w:rsidR="00B04CF9" w:rsidRPr="004A4E9F">
        <w:rPr>
          <w:color w:val="auto"/>
          <w:sz w:val="24"/>
          <w:szCs w:val="24"/>
        </w:rPr>
        <w:t>Baluchs</w:t>
      </w:r>
      <w:proofErr w:type="spellEnd"/>
      <w:r w:rsidR="00B04CF9" w:rsidRPr="004A4E9F">
        <w:rPr>
          <w:color w:val="auto"/>
          <w:sz w:val="24"/>
          <w:szCs w:val="24"/>
        </w:rPr>
        <w:t xml:space="preserve"> executed in 2023 were women.</w:t>
      </w:r>
      <w:r w:rsidR="00B04CF9" w:rsidRPr="004A4E9F">
        <w:rPr>
          <w:rStyle w:val="FootnoteReference"/>
          <w:color w:val="auto"/>
          <w:sz w:val="24"/>
          <w:szCs w:val="24"/>
        </w:rPr>
        <w:footnoteReference w:id="12"/>
      </w:r>
      <w:r w:rsidR="00AC09D3" w:rsidRPr="004A4E9F">
        <w:rPr>
          <w:color w:val="auto"/>
          <w:sz w:val="24"/>
          <w:szCs w:val="24"/>
        </w:rPr>
        <w:t xml:space="preserve"> Provinces with large ethnic minority populations—</w:t>
      </w:r>
      <w:proofErr w:type="spellStart"/>
      <w:r w:rsidR="00AC09D3" w:rsidRPr="004A4E9F">
        <w:rPr>
          <w:color w:val="auto"/>
          <w:sz w:val="24"/>
          <w:szCs w:val="24"/>
        </w:rPr>
        <w:t>Sistan</w:t>
      </w:r>
      <w:proofErr w:type="spellEnd"/>
      <w:r w:rsidR="00920AA1" w:rsidRPr="004A4E9F">
        <w:rPr>
          <w:color w:val="auto"/>
          <w:sz w:val="24"/>
          <w:szCs w:val="24"/>
        </w:rPr>
        <w:t xml:space="preserve"> and</w:t>
      </w:r>
      <w:r w:rsidR="00AC09D3" w:rsidRPr="004A4E9F">
        <w:rPr>
          <w:color w:val="auto"/>
          <w:sz w:val="24"/>
          <w:szCs w:val="24"/>
        </w:rPr>
        <w:t xml:space="preserve"> Baluchistan</w:t>
      </w:r>
      <w:r w:rsidR="00AC0B07" w:rsidRPr="004A4E9F">
        <w:rPr>
          <w:color w:val="auto"/>
          <w:sz w:val="24"/>
          <w:szCs w:val="24"/>
        </w:rPr>
        <w:t>, West Azerbaijan, East Azerbaijan, and Kurdistan—account for a disproportionately large number of executions</w:t>
      </w:r>
      <w:r w:rsidR="0005591F" w:rsidRPr="004A4E9F">
        <w:rPr>
          <w:color w:val="auto"/>
          <w:sz w:val="24"/>
          <w:szCs w:val="24"/>
        </w:rPr>
        <w:t xml:space="preserve">, both </w:t>
      </w:r>
      <w:r w:rsidR="0005591F" w:rsidRPr="004A4E9F">
        <w:rPr>
          <w:color w:val="auto"/>
          <w:sz w:val="24"/>
          <w:szCs w:val="24"/>
        </w:rPr>
        <w:lastRenderedPageBreak/>
        <w:t xml:space="preserve">on a </w:t>
      </w:r>
      <w:r w:rsidR="00180FFE" w:rsidRPr="004A4E9F">
        <w:rPr>
          <w:color w:val="auto"/>
          <w:sz w:val="24"/>
          <w:szCs w:val="24"/>
        </w:rPr>
        <w:t xml:space="preserve">raw </w:t>
      </w:r>
      <w:r w:rsidR="0005591F" w:rsidRPr="004A4E9F">
        <w:rPr>
          <w:color w:val="auto"/>
          <w:sz w:val="24"/>
          <w:szCs w:val="24"/>
        </w:rPr>
        <w:t>numerical basis and per capita.</w:t>
      </w:r>
      <w:r w:rsidR="0005591F" w:rsidRPr="004A4E9F">
        <w:rPr>
          <w:rStyle w:val="FootnoteReference"/>
          <w:color w:val="auto"/>
          <w:sz w:val="24"/>
          <w:szCs w:val="24"/>
        </w:rPr>
        <w:footnoteReference w:id="13"/>
      </w:r>
      <w:r w:rsidR="00D97DDD" w:rsidRPr="004A4E9F">
        <w:rPr>
          <w:color w:val="auto"/>
          <w:sz w:val="24"/>
          <w:szCs w:val="24"/>
        </w:rPr>
        <w:t xml:space="preserve"> Moreover, these figures do not account for </w:t>
      </w:r>
      <w:r w:rsidR="00C818AB" w:rsidRPr="004A4E9F">
        <w:rPr>
          <w:color w:val="auto"/>
          <w:sz w:val="24"/>
          <w:szCs w:val="24"/>
        </w:rPr>
        <w:t>executions of ethnic minorities taking place outside those provinces.</w:t>
      </w:r>
      <w:r w:rsidR="00C818AB" w:rsidRPr="004A4E9F">
        <w:rPr>
          <w:rStyle w:val="FootnoteReference"/>
          <w:color w:val="auto"/>
          <w:sz w:val="24"/>
          <w:szCs w:val="24"/>
        </w:rPr>
        <w:footnoteReference w:id="14"/>
      </w:r>
      <w:r w:rsidR="006F55AA" w:rsidRPr="004A4E9F">
        <w:rPr>
          <w:color w:val="auto"/>
          <w:sz w:val="24"/>
          <w:szCs w:val="24"/>
        </w:rPr>
        <w:t xml:space="preserve"> </w:t>
      </w:r>
      <w:r w:rsidR="00C818AB" w:rsidRPr="004A4E9F">
        <w:rPr>
          <w:color w:val="auto"/>
          <w:sz w:val="24"/>
          <w:szCs w:val="24"/>
        </w:rPr>
        <w:t>IHRNGO has documented that executions “of Baluch prisoners are in many cases carried out in prisons outside the Baluchistan region.”</w:t>
      </w:r>
      <w:r w:rsidR="00C818AB" w:rsidRPr="004A4E9F">
        <w:rPr>
          <w:rStyle w:val="FootnoteReference"/>
          <w:color w:val="auto"/>
          <w:sz w:val="24"/>
          <w:szCs w:val="24"/>
        </w:rPr>
        <w:footnoteReference w:id="15"/>
      </w:r>
      <w:r w:rsidR="00E91F9E" w:rsidRPr="004A4E9F">
        <w:rPr>
          <w:color w:val="auto"/>
          <w:sz w:val="24"/>
          <w:szCs w:val="24"/>
        </w:rPr>
        <w:t xml:space="preserve"> And </w:t>
      </w:r>
      <w:r w:rsidR="00B20EC7" w:rsidRPr="004A4E9F">
        <w:rPr>
          <w:color w:val="auto"/>
          <w:sz w:val="24"/>
          <w:szCs w:val="24"/>
        </w:rPr>
        <w:t xml:space="preserve">as mentioned above, </w:t>
      </w:r>
      <w:r w:rsidR="00E91F9E" w:rsidRPr="004A4E9F">
        <w:rPr>
          <w:color w:val="auto"/>
          <w:sz w:val="24"/>
          <w:szCs w:val="24"/>
        </w:rPr>
        <w:t xml:space="preserve">official information about executions does not always include ethnicity, so </w:t>
      </w:r>
      <w:r w:rsidR="001F08CF" w:rsidRPr="004A4E9F">
        <w:rPr>
          <w:color w:val="auto"/>
          <w:sz w:val="24"/>
          <w:szCs w:val="24"/>
        </w:rPr>
        <w:t>executions of ethnic minorities are likely underreported.</w:t>
      </w:r>
      <w:r w:rsidR="001F08CF" w:rsidRPr="004A4E9F">
        <w:rPr>
          <w:rStyle w:val="FootnoteReference"/>
          <w:color w:val="auto"/>
          <w:sz w:val="24"/>
          <w:szCs w:val="24"/>
        </w:rPr>
        <w:footnoteReference w:id="16"/>
      </w:r>
      <w:bookmarkEnd w:id="0"/>
    </w:p>
    <w:p w14:paraId="3AF431E9" w14:textId="5FDF265C" w:rsidR="001E0402" w:rsidRPr="004A4E9F" w:rsidRDefault="001E0402" w:rsidP="00974E48">
      <w:pPr>
        <w:numPr>
          <w:ilvl w:val="0"/>
          <w:numId w:val="7"/>
        </w:numPr>
        <w:spacing w:after="120"/>
        <w:ind w:left="360"/>
        <w:jc w:val="both"/>
        <w:rPr>
          <w:color w:val="auto"/>
          <w:sz w:val="24"/>
          <w:szCs w:val="24"/>
        </w:rPr>
      </w:pPr>
      <w:r w:rsidRPr="004A4E9F">
        <w:rPr>
          <w:color w:val="auto"/>
          <w:sz w:val="24"/>
          <w:szCs w:val="24"/>
        </w:rPr>
        <w:t xml:space="preserve">IHRNGO also reports that </w:t>
      </w:r>
      <w:r w:rsidR="00013CD9" w:rsidRPr="004A4E9F">
        <w:rPr>
          <w:color w:val="auto"/>
          <w:sz w:val="24"/>
          <w:szCs w:val="24"/>
        </w:rPr>
        <w:t xml:space="preserve">provinces with larger populations of ethnic minorities experience “poor socio-economic conditions,” and as a result </w:t>
      </w:r>
      <w:r w:rsidR="009C638D" w:rsidRPr="004A4E9F">
        <w:rPr>
          <w:color w:val="auto"/>
          <w:sz w:val="24"/>
          <w:szCs w:val="24"/>
        </w:rPr>
        <w:t>local courts in those provinces “act more lawlessly and arbitrarily.”</w:t>
      </w:r>
      <w:r w:rsidR="009C638D" w:rsidRPr="004A4E9F">
        <w:rPr>
          <w:rStyle w:val="FootnoteReference"/>
          <w:color w:val="auto"/>
          <w:sz w:val="24"/>
          <w:szCs w:val="24"/>
        </w:rPr>
        <w:footnoteReference w:id="17"/>
      </w:r>
      <w:r w:rsidR="00900583" w:rsidRPr="004A4E9F">
        <w:rPr>
          <w:color w:val="auto"/>
          <w:sz w:val="24"/>
          <w:szCs w:val="24"/>
        </w:rPr>
        <w:t xml:space="preserve"> The Committee in 2010 expressed concern “that language barriers may create an obstacle in access to justice for ethnic minorities in” Iran.</w:t>
      </w:r>
      <w:r w:rsidR="00900583" w:rsidRPr="004A4E9F">
        <w:rPr>
          <w:rStyle w:val="FootnoteReference"/>
          <w:color w:val="auto"/>
          <w:sz w:val="24"/>
          <w:szCs w:val="24"/>
        </w:rPr>
        <w:footnoteReference w:id="18"/>
      </w:r>
      <w:r w:rsidR="00CF1653" w:rsidRPr="004A4E9F">
        <w:rPr>
          <w:color w:val="auto"/>
          <w:sz w:val="24"/>
          <w:szCs w:val="24"/>
        </w:rPr>
        <w:t xml:space="preserve"> These factors undoubtedly intersect, particularly in capital cases, to violate the </w:t>
      </w:r>
      <w:r w:rsidR="005B5FF3" w:rsidRPr="004A4E9F">
        <w:rPr>
          <w:color w:val="auto"/>
          <w:sz w:val="24"/>
          <w:szCs w:val="24"/>
        </w:rPr>
        <w:t xml:space="preserve">due process and </w:t>
      </w:r>
      <w:r w:rsidR="00CF1653" w:rsidRPr="004A4E9F">
        <w:rPr>
          <w:color w:val="auto"/>
          <w:sz w:val="24"/>
          <w:szCs w:val="24"/>
        </w:rPr>
        <w:t>fair trial rights of ethnic minorities</w:t>
      </w:r>
      <w:r w:rsidR="006F2370" w:rsidRPr="004A4E9F">
        <w:rPr>
          <w:color w:val="auto"/>
          <w:sz w:val="24"/>
          <w:szCs w:val="24"/>
        </w:rPr>
        <w:t>, despite the State Party Report’s assertion</w:t>
      </w:r>
      <w:r w:rsidR="005B56D9" w:rsidRPr="004A4E9F">
        <w:rPr>
          <w:color w:val="auto"/>
          <w:sz w:val="24"/>
          <w:szCs w:val="24"/>
        </w:rPr>
        <w:t>s</w:t>
      </w:r>
      <w:r w:rsidR="006F2370" w:rsidRPr="004A4E9F">
        <w:rPr>
          <w:color w:val="auto"/>
          <w:sz w:val="24"/>
          <w:szCs w:val="24"/>
        </w:rPr>
        <w:t xml:space="preserve"> that</w:t>
      </w:r>
      <w:r w:rsidR="005B56D9" w:rsidRPr="004A4E9F">
        <w:rPr>
          <w:color w:val="auto"/>
          <w:sz w:val="24"/>
          <w:szCs w:val="24"/>
        </w:rPr>
        <w:t xml:space="preserve"> “courts and lawyers in all provinces are familiar with the languages </w:t>
      </w:r>
      <w:r w:rsidR="007B0AC8" w:rsidRPr="004A4E9F">
        <w:rPr>
          <w:color w:val="auto"/>
          <w:sz w:val="24"/>
          <w:szCs w:val="24"/>
        </w:rPr>
        <w:t>of the ethnicities,” and</w:t>
      </w:r>
      <w:r w:rsidR="006F2370" w:rsidRPr="004A4E9F">
        <w:rPr>
          <w:color w:val="auto"/>
          <w:sz w:val="24"/>
          <w:szCs w:val="24"/>
        </w:rPr>
        <w:t xml:space="preserve"> </w:t>
      </w:r>
      <w:r w:rsidR="004B6740" w:rsidRPr="004A4E9F">
        <w:rPr>
          <w:color w:val="auto"/>
          <w:sz w:val="24"/>
          <w:szCs w:val="24"/>
        </w:rPr>
        <w:t>“the facts on the ground” dispute the Committee’s observation that “the provinces with an ethnic majority are the poorest.”</w:t>
      </w:r>
      <w:r w:rsidR="004B6740" w:rsidRPr="004A4E9F">
        <w:rPr>
          <w:rStyle w:val="FootnoteReference"/>
          <w:color w:val="auto"/>
          <w:sz w:val="24"/>
          <w:szCs w:val="24"/>
        </w:rPr>
        <w:footnoteReference w:id="19"/>
      </w:r>
    </w:p>
    <w:p w14:paraId="0B7976BB" w14:textId="29BE1B57" w:rsidR="004B1E4E" w:rsidRPr="004A4E9F" w:rsidRDefault="00381A42" w:rsidP="00E114C5">
      <w:pPr>
        <w:keepNext/>
        <w:numPr>
          <w:ilvl w:val="0"/>
          <w:numId w:val="8"/>
        </w:numPr>
        <w:spacing w:before="240" w:after="120"/>
        <w:ind w:left="720" w:hanging="360"/>
        <w:rPr>
          <w:b/>
          <w:color w:val="auto"/>
          <w:sz w:val="24"/>
          <w:szCs w:val="24"/>
        </w:rPr>
      </w:pPr>
      <w:r w:rsidRPr="004A4E9F">
        <w:rPr>
          <w:b/>
          <w:color w:val="auto"/>
          <w:sz w:val="24"/>
          <w:szCs w:val="24"/>
        </w:rPr>
        <w:t>Iran targets ethnic minorities for political executions</w:t>
      </w:r>
      <w:r w:rsidR="009D49D6">
        <w:rPr>
          <w:b/>
          <w:color w:val="auto"/>
          <w:sz w:val="24"/>
          <w:szCs w:val="24"/>
        </w:rPr>
        <w:t>.</w:t>
      </w:r>
    </w:p>
    <w:p w14:paraId="3F68EF17" w14:textId="245C63F3" w:rsidR="0065261F" w:rsidRPr="004A4E9F" w:rsidRDefault="0065261F" w:rsidP="00381A42">
      <w:pPr>
        <w:numPr>
          <w:ilvl w:val="0"/>
          <w:numId w:val="7"/>
        </w:numPr>
        <w:spacing w:after="120"/>
        <w:ind w:left="360"/>
        <w:jc w:val="both"/>
        <w:rPr>
          <w:color w:val="auto"/>
          <w:sz w:val="24"/>
          <w:szCs w:val="24"/>
        </w:rPr>
      </w:pPr>
      <w:r w:rsidRPr="004A4E9F">
        <w:rPr>
          <w:color w:val="auto"/>
          <w:sz w:val="24"/>
          <w:szCs w:val="24"/>
        </w:rPr>
        <w:t xml:space="preserve">The Committee in 2010 expressed </w:t>
      </w:r>
      <w:r w:rsidR="00293D63" w:rsidRPr="004A4E9F">
        <w:rPr>
          <w:color w:val="auto"/>
          <w:sz w:val="24"/>
          <w:szCs w:val="24"/>
        </w:rPr>
        <w:t>“concern at the limited enjoyment of political . . . rights by, inter alios, Arab, Azeri, Balochi, Kurdish communities and some communities of non</w:t>
      </w:r>
      <w:r w:rsidR="00C9178B" w:rsidRPr="004A4E9F">
        <w:rPr>
          <w:color w:val="auto"/>
          <w:sz w:val="24"/>
          <w:szCs w:val="24"/>
        </w:rPr>
        <w:t>-citizens, in particular with regard to . . . freedom of expression . . . .”</w:t>
      </w:r>
      <w:r w:rsidR="00C9178B" w:rsidRPr="004A4E9F">
        <w:rPr>
          <w:rStyle w:val="FootnoteReference"/>
          <w:color w:val="auto"/>
          <w:sz w:val="24"/>
          <w:szCs w:val="24"/>
        </w:rPr>
        <w:footnoteReference w:id="20"/>
      </w:r>
      <w:r w:rsidR="008D3889" w:rsidRPr="004A4E9F">
        <w:rPr>
          <w:color w:val="auto"/>
          <w:sz w:val="24"/>
          <w:szCs w:val="24"/>
        </w:rPr>
        <w:t xml:space="preserve"> The State Party Report</w:t>
      </w:r>
      <w:r w:rsidR="007C0E74" w:rsidRPr="004A4E9F">
        <w:rPr>
          <w:color w:val="auto"/>
          <w:sz w:val="24"/>
          <w:szCs w:val="24"/>
        </w:rPr>
        <w:t>’s response to this recommendation focuses primarily on economic, social, and cultural rights,</w:t>
      </w:r>
      <w:r w:rsidR="007C0E74" w:rsidRPr="004A4E9F">
        <w:rPr>
          <w:rStyle w:val="FootnoteReference"/>
          <w:color w:val="auto"/>
          <w:sz w:val="24"/>
          <w:szCs w:val="24"/>
        </w:rPr>
        <w:footnoteReference w:id="21"/>
      </w:r>
      <w:r w:rsidR="007C0E74" w:rsidRPr="004A4E9F">
        <w:rPr>
          <w:color w:val="auto"/>
          <w:sz w:val="24"/>
          <w:szCs w:val="24"/>
        </w:rPr>
        <w:t xml:space="preserve"> but elsewhere the report</w:t>
      </w:r>
      <w:r w:rsidR="008D3889" w:rsidRPr="004A4E9F">
        <w:rPr>
          <w:color w:val="auto"/>
          <w:sz w:val="24"/>
          <w:szCs w:val="24"/>
        </w:rPr>
        <w:t xml:space="preserve"> asserts that </w:t>
      </w:r>
      <w:r w:rsidR="000A06B4" w:rsidRPr="004A4E9F">
        <w:rPr>
          <w:color w:val="auto"/>
          <w:sz w:val="24"/>
          <w:szCs w:val="24"/>
        </w:rPr>
        <w:t>there have been many large gatherings of people exercising their right to peaceful assembly, during which “the rights of citizens have been observed regardless of ethnic, racial, or regional affiliations.”</w:t>
      </w:r>
      <w:r w:rsidR="000A06B4" w:rsidRPr="004A4E9F">
        <w:rPr>
          <w:rStyle w:val="FootnoteReference"/>
          <w:color w:val="auto"/>
          <w:sz w:val="24"/>
          <w:szCs w:val="24"/>
        </w:rPr>
        <w:footnoteReference w:id="22"/>
      </w:r>
      <w:r w:rsidR="007C6F4C" w:rsidRPr="004A4E9F">
        <w:rPr>
          <w:color w:val="auto"/>
          <w:sz w:val="24"/>
          <w:szCs w:val="24"/>
        </w:rPr>
        <w:t xml:space="preserve"> </w:t>
      </w:r>
    </w:p>
    <w:p w14:paraId="7D024EA7" w14:textId="24C89E2D" w:rsidR="00381A42" w:rsidRPr="004A4E9F" w:rsidRDefault="00381A42" w:rsidP="00381A42">
      <w:pPr>
        <w:numPr>
          <w:ilvl w:val="0"/>
          <w:numId w:val="7"/>
        </w:numPr>
        <w:spacing w:after="120"/>
        <w:ind w:left="360"/>
        <w:jc w:val="both"/>
        <w:rPr>
          <w:color w:val="auto"/>
          <w:sz w:val="24"/>
          <w:szCs w:val="24"/>
        </w:rPr>
      </w:pPr>
      <w:r w:rsidRPr="004A4E9F">
        <w:rPr>
          <w:color w:val="auto"/>
          <w:sz w:val="24"/>
          <w:szCs w:val="24"/>
        </w:rPr>
        <w:lastRenderedPageBreak/>
        <w:t xml:space="preserve">Iran sentences people to death based on political affiliation, and </w:t>
      </w:r>
      <w:proofErr w:type="gramStart"/>
      <w:r w:rsidRPr="004A4E9F">
        <w:rPr>
          <w:color w:val="auto"/>
          <w:sz w:val="24"/>
          <w:szCs w:val="24"/>
        </w:rPr>
        <w:t>a majority of</w:t>
      </w:r>
      <w:proofErr w:type="gramEnd"/>
      <w:r w:rsidRPr="004A4E9F">
        <w:rPr>
          <w:color w:val="auto"/>
          <w:sz w:val="24"/>
          <w:szCs w:val="24"/>
        </w:rPr>
        <w:t xml:space="preserve"> people sentenced to death in this category are ethnic Kurds and members of other ethnic minority groups.</w:t>
      </w:r>
      <w:r w:rsidRPr="004A4E9F">
        <w:rPr>
          <w:rStyle w:val="FootnoteReference"/>
          <w:color w:val="auto"/>
          <w:sz w:val="24"/>
          <w:szCs w:val="24"/>
        </w:rPr>
        <w:footnoteReference w:id="23"/>
      </w:r>
      <w:r w:rsidRPr="004A4E9F">
        <w:rPr>
          <w:color w:val="auto"/>
          <w:sz w:val="24"/>
          <w:szCs w:val="24"/>
        </w:rPr>
        <w:t xml:space="preserve"> Between 2010 and 2023, Iran executed at least 154 people for being affiliated with banned political and armed groups.</w:t>
      </w:r>
      <w:r w:rsidRPr="004A4E9F">
        <w:rPr>
          <w:rStyle w:val="FootnoteReference"/>
          <w:color w:val="auto"/>
          <w:sz w:val="24"/>
          <w:szCs w:val="24"/>
        </w:rPr>
        <w:footnoteReference w:id="24"/>
      </w:r>
      <w:r w:rsidRPr="004A4E9F">
        <w:rPr>
          <w:color w:val="auto"/>
          <w:sz w:val="24"/>
          <w:szCs w:val="24"/>
        </w:rPr>
        <w:t xml:space="preserve"> Nearly half were Kurdish, 29% were Baluch, and 16% were Arab, primarily Sunni Muslims.</w:t>
      </w:r>
      <w:r w:rsidRPr="004A4E9F">
        <w:rPr>
          <w:rStyle w:val="FootnoteReference"/>
          <w:color w:val="auto"/>
          <w:sz w:val="24"/>
          <w:szCs w:val="24"/>
        </w:rPr>
        <w:footnoteReference w:id="25"/>
      </w:r>
    </w:p>
    <w:p w14:paraId="6244D001" w14:textId="55870F0A" w:rsidR="002219C1" w:rsidRPr="004A4E9F" w:rsidRDefault="002219C1" w:rsidP="00381A42">
      <w:pPr>
        <w:numPr>
          <w:ilvl w:val="0"/>
          <w:numId w:val="7"/>
        </w:numPr>
        <w:spacing w:after="120"/>
        <w:ind w:left="360"/>
        <w:jc w:val="both"/>
        <w:rPr>
          <w:color w:val="auto"/>
          <w:sz w:val="24"/>
          <w:szCs w:val="24"/>
        </w:rPr>
      </w:pPr>
      <w:bookmarkStart w:id="1" w:name="_Ref165635596"/>
      <w:r w:rsidRPr="004A4E9F">
        <w:rPr>
          <w:color w:val="auto"/>
          <w:sz w:val="24"/>
          <w:szCs w:val="24"/>
        </w:rPr>
        <w:t>IHRNGO’s statistics reveal that authorities step up executions</w:t>
      </w:r>
      <w:r w:rsidR="003432FA" w:rsidRPr="004A4E9F">
        <w:rPr>
          <w:color w:val="auto"/>
          <w:sz w:val="24"/>
          <w:szCs w:val="24"/>
        </w:rPr>
        <w:t xml:space="preserve"> in response to or in anticipation of political turmoil.</w:t>
      </w:r>
      <w:r w:rsidR="003432FA" w:rsidRPr="004A4E9F">
        <w:rPr>
          <w:rStyle w:val="FootnoteReference"/>
          <w:color w:val="auto"/>
          <w:sz w:val="24"/>
          <w:szCs w:val="24"/>
        </w:rPr>
        <w:footnoteReference w:id="26"/>
      </w:r>
      <w:r w:rsidR="003432FA" w:rsidRPr="004A4E9F">
        <w:rPr>
          <w:color w:val="auto"/>
          <w:sz w:val="24"/>
          <w:szCs w:val="24"/>
        </w:rPr>
        <w:t xml:space="preserve"> For example, in 2023 there were two </w:t>
      </w:r>
      <w:r w:rsidR="0002339B" w:rsidRPr="004A4E9F">
        <w:rPr>
          <w:color w:val="auto"/>
          <w:sz w:val="24"/>
          <w:szCs w:val="24"/>
        </w:rPr>
        <w:t>surges</w:t>
      </w:r>
      <w:r w:rsidR="003432FA" w:rsidRPr="004A4E9F">
        <w:rPr>
          <w:color w:val="auto"/>
          <w:sz w:val="24"/>
          <w:szCs w:val="24"/>
        </w:rPr>
        <w:t xml:space="preserve"> in executions—one on the eve of </w:t>
      </w:r>
      <w:r w:rsidR="0002339B" w:rsidRPr="004A4E9F">
        <w:rPr>
          <w:color w:val="auto"/>
          <w:sz w:val="24"/>
          <w:szCs w:val="24"/>
        </w:rPr>
        <w:t>International Workers’ Day on 1 May and National Teacher’s Day on 2 May, a period “when nationwide protests usually take place.”</w:t>
      </w:r>
      <w:r w:rsidR="0002339B" w:rsidRPr="004A4E9F">
        <w:rPr>
          <w:rStyle w:val="FootnoteReference"/>
          <w:color w:val="auto"/>
          <w:sz w:val="24"/>
          <w:szCs w:val="24"/>
        </w:rPr>
        <w:footnoteReference w:id="27"/>
      </w:r>
      <w:r w:rsidR="0002339B" w:rsidRPr="004A4E9F">
        <w:rPr>
          <w:color w:val="auto"/>
          <w:sz w:val="24"/>
          <w:szCs w:val="24"/>
        </w:rPr>
        <w:t xml:space="preserve"> The second spike “started after the start of the war in Gaza on 7 October.”</w:t>
      </w:r>
      <w:r w:rsidR="0002339B" w:rsidRPr="004A4E9F">
        <w:rPr>
          <w:rStyle w:val="FootnoteReference"/>
          <w:color w:val="auto"/>
          <w:sz w:val="24"/>
          <w:szCs w:val="24"/>
        </w:rPr>
        <w:footnoteReference w:id="28"/>
      </w:r>
      <w:r w:rsidR="003472AB" w:rsidRPr="004A4E9F">
        <w:rPr>
          <w:color w:val="auto"/>
          <w:sz w:val="24"/>
          <w:szCs w:val="24"/>
        </w:rPr>
        <w:t xml:space="preserve"> </w:t>
      </w:r>
      <w:r w:rsidR="002F5C86" w:rsidRPr="004A4E9F">
        <w:rPr>
          <w:color w:val="auto"/>
          <w:sz w:val="24"/>
          <w:szCs w:val="24"/>
        </w:rPr>
        <w:t>Authorities often sentence p</w:t>
      </w:r>
      <w:r w:rsidR="003472AB" w:rsidRPr="004A4E9F">
        <w:rPr>
          <w:color w:val="auto"/>
          <w:sz w:val="24"/>
          <w:szCs w:val="24"/>
        </w:rPr>
        <w:t>olitical dissidents</w:t>
      </w:r>
      <w:r w:rsidR="007C6AB8" w:rsidRPr="004A4E9F">
        <w:rPr>
          <w:color w:val="auto"/>
          <w:sz w:val="24"/>
          <w:szCs w:val="24"/>
        </w:rPr>
        <w:t xml:space="preserve">, protesters, and people with connections to foreign opposition groups </w:t>
      </w:r>
      <w:r w:rsidR="003472AB" w:rsidRPr="004A4E9F">
        <w:rPr>
          <w:color w:val="auto"/>
          <w:sz w:val="24"/>
          <w:szCs w:val="24"/>
        </w:rPr>
        <w:t>to death for</w:t>
      </w:r>
      <w:r w:rsidR="00B824AC" w:rsidRPr="004A4E9F">
        <w:rPr>
          <w:color w:val="auto"/>
          <w:sz w:val="24"/>
          <w:szCs w:val="24"/>
        </w:rPr>
        <w:t xml:space="preserve"> the vaguely defined crimes of</w:t>
      </w:r>
      <w:r w:rsidR="003472AB" w:rsidRPr="004A4E9F">
        <w:rPr>
          <w:color w:val="auto"/>
          <w:sz w:val="24"/>
          <w:szCs w:val="24"/>
        </w:rPr>
        <w:t xml:space="preserve"> </w:t>
      </w:r>
      <w:proofErr w:type="spellStart"/>
      <w:r w:rsidR="008D22FE" w:rsidRPr="004A4E9F">
        <w:rPr>
          <w:i/>
          <w:iCs/>
          <w:color w:val="auto"/>
          <w:sz w:val="24"/>
          <w:szCs w:val="24"/>
        </w:rPr>
        <w:t>efsad</w:t>
      </w:r>
      <w:proofErr w:type="spellEnd"/>
      <w:r w:rsidR="008D22FE" w:rsidRPr="004A4E9F">
        <w:rPr>
          <w:i/>
          <w:iCs/>
          <w:color w:val="auto"/>
          <w:sz w:val="24"/>
          <w:szCs w:val="24"/>
        </w:rPr>
        <w:t>-fil-</w:t>
      </w:r>
      <w:proofErr w:type="spellStart"/>
      <w:r w:rsidR="008D22FE" w:rsidRPr="004A4E9F">
        <w:rPr>
          <w:i/>
          <w:iCs/>
          <w:color w:val="auto"/>
          <w:sz w:val="24"/>
          <w:szCs w:val="24"/>
        </w:rPr>
        <w:t>arz</w:t>
      </w:r>
      <w:proofErr w:type="spellEnd"/>
      <w:r w:rsidR="008D22FE" w:rsidRPr="004A4E9F">
        <w:rPr>
          <w:color w:val="auto"/>
          <w:sz w:val="24"/>
          <w:szCs w:val="24"/>
        </w:rPr>
        <w:t xml:space="preserve"> (corruption on earth)</w:t>
      </w:r>
      <w:r w:rsidR="00CF18D9" w:rsidRPr="004A4E9F">
        <w:rPr>
          <w:color w:val="auto"/>
          <w:sz w:val="24"/>
          <w:szCs w:val="24"/>
        </w:rPr>
        <w:t>,</w:t>
      </w:r>
      <w:r w:rsidR="008D22FE" w:rsidRPr="004A4E9F">
        <w:rPr>
          <w:color w:val="auto"/>
          <w:sz w:val="24"/>
          <w:szCs w:val="24"/>
        </w:rPr>
        <w:t xml:space="preserve"> </w:t>
      </w:r>
      <w:proofErr w:type="spellStart"/>
      <w:r w:rsidR="008D22FE" w:rsidRPr="004A4E9F">
        <w:rPr>
          <w:i/>
          <w:iCs/>
          <w:color w:val="auto"/>
          <w:sz w:val="24"/>
          <w:szCs w:val="24"/>
        </w:rPr>
        <w:t>baghy</w:t>
      </w:r>
      <w:proofErr w:type="spellEnd"/>
      <w:r w:rsidR="008D22FE" w:rsidRPr="004A4E9F">
        <w:rPr>
          <w:color w:val="auto"/>
          <w:sz w:val="24"/>
          <w:szCs w:val="24"/>
        </w:rPr>
        <w:t xml:space="preserve"> (</w:t>
      </w:r>
      <w:r w:rsidR="00B824AC" w:rsidRPr="004A4E9F">
        <w:rPr>
          <w:color w:val="auto"/>
          <w:sz w:val="24"/>
          <w:szCs w:val="24"/>
        </w:rPr>
        <w:t>armed rebellion)</w:t>
      </w:r>
      <w:r w:rsidR="00CF18D9" w:rsidRPr="004A4E9F">
        <w:rPr>
          <w:color w:val="auto"/>
          <w:sz w:val="24"/>
          <w:szCs w:val="24"/>
        </w:rPr>
        <w:t xml:space="preserve">, or </w:t>
      </w:r>
      <w:proofErr w:type="spellStart"/>
      <w:r w:rsidR="00CF18D9" w:rsidRPr="004A4E9F">
        <w:rPr>
          <w:i/>
          <w:iCs/>
          <w:color w:val="auto"/>
          <w:sz w:val="24"/>
          <w:szCs w:val="24"/>
        </w:rPr>
        <w:t>moharebeh</w:t>
      </w:r>
      <w:proofErr w:type="spellEnd"/>
      <w:r w:rsidR="00CF18D9" w:rsidRPr="004A4E9F">
        <w:rPr>
          <w:color w:val="auto"/>
          <w:sz w:val="24"/>
          <w:szCs w:val="24"/>
        </w:rPr>
        <w:t xml:space="preserve"> (enmity against God)</w:t>
      </w:r>
      <w:r w:rsidR="00B824AC" w:rsidRPr="004A4E9F">
        <w:rPr>
          <w:color w:val="auto"/>
          <w:sz w:val="24"/>
          <w:szCs w:val="24"/>
        </w:rPr>
        <w:t>.</w:t>
      </w:r>
      <w:r w:rsidR="00B824AC" w:rsidRPr="004A4E9F">
        <w:rPr>
          <w:rStyle w:val="FootnoteReference"/>
          <w:color w:val="auto"/>
          <w:sz w:val="24"/>
          <w:szCs w:val="24"/>
        </w:rPr>
        <w:footnoteReference w:id="29"/>
      </w:r>
      <w:r w:rsidR="0073746B" w:rsidRPr="004A4E9F">
        <w:rPr>
          <w:color w:val="auto"/>
          <w:sz w:val="24"/>
          <w:szCs w:val="24"/>
        </w:rPr>
        <w:t xml:space="preserve"> Among the at least 39 people executed on these charges in 2023 were 8 Kurdish people, 7 Baluch people, and 3 Arabs</w:t>
      </w:r>
      <w:r w:rsidR="00FC330B" w:rsidRPr="004A4E9F">
        <w:rPr>
          <w:color w:val="auto"/>
          <w:sz w:val="24"/>
          <w:szCs w:val="24"/>
        </w:rPr>
        <w:t>.</w:t>
      </w:r>
      <w:r w:rsidR="00FC330B" w:rsidRPr="004A4E9F">
        <w:rPr>
          <w:rStyle w:val="FootnoteReference"/>
          <w:color w:val="auto"/>
          <w:sz w:val="24"/>
          <w:szCs w:val="24"/>
        </w:rPr>
        <w:footnoteReference w:id="30"/>
      </w:r>
      <w:bookmarkEnd w:id="1"/>
    </w:p>
    <w:p w14:paraId="017DEFC4" w14:textId="704872C9" w:rsidR="009949F1" w:rsidRPr="004A4E9F" w:rsidRDefault="006F3A1D" w:rsidP="00381A42">
      <w:pPr>
        <w:numPr>
          <w:ilvl w:val="0"/>
          <w:numId w:val="7"/>
        </w:numPr>
        <w:spacing w:after="120"/>
        <w:ind w:left="360"/>
        <w:jc w:val="both"/>
        <w:rPr>
          <w:color w:val="auto"/>
          <w:sz w:val="24"/>
          <w:szCs w:val="24"/>
        </w:rPr>
      </w:pPr>
      <w:r w:rsidRPr="004A4E9F">
        <w:rPr>
          <w:color w:val="auto"/>
          <w:sz w:val="24"/>
          <w:szCs w:val="24"/>
        </w:rPr>
        <w:t xml:space="preserve">IHRNGO has documented that </w:t>
      </w:r>
      <w:r w:rsidR="00336CD5" w:rsidRPr="004A4E9F">
        <w:rPr>
          <w:color w:val="auto"/>
          <w:sz w:val="24"/>
          <w:szCs w:val="24"/>
        </w:rPr>
        <w:t>courts sometimes subject protesters to group show-trials</w:t>
      </w:r>
      <w:r w:rsidR="003A0EBC" w:rsidRPr="004A4E9F">
        <w:rPr>
          <w:color w:val="auto"/>
          <w:sz w:val="24"/>
          <w:szCs w:val="24"/>
        </w:rPr>
        <w:t xml:space="preserve"> lacking fair trial protections</w:t>
      </w:r>
      <w:r w:rsidR="00336CD5" w:rsidRPr="004A4E9F">
        <w:rPr>
          <w:color w:val="auto"/>
          <w:sz w:val="24"/>
          <w:szCs w:val="24"/>
        </w:rPr>
        <w:t>.</w:t>
      </w:r>
      <w:r w:rsidR="00336CD5" w:rsidRPr="004A4E9F">
        <w:rPr>
          <w:rStyle w:val="FootnoteReference"/>
          <w:color w:val="auto"/>
          <w:sz w:val="24"/>
          <w:szCs w:val="24"/>
        </w:rPr>
        <w:footnoteReference w:id="31"/>
      </w:r>
      <w:r w:rsidR="00E2539B" w:rsidRPr="004A4E9F">
        <w:rPr>
          <w:color w:val="auto"/>
          <w:sz w:val="24"/>
          <w:szCs w:val="24"/>
        </w:rPr>
        <w:t xml:space="preserve"> Authorities also rely on forced confessions extracted through torture and other ill-treatment in prosecuting protesters</w:t>
      </w:r>
      <w:r w:rsidR="00D727CF" w:rsidRPr="004A4E9F">
        <w:rPr>
          <w:color w:val="auto"/>
          <w:sz w:val="24"/>
          <w:szCs w:val="24"/>
        </w:rPr>
        <w:t xml:space="preserve">, and they </w:t>
      </w:r>
      <w:r w:rsidR="005E5854" w:rsidRPr="004A4E9F">
        <w:rPr>
          <w:color w:val="auto"/>
          <w:sz w:val="24"/>
          <w:szCs w:val="24"/>
        </w:rPr>
        <w:t>sometimes</w:t>
      </w:r>
      <w:r w:rsidR="004645C3" w:rsidRPr="004A4E9F">
        <w:rPr>
          <w:color w:val="auto"/>
          <w:sz w:val="24"/>
          <w:szCs w:val="24"/>
        </w:rPr>
        <w:t xml:space="preserve"> broadcast these torture-tainted confessions on state media at the time of the execution</w:t>
      </w:r>
      <w:r w:rsidR="00702715" w:rsidRPr="004A4E9F">
        <w:rPr>
          <w:color w:val="auto"/>
          <w:sz w:val="24"/>
          <w:szCs w:val="24"/>
        </w:rPr>
        <w:t>,</w:t>
      </w:r>
      <w:r w:rsidR="00E2539B" w:rsidRPr="004A4E9F">
        <w:rPr>
          <w:rStyle w:val="FootnoteReference"/>
          <w:color w:val="auto"/>
          <w:sz w:val="24"/>
          <w:szCs w:val="24"/>
        </w:rPr>
        <w:footnoteReference w:id="32"/>
      </w:r>
      <w:r w:rsidR="00702715" w:rsidRPr="004A4E9F">
        <w:rPr>
          <w:color w:val="auto"/>
          <w:sz w:val="24"/>
          <w:szCs w:val="24"/>
        </w:rPr>
        <w:t xml:space="preserve"> despite the State </w:t>
      </w:r>
      <w:r w:rsidR="004B6410">
        <w:rPr>
          <w:color w:val="auto"/>
          <w:sz w:val="24"/>
          <w:szCs w:val="24"/>
        </w:rPr>
        <w:t>p</w:t>
      </w:r>
      <w:r w:rsidR="00702715" w:rsidRPr="004A4E9F">
        <w:rPr>
          <w:color w:val="auto"/>
          <w:sz w:val="24"/>
          <w:szCs w:val="24"/>
        </w:rPr>
        <w:t>arty’s assertion that there are protections for</w:t>
      </w:r>
      <w:r w:rsidR="009F057F" w:rsidRPr="004A4E9F">
        <w:rPr>
          <w:color w:val="auto"/>
          <w:sz w:val="24"/>
          <w:szCs w:val="24"/>
        </w:rPr>
        <w:t xml:space="preserve"> “the dignity and privacy of citizens in the media.”</w:t>
      </w:r>
      <w:r w:rsidR="00AB6B73" w:rsidRPr="004A4E9F">
        <w:rPr>
          <w:rStyle w:val="FootnoteReference"/>
          <w:color w:val="auto"/>
          <w:sz w:val="24"/>
          <w:szCs w:val="24"/>
        </w:rPr>
        <w:footnoteReference w:id="33"/>
      </w:r>
    </w:p>
    <w:p w14:paraId="4DCCA3D9" w14:textId="41149CA8" w:rsidR="00974E48" w:rsidRPr="004A4E9F" w:rsidRDefault="00011155" w:rsidP="00974E48">
      <w:pPr>
        <w:numPr>
          <w:ilvl w:val="0"/>
          <w:numId w:val="7"/>
        </w:numPr>
        <w:spacing w:after="120"/>
        <w:ind w:left="360"/>
        <w:jc w:val="both"/>
        <w:rPr>
          <w:color w:val="auto"/>
          <w:sz w:val="24"/>
          <w:szCs w:val="24"/>
        </w:rPr>
      </w:pPr>
      <w:r w:rsidRPr="004A4E9F">
        <w:rPr>
          <w:color w:val="auto"/>
          <w:sz w:val="24"/>
          <w:szCs w:val="24"/>
        </w:rPr>
        <w:t xml:space="preserve">IHRNGO posits that </w:t>
      </w:r>
      <w:r w:rsidR="00A24253" w:rsidRPr="004A4E9F">
        <w:rPr>
          <w:color w:val="auto"/>
          <w:sz w:val="24"/>
          <w:szCs w:val="24"/>
        </w:rPr>
        <w:t xml:space="preserve">Iranian authorities may “use more violence to create fear due to higher opposition amongst the population” in </w:t>
      </w:r>
      <w:r w:rsidR="00583566" w:rsidRPr="004A4E9F">
        <w:rPr>
          <w:color w:val="auto"/>
          <w:sz w:val="24"/>
          <w:szCs w:val="24"/>
        </w:rPr>
        <w:t>predominantly Kurdish and Baluch regions</w:t>
      </w:r>
      <w:r w:rsidR="009B2BAF" w:rsidRPr="004A4E9F">
        <w:rPr>
          <w:color w:val="auto"/>
          <w:sz w:val="24"/>
          <w:szCs w:val="24"/>
        </w:rPr>
        <w:t>, labeling protesters “separatists”</w:t>
      </w:r>
      <w:r w:rsidR="003A309C" w:rsidRPr="004A4E9F">
        <w:rPr>
          <w:color w:val="auto"/>
          <w:sz w:val="24"/>
          <w:szCs w:val="24"/>
        </w:rPr>
        <w:t xml:space="preserve"> and deploying violence under the pretext of fighting terrorism.</w:t>
      </w:r>
      <w:r w:rsidR="00583566" w:rsidRPr="004A4E9F">
        <w:rPr>
          <w:rStyle w:val="FootnoteReference"/>
          <w:color w:val="auto"/>
          <w:sz w:val="24"/>
          <w:szCs w:val="24"/>
        </w:rPr>
        <w:footnoteReference w:id="34"/>
      </w:r>
      <w:r w:rsidR="00F868C9" w:rsidRPr="004A4E9F">
        <w:rPr>
          <w:color w:val="auto"/>
          <w:sz w:val="24"/>
          <w:szCs w:val="24"/>
        </w:rPr>
        <w:t xml:space="preserve"> For </w:t>
      </w:r>
      <w:r w:rsidR="00F868C9" w:rsidRPr="004A4E9F">
        <w:rPr>
          <w:color w:val="auto"/>
          <w:sz w:val="24"/>
          <w:szCs w:val="24"/>
        </w:rPr>
        <w:lastRenderedPageBreak/>
        <w:t>example, in the wake of the killing of Jina (Mahsa) Amini, those regions</w:t>
      </w:r>
      <w:r w:rsidR="003A3A67" w:rsidRPr="004A4E9F">
        <w:rPr>
          <w:color w:val="auto"/>
          <w:sz w:val="24"/>
          <w:szCs w:val="24"/>
        </w:rPr>
        <w:t xml:space="preserve"> had “the longest-lasting protests, and almost half of all protesters killed on the streets were from Baluchistan, Kurdistan and other Kurdish towns in other provinces.”</w:t>
      </w:r>
      <w:r w:rsidR="003A3A67" w:rsidRPr="004A4E9F">
        <w:rPr>
          <w:rStyle w:val="FootnoteReference"/>
          <w:color w:val="auto"/>
          <w:sz w:val="24"/>
          <w:szCs w:val="24"/>
        </w:rPr>
        <w:footnoteReference w:id="35"/>
      </w:r>
      <w:r w:rsidR="00065E0D" w:rsidRPr="004A4E9F">
        <w:rPr>
          <w:color w:val="auto"/>
          <w:sz w:val="24"/>
          <w:szCs w:val="24"/>
        </w:rPr>
        <w:t xml:space="preserve"> T</w:t>
      </w:r>
      <w:r w:rsidR="00984993" w:rsidRPr="004A4E9F">
        <w:rPr>
          <w:color w:val="auto"/>
          <w:sz w:val="24"/>
          <w:szCs w:val="24"/>
        </w:rPr>
        <w:t>he Committee observed in 2010</w:t>
      </w:r>
      <w:r w:rsidR="00065E0D" w:rsidRPr="004A4E9F">
        <w:rPr>
          <w:color w:val="auto"/>
          <w:sz w:val="24"/>
          <w:szCs w:val="24"/>
        </w:rPr>
        <w:t xml:space="preserve"> that</w:t>
      </w:r>
      <w:r w:rsidR="00984993" w:rsidRPr="004A4E9F">
        <w:rPr>
          <w:color w:val="auto"/>
          <w:sz w:val="24"/>
          <w:szCs w:val="24"/>
        </w:rPr>
        <w:t xml:space="preserve"> the media deploy stereotyped and demeaning portrayals of ethnic minorities and their communities and expressed concern that government officials make “statements of racial discrimination and incitement to hatred.”</w:t>
      </w:r>
      <w:r w:rsidR="00984993" w:rsidRPr="004A4E9F">
        <w:rPr>
          <w:rStyle w:val="FootnoteReference"/>
          <w:color w:val="auto"/>
          <w:sz w:val="24"/>
          <w:szCs w:val="24"/>
        </w:rPr>
        <w:footnoteReference w:id="36"/>
      </w:r>
      <w:r w:rsidR="00050371" w:rsidRPr="004A4E9F">
        <w:rPr>
          <w:color w:val="auto"/>
          <w:sz w:val="24"/>
          <w:szCs w:val="24"/>
        </w:rPr>
        <w:t xml:space="preserve"> The State Party Report asserts that </w:t>
      </w:r>
      <w:r w:rsidR="00BC747F" w:rsidRPr="004A4E9F">
        <w:rPr>
          <w:color w:val="auto"/>
          <w:sz w:val="24"/>
          <w:szCs w:val="24"/>
        </w:rPr>
        <w:t>certain laws bar the media from sowing</w:t>
      </w:r>
      <w:r w:rsidR="00A969EC" w:rsidRPr="004A4E9F">
        <w:rPr>
          <w:color w:val="auto"/>
          <w:sz w:val="24"/>
          <w:szCs w:val="24"/>
        </w:rPr>
        <w:t xml:space="preserve"> </w:t>
      </w:r>
      <w:r w:rsidR="00BC747F" w:rsidRPr="004A4E9F">
        <w:rPr>
          <w:color w:val="auto"/>
          <w:sz w:val="24"/>
          <w:szCs w:val="24"/>
        </w:rPr>
        <w:t>discord</w:t>
      </w:r>
      <w:r w:rsidR="00A969EC" w:rsidRPr="004A4E9F">
        <w:rPr>
          <w:color w:val="auto"/>
          <w:sz w:val="24"/>
          <w:szCs w:val="24"/>
        </w:rPr>
        <w:t xml:space="preserve"> between ethnic groups.</w:t>
      </w:r>
      <w:r w:rsidR="00C32437" w:rsidRPr="004A4E9F">
        <w:rPr>
          <w:rStyle w:val="FootnoteReference"/>
          <w:color w:val="auto"/>
          <w:sz w:val="24"/>
          <w:szCs w:val="24"/>
        </w:rPr>
        <w:footnoteReference w:id="37"/>
      </w:r>
      <w:r w:rsidR="00984993" w:rsidRPr="004A4E9F">
        <w:rPr>
          <w:color w:val="auto"/>
          <w:sz w:val="24"/>
          <w:szCs w:val="24"/>
        </w:rPr>
        <w:t xml:space="preserve"> As of late,</w:t>
      </w:r>
      <w:r w:rsidR="00050371" w:rsidRPr="004A4E9F">
        <w:rPr>
          <w:color w:val="auto"/>
          <w:sz w:val="24"/>
          <w:szCs w:val="24"/>
        </w:rPr>
        <w:t xml:space="preserve"> however,</w:t>
      </w:r>
      <w:r w:rsidR="00984993" w:rsidRPr="004A4E9F">
        <w:rPr>
          <w:color w:val="auto"/>
          <w:sz w:val="24"/>
          <w:szCs w:val="24"/>
        </w:rPr>
        <w:t xml:space="preserve"> g</w:t>
      </w:r>
      <w:r w:rsidR="003A309C" w:rsidRPr="004A4E9F">
        <w:rPr>
          <w:color w:val="auto"/>
          <w:sz w:val="24"/>
          <w:szCs w:val="24"/>
        </w:rPr>
        <w:t>overnment propaganda seems to have had the effect of numbing the population</w:t>
      </w:r>
      <w:r w:rsidR="00DF7B14" w:rsidRPr="004A4E9F">
        <w:rPr>
          <w:color w:val="auto"/>
          <w:sz w:val="24"/>
          <w:szCs w:val="24"/>
        </w:rPr>
        <w:t xml:space="preserve"> to the execution of people from </w:t>
      </w:r>
      <w:r w:rsidR="00984993" w:rsidRPr="004A4E9F">
        <w:rPr>
          <w:color w:val="auto"/>
          <w:sz w:val="24"/>
          <w:szCs w:val="24"/>
        </w:rPr>
        <w:t xml:space="preserve">predominantly Kurdish and Baluch </w:t>
      </w:r>
      <w:r w:rsidR="00DF7B14" w:rsidRPr="004A4E9F">
        <w:rPr>
          <w:color w:val="auto"/>
          <w:sz w:val="24"/>
          <w:szCs w:val="24"/>
        </w:rPr>
        <w:t>regions.</w:t>
      </w:r>
      <w:r w:rsidR="00DF7B14" w:rsidRPr="004A4E9F">
        <w:rPr>
          <w:rStyle w:val="FootnoteReference"/>
          <w:color w:val="auto"/>
          <w:sz w:val="24"/>
          <w:szCs w:val="24"/>
        </w:rPr>
        <w:footnoteReference w:id="38"/>
      </w:r>
      <w:r w:rsidR="00785AA6" w:rsidRPr="004A4E9F">
        <w:rPr>
          <w:color w:val="auto"/>
          <w:sz w:val="24"/>
          <w:szCs w:val="24"/>
        </w:rPr>
        <w:t xml:space="preserve"> </w:t>
      </w:r>
    </w:p>
    <w:p w14:paraId="7101E87D" w14:textId="38B3CDB2" w:rsidR="00003163" w:rsidRPr="004A4E9F" w:rsidRDefault="00003163" w:rsidP="00974E48">
      <w:pPr>
        <w:numPr>
          <w:ilvl w:val="0"/>
          <w:numId w:val="7"/>
        </w:numPr>
        <w:spacing w:after="120"/>
        <w:ind w:left="360"/>
        <w:jc w:val="both"/>
        <w:rPr>
          <w:color w:val="auto"/>
          <w:sz w:val="24"/>
          <w:szCs w:val="24"/>
        </w:rPr>
      </w:pPr>
      <w:r w:rsidRPr="004A4E9F">
        <w:rPr>
          <w:color w:val="auto"/>
          <w:sz w:val="24"/>
          <w:szCs w:val="24"/>
        </w:rPr>
        <w:t xml:space="preserve">IHRNGO has documented cases of several protesters and political prisoners </w:t>
      </w:r>
      <w:r w:rsidR="00305866" w:rsidRPr="004A4E9F">
        <w:rPr>
          <w:color w:val="auto"/>
          <w:sz w:val="24"/>
          <w:szCs w:val="24"/>
        </w:rPr>
        <w:t xml:space="preserve">who are members of ethnic minority groups </w:t>
      </w:r>
      <w:r w:rsidRPr="004A4E9F">
        <w:rPr>
          <w:color w:val="auto"/>
          <w:sz w:val="24"/>
          <w:szCs w:val="24"/>
        </w:rPr>
        <w:t>currently at risk of execution</w:t>
      </w:r>
      <w:r w:rsidR="00305866" w:rsidRPr="004A4E9F">
        <w:rPr>
          <w:color w:val="auto"/>
          <w:sz w:val="24"/>
          <w:szCs w:val="24"/>
        </w:rPr>
        <w:t>, including 7 Arab men, 6 Kurdish men, 1 Baluch man,</w:t>
      </w:r>
      <w:r w:rsidR="00B346D9" w:rsidRPr="004A4E9F">
        <w:rPr>
          <w:color w:val="auto"/>
          <w:sz w:val="24"/>
          <w:szCs w:val="24"/>
        </w:rPr>
        <w:t xml:space="preserve"> and</w:t>
      </w:r>
      <w:r w:rsidR="00305866" w:rsidRPr="004A4E9F">
        <w:rPr>
          <w:color w:val="auto"/>
          <w:sz w:val="24"/>
          <w:szCs w:val="24"/>
        </w:rPr>
        <w:t xml:space="preserve"> 1 Bakhtiari man</w:t>
      </w:r>
      <w:r w:rsidR="00B346D9" w:rsidRPr="004A4E9F">
        <w:rPr>
          <w:color w:val="auto"/>
          <w:sz w:val="24"/>
          <w:szCs w:val="24"/>
        </w:rPr>
        <w:t>.</w:t>
      </w:r>
      <w:r w:rsidR="00B346D9" w:rsidRPr="004A4E9F">
        <w:rPr>
          <w:rStyle w:val="FootnoteReference"/>
          <w:color w:val="auto"/>
          <w:sz w:val="24"/>
          <w:szCs w:val="24"/>
        </w:rPr>
        <w:footnoteReference w:id="39"/>
      </w:r>
      <w:r w:rsidR="00305866" w:rsidRPr="004A4E9F">
        <w:rPr>
          <w:color w:val="auto"/>
          <w:sz w:val="24"/>
          <w:szCs w:val="24"/>
        </w:rPr>
        <w:t xml:space="preserve"> </w:t>
      </w:r>
    </w:p>
    <w:p w14:paraId="5A7B9C09" w14:textId="6A425D43" w:rsidR="00B75562" w:rsidRPr="004A4E9F" w:rsidRDefault="00B75562" w:rsidP="00B75562">
      <w:pPr>
        <w:keepNext/>
        <w:numPr>
          <w:ilvl w:val="0"/>
          <w:numId w:val="8"/>
        </w:numPr>
        <w:spacing w:before="240" w:after="120"/>
        <w:ind w:left="720" w:hanging="360"/>
        <w:rPr>
          <w:b/>
          <w:color w:val="auto"/>
          <w:sz w:val="24"/>
          <w:szCs w:val="24"/>
        </w:rPr>
      </w:pPr>
      <w:r w:rsidRPr="004A4E9F">
        <w:rPr>
          <w:b/>
          <w:color w:val="auto"/>
          <w:sz w:val="24"/>
          <w:szCs w:val="24"/>
        </w:rPr>
        <w:t>Foreign nationals disproportionately face the death penalty in Iran</w:t>
      </w:r>
      <w:r w:rsidR="009D49D6">
        <w:rPr>
          <w:b/>
          <w:color w:val="auto"/>
          <w:sz w:val="24"/>
          <w:szCs w:val="24"/>
        </w:rPr>
        <w:t>.</w:t>
      </w:r>
    </w:p>
    <w:p w14:paraId="3A760A70" w14:textId="10964C1A" w:rsidR="00A3057C" w:rsidRPr="004A4E9F" w:rsidRDefault="00214054" w:rsidP="00974E48">
      <w:pPr>
        <w:numPr>
          <w:ilvl w:val="0"/>
          <w:numId w:val="7"/>
        </w:numPr>
        <w:spacing w:after="120"/>
        <w:ind w:left="360"/>
        <w:jc w:val="both"/>
        <w:rPr>
          <w:color w:val="auto"/>
          <w:sz w:val="24"/>
          <w:szCs w:val="24"/>
        </w:rPr>
      </w:pPr>
      <w:bookmarkStart w:id="2" w:name="_Ref165636169"/>
      <w:r w:rsidRPr="004A4E9F">
        <w:rPr>
          <w:color w:val="auto"/>
          <w:sz w:val="24"/>
          <w:szCs w:val="24"/>
        </w:rPr>
        <w:t>In its 2010 Concluding Observations, the Committee expressed “its concern at reports of discriminatory treatment of foreign nationals in the Iranian justice system.”</w:t>
      </w:r>
      <w:r w:rsidRPr="004A4E9F">
        <w:rPr>
          <w:rStyle w:val="FootnoteReference"/>
          <w:color w:val="auto"/>
          <w:sz w:val="24"/>
          <w:szCs w:val="24"/>
        </w:rPr>
        <w:footnoteReference w:id="40"/>
      </w:r>
      <w:r w:rsidRPr="004A4E9F">
        <w:rPr>
          <w:color w:val="auto"/>
          <w:sz w:val="24"/>
          <w:szCs w:val="24"/>
        </w:rPr>
        <w:t xml:space="preserve"> </w:t>
      </w:r>
      <w:r w:rsidR="005B5FF3" w:rsidRPr="004A4E9F">
        <w:rPr>
          <w:color w:val="auto"/>
          <w:sz w:val="24"/>
          <w:szCs w:val="24"/>
        </w:rPr>
        <w:t>The Committee recommended that Iran</w:t>
      </w:r>
      <w:r w:rsidR="005C2B4C" w:rsidRPr="004A4E9F">
        <w:rPr>
          <w:color w:val="auto"/>
          <w:sz w:val="24"/>
          <w:szCs w:val="24"/>
        </w:rPr>
        <w:t xml:space="preserve"> “intensify its efforts to ensure due process and transparency for all persons in the justice system, including foreign nationals.”</w:t>
      </w:r>
      <w:r w:rsidR="005C2B4C" w:rsidRPr="004A4E9F">
        <w:rPr>
          <w:rStyle w:val="FootnoteReference"/>
          <w:color w:val="auto"/>
          <w:sz w:val="24"/>
          <w:szCs w:val="24"/>
        </w:rPr>
        <w:footnoteReference w:id="41"/>
      </w:r>
      <w:r w:rsidR="005C2B4C" w:rsidRPr="004A4E9F">
        <w:rPr>
          <w:color w:val="auto"/>
          <w:sz w:val="24"/>
          <w:szCs w:val="24"/>
        </w:rPr>
        <w:t xml:space="preserve"> </w:t>
      </w:r>
      <w:r w:rsidR="00A3057C" w:rsidRPr="004A4E9F">
        <w:rPr>
          <w:color w:val="auto"/>
          <w:sz w:val="24"/>
          <w:szCs w:val="24"/>
        </w:rPr>
        <w:t xml:space="preserve">The State Party Report asserts that </w:t>
      </w:r>
      <w:r w:rsidR="001258A2" w:rsidRPr="004A4E9F">
        <w:rPr>
          <w:color w:val="auto"/>
          <w:sz w:val="24"/>
          <w:szCs w:val="24"/>
        </w:rPr>
        <w:t>“[</w:t>
      </w:r>
      <w:proofErr w:type="spellStart"/>
      <w:r w:rsidR="001258A2" w:rsidRPr="004A4E9F">
        <w:rPr>
          <w:color w:val="auto"/>
          <w:sz w:val="24"/>
          <w:szCs w:val="24"/>
        </w:rPr>
        <w:t>i</w:t>
      </w:r>
      <w:proofErr w:type="spellEnd"/>
      <w:r w:rsidR="001258A2" w:rsidRPr="004A4E9F">
        <w:rPr>
          <w:color w:val="auto"/>
          <w:sz w:val="24"/>
          <w:szCs w:val="24"/>
        </w:rPr>
        <w:t>]n the fight against terrorism, [factors such as nationality or ethnicity] have no effect on the judiciary and the administration of justice, and no different punishments are issued and applied accordingly</w:t>
      </w:r>
      <w:r w:rsidR="00F55279" w:rsidRPr="004A4E9F">
        <w:rPr>
          <w:color w:val="auto"/>
          <w:sz w:val="24"/>
          <w:szCs w:val="24"/>
        </w:rPr>
        <w:t>.”</w:t>
      </w:r>
      <w:r w:rsidR="00F55279" w:rsidRPr="004A4E9F">
        <w:rPr>
          <w:rStyle w:val="FootnoteReference"/>
          <w:color w:val="auto"/>
          <w:sz w:val="24"/>
          <w:szCs w:val="24"/>
        </w:rPr>
        <w:footnoteReference w:id="42"/>
      </w:r>
      <w:r w:rsidR="007B0AC8" w:rsidRPr="004A4E9F">
        <w:rPr>
          <w:color w:val="auto"/>
          <w:sz w:val="24"/>
          <w:szCs w:val="24"/>
        </w:rPr>
        <w:t xml:space="preserve"> The report further asserts that </w:t>
      </w:r>
      <w:r w:rsidR="00B669DB" w:rsidRPr="004A4E9F">
        <w:rPr>
          <w:color w:val="auto"/>
          <w:sz w:val="24"/>
          <w:szCs w:val="24"/>
        </w:rPr>
        <w:t>foreign nationals have the right to have an interpreter</w:t>
      </w:r>
      <w:r w:rsidR="00017512" w:rsidRPr="004A4E9F">
        <w:rPr>
          <w:color w:val="auto"/>
          <w:sz w:val="24"/>
          <w:szCs w:val="24"/>
        </w:rPr>
        <w:t xml:space="preserve"> under article 200 of the </w:t>
      </w:r>
      <w:r w:rsidR="00A721CE" w:rsidRPr="004A4E9F">
        <w:rPr>
          <w:color w:val="auto"/>
          <w:sz w:val="24"/>
          <w:szCs w:val="24"/>
        </w:rPr>
        <w:t>C</w:t>
      </w:r>
      <w:r w:rsidR="00017512" w:rsidRPr="004A4E9F">
        <w:rPr>
          <w:color w:val="auto"/>
          <w:sz w:val="24"/>
          <w:szCs w:val="24"/>
        </w:rPr>
        <w:t xml:space="preserve">ode of </w:t>
      </w:r>
      <w:r w:rsidR="00A721CE" w:rsidRPr="004A4E9F">
        <w:rPr>
          <w:color w:val="auto"/>
          <w:sz w:val="24"/>
          <w:szCs w:val="24"/>
        </w:rPr>
        <w:t>C</w:t>
      </w:r>
      <w:r w:rsidR="00017512" w:rsidRPr="004A4E9F">
        <w:rPr>
          <w:color w:val="auto"/>
          <w:sz w:val="24"/>
          <w:szCs w:val="24"/>
        </w:rPr>
        <w:t xml:space="preserve">riminal </w:t>
      </w:r>
      <w:r w:rsidR="00A721CE" w:rsidRPr="004A4E9F">
        <w:rPr>
          <w:color w:val="auto"/>
          <w:sz w:val="24"/>
          <w:szCs w:val="24"/>
        </w:rPr>
        <w:t>P</w:t>
      </w:r>
      <w:r w:rsidR="00017512" w:rsidRPr="004A4E9F">
        <w:rPr>
          <w:color w:val="auto"/>
          <w:sz w:val="24"/>
          <w:szCs w:val="24"/>
        </w:rPr>
        <w:t xml:space="preserve">rocedure, and that </w:t>
      </w:r>
      <w:r w:rsidR="002E5454" w:rsidRPr="004A4E9F">
        <w:rPr>
          <w:color w:val="auto"/>
          <w:sz w:val="24"/>
          <w:szCs w:val="24"/>
        </w:rPr>
        <w:t>“no case of abuse of rights in the courts due to lack of familiarity with the language of the tribunal has been reported</w:t>
      </w:r>
      <w:r w:rsidR="00017512" w:rsidRPr="004A4E9F">
        <w:rPr>
          <w:color w:val="auto"/>
          <w:sz w:val="24"/>
          <w:szCs w:val="24"/>
        </w:rPr>
        <w:t>.</w:t>
      </w:r>
      <w:r w:rsidR="002E5454" w:rsidRPr="004A4E9F">
        <w:rPr>
          <w:color w:val="auto"/>
          <w:sz w:val="24"/>
          <w:szCs w:val="24"/>
        </w:rPr>
        <w:t>”</w:t>
      </w:r>
      <w:r w:rsidR="00017512" w:rsidRPr="004A4E9F">
        <w:rPr>
          <w:rStyle w:val="FootnoteReference"/>
          <w:color w:val="auto"/>
          <w:sz w:val="24"/>
          <w:szCs w:val="24"/>
        </w:rPr>
        <w:footnoteReference w:id="43"/>
      </w:r>
    </w:p>
    <w:p w14:paraId="37949742" w14:textId="515F1234" w:rsidR="00B75562" w:rsidRPr="004A4E9F" w:rsidRDefault="00291945" w:rsidP="00974E48">
      <w:pPr>
        <w:numPr>
          <w:ilvl w:val="0"/>
          <w:numId w:val="7"/>
        </w:numPr>
        <w:spacing w:after="120"/>
        <w:ind w:left="360"/>
        <w:jc w:val="both"/>
        <w:rPr>
          <w:color w:val="auto"/>
          <w:sz w:val="24"/>
          <w:szCs w:val="24"/>
        </w:rPr>
      </w:pPr>
      <w:r w:rsidRPr="004A4E9F">
        <w:rPr>
          <w:color w:val="auto"/>
          <w:sz w:val="24"/>
          <w:szCs w:val="24"/>
        </w:rPr>
        <w:lastRenderedPageBreak/>
        <w:t>Iranian authorities are increasingly carrying out executions of Afghan nationals</w:t>
      </w:r>
      <w:r w:rsidR="004D1915" w:rsidRPr="004A4E9F">
        <w:rPr>
          <w:color w:val="auto"/>
          <w:sz w:val="24"/>
          <w:szCs w:val="24"/>
        </w:rPr>
        <w:t>.</w:t>
      </w:r>
      <w:r w:rsidR="004D1915" w:rsidRPr="004A4E9F">
        <w:rPr>
          <w:rStyle w:val="FootnoteReference"/>
          <w:color w:val="auto"/>
          <w:sz w:val="24"/>
          <w:szCs w:val="24"/>
        </w:rPr>
        <w:footnoteReference w:id="44"/>
      </w:r>
      <w:r w:rsidR="004D1915" w:rsidRPr="004A4E9F">
        <w:rPr>
          <w:color w:val="auto"/>
          <w:sz w:val="24"/>
          <w:szCs w:val="24"/>
        </w:rPr>
        <w:t xml:space="preserve"> In 2021</w:t>
      </w:r>
      <w:r w:rsidR="00283B64" w:rsidRPr="004A4E9F">
        <w:rPr>
          <w:color w:val="auto"/>
          <w:sz w:val="24"/>
          <w:szCs w:val="24"/>
        </w:rPr>
        <w:t>, the first executions</w:t>
      </w:r>
      <w:r w:rsidR="003A50AB" w:rsidRPr="004A4E9F">
        <w:rPr>
          <w:color w:val="auto"/>
          <w:sz w:val="24"/>
          <w:szCs w:val="24"/>
        </w:rPr>
        <w:t xml:space="preserve"> of Afghan nationals</w:t>
      </w:r>
      <w:r w:rsidR="00A721CE" w:rsidRPr="004A4E9F">
        <w:rPr>
          <w:color w:val="auto"/>
          <w:sz w:val="24"/>
          <w:szCs w:val="24"/>
        </w:rPr>
        <w:t xml:space="preserve"> </w:t>
      </w:r>
      <w:r w:rsidR="00283B64" w:rsidRPr="004A4E9F">
        <w:rPr>
          <w:color w:val="auto"/>
          <w:sz w:val="24"/>
          <w:szCs w:val="24"/>
        </w:rPr>
        <w:t>took place in September,</w:t>
      </w:r>
      <w:r w:rsidR="003A50AB" w:rsidRPr="004A4E9F">
        <w:rPr>
          <w:color w:val="auto"/>
          <w:sz w:val="24"/>
          <w:szCs w:val="24"/>
        </w:rPr>
        <w:t xml:space="preserve"> soon</w:t>
      </w:r>
      <w:r w:rsidR="00283B64" w:rsidRPr="004A4E9F">
        <w:rPr>
          <w:color w:val="auto"/>
          <w:sz w:val="24"/>
          <w:szCs w:val="24"/>
        </w:rPr>
        <w:t xml:space="preserve"> after the Taliban takeover in August</w:t>
      </w:r>
      <w:r w:rsidR="00974CD5" w:rsidRPr="004A4E9F">
        <w:rPr>
          <w:color w:val="auto"/>
          <w:sz w:val="24"/>
          <w:szCs w:val="24"/>
        </w:rPr>
        <w:t xml:space="preserve"> of that year, with a total of five executions in 2021.</w:t>
      </w:r>
      <w:r w:rsidR="00974CD5" w:rsidRPr="004A4E9F">
        <w:rPr>
          <w:rStyle w:val="FootnoteReference"/>
          <w:color w:val="auto"/>
          <w:sz w:val="24"/>
          <w:szCs w:val="24"/>
        </w:rPr>
        <w:footnoteReference w:id="45"/>
      </w:r>
      <w:r w:rsidR="00974CD5" w:rsidRPr="004A4E9F">
        <w:rPr>
          <w:color w:val="auto"/>
          <w:sz w:val="24"/>
          <w:szCs w:val="24"/>
        </w:rPr>
        <w:t xml:space="preserve"> In 2022, Iranian authorities executed 16 Afghan nationals, including one woman and one juvenile offender.</w:t>
      </w:r>
      <w:r w:rsidR="00974CD5" w:rsidRPr="004A4E9F">
        <w:rPr>
          <w:rStyle w:val="FootnoteReference"/>
          <w:color w:val="auto"/>
          <w:sz w:val="24"/>
          <w:szCs w:val="24"/>
        </w:rPr>
        <w:footnoteReference w:id="46"/>
      </w:r>
      <w:r w:rsidR="00AC510E" w:rsidRPr="004A4E9F">
        <w:rPr>
          <w:color w:val="auto"/>
          <w:sz w:val="24"/>
          <w:szCs w:val="24"/>
        </w:rPr>
        <w:t xml:space="preserve"> In 2023 the figure rose to 25.</w:t>
      </w:r>
      <w:r w:rsidR="00AC510E" w:rsidRPr="004A4E9F">
        <w:rPr>
          <w:rStyle w:val="FootnoteReference"/>
          <w:color w:val="auto"/>
          <w:sz w:val="24"/>
          <w:szCs w:val="24"/>
        </w:rPr>
        <w:footnoteReference w:id="47"/>
      </w:r>
      <w:r w:rsidR="00AC510E" w:rsidRPr="004A4E9F">
        <w:rPr>
          <w:color w:val="auto"/>
          <w:sz w:val="24"/>
          <w:szCs w:val="24"/>
        </w:rPr>
        <w:t xml:space="preserve"> </w:t>
      </w:r>
      <w:r w:rsidR="00FC330B" w:rsidRPr="004A4E9F">
        <w:rPr>
          <w:color w:val="auto"/>
          <w:sz w:val="24"/>
          <w:szCs w:val="24"/>
        </w:rPr>
        <w:t xml:space="preserve">Two of those Afghan nationals were sentenced to death </w:t>
      </w:r>
      <w:r w:rsidR="00880D7C" w:rsidRPr="004A4E9F">
        <w:rPr>
          <w:color w:val="auto"/>
          <w:sz w:val="24"/>
          <w:szCs w:val="24"/>
        </w:rPr>
        <w:t>under the vaguely defined</w:t>
      </w:r>
      <w:r w:rsidR="00175455" w:rsidRPr="004A4E9F">
        <w:rPr>
          <w:color w:val="auto"/>
          <w:sz w:val="24"/>
          <w:szCs w:val="24"/>
        </w:rPr>
        <w:t xml:space="preserve"> political</w:t>
      </w:r>
      <w:r w:rsidR="00880D7C" w:rsidRPr="004A4E9F">
        <w:rPr>
          <w:color w:val="auto"/>
          <w:sz w:val="24"/>
          <w:szCs w:val="24"/>
        </w:rPr>
        <w:t xml:space="preserve"> crimes of </w:t>
      </w:r>
      <w:proofErr w:type="spellStart"/>
      <w:r w:rsidR="00880D7C" w:rsidRPr="004A4E9F">
        <w:rPr>
          <w:i/>
          <w:iCs/>
          <w:color w:val="auto"/>
          <w:sz w:val="24"/>
          <w:szCs w:val="24"/>
        </w:rPr>
        <w:t>efsad</w:t>
      </w:r>
      <w:proofErr w:type="spellEnd"/>
      <w:r w:rsidR="00880D7C" w:rsidRPr="004A4E9F">
        <w:rPr>
          <w:i/>
          <w:iCs/>
          <w:color w:val="auto"/>
          <w:sz w:val="24"/>
          <w:szCs w:val="24"/>
        </w:rPr>
        <w:t>-fil-</w:t>
      </w:r>
      <w:proofErr w:type="spellStart"/>
      <w:r w:rsidR="00880D7C" w:rsidRPr="004A4E9F">
        <w:rPr>
          <w:color w:val="auto"/>
          <w:sz w:val="24"/>
          <w:szCs w:val="24"/>
        </w:rPr>
        <w:t>arz</w:t>
      </w:r>
      <w:proofErr w:type="spellEnd"/>
      <w:r w:rsidR="00880D7C" w:rsidRPr="004A4E9F">
        <w:rPr>
          <w:color w:val="auto"/>
          <w:sz w:val="24"/>
          <w:szCs w:val="24"/>
        </w:rPr>
        <w:t xml:space="preserve">, </w:t>
      </w:r>
      <w:proofErr w:type="spellStart"/>
      <w:r w:rsidR="00880D7C" w:rsidRPr="004A4E9F">
        <w:rPr>
          <w:i/>
          <w:iCs/>
          <w:color w:val="auto"/>
          <w:sz w:val="24"/>
          <w:szCs w:val="24"/>
        </w:rPr>
        <w:t>baghy</w:t>
      </w:r>
      <w:proofErr w:type="spellEnd"/>
      <w:r w:rsidR="00880D7C" w:rsidRPr="004A4E9F">
        <w:rPr>
          <w:color w:val="auto"/>
          <w:sz w:val="24"/>
          <w:szCs w:val="24"/>
        </w:rPr>
        <w:t xml:space="preserve">, or </w:t>
      </w:r>
      <w:proofErr w:type="spellStart"/>
      <w:r w:rsidR="00880D7C" w:rsidRPr="004A4E9F">
        <w:rPr>
          <w:i/>
          <w:iCs/>
          <w:color w:val="auto"/>
          <w:sz w:val="24"/>
          <w:szCs w:val="24"/>
        </w:rPr>
        <w:t>moharebeh</w:t>
      </w:r>
      <w:proofErr w:type="spellEnd"/>
      <w:r w:rsidR="004B59CE" w:rsidRPr="004A4E9F">
        <w:rPr>
          <w:color w:val="auto"/>
          <w:sz w:val="24"/>
          <w:szCs w:val="24"/>
        </w:rPr>
        <w:t xml:space="preserve">, discussed in paragraph </w:t>
      </w:r>
      <w:r w:rsidR="004B59CE" w:rsidRPr="004A4E9F">
        <w:rPr>
          <w:color w:val="auto"/>
          <w:sz w:val="24"/>
          <w:szCs w:val="24"/>
        </w:rPr>
        <w:fldChar w:fldCharType="begin"/>
      </w:r>
      <w:r w:rsidR="004B59CE" w:rsidRPr="004A4E9F">
        <w:rPr>
          <w:color w:val="auto"/>
          <w:sz w:val="24"/>
          <w:szCs w:val="24"/>
        </w:rPr>
        <w:instrText xml:space="preserve"> REF _Ref165635596 \r \h </w:instrText>
      </w:r>
      <w:r w:rsidR="00EF4BC8" w:rsidRPr="004A4E9F">
        <w:rPr>
          <w:color w:val="auto"/>
          <w:sz w:val="24"/>
          <w:szCs w:val="24"/>
        </w:rPr>
        <w:instrText xml:space="preserve"> \* MERGEFORMAT </w:instrText>
      </w:r>
      <w:r w:rsidR="004B59CE" w:rsidRPr="004A4E9F">
        <w:rPr>
          <w:color w:val="auto"/>
          <w:sz w:val="24"/>
          <w:szCs w:val="24"/>
        </w:rPr>
      </w:r>
      <w:r w:rsidR="004B59CE" w:rsidRPr="004A4E9F">
        <w:rPr>
          <w:color w:val="auto"/>
          <w:sz w:val="24"/>
          <w:szCs w:val="24"/>
        </w:rPr>
        <w:fldChar w:fldCharType="separate"/>
      </w:r>
      <w:r w:rsidR="004B59CE" w:rsidRPr="004A4E9F">
        <w:rPr>
          <w:color w:val="auto"/>
          <w:sz w:val="24"/>
          <w:szCs w:val="24"/>
        </w:rPr>
        <w:t>7</w:t>
      </w:r>
      <w:r w:rsidR="004B59CE" w:rsidRPr="004A4E9F">
        <w:rPr>
          <w:color w:val="auto"/>
          <w:sz w:val="24"/>
          <w:szCs w:val="24"/>
        </w:rPr>
        <w:fldChar w:fldCharType="end"/>
      </w:r>
      <w:r w:rsidR="004B59CE" w:rsidRPr="004A4E9F">
        <w:rPr>
          <w:color w:val="auto"/>
          <w:sz w:val="24"/>
          <w:szCs w:val="24"/>
        </w:rPr>
        <w:t xml:space="preserve"> above.</w:t>
      </w:r>
      <w:r w:rsidR="00175455" w:rsidRPr="004A4E9F">
        <w:rPr>
          <w:rStyle w:val="FootnoteReference"/>
          <w:color w:val="auto"/>
          <w:sz w:val="24"/>
          <w:szCs w:val="24"/>
        </w:rPr>
        <w:footnoteReference w:id="48"/>
      </w:r>
      <w:r w:rsidR="00880D7C" w:rsidRPr="004A4E9F">
        <w:rPr>
          <w:color w:val="auto"/>
          <w:sz w:val="24"/>
          <w:szCs w:val="24"/>
        </w:rPr>
        <w:t xml:space="preserve"> </w:t>
      </w:r>
      <w:r w:rsidR="00AC510E" w:rsidRPr="004A4E9F">
        <w:rPr>
          <w:color w:val="auto"/>
          <w:sz w:val="24"/>
          <w:szCs w:val="24"/>
        </w:rPr>
        <w:t xml:space="preserve">IHRNGO </w:t>
      </w:r>
      <w:r w:rsidR="005E780F" w:rsidRPr="004A4E9F">
        <w:rPr>
          <w:color w:val="auto"/>
          <w:sz w:val="24"/>
          <w:szCs w:val="24"/>
        </w:rPr>
        <w:t xml:space="preserve">has evidence suggesting </w:t>
      </w:r>
      <w:r w:rsidR="00AC510E" w:rsidRPr="004A4E9F">
        <w:rPr>
          <w:color w:val="auto"/>
          <w:sz w:val="24"/>
          <w:szCs w:val="24"/>
        </w:rPr>
        <w:t>that Afghan nationals are disproportionately represented on death rows in Iran</w:t>
      </w:r>
      <w:r w:rsidR="00AD6328" w:rsidRPr="004A4E9F">
        <w:rPr>
          <w:color w:val="auto"/>
          <w:sz w:val="24"/>
          <w:szCs w:val="24"/>
        </w:rPr>
        <w:t xml:space="preserve">, but authorities typically do not announce executions of Afghan nationals </w:t>
      </w:r>
      <w:r w:rsidR="002318CF" w:rsidRPr="004A4E9F">
        <w:rPr>
          <w:color w:val="auto"/>
          <w:sz w:val="24"/>
          <w:szCs w:val="24"/>
        </w:rPr>
        <w:t>and Afghans under sentence of death do not usually have lawyers or a network of supporters who can raise awareness about their cases.</w:t>
      </w:r>
      <w:r w:rsidR="00B42148" w:rsidRPr="004A4E9F">
        <w:rPr>
          <w:rStyle w:val="FootnoteReference"/>
          <w:color w:val="auto"/>
          <w:sz w:val="24"/>
          <w:szCs w:val="24"/>
        </w:rPr>
        <w:footnoteReference w:id="49"/>
      </w:r>
      <w:r w:rsidR="00B62F52" w:rsidRPr="004A4E9F">
        <w:rPr>
          <w:color w:val="auto"/>
          <w:sz w:val="24"/>
          <w:szCs w:val="24"/>
        </w:rPr>
        <w:t xml:space="preserve"> Hence, the number of Afghan nationals under sentence of death may be even greater than the figures IHRNGO has been able to verify.</w:t>
      </w:r>
      <w:r w:rsidR="00B62F52" w:rsidRPr="004A4E9F">
        <w:rPr>
          <w:rStyle w:val="FootnoteReference"/>
          <w:color w:val="auto"/>
          <w:sz w:val="24"/>
          <w:szCs w:val="24"/>
        </w:rPr>
        <w:footnoteReference w:id="50"/>
      </w:r>
      <w:bookmarkEnd w:id="2"/>
    </w:p>
    <w:p w14:paraId="12B3ABBA" w14:textId="0F00B8CC" w:rsidR="001D25C3" w:rsidRPr="004A4E9F" w:rsidRDefault="001D25C3" w:rsidP="00E712D6">
      <w:pPr>
        <w:keepNext/>
        <w:numPr>
          <w:ilvl w:val="0"/>
          <w:numId w:val="8"/>
        </w:numPr>
        <w:spacing w:before="240" w:after="120"/>
        <w:ind w:left="720" w:hanging="360"/>
        <w:rPr>
          <w:b/>
          <w:color w:val="auto"/>
          <w:sz w:val="24"/>
          <w:szCs w:val="24"/>
        </w:rPr>
      </w:pPr>
      <w:r w:rsidRPr="004A4E9F">
        <w:rPr>
          <w:b/>
          <w:color w:val="auto"/>
          <w:sz w:val="24"/>
          <w:szCs w:val="24"/>
        </w:rPr>
        <w:t>Women belonging to ethnic minority groups may face double</w:t>
      </w:r>
      <w:r w:rsidR="00821188" w:rsidRPr="004A4E9F">
        <w:rPr>
          <w:b/>
          <w:color w:val="auto"/>
          <w:sz w:val="24"/>
          <w:szCs w:val="24"/>
        </w:rPr>
        <w:t xml:space="preserve"> </w:t>
      </w:r>
      <w:r w:rsidRPr="004A4E9F">
        <w:rPr>
          <w:b/>
          <w:color w:val="auto"/>
          <w:sz w:val="24"/>
          <w:szCs w:val="24"/>
        </w:rPr>
        <w:t xml:space="preserve">discrimination </w:t>
      </w:r>
      <w:r w:rsidR="00E712D6" w:rsidRPr="004A4E9F">
        <w:rPr>
          <w:b/>
          <w:color w:val="auto"/>
          <w:sz w:val="24"/>
          <w:szCs w:val="24"/>
        </w:rPr>
        <w:t xml:space="preserve">when they </w:t>
      </w:r>
      <w:proofErr w:type="gramStart"/>
      <w:r w:rsidR="00E712D6" w:rsidRPr="004A4E9F">
        <w:rPr>
          <w:b/>
          <w:color w:val="auto"/>
          <w:sz w:val="24"/>
          <w:szCs w:val="24"/>
        </w:rPr>
        <w:t>are in conflict with</w:t>
      </w:r>
      <w:proofErr w:type="gramEnd"/>
      <w:r w:rsidR="00E712D6" w:rsidRPr="004A4E9F">
        <w:rPr>
          <w:b/>
          <w:color w:val="auto"/>
          <w:sz w:val="24"/>
          <w:szCs w:val="24"/>
        </w:rPr>
        <w:t xml:space="preserve"> the law</w:t>
      </w:r>
      <w:r w:rsidR="003C458C">
        <w:rPr>
          <w:b/>
          <w:color w:val="auto"/>
          <w:sz w:val="24"/>
          <w:szCs w:val="24"/>
        </w:rPr>
        <w:t>.</w:t>
      </w:r>
    </w:p>
    <w:p w14:paraId="77018175" w14:textId="5BE0214B" w:rsidR="00E712D6" w:rsidRPr="004A4E9F" w:rsidRDefault="00E712D6" w:rsidP="00E712D6">
      <w:pPr>
        <w:numPr>
          <w:ilvl w:val="0"/>
          <w:numId w:val="7"/>
        </w:numPr>
        <w:spacing w:after="120"/>
        <w:ind w:left="360"/>
        <w:jc w:val="both"/>
        <w:rPr>
          <w:bCs/>
          <w:color w:val="auto"/>
          <w:sz w:val="24"/>
          <w:szCs w:val="24"/>
        </w:rPr>
      </w:pPr>
      <w:r w:rsidRPr="004A4E9F">
        <w:rPr>
          <w:bCs/>
          <w:color w:val="auto"/>
          <w:sz w:val="24"/>
          <w:szCs w:val="24"/>
        </w:rPr>
        <w:t xml:space="preserve">The Committee </w:t>
      </w:r>
      <w:r w:rsidR="00BD1015" w:rsidRPr="004A4E9F">
        <w:rPr>
          <w:bCs/>
          <w:color w:val="auto"/>
          <w:sz w:val="24"/>
          <w:szCs w:val="24"/>
        </w:rPr>
        <w:t xml:space="preserve">expressed concern </w:t>
      </w:r>
      <w:r w:rsidRPr="004A4E9F">
        <w:rPr>
          <w:bCs/>
          <w:color w:val="auto"/>
          <w:sz w:val="24"/>
          <w:szCs w:val="24"/>
        </w:rPr>
        <w:t xml:space="preserve">in its 2010 Concluding Observations that </w:t>
      </w:r>
      <w:r w:rsidR="00BD1015" w:rsidRPr="004A4E9F">
        <w:rPr>
          <w:bCs/>
          <w:color w:val="auto"/>
          <w:sz w:val="24"/>
          <w:szCs w:val="24"/>
        </w:rPr>
        <w:t>“women of minority origin may be at risk of facing double discrimination.”</w:t>
      </w:r>
      <w:r w:rsidR="00BD1015" w:rsidRPr="004A4E9F">
        <w:rPr>
          <w:rStyle w:val="FootnoteReference"/>
          <w:color w:val="auto"/>
          <w:sz w:val="24"/>
          <w:szCs w:val="24"/>
        </w:rPr>
        <w:footnoteReference w:id="51"/>
      </w:r>
      <w:r w:rsidR="00711521" w:rsidRPr="004A4E9F">
        <w:rPr>
          <w:bCs/>
          <w:color w:val="auto"/>
          <w:sz w:val="24"/>
          <w:szCs w:val="24"/>
        </w:rPr>
        <w:t xml:space="preserve"> The State Party Report describes various </w:t>
      </w:r>
      <w:r w:rsidR="00B93CA5" w:rsidRPr="004A4E9F">
        <w:rPr>
          <w:bCs/>
          <w:color w:val="auto"/>
          <w:sz w:val="24"/>
          <w:szCs w:val="24"/>
        </w:rPr>
        <w:t>measures to promote women’s empowerment and combat “any possible double discrimination against vulnerable women,”</w:t>
      </w:r>
      <w:r w:rsidR="00B93CA5" w:rsidRPr="004A4E9F">
        <w:rPr>
          <w:rStyle w:val="FootnoteReference"/>
          <w:color w:val="auto"/>
          <w:sz w:val="24"/>
          <w:szCs w:val="24"/>
        </w:rPr>
        <w:footnoteReference w:id="52"/>
      </w:r>
      <w:r w:rsidR="00A26F56" w:rsidRPr="004A4E9F">
        <w:rPr>
          <w:bCs/>
          <w:color w:val="auto"/>
          <w:sz w:val="24"/>
          <w:szCs w:val="24"/>
        </w:rPr>
        <w:t xml:space="preserve"> but makes no mention of </w:t>
      </w:r>
      <w:r w:rsidR="002969E6" w:rsidRPr="004A4E9F">
        <w:rPr>
          <w:bCs/>
          <w:color w:val="auto"/>
          <w:sz w:val="24"/>
          <w:szCs w:val="24"/>
        </w:rPr>
        <w:t xml:space="preserve">efforts to combat double discrimination against </w:t>
      </w:r>
      <w:r w:rsidR="00A26F56" w:rsidRPr="004A4E9F">
        <w:rPr>
          <w:bCs/>
          <w:color w:val="auto"/>
          <w:sz w:val="24"/>
          <w:szCs w:val="24"/>
        </w:rPr>
        <w:t>women in conflict with the law.</w:t>
      </w:r>
      <w:r w:rsidR="00A26F56" w:rsidRPr="004A4E9F">
        <w:rPr>
          <w:rStyle w:val="FootnoteReference"/>
          <w:color w:val="auto"/>
          <w:sz w:val="24"/>
          <w:szCs w:val="24"/>
        </w:rPr>
        <w:footnoteReference w:id="53"/>
      </w:r>
      <w:r w:rsidR="00B93CA5" w:rsidRPr="004A4E9F">
        <w:rPr>
          <w:bCs/>
          <w:color w:val="auto"/>
          <w:sz w:val="24"/>
          <w:szCs w:val="24"/>
        </w:rPr>
        <w:t xml:space="preserve"> </w:t>
      </w:r>
      <w:r w:rsidR="00CA6ABA" w:rsidRPr="004A4E9F">
        <w:rPr>
          <w:bCs/>
          <w:color w:val="auto"/>
          <w:sz w:val="24"/>
          <w:szCs w:val="24"/>
        </w:rPr>
        <w:t xml:space="preserve">As mentioned in paragraphs </w:t>
      </w:r>
      <w:r w:rsidR="002C1806" w:rsidRPr="004A4E9F">
        <w:rPr>
          <w:bCs/>
          <w:color w:val="auto"/>
          <w:sz w:val="24"/>
          <w:szCs w:val="24"/>
        </w:rPr>
        <w:fldChar w:fldCharType="begin"/>
      </w:r>
      <w:r w:rsidR="002C1806" w:rsidRPr="004A4E9F">
        <w:rPr>
          <w:bCs/>
          <w:color w:val="auto"/>
          <w:sz w:val="24"/>
          <w:szCs w:val="24"/>
        </w:rPr>
        <w:instrText xml:space="preserve"> REF _Ref165636164 \r \h </w:instrText>
      </w:r>
      <w:r w:rsidR="00EF4BC8" w:rsidRPr="004A4E9F">
        <w:rPr>
          <w:bCs/>
          <w:color w:val="auto"/>
          <w:sz w:val="24"/>
          <w:szCs w:val="24"/>
        </w:rPr>
        <w:instrText xml:space="preserve"> \* MERGEFORMAT </w:instrText>
      </w:r>
      <w:r w:rsidR="002C1806" w:rsidRPr="004A4E9F">
        <w:rPr>
          <w:bCs/>
          <w:color w:val="auto"/>
          <w:sz w:val="24"/>
          <w:szCs w:val="24"/>
        </w:rPr>
      </w:r>
      <w:r w:rsidR="002C1806" w:rsidRPr="004A4E9F">
        <w:rPr>
          <w:bCs/>
          <w:color w:val="auto"/>
          <w:sz w:val="24"/>
          <w:szCs w:val="24"/>
        </w:rPr>
        <w:fldChar w:fldCharType="separate"/>
      </w:r>
      <w:r w:rsidR="002C1806" w:rsidRPr="004A4E9F">
        <w:rPr>
          <w:bCs/>
          <w:color w:val="auto"/>
          <w:sz w:val="24"/>
          <w:szCs w:val="24"/>
        </w:rPr>
        <w:t>3</w:t>
      </w:r>
      <w:r w:rsidR="002C1806" w:rsidRPr="004A4E9F">
        <w:rPr>
          <w:bCs/>
          <w:color w:val="auto"/>
          <w:sz w:val="24"/>
          <w:szCs w:val="24"/>
        </w:rPr>
        <w:fldChar w:fldCharType="end"/>
      </w:r>
      <w:r w:rsidR="002C1806" w:rsidRPr="004A4E9F">
        <w:rPr>
          <w:bCs/>
          <w:color w:val="auto"/>
          <w:sz w:val="24"/>
          <w:szCs w:val="24"/>
        </w:rPr>
        <w:t xml:space="preserve"> and </w:t>
      </w:r>
      <w:r w:rsidR="002C1806" w:rsidRPr="004A4E9F">
        <w:rPr>
          <w:bCs/>
          <w:color w:val="auto"/>
          <w:sz w:val="24"/>
          <w:szCs w:val="24"/>
        </w:rPr>
        <w:fldChar w:fldCharType="begin"/>
      </w:r>
      <w:r w:rsidR="002C1806" w:rsidRPr="004A4E9F">
        <w:rPr>
          <w:bCs/>
          <w:color w:val="auto"/>
          <w:sz w:val="24"/>
          <w:szCs w:val="24"/>
        </w:rPr>
        <w:instrText xml:space="preserve"> REF _Ref165636169 \r \h </w:instrText>
      </w:r>
      <w:r w:rsidR="00EF4BC8" w:rsidRPr="004A4E9F">
        <w:rPr>
          <w:bCs/>
          <w:color w:val="auto"/>
          <w:sz w:val="24"/>
          <w:szCs w:val="24"/>
        </w:rPr>
        <w:instrText xml:space="preserve"> \* MERGEFORMAT </w:instrText>
      </w:r>
      <w:r w:rsidR="002C1806" w:rsidRPr="004A4E9F">
        <w:rPr>
          <w:bCs/>
          <w:color w:val="auto"/>
          <w:sz w:val="24"/>
          <w:szCs w:val="24"/>
        </w:rPr>
      </w:r>
      <w:r w:rsidR="002C1806" w:rsidRPr="004A4E9F">
        <w:rPr>
          <w:bCs/>
          <w:color w:val="auto"/>
          <w:sz w:val="24"/>
          <w:szCs w:val="24"/>
        </w:rPr>
        <w:fldChar w:fldCharType="separate"/>
      </w:r>
      <w:r w:rsidR="002C1806" w:rsidRPr="004A4E9F">
        <w:rPr>
          <w:bCs/>
          <w:color w:val="auto"/>
          <w:sz w:val="24"/>
          <w:szCs w:val="24"/>
        </w:rPr>
        <w:t>12</w:t>
      </w:r>
      <w:r w:rsidR="002C1806" w:rsidRPr="004A4E9F">
        <w:rPr>
          <w:bCs/>
          <w:color w:val="auto"/>
          <w:sz w:val="24"/>
          <w:szCs w:val="24"/>
        </w:rPr>
        <w:fldChar w:fldCharType="end"/>
      </w:r>
      <w:r w:rsidR="002C1806" w:rsidRPr="004A4E9F">
        <w:rPr>
          <w:bCs/>
          <w:color w:val="auto"/>
          <w:sz w:val="24"/>
          <w:szCs w:val="24"/>
        </w:rPr>
        <w:t xml:space="preserve">, Iranian authorities executed at least </w:t>
      </w:r>
      <w:r w:rsidR="0075367B">
        <w:rPr>
          <w:bCs/>
          <w:color w:val="auto"/>
          <w:sz w:val="24"/>
          <w:szCs w:val="24"/>
        </w:rPr>
        <w:t>5</w:t>
      </w:r>
      <w:r w:rsidR="002C1806" w:rsidRPr="004A4E9F">
        <w:rPr>
          <w:bCs/>
          <w:color w:val="auto"/>
          <w:sz w:val="24"/>
          <w:szCs w:val="24"/>
        </w:rPr>
        <w:t xml:space="preserve"> Baluch women in 2023 and executed at least one Afghan national woman in 2022.</w:t>
      </w:r>
      <w:r w:rsidR="0039616C">
        <w:rPr>
          <w:bCs/>
          <w:color w:val="auto"/>
          <w:sz w:val="24"/>
          <w:szCs w:val="24"/>
        </w:rPr>
        <w:t xml:space="preserve"> IHRNGO’s overall statistics show that Iranian authorities executed </w:t>
      </w:r>
      <w:r w:rsidR="00C52C36">
        <w:rPr>
          <w:bCs/>
          <w:color w:val="auto"/>
          <w:sz w:val="24"/>
          <w:szCs w:val="24"/>
        </w:rPr>
        <w:t>at least</w:t>
      </w:r>
      <w:r w:rsidR="00BC4EF3">
        <w:rPr>
          <w:bCs/>
          <w:color w:val="auto"/>
          <w:sz w:val="24"/>
          <w:szCs w:val="24"/>
        </w:rPr>
        <w:t xml:space="preserve"> 210 women between 2010 and 2023, including</w:t>
      </w:r>
      <w:r w:rsidR="00C52C36">
        <w:rPr>
          <w:bCs/>
          <w:color w:val="auto"/>
          <w:sz w:val="24"/>
          <w:szCs w:val="24"/>
        </w:rPr>
        <w:t xml:space="preserve"> </w:t>
      </w:r>
      <w:r w:rsidR="0075367B">
        <w:rPr>
          <w:bCs/>
          <w:color w:val="auto"/>
          <w:sz w:val="24"/>
          <w:szCs w:val="24"/>
        </w:rPr>
        <w:t>22 women in 2023.</w:t>
      </w:r>
      <w:r w:rsidR="0075367B">
        <w:rPr>
          <w:rStyle w:val="FootnoteReference"/>
          <w:bCs/>
          <w:color w:val="auto"/>
          <w:sz w:val="24"/>
          <w:szCs w:val="24"/>
        </w:rPr>
        <w:footnoteReference w:id="54"/>
      </w:r>
    </w:p>
    <w:p w14:paraId="51D0CAAD" w14:textId="79BE9409" w:rsidR="00BC543A" w:rsidRPr="004A4E9F" w:rsidRDefault="003C49C0" w:rsidP="00BC543A">
      <w:pPr>
        <w:numPr>
          <w:ilvl w:val="0"/>
          <w:numId w:val="7"/>
        </w:numPr>
        <w:spacing w:after="120"/>
        <w:ind w:left="360"/>
        <w:jc w:val="both"/>
        <w:rPr>
          <w:bCs/>
          <w:sz w:val="24"/>
          <w:szCs w:val="24"/>
        </w:rPr>
      </w:pPr>
      <w:r>
        <w:rPr>
          <w:sz w:val="24"/>
          <w:szCs w:val="24"/>
        </w:rPr>
        <w:lastRenderedPageBreak/>
        <w:t xml:space="preserve">According to </w:t>
      </w:r>
      <w:r w:rsidR="00917B1A">
        <w:rPr>
          <w:sz w:val="24"/>
          <w:szCs w:val="24"/>
        </w:rPr>
        <w:t xml:space="preserve">a groundbreaking study by </w:t>
      </w:r>
      <w:r>
        <w:rPr>
          <w:sz w:val="24"/>
          <w:szCs w:val="24"/>
        </w:rPr>
        <w:t>the Cornell Center on the Death Penalty Worldwide, “</w:t>
      </w:r>
      <w:r w:rsidR="00DF097F">
        <w:rPr>
          <w:sz w:val="24"/>
          <w:szCs w:val="24"/>
        </w:rPr>
        <w:t>Iranian human rights lawyers estimate that there are dozens of women on death row in Iran.”</w:t>
      </w:r>
      <w:r w:rsidR="00DF097F">
        <w:rPr>
          <w:rStyle w:val="FootnoteReference"/>
          <w:sz w:val="24"/>
          <w:szCs w:val="24"/>
        </w:rPr>
        <w:footnoteReference w:id="55"/>
      </w:r>
      <w:r w:rsidR="00DF097F">
        <w:rPr>
          <w:sz w:val="24"/>
          <w:szCs w:val="24"/>
        </w:rPr>
        <w:t xml:space="preserve"> </w:t>
      </w:r>
      <w:r w:rsidR="00FB5CA3">
        <w:rPr>
          <w:sz w:val="24"/>
          <w:szCs w:val="24"/>
        </w:rPr>
        <w:t xml:space="preserve">Iran is one of the </w:t>
      </w:r>
      <w:r w:rsidR="00316CFB">
        <w:rPr>
          <w:sz w:val="24"/>
          <w:szCs w:val="24"/>
        </w:rPr>
        <w:t>world’s two leading executioners of women.</w:t>
      </w:r>
      <w:r w:rsidR="00316CFB">
        <w:rPr>
          <w:rStyle w:val="FootnoteReference"/>
          <w:sz w:val="24"/>
          <w:szCs w:val="24"/>
        </w:rPr>
        <w:footnoteReference w:id="56"/>
      </w:r>
      <w:r w:rsidR="00316CFB">
        <w:rPr>
          <w:sz w:val="24"/>
          <w:szCs w:val="24"/>
        </w:rPr>
        <w:t xml:space="preserve"> </w:t>
      </w:r>
      <w:r w:rsidR="0091339E">
        <w:rPr>
          <w:sz w:val="24"/>
          <w:szCs w:val="24"/>
        </w:rPr>
        <w:t>Civil society reports suggest that most women on death row</w:t>
      </w:r>
      <w:r w:rsidR="00346F96">
        <w:rPr>
          <w:sz w:val="24"/>
          <w:szCs w:val="24"/>
        </w:rPr>
        <w:t xml:space="preserve"> in Iran</w:t>
      </w:r>
      <w:r w:rsidR="0091339E">
        <w:rPr>
          <w:sz w:val="24"/>
          <w:szCs w:val="24"/>
        </w:rPr>
        <w:t xml:space="preserve"> </w:t>
      </w:r>
      <w:r w:rsidR="00613E6E">
        <w:rPr>
          <w:sz w:val="24"/>
          <w:szCs w:val="24"/>
        </w:rPr>
        <w:t>have been sentenced to death for killing their abusive husbands.</w:t>
      </w:r>
      <w:r w:rsidR="00613E6E">
        <w:rPr>
          <w:rStyle w:val="FootnoteReference"/>
          <w:sz w:val="24"/>
          <w:szCs w:val="24"/>
        </w:rPr>
        <w:footnoteReference w:id="57"/>
      </w:r>
      <w:r w:rsidR="00C75984">
        <w:rPr>
          <w:sz w:val="24"/>
          <w:szCs w:val="24"/>
        </w:rPr>
        <w:t xml:space="preserve"> </w:t>
      </w:r>
      <w:r w:rsidR="00860026">
        <w:rPr>
          <w:sz w:val="24"/>
          <w:szCs w:val="24"/>
        </w:rPr>
        <w:t xml:space="preserve">Indeed, IHRNGO reports that at least 6 of the 22 </w:t>
      </w:r>
      <w:r w:rsidR="008B2727">
        <w:rPr>
          <w:sz w:val="24"/>
          <w:szCs w:val="24"/>
        </w:rPr>
        <w:t>women known to have been executed in 2023 had been sentenced to death for killing their husbands.</w:t>
      </w:r>
      <w:r w:rsidR="008B2727">
        <w:rPr>
          <w:rStyle w:val="FootnoteReference"/>
          <w:sz w:val="24"/>
          <w:szCs w:val="24"/>
        </w:rPr>
        <w:footnoteReference w:id="58"/>
      </w:r>
      <w:r w:rsidR="008B2727">
        <w:rPr>
          <w:sz w:val="24"/>
          <w:szCs w:val="24"/>
        </w:rPr>
        <w:t xml:space="preserve"> </w:t>
      </w:r>
      <w:r w:rsidR="00C75984">
        <w:rPr>
          <w:sz w:val="24"/>
          <w:szCs w:val="24"/>
        </w:rPr>
        <w:t xml:space="preserve">The Cornell </w:t>
      </w:r>
      <w:r w:rsidR="00346F96">
        <w:rPr>
          <w:sz w:val="24"/>
          <w:szCs w:val="24"/>
        </w:rPr>
        <w:t>Center</w:t>
      </w:r>
      <w:r w:rsidR="00C75984">
        <w:rPr>
          <w:sz w:val="24"/>
          <w:szCs w:val="24"/>
        </w:rPr>
        <w:t xml:space="preserve"> reports that </w:t>
      </w:r>
      <w:r w:rsidR="003135E4">
        <w:rPr>
          <w:sz w:val="24"/>
          <w:szCs w:val="24"/>
        </w:rPr>
        <w:t>“[</w:t>
      </w:r>
      <w:proofErr w:type="spellStart"/>
      <w:r w:rsidR="003135E4">
        <w:rPr>
          <w:sz w:val="24"/>
          <w:szCs w:val="24"/>
        </w:rPr>
        <w:t>i</w:t>
      </w:r>
      <w:proofErr w:type="spellEnd"/>
      <w:r w:rsidR="003135E4">
        <w:rPr>
          <w:sz w:val="24"/>
          <w:szCs w:val="24"/>
        </w:rPr>
        <w:t>]n many cases, these women were married at a young age, without the right to divorce their assailants.”</w:t>
      </w:r>
      <w:r w:rsidR="003135E4">
        <w:rPr>
          <w:rStyle w:val="FootnoteReference"/>
          <w:sz w:val="24"/>
          <w:szCs w:val="24"/>
        </w:rPr>
        <w:footnoteReference w:id="59"/>
      </w:r>
      <w:r w:rsidR="00BB22E3">
        <w:rPr>
          <w:sz w:val="24"/>
          <w:szCs w:val="24"/>
        </w:rPr>
        <w:t xml:space="preserve"> At least two of the women executed in 2023 had been child brides.</w:t>
      </w:r>
      <w:r w:rsidR="00BB22E3">
        <w:rPr>
          <w:rStyle w:val="FootnoteReference"/>
          <w:sz w:val="24"/>
          <w:szCs w:val="24"/>
        </w:rPr>
        <w:footnoteReference w:id="60"/>
      </w:r>
      <w:r w:rsidR="003849D9">
        <w:rPr>
          <w:sz w:val="24"/>
          <w:szCs w:val="24"/>
        </w:rPr>
        <w:t xml:space="preserve"> </w:t>
      </w:r>
      <w:r w:rsidR="00BC543A">
        <w:rPr>
          <w:bCs/>
          <w:sz w:val="24"/>
          <w:szCs w:val="24"/>
        </w:rPr>
        <w:t>On a global scale, m</w:t>
      </w:r>
      <w:r w:rsidR="00BC543A" w:rsidRPr="004A4E9F">
        <w:rPr>
          <w:bCs/>
          <w:sz w:val="24"/>
          <w:szCs w:val="24"/>
        </w:rPr>
        <w:t>any women under sentence of death are victims of gender-based violence.</w:t>
      </w:r>
      <w:r w:rsidR="00BC543A" w:rsidRPr="004A4E9F">
        <w:rPr>
          <w:rStyle w:val="FootnoteReference"/>
          <w:bCs/>
          <w:sz w:val="24"/>
          <w:szCs w:val="24"/>
        </w:rPr>
        <w:footnoteReference w:id="61"/>
      </w:r>
      <w:r w:rsidR="00BC543A" w:rsidRPr="004A4E9F">
        <w:rPr>
          <w:bCs/>
          <w:sz w:val="24"/>
          <w:szCs w:val="24"/>
        </w:rPr>
        <w:t xml:space="preserve"> In many countries that retain the death penalty, however, courts fail to take into account a defendant’s experience as a survivor of gender-based violence when making sentencing decisions.</w:t>
      </w:r>
      <w:r w:rsidR="00BC543A" w:rsidRPr="004A4E9F">
        <w:rPr>
          <w:rStyle w:val="FootnoteReference"/>
          <w:bCs/>
          <w:sz w:val="24"/>
          <w:szCs w:val="24"/>
        </w:rPr>
        <w:footnoteReference w:id="62"/>
      </w:r>
    </w:p>
    <w:p w14:paraId="27662EE7" w14:textId="56BBB6FB" w:rsidR="00346F96" w:rsidRDefault="003849D9" w:rsidP="00EF4BC8">
      <w:pPr>
        <w:numPr>
          <w:ilvl w:val="0"/>
          <w:numId w:val="7"/>
        </w:numPr>
        <w:spacing w:after="120"/>
        <w:ind w:left="360"/>
        <w:jc w:val="both"/>
        <w:rPr>
          <w:sz w:val="24"/>
          <w:szCs w:val="24"/>
        </w:rPr>
      </w:pPr>
      <w:r>
        <w:rPr>
          <w:sz w:val="24"/>
          <w:szCs w:val="24"/>
        </w:rPr>
        <w:t>Drug trafficking is the second most common offense for which women in Iran are sentenced to death</w:t>
      </w:r>
      <w:r w:rsidR="009813EE">
        <w:rPr>
          <w:sz w:val="24"/>
          <w:szCs w:val="24"/>
        </w:rPr>
        <w:t xml:space="preserve">, and in many cases these women </w:t>
      </w:r>
      <w:r w:rsidR="00E612FE">
        <w:rPr>
          <w:sz w:val="24"/>
          <w:szCs w:val="24"/>
        </w:rPr>
        <w:t>have come from disadvantaged socio-economic backgrounds, had no previous criminal history, and were found with only small quantities of narcotics.</w:t>
      </w:r>
      <w:r>
        <w:rPr>
          <w:rStyle w:val="FootnoteReference"/>
          <w:sz w:val="24"/>
          <w:szCs w:val="24"/>
        </w:rPr>
        <w:footnoteReference w:id="63"/>
      </w:r>
      <w:r w:rsidR="00B14A57">
        <w:rPr>
          <w:sz w:val="24"/>
          <w:szCs w:val="24"/>
        </w:rPr>
        <w:t xml:space="preserve"> At least three of the women executed in 2023 had been sentenced to death for drug-related offenses.</w:t>
      </w:r>
      <w:r w:rsidR="00B14A57">
        <w:rPr>
          <w:rStyle w:val="FootnoteReference"/>
          <w:sz w:val="24"/>
          <w:szCs w:val="24"/>
        </w:rPr>
        <w:footnoteReference w:id="64"/>
      </w:r>
    </w:p>
    <w:p w14:paraId="34C85343" w14:textId="1FDD621A" w:rsidR="002C5AA9" w:rsidRPr="00917B1A" w:rsidRDefault="00150946" w:rsidP="00D776F9">
      <w:pPr>
        <w:numPr>
          <w:ilvl w:val="0"/>
          <w:numId w:val="7"/>
        </w:numPr>
        <w:spacing w:after="120"/>
        <w:ind w:left="360"/>
        <w:jc w:val="both"/>
        <w:rPr>
          <w:sz w:val="24"/>
          <w:szCs w:val="24"/>
        </w:rPr>
      </w:pPr>
      <w:r w:rsidRPr="00917B1A">
        <w:rPr>
          <w:sz w:val="24"/>
          <w:szCs w:val="24"/>
        </w:rPr>
        <w:t xml:space="preserve">Women in Iran are also at risk of being sentenced to death </w:t>
      </w:r>
      <w:r w:rsidR="00AD67EE" w:rsidRPr="00917B1A">
        <w:rPr>
          <w:sz w:val="24"/>
          <w:szCs w:val="24"/>
        </w:rPr>
        <w:t>for sexual morality offenses</w:t>
      </w:r>
      <w:r w:rsidR="007B13B6" w:rsidRPr="00917B1A">
        <w:rPr>
          <w:sz w:val="24"/>
          <w:szCs w:val="24"/>
        </w:rPr>
        <w:t xml:space="preserve"> such as adultery</w:t>
      </w:r>
      <w:r w:rsidR="00AD67EE" w:rsidRPr="00917B1A">
        <w:rPr>
          <w:sz w:val="24"/>
          <w:szCs w:val="24"/>
        </w:rPr>
        <w:t>.</w:t>
      </w:r>
      <w:r w:rsidR="00AD67EE">
        <w:rPr>
          <w:rStyle w:val="FootnoteReference"/>
          <w:sz w:val="24"/>
          <w:szCs w:val="24"/>
        </w:rPr>
        <w:footnoteReference w:id="65"/>
      </w:r>
      <w:r w:rsidR="007D0C11" w:rsidRPr="00917B1A">
        <w:rPr>
          <w:sz w:val="24"/>
          <w:szCs w:val="24"/>
        </w:rPr>
        <w:t xml:space="preserve"> According to the Cornell </w:t>
      </w:r>
      <w:r w:rsidR="00917B1A">
        <w:rPr>
          <w:sz w:val="24"/>
          <w:szCs w:val="24"/>
        </w:rPr>
        <w:t>Center</w:t>
      </w:r>
      <w:r w:rsidR="007D0C11" w:rsidRPr="00917B1A">
        <w:rPr>
          <w:sz w:val="24"/>
          <w:szCs w:val="24"/>
        </w:rPr>
        <w:t>, “[</w:t>
      </w:r>
      <w:proofErr w:type="spellStart"/>
      <w:r w:rsidR="007D0C11" w:rsidRPr="00917B1A">
        <w:rPr>
          <w:sz w:val="24"/>
          <w:szCs w:val="24"/>
        </w:rPr>
        <w:t>i</w:t>
      </w:r>
      <w:proofErr w:type="spellEnd"/>
      <w:r w:rsidR="007D0C11" w:rsidRPr="00917B1A">
        <w:rPr>
          <w:sz w:val="24"/>
          <w:szCs w:val="24"/>
        </w:rPr>
        <w:t>]n Iran, married rape victims are at risk of execution for adultery</w:t>
      </w:r>
      <w:r w:rsidR="006055A1" w:rsidRPr="00917B1A">
        <w:rPr>
          <w:sz w:val="24"/>
          <w:szCs w:val="24"/>
        </w:rPr>
        <w:t>.”</w:t>
      </w:r>
      <w:r w:rsidR="006055A1">
        <w:rPr>
          <w:rStyle w:val="FootnoteReference"/>
          <w:sz w:val="24"/>
          <w:szCs w:val="24"/>
        </w:rPr>
        <w:footnoteReference w:id="66"/>
      </w:r>
      <w:r w:rsidR="007B13B6" w:rsidRPr="00917B1A">
        <w:rPr>
          <w:sz w:val="24"/>
          <w:szCs w:val="24"/>
        </w:rPr>
        <w:t xml:space="preserve"> In one case, “a woman forced by her abusive husband into prostitution was convicted as an accomplice to murder when one of her male clients killed her husband. She was . . . sentenced to death by stoning for adultery. The male client, in contrast, was sentenced to a jail term of eight years.”</w:t>
      </w:r>
      <w:r w:rsidR="007B13B6">
        <w:rPr>
          <w:rStyle w:val="FootnoteReference"/>
          <w:sz w:val="24"/>
          <w:szCs w:val="24"/>
        </w:rPr>
        <w:footnoteReference w:id="67"/>
      </w:r>
      <w:r w:rsidR="00917B1A">
        <w:rPr>
          <w:sz w:val="24"/>
          <w:szCs w:val="24"/>
        </w:rPr>
        <w:t xml:space="preserve"> </w:t>
      </w:r>
      <w:r w:rsidR="002C5AA9" w:rsidRPr="00917B1A">
        <w:rPr>
          <w:sz w:val="24"/>
          <w:szCs w:val="24"/>
        </w:rPr>
        <w:t xml:space="preserve">Women in Iran also can face the death penalty </w:t>
      </w:r>
      <w:r w:rsidR="002C5AA9" w:rsidRPr="00917B1A">
        <w:rPr>
          <w:sz w:val="24"/>
          <w:szCs w:val="24"/>
        </w:rPr>
        <w:lastRenderedPageBreak/>
        <w:t>for terrorism-related offenses.</w:t>
      </w:r>
      <w:r w:rsidR="002C5AA9">
        <w:rPr>
          <w:rStyle w:val="FootnoteReference"/>
          <w:sz w:val="24"/>
          <w:szCs w:val="24"/>
        </w:rPr>
        <w:footnoteReference w:id="68"/>
      </w:r>
      <w:r w:rsidR="00014870">
        <w:rPr>
          <w:sz w:val="24"/>
          <w:szCs w:val="24"/>
        </w:rPr>
        <w:t xml:space="preserve"> IHRNGO reports that</w:t>
      </w:r>
      <w:r w:rsidR="00C86F43">
        <w:rPr>
          <w:sz w:val="24"/>
          <w:szCs w:val="24"/>
        </w:rPr>
        <w:t xml:space="preserve"> in 2023</w:t>
      </w:r>
      <w:r w:rsidR="00014870">
        <w:rPr>
          <w:sz w:val="24"/>
          <w:szCs w:val="24"/>
        </w:rPr>
        <w:t xml:space="preserve"> Iran executed one woman for alleged espionage for Israel.</w:t>
      </w:r>
      <w:r w:rsidR="00014870">
        <w:rPr>
          <w:rStyle w:val="FootnoteReference"/>
          <w:sz w:val="24"/>
          <w:szCs w:val="24"/>
        </w:rPr>
        <w:footnoteReference w:id="69"/>
      </w:r>
    </w:p>
    <w:p w14:paraId="060363BC" w14:textId="055D5DBA" w:rsidR="00EF4BC8" w:rsidRPr="004A4E9F" w:rsidRDefault="00EF4BC8" w:rsidP="00EF4BC8">
      <w:pPr>
        <w:numPr>
          <w:ilvl w:val="0"/>
          <w:numId w:val="7"/>
        </w:numPr>
        <w:spacing w:after="120"/>
        <w:ind w:left="360"/>
        <w:jc w:val="both"/>
        <w:rPr>
          <w:sz w:val="24"/>
          <w:szCs w:val="24"/>
        </w:rPr>
      </w:pPr>
      <w:r w:rsidRPr="004A4E9F">
        <w:rPr>
          <w:sz w:val="24"/>
          <w:szCs w:val="24"/>
        </w:rPr>
        <w:t xml:space="preserve">Global trends show that women sentenced to death face intersectional discrimination.  According to </w:t>
      </w:r>
      <w:r w:rsidR="00917B1A">
        <w:rPr>
          <w:sz w:val="24"/>
          <w:szCs w:val="24"/>
        </w:rPr>
        <w:t>the Cornell study</w:t>
      </w:r>
      <w:r w:rsidRPr="004A4E9F">
        <w:rPr>
          <w:sz w:val="24"/>
          <w:szCs w:val="24"/>
        </w:rPr>
        <w:t xml:space="preserve">, </w:t>
      </w:r>
      <w:r w:rsidRPr="004A4E9F">
        <w:rPr>
          <w:bCs/>
          <w:color w:val="auto"/>
          <w:sz w:val="24"/>
          <w:szCs w:val="24"/>
        </w:rPr>
        <w:t>most</w:t>
      </w:r>
      <w:r w:rsidRPr="004A4E9F">
        <w:rPr>
          <w:sz w:val="24"/>
          <w:szCs w:val="24"/>
        </w:rPr>
        <w:t xml:space="preserve"> women on death row come from backgrounds of severe socio-economic deprivation and many are illiterate, which can reinforce unequal access to effective legal representation.</w:t>
      </w:r>
      <w:r w:rsidRPr="004A4E9F">
        <w:rPr>
          <w:rStyle w:val="FootnoteReference"/>
          <w:sz w:val="24"/>
          <w:szCs w:val="24"/>
        </w:rPr>
        <w:footnoteReference w:id="70"/>
      </w:r>
      <w:r w:rsidRPr="004A4E9F">
        <w:rPr>
          <w:sz w:val="24"/>
          <w:szCs w:val="24"/>
        </w:rPr>
        <w:t xml:space="preserve"> This intersectional discrimination exacerbates the risk that a woman charged with a capital crime will be subjected to an unfair trial.  </w:t>
      </w:r>
    </w:p>
    <w:p w14:paraId="4B15CC95" w14:textId="77777777" w:rsidR="00EF4BC8" w:rsidRPr="004A4E9F" w:rsidRDefault="00EF4BC8" w:rsidP="00EF4BC8">
      <w:pPr>
        <w:numPr>
          <w:ilvl w:val="0"/>
          <w:numId w:val="7"/>
        </w:numPr>
        <w:spacing w:after="120"/>
        <w:ind w:left="360"/>
        <w:jc w:val="both"/>
        <w:rPr>
          <w:sz w:val="24"/>
          <w:szCs w:val="24"/>
        </w:rPr>
      </w:pPr>
      <w:r w:rsidRPr="004A4E9F">
        <w:rPr>
          <w:sz w:val="24"/>
          <w:szCs w:val="24"/>
        </w:rPr>
        <w:t xml:space="preserve">The Cornell study found that many women in criminal legal systems throughout the world, and the vast majority of </w:t>
      </w:r>
      <w:r w:rsidRPr="004A4E9F">
        <w:rPr>
          <w:color w:val="auto"/>
          <w:sz w:val="24"/>
          <w:szCs w:val="24"/>
        </w:rPr>
        <w:t>women</w:t>
      </w:r>
      <w:r w:rsidRPr="004A4E9F">
        <w:rPr>
          <w:sz w:val="24"/>
          <w:szCs w:val="24"/>
        </w:rPr>
        <w:t xml:space="preserve"> on death row, are from poor and marginalized communities.</w:t>
      </w:r>
      <w:r w:rsidRPr="004A4E9F">
        <w:rPr>
          <w:rStyle w:val="FootnoteReference"/>
          <w:sz w:val="24"/>
          <w:szCs w:val="24"/>
        </w:rPr>
        <w:footnoteReference w:id="71"/>
      </w:r>
      <w:r w:rsidRPr="004A4E9F">
        <w:rPr>
          <w:sz w:val="24"/>
          <w:szCs w:val="24"/>
        </w:rPr>
        <w:t xml:space="preserve"> Most women who are detained are unable to afford a lawyer, and are more likely to be illiterate and unaware of their legal rights.</w:t>
      </w:r>
      <w:r w:rsidRPr="004A4E9F">
        <w:rPr>
          <w:rStyle w:val="FootnoteReference"/>
          <w:sz w:val="24"/>
          <w:szCs w:val="24"/>
        </w:rPr>
        <w:footnoteReference w:id="72"/>
      </w:r>
      <w:r w:rsidRPr="004A4E9F">
        <w:rPr>
          <w:sz w:val="24"/>
          <w:szCs w:val="24"/>
        </w:rPr>
        <w:t xml:space="preserve">  Illiteracy and lack of education among poor women leave them more vulnerable to discrimination, coercion, and exploitation.”</w:t>
      </w:r>
      <w:r w:rsidRPr="004A4E9F">
        <w:rPr>
          <w:rStyle w:val="FootnoteReference"/>
          <w:sz w:val="24"/>
          <w:szCs w:val="24"/>
        </w:rPr>
        <w:footnoteReference w:id="73"/>
      </w:r>
    </w:p>
    <w:p w14:paraId="1AF36200" w14:textId="2172DFCE" w:rsidR="00EF4BC8" w:rsidRPr="001B09C5" w:rsidRDefault="004A4E9F" w:rsidP="00264DD5">
      <w:pPr>
        <w:numPr>
          <w:ilvl w:val="0"/>
          <w:numId w:val="7"/>
        </w:numPr>
        <w:spacing w:after="120"/>
        <w:ind w:left="360"/>
        <w:jc w:val="both"/>
        <w:rPr>
          <w:bCs/>
          <w:color w:val="auto"/>
          <w:sz w:val="24"/>
          <w:szCs w:val="24"/>
        </w:rPr>
      </w:pPr>
      <w:r w:rsidRPr="001B09C5">
        <w:rPr>
          <w:sz w:val="24"/>
          <w:szCs w:val="24"/>
        </w:rPr>
        <w:t>Research by the Cornell Center shows that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sidRPr="004A4E9F">
        <w:rPr>
          <w:rStyle w:val="FootnoteReference"/>
          <w:sz w:val="24"/>
          <w:szCs w:val="24"/>
        </w:rPr>
        <w:footnoteReference w:id="74"/>
      </w:r>
      <w:r w:rsidR="00C620C0" w:rsidRPr="001B09C5">
        <w:rPr>
          <w:sz w:val="24"/>
          <w:szCs w:val="24"/>
        </w:rPr>
        <w:t xml:space="preserve"> One Iranian lawyer</w:t>
      </w:r>
      <w:r w:rsidR="00F712D4" w:rsidRPr="001B09C5">
        <w:rPr>
          <w:sz w:val="24"/>
          <w:szCs w:val="24"/>
        </w:rPr>
        <w:t xml:space="preserve"> told Cornell researchers that </w:t>
      </w:r>
      <w:r w:rsidR="0038510D" w:rsidRPr="001B09C5">
        <w:rPr>
          <w:sz w:val="24"/>
          <w:szCs w:val="24"/>
        </w:rPr>
        <w:t>“courts trying women capital defendants judge their whole lives, and not just the offense with which they are charged (particularly in cases where the defendant is accused of killing her spouse).”</w:t>
      </w:r>
      <w:r w:rsidR="00C60B2E">
        <w:rPr>
          <w:rStyle w:val="FootnoteReference"/>
          <w:sz w:val="24"/>
          <w:szCs w:val="24"/>
        </w:rPr>
        <w:footnoteReference w:id="75"/>
      </w:r>
    </w:p>
    <w:p w14:paraId="16B4C1AA" w14:textId="32CB662F" w:rsidR="00085935" w:rsidRPr="004A4E9F" w:rsidRDefault="00111994" w:rsidP="00E114C5">
      <w:pPr>
        <w:keepNext/>
        <w:numPr>
          <w:ilvl w:val="0"/>
          <w:numId w:val="8"/>
        </w:numPr>
        <w:spacing w:before="240" w:after="120"/>
        <w:ind w:left="720" w:hanging="360"/>
        <w:rPr>
          <w:b/>
          <w:color w:val="auto"/>
          <w:sz w:val="24"/>
          <w:szCs w:val="24"/>
        </w:rPr>
      </w:pPr>
      <w:r w:rsidRPr="004A4E9F">
        <w:rPr>
          <w:b/>
          <w:color w:val="auto"/>
          <w:sz w:val="24"/>
          <w:szCs w:val="24"/>
        </w:rPr>
        <w:t xml:space="preserve">Suggested </w:t>
      </w:r>
      <w:r w:rsidR="00EA0EEB" w:rsidRPr="004A4E9F">
        <w:rPr>
          <w:b/>
          <w:color w:val="auto"/>
          <w:sz w:val="24"/>
          <w:szCs w:val="24"/>
        </w:rPr>
        <w:t>questions</w:t>
      </w:r>
      <w:r w:rsidR="00836CE3">
        <w:rPr>
          <w:b/>
          <w:color w:val="auto"/>
          <w:sz w:val="24"/>
          <w:szCs w:val="24"/>
        </w:rPr>
        <w:t xml:space="preserve"> and themes</w:t>
      </w:r>
      <w:r w:rsidR="00255789" w:rsidRPr="004A4E9F">
        <w:rPr>
          <w:b/>
          <w:color w:val="auto"/>
          <w:sz w:val="24"/>
          <w:szCs w:val="24"/>
        </w:rPr>
        <w:t xml:space="preserve"> for</w:t>
      </w:r>
      <w:r w:rsidR="000A66B8" w:rsidRPr="004A4E9F">
        <w:rPr>
          <w:b/>
          <w:color w:val="auto"/>
          <w:sz w:val="24"/>
          <w:szCs w:val="24"/>
        </w:rPr>
        <w:t xml:space="preserve"> the Government of </w:t>
      </w:r>
      <w:r w:rsidR="0071651E" w:rsidRPr="004A4E9F">
        <w:rPr>
          <w:b/>
          <w:color w:val="auto"/>
          <w:sz w:val="24"/>
          <w:szCs w:val="24"/>
        </w:rPr>
        <w:t>Iran</w:t>
      </w:r>
      <w:r w:rsidR="000C380B" w:rsidRPr="004A4E9F">
        <w:rPr>
          <w:color w:val="auto"/>
          <w:sz w:val="24"/>
          <w:szCs w:val="24"/>
        </w:rPr>
        <w:t>:</w:t>
      </w:r>
      <w:r w:rsidR="00EA0EEB" w:rsidRPr="004A4E9F">
        <w:rPr>
          <w:b/>
          <w:color w:val="auto"/>
          <w:sz w:val="24"/>
          <w:szCs w:val="24"/>
        </w:rPr>
        <w:t xml:space="preserve"> </w:t>
      </w:r>
    </w:p>
    <w:p w14:paraId="2F7646A4" w14:textId="198B096C" w:rsidR="00255789" w:rsidRPr="004A4E9F" w:rsidRDefault="0071651E" w:rsidP="0071651E">
      <w:pPr>
        <w:numPr>
          <w:ilvl w:val="0"/>
          <w:numId w:val="7"/>
        </w:numPr>
        <w:spacing w:after="120"/>
        <w:ind w:left="360"/>
        <w:jc w:val="both"/>
        <w:rPr>
          <w:color w:val="auto"/>
          <w:sz w:val="24"/>
          <w:szCs w:val="24"/>
        </w:rPr>
      </w:pPr>
      <w:r w:rsidRPr="004A4E9F">
        <w:rPr>
          <w:color w:val="auto"/>
          <w:sz w:val="24"/>
          <w:szCs w:val="24"/>
        </w:rPr>
        <w:t xml:space="preserve">The coauthors suggest the following questions </w:t>
      </w:r>
      <w:r w:rsidR="00836CE3">
        <w:rPr>
          <w:color w:val="auto"/>
          <w:sz w:val="24"/>
          <w:szCs w:val="24"/>
        </w:rPr>
        <w:t xml:space="preserve">and themes </w:t>
      </w:r>
      <w:r w:rsidRPr="004A4E9F">
        <w:rPr>
          <w:color w:val="auto"/>
          <w:sz w:val="24"/>
          <w:szCs w:val="24"/>
        </w:rPr>
        <w:t xml:space="preserve">for the Committee’s List of Themes: </w:t>
      </w:r>
    </w:p>
    <w:p w14:paraId="6780C32D" w14:textId="72E92047" w:rsidR="00F51AFD" w:rsidRPr="004A4E9F" w:rsidRDefault="000A0A89" w:rsidP="00974E48">
      <w:pPr>
        <w:numPr>
          <w:ilvl w:val="1"/>
          <w:numId w:val="7"/>
        </w:numPr>
        <w:spacing w:after="120"/>
        <w:jc w:val="both"/>
        <w:rPr>
          <w:color w:val="auto"/>
          <w:sz w:val="24"/>
          <w:szCs w:val="24"/>
        </w:rPr>
      </w:pPr>
      <w:r>
        <w:rPr>
          <w:color w:val="auto"/>
          <w:sz w:val="24"/>
          <w:szCs w:val="24"/>
        </w:rPr>
        <w:t>Provide an update on efforts to document the demographic composition of the population of the State party</w:t>
      </w:r>
      <w:r w:rsidR="00DE118E">
        <w:rPr>
          <w:color w:val="auto"/>
          <w:sz w:val="24"/>
          <w:szCs w:val="24"/>
        </w:rPr>
        <w:t xml:space="preserve">, </w:t>
      </w:r>
      <w:r w:rsidR="00EE2D14">
        <w:rPr>
          <w:color w:val="auto"/>
          <w:sz w:val="24"/>
          <w:szCs w:val="24"/>
        </w:rPr>
        <w:t xml:space="preserve">both </w:t>
      </w:r>
      <w:r w:rsidR="002A736F">
        <w:rPr>
          <w:color w:val="auto"/>
          <w:sz w:val="24"/>
          <w:szCs w:val="24"/>
        </w:rPr>
        <w:t>for</w:t>
      </w:r>
      <w:r w:rsidR="00EE2D14">
        <w:rPr>
          <w:color w:val="auto"/>
          <w:sz w:val="24"/>
          <w:szCs w:val="24"/>
        </w:rPr>
        <w:t xml:space="preserve"> the overall population and </w:t>
      </w:r>
      <w:r w:rsidR="00DE118E">
        <w:rPr>
          <w:color w:val="auto"/>
          <w:sz w:val="24"/>
          <w:szCs w:val="24"/>
        </w:rPr>
        <w:t>particularly regarding people</w:t>
      </w:r>
      <w:r>
        <w:rPr>
          <w:color w:val="auto"/>
          <w:sz w:val="24"/>
          <w:szCs w:val="24"/>
        </w:rPr>
        <w:t xml:space="preserve"> in conflict with the law, including people arrested, charged, prosecuted, and </w:t>
      </w:r>
      <w:r w:rsidR="008847F0">
        <w:rPr>
          <w:color w:val="auto"/>
          <w:sz w:val="24"/>
          <w:szCs w:val="24"/>
        </w:rPr>
        <w:t>sentenced,</w:t>
      </w:r>
      <w:r w:rsidR="00665339">
        <w:rPr>
          <w:color w:val="auto"/>
          <w:sz w:val="24"/>
          <w:szCs w:val="24"/>
        </w:rPr>
        <w:t xml:space="preserve"> particularly people sentenced to death or executed,</w:t>
      </w:r>
      <w:r w:rsidR="008847F0">
        <w:rPr>
          <w:color w:val="auto"/>
          <w:sz w:val="24"/>
          <w:szCs w:val="24"/>
        </w:rPr>
        <w:t xml:space="preserve"> </w:t>
      </w:r>
      <w:proofErr w:type="gramStart"/>
      <w:r w:rsidR="008847F0">
        <w:rPr>
          <w:color w:val="auto"/>
          <w:sz w:val="24"/>
          <w:szCs w:val="24"/>
        </w:rPr>
        <w:t>in particular minority</w:t>
      </w:r>
      <w:proofErr w:type="gramEnd"/>
      <w:r w:rsidR="008847F0">
        <w:rPr>
          <w:color w:val="auto"/>
          <w:sz w:val="24"/>
          <w:szCs w:val="24"/>
        </w:rPr>
        <w:t xml:space="preserve"> groups, foreign nationals, and women.</w:t>
      </w:r>
      <w:r w:rsidR="00916773">
        <w:rPr>
          <w:color w:val="auto"/>
          <w:sz w:val="24"/>
          <w:szCs w:val="24"/>
        </w:rPr>
        <w:t xml:space="preserve"> Describe the systems in place to collect </w:t>
      </w:r>
      <w:r w:rsidR="00EE2D14">
        <w:rPr>
          <w:color w:val="auto"/>
          <w:sz w:val="24"/>
          <w:szCs w:val="24"/>
        </w:rPr>
        <w:t xml:space="preserve">and maintain </w:t>
      </w:r>
      <w:r w:rsidR="00916773">
        <w:rPr>
          <w:color w:val="auto"/>
          <w:sz w:val="24"/>
          <w:szCs w:val="24"/>
        </w:rPr>
        <w:t xml:space="preserve">such data from people </w:t>
      </w:r>
      <w:r w:rsidR="00EE2D14">
        <w:rPr>
          <w:color w:val="auto"/>
          <w:sz w:val="24"/>
          <w:szCs w:val="24"/>
        </w:rPr>
        <w:t>who are arrested or charged with crimes.</w:t>
      </w:r>
    </w:p>
    <w:p w14:paraId="1324F7EE" w14:textId="3D7ABD6D" w:rsidR="0073180A" w:rsidRDefault="00C82671" w:rsidP="00974E48">
      <w:pPr>
        <w:numPr>
          <w:ilvl w:val="1"/>
          <w:numId w:val="7"/>
        </w:numPr>
        <w:spacing w:after="120"/>
        <w:jc w:val="both"/>
        <w:rPr>
          <w:color w:val="auto"/>
          <w:sz w:val="24"/>
          <w:szCs w:val="24"/>
        </w:rPr>
      </w:pPr>
      <w:r>
        <w:rPr>
          <w:color w:val="auto"/>
          <w:sz w:val="24"/>
          <w:szCs w:val="24"/>
        </w:rPr>
        <w:lastRenderedPageBreak/>
        <w:t>Respond to civil society reports that provinces with significant ethnic minority populations account for a larger number of executions, both on a numerical basis and per capita.</w:t>
      </w:r>
    </w:p>
    <w:p w14:paraId="4A272984" w14:textId="42CC6953" w:rsidR="00665339" w:rsidRDefault="00665339" w:rsidP="00974E48">
      <w:pPr>
        <w:numPr>
          <w:ilvl w:val="1"/>
          <w:numId w:val="7"/>
        </w:numPr>
        <w:spacing w:after="120"/>
        <w:jc w:val="both"/>
        <w:rPr>
          <w:color w:val="auto"/>
          <w:sz w:val="24"/>
          <w:szCs w:val="24"/>
        </w:rPr>
      </w:pPr>
      <w:r>
        <w:rPr>
          <w:color w:val="auto"/>
          <w:sz w:val="24"/>
          <w:szCs w:val="24"/>
        </w:rPr>
        <w:t xml:space="preserve">Provide </w:t>
      </w:r>
      <w:r w:rsidR="005F73B7">
        <w:rPr>
          <w:color w:val="auto"/>
          <w:sz w:val="24"/>
          <w:szCs w:val="24"/>
        </w:rPr>
        <w:t>data about people sentenced to death and executed over the last five years, disaggregated by ethnicity, nationality, gender, crime of conviction, relationship to any victim or codefendant</w:t>
      </w:r>
      <w:r w:rsidR="00146DA9">
        <w:rPr>
          <w:color w:val="auto"/>
          <w:sz w:val="24"/>
          <w:szCs w:val="24"/>
        </w:rPr>
        <w:t>, age of any dependent children</w:t>
      </w:r>
      <w:r w:rsidR="00093218">
        <w:rPr>
          <w:color w:val="auto"/>
          <w:sz w:val="24"/>
          <w:szCs w:val="24"/>
        </w:rPr>
        <w:t>, court of conviction</w:t>
      </w:r>
      <w:r w:rsidR="003010CE">
        <w:rPr>
          <w:color w:val="auto"/>
          <w:sz w:val="24"/>
          <w:szCs w:val="24"/>
        </w:rPr>
        <w:t>, and whether the defendant had legal representation or interpretation during legal proceedings</w:t>
      </w:r>
      <w:r w:rsidR="00146DA9">
        <w:rPr>
          <w:color w:val="auto"/>
          <w:sz w:val="24"/>
          <w:szCs w:val="24"/>
        </w:rPr>
        <w:t>.</w:t>
      </w:r>
    </w:p>
    <w:p w14:paraId="13BB3982" w14:textId="3B870FE5" w:rsidR="00963467" w:rsidRDefault="002D2024" w:rsidP="00974E48">
      <w:pPr>
        <w:numPr>
          <w:ilvl w:val="1"/>
          <w:numId w:val="7"/>
        </w:numPr>
        <w:spacing w:after="120"/>
        <w:jc w:val="both"/>
        <w:rPr>
          <w:color w:val="auto"/>
          <w:sz w:val="24"/>
          <w:szCs w:val="24"/>
        </w:rPr>
      </w:pPr>
      <w:r>
        <w:rPr>
          <w:color w:val="auto"/>
          <w:sz w:val="24"/>
          <w:szCs w:val="24"/>
        </w:rPr>
        <w:t xml:space="preserve">Describe efforts to implement </w:t>
      </w:r>
      <w:r w:rsidR="0080034F">
        <w:rPr>
          <w:color w:val="auto"/>
          <w:sz w:val="24"/>
          <w:szCs w:val="24"/>
        </w:rPr>
        <w:t xml:space="preserve">the Committee’s </w:t>
      </w:r>
      <w:r>
        <w:rPr>
          <w:color w:val="auto"/>
          <w:sz w:val="24"/>
          <w:szCs w:val="24"/>
        </w:rPr>
        <w:t>general recommendation No. 31 (2005) on the prevention of racial discrimination in the administration and functioning of the criminal justice system</w:t>
      </w:r>
      <w:r w:rsidR="00D50981">
        <w:rPr>
          <w:color w:val="auto"/>
          <w:sz w:val="24"/>
          <w:szCs w:val="24"/>
        </w:rPr>
        <w:t>, particularly pertaining to ethnic minorities in conflict with the law.</w:t>
      </w:r>
    </w:p>
    <w:p w14:paraId="021B0885" w14:textId="3AED139E" w:rsidR="00CB4D72" w:rsidRDefault="000911B3" w:rsidP="00974E48">
      <w:pPr>
        <w:numPr>
          <w:ilvl w:val="1"/>
          <w:numId w:val="7"/>
        </w:numPr>
        <w:spacing w:after="120"/>
        <w:jc w:val="both"/>
        <w:rPr>
          <w:color w:val="auto"/>
          <w:sz w:val="24"/>
          <w:szCs w:val="24"/>
        </w:rPr>
      </w:pPr>
      <w:r>
        <w:rPr>
          <w:color w:val="auto"/>
          <w:sz w:val="24"/>
          <w:szCs w:val="24"/>
        </w:rPr>
        <w:t>Describe measures taken to ensure that the death penalty is not available as a potential punishment for any offense that does not include an intentional killing by the defendan</w:t>
      </w:r>
      <w:r w:rsidR="002C1E8D">
        <w:rPr>
          <w:color w:val="auto"/>
          <w:sz w:val="24"/>
          <w:szCs w:val="24"/>
        </w:rPr>
        <w:t>t.</w:t>
      </w:r>
    </w:p>
    <w:p w14:paraId="262171E6" w14:textId="6416A923" w:rsidR="002C24CE" w:rsidRDefault="002C24CE" w:rsidP="00974E48">
      <w:pPr>
        <w:numPr>
          <w:ilvl w:val="1"/>
          <w:numId w:val="7"/>
        </w:numPr>
        <w:spacing w:after="120"/>
        <w:jc w:val="both"/>
        <w:rPr>
          <w:color w:val="auto"/>
          <w:sz w:val="24"/>
          <w:szCs w:val="24"/>
        </w:rPr>
      </w:pPr>
      <w:r>
        <w:rPr>
          <w:color w:val="auto"/>
          <w:sz w:val="24"/>
          <w:szCs w:val="24"/>
        </w:rPr>
        <w:t xml:space="preserve">Describe measures taken to </w:t>
      </w:r>
      <w:r w:rsidR="00B4341D">
        <w:rPr>
          <w:color w:val="auto"/>
          <w:sz w:val="24"/>
          <w:szCs w:val="24"/>
        </w:rPr>
        <w:t>combat stereotyping and racial discrimination on state media regarding people in conflict with the law</w:t>
      </w:r>
      <w:r w:rsidR="007F4D76">
        <w:rPr>
          <w:color w:val="auto"/>
          <w:sz w:val="24"/>
          <w:szCs w:val="24"/>
        </w:rPr>
        <w:t>, particularly regarding protesters and people charged with political offenses.</w:t>
      </w:r>
    </w:p>
    <w:p w14:paraId="35D937D3" w14:textId="5C30E497" w:rsidR="00621E08" w:rsidRDefault="00DD19DF" w:rsidP="00974E48">
      <w:pPr>
        <w:numPr>
          <w:ilvl w:val="1"/>
          <w:numId w:val="7"/>
        </w:numPr>
        <w:spacing w:after="120"/>
        <w:jc w:val="both"/>
        <w:rPr>
          <w:color w:val="auto"/>
          <w:sz w:val="24"/>
          <w:szCs w:val="24"/>
        </w:rPr>
      </w:pPr>
      <w:r>
        <w:rPr>
          <w:color w:val="auto"/>
          <w:sz w:val="24"/>
          <w:szCs w:val="24"/>
        </w:rPr>
        <w:t>Provide information about protections afforded to foreign nationals in conflict with the law, particularly regarding access to counsel, the right to consular notification</w:t>
      </w:r>
      <w:r w:rsidR="00E24050">
        <w:rPr>
          <w:color w:val="auto"/>
          <w:sz w:val="24"/>
          <w:szCs w:val="24"/>
        </w:rPr>
        <w:t>, and access to interpretation,</w:t>
      </w:r>
      <w:r w:rsidR="000F5D7B">
        <w:rPr>
          <w:color w:val="auto"/>
          <w:sz w:val="24"/>
          <w:szCs w:val="24"/>
        </w:rPr>
        <w:t xml:space="preserve"> </w:t>
      </w:r>
      <w:r w:rsidR="00D94760">
        <w:rPr>
          <w:color w:val="auto"/>
          <w:sz w:val="24"/>
          <w:szCs w:val="24"/>
        </w:rPr>
        <w:t xml:space="preserve">as well as </w:t>
      </w:r>
      <w:r w:rsidR="000F5D7B">
        <w:rPr>
          <w:color w:val="auto"/>
          <w:sz w:val="24"/>
          <w:szCs w:val="24"/>
        </w:rPr>
        <w:t xml:space="preserve">the extent to which foreign nationals </w:t>
      </w:r>
      <w:r w:rsidR="00D94760">
        <w:rPr>
          <w:color w:val="auto"/>
          <w:sz w:val="24"/>
          <w:szCs w:val="24"/>
        </w:rPr>
        <w:t xml:space="preserve">charged with capital crimes </w:t>
      </w:r>
      <w:r w:rsidR="000F5D7B">
        <w:rPr>
          <w:color w:val="auto"/>
          <w:sz w:val="24"/>
          <w:szCs w:val="24"/>
        </w:rPr>
        <w:t xml:space="preserve">exercise those </w:t>
      </w:r>
      <w:proofErr w:type="gramStart"/>
      <w:r w:rsidR="000F5D7B">
        <w:rPr>
          <w:color w:val="auto"/>
          <w:sz w:val="24"/>
          <w:szCs w:val="24"/>
        </w:rPr>
        <w:t>rights</w:t>
      </w:r>
      <w:r w:rsidR="002C1E8D">
        <w:rPr>
          <w:color w:val="auto"/>
          <w:sz w:val="24"/>
          <w:szCs w:val="24"/>
        </w:rPr>
        <w:t>,</w:t>
      </w:r>
      <w:r w:rsidR="00E24050">
        <w:rPr>
          <w:color w:val="auto"/>
          <w:sz w:val="24"/>
          <w:szCs w:val="24"/>
        </w:rPr>
        <w:t xml:space="preserve"> and</w:t>
      </w:r>
      <w:proofErr w:type="gramEnd"/>
      <w:r w:rsidR="00E24050">
        <w:rPr>
          <w:color w:val="auto"/>
          <w:sz w:val="24"/>
          <w:szCs w:val="24"/>
        </w:rPr>
        <w:t xml:space="preserve"> explain the reported increase in executions of Afghan nationals since September 2021.</w:t>
      </w:r>
    </w:p>
    <w:p w14:paraId="77BFE8FF" w14:textId="09A016D7" w:rsidR="00DD2B95" w:rsidRDefault="00DD2B95" w:rsidP="00974E48">
      <w:pPr>
        <w:numPr>
          <w:ilvl w:val="1"/>
          <w:numId w:val="7"/>
        </w:numPr>
        <w:spacing w:after="120"/>
        <w:jc w:val="both"/>
        <w:rPr>
          <w:color w:val="auto"/>
          <w:sz w:val="24"/>
          <w:szCs w:val="24"/>
        </w:rPr>
      </w:pPr>
      <w:r>
        <w:rPr>
          <w:color w:val="auto"/>
          <w:sz w:val="24"/>
          <w:szCs w:val="24"/>
        </w:rPr>
        <w:t xml:space="preserve">Describe safeguards in place to ensure that </w:t>
      </w:r>
      <w:r w:rsidR="00F471C8">
        <w:rPr>
          <w:color w:val="auto"/>
          <w:sz w:val="24"/>
          <w:szCs w:val="24"/>
        </w:rPr>
        <w:t xml:space="preserve">sentencing authorities </w:t>
      </w:r>
      <w:proofErr w:type="gramStart"/>
      <w:r w:rsidR="00F471C8">
        <w:rPr>
          <w:color w:val="auto"/>
          <w:sz w:val="24"/>
          <w:szCs w:val="24"/>
        </w:rPr>
        <w:t>take into account</w:t>
      </w:r>
      <w:proofErr w:type="gramEnd"/>
      <w:r w:rsidR="00F471C8">
        <w:rPr>
          <w:color w:val="auto"/>
          <w:sz w:val="24"/>
          <w:szCs w:val="24"/>
        </w:rPr>
        <w:t xml:space="preserve"> a woman’s experiences with </w:t>
      </w:r>
      <w:r w:rsidR="00320329">
        <w:rPr>
          <w:color w:val="auto"/>
          <w:sz w:val="24"/>
          <w:szCs w:val="24"/>
        </w:rPr>
        <w:t xml:space="preserve">child marriage and </w:t>
      </w:r>
      <w:r w:rsidR="00D94760">
        <w:rPr>
          <w:color w:val="auto"/>
          <w:sz w:val="24"/>
          <w:szCs w:val="24"/>
        </w:rPr>
        <w:t xml:space="preserve">other forms of </w:t>
      </w:r>
      <w:r w:rsidR="00F471C8">
        <w:rPr>
          <w:color w:val="auto"/>
          <w:sz w:val="24"/>
          <w:szCs w:val="24"/>
        </w:rPr>
        <w:t xml:space="preserve">gender-based violence, particularly at the hands of </w:t>
      </w:r>
      <w:r w:rsidR="004D6D19">
        <w:rPr>
          <w:color w:val="auto"/>
          <w:sz w:val="24"/>
          <w:szCs w:val="24"/>
        </w:rPr>
        <w:t>her spouse,</w:t>
      </w:r>
      <w:r w:rsidR="00F471C8">
        <w:rPr>
          <w:color w:val="auto"/>
          <w:sz w:val="24"/>
          <w:szCs w:val="24"/>
        </w:rPr>
        <w:t xml:space="preserve"> in determining whether to sentence her to death</w:t>
      </w:r>
      <w:r w:rsidR="004D6D19">
        <w:rPr>
          <w:color w:val="auto"/>
          <w:sz w:val="24"/>
          <w:szCs w:val="24"/>
        </w:rPr>
        <w:t xml:space="preserve"> for killing her spouse</w:t>
      </w:r>
      <w:r w:rsidR="00F471C8">
        <w:rPr>
          <w:color w:val="auto"/>
          <w:sz w:val="24"/>
          <w:szCs w:val="24"/>
        </w:rPr>
        <w:t>.</w:t>
      </w:r>
    </w:p>
    <w:p w14:paraId="6CF7FC95" w14:textId="1BC3423D" w:rsidR="004D6D19" w:rsidRDefault="00A171DF" w:rsidP="00974E48">
      <w:pPr>
        <w:numPr>
          <w:ilvl w:val="1"/>
          <w:numId w:val="7"/>
        </w:numPr>
        <w:spacing w:after="120"/>
        <w:jc w:val="both"/>
        <w:rPr>
          <w:color w:val="auto"/>
          <w:sz w:val="24"/>
          <w:szCs w:val="24"/>
        </w:rPr>
      </w:pPr>
      <w:r>
        <w:rPr>
          <w:color w:val="auto"/>
          <w:sz w:val="24"/>
          <w:szCs w:val="24"/>
        </w:rPr>
        <w:t xml:space="preserve">Describe the safeguards in the criminal legal system to guard against double discrimination against </w:t>
      </w:r>
      <w:r w:rsidR="00E301C6">
        <w:rPr>
          <w:color w:val="auto"/>
          <w:sz w:val="24"/>
          <w:szCs w:val="24"/>
        </w:rPr>
        <w:t>vulnerable women in conflict with the law.</w:t>
      </w:r>
    </w:p>
    <w:p w14:paraId="52456CE4" w14:textId="1601B65C" w:rsidR="006A5D60" w:rsidRDefault="006A5D60" w:rsidP="00974E48">
      <w:pPr>
        <w:numPr>
          <w:ilvl w:val="1"/>
          <w:numId w:val="7"/>
        </w:numPr>
        <w:spacing w:after="120"/>
        <w:jc w:val="both"/>
        <w:rPr>
          <w:color w:val="auto"/>
          <w:sz w:val="24"/>
          <w:szCs w:val="24"/>
        </w:rPr>
      </w:pPr>
      <w:r>
        <w:rPr>
          <w:color w:val="auto"/>
          <w:sz w:val="24"/>
          <w:szCs w:val="24"/>
        </w:rPr>
        <w:t>How</w:t>
      </w:r>
      <w:r w:rsidR="00906C73">
        <w:rPr>
          <w:color w:val="auto"/>
          <w:sz w:val="24"/>
          <w:szCs w:val="24"/>
        </w:rPr>
        <w:t xml:space="preserve"> does the State party ensure that judges, prosecutors, defense counsel, police, and other individuals in positions of power within the criminal legal system are knowledgeable about gender-based discrimination, domestic violence, and tactics of coercive control that may lead women to commit death-eligible offenses? Specifically, what training programs regarding gender-based violence and tactics of coercive control are available for judges and other actors within the criminal legal system?</w:t>
      </w:r>
    </w:p>
    <w:p w14:paraId="4AB08B37" w14:textId="7DA4D6B9" w:rsidR="00D62C5E" w:rsidRDefault="00D62C5E" w:rsidP="00974E48">
      <w:pPr>
        <w:numPr>
          <w:ilvl w:val="1"/>
          <w:numId w:val="7"/>
        </w:numPr>
        <w:spacing w:after="120"/>
        <w:jc w:val="both"/>
        <w:rPr>
          <w:color w:val="auto"/>
          <w:sz w:val="24"/>
          <w:szCs w:val="24"/>
        </w:rPr>
      </w:pPr>
      <w:r>
        <w:rPr>
          <w:color w:val="auto"/>
          <w:sz w:val="24"/>
          <w:szCs w:val="24"/>
        </w:rPr>
        <w:t xml:space="preserve">Describe any steps the State party has taken to build support for abolition of the death penalty among lawmakers and the </w:t>
      </w:r>
      <w:proofErr w:type="gramStart"/>
      <w:r>
        <w:rPr>
          <w:color w:val="auto"/>
          <w:sz w:val="24"/>
          <w:szCs w:val="24"/>
        </w:rPr>
        <w:t>general public</w:t>
      </w:r>
      <w:proofErr w:type="gramEnd"/>
      <w:r>
        <w:rPr>
          <w:color w:val="auto"/>
          <w:sz w:val="24"/>
          <w:szCs w:val="24"/>
        </w:rPr>
        <w:t xml:space="preserve"> and, in the interim, to institute a de jure moratorium on executions.</w:t>
      </w:r>
    </w:p>
    <w:p w14:paraId="2B82D507" w14:textId="5D1B3F96" w:rsidR="00D62C5E" w:rsidRPr="004B6410" w:rsidRDefault="00287F6F" w:rsidP="00496488">
      <w:pPr>
        <w:numPr>
          <w:ilvl w:val="1"/>
          <w:numId w:val="7"/>
        </w:numPr>
        <w:spacing w:after="120"/>
        <w:jc w:val="both"/>
        <w:rPr>
          <w:color w:val="auto"/>
          <w:sz w:val="24"/>
          <w:szCs w:val="24"/>
        </w:rPr>
      </w:pPr>
      <w:r w:rsidRPr="004B6410">
        <w:rPr>
          <w:color w:val="auto"/>
          <w:sz w:val="24"/>
          <w:szCs w:val="24"/>
        </w:rPr>
        <w:t xml:space="preserve">What measures has the State </w:t>
      </w:r>
      <w:r w:rsidR="00D62C5E" w:rsidRPr="004B6410">
        <w:rPr>
          <w:color w:val="auto"/>
          <w:sz w:val="24"/>
          <w:szCs w:val="24"/>
        </w:rPr>
        <w:t>p</w:t>
      </w:r>
      <w:r w:rsidRPr="004B6410">
        <w:rPr>
          <w:color w:val="auto"/>
          <w:sz w:val="24"/>
          <w:szCs w:val="24"/>
        </w:rPr>
        <w:t xml:space="preserve">arty taken to consult and expand its dialogue with </w:t>
      </w:r>
      <w:r w:rsidR="00AE1240" w:rsidRPr="004B6410">
        <w:rPr>
          <w:color w:val="auto"/>
          <w:sz w:val="24"/>
          <w:szCs w:val="24"/>
        </w:rPr>
        <w:t xml:space="preserve">civil society </w:t>
      </w:r>
      <w:r w:rsidRPr="004B6410">
        <w:rPr>
          <w:color w:val="auto"/>
          <w:sz w:val="24"/>
          <w:szCs w:val="24"/>
        </w:rPr>
        <w:t xml:space="preserve">organizations working </w:t>
      </w:r>
      <w:proofErr w:type="gramStart"/>
      <w:r w:rsidRPr="004B6410">
        <w:rPr>
          <w:color w:val="auto"/>
          <w:sz w:val="24"/>
          <w:szCs w:val="24"/>
        </w:rPr>
        <w:t>in the area of</w:t>
      </w:r>
      <w:proofErr w:type="gramEnd"/>
      <w:r w:rsidRPr="004B6410">
        <w:rPr>
          <w:color w:val="auto"/>
          <w:sz w:val="24"/>
          <w:szCs w:val="24"/>
        </w:rPr>
        <w:t xml:space="preserve"> human rights protection, </w:t>
      </w:r>
      <w:r w:rsidRPr="004B6410">
        <w:rPr>
          <w:color w:val="auto"/>
          <w:sz w:val="24"/>
          <w:szCs w:val="24"/>
        </w:rPr>
        <w:lastRenderedPageBreak/>
        <w:t xml:space="preserve">particularly </w:t>
      </w:r>
      <w:r w:rsidR="00BD7833" w:rsidRPr="004B6410">
        <w:rPr>
          <w:color w:val="auto"/>
          <w:sz w:val="24"/>
          <w:szCs w:val="24"/>
        </w:rPr>
        <w:t>combatting racial discrimination in the context of the criminal legal system</w:t>
      </w:r>
      <w:r w:rsidR="00E9544B" w:rsidRPr="004B6410">
        <w:rPr>
          <w:color w:val="auto"/>
          <w:sz w:val="24"/>
          <w:szCs w:val="24"/>
        </w:rPr>
        <w:t>?</w:t>
      </w:r>
    </w:p>
    <w:sectPr w:rsidR="00D62C5E" w:rsidRPr="004B6410" w:rsidSect="002C47C0">
      <w:headerReference w:type="default"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99B80" w14:textId="77777777" w:rsidR="002C47C0" w:rsidRDefault="002C47C0">
      <w:r>
        <w:separator/>
      </w:r>
    </w:p>
  </w:endnote>
  <w:endnote w:type="continuationSeparator" w:id="0">
    <w:p w14:paraId="0B3E9543" w14:textId="77777777" w:rsidR="002C47C0" w:rsidRDefault="002C47C0">
      <w:r>
        <w:continuationSeparator/>
      </w:r>
    </w:p>
  </w:endnote>
  <w:endnote w:type="continuationNotice" w:id="1">
    <w:p w14:paraId="0761356D" w14:textId="77777777" w:rsidR="002C47C0" w:rsidRDefault="002C4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CABAC"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716E099E" w14:textId="43CB87A5" w:rsidR="00804604" w:rsidRPr="000F3447" w:rsidRDefault="00B71664" w:rsidP="000F3447">
    <w:pPr>
      <w:widowControl w:val="0"/>
      <w:jc w:val="center"/>
      <w:rPr>
        <w:i/>
        <w:iCs/>
        <w:color w:val="542344"/>
        <w:lang w:val="en"/>
      </w:rPr>
    </w:pPr>
    <w:r>
      <w:rPr>
        <w:color w:val="333333"/>
        <w:lang w:val="en"/>
      </w:rPr>
      <w:t>The Advocates for Human Rights</w:t>
    </w:r>
    <w:r w:rsidRPr="000F3447">
      <w:rPr>
        <w:color w:val="333333"/>
        <w:lang w:val="en"/>
      </w:rPr>
      <w:t xml:space="preserve"> • </w:t>
    </w:r>
    <w:r w:rsidR="00804604" w:rsidRPr="000F3447">
      <w:rPr>
        <w:color w:val="333333"/>
        <w:lang w:val="en"/>
      </w:rPr>
      <w:t>330 Second Avenue South • Suite 800 • Minneapo</w:t>
    </w:r>
    <w:r w:rsidR="000C380B" w:rsidRPr="000F3447">
      <w:rPr>
        <w:color w:val="333333"/>
        <w:lang w:val="en"/>
      </w:rPr>
      <w:t xml:space="preserve">lis, MN </w:t>
    </w:r>
    <w:r w:rsidR="00804604" w:rsidRPr="000F3447">
      <w:rPr>
        <w:color w:val="333333"/>
        <w:lang w:val="en"/>
      </w:rPr>
      <w:t>55401</w:t>
    </w:r>
    <w:r w:rsidR="000C380B" w:rsidRPr="000F3447">
      <w:rPr>
        <w:color w:val="333333"/>
        <w:lang w:val="en"/>
      </w:rPr>
      <w:t xml:space="preserve"> </w:t>
    </w:r>
    <w:r w:rsidR="00804604" w:rsidRPr="000F3447">
      <w:rPr>
        <w:color w:val="333333"/>
        <w:lang w:val="en"/>
      </w:rPr>
      <w:t>• USA</w:t>
    </w:r>
  </w:p>
  <w:p w14:paraId="2573E5F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5C12E" w14:textId="77777777" w:rsidR="002C47C0" w:rsidRDefault="002C47C0">
      <w:r>
        <w:separator/>
      </w:r>
    </w:p>
  </w:footnote>
  <w:footnote w:type="continuationSeparator" w:id="0">
    <w:p w14:paraId="7DF4AA69" w14:textId="77777777" w:rsidR="002C47C0" w:rsidRDefault="002C47C0">
      <w:r>
        <w:continuationSeparator/>
      </w:r>
    </w:p>
  </w:footnote>
  <w:footnote w:type="continuationNotice" w:id="1">
    <w:p w14:paraId="1483F44A" w14:textId="77777777" w:rsidR="002C47C0" w:rsidRDefault="002C47C0"/>
  </w:footnote>
  <w:footnote w:id="2">
    <w:p w14:paraId="5D91464F" w14:textId="5EDF5B27" w:rsidR="00A76AD1" w:rsidRDefault="00A76AD1">
      <w:pPr>
        <w:pStyle w:val="FootnoteText"/>
      </w:pPr>
      <w:r w:rsidRPr="00A76AD1">
        <w:rPr>
          <w:rStyle w:val="FootnoteReference"/>
        </w:rPr>
        <w:sym w:font="Symbol" w:char="F02A"/>
      </w:r>
      <w:r>
        <w:t xml:space="preserve"> </w:t>
      </w:r>
      <w:r>
        <w:t>Resubmitted 10 May 2024 to reflect additional coauthors on the cover pages.</w:t>
      </w:r>
    </w:p>
  </w:footnote>
  <w:footnote w:id="3">
    <w:p w14:paraId="1EE62DF9" w14:textId="77E521B8" w:rsidR="00042BFC" w:rsidRPr="00730E99" w:rsidRDefault="00042BFC" w:rsidP="00042BFC">
      <w:pPr>
        <w:pStyle w:val="FootnoteText"/>
      </w:pPr>
      <w:r w:rsidRPr="00730E99">
        <w:rPr>
          <w:rStyle w:val="FootnoteReference"/>
        </w:rPr>
        <w:footnoteRef/>
      </w:r>
      <w:r w:rsidRPr="00730E99">
        <w:t xml:space="preserve"> Iran Human Rights and ECPM, Annual Report on the Death Penalty in Iran 2023, at 16, https://iranhr.net/media/files/Iran_Human_Rights-Annual_Report_2023.pdf.</w:t>
      </w:r>
    </w:p>
  </w:footnote>
  <w:footnote w:id="4">
    <w:p w14:paraId="00872CCB" w14:textId="77777777" w:rsidR="000A2EFC" w:rsidRPr="00730E99" w:rsidRDefault="000A2EFC" w:rsidP="000A2EFC">
      <w:pPr>
        <w:pStyle w:val="FootnoteText"/>
      </w:pPr>
      <w:r w:rsidRPr="00730E99">
        <w:rPr>
          <w:rStyle w:val="FootnoteReference"/>
        </w:rPr>
        <w:footnoteRef/>
      </w:r>
      <w:r w:rsidRPr="00730E99">
        <w:t xml:space="preserve"> Iran Human Rights and ECPM, Annual Report on the Death Penalty in Iran 2023, at 16, https://iranhr.net/media/files/Iran_Human_Rights-Annual_Report_2023.pdf.</w:t>
      </w:r>
    </w:p>
  </w:footnote>
  <w:footnote w:id="5">
    <w:p w14:paraId="43B6DBB5" w14:textId="744DC00F" w:rsidR="00322428" w:rsidRPr="00730E99" w:rsidRDefault="00322428">
      <w:pPr>
        <w:pStyle w:val="FootnoteText"/>
      </w:pPr>
      <w:r w:rsidRPr="00730E99">
        <w:rPr>
          <w:rStyle w:val="FootnoteReference"/>
        </w:rPr>
        <w:footnoteRef/>
      </w:r>
      <w:r w:rsidRPr="00730E99">
        <w:t xml:space="preserve"> </w:t>
      </w:r>
      <w:r w:rsidR="005D5A7F" w:rsidRPr="00730E99">
        <w:t>Iran Human Rights and ECPM, Annual Report on the Death Penalty in Iran 2023, a</w:t>
      </w:r>
      <w:r w:rsidRPr="00730E99">
        <w:t>t 88</w:t>
      </w:r>
      <w:r w:rsidR="005D5A7F" w:rsidRPr="00730E99">
        <w:t xml:space="preserve">, </w:t>
      </w:r>
      <w:r w:rsidR="00405BD8" w:rsidRPr="00730E99">
        <w:t>https://iranhr.net/media/files/Iran_Human_Rights-Annual_Report_2023.pdf.</w:t>
      </w:r>
    </w:p>
  </w:footnote>
  <w:footnote w:id="6">
    <w:p w14:paraId="0A839FB3" w14:textId="77777777" w:rsidR="00EB7449" w:rsidRPr="00730E99" w:rsidRDefault="00EB7449" w:rsidP="00EB7449">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7">
    <w:p w14:paraId="1BF453D2" w14:textId="539F335B" w:rsidR="001B25EA" w:rsidRPr="00730E99" w:rsidRDefault="001B25EA" w:rsidP="001B25EA">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 xml:space="preserve">Iran, </w:t>
      </w:r>
      <w:r w:rsidR="00ED757F" w:rsidRPr="00730E99">
        <w:t xml:space="preserve">77th Session (2-27 August 2010), </w:t>
      </w:r>
      <w:r w:rsidRPr="00730E99">
        <w:t xml:space="preserve">U.N. Doc. </w:t>
      </w:r>
      <w:r w:rsidR="00ED757F" w:rsidRPr="00730E99">
        <w:t>CERD/C/IRN/CO/18-19</w:t>
      </w:r>
      <w:r w:rsidR="006D3574" w:rsidRPr="00730E99">
        <w:t xml:space="preserve"> (20 Sept. 2010)</w:t>
      </w:r>
      <w:r w:rsidRPr="00730E99">
        <w:t xml:space="preserve">, </w:t>
      </w:r>
      <w:r w:rsidR="006D3574" w:rsidRPr="00730E99">
        <w:t>¶ 6</w:t>
      </w:r>
      <w:r w:rsidRPr="00730E99">
        <w:t>.</w:t>
      </w:r>
    </w:p>
  </w:footnote>
  <w:footnote w:id="8">
    <w:p w14:paraId="044B4D1C" w14:textId="7A752DFC" w:rsidR="008B5463" w:rsidRPr="00730E99" w:rsidRDefault="008B5463" w:rsidP="008B5463">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w:t>
      </w:r>
      <w:r w:rsidR="008D7855">
        <w:rPr>
          <w:i/>
        </w:rPr>
        <w:t>twentieth to twenty-seventh reports submitted by the Islamic Republic of Iran under article 9 of the Convention, due in 2014</w:t>
      </w:r>
      <w:r w:rsidRPr="00730E99">
        <w:t>, (</w:t>
      </w:r>
      <w:r w:rsidR="008061E6">
        <w:t>22 Mar. 2022</w:t>
      </w:r>
      <w:r w:rsidRPr="00730E99">
        <w:t xml:space="preserve">), U.N. Doc. </w:t>
      </w:r>
      <w:r w:rsidR="008061E6">
        <w:t>CERD/C/IRN/20-27</w:t>
      </w:r>
      <w:r w:rsidRPr="00730E99">
        <w:t>, ¶ 23.</w:t>
      </w:r>
    </w:p>
  </w:footnote>
  <w:footnote w:id="9">
    <w:p w14:paraId="680902E4" w14:textId="21333AA7" w:rsidR="007957DA" w:rsidRPr="00730E99" w:rsidRDefault="007957DA" w:rsidP="007957DA">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41</w:t>
      </w:r>
      <w:r w:rsidRPr="00730E99">
        <w:t>.</w:t>
      </w:r>
    </w:p>
  </w:footnote>
  <w:footnote w:id="10">
    <w:p w14:paraId="456ACF98" w14:textId="446DB9E2" w:rsidR="00913D59" w:rsidRPr="00730E99" w:rsidRDefault="00913D59" w:rsidP="00913D59">
      <w:pPr>
        <w:pStyle w:val="FootnoteText"/>
      </w:pPr>
      <w:r w:rsidRPr="00730E99">
        <w:rPr>
          <w:rStyle w:val="FootnoteReference"/>
        </w:rPr>
        <w:footnoteRef/>
      </w:r>
      <w:r w:rsidRPr="00730E99">
        <w:t xml:space="preserve"> Iran Human Rights and ECPM, Annual Report on the Death Penalty in Iran 2023, at 89, https://iranhr.net/media/files/Iran_Human_Rights-Annual_Report_2023.pdf.</w:t>
      </w:r>
    </w:p>
  </w:footnote>
  <w:footnote w:id="11">
    <w:p w14:paraId="1F1F1D18" w14:textId="0229EBBF" w:rsidR="00CA64EA" w:rsidRPr="00730E99" w:rsidRDefault="00CA64EA" w:rsidP="00CA64EA">
      <w:pPr>
        <w:pStyle w:val="FootnoteText"/>
      </w:pPr>
      <w:r w:rsidRPr="00730E99">
        <w:rPr>
          <w:rStyle w:val="FootnoteReference"/>
        </w:rPr>
        <w:footnoteRef/>
      </w:r>
      <w:r w:rsidRPr="00730E99">
        <w:t xml:space="preserve"> Iran Human Rights and ECPM, Annual Report on the Death Penalty in Iran 2023, at 89, https://iranhr.net/media/files/Iran_Human_Rights-Annual_Report_2023.pdf.</w:t>
      </w:r>
    </w:p>
  </w:footnote>
  <w:footnote w:id="12">
    <w:p w14:paraId="5BB1584F" w14:textId="14AAE4FE" w:rsidR="00B04CF9" w:rsidRPr="00730E99" w:rsidRDefault="00B04CF9" w:rsidP="00B04CF9">
      <w:pPr>
        <w:pStyle w:val="FootnoteText"/>
      </w:pPr>
      <w:r w:rsidRPr="00730E99">
        <w:rPr>
          <w:rStyle w:val="FootnoteReference"/>
        </w:rPr>
        <w:footnoteRef/>
      </w:r>
      <w:r w:rsidRPr="00730E99">
        <w:t xml:space="preserve"> Iran Human Rights and ECPM, Annual Report on the Death Penalty in Iran 2023, at </w:t>
      </w:r>
      <w:r w:rsidR="00BB22E3">
        <w:t xml:space="preserve">85, </w:t>
      </w:r>
      <w:r w:rsidRPr="00730E99">
        <w:t>89, https://iranhr.net/media/files/Iran_Human_Rights-Annual_Report_2023.pdf.</w:t>
      </w:r>
    </w:p>
  </w:footnote>
  <w:footnote w:id="13">
    <w:p w14:paraId="04614AA7" w14:textId="77777777" w:rsidR="0005591F" w:rsidRPr="00730E99" w:rsidRDefault="0005591F" w:rsidP="0005591F">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14">
    <w:p w14:paraId="49320451" w14:textId="77777777" w:rsidR="00C818AB" w:rsidRPr="00730E99" w:rsidRDefault="00C818AB" w:rsidP="00C818AB">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15">
    <w:p w14:paraId="0B373CE3" w14:textId="77777777" w:rsidR="00C818AB" w:rsidRPr="00730E99" w:rsidRDefault="00C818AB" w:rsidP="00C818AB">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16">
    <w:p w14:paraId="73092860" w14:textId="77777777" w:rsidR="001F08CF" w:rsidRPr="00730E99" w:rsidRDefault="001F08CF" w:rsidP="001F08CF">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17">
    <w:p w14:paraId="50EC6F2F" w14:textId="7E41B2A2" w:rsidR="009C638D" w:rsidRPr="00730E99" w:rsidRDefault="009C638D" w:rsidP="009C638D">
      <w:pPr>
        <w:pStyle w:val="FootnoteText"/>
      </w:pPr>
      <w:r w:rsidRPr="00730E99">
        <w:rPr>
          <w:rStyle w:val="FootnoteReference"/>
        </w:rPr>
        <w:footnoteRef/>
      </w:r>
      <w:r w:rsidRPr="00730E99">
        <w:t xml:space="preserve"> Iran Human Rights and ECPM, Annual Report on the Death Penalty in Iran 2023, at 89, https://iranhr.net/media/files/Iran_Human_Rights-Annual_Report_2023.pdf.</w:t>
      </w:r>
    </w:p>
  </w:footnote>
  <w:footnote w:id="18">
    <w:p w14:paraId="51187E88" w14:textId="51EAB740" w:rsidR="00900583" w:rsidRPr="00730E99" w:rsidRDefault="00900583" w:rsidP="00900583">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Iran, 77th Session (2-27 August 2010), U.N. Doc. CERD/C/IRN/CO/18-19 (20 Sept. 2010), ¶ </w:t>
      </w:r>
      <w:r>
        <w:t>1</w:t>
      </w:r>
      <w:r w:rsidR="005B5FF3">
        <w:t>3</w:t>
      </w:r>
      <w:r w:rsidRPr="00730E99">
        <w:t>.</w:t>
      </w:r>
    </w:p>
  </w:footnote>
  <w:footnote w:id="19">
    <w:p w14:paraId="6CA32AF6" w14:textId="62060F73" w:rsidR="004B6740" w:rsidRPr="00730E99" w:rsidRDefault="004B6740" w:rsidP="004B6740">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139</w:t>
      </w:r>
      <w:r w:rsidR="007B0AC8">
        <w:t>-40</w:t>
      </w:r>
      <w:r w:rsidRPr="00730E99">
        <w:t>.</w:t>
      </w:r>
    </w:p>
  </w:footnote>
  <w:footnote w:id="20">
    <w:p w14:paraId="696C1206" w14:textId="16147FB1" w:rsidR="00C9178B" w:rsidRPr="00730E99" w:rsidRDefault="00C9178B" w:rsidP="00C9178B">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Iran, 77th Session (2-27 August 2010), U.N. Doc. CERD/C/IRN/CO/18-19 (20 Sept. 2010), ¶ </w:t>
      </w:r>
      <w:r>
        <w:t>15</w:t>
      </w:r>
      <w:r w:rsidRPr="00730E99">
        <w:t>.</w:t>
      </w:r>
    </w:p>
  </w:footnote>
  <w:footnote w:id="21">
    <w:p w14:paraId="30F6EAB2" w14:textId="42FA2D0D" w:rsidR="007C0E74" w:rsidRPr="00730E99" w:rsidRDefault="007C0E74" w:rsidP="007C0E74">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139</w:t>
      </w:r>
      <w:r w:rsidRPr="00730E99">
        <w:t>.</w:t>
      </w:r>
    </w:p>
  </w:footnote>
  <w:footnote w:id="22">
    <w:p w14:paraId="1A25A1BC" w14:textId="26DCD9D4" w:rsidR="000A06B4" w:rsidRPr="00730E99" w:rsidRDefault="000A06B4" w:rsidP="000A06B4">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93</w:t>
      </w:r>
      <w:r w:rsidRPr="00730E99">
        <w:t>.</w:t>
      </w:r>
    </w:p>
  </w:footnote>
  <w:footnote w:id="23">
    <w:p w14:paraId="5C9059B9" w14:textId="77777777" w:rsidR="00381A42" w:rsidRPr="00730E99" w:rsidRDefault="00381A42" w:rsidP="00381A42">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24">
    <w:p w14:paraId="28CEEE31" w14:textId="77777777" w:rsidR="00381A42" w:rsidRPr="00730E99" w:rsidRDefault="00381A42" w:rsidP="00381A42">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25">
    <w:p w14:paraId="25949B6E" w14:textId="77777777" w:rsidR="00381A42" w:rsidRPr="00730E99" w:rsidRDefault="00381A42" w:rsidP="00381A42">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26">
    <w:p w14:paraId="1A7BAEE3" w14:textId="14CA1B94" w:rsidR="003432FA" w:rsidRPr="00730E99" w:rsidRDefault="003432FA" w:rsidP="003432FA">
      <w:pPr>
        <w:pStyle w:val="FootnoteText"/>
      </w:pPr>
      <w:r w:rsidRPr="00730E99">
        <w:rPr>
          <w:rStyle w:val="FootnoteReference"/>
        </w:rPr>
        <w:footnoteRef/>
      </w:r>
      <w:r w:rsidRPr="00730E99">
        <w:t xml:space="preserve"> Iran Human Rights and ECPM, Annual Report on the Death Penalty in Iran 2023, at 17, https://iranhr.net/media/files/Iran_Human_Rights-Annual_Report_2023.pdf.</w:t>
      </w:r>
    </w:p>
  </w:footnote>
  <w:footnote w:id="27">
    <w:p w14:paraId="1A6C4584" w14:textId="5BDF6846" w:rsidR="0002339B" w:rsidRPr="00730E99" w:rsidRDefault="0002339B" w:rsidP="0002339B">
      <w:pPr>
        <w:pStyle w:val="FootnoteText"/>
      </w:pPr>
      <w:r w:rsidRPr="00730E99">
        <w:rPr>
          <w:rStyle w:val="FootnoteReference"/>
        </w:rPr>
        <w:footnoteRef/>
      </w:r>
      <w:r w:rsidRPr="00730E99">
        <w:t xml:space="preserve"> Iran Human Rights and ECPM, Annual Report on the Death Penalty in Iran 2023, at 17, https://iranhr.net/media/files/Iran_Human_Rights-Annual_Report_2023.pdf.</w:t>
      </w:r>
    </w:p>
  </w:footnote>
  <w:footnote w:id="28">
    <w:p w14:paraId="43221677" w14:textId="77777777" w:rsidR="0002339B" w:rsidRPr="00730E99" w:rsidRDefault="0002339B" w:rsidP="0002339B">
      <w:pPr>
        <w:pStyle w:val="FootnoteText"/>
      </w:pPr>
      <w:r w:rsidRPr="00730E99">
        <w:rPr>
          <w:rStyle w:val="FootnoteReference"/>
        </w:rPr>
        <w:footnoteRef/>
      </w:r>
      <w:r w:rsidRPr="00730E99">
        <w:t xml:space="preserve"> Iran Human Rights and ECPM, Annual Report on the Death Penalty in Iran 2023, at 17, https://iranhr.net/media/files/Iran_Human_Rights-Annual_Report_2023.pdf.</w:t>
      </w:r>
    </w:p>
  </w:footnote>
  <w:footnote w:id="29">
    <w:p w14:paraId="5E91E60D" w14:textId="5F2EF9CA" w:rsidR="00B824AC" w:rsidRPr="00730E99" w:rsidRDefault="00B824AC" w:rsidP="00B824AC">
      <w:pPr>
        <w:pStyle w:val="FootnoteText"/>
      </w:pPr>
      <w:r w:rsidRPr="00730E99">
        <w:rPr>
          <w:rStyle w:val="FootnoteReference"/>
        </w:rPr>
        <w:footnoteRef/>
      </w:r>
      <w:r w:rsidRPr="00730E99">
        <w:t xml:space="preserve"> Iran Human Rights and ECPM, Annual Report on the Death Penalty in Iran 2023, at 29-30, https://iranhr.net/media/files/Iran_Human_Rights-Annual_Report_2023.pdf.</w:t>
      </w:r>
    </w:p>
  </w:footnote>
  <w:footnote w:id="30">
    <w:p w14:paraId="65847BFE" w14:textId="3AF0AC28" w:rsidR="00FC330B" w:rsidRPr="00730E99" w:rsidRDefault="00FC330B" w:rsidP="00FC330B">
      <w:pPr>
        <w:pStyle w:val="FootnoteText"/>
      </w:pPr>
      <w:r w:rsidRPr="00730E99">
        <w:rPr>
          <w:rStyle w:val="FootnoteReference"/>
        </w:rPr>
        <w:footnoteRef/>
      </w:r>
      <w:r w:rsidRPr="00730E99">
        <w:t xml:space="preserve"> Iran Human Rights and ECPM, Annual Report on the Death Penalty in Iran 2023, at 46, https://iranhr.net/media/files/Iran_Human_Rights-Annual_Report_2023.pdf.</w:t>
      </w:r>
    </w:p>
  </w:footnote>
  <w:footnote w:id="31">
    <w:p w14:paraId="62607E4C" w14:textId="3E801D96" w:rsidR="00336CD5" w:rsidRPr="00730E99" w:rsidRDefault="00336CD5" w:rsidP="00336CD5">
      <w:pPr>
        <w:pStyle w:val="FootnoteText"/>
      </w:pPr>
      <w:r w:rsidRPr="00730E99">
        <w:rPr>
          <w:rStyle w:val="FootnoteReference"/>
        </w:rPr>
        <w:footnoteRef/>
      </w:r>
      <w:r w:rsidRPr="00730E99">
        <w:t xml:space="preserve"> Iran Human Rights and ECPM, Annual Report on the Death Penalty in Iran 2023, at 39, https://iranhr.net/media/files/Iran_Human_Rights-Annual_Report_2023.pdf.</w:t>
      </w:r>
    </w:p>
  </w:footnote>
  <w:footnote w:id="32">
    <w:p w14:paraId="1ED718F8" w14:textId="06C959E4" w:rsidR="00E2539B" w:rsidRPr="00730E99" w:rsidRDefault="00E2539B" w:rsidP="00E2539B">
      <w:pPr>
        <w:pStyle w:val="FootnoteText"/>
      </w:pPr>
      <w:r w:rsidRPr="00730E99">
        <w:rPr>
          <w:rStyle w:val="FootnoteReference"/>
        </w:rPr>
        <w:footnoteRef/>
      </w:r>
      <w:r w:rsidRPr="00730E99">
        <w:t xml:space="preserve"> Iran Human Rights and ECPM, Annual Report on the Death Penalty in Iran 2023, at 39,</w:t>
      </w:r>
      <w:r w:rsidR="00CC4246" w:rsidRPr="00730E99">
        <w:t xml:space="preserve"> 47,</w:t>
      </w:r>
      <w:r w:rsidRPr="00730E99">
        <w:t xml:space="preserve"> https://iranhr.net/media/files/Iran_Human_Rights-Annual_Report_2023.pdf.</w:t>
      </w:r>
    </w:p>
  </w:footnote>
  <w:footnote w:id="33">
    <w:p w14:paraId="4155503E" w14:textId="38720598" w:rsidR="00AB6B73" w:rsidRPr="00730E99" w:rsidRDefault="00AB6B73" w:rsidP="00AB6B73">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13</w:t>
      </w:r>
      <w:r w:rsidRPr="00730E99">
        <w:t>3.</w:t>
      </w:r>
    </w:p>
  </w:footnote>
  <w:footnote w:id="34">
    <w:p w14:paraId="604A7084" w14:textId="6D0C205B" w:rsidR="00583566" w:rsidRPr="00730E99" w:rsidRDefault="00583566" w:rsidP="00583566">
      <w:pPr>
        <w:pStyle w:val="FootnoteText"/>
      </w:pPr>
      <w:r w:rsidRPr="00730E99">
        <w:rPr>
          <w:rStyle w:val="FootnoteReference"/>
        </w:rPr>
        <w:footnoteRef/>
      </w:r>
      <w:r w:rsidRPr="00730E99">
        <w:t xml:space="preserve"> Iran Human Rights and ECPM, Annual Report on the Death Penalty in Iran 2023, at 88</w:t>
      </w:r>
      <w:r w:rsidR="009B2BAF" w:rsidRPr="00730E99">
        <w:t>-89</w:t>
      </w:r>
      <w:r w:rsidRPr="00730E99">
        <w:t>, https://iranhr.net/media/files/Iran_Human_Rights-Annual_Report_2023.pdf.</w:t>
      </w:r>
    </w:p>
  </w:footnote>
  <w:footnote w:id="35">
    <w:p w14:paraId="4E75533A" w14:textId="77777777" w:rsidR="003A3A67" w:rsidRPr="00730E99" w:rsidRDefault="003A3A67" w:rsidP="003A3A67">
      <w:pPr>
        <w:pStyle w:val="FootnoteText"/>
      </w:pPr>
      <w:r w:rsidRPr="00730E99">
        <w:rPr>
          <w:rStyle w:val="FootnoteReference"/>
        </w:rPr>
        <w:footnoteRef/>
      </w:r>
      <w:r w:rsidRPr="00730E99">
        <w:t xml:space="preserve"> Iran Human Rights and ECPM, Annual Report on the Death Penalty in Iran 2023, at 88, https://iranhr.net/media/files/Iran_Human_Rights-Annual_Report_2023.pdf.</w:t>
      </w:r>
    </w:p>
  </w:footnote>
  <w:footnote w:id="36">
    <w:p w14:paraId="2C91DF6F" w14:textId="77777777" w:rsidR="00984993" w:rsidRPr="00730E99" w:rsidRDefault="00984993" w:rsidP="00984993">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Iran, 77th Session (2-27 August 2010), U.N. Doc. CERD/C/IRN/CO/18-19 (20 Sept. 2010), ¶ </w:t>
      </w:r>
      <w:r>
        <w:t>10</w:t>
      </w:r>
      <w:r w:rsidRPr="00730E99">
        <w:t>.</w:t>
      </w:r>
    </w:p>
  </w:footnote>
  <w:footnote w:id="37">
    <w:p w14:paraId="3C5168DA" w14:textId="582BC250" w:rsidR="00C32437" w:rsidRPr="00730E99" w:rsidRDefault="00C32437" w:rsidP="00C32437">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w:t>
      </w:r>
      <w:r w:rsidR="00CF08C2">
        <w:t>¶</w:t>
      </w:r>
      <w:r w:rsidRPr="00730E99">
        <w:t xml:space="preserve"> </w:t>
      </w:r>
      <w:r>
        <w:t>78</w:t>
      </w:r>
      <w:r w:rsidR="00CF08C2">
        <w:t>, 80</w:t>
      </w:r>
      <w:r w:rsidR="004960FE">
        <w:t>, 84</w:t>
      </w:r>
      <w:r w:rsidRPr="00730E99">
        <w:t>.</w:t>
      </w:r>
    </w:p>
  </w:footnote>
  <w:footnote w:id="38">
    <w:p w14:paraId="2A2F169E" w14:textId="20AAA2FE" w:rsidR="00DF7B14" w:rsidRPr="00730E99" w:rsidRDefault="00DF7B14" w:rsidP="00DF7B14">
      <w:pPr>
        <w:pStyle w:val="FootnoteText"/>
      </w:pPr>
      <w:r w:rsidRPr="00730E99">
        <w:rPr>
          <w:rStyle w:val="FootnoteReference"/>
        </w:rPr>
        <w:footnoteRef/>
      </w:r>
      <w:r w:rsidRPr="00730E99">
        <w:t xml:space="preserve"> Iran Human Rights and ECPM, Annual Report on the Death Penalty in Iran 2023, at 89, https://iranhr.net/media/files/Iran_Human_Rights-Annual_Report_2023.pdf.</w:t>
      </w:r>
    </w:p>
  </w:footnote>
  <w:footnote w:id="39">
    <w:p w14:paraId="5837C92B" w14:textId="1201A1B2" w:rsidR="00B346D9" w:rsidRPr="00730E99" w:rsidRDefault="00B346D9" w:rsidP="00B346D9">
      <w:pPr>
        <w:pStyle w:val="FootnoteText"/>
      </w:pPr>
      <w:r w:rsidRPr="00730E99">
        <w:rPr>
          <w:rStyle w:val="FootnoteReference"/>
        </w:rPr>
        <w:footnoteRef/>
      </w:r>
      <w:r w:rsidRPr="00730E99">
        <w:t xml:space="preserve"> Iran Human Rights and ECPM, Annual Report on the Death Penalty in Iran 2023, at 116-19, https://iranhr.net/media/files/Iran_Human_Rights-Annual_Report_2023.pdf.</w:t>
      </w:r>
    </w:p>
  </w:footnote>
  <w:footnote w:id="40">
    <w:p w14:paraId="6BA54398" w14:textId="43C76641" w:rsidR="00214054" w:rsidRPr="00730E99" w:rsidRDefault="00214054" w:rsidP="00214054">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Iran, 77th Session (2-27 August 2010), U.N. Doc. CERD/C/IRN/CO/18-19 (20 Sept. 2010), ¶ </w:t>
      </w:r>
      <w:r>
        <w:t>13</w:t>
      </w:r>
      <w:r w:rsidRPr="00730E99">
        <w:t>.</w:t>
      </w:r>
    </w:p>
  </w:footnote>
  <w:footnote w:id="41">
    <w:p w14:paraId="427B2D05" w14:textId="36D42D7E" w:rsidR="005C2B4C" w:rsidRPr="00730E99" w:rsidRDefault="005C2B4C" w:rsidP="005C2B4C">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Iran, 77th Session (2-27 August 2010), U.N. Doc. CERD/C/IRN/CO/18-19 (20 Sept. 2010), ¶ </w:t>
      </w:r>
      <w:r>
        <w:t>13</w:t>
      </w:r>
      <w:r w:rsidRPr="00730E99">
        <w:t>.</w:t>
      </w:r>
    </w:p>
  </w:footnote>
  <w:footnote w:id="42">
    <w:p w14:paraId="73CCE38B" w14:textId="1136E18C" w:rsidR="00F55279" w:rsidRPr="00730E99" w:rsidRDefault="00F55279" w:rsidP="00F55279">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 2</w:t>
      </w:r>
      <w:r>
        <w:t>8</w:t>
      </w:r>
      <w:r w:rsidRPr="00730E99">
        <w:t>.</w:t>
      </w:r>
    </w:p>
  </w:footnote>
  <w:footnote w:id="43">
    <w:p w14:paraId="508A137D" w14:textId="356DE2EA" w:rsidR="00017512" w:rsidRPr="00730E99" w:rsidRDefault="00017512" w:rsidP="00017512">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140</w:t>
      </w:r>
      <w:r w:rsidRPr="00730E99">
        <w:t>.</w:t>
      </w:r>
    </w:p>
  </w:footnote>
  <w:footnote w:id="44">
    <w:p w14:paraId="5E3883F2" w14:textId="49DAE9CD" w:rsidR="004D1915" w:rsidRPr="00730E99" w:rsidRDefault="004D1915" w:rsidP="004D1915">
      <w:pPr>
        <w:pStyle w:val="FootnoteText"/>
      </w:pPr>
      <w:r w:rsidRPr="00730E99">
        <w:rPr>
          <w:rStyle w:val="FootnoteReference"/>
        </w:rPr>
        <w:footnoteRef/>
      </w:r>
      <w:r w:rsidRPr="00730E99">
        <w:t xml:space="preserve"> Iran Human Rights and ECPM, Annual Report on the Death Penalty in Iran 2023, at 90, https://iranhr.net/media/files/Iran_Human_Rights-Annual_Report_2023.pdf.</w:t>
      </w:r>
    </w:p>
  </w:footnote>
  <w:footnote w:id="45">
    <w:p w14:paraId="20C33C2C" w14:textId="77777777" w:rsidR="00974CD5" w:rsidRPr="00730E99" w:rsidRDefault="00974CD5" w:rsidP="00974CD5">
      <w:pPr>
        <w:pStyle w:val="FootnoteText"/>
      </w:pPr>
      <w:r w:rsidRPr="00730E99">
        <w:rPr>
          <w:rStyle w:val="FootnoteReference"/>
        </w:rPr>
        <w:footnoteRef/>
      </w:r>
      <w:r w:rsidRPr="00730E99">
        <w:t xml:space="preserve"> Iran Human Rights and ECPM, Annual Report on the Death Penalty in Iran 2023, at 90, https://iranhr.net/media/files/Iran_Human_Rights-Annual_Report_2023.pdf.</w:t>
      </w:r>
    </w:p>
  </w:footnote>
  <w:footnote w:id="46">
    <w:p w14:paraId="571045A7" w14:textId="77777777" w:rsidR="00974CD5" w:rsidRPr="00730E99" w:rsidRDefault="00974CD5" w:rsidP="00974CD5">
      <w:pPr>
        <w:pStyle w:val="FootnoteText"/>
      </w:pPr>
      <w:r w:rsidRPr="00730E99">
        <w:rPr>
          <w:rStyle w:val="FootnoteReference"/>
        </w:rPr>
        <w:footnoteRef/>
      </w:r>
      <w:r w:rsidRPr="00730E99">
        <w:t xml:space="preserve"> Iran Human Rights and ECPM, Annual Report on the Death Penalty in Iran 2023, at 90, https://iranhr.net/media/files/Iran_Human_Rights-Annual_Report_2023.pdf.</w:t>
      </w:r>
    </w:p>
  </w:footnote>
  <w:footnote w:id="47">
    <w:p w14:paraId="6E54D383" w14:textId="77777777" w:rsidR="00AC510E" w:rsidRPr="00730E99" w:rsidRDefault="00AC510E" w:rsidP="00AC510E">
      <w:pPr>
        <w:pStyle w:val="FootnoteText"/>
      </w:pPr>
      <w:r w:rsidRPr="00730E99">
        <w:rPr>
          <w:rStyle w:val="FootnoteReference"/>
        </w:rPr>
        <w:footnoteRef/>
      </w:r>
      <w:r w:rsidRPr="00730E99">
        <w:t xml:space="preserve"> Iran Human Rights and ECPM, Annual Report on the Death Penalty in Iran 2023, at 90, https://iranhr.net/media/files/Iran_Human_Rights-Annual_Report_2023.pdf.</w:t>
      </w:r>
    </w:p>
  </w:footnote>
  <w:footnote w:id="48">
    <w:p w14:paraId="0D3DB1B6" w14:textId="7CBD8A3D" w:rsidR="00175455" w:rsidRPr="00730E99" w:rsidRDefault="00175455" w:rsidP="00175455">
      <w:pPr>
        <w:pStyle w:val="FootnoteText"/>
      </w:pPr>
      <w:r w:rsidRPr="00730E99">
        <w:rPr>
          <w:rStyle w:val="FootnoteReference"/>
        </w:rPr>
        <w:footnoteRef/>
      </w:r>
      <w:r w:rsidRPr="00730E99">
        <w:t xml:space="preserve"> Iran Human Rights and ECPM, Annual Report on the Death Penalty in Iran 2023, at 46, https://iranhr.net/media/files/Iran_Human_Rights-Annual_Report_2023.pdf.</w:t>
      </w:r>
    </w:p>
  </w:footnote>
  <w:footnote w:id="49">
    <w:p w14:paraId="060F9199" w14:textId="77777777" w:rsidR="00B42148" w:rsidRPr="00730E99" w:rsidRDefault="00B42148" w:rsidP="00B42148">
      <w:pPr>
        <w:pStyle w:val="FootnoteText"/>
      </w:pPr>
      <w:r w:rsidRPr="00730E99">
        <w:rPr>
          <w:rStyle w:val="FootnoteReference"/>
        </w:rPr>
        <w:footnoteRef/>
      </w:r>
      <w:r w:rsidRPr="00730E99">
        <w:t xml:space="preserve"> Iran Human Rights and ECPM, Annual Report on the Death Penalty in Iran 2023, at 90, https://iranhr.net/media/files/Iran_Human_Rights-Annual_Report_2023.pdf.</w:t>
      </w:r>
    </w:p>
  </w:footnote>
  <w:footnote w:id="50">
    <w:p w14:paraId="12D6F410" w14:textId="77777777" w:rsidR="00B62F52" w:rsidRPr="00730E99" w:rsidRDefault="00B62F52" w:rsidP="00B62F52">
      <w:pPr>
        <w:pStyle w:val="FootnoteText"/>
      </w:pPr>
      <w:r w:rsidRPr="00730E99">
        <w:rPr>
          <w:rStyle w:val="FootnoteReference"/>
        </w:rPr>
        <w:footnoteRef/>
      </w:r>
      <w:r w:rsidRPr="00730E99">
        <w:t xml:space="preserve"> Iran Human Rights and ECPM, Annual Report on the Death Penalty in Iran 2023, at 90, https://iranhr.net/media/files/Iran_Human_Rights-Annual_Report_2023.pdf.</w:t>
      </w:r>
    </w:p>
  </w:footnote>
  <w:footnote w:id="51">
    <w:p w14:paraId="46F73C6E" w14:textId="061A66A4" w:rsidR="00BD1015" w:rsidRPr="00730E99" w:rsidRDefault="00BD1015" w:rsidP="00BD1015">
      <w:pPr>
        <w:pStyle w:val="FootnoteText"/>
      </w:pPr>
      <w:r w:rsidRPr="00730E99">
        <w:rPr>
          <w:rStyle w:val="FootnoteReference"/>
        </w:rPr>
        <w:footnoteRef/>
      </w:r>
      <w:r w:rsidRPr="00730E99">
        <w:t xml:space="preserve"> Committee on the Elimination of Racial Discrimination, </w:t>
      </w:r>
      <w:r w:rsidRPr="00730E99">
        <w:rPr>
          <w:i/>
          <w:iCs/>
        </w:rPr>
        <w:t xml:space="preserve">Concluding observations of the Committee on the Elimination of Racial Discrimination: Islamic Republic of </w:t>
      </w:r>
      <w:r w:rsidRPr="00730E99">
        <w:t>Iran, 77th Session (2-27 August 2010), U.N. Doc. CERD/C/IRN/CO/18-19 (20 Sept. 2010), ¶ </w:t>
      </w:r>
      <w:r w:rsidR="00CA6ABA">
        <w:t>9</w:t>
      </w:r>
      <w:r w:rsidRPr="00730E99">
        <w:t>.</w:t>
      </w:r>
    </w:p>
  </w:footnote>
  <w:footnote w:id="52">
    <w:p w14:paraId="6B0C06B4" w14:textId="217FE8BB" w:rsidR="00B93CA5" w:rsidRPr="00730E99" w:rsidRDefault="00B93CA5" w:rsidP="00B93CA5">
      <w:r w:rsidRPr="00730E99">
        <w:rPr>
          <w:rStyle w:val="FootnoteReference"/>
        </w:rPr>
        <w:footnoteRef/>
      </w:r>
      <w:r w:rsidRPr="00730E99">
        <w:t xml:space="preserve"> 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xml:space="preserve">, ¶ </w:t>
      </w:r>
      <w:r>
        <w:t>58</w:t>
      </w:r>
      <w:r w:rsidRPr="00730E99">
        <w:t>.</w:t>
      </w:r>
    </w:p>
  </w:footnote>
  <w:footnote w:id="53">
    <w:p w14:paraId="57763C45" w14:textId="4058EAD2" w:rsidR="00A26F56" w:rsidRPr="00730E99" w:rsidRDefault="00A26F56" w:rsidP="00A26F56">
      <w:r w:rsidRPr="00730E99">
        <w:rPr>
          <w:rStyle w:val="FootnoteReference"/>
        </w:rPr>
        <w:footnoteRef/>
      </w:r>
      <w:r w:rsidRPr="00730E99">
        <w:t xml:space="preserve"> </w:t>
      </w:r>
      <w:r>
        <w:rPr>
          <w:i/>
          <w:iCs/>
        </w:rPr>
        <w:t xml:space="preserve">See </w:t>
      </w:r>
      <w:r w:rsidRPr="00730E99">
        <w:t xml:space="preserve">Committee </w:t>
      </w:r>
      <w:r>
        <w:t>on the Elimination of Racial Discrimination</w:t>
      </w:r>
      <w:r w:rsidRPr="00730E99">
        <w:t xml:space="preserve">, </w:t>
      </w:r>
      <w:proofErr w:type="gramStart"/>
      <w:r>
        <w:rPr>
          <w:i/>
        </w:rPr>
        <w:t>Combined</w:t>
      </w:r>
      <w:proofErr w:type="gramEnd"/>
      <w:r>
        <w:rPr>
          <w:i/>
        </w:rPr>
        <w:t xml:space="preserve"> twentieth to twenty-seventh reports submitted by the Islamic Republic of Iran under article 9 of the Convention, due in 2014</w:t>
      </w:r>
      <w:r w:rsidRPr="00730E99">
        <w:t>, (</w:t>
      </w:r>
      <w:r>
        <w:t>22 Mar. 2022</w:t>
      </w:r>
      <w:r w:rsidRPr="00730E99">
        <w:t xml:space="preserve">), U.N. Doc. </w:t>
      </w:r>
      <w:r>
        <w:t>CERD/C/IRN/20-27</w:t>
      </w:r>
      <w:r w:rsidRPr="00730E99">
        <w:t>, ¶</w:t>
      </w:r>
      <w:r>
        <w:t>¶</w:t>
      </w:r>
      <w:r w:rsidRPr="00730E99">
        <w:t xml:space="preserve"> </w:t>
      </w:r>
      <w:r>
        <w:t>58-67</w:t>
      </w:r>
      <w:r w:rsidRPr="00730E99">
        <w:t>.</w:t>
      </w:r>
    </w:p>
  </w:footnote>
  <w:footnote w:id="54">
    <w:p w14:paraId="59A6310A" w14:textId="6630EE2D" w:rsidR="0075367B" w:rsidRDefault="0075367B">
      <w:pPr>
        <w:pStyle w:val="FootnoteText"/>
      </w:pPr>
      <w:r>
        <w:rPr>
          <w:rStyle w:val="FootnoteReference"/>
        </w:rPr>
        <w:footnoteRef/>
      </w:r>
      <w:r>
        <w:t xml:space="preserve"> </w:t>
      </w:r>
      <w:r w:rsidRPr="00730E99">
        <w:t xml:space="preserve">Iran Human Rights and ECPM, Annual Report on the Death Penalty in Iran 2023, at </w:t>
      </w:r>
      <w:r>
        <w:t>85</w:t>
      </w:r>
      <w:r w:rsidRPr="00730E99">
        <w:t>, https://iranhr.net/media/files/Iran_Human_Rights-Annual_Report_2023.pdf.</w:t>
      </w:r>
    </w:p>
  </w:footnote>
  <w:footnote w:id="55">
    <w:p w14:paraId="4F9979CB" w14:textId="77777777" w:rsidR="00DF097F" w:rsidRDefault="00DF097F" w:rsidP="00DF097F">
      <w:pPr>
        <w:pStyle w:val="FootnoteText"/>
      </w:pPr>
      <w:r>
        <w:rPr>
          <w:rStyle w:val="FootnoteReference"/>
        </w:rPr>
        <w:footnoteRef/>
      </w:r>
      <w:r>
        <w:t xml:space="preserve"> </w:t>
      </w:r>
      <w:r w:rsidRPr="002507C4">
        <w:rPr>
          <w:i/>
        </w:rPr>
        <w:t>Judged for More Than Her Crime: A Global Overview of Women Facing the Death Penalty</w:t>
      </w:r>
      <w:r>
        <w:t>, Cornell Center on the</w:t>
      </w:r>
    </w:p>
    <w:p w14:paraId="4DE23F74" w14:textId="13490B6F" w:rsidR="00DF097F" w:rsidRDefault="00DF097F" w:rsidP="00DF097F">
      <w:pPr>
        <w:pStyle w:val="FootnoteText"/>
      </w:pPr>
      <w:r>
        <w:t>Death Penalty Worldwide, Sept. 2018, at 10, https://www.deathpenaltyworldwide.org/wpcontent/</w:t>
      </w:r>
    </w:p>
    <w:p w14:paraId="0FE2843D" w14:textId="7BA935C1" w:rsidR="00DF097F" w:rsidRDefault="00DF097F" w:rsidP="00DF097F">
      <w:pPr>
        <w:pStyle w:val="FootnoteText"/>
      </w:pPr>
      <w:r>
        <w:t>uploads/2019/12/Judged-More-Than-Her-Crime.pdf (last visited Dec. 29, 2022).</w:t>
      </w:r>
    </w:p>
  </w:footnote>
  <w:footnote w:id="56">
    <w:p w14:paraId="1DEAB958" w14:textId="4351A16C" w:rsidR="00316CFB" w:rsidRPr="00316CFB" w:rsidRDefault="00316CFB">
      <w:pPr>
        <w:pStyle w:val="FootnoteText"/>
      </w:pPr>
      <w:r>
        <w:rPr>
          <w:rStyle w:val="FootnoteReference"/>
        </w:rPr>
        <w:footnoteRef/>
      </w:r>
      <w:r>
        <w:t xml:space="preserve"> Ibid.</w:t>
      </w:r>
    </w:p>
  </w:footnote>
  <w:footnote w:id="57">
    <w:p w14:paraId="3C490ECE" w14:textId="7C1E6139" w:rsidR="00613E6E" w:rsidRPr="00613E6E" w:rsidRDefault="00613E6E">
      <w:pPr>
        <w:pStyle w:val="FootnoteText"/>
      </w:pPr>
      <w:r>
        <w:rPr>
          <w:rStyle w:val="FootnoteReference"/>
        </w:rPr>
        <w:footnoteRef/>
      </w:r>
      <w:r>
        <w:t xml:space="preserve"> </w:t>
      </w:r>
      <w:r>
        <w:rPr>
          <w:i/>
          <w:iCs/>
        </w:rPr>
        <w:t>Id.</w:t>
      </w:r>
      <w:r>
        <w:t xml:space="preserve"> at 11.</w:t>
      </w:r>
    </w:p>
  </w:footnote>
  <w:footnote w:id="58">
    <w:p w14:paraId="1F4209C5" w14:textId="3E1E50B2" w:rsidR="008B2727" w:rsidRDefault="008B2727">
      <w:pPr>
        <w:pStyle w:val="FootnoteText"/>
      </w:pPr>
      <w:r>
        <w:rPr>
          <w:rStyle w:val="FootnoteReference"/>
        </w:rPr>
        <w:footnoteRef/>
      </w:r>
      <w:r>
        <w:t xml:space="preserve"> </w:t>
      </w:r>
      <w:r w:rsidRPr="00730E99">
        <w:t xml:space="preserve">Iran Human Rights and ECPM, Annual Report on the Death Penalty in Iran 2023, at </w:t>
      </w:r>
      <w:r>
        <w:t>85</w:t>
      </w:r>
      <w:r w:rsidRPr="00730E99">
        <w:t>, https://iranhr.net/media/files/Iran_Human_Rights-Annual_Report_2023.pdf.</w:t>
      </w:r>
    </w:p>
  </w:footnote>
  <w:footnote w:id="59">
    <w:p w14:paraId="07B42152" w14:textId="4210890B" w:rsidR="003135E4" w:rsidRDefault="003135E4">
      <w:pPr>
        <w:pStyle w:val="FootnoteText"/>
      </w:pPr>
      <w:r>
        <w:rPr>
          <w:rStyle w:val="FootnoteReference"/>
        </w:rPr>
        <w:footnoteRef/>
      </w:r>
      <w:r>
        <w:t xml:space="preserve"> </w:t>
      </w:r>
      <w:r w:rsidR="005E3007">
        <w:t>Ibid.</w:t>
      </w:r>
    </w:p>
  </w:footnote>
  <w:footnote w:id="60">
    <w:p w14:paraId="250B1F39" w14:textId="04A49C2C" w:rsidR="00BB22E3" w:rsidRDefault="00BB22E3">
      <w:pPr>
        <w:pStyle w:val="FootnoteText"/>
      </w:pPr>
      <w:r>
        <w:rPr>
          <w:rStyle w:val="FootnoteReference"/>
        </w:rPr>
        <w:footnoteRef/>
      </w:r>
      <w:r>
        <w:t xml:space="preserve"> </w:t>
      </w:r>
      <w:r w:rsidRPr="00730E99">
        <w:t xml:space="preserve">Iran Human Rights and ECPM, Annual Report on the Death Penalty in Iran 2023, at </w:t>
      </w:r>
      <w:r>
        <w:t>85</w:t>
      </w:r>
      <w:r w:rsidRPr="00730E99">
        <w:t>, https://iranhr.net/media/files/Iran_Human_Rights-Annual_Report_2023.pdf.</w:t>
      </w:r>
    </w:p>
  </w:footnote>
  <w:footnote w:id="61">
    <w:p w14:paraId="431BEC65" w14:textId="77777777" w:rsidR="00BB22E3" w:rsidRDefault="00BC543A" w:rsidP="00BB22E3">
      <w:pPr>
        <w:pStyle w:val="FootnoteText"/>
      </w:pPr>
      <w:r>
        <w:rPr>
          <w:rStyle w:val="FootnoteReference"/>
        </w:rPr>
        <w:footnoteRef/>
      </w:r>
      <w:r>
        <w:t xml:space="preserve"> </w:t>
      </w:r>
      <w:r w:rsidR="00BB22E3" w:rsidRPr="002507C4">
        <w:rPr>
          <w:i/>
        </w:rPr>
        <w:t>Judged for More Than Her Crime: A Global Overview of Women Facing the Death Penalty</w:t>
      </w:r>
      <w:r w:rsidR="00BB22E3">
        <w:t>, Cornell Center on the</w:t>
      </w:r>
    </w:p>
    <w:p w14:paraId="2148A44D" w14:textId="6DF1BEB1" w:rsidR="00BB22E3" w:rsidRDefault="00BB22E3" w:rsidP="00BB22E3">
      <w:pPr>
        <w:pStyle w:val="FootnoteText"/>
      </w:pPr>
      <w:r>
        <w:t>Death Penalty Worldwide, Sept. 2018, at 11, https://www.deathpenaltyworldwide.org/wpcontent/</w:t>
      </w:r>
    </w:p>
    <w:p w14:paraId="79992126" w14:textId="7AD3EDFE" w:rsidR="00BC543A" w:rsidRPr="00B87919" w:rsidRDefault="00BB22E3" w:rsidP="00BB22E3">
      <w:pPr>
        <w:pStyle w:val="FootnoteText"/>
        <w:rPr>
          <w:i/>
          <w:iCs/>
        </w:rPr>
      </w:pPr>
      <w:r>
        <w:t>uploads/2019/12/Judged-More-Than-Her-Crime.pdf (last visited Dec. 29, 2022).</w:t>
      </w:r>
    </w:p>
  </w:footnote>
  <w:footnote w:id="62">
    <w:p w14:paraId="51CB9872" w14:textId="77777777" w:rsidR="00BC543A" w:rsidRPr="00B87919" w:rsidRDefault="00BC543A" w:rsidP="00BC543A">
      <w:pPr>
        <w:pStyle w:val="FootnoteText"/>
        <w:rPr>
          <w:i/>
          <w:iCs/>
        </w:rPr>
      </w:pPr>
      <w:r>
        <w:rPr>
          <w:rStyle w:val="FootnoteReference"/>
        </w:rPr>
        <w:footnoteRef/>
      </w:r>
      <w:r>
        <w:t xml:space="preserve"> </w:t>
      </w:r>
      <w:r>
        <w:rPr>
          <w:i/>
          <w:iCs/>
        </w:rPr>
        <w:t>Ibid.</w:t>
      </w:r>
    </w:p>
  </w:footnote>
  <w:footnote w:id="63">
    <w:p w14:paraId="7A36ADF7" w14:textId="4C078B9E" w:rsidR="003849D9" w:rsidRPr="003849D9" w:rsidRDefault="003849D9">
      <w:pPr>
        <w:pStyle w:val="FootnoteText"/>
      </w:pPr>
      <w:r>
        <w:rPr>
          <w:rStyle w:val="FootnoteReference"/>
        </w:rPr>
        <w:footnoteRef/>
      </w:r>
      <w:r>
        <w:t xml:space="preserve"> </w:t>
      </w:r>
      <w:r>
        <w:rPr>
          <w:i/>
          <w:iCs/>
        </w:rPr>
        <w:t>Id.</w:t>
      </w:r>
      <w:r>
        <w:t xml:space="preserve"> at 12.</w:t>
      </w:r>
    </w:p>
  </w:footnote>
  <w:footnote w:id="64">
    <w:p w14:paraId="0C36E879" w14:textId="6084943A" w:rsidR="00B14A57" w:rsidRDefault="00B14A57">
      <w:pPr>
        <w:pStyle w:val="FootnoteText"/>
      </w:pPr>
      <w:r>
        <w:rPr>
          <w:rStyle w:val="FootnoteReference"/>
        </w:rPr>
        <w:footnoteRef/>
      </w:r>
      <w:r>
        <w:t xml:space="preserve"> </w:t>
      </w:r>
      <w:r w:rsidR="00860026" w:rsidRPr="00730E99">
        <w:t xml:space="preserve">Iran Human Rights and ECPM, Annual Report on the Death Penalty in Iran 2023, at </w:t>
      </w:r>
      <w:r w:rsidR="00860026">
        <w:t>85</w:t>
      </w:r>
      <w:r w:rsidR="00860026" w:rsidRPr="00730E99">
        <w:t>, https://iranhr.net/media/files/Iran_Human_Rights-Annual_Report_2023.pdf.</w:t>
      </w:r>
    </w:p>
  </w:footnote>
  <w:footnote w:id="65">
    <w:p w14:paraId="4DBF4E6B" w14:textId="77777777" w:rsidR="00B14A57" w:rsidRDefault="00AD67EE" w:rsidP="00B14A57">
      <w:pPr>
        <w:pStyle w:val="FootnoteText"/>
      </w:pPr>
      <w:r>
        <w:rPr>
          <w:rStyle w:val="FootnoteReference"/>
        </w:rPr>
        <w:footnoteRef/>
      </w:r>
      <w:r>
        <w:t xml:space="preserve"> </w:t>
      </w:r>
      <w:r w:rsidR="00B14A57" w:rsidRPr="002507C4">
        <w:rPr>
          <w:i/>
        </w:rPr>
        <w:t>Judged for More Than Her Crime: A Global Overview of Women Facing the Death Penalty</w:t>
      </w:r>
      <w:r w:rsidR="00B14A57">
        <w:t>, Cornell Center on the</w:t>
      </w:r>
    </w:p>
    <w:p w14:paraId="3F30368A" w14:textId="502B4E9A" w:rsidR="00B14A57" w:rsidRDefault="00B14A57" w:rsidP="00B14A57">
      <w:pPr>
        <w:pStyle w:val="FootnoteText"/>
      </w:pPr>
      <w:r>
        <w:t>Death Penalty Worldwide, Sept. 2018, at 1</w:t>
      </w:r>
      <w:r w:rsidR="00860026">
        <w:t>3</w:t>
      </w:r>
      <w:r>
        <w:t>, https://www.deathpenaltyworldwide.org/wpcontent/</w:t>
      </w:r>
    </w:p>
    <w:p w14:paraId="5699DED6" w14:textId="37E672F2" w:rsidR="00AD67EE" w:rsidRPr="00AD67EE" w:rsidRDefault="00B14A57" w:rsidP="00B14A57">
      <w:pPr>
        <w:pStyle w:val="FootnoteText"/>
      </w:pPr>
      <w:r>
        <w:t>uploads/2019/12/Judged-More-Than-Her-Crime.pdf (last visited Dec. 29, 2022).</w:t>
      </w:r>
    </w:p>
  </w:footnote>
  <w:footnote w:id="66">
    <w:p w14:paraId="3CABF629" w14:textId="71631254" w:rsidR="006055A1" w:rsidRDefault="006055A1">
      <w:pPr>
        <w:pStyle w:val="FootnoteText"/>
      </w:pPr>
      <w:r>
        <w:rPr>
          <w:rStyle w:val="FootnoteReference"/>
        </w:rPr>
        <w:footnoteRef/>
      </w:r>
      <w:r>
        <w:t xml:space="preserve"> Ibid.</w:t>
      </w:r>
    </w:p>
  </w:footnote>
  <w:footnote w:id="67">
    <w:p w14:paraId="59FC718A" w14:textId="01C692E9" w:rsidR="007B13B6" w:rsidRDefault="007B13B6">
      <w:pPr>
        <w:pStyle w:val="FootnoteText"/>
      </w:pPr>
      <w:r>
        <w:rPr>
          <w:rStyle w:val="FootnoteReference"/>
        </w:rPr>
        <w:footnoteRef/>
      </w:r>
      <w:r>
        <w:t xml:space="preserve"> Ibid.</w:t>
      </w:r>
    </w:p>
  </w:footnote>
  <w:footnote w:id="68">
    <w:p w14:paraId="03333C16" w14:textId="246B1576" w:rsidR="002C5AA9" w:rsidRDefault="002C5AA9">
      <w:pPr>
        <w:pStyle w:val="FootnoteText"/>
      </w:pPr>
      <w:r>
        <w:rPr>
          <w:rStyle w:val="FootnoteReference"/>
        </w:rPr>
        <w:footnoteRef/>
      </w:r>
      <w:r>
        <w:t xml:space="preserve"> Ibid.</w:t>
      </w:r>
    </w:p>
  </w:footnote>
  <w:footnote w:id="69">
    <w:p w14:paraId="5DDBFC41" w14:textId="50F36325" w:rsidR="00014870" w:rsidRDefault="00014870">
      <w:pPr>
        <w:pStyle w:val="FootnoteText"/>
      </w:pPr>
      <w:r>
        <w:rPr>
          <w:rStyle w:val="FootnoteReference"/>
        </w:rPr>
        <w:footnoteRef/>
      </w:r>
      <w:r>
        <w:t xml:space="preserve"> </w:t>
      </w:r>
      <w:r w:rsidRPr="00730E99">
        <w:t xml:space="preserve">Iran Human Rights and ECPM, Annual Report on the Death Penalty in Iran 2023, at </w:t>
      </w:r>
      <w:r>
        <w:t>85</w:t>
      </w:r>
      <w:r w:rsidRPr="00730E99">
        <w:t>, https://iranhr.net/media/files/Iran_Human_Rights-Annual_Report_2023.pdf.</w:t>
      </w:r>
    </w:p>
  </w:footnote>
  <w:footnote w:id="70">
    <w:p w14:paraId="1E564D31" w14:textId="77777777" w:rsidR="00EF4BC8" w:rsidRDefault="00EF4BC8" w:rsidP="00EF4BC8">
      <w:pPr>
        <w:pStyle w:val="FootnoteText"/>
      </w:pPr>
      <w:r>
        <w:rPr>
          <w:rStyle w:val="FootnoteReference"/>
        </w:rPr>
        <w:footnoteRef/>
      </w:r>
      <w:r>
        <w:t xml:space="preserve"> </w:t>
      </w:r>
      <w:r w:rsidRPr="002507C4">
        <w:rPr>
          <w:i/>
        </w:rPr>
        <w:t>Judged for More Than Her Crime: A Global Overview of Women Facing the Death Penalty</w:t>
      </w:r>
      <w:r>
        <w:t>, Cornell Center on the</w:t>
      </w:r>
    </w:p>
    <w:p w14:paraId="6FDC1B34" w14:textId="77777777" w:rsidR="00EF4BC8" w:rsidRDefault="00EF4BC8" w:rsidP="00EF4BC8">
      <w:pPr>
        <w:pStyle w:val="FootnoteText"/>
      </w:pPr>
      <w:r>
        <w:t>Death Penalty Worldwide, Sept. 2018, at 3, https://www.deathpenaltyworldwide.org/wpcontent/</w:t>
      </w:r>
    </w:p>
    <w:p w14:paraId="6A0C81E4" w14:textId="77777777" w:rsidR="00EF4BC8" w:rsidRDefault="00EF4BC8" w:rsidP="00EF4BC8">
      <w:pPr>
        <w:pStyle w:val="FootnoteText"/>
      </w:pPr>
      <w:r>
        <w:t>uploads/2019/12/Judged-More-Than-Her-Crime.pdf (last visited Dec. 29, 2022).</w:t>
      </w:r>
    </w:p>
  </w:footnote>
  <w:footnote w:id="71">
    <w:p w14:paraId="7CDFE629" w14:textId="77777777" w:rsidR="00EF4BC8" w:rsidRDefault="00EF4BC8" w:rsidP="00EF4BC8">
      <w:pPr>
        <w:pStyle w:val="FootnoteText"/>
      </w:pPr>
      <w:r>
        <w:rPr>
          <w:rStyle w:val="FootnoteReference"/>
        </w:rPr>
        <w:footnoteRef/>
      </w:r>
      <w:r>
        <w:t xml:space="preserve"> </w:t>
      </w:r>
      <w:r w:rsidRPr="00B57EA4">
        <w:t xml:space="preserve">Cornell Center on the Death Penalty Worldwide, </w:t>
      </w:r>
      <w:r w:rsidRPr="00B57EA4">
        <w:rPr>
          <w:i/>
          <w:iCs/>
        </w:rPr>
        <w:t>Judged for More Than Her Crime: A Global Overview of Women Facing the Death Penalty</w:t>
      </w:r>
      <w:r w:rsidRPr="00B57EA4">
        <w:t xml:space="preserve">, Sept. 2018, at 18, available at https://www.deathpenaltyworldwide.org/wp-content/uploads/2019/12/Judged-More-Than-Her-Crime.pdf (last visited </w:t>
      </w:r>
      <w:r>
        <w:t>Dec. 29</w:t>
      </w:r>
      <w:r w:rsidRPr="00B57EA4">
        <w:t>, 2022)</w:t>
      </w:r>
      <w:r>
        <w:t>.</w:t>
      </w:r>
    </w:p>
  </w:footnote>
  <w:footnote w:id="72">
    <w:p w14:paraId="348DA709" w14:textId="77777777" w:rsidR="00EF4BC8" w:rsidRDefault="00EF4BC8" w:rsidP="00EF4BC8">
      <w:pPr>
        <w:pStyle w:val="FootnoteText"/>
      </w:pPr>
      <w:r>
        <w:rPr>
          <w:rStyle w:val="FootnoteReference"/>
        </w:rPr>
        <w:footnoteRef/>
      </w:r>
      <w:r>
        <w:t xml:space="preserve"> </w:t>
      </w:r>
      <w:r w:rsidRPr="00B57EA4">
        <w:t xml:space="preserve">Cornell Center on the Death Penalty Worldwide, </w:t>
      </w:r>
      <w:r w:rsidRPr="00B57EA4">
        <w:rPr>
          <w:i/>
          <w:iCs/>
        </w:rPr>
        <w:t>Judged for More Than Her Crime: A Global Overview of Women Facing the Death Penalty</w:t>
      </w:r>
      <w:r w:rsidRPr="00B57EA4">
        <w:t xml:space="preserve">, Sept. 2018, at 18, available at https://www.deathpenaltyworldwide.org/wp-content/uploads/2019/12/Judged-More-Than-Her-Crime.pdf (last visited </w:t>
      </w:r>
      <w:r>
        <w:t>Dec. 29</w:t>
      </w:r>
      <w:r w:rsidRPr="00B57EA4">
        <w:t>, 2022)</w:t>
      </w:r>
      <w:r>
        <w:t>.</w:t>
      </w:r>
    </w:p>
  </w:footnote>
  <w:footnote w:id="73">
    <w:p w14:paraId="394DCCBA" w14:textId="77777777" w:rsidR="00EF4BC8" w:rsidRPr="00B57EA4" w:rsidRDefault="00EF4BC8" w:rsidP="00EF4BC8">
      <w:pPr>
        <w:pStyle w:val="FootnoteText"/>
      </w:pPr>
      <w:r w:rsidRPr="00B57EA4">
        <w:rPr>
          <w:rStyle w:val="FootnoteReference"/>
        </w:rPr>
        <w:footnoteRef/>
      </w:r>
      <w:r w:rsidRPr="00B57EA4">
        <w:t xml:space="preserve"> Cornell Center on the Death Penalty Worldwide, </w:t>
      </w:r>
      <w:r w:rsidRPr="00B57EA4">
        <w:rPr>
          <w:i/>
          <w:iCs/>
        </w:rPr>
        <w:t>Judged for More Than Her Crime: A Global Overview of Women Facing the Death Penalty</w:t>
      </w:r>
      <w:r w:rsidRPr="00B57EA4">
        <w:t xml:space="preserve">, Sept. 2018, at 18, available at https://www.deathpenaltyworldwide.org/wp-content/uploads/2019/12/Judged-More-Than-Her-Crime.pdf (last visited </w:t>
      </w:r>
      <w:r>
        <w:t>Dec. 29</w:t>
      </w:r>
      <w:r w:rsidRPr="00B57EA4">
        <w:t>, 2022).</w:t>
      </w:r>
    </w:p>
  </w:footnote>
  <w:footnote w:id="74">
    <w:p w14:paraId="03F8B8FA" w14:textId="77777777" w:rsidR="004A4E9F" w:rsidRPr="009A7514" w:rsidRDefault="004A4E9F" w:rsidP="004A4E9F">
      <w:pPr>
        <w:pStyle w:val="FootnoteText"/>
      </w:pPr>
      <w:r>
        <w:rPr>
          <w:rStyle w:val="FootnoteReference"/>
        </w:rPr>
        <w:footnoteRef/>
      </w:r>
      <w:r>
        <w:t xml:space="preserve"> </w:t>
      </w:r>
      <w:r>
        <w:rPr>
          <w:i/>
          <w:iCs/>
        </w:rPr>
        <w:t>Ibid.</w:t>
      </w:r>
    </w:p>
  </w:footnote>
  <w:footnote w:id="75">
    <w:p w14:paraId="0508893B" w14:textId="24181C35" w:rsidR="00C60B2E" w:rsidRPr="00C60B2E" w:rsidRDefault="00C60B2E">
      <w:pPr>
        <w:pStyle w:val="FootnoteText"/>
      </w:pPr>
      <w:r>
        <w:rPr>
          <w:rStyle w:val="FootnoteReference"/>
        </w:rPr>
        <w:footnoteRef/>
      </w:r>
      <w:r>
        <w:t xml:space="preserve"> </w:t>
      </w:r>
      <w:r>
        <w:rPr>
          <w:i/>
          <w:iCs/>
        </w:rPr>
        <w:t>Id.</w:t>
      </w:r>
      <w:r>
        <w:t xml:space="preserve"> at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23ECE" w14:textId="1A3FFAA3" w:rsidR="00804604" w:rsidRDefault="003B6212">
    <w:pPr>
      <w:pStyle w:val="Header"/>
    </w:pPr>
    <w:r>
      <w:rPr>
        <w:noProof/>
      </w:rPr>
      <w:drawing>
        <wp:anchor distT="0" distB="0" distL="114300" distR="114300" simplePos="0" relativeHeight="251659265" behindDoc="0" locked="0" layoutInCell="1" allowOverlap="1" wp14:anchorId="237F00EE" wp14:editId="289A9988">
          <wp:simplePos x="0" y="0"/>
          <wp:positionH relativeFrom="column">
            <wp:posOffset>2390775</wp:posOffset>
          </wp:positionH>
          <wp:positionV relativeFrom="paragraph">
            <wp:posOffset>-467360</wp:posOffset>
          </wp:positionV>
          <wp:extent cx="2223134" cy="1666875"/>
          <wp:effectExtent l="0" t="0" r="0" b="0"/>
          <wp:wrapNone/>
          <wp:docPr id="122635411" name="Picture 1" descr="A black background with re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5411" name="Picture 1" descr="A black background with red letter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23134" cy="1666875"/>
                  </a:xfrm>
                  <a:prstGeom prst="rect">
                    <a:avLst/>
                  </a:prstGeom>
                </pic:spPr>
              </pic:pic>
            </a:graphicData>
          </a:graphic>
          <wp14:sizeRelH relativeFrom="margin">
            <wp14:pctWidth>0</wp14:pctWidth>
          </wp14:sizeRelH>
          <wp14:sizeRelV relativeFrom="margin">
            <wp14:pctHeight>0</wp14:pctHeight>
          </wp14:sizeRelV>
        </wp:anchor>
      </w:drawing>
    </w:r>
    <w:r w:rsidR="004C4A3B">
      <w:rPr>
        <w:noProof/>
      </w:rPr>
      <w:drawing>
        <wp:anchor distT="0" distB="0" distL="114300" distR="114300" simplePos="0" relativeHeight="251658240" behindDoc="1" locked="0" layoutInCell="1" allowOverlap="1" wp14:anchorId="03132A20" wp14:editId="1C9E4AA4">
          <wp:simplePos x="0" y="0"/>
          <wp:positionH relativeFrom="column">
            <wp:posOffset>4058285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A6C53"/>
    <w:multiLevelType w:val="hybridMultilevel"/>
    <w:tmpl w:val="F3407B72"/>
    <w:lvl w:ilvl="0" w:tplc="5928AFFC">
      <w:start w:val="1"/>
      <w:numFmt w:val="decimal"/>
      <w:lvlText w:val="%1."/>
      <w:lvlJc w:val="left"/>
      <w:pPr>
        <w:ind w:left="360" w:hanging="360"/>
      </w:pPr>
      <w:rPr>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189569">
    <w:abstractNumId w:val="6"/>
  </w:num>
  <w:num w:numId="2" w16cid:durableId="1429690866">
    <w:abstractNumId w:val="5"/>
  </w:num>
  <w:num w:numId="3" w16cid:durableId="733310144">
    <w:abstractNumId w:val="8"/>
  </w:num>
  <w:num w:numId="4" w16cid:durableId="1735157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4618719">
    <w:abstractNumId w:val="7"/>
  </w:num>
  <w:num w:numId="6" w16cid:durableId="1058280104">
    <w:abstractNumId w:val="1"/>
  </w:num>
  <w:num w:numId="7" w16cid:durableId="885868602">
    <w:abstractNumId w:val="4"/>
  </w:num>
  <w:num w:numId="8" w16cid:durableId="238297518">
    <w:abstractNumId w:val="9"/>
  </w:num>
  <w:num w:numId="9" w16cid:durableId="1181043369">
    <w:abstractNumId w:val="2"/>
  </w:num>
  <w:num w:numId="10" w16cid:durableId="653874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163"/>
    <w:rsid w:val="00011155"/>
    <w:rsid w:val="00013CD9"/>
    <w:rsid w:val="00014870"/>
    <w:rsid w:val="00017512"/>
    <w:rsid w:val="0002339B"/>
    <w:rsid w:val="00030F59"/>
    <w:rsid w:val="000342B6"/>
    <w:rsid w:val="00042BFC"/>
    <w:rsid w:val="00046377"/>
    <w:rsid w:val="00050371"/>
    <w:rsid w:val="0005591F"/>
    <w:rsid w:val="00056CF5"/>
    <w:rsid w:val="00065E0D"/>
    <w:rsid w:val="000734A4"/>
    <w:rsid w:val="00075AD5"/>
    <w:rsid w:val="0008238F"/>
    <w:rsid w:val="00085935"/>
    <w:rsid w:val="000910FC"/>
    <w:rsid w:val="000911B3"/>
    <w:rsid w:val="00093218"/>
    <w:rsid w:val="0009644E"/>
    <w:rsid w:val="000A06B4"/>
    <w:rsid w:val="000A0A89"/>
    <w:rsid w:val="000A1F17"/>
    <w:rsid w:val="000A2EFC"/>
    <w:rsid w:val="000A66B8"/>
    <w:rsid w:val="000B042D"/>
    <w:rsid w:val="000B4DB3"/>
    <w:rsid w:val="000C380B"/>
    <w:rsid w:val="000C6340"/>
    <w:rsid w:val="000E1DDC"/>
    <w:rsid w:val="000F1E67"/>
    <w:rsid w:val="000F3447"/>
    <w:rsid w:val="000F56E0"/>
    <w:rsid w:val="000F5D7B"/>
    <w:rsid w:val="001008D1"/>
    <w:rsid w:val="00102921"/>
    <w:rsid w:val="00111994"/>
    <w:rsid w:val="001215B4"/>
    <w:rsid w:val="00121859"/>
    <w:rsid w:val="001258A2"/>
    <w:rsid w:val="00127722"/>
    <w:rsid w:val="00136514"/>
    <w:rsid w:val="00143423"/>
    <w:rsid w:val="00146DA9"/>
    <w:rsid w:val="00147EA4"/>
    <w:rsid w:val="00150946"/>
    <w:rsid w:val="001565F9"/>
    <w:rsid w:val="00160BDA"/>
    <w:rsid w:val="00172ACF"/>
    <w:rsid w:val="00175455"/>
    <w:rsid w:val="00180FFE"/>
    <w:rsid w:val="00181B2A"/>
    <w:rsid w:val="0018642B"/>
    <w:rsid w:val="001A59C1"/>
    <w:rsid w:val="001A5ED5"/>
    <w:rsid w:val="001A7AF4"/>
    <w:rsid w:val="001B09C5"/>
    <w:rsid w:val="001B1AC4"/>
    <w:rsid w:val="001B25EA"/>
    <w:rsid w:val="001B27D7"/>
    <w:rsid w:val="001B46C2"/>
    <w:rsid w:val="001B5E1E"/>
    <w:rsid w:val="001B799A"/>
    <w:rsid w:val="001C42EB"/>
    <w:rsid w:val="001D25C3"/>
    <w:rsid w:val="001D4D68"/>
    <w:rsid w:val="001E0402"/>
    <w:rsid w:val="001F08CF"/>
    <w:rsid w:val="002124FC"/>
    <w:rsid w:val="00214054"/>
    <w:rsid w:val="00220D48"/>
    <w:rsid w:val="002219C1"/>
    <w:rsid w:val="002318CF"/>
    <w:rsid w:val="00237C8C"/>
    <w:rsid w:val="00242F64"/>
    <w:rsid w:val="002439A3"/>
    <w:rsid w:val="00243E14"/>
    <w:rsid w:val="00255789"/>
    <w:rsid w:val="00266AA3"/>
    <w:rsid w:val="00272519"/>
    <w:rsid w:val="002734D9"/>
    <w:rsid w:val="00282223"/>
    <w:rsid w:val="00283B64"/>
    <w:rsid w:val="00287F6F"/>
    <w:rsid w:val="00291945"/>
    <w:rsid w:val="00291BE8"/>
    <w:rsid w:val="00293D63"/>
    <w:rsid w:val="002969E6"/>
    <w:rsid w:val="002A0797"/>
    <w:rsid w:val="002A4838"/>
    <w:rsid w:val="002A736F"/>
    <w:rsid w:val="002C1806"/>
    <w:rsid w:val="002C1E8D"/>
    <w:rsid w:val="002C24CE"/>
    <w:rsid w:val="002C47C0"/>
    <w:rsid w:val="002C57BC"/>
    <w:rsid w:val="002C5AA9"/>
    <w:rsid w:val="002D2024"/>
    <w:rsid w:val="002D36C6"/>
    <w:rsid w:val="002E34EA"/>
    <w:rsid w:val="002E5454"/>
    <w:rsid w:val="002F5C86"/>
    <w:rsid w:val="003010CE"/>
    <w:rsid w:val="00305866"/>
    <w:rsid w:val="003135E4"/>
    <w:rsid w:val="00315C53"/>
    <w:rsid w:val="00316CFB"/>
    <w:rsid w:val="00320329"/>
    <w:rsid w:val="00322428"/>
    <w:rsid w:val="00322CB1"/>
    <w:rsid w:val="00324131"/>
    <w:rsid w:val="003334BC"/>
    <w:rsid w:val="003369A6"/>
    <w:rsid w:val="00336CD5"/>
    <w:rsid w:val="00340484"/>
    <w:rsid w:val="003432FA"/>
    <w:rsid w:val="00344140"/>
    <w:rsid w:val="00344556"/>
    <w:rsid w:val="00345B90"/>
    <w:rsid w:val="00346F96"/>
    <w:rsid w:val="00346FD8"/>
    <w:rsid w:val="003472AB"/>
    <w:rsid w:val="0035378E"/>
    <w:rsid w:val="0035424D"/>
    <w:rsid w:val="00381A42"/>
    <w:rsid w:val="003849D9"/>
    <w:rsid w:val="0038510D"/>
    <w:rsid w:val="00390AC3"/>
    <w:rsid w:val="003937C6"/>
    <w:rsid w:val="0039616C"/>
    <w:rsid w:val="003A0BC2"/>
    <w:rsid w:val="003A0EBC"/>
    <w:rsid w:val="003A1D3E"/>
    <w:rsid w:val="003A309C"/>
    <w:rsid w:val="003A3A67"/>
    <w:rsid w:val="003A50AB"/>
    <w:rsid w:val="003A6F6D"/>
    <w:rsid w:val="003B2B95"/>
    <w:rsid w:val="003B6212"/>
    <w:rsid w:val="003C1E49"/>
    <w:rsid w:val="003C458C"/>
    <w:rsid w:val="003C49C0"/>
    <w:rsid w:val="003C60FE"/>
    <w:rsid w:val="003E5240"/>
    <w:rsid w:val="003E7E28"/>
    <w:rsid w:val="00405BD8"/>
    <w:rsid w:val="004170AB"/>
    <w:rsid w:val="00417CE5"/>
    <w:rsid w:val="00430A63"/>
    <w:rsid w:val="004350E8"/>
    <w:rsid w:val="00450118"/>
    <w:rsid w:val="00450405"/>
    <w:rsid w:val="00453314"/>
    <w:rsid w:val="004645C3"/>
    <w:rsid w:val="00467BB8"/>
    <w:rsid w:val="00476CC4"/>
    <w:rsid w:val="004866AE"/>
    <w:rsid w:val="004960FE"/>
    <w:rsid w:val="004A17D9"/>
    <w:rsid w:val="004A4CB9"/>
    <w:rsid w:val="004A4E9F"/>
    <w:rsid w:val="004A5B01"/>
    <w:rsid w:val="004A7D93"/>
    <w:rsid w:val="004A7FF9"/>
    <w:rsid w:val="004B1E4E"/>
    <w:rsid w:val="004B4CAF"/>
    <w:rsid w:val="004B59CE"/>
    <w:rsid w:val="004B6410"/>
    <w:rsid w:val="004B6740"/>
    <w:rsid w:val="004B73AF"/>
    <w:rsid w:val="004C4A3B"/>
    <w:rsid w:val="004D1915"/>
    <w:rsid w:val="004D2568"/>
    <w:rsid w:val="004D3EE9"/>
    <w:rsid w:val="004D6D19"/>
    <w:rsid w:val="004E7176"/>
    <w:rsid w:val="004E783D"/>
    <w:rsid w:val="004F2465"/>
    <w:rsid w:val="004F34E5"/>
    <w:rsid w:val="005017ED"/>
    <w:rsid w:val="005132BB"/>
    <w:rsid w:val="00524166"/>
    <w:rsid w:val="00524C18"/>
    <w:rsid w:val="00525289"/>
    <w:rsid w:val="005336C2"/>
    <w:rsid w:val="00534C5B"/>
    <w:rsid w:val="00534E62"/>
    <w:rsid w:val="005403E3"/>
    <w:rsid w:val="0055461C"/>
    <w:rsid w:val="00571EF6"/>
    <w:rsid w:val="00583566"/>
    <w:rsid w:val="00596B08"/>
    <w:rsid w:val="0059754B"/>
    <w:rsid w:val="005B0C1B"/>
    <w:rsid w:val="005B56D9"/>
    <w:rsid w:val="005B5FF3"/>
    <w:rsid w:val="005C183B"/>
    <w:rsid w:val="005C2B4C"/>
    <w:rsid w:val="005C58B6"/>
    <w:rsid w:val="005C5BF7"/>
    <w:rsid w:val="005D4EE6"/>
    <w:rsid w:val="005D5A7F"/>
    <w:rsid w:val="005E3007"/>
    <w:rsid w:val="005E5854"/>
    <w:rsid w:val="005E780F"/>
    <w:rsid w:val="005F2A19"/>
    <w:rsid w:val="005F73B7"/>
    <w:rsid w:val="006055A1"/>
    <w:rsid w:val="0060568A"/>
    <w:rsid w:val="0060722F"/>
    <w:rsid w:val="00607719"/>
    <w:rsid w:val="00613E6E"/>
    <w:rsid w:val="0061778F"/>
    <w:rsid w:val="00621E08"/>
    <w:rsid w:val="00624A10"/>
    <w:rsid w:val="00626C39"/>
    <w:rsid w:val="00631CEC"/>
    <w:rsid w:val="00643D7A"/>
    <w:rsid w:val="00646D29"/>
    <w:rsid w:val="0065261F"/>
    <w:rsid w:val="0066318F"/>
    <w:rsid w:val="00665339"/>
    <w:rsid w:val="006927DD"/>
    <w:rsid w:val="006A5D60"/>
    <w:rsid w:val="006B3424"/>
    <w:rsid w:val="006B7B89"/>
    <w:rsid w:val="006D3574"/>
    <w:rsid w:val="006D39C4"/>
    <w:rsid w:val="006E7D5B"/>
    <w:rsid w:val="006F2370"/>
    <w:rsid w:val="006F3A1D"/>
    <w:rsid w:val="006F55AA"/>
    <w:rsid w:val="006F582F"/>
    <w:rsid w:val="00702715"/>
    <w:rsid w:val="00711521"/>
    <w:rsid w:val="007143B8"/>
    <w:rsid w:val="0071651E"/>
    <w:rsid w:val="00730E99"/>
    <w:rsid w:val="007316AA"/>
    <w:rsid w:val="0073180A"/>
    <w:rsid w:val="0073746B"/>
    <w:rsid w:val="00741B9C"/>
    <w:rsid w:val="0075367B"/>
    <w:rsid w:val="00757A1C"/>
    <w:rsid w:val="007637D8"/>
    <w:rsid w:val="00765EBC"/>
    <w:rsid w:val="0077231B"/>
    <w:rsid w:val="00774643"/>
    <w:rsid w:val="007838DE"/>
    <w:rsid w:val="00785AA6"/>
    <w:rsid w:val="007957DA"/>
    <w:rsid w:val="007B0AC8"/>
    <w:rsid w:val="007B13B6"/>
    <w:rsid w:val="007B536D"/>
    <w:rsid w:val="007C0E74"/>
    <w:rsid w:val="007C4387"/>
    <w:rsid w:val="007C6AB8"/>
    <w:rsid w:val="007C6F4C"/>
    <w:rsid w:val="007D0C11"/>
    <w:rsid w:val="007D2FB7"/>
    <w:rsid w:val="007E0BE2"/>
    <w:rsid w:val="007E576A"/>
    <w:rsid w:val="007E79C4"/>
    <w:rsid w:val="007F23A8"/>
    <w:rsid w:val="007F4D76"/>
    <w:rsid w:val="0080034F"/>
    <w:rsid w:val="00804604"/>
    <w:rsid w:val="008061E6"/>
    <w:rsid w:val="0081221D"/>
    <w:rsid w:val="00821188"/>
    <w:rsid w:val="008214B4"/>
    <w:rsid w:val="00826961"/>
    <w:rsid w:val="00836428"/>
    <w:rsid w:val="00836CE3"/>
    <w:rsid w:val="00847C78"/>
    <w:rsid w:val="00852B97"/>
    <w:rsid w:val="00860026"/>
    <w:rsid w:val="00860FD5"/>
    <w:rsid w:val="00870521"/>
    <w:rsid w:val="0087642D"/>
    <w:rsid w:val="00880D7C"/>
    <w:rsid w:val="008847F0"/>
    <w:rsid w:val="008856D7"/>
    <w:rsid w:val="0089523C"/>
    <w:rsid w:val="008B2727"/>
    <w:rsid w:val="008B5463"/>
    <w:rsid w:val="008C3B9B"/>
    <w:rsid w:val="008C7B1F"/>
    <w:rsid w:val="008C7B63"/>
    <w:rsid w:val="008D22FE"/>
    <w:rsid w:val="008D3889"/>
    <w:rsid w:val="008D7855"/>
    <w:rsid w:val="008F0BDD"/>
    <w:rsid w:val="008F20E3"/>
    <w:rsid w:val="008F25FE"/>
    <w:rsid w:val="008F2F99"/>
    <w:rsid w:val="008F6084"/>
    <w:rsid w:val="00900583"/>
    <w:rsid w:val="009057C8"/>
    <w:rsid w:val="00906C73"/>
    <w:rsid w:val="0091339E"/>
    <w:rsid w:val="00913D59"/>
    <w:rsid w:val="00916773"/>
    <w:rsid w:val="00917B1A"/>
    <w:rsid w:val="00920AA1"/>
    <w:rsid w:val="0093193B"/>
    <w:rsid w:val="00947170"/>
    <w:rsid w:val="00947B3D"/>
    <w:rsid w:val="00956224"/>
    <w:rsid w:val="00956E94"/>
    <w:rsid w:val="009627A1"/>
    <w:rsid w:val="00963467"/>
    <w:rsid w:val="009712FE"/>
    <w:rsid w:val="00974CD5"/>
    <w:rsid w:val="00974E48"/>
    <w:rsid w:val="00976494"/>
    <w:rsid w:val="009813EE"/>
    <w:rsid w:val="00984993"/>
    <w:rsid w:val="009875AD"/>
    <w:rsid w:val="009924AF"/>
    <w:rsid w:val="009949F1"/>
    <w:rsid w:val="00996A22"/>
    <w:rsid w:val="00997631"/>
    <w:rsid w:val="009A7F71"/>
    <w:rsid w:val="009B2BAF"/>
    <w:rsid w:val="009B478F"/>
    <w:rsid w:val="009B51D7"/>
    <w:rsid w:val="009C638D"/>
    <w:rsid w:val="009D3BEA"/>
    <w:rsid w:val="009D49D6"/>
    <w:rsid w:val="009D5161"/>
    <w:rsid w:val="009E4D16"/>
    <w:rsid w:val="009F057F"/>
    <w:rsid w:val="009F12E2"/>
    <w:rsid w:val="009F2A21"/>
    <w:rsid w:val="009F3358"/>
    <w:rsid w:val="009F478B"/>
    <w:rsid w:val="009F69C1"/>
    <w:rsid w:val="00A171DF"/>
    <w:rsid w:val="00A24253"/>
    <w:rsid w:val="00A26F56"/>
    <w:rsid w:val="00A3057C"/>
    <w:rsid w:val="00A40EE1"/>
    <w:rsid w:val="00A423ED"/>
    <w:rsid w:val="00A536F3"/>
    <w:rsid w:val="00A721CE"/>
    <w:rsid w:val="00A76AD1"/>
    <w:rsid w:val="00A91D08"/>
    <w:rsid w:val="00A969EC"/>
    <w:rsid w:val="00AA281D"/>
    <w:rsid w:val="00AA5060"/>
    <w:rsid w:val="00AA6318"/>
    <w:rsid w:val="00AA7FCB"/>
    <w:rsid w:val="00AB59AE"/>
    <w:rsid w:val="00AB5BD9"/>
    <w:rsid w:val="00AB6B73"/>
    <w:rsid w:val="00AC09D3"/>
    <w:rsid w:val="00AC0B07"/>
    <w:rsid w:val="00AC510E"/>
    <w:rsid w:val="00AD0AA1"/>
    <w:rsid w:val="00AD6328"/>
    <w:rsid w:val="00AD67EE"/>
    <w:rsid w:val="00AE07A3"/>
    <w:rsid w:val="00AE1240"/>
    <w:rsid w:val="00AE372A"/>
    <w:rsid w:val="00B04CF9"/>
    <w:rsid w:val="00B14A57"/>
    <w:rsid w:val="00B17136"/>
    <w:rsid w:val="00B20EC7"/>
    <w:rsid w:val="00B275A9"/>
    <w:rsid w:val="00B346D9"/>
    <w:rsid w:val="00B40DBF"/>
    <w:rsid w:val="00B42148"/>
    <w:rsid w:val="00B4341D"/>
    <w:rsid w:val="00B44231"/>
    <w:rsid w:val="00B457C4"/>
    <w:rsid w:val="00B54060"/>
    <w:rsid w:val="00B57596"/>
    <w:rsid w:val="00B62F52"/>
    <w:rsid w:val="00B65BF7"/>
    <w:rsid w:val="00B669DB"/>
    <w:rsid w:val="00B71178"/>
    <w:rsid w:val="00B71664"/>
    <w:rsid w:val="00B75562"/>
    <w:rsid w:val="00B824AC"/>
    <w:rsid w:val="00B85693"/>
    <w:rsid w:val="00B914A2"/>
    <w:rsid w:val="00B93CA5"/>
    <w:rsid w:val="00B9541E"/>
    <w:rsid w:val="00BA4CDE"/>
    <w:rsid w:val="00BB0488"/>
    <w:rsid w:val="00BB22E3"/>
    <w:rsid w:val="00BB3ED5"/>
    <w:rsid w:val="00BB4AB9"/>
    <w:rsid w:val="00BC07C0"/>
    <w:rsid w:val="00BC3886"/>
    <w:rsid w:val="00BC4EF3"/>
    <w:rsid w:val="00BC543A"/>
    <w:rsid w:val="00BC747F"/>
    <w:rsid w:val="00BD1015"/>
    <w:rsid w:val="00BD3CFF"/>
    <w:rsid w:val="00BD7833"/>
    <w:rsid w:val="00BE59BD"/>
    <w:rsid w:val="00BE7278"/>
    <w:rsid w:val="00C0174A"/>
    <w:rsid w:val="00C05D9B"/>
    <w:rsid w:val="00C14661"/>
    <w:rsid w:val="00C26130"/>
    <w:rsid w:val="00C315B6"/>
    <w:rsid w:val="00C32437"/>
    <w:rsid w:val="00C376F3"/>
    <w:rsid w:val="00C4132F"/>
    <w:rsid w:val="00C463D2"/>
    <w:rsid w:val="00C50F56"/>
    <w:rsid w:val="00C52C36"/>
    <w:rsid w:val="00C60B2E"/>
    <w:rsid w:val="00C620C0"/>
    <w:rsid w:val="00C62A44"/>
    <w:rsid w:val="00C705A4"/>
    <w:rsid w:val="00C75984"/>
    <w:rsid w:val="00C75F57"/>
    <w:rsid w:val="00C80A39"/>
    <w:rsid w:val="00C818AB"/>
    <w:rsid w:val="00C81936"/>
    <w:rsid w:val="00C82671"/>
    <w:rsid w:val="00C84C4C"/>
    <w:rsid w:val="00C86F43"/>
    <w:rsid w:val="00C9178B"/>
    <w:rsid w:val="00C923A3"/>
    <w:rsid w:val="00CA64EA"/>
    <w:rsid w:val="00CA6ABA"/>
    <w:rsid w:val="00CA7D78"/>
    <w:rsid w:val="00CB4D72"/>
    <w:rsid w:val="00CB631F"/>
    <w:rsid w:val="00CC4246"/>
    <w:rsid w:val="00CC5314"/>
    <w:rsid w:val="00CC65F5"/>
    <w:rsid w:val="00CF08C2"/>
    <w:rsid w:val="00CF1653"/>
    <w:rsid w:val="00CF18D9"/>
    <w:rsid w:val="00D0019C"/>
    <w:rsid w:val="00D17F80"/>
    <w:rsid w:val="00D25C36"/>
    <w:rsid w:val="00D30F63"/>
    <w:rsid w:val="00D3182B"/>
    <w:rsid w:val="00D50981"/>
    <w:rsid w:val="00D52AD6"/>
    <w:rsid w:val="00D62C5E"/>
    <w:rsid w:val="00D6449D"/>
    <w:rsid w:val="00D727CF"/>
    <w:rsid w:val="00D73432"/>
    <w:rsid w:val="00D861C1"/>
    <w:rsid w:val="00D86901"/>
    <w:rsid w:val="00D92835"/>
    <w:rsid w:val="00D94424"/>
    <w:rsid w:val="00D94760"/>
    <w:rsid w:val="00D97DDD"/>
    <w:rsid w:val="00DA6DB6"/>
    <w:rsid w:val="00DB78EB"/>
    <w:rsid w:val="00DC41C9"/>
    <w:rsid w:val="00DC5473"/>
    <w:rsid w:val="00DC7AA9"/>
    <w:rsid w:val="00DD19DF"/>
    <w:rsid w:val="00DD2B95"/>
    <w:rsid w:val="00DD2F76"/>
    <w:rsid w:val="00DE118E"/>
    <w:rsid w:val="00DE6FE8"/>
    <w:rsid w:val="00DF097F"/>
    <w:rsid w:val="00DF5DE8"/>
    <w:rsid w:val="00DF7B14"/>
    <w:rsid w:val="00E06F85"/>
    <w:rsid w:val="00E110A3"/>
    <w:rsid w:val="00E114C5"/>
    <w:rsid w:val="00E13D93"/>
    <w:rsid w:val="00E15266"/>
    <w:rsid w:val="00E162F5"/>
    <w:rsid w:val="00E24050"/>
    <w:rsid w:val="00E2539B"/>
    <w:rsid w:val="00E301C6"/>
    <w:rsid w:val="00E3230E"/>
    <w:rsid w:val="00E32356"/>
    <w:rsid w:val="00E35775"/>
    <w:rsid w:val="00E50EB7"/>
    <w:rsid w:val="00E612FE"/>
    <w:rsid w:val="00E63AA4"/>
    <w:rsid w:val="00E712D6"/>
    <w:rsid w:val="00E826D1"/>
    <w:rsid w:val="00E91F9E"/>
    <w:rsid w:val="00E9544B"/>
    <w:rsid w:val="00E95CF7"/>
    <w:rsid w:val="00EA0EEB"/>
    <w:rsid w:val="00EB7449"/>
    <w:rsid w:val="00ED2DCC"/>
    <w:rsid w:val="00ED757F"/>
    <w:rsid w:val="00EE2D14"/>
    <w:rsid w:val="00EF2BE5"/>
    <w:rsid w:val="00EF4BC8"/>
    <w:rsid w:val="00F042FA"/>
    <w:rsid w:val="00F05AC0"/>
    <w:rsid w:val="00F22813"/>
    <w:rsid w:val="00F2442A"/>
    <w:rsid w:val="00F30109"/>
    <w:rsid w:val="00F471C8"/>
    <w:rsid w:val="00F51AFD"/>
    <w:rsid w:val="00F54EA6"/>
    <w:rsid w:val="00F55279"/>
    <w:rsid w:val="00F612FF"/>
    <w:rsid w:val="00F6493F"/>
    <w:rsid w:val="00F70ACC"/>
    <w:rsid w:val="00F712D4"/>
    <w:rsid w:val="00F75663"/>
    <w:rsid w:val="00F80BC4"/>
    <w:rsid w:val="00F811E7"/>
    <w:rsid w:val="00F868C9"/>
    <w:rsid w:val="00F8799E"/>
    <w:rsid w:val="00F9056C"/>
    <w:rsid w:val="00F90924"/>
    <w:rsid w:val="00FA2944"/>
    <w:rsid w:val="00FB4891"/>
    <w:rsid w:val="00FB5CA3"/>
    <w:rsid w:val="00FC330B"/>
    <w:rsid w:val="00FC686F"/>
    <w:rsid w:val="00FC7BD3"/>
    <w:rsid w:val="00FC7FBE"/>
    <w:rsid w:val="00FE0378"/>
    <w:rsid w:val="00FE2347"/>
    <w:rsid w:val="01A9C8DE"/>
    <w:rsid w:val="03D299AF"/>
    <w:rsid w:val="18DD2459"/>
    <w:rsid w:val="1F12A760"/>
    <w:rsid w:val="47634E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CFAE2"/>
  <w15:chartTrackingRefBased/>
  <w15:docId w15:val="{9B67C2C8-B7FF-49C2-AAE4-416F30FC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SharedWithUsers>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2024-05-13T11:23:08+00:00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2.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346562E6-1765-498B-AC7B-F0BAF9953FBB}"/>
</file>

<file path=customXml/itemProps5.xml><?xml version="1.0" encoding="utf-8"?>
<ds:datastoreItem xmlns:ds="http://schemas.openxmlformats.org/officeDocument/2006/customXml" ds:itemID="{6A34C29C-1583-452D-AE30-AB3EA8CEA73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3023</Words>
  <Characters>16812</Characters>
  <Application>Microsoft Office Word</Application>
  <DocSecurity>0</DocSecurity>
  <Lines>140</Lines>
  <Paragraphs>39</Paragraphs>
  <ScaleCrop>false</ScaleCrop>
  <Company>Minnesota Advocates for Human Rights</Company>
  <LinksUpToDate>false</LinksUpToDate>
  <CharactersWithSpaces>19796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8</cp:revision>
  <cp:lastPrinted>2011-09-16T18:52:00Z</cp:lastPrinted>
  <dcterms:created xsi:type="dcterms:W3CDTF">2024-05-10T22:19:00Z</dcterms:created>
  <dcterms:modified xsi:type="dcterms:W3CDTF">2024-05-10T22:23:00Z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MediaServiceImageTags">
    <vt:lpwstr/>
  </property>
  <property fmtid="{D5CDD505-2E9C-101B-9397-08002B2CF9AE}" pid="8" name="ContentTypeId">
    <vt:lpwstr>0x010100452BDADA77824941B327CDF72849C9BE</vt:lpwstr>
  </property>
</Properties>
</file>