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ABAD6" w14:textId="6D89D6A0" w:rsidR="00FB6029" w:rsidRDefault="00FB6029" w:rsidP="00FB6029">
      <w:pPr>
        <w:keepNext/>
        <w:keepLines/>
        <w:spacing w:before="480" w:after="120"/>
        <w:jc w:val="center"/>
        <w:outlineLvl w:val="0"/>
        <w:rPr>
          <w:rFonts w:ascii="Times New Roman" w:eastAsia="Calibri" w:hAnsi="Times New Roman" w:cs="Times New Roman"/>
          <w:b/>
          <w:sz w:val="24"/>
          <w:szCs w:val="24"/>
          <w:lang w:eastAsia="en-GB"/>
        </w:rPr>
      </w:pPr>
      <w:bookmarkStart w:id="0" w:name="_Toc52609173"/>
      <w:r>
        <w:rPr>
          <w:rFonts w:ascii="Times New Roman" w:eastAsia="Calibri" w:hAnsi="Times New Roman" w:cs="Times New Roman"/>
          <w:b/>
          <w:sz w:val="24"/>
          <w:szCs w:val="24"/>
          <w:lang w:eastAsia="en-GB"/>
        </w:rPr>
        <w:t>Appendix B</w:t>
      </w:r>
    </w:p>
    <w:p w14:paraId="6A48406A" w14:textId="36DDCE93" w:rsidR="00FB6029" w:rsidRPr="00FB6029" w:rsidRDefault="00FB6029" w:rsidP="00FB6029">
      <w:pPr>
        <w:keepNext/>
        <w:keepLines/>
        <w:spacing w:before="480" w:after="120"/>
        <w:outlineLvl w:val="0"/>
        <w:rPr>
          <w:rFonts w:ascii="Times New Roman" w:eastAsia="Calibri" w:hAnsi="Times New Roman" w:cs="Times New Roman"/>
          <w:b/>
          <w:sz w:val="24"/>
          <w:szCs w:val="24"/>
          <w:lang w:eastAsia="en-GB"/>
        </w:rPr>
      </w:pPr>
      <w:r w:rsidRPr="00FB6029">
        <w:rPr>
          <w:rFonts w:ascii="Times New Roman" w:eastAsia="Calibri" w:hAnsi="Times New Roman" w:cs="Times New Roman"/>
          <w:b/>
          <w:sz w:val="24"/>
          <w:szCs w:val="24"/>
          <w:lang w:eastAsia="en-GB"/>
        </w:rPr>
        <w:t>International and Regional Frameworks</w:t>
      </w:r>
      <w:bookmarkEnd w:id="0"/>
    </w:p>
    <w:p w14:paraId="70DC0CFA" w14:textId="77777777" w:rsidR="00FB6029" w:rsidRPr="00FB6029" w:rsidRDefault="00FB6029" w:rsidP="00FB602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eastAsia="en-GB"/>
        </w:rPr>
      </w:pPr>
      <w:r w:rsidRPr="00FB6029">
        <w:rPr>
          <w:rFonts w:ascii="Times New Roman" w:eastAsia="Times New Roman" w:hAnsi="Times New Roman" w:cs="Times New Roman"/>
          <w:color w:val="000000"/>
          <w:sz w:val="24"/>
          <w:szCs w:val="24"/>
          <w:lang w:eastAsia="en-GB"/>
        </w:rPr>
        <w:t>South Africa has acceded to several international treaties since its democratic status. It has signed the International Covenant on Economic, Social and Cultural Rights (ICESCR) in 1994 and ratified in 2015 and has ratified the CEDAW in 1995, the African Charter on Human and People’s Rights (African Charter) in 1996, and the International Covenant on Civil and Political Rights (ICCPR) in 1998</w:t>
      </w:r>
    </w:p>
    <w:p w14:paraId="44EAD74B" w14:textId="77777777" w:rsidR="00FB6029" w:rsidRPr="00FB6029" w:rsidRDefault="00FB6029" w:rsidP="00FB6029">
      <w:pPr>
        <w:spacing w:line="360" w:lineRule="auto"/>
        <w:jc w:val="both"/>
        <w:rPr>
          <w:rFonts w:ascii="Times New Roman" w:eastAsia="Times New Roman" w:hAnsi="Times New Roman" w:cs="Times New Roman"/>
          <w:sz w:val="24"/>
          <w:szCs w:val="24"/>
          <w:lang w:eastAsia="en-GB"/>
        </w:rPr>
      </w:pPr>
      <w:r w:rsidRPr="00FB6029">
        <w:rPr>
          <w:rFonts w:ascii="Times New Roman" w:eastAsia="Times New Roman" w:hAnsi="Times New Roman" w:cs="Times New Roman"/>
          <w:sz w:val="24"/>
          <w:szCs w:val="24"/>
          <w:lang w:eastAsia="en-GB"/>
        </w:rPr>
        <w:t>At a regional level, the African Charter on Human and Peoples’ Rights (African Charter) sets out a duty to all States to ensure equality and dignity for all persons. Stating all persons are equal before the law;</w:t>
      </w:r>
      <w:r w:rsidRPr="00FB6029">
        <w:rPr>
          <w:rFonts w:ascii="Calibri" w:eastAsia="Calibri" w:hAnsi="Calibri" w:cs="Calibri"/>
          <w:vertAlign w:val="superscript"/>
          <w:lang w:eastAsia="en-GB"/>
        </w:rPr>
        <w:footnoteReference w:id="1"/>
      </w:r>
      <w:r w:rsidRPr="00FB6029">
        <w:rPr>
          <w:rFonts w:ascii="Times New Roman" w:eastAsia="Times New Roman" w:hAnsi="Times New Roman" w:cs="Times New Roman"/>
          <w:sz w:val="24"/>
          <w:szCs w:val="24"/>
          <w:lang w:eastAsia="en-GB"/>
        </w:rPr>
        <w:t xml:space="preserve"> it provides for the enjoyment of rights without any distinction of race, ethnicity, sex or religion,</w:t>
      </w:r>
      <w:r w:rsidRPr="00FB6029">
        <w:rPr>
          <w:rFonts w:ascii="Calibri" w:eastAsia="Calibri" w:hAnsi="Calibri" w:cs="Calibri"/>
          <w:vertAlign w:val="superscript"/>
          <w:lang w:eastAsia="en-GB"/>
        </w:rPr>
        <w:footnoteReference w:id="2"/>
      </w:r>
      <w:r w:rsidRPr="00FB6029">
        <w:rPr>
          <w:rFonts w:ascii="Times New Roman" w:eastAsia="Times New Roman" w:hAnsi="Times New Roman" w:cs="Times New Roman"/>
          <w:sz w:val="24"/>
          <w:szCs w:val="24"/>
          <w:lang w:eastAsia="en-GB"/>
        </w:rPr>
        <w:t xml:space="preserve"> and it guarantees freedom of conscience, profession and free practice of religion.</w:t>
      </w:r>
      <w:r w:rsidRPr="00FB6029">
        <w:rPr>
          <w:rFonts w:ascii="Calibri" w:eastAsia="Calibri" w:hAnsi="Calibri" w:cs="Calibri"/>
          <w:vertAlign w:val="superscript"/>
          <w:lang w:eastAsia="en-GB"/>
        </w:rPr>
        <w:footnoteReference w:id="3"/>
      </w:r>
      <w:r w:rsidRPr="00FB6029">
        <w:rPr>
          <w:rFonts w:ascii="Times New Roman" w:eastAsia="Times New Roman" w:hAnsi="Times New Roman" w:cs="Times New Roman"/>
          <w:sz w:val="24"/>
          <w:szCs w:val="24"/>
          <w:lang w:eastAsia="en-GB"/>
        </w:rPr>
        <w:t xml:space="preserve">  It further protects cultural life and traditional values,</w:t>
      </w:r>
      <w:r w:rsidRPr="00FB6029">
        <w:rPr>
          <w:rFonts w:ascii="Calibri" w:eastAsia="Calibri" w:hAnsi="Calibri" w:cs="Calibri"/>
          <w:vertAlign w:val="superscript"/>
          <w:lang w:eastAsia="en-GB"/>
        </w:rPr>
        <w:footnoteReference w:id="4"/>
      </w:r>
      <w:r w:rsidRPr="00FB6029">
        <w:rPr>
          <w:rFonts w:ascii="Times New Roman" w:eastAsia="Times New Roman" w:hAnsi="Times New Roman" w:cs="Times New Roman"/>
          <w:sz w:val="24"/>
          <w:szCs w:val="24"/>
          <w:lang w:eastAsia="en-GB"/>
        </w:rPr>
        <w:t xml:space="preserve"> and seeks to eliminate all discrimination against women as stipulated in CEDAW and other international declarations and conventions.</w:t>
      </w:r>
      <w:r w:rsidRPr="00FB6029">
        <w:rPr>
          <w:rFonts w:ascii="Calibri" w:eastAsia="Calibri" w:hAnsi="Calibri" w:cs="Calibri"/>
          <w:vertAlign w:val="superscript"/>
          <w:lang w:eastAsia="en-GB"/>
        </w:rPr>
        <w:footnoteReference w:id="5"/>
      </w:r>
    </w:p>
    <w:p w14:paraId="0052377C" w14:textId="77777777" w:rsidR="00FB6029" w:rsidRPr="00FB6029" w:rsidRDefault="00FB6029" w:rsidP="00FB6029">
      <w:pPr>
        <w:spacing w:line="360" w:lineRule="auto"/>
        <w:jc w:val="both"/>
        <w:rPr>
          <w:rFonts w:ascii="Times New Roman" w:eastAsia="Times New Roman" w:hAnsi="Times New Roman" w:cs="Times New Roman"/>
          <w:sz w:val="24"/>
          <w:szCs w:val="24"/>
          <w:lang w:eastAsia="en-GB"/>
        </w:rPr>
      </w:pPr>
      <w:r w:rsidRPr="00FB6029">
        <w:rPr>
          <w:rFonts w:ascii="Times New Roman" w:eastAsia="Times New Roman" w:hAnsi="Times New Roman" w:cs="Times New Roman"/>
          <w:sz w:val="24"/>
          <w:szCs w:val="24"/>
          <w:lang w:eastAsia="en-GB"/>
        </w:rPr>
        <w:t>South Africa is one of fifteen nations that have ratified the Maputo Protocol, formally called the Protocol to the African Charter on Human and Peoples’ Rights on the Rights of Women in Africa. The Maputo Protocol was adopted by the African Union in July 2003 and came into force on 25 November 2005. The Protocol speaks to the protection of women in the context of religious marriages.</w:t>
      </w:r>
      <w:r w:rsidRPr="00FB6029">
        <w:rPr>
          <w:rFonts w:ascii="Calibri" w:eastAsia="Calibri" w:hAnsi="Calibri" w:cs="Calibri"/>
          <w:vertAlign w:val="superscript"/>
          <w:lang w:eastAsia="en-GB"/>
        </w:rPr>
        <w:footnoteReference w:id="6"/>
      </w:r>
      <w:r w:rsidRPr="00FB6029">
        <w:rPr>
          <w:rFonts w:ascii="Times New Roman" w:eastAsia="Times New Roman" w:hAnsi="Times New Roman" w:cs="Times New Roman"/>
          <w:sz w:val="24"/>
          <w:szCs w:val="24"/>
          <w:lang w:eastAsia="en-GB"/>
        </w:rPr>
        <w:t xml:space="preserve"> It further states that women should be consulted and involved in all matters regarding cultural policies.</w:t>
      </w:r>
      <w:r w:rsidRPr="00FB6029">
        <w:rPr>
          <w:rFonts w:ascii="Calibri" w:eastAsia="Calibri" w:hAnsi="Calibri" w:cs="Calibri"/>
          <w:vertAlign w:val="superscript"/>
          <w:lang w:eastAsia="en-GB"/>
        </w:rPr>
        <w:footnoteReference w:id="7"/>
      </w:r>
      <w:r w:rsidRPr="00FB6029">
        <w:rPr>
          <w:rFonts w:ascii="Times New Roman" w:eastAsia="Times New Roman" w:hAnsi="Times New Roman" w:cs="Times New Roman"/>
          <w:sz w:val="24"/>
          <w:szCs w:val="24"/>
          <w:lang w:eastAsia="en-GB"/>
        </w:rPr>
        <w:t xml:space="preserve"> The Protocol is explicit that women are to be involved in matters concerning their marriages regardless of race, religion and ethnicity.</w:t>
      </w:r>
    </w:p>
    <w:p w14:paraId="6D273E5A" w14:textId="77777777" w:rsidR="00FB6029" w:rsidRPr="00FB6029" w:rsidRDefault="00FB6029" w:rsidP="00FB6029">
      <w:pPr>
        <w:spacing w:line="360" w:lineRule="auto"/>
        <w:jc w:val="both"/>
        <w:rPr>
          <w:rFonts w:ascii="Arial" w:eastAsia="Arial" w:hAnsi="Arial" w:cs="Arial"/>
          <w:color w:val="000000"/>
          <w:lang w:eastAsia="en-GB"/>
        </w:rPr>
      </w:pPr>
    </w:p>
    <w:p w14:paraId="11EAF12B" w14:textId="77777777" w:rsidR="00FB6029" w:rsidRDefault="00FB6029"/>
    <w:sectPr w:rsidR="00FB6029" w:rsidSect="00093A46">
      <w:headerReference w:type="default" r:id="rId6"/>
      <w:footerReference w:type="default" r:id="rId7"/>
      <w:pgSz w:w="11906" w:h="16838"/>
      <w:pgMar w:top="1440" w:right="1440" w:bottom="1440" w:left="1440" w:header="708" w:footer="708" w:gutter="0"/>
      <w:pgNumType w:fmt="lowerRoman"/>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EBD9A0" w14:textId="77777777" w:rsidR="006733D5" w:rsidRDefault="006733D5" w:rsidP="00FB6029">
      <w:pPr>
        <w:spacing w:after="0" w:line="240" w:lineRule="auto"/>
      </w:pPr>
      <w:r>
        <w:separator/>
      </w:r>
    </w:p>
  </w:endnote>
  <w:endnote w:type="continuationSeparator" w:id="0">
    <w:p w14:paraId="70BD0F1E" w14:textId="77777777" w:rsidR="006733D5" w:rsidRDefault="006733D5" w:rsidP="00FB6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5466125"/>
      <w:docPartObj>
        <w:docPartGallery w:val="Page Numbers (Bottom of Page)"/>
        <w:docPartUnique/>
      </w:docPartObj>
    </w:sdtPr>
    <w:sdtEndPr>
      <w:rPr>
        <w:noProof/>
      </w:rPr>
    </w:sdtEndPr>
    <w:sdtContent>
      <w:p w14:paraId="159B503A" w14:textId="77777777" w:rsidR="0019689F" w:rsidRDefault="006733D5">
        <w:pPr>
          <w:pStyle w:val="Footer"/>
          <w:jc w:val="center"/>
        </w:pPr>
        <w:r>
          <w:fldChar w:fldCharType="begin"/>
        </w:r>
        <w:r>
          <w:instrText xml:space="preserve"> PAGE   \* MERGEFORMAT </w:instrText>
        </w:r>
        <w:r>
          <w:fldChar w:fldCharType="separate"/>
        </w:r>
        <w:r>
          <w:rPr>
            <w:noProof/>
          </w:rPr>
          <w:t>iii</w:t>
        </w:r>
        <w:r>
          <w:rPr>
            <w:noProof/>
          </w:rPr>
          <w:fldChar w:fldCharType="end"/>
        </w:r>
      </w:p>
    </w:sdtContent>
  </w:sdt>
  <w:p w14:paraId="02618E7A" w14:textId="77777777" w:rsidR="0019689F" w:rsidRDefault="006733D5" w:rsidP="00C10CF8">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D5E3FA" w14:textId="77777777" w:rsidR="006733D5" w:rsidRDefault="006733D5" w:rsidP="00FB6029">
      <w:pPr>
        <w:spacing w:after="0" w:line="240" w:lineRule="auto"/>
      </w:pPr>
      <w:r>
        <w:separator/>
      </w:r>
    </w:p>
  </w:footnote>
  <w:footnote w:type="continuationSeparator" w:id="0">
    <w:p w14:paraId="1F443911" w14:textId="77777777" w:rsidR="006733D5" w:rsidRDefault="006733D5" w:rsidP="00FB6029">
      <w:pPr>
        <w:spacing w:after="0" w:line="240" w:lineRule="auto"/>
      </w:pPr>
      <w:r>
        <w:continuationSeparator/>
      </w:r>
    </w:p>
  </w:footnote>
  <w:footnote w:id="1">
    <w:p w14:paraId="158FE648"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Article 2 of the African Charter.</w:t>
      </w:r>
    </w:p>
  </w:footnote>
  <w:footnote w:id="2">
    <w:p w14:paraId="4C820317"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Article 3 of the African Charter.</w:t>
      </w:r>
    </w:p>
  </w:footnote>
  <w:footnote w:id="3">
    <w:p w14:paraId="32BD6645"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Article 8 of the African Charter.</w:t>
      </w:r>
    </w:p>
  </w:footnote>
  <w:footnote w:id="4">
    <w:p w14:paraId="27092189"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Article 17(2) and (3) of the African Charter.</w:t>
      </w:r>
    </w:p>
  </w:footnote>
  <w:footnote w:id="5">
    <w:p w14:paraId="24584EA7" w14:textId="77777777" w:rsidR="00FB6029" w:rsidRDefault="00FB6029" w:rsidP="00FB602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Article 18(3) of the African Charter.</w:t>
      </w:r>
    </w:p>
  </w:footnote>
  <w:footnote w:id="6">
    <w:p w14:paraId="6ACE13E3" w14:textId="77777777" w:rsidR="00FB6029" w:rsidRDefault="00FB6029" w:rsidP="00FB602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Article 6 of the Protocol ensures equality in marriages and calls for the protection of all polygamous marriages. Article 7 states that “States Parties shall enact appropriate legislation to ensure that women and men enjoy the same rights in case of separation, divorce or annulment of marriage.”</w:t>
      </w:r>
    </w:p>
  </w:footnote>
  <w:footnote w:id="7">
    <w:p w14:paraId="7EDDE6A5"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Article 17 of the Maputo Protocol.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63976" w14:textId="1192C991" w:rsidR="0019689F" w:rsidRPr="00E70BEB" w:rsidRDefault="006733D5">
    <w:pPr>
      <w:pStyle w:val="Header"/>
      <w:rPr>
        <w:rFonts w:ascii="Times New Roman" w:hAnsi="Times New Roman" w:cs="Times New Roman"/>
        <w:b/>
        <w:bCs/>
        <w:sz w:val="24"/>
        <w:szCs w:val="24"/>
      </w:rP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029"/>
    <w:rsid w:val="006733D5"/>
    <w:rsid w:val="00FB602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CAD9"/>
  <w15:chartTrackingRefBased/>
  <w15:docId w15:val="{C907C18F-F670-4A8A-82A9-E6817C6EA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029"/>
    <w:pPr>
      <w:tabs>
        <w:tab w:val="center" w:pos="4513"/>
        <w:tab w:val="right" w:pos="9026"/>
      </w:tabs>
      <w:spacing w:after="0" w:line="240" w:lineRule="auto"/>
    </w:pPr>
    <w:rPr>
      <w:rFonts w:ascii="Calibri" w:eastAsia="Calibri" w:hAnsi="Calibri" w:cs="Calibri"/>
      <w:lang w:eastAsia="en-GB"/>
    </w:rPr>
  </w:style>
  <w:style w:type="character" w:customStyle="1" w:styleId="HeaderChar">
    <w:name w:val="Header Char"/>
    <w:basedOn w:val="DefaultParagraphFont"/>
    <w:link w:val="Header"/>
    <w:uiPriority w:val="99"/>
    <w:rsid w:val="00FB6029"/>
    <w:rPr>
      <w:rFonts w:ascii="Calibri" w:eastAsia="Calibri" w:hAnsi="Calibri" w:cs="Calibri"/>
      <w:lang w:eastAsia="en-GB"/>
    </w:rPr>
  </w:style>
  <w:style w:type="paragraph" w:styleId="Footer">
    <w:name w:val="footer"/>
    <w:basedOn w:val="Normal"/>
    <w:link w:val="FooterChar"/>
    <w:uiPriority w:val="99"/>
    <w:unhideWhenUsed/>
    <w:rsid w:val="00FB6029"/>
    <w:pPr>
      <w:tabs>
        <w:tab w:val="center" w:pos="4513"/>
        <w:tab w:val="right" w:pos="9026"/>
      </w:tabs>
      <w:spacing w:after="0" w:line="240" w:lineRule="auto"/>
    </w:pPr>
    <w:rPr>
      <w:rFonts w:ascii="Calibri" w:eastAsia="Calibri" w:hAnsi="Calibri" w:cs="Calibri"/>
      <w:lang w:eastAsia="en-GB"/>
    </w:rPr>
  </w:style>
  <w:style w:type="character" w:customStyle="1" w:styleId="FooterChar">
    <w:name w:val="Footer Char"/>
    <w:basedOn w:val="DefaultParagraphFont"/>
    <w:link w:val="Footer"/>
    <w:uiPriority w:val="99"/>
    <w:rsid w:val="00FB6029"/>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79D779-E17A-4641-B5F3-E6D0C03B39EE}"/>
</file>

<file path=customXml/itemProps2.xml><?xml version="1.0" encoding="utf-8"?>
<ds:datastoreItem xmlns:ds="http://schemas.openxmlformats.org/officeDocument/2006/customXml" ds:itemID="{4A207B0D-3869-4AEC-8165-73198045813E}"/>
</file>

<file path=customXml/itemProps3.xml><?xml version="1.0" encoding="utf-8"?>
<ds:datastoreItem xmlns:ds="http://schemas.openxmlformats.org/officeDocument/2006/customXml" ds:itemID="{0989B205-C65A-49C6-88AA-E9545E41A1F3}"/>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1423</Characters>
  <Application>Microsoft Office Word</Application>
  <DocSecurity>0</DocSecurity>
  <Lines>11</Lines>
  <Paragraphs>3</Paragraphs>
  <ScaleCrop>false</ScaleCrop>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Sulaiman Sujee</dc:creator>
  <cp:keywords/>
  <dc:description/>
  <cp:lastModifiedBy>Sulaiman Sujee</cp:lastModifiedBy>
  <cp:revision>1</cp:revision>
  <dcterms:created xsi:type="dcterms:W3CDTF">2020-10-21T06:20:00Z</dcterms:created>
  <dcterms:modified xsi:type="dcterms:W3CDTF">2020-10-21T06:23:00Z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