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ajorEastAsia" w:cstheme="minorBidi"/>
          <w:sz w:val="22"/>
          <w:szCs w:val="22"/>
          <w:lang w:val="en-US"/>
        </w:rPr>
        <w:id w:val="2093429116"/>
        <w:docPartObj>
          <w:docPartGallery w:val="Cover Pages"/>
          <w:docPartUnique/>
        </w:docPartObj>
      </w:sdtPr>
      <w:sdtEndPr>
        <w:rPr>
          <w:rFonts w:eastAsiaTheme="minorHAnsi"/>
        </w:rPr>
      </w:sdtEndPr>
      <w:sdtContent>
        <w:p w14:paraId="07919DC2" w14:textId="77777777" w:rsidR="00C5420E" w:rsidRDefault="00C5420E" w:rsidP="00184D6B">
          <w:pPr>
            <w:pStyle w:val="Sinespaciado"/>
            <w:rPr>
              <w:rFonts w:eastAsiaTheme="majorEastAsia" w:cstheme="minorBidi"/>
              <w:sz w:val="22"/>
              <w:szCs w:val="22"/>
              <w:lang w:val="en-US"/>
            </w:rPr>
          </w:pPr>
        </w:p>
        <w:p w14:paraId="3F4F958A" w14:textId="77777777" w:rsidR="00C5420E" w:rsidRDefault="00C5420E" w:rsidP="00184D6B">
          <w:pPr>
            <w:pStyle w:val="Sinespaciado"/>
            <w:rPr>
              <w:rFonts w:eastAsiaTheme="majorEastAsia" w:cstheme="minorBidi"/>
              <w:sz w:val="22"/>
              <w:szCs w:val="22"/>
              <w:lang w:val="en-US"/>
            </w:rPr>
          </w:pPr>
        </w:p>
        <w:p w14:paraId="6B28B329" w14:textId="77777777" w:rsidR="00C5420E" w:rsidRDefault="00C5420E" w:rsidP="00184D6B">
          <w:pPr>
            <w:pStyle w:val="Sinespaciado"/>
            <w:rPr>
              <w:rFonts w:eastAsiaTheme="majorEastAsia" w:cstheme="minorBidi"/>
              <w:sz w:val="22"/>
              <w:szCs w:val="22"/>
              <w:lang w:val="en-US"/>
            </w:rPr>
          </w:pPr>
        </w:p>
        <w:p w14:paraId="136E188B" w14:textId="77777777" w:rsidR="00C5420E" w:rsidRDefault="00C5420E" w:rsidP="00184D6B">
          <w:pPr>
            <w:pStyle w:val="Sinespaciado"/>
            <w:rPr>
              <w:rFonts w:eastAsiaTheme="majorEastAsia" w:cstheme="minorBidi"/>
              <w:sz w:val="22"/>
              <w:szCs w:val="22"/>
              <w:lang w:val="en-US"/>
            </w:rPr>
          </w:pPr>
        </w:p>
        <w:p w14:paraId="01B04E83" w14:textId="77777777" w:rsidR="00C5420E" w:rsidRDefault="00C5420E" w:rsidP="00184D6B">
          <w:pPr>
            <w:pStyle w:val="Sinespaciado"/>
            <w:rPr>
              <w:rFonts w:eastAsiaTheme="majorEastAsia" w:cstheme="minorBidi"/>
              <w:sz w:val="22"/>
              <w:szCs w:val="22"/>
              <w:lang w:val="en-US"/>
            </w:rPr>
          </w:pPr>
        </w:p>
        <w:p w14:paraId="63C0AC0A" w14:textId="77777777" w:rsidR="00C5420E" w:rsidRDefault="00C5420E" w:rsidP="00184D6B">
          <w:pPr>
            <w:pStyle w:val="Sinespaciado"/>
            <w:rPr>
              <w:rFonts w:eastAsiaTheme="majorEastAsia" w:cstheme="minorBidi"/>
              <w:sz w:val="22"/>
              <w:szCs w:val="22"/>
              <w:lang w:val="en-US"/>
            </w:rPr>
          </w:pPr>
        </w:p>
        <w:p w14:paraId="4E0E64B7" w14:textId="4EB4549D" w:rsidR="006F5FFD" w:rsidRPr="006059D4" w:rsidRDefault="006F5FFD" w:rsidP="00C5420E">
          <w:pPr>
            <w:pStyle w:val="Sinespaciado"/>
            <w:ind w:left="720" w:firstLine="0"/>
            <w:rPr>
              <w:rFonts w:eastAsiaTheme="majorEastAsia"/>
              <w:sz w:val="72"/>
              <w:szCs w:val="72"/>
              <w:lang w:val="en-US"/>
            </w:rPr>
          </w:pPr>
          <w:r w:rsidRPr="006059D4">
            <w:rPr>
              <w:sz w:val="72"/>
              <w:szCs w:val="72"/>
              <w:lang w:val="en-US" w:eastAsia="es-AR"/>
            </w:rPr>
            <mc:AlternateContent>
              <mc:Choice Requires="wps">
                <w:drawing>
                  <wp:anchor distT="0" distB="0" distL="114300" distR="114300" simplePos="0" relativeHeight="251659264" behindDoc="0" locked="0" layoutInCell="0" allowOverlap="1" wp14:anchorId="025566F9" wp14:editId="215C1FA6">
                    <wp:simplePos x="0" y="0"/>
                    <wp:positionH relativeFrom="page">
                      <wp:align>center</wp:align>
                    </wp:positionH>
                    <wp:positionV relativeFrom="page">
                      <wp:align>bottom</wp:align>
                    </wp:positionV>
                    <wp:extent cx="8161020" cy="817880"/>
                    <wp:effectExtent l="0" t="0" r="0" b="5080"/>
                    <wp:wrapNone/>
                    <wp:docPr id="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DA8DDC" id="Rectángulo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" o:allowincell="f" fillcolor="#5b9bd5 [3208]" strokecolor="#4472c4 [3204]">
                    <w10:wrap anchorx="page" anchory="page"/>
                  </v:rect>
                </w:pict>
              </mc:Fallback>
            </mc:AlternateContent>
          </w:r>
          <w:r w:rsidRPr="006059D4">
            <w:rPr>
              <w:sz w:val="72"/>
              <w:szCs w:val="72"/>
              <w:lang w:val="en-US" w:eastAsia="es-AR"/>
            </w:rPr>
            <mc:AlternateContent>
              <mc:Choice Requires="wps">
                <w:drawing>
                  <wp:anchor distT="0" distB="0" distL="114300" distR="114300" simplePos="0" relativeHeight="251662336" behindDoc="0" locked="0" layoutInCell="0" allowOverlap="1" wp14:anchorId="6636D7D4" wp14:editId="6102DD85">
                    <wp:simplePos x="0" y="0"/>
                    <wp:positionH relativeFrom="leftMargin">
                      <wp:align>center</wp:align>
                    </wp:positionH>
                    <wp:positionV relativeFrom="page">
                      <wp:align>center</wp:align>
                    </wp:positionV>
                    <wp:extent cx="90805" cy="10556240"/>
                    <wp:effectExtent l="0" t="0" r="4445" b="5080"/>
                    <wp:wrapNone/>
                    <wp:docPr id="8"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1E847AF" id="Rectángulo 5"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" o:allowincell="f" strokecolor="#4472c4 [3204]">
                    <w10:wrap anchorx="margin" anchory="page"/>
                  </v:rect>
                </w:pict>
              </mc:Fallback>
            </mc:AlternateContent>
          </w:r>
          <w:r w:rsidRPr="006059D4">
            <w:rPr>
              <w:sz w:val="72"/>
              <w:szCs w:val="72"/>
              <w:lang w:val="en-US" w:eastAsia="es-AR"/>
            </w:rPr>
            <mc:AlternateContent>
              <mc:Choice Requires="wps">
                <w:drawing>
                  <wp:anchor distT="0" distB="0" distL="114300" distR="114300" simplePos="0" relativeHeight="251661312" behindDoc="0" locked="0" layoutInCell="0" allowOverlap="1" wp14:anchorId="45F91AAC" wp14:editId="00810CC8">
                    <wp:simplePos x="0" y="0"/>
                    <wp:positionH relativeFrom="rightMargin">
                      <wp:align>center</wp:align>
                    </wp:positionH>
                    <wp:positionV relativeFrom="page">
                      <wp:align>center</wp:align>
                    </wp:positionV>
                    <wp:extent cx="90805" cy="10556240"/>
                    <wp:effectExtent l="0" t="0" r="4445" b="5080"/>
                    <wp:wrapNone/>
                    <wp:docPr id="9"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D11124" id="Rectángulo 4" o:spid="_x0000_s1026"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" o:allowincell="f" strokecolor="#4472c4 [3204]">
                    <w10:wrap anchorx="margin" anchory="page"/>
                  </v:rect>
                </w:pict>
              </mc:Fallback>
            </mc:AlternateContent>
          </w:r>
          <w:r w:rsidRPr="006059D4">
            <w:rPr>
              <w:sz w:val="72"/>
              <w:szCs w:val="72"/>
              <w:lang w:val="en-US" w:eastAsia="es-AR"/>
            </w:rPr>
            <mc:AlternateContent>
              <mc:Choice Requires="wps">
                <w:drawing>
                  <wp:anchor distT="0" distB="0" distL="114300" distR="114300" simplePos="0" relativeHeight="251660288" behindDoc="0" locked="0" layoutInCell="0" allowOverlap="1" wp14:anchorId="71D41564" wp14:editId="70459B22">
                    <wp:simplePos x="0" y="0"/>
                    <wp:positionH relativeFrom="page">
                      <wp:align>center</wp:align>
                    </wp:positionH>
                    <wp:positionV relativeFrom="topMargin">
                      <wp:align>top</wp:align>
                    </wp:positionV>
                    <wp:extent cx="8161020" cy="822960"/>
                    <wp:effectExtent l="0" t="0" r="0" b="0"/>
                    <wp:wrapNone/>
                    <wp:docPr id="10"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0E443A5" id="Rectángulo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" o:allowincell="f" fillcolor="#5b9bd5 [3208]" strokecolor="#4472c4 [3204]">
                    <w10:wrap anchorx="page" anchory="margin"/>
                  </v:rect>
                </w:pict>
              </mc:Fallback>
            </mc:AlternateContent>
          </w:r>
          <w:r w:rsidR="006059D4" w:rsidRPr="006059D4">
            <w:rPr>
              <w:rFonts w:eastAsiaTheme="majorEastAsia"/>
              <w:sz w:val="72"/>
              <w:szCs w:val="72"/>
              <w:lang w:val="en-US"/>
            </w:rPr>
            <w:t>Sta</w:t>
          </w:r>
          <w:bookmarkStart w:id="0" w:name="_GoBack"/>
          <w:bookmarkEnd w:id="0"/>
          <w:r w:rsidR="006059D4" w:rsidRPr="006059D4">
            <w:rPr>
              <w:rFonts w:eastAsiaTheme="majorEastAsia"/>
              <w:sz w:val="72"/>
              <w:szCs w:val="72"/>
              <w:lang w:val="en-US"/>
            </w:rPr>
            <w:t xml:space="preserve">tus of persons with </w:t>
          </w:r>
          <w:r w:rsidR="00FA6E85" w:rsidRPr="006059D4">
            <w:rPr>
              <w:rFonts w:eastAsiaTheme="majorEastAsia"/>
              <w:sz w:val="72"/>
              <w:szCs w:val="72"/>
              <w:lang w:val="en-US"/>
            </w:rPr>
            <w:t>disability</w:t>
          </w:r>
          <w:r w:rsidR="006059D4" w:rsidRPr="006059D4">
            <w:rPr>
              <w:rFonts w:eastAsiaTheme="majorEastAsia"/>
              <w:sz w:val="72"/>
              <w:szCs w:val="72"/>
              <w:lang w:val="en-US"/>
            </w:rPr>
            <w:t xml:space="preserve"> in Argentina</w:t>
          </w:r>
        </w:p>
        <w:p w14:paraId="193A9DC5" w14:textId="25A2F4AC" w:rsidR="006F5FFD" w:rsidRPr="00C5420E" w:rsidRDefault="006F5FFD" w:rsidP="00C5420E">
          <w:pPr>
            <w:pStyle w:val="Sinespaciado"/>
            <w:ind w:firstLine="0"/>
            <w:rPr>
              <w:rFonts w:eastAsiaTheme="majorEastAsia"/>
              <w:sz w:val="72"/>
              <w:szCs w:val="72"/>
              <w:lang w:val="en-US"/>
            </w:rPr>
          </w:pPr>
        </w:p>
        <w:sdt>
          <w:sdtPr>
            <w:rPr>
              <w:b/>
              <w:sz w:val="28"/>
              <w:szCs w:val="28"/>
              <w:lang w:val="en-US"/>
            </w:rPr>
            <w:alias w:val="Subtítulo"/>
            <w:id w:val="14700077"/>
            <w:dataBinding w:prefixMappings="xmlns:ns0='http://schemas.openxmlformats.org/package/2006/metadata/core-properties' xmlns:ns1='http://purl.org/dc/elements/1.1/'" w:xpath="/ns0:coreProperties[1]/ns1:subject[1]" w:storeItemID="{6C3C8BC8-F283-45AE-878A-BAB7291924A1}"/>
            <w:text/>
          </w:sdtPr>
          <w:sdtContent>
            <w:p w14:paraId="78C34782" w14:textId="1E124AF7" w:rsidR="006F5FFD" w:rsidRPr="00C5420E" w:rsidRDefault="00C91884" w:rsidP="00184D6B">
              <w:pPr>
                <w:pStyle w:val="Sinespaciado"/>
                <w:rPr>
                  <w:rFonts w:asciiTheme="majorHAnsi" w:eastAsiaTheme="majorEastAsia" w:hAnsiTheme="majorHAnsi" w:cstheme="majorBidi"/>
                  <w:b/>
                  <w:sz w:val="28"/>
                  <w:szCs w:val="28"/>
                  <w:lang w:val="en-US"/>
                </w:rPr>
              </w:pPr>
              <w:r w:rsidRPr="00C5420E">
                <w:rPr>
                  <w:b/>
                  <w:sz w:val="28"/>
                  <w:szCs w:val="28"/>
                  <w:lang w:val="en-US"/>
                </w:rPr>
                <w:t xml:space="preserve">28 </w:t>
              </w:r>
              <w:proofErr w:type="gramStart"/>
              <w:r w:rsidR="00FA6E85" w:rsidRPr="00C5420E">
                <w:rPr>
                  <w:b/>
                  <w:sz w:val="28"/>
                  <w:szCs w:val="28"/>
                  <w:lang w:val="en-US"/>
                </w:rPr>
                <w:t>Period</w:t>
              </w:r>
              <w:proofErr w:type="gramEnd"/>
              <w:r w:rsidR="00FA6E85" w:rsidRPr="00C5420E">
                <w:rPr>
                  <w:b/>
                  <w:sz w:val="28"/>
                  <w:szCs w:val="28"/>
                  <w:lang w:val="en-US"/>
                </w:rPr>
                <w:t xml:space="preserve"> of Session</w:t>
              </w:r>
              <w:r w:rsidR="00C5420E">
                <w:rPr>
                  <w:b/>
                  <w:sz w:val="28"/>
                  <w:szCs w:val="28"/>
                  <w:lang w:val="en-US"/>
                </w:rPr>
                <w:t>s</w:t>
              </w:r>
              <w:r w:rsidR="00FA6E85" w:rsidRPr="00C5420E">
                <w:rPr>
                  <w:b/>
                  <w:sz w:val="28"/>
                  <w:szCs w:val="28"/>
                  <w:lang w:val="en-US"/>
                </w:rPr>
                <w:t>.</w:t>
              </w:r>
              <w:r w:rsidRPr="00C5420E">
                <w:rPr>
                  <w:b/>
                  <w:sz w:val="28"/>
                  <w:szCs w:val="28"/>
                  <w:lang w:val="en-US"/>
                </w:rPr>
                <w:t xml:space="preserve"> </w:t>
              </w:r>
              <w:r w:rsidR="00FA6E85" w:rsidRPr="00C5420E">
                <w:rPr>
                  <w:b/>
                  <w:sz w:val="28"/>
                  <w:szCs w:val="28"/>
                  <w:lang w:val="en-US"/>
                </w:rPr>
                <w:t xml:space="preserve">Committee on the rights of persons with disability </w:t>
              </w:r>
            </w:p>
          </w:sdtContent>
        </w:sdt>
        <w:p w14:paraId="769B4839" w14:textId="5F94A0C8" w:rsidR="006F5FFD" w:rsidRPr="00C5420E" w:rsidRDefault="00C5420E" w:rsidP="00184D6B">
          <w:pPr>
            <w:pStyle w:val="Sinespaciado"/>
            <w:rPr>
              <w:rFonts w:eastAsiaTheme="majorEastAsia"/>
              <w:b/>
              <w:sz w:val="28"/>
              <w:szCs w:val="28"/>
              <w:lang w:val="en-US"/>
            </w:rPr>
          </w:pPr>
          <w:r w:rsidRPr="00C5420E">
            <w:rPr>
              <w:rFonts w:eastAsiaTheme="majorEastAsia"/>
              <w:b/>
              <w:sz w:val="28"/>
              <w:szCs w:val="28"/>
              <w:lang w:val="en-US"/>
            </w:rPr>
            <w:t>March 2023</w:t>
          </w:r>
        </w:p>
        <w:p w14:paraId="3E2EB89B" w14:textId="77777777" w:rsidR="006F5FFD" w:rsidRPr="00844123" w:rsidRDefault="006F5FFD" w:rsidP="00184D6B">
          <w:pPr>
            <w:pStyle w:val="Sinespaciado"/>
            <w:rPr>
              <w:rFonts w:eastAsiaTheme="majorEastAsia"/>
              <w:lang w:val="en-US"/>
            </w:rPr>
          </w:pPr>
        </w:p>
        <w:sdt>
          <w:sdtPr>
            <w:rPr>
              <w:b/>
              <w:sz w:val="28"/>
              <w:szCs w:val="28"/>
            </w:rPr>
            <w:alias w:val="Fecha"/>
            <w:id w:val="14700083"/>
            <w:dataBinding w:prefixMappings="xmlns:ns0='http://schemas.microsoft.com/office/2006/coverPageProps'" w:xpath="/ns0:CoverPageProperties[1]/ns0:PublishDate[1]" w:storeItemID="{55AF091B-3C7A-41E3-B477-F2FDAA23CFDA}"/>
            <w:date>
              <w:dateFormat w:val="dd/MM/yyyy"/>
              <w:lid w:val="es-ES"/>
              <w:storeMappedDataAs w:val="dateTime"/>
              <w:calendar w:val="gregorian"/>
            </w:date>
          </w:sdtPr>
          <w:sdtContent>
            <w:p w14:paraId="216CDC91" w14:textId="1B2AAB6F" w:rsidR="006F5FFD" w:rsidRPr="00C5420E" w:rsidRDefault="005A4B95" w:rsidP="00184D6B">
              <w:pPr>
                <w:pStyle w:val="Sinespaciado"/>
                <w:rPr>
                  <w:b/>
                  <w:sz w:val="28"/>
                  <w:szCs w:val="28"/>
                </w:rPr>
              </w:pPr>
              <w:r w:rsidRPr="00C5420E">
                <w:rPr>
                  <w:b/>
                  <w:sz w:val="28"/>
                  <w:szCs w:val="28"/>
                </w:rPr>
                <w:t>Evaluation on</w:t>
              </w:r>
              <w:r w:rsidR="00C91884" w:rsidRPr="00C5420E">
                <w:rPr>
                  <w:b/>
                  <w:sz w:val="28"/>
                  <w:szCs w:val="28"/>
                </w:rPr>
                <w:t xml:space="preserve"> Argentina </w:t>
              </w:r>
              <w:r w:rsidRPr="00C5420E">
                <w:rPr>
                  <w:b/>
                  <w:sz w:val="28"/>
                  <w:szCs w:val="28"/>
                </w:rPr>
                <w:t>– 2018-2023</w:t>
              </w:r>
            </w:p>
          </w:sdtContent>
        </w:sdt>
        <w:p w14:paraId="53D5FB73" w14:textId="6410FAF5" w:rsidR="006F5FFD" w:rsidRDefault="006F5FFD" w:rsidP="00184D6B">
          <w:pPr>
            <w:pStyle w:val="Sinespaciado"/>
          </w:pPr>
        </w:p>
        <w:p w14:paraId="531C5E2B" w14:textId="77777777" w:rsidR="006F5FFD" w:rsidRPr="004B23B3" w:rsidRDefault="006F5FFD" w:rsidP="002E2ECA">
          <w:pPr>
            <w:rPr>
              <w:lang w:val="es-AR"/>
            </w:rPr>
          </w:pPr>
        </w:p>
        <w:p w14:paraId="56533CC5" w14:textId="361C9C0A" w:rsidR="006F5FFD" w:rsidRDefault="006F5FFD" w:rsidP="002E2ECA">
          <w:pPr>
            <w:rPr>
              <w:lang w:val="es-AR"/>
            </w:rPr>
          </w:pPr>
          <w:r>
            <w:rPr>
              <w:lang w:val="es-AR"/>
            </w:rPr>
            <w:br w:type="page"/>
          </w:r>
        </w:p>
      </w:sdtContent>
    </w:sdt>
    <w:p w14:paraId="1EA22912" w14:textId="77777777" w:rsidR="00C16A47" w:rsidRDefault="00C16A47" w:rsidP="002E2ECA">
      <w:pPr>
        <w:rPr>
          <w:lang w:val="es-AR"/>
        </w:rPr>
      </w:pPr>
    </w:p>
    <w:p w14:paraId="524F458E" w14:textId="77777777" w:rsidR="00C16A47" w:rsidRDefault="00C16A47" w:rsidP="002E2ECA">
      <w:pPr>
        <w:rPr>
          <w:lang w:val="es-AR"/>
        </w:rPr>
      </w:pPr>
    </w:p>
    <w:p w14:paraId="462C3951" w14:textId="77777777" w:rsidR="00C16A47" w:rsidRDefault="00C16A47" w:rsidP="002E2ECA">
      <w:pPr>
        <w:rPr>
          <w:lang w:val="es-AR"/>
        </w:rPr>
      </w:pPr>
    </w:p>
    <w:p w14:paraId="299FC560" w14:textId="77777777" w:rsidR="00C16A47" w:rsidRDefault="00C16A47" w:rsidP="002E2ECA">
      <w:pPr>
        <w:rPr>
          <w:lang w:val="es-AR"/>
        </w:rPr>
      </w:pPr>
    </w:p>
    <w:p w14:paraId="060DEDD2" w14:textId="3DB0EFE9" w:rsidR="003C491C" w:rsidRPr="006F5FFD" w:rsidRDefault="00FA6E85" w:rsidP="002E2ECA">
      <w:pPr>
        <w:rPr>
          <w:rFonts w:eastAsia="Times New Roman" w:cstheme="minorHAnsi"/>
          <w:color w:val="000000" w:themeColor="text1"/>
          <w:sz w:val="28"/>
          <w:szCs w:val="28"/>
          <w:lang w:val="es-AR"/>
        </w:rPr>
      </w:pPr>
      <w:r>
        <w:rPr>
          <w:lang w:val="es-AR"/>
        </w:rPr>
        <w:t>SUBBMITED JOINTLY BY</w:t>
      </w:r>
      <w:r w:rsidR="003C491C">
        <w:rPr>
          <w:lang w:val="es-AR"/>
        </w:rPr>
        <w:t>:</w:t>
      </w:r>
    </w:p>
    <w:p w14:paraId="5F69321B" w14:textId="77777777" w:rsidR="003C491C" w:rsidRDefault="003C491C" w:rsidP="002E2ECA">
      <w:pPr>
        <w:rPr>
          <w:lang w:val="es-AR"/>
        </w:rPr>
      </w:pPr>
    </w:p>
    <w:p w14:paraId="61B42513" w14:textId="77777777" w:rsidR="003C491C" w:rsidRPr="002E2ECA" w:rsidRDefault="003C491C" w:rsidP="002E2ECA">
      <w:pPr>
        <w:pStyle w:val="Prrafodelista"/>
        <w:numPr>
          <w:ilvl w:val="0"/>
          <w:numId w:val="15"/>
        </w:numPr>
        <w:rPr>
          <w:lang w:val="es-AR"/>
        </w:rPr>
      </w:pPr>
      <w:r w:rsidRPr="002E2ECA">
        <w:rPr>
          <w:lang w:val="es-AR"/>
        </w:rPr>
        <w:t>Asamblea Permanente por los Derechos Humanos (APDH)</w:t>
      </w:r>
    </w:p>
    <w:p w14:paraId="56FF3FFD" w14:textId="77777777" w:rsidR="003C491C" w:rsidRPr="002E2ECA" w:rsidRDefault="003C491C" w:rsidP="002E2ECA">
      <w:pPr>
        <w:pStyle w:val="Prrafodelista"/>
        <w:numPr>
          <w:ilvl w:val="0"/>
          <w:numId w:val="15"/>
        </w:numPr>
        <w:rPr>
          <w:lang w:val="es-AR"/>
        </w:rPr>
      </w:pPr>
      <w:r w:rsidRPr="002E2ECA">
        <w:rPr>
          <w:lang w:val="es-AR"/>
        </w:rPr>
        <w:t>Asamblea de Usuarios/as de Salud Mental por Nuestros Derechos de Rosario</w:t>
      </w:r>
    </w:p>
    <w:p w14:paraId="4315BC1B" w14:textId="6CDBCDB8" w:rsidR="001D5AA7" w:rsidRPr="002E2ECA" w:rsidRDefault="001D5AA7" w:rsidP="002E2ECA">
      <w:pPr>
        <w:pStyle w:val="Prrafodelista"/>
        <w:numPr>
          <w:ilvl w:val="0"/>
          <w:numId w:val="15"/>
        </w:numPr>
        <w:rPr>
          <w:lang w:val="es-AR"/>
        </w:rPr>
      </w:pPr>
      <w:r w:rsidRPr="002E2ECA">
        <w:rPr>
          <w:lang w:val="es-AR"/>
        </w:rPr>
        <w:t>Asociación Andar. Buenos Aires</w:t>
      </w:r>
    </w:p>
    <w:p w14:paraId="1946B0F1" w14:textId="53906977" w:rsidR="003C491C" w:rsidRPr="002E2ECA" w:rsidRDefault="003C491C" w:rsidP="002E2ECA">
      <w:pPr>
        <w:pStyle w:val="Prrafodelista"/>
        <w:numPr>
          <w:ilvl w:val="0"/>
          <w:numId w:val="15"/>
        </w:numPr>
        <w:rPr>
          <w:lang w:val="es-AR"/>
        </w:rPr>
      </w:pPr>
      <w:r w:rsidRPr="002E2ECA">
        <w:rPr>
          <w:lang w:val="es-AR"/>
        </w:rPr>
        <w:t>Asociación Azul</w:t>
      </w:r>
      <w:r w:rsidR="00DE055F" w:rsidRPr="002E2ECA">
        <w:rPr>
          <w:lang w:val="es-AR"/>
        </w:rPr>
        <w:t>. Buenos Aires</w:t>
      </w:r>
    </w:p>
    <w:p w14:paraId="47FED3D5" w14:textId="77777777" w:rsidR="003C491C" w:rsidRPr="002E2ECA" w:rsidRDefault="003C491C" w:rsidP="002E2ECA">
      <w:pPr>
        <w:pStyle w:val="Prrafodelista"/>
        <w:numPr>
          <w:ilvl w:val="0"/>
          <w:numId w:val="15"/>
        </w:numPr>
        <w:rPr>
          <w:lang w:val="es-AR"/>
        </w:rPr>
      </w:pPr>
      <w:r w:rsidRPr="002E2ECA">
        <w:rPr>
          <w:lang w:val="es-AR"/>
        </w:rPr>
        <w:t>Asociación Civil por la Igualdad y la Justicia (ACIJ)</w:t>
      </w:r>
    </w:p>
    <w:p w14:paraId="16117AC2" w14:textId="45E093BC" w:rsidR="003C491C" w:rsidRPr="002E2ECA" w:rsidRDefault="003C491C" w:rsidP="002E2ECA">
      <w:pPr>
        <w:pStyle w:val="Prrafodelista"/>
        <w:numPr>
          <w:ilvl w:val="0"/>
          <w:numId w:val="15"/>
        </w:numPr>
        <w:rPr>
          <w:lang w:val="es-AR"/>
        </w:rPr>
      </w:pPr>
      <w:r w:rsidRPr="002E2ECA">
        <w:rPr>
          <w:lang w:val="es-AR"/>
        </w:rPr>
        <w:t>Asociación Colibrí</w:t>
      </w:r>
      <w:r w:rsidR="00DE055F" w:rsidRPr="002E2ECA">
        <w:rPr>
          <w:lang w:val="es-AR"/>
        </w:rPr>
        <w:t>. Salta</w:t>
      </w:r>
    </w:p>
    <w:p w14:paraId="379F18ED" w14:textId="77777777" w:rsidR="003C491C" w:rsidRPr="002E2ECA" w:rsidRDefault="003C491C" w:rsidP="002E2ECA">
      <w:pPr>
        <w:pStyle w:val="Prrafodelista"/>
        <w:numPr>
          <w:ilvl w:val="0"/>
          <w:numId w:val="15"/>
        </w:numPr>
        <w:rPr>
          <w:lang w:val="es-AR"/>
        </w:rPr>
      </w:pPr>
      <w:r w:rsidRPr="002E2ECA">
        <w:rPr>
          <w:lang w:val="es-AR"/>
        </w:rPr>
        <w:t>Asociación Jujeña de ayuda a Personas con Esquizofrenia y Familia (AJUPEF)</w:t>
      </w:r>
    </w:p>
    <w:p w14:paraId="6D8C1BA1" w14:textId="136FCFB7" w:rsidR="003C491C" w:rsidRPr="002E2ECA" w:rsidRDefault="003C491C" w:rsidP="002E2ECA">
      <w:pPr>
        <w:pStyle w:val="Prrafodelista"/>
        <w:numPr>
          <w:ilvl w:val="0"/>
          <w:numId w:val="15"/>
        </w:numPr>
        <w:rPr>
          <w:lang w:val="es-AR"/>
        </w:rPr>
      </w:pPr>
      <w:r w:rsidRPr="002E2ECA">
        <w:rPr>
          <w:lang w:val="es-AR"/>
        </w:rPr>
        <w:t>Asociación de Padres de Personas con síndrome de Down</w:t>
      </w:r>
      <w:r w:rsidR="00DE055F" w:rsidRPr="002E2ECA">
        <w:rPr>
          <w:lang w:val="es-AR"/>
        </w:rPr>
        <w:t>. Villa Mercedes. San Luis</w:t>
      </w:r>
      <w:r w:rsidRPr="002E2ECA">
        <w:rPr>
          <w:lang w:val="es-AR"/>
        </w:rPr>
        <w:t xml:space="preserve"> (APPSIDO)</w:t>
      </w:r>
    </w:p>
    <w:p w14:paraId="0FFB6601" w14:textId="3BB2A1AC" w:rsidR="003C491C" w:rsidRPr="002E2ECA" w:rsidRDefault="003C491C" w:rsidP="002E2ECA">
      <w:pPr>
        <w:pStyle w:val="Prrafodelista"/>
        <w:numPr>
          <w:ilvl w:val="0"/>
          <w:numId w:val="15"/>
        </w:numPr>
        <w:rPr>
          <w:lang w:val="es-AR"/>
        </w:rPr>
      </w:pPr>
      <w:r w:rsidRPr="002E2ECA">
        <w:rPr>
          <w:lang w:val="es-AR"/>
        </w:rPr>
        <w:t>Centro de Estudios Legales y Sociales (CELS)</w:t>
      </w:r>
    </w:p>
    <w:p w14:paraId="328E91E5" w14:textId="35C78A69" w:rsidR="001D5AA7" w:rsidRPr="002E2ECA" w:rsidRDefault="001D5AA7" w:rsidP="002E2ECA">
      <w:pPr>
        <w:pStyle w:val="Prrafodelista"/>
        <w:numPr>
          <w:ilvl w:val="0"/>
          <w:numId w:val="15"/>
        </w:numPr>
        <w:rPr>
          <w:lang w:val="es-AR"/>
        </w:rPr>
      </w:pPr>
      <w:r w:rsidRPr="002E2ECA">
        <w:rPr>
          <w:lang w:val="es-AR"/>
        </w:rPr>
        <w:t>Comisión de Inclusión de las Personas con Discapacidad. Universidad Nacional de Salta</w:t>
      </w:r>
    </w:p>
    <w:p w14:paraId="07716C81" w14:textId="3C5EA92C" w:rsidR="00B76673" w:rsidRPr="002E2ECA" w:rsidRDefault="00B76673" w:rsidP="002E2ECA">
      <w:pPr>
        <w:pStyle w:val="Prrafodelista"/>
        <w:numPr>
          <w:ilvl w:val="0"/>
          <w:numId w:val="15"/>
        </w:numPr>
        <w:rPr>
          <w:lang w:val="es-AR"/>
        </w:rPr>
      </w:pPr>
      <w:r w:rsidRPr="002E2ECA">
        <w:rPr>
          <w:lang w:val="es-AR"/>
        </w:rPr>
        <w:t>Comisión Universitaria sobre Discapacidad (CUD). Universidad Nacional de La Plata</w:t>
      </w:r>
    </w:p>
    <w:p w14:paraId="3B57C35B" w14:textId="6D68D9EF" w:rsidR="00714423" w:rsidRPr="002E2ECA" w:rsidRDefault="00714423" w:rsidP="002E2ECA">
      <w:pPr>
        <w:pStyle w:val="Prrafodelista"/>
        <w:numPr>
          <w:ilvl w:val="0"/>
          <w:numId w:val="15"/>
        </w:numPr>
        <w:rPr>
          <w:lang w:val="es-AR"/>
        </w:rPr>
      </w:pPr>
      <w:r w:rsidRPr="002E2ECA">
        <w:rPr>
          <w:lang w:val="es-AR"/>
        </w:rPr>
        <w:t>Despejarte.com. Villa Mercedes. San Luis</w:t>
      </w:r>
    </w:p>
    <w:p w14:paraId="3A84F8B3" w14:textId="77777777" w:rsidR="003C491C" w:rsidRPr="002E2ECA" w:rsidRDefault="003C491C" w:rsidP="002E2ECA">
      <w:pPr>
        <w:pStyle w:val="Prrafodelista"/>
        <w:numPr>
          <w:ilvl w:val="0"/>
          <w:numId w:val="15"/>
        </w:numPr>
        <w:rPr>
          <w:lang w:val="es-AR"/>
        </w:rPr>
      </w:pPr>
      <w:r w:rsidRPr="002E2ECA">
        <w:rPr>
          <w:lang w:val="es-AR"/>
        </w:rPr>
        <w:t>Federación Argentina de Colegios de Abogados (FACA)</w:t>
      </w:r>
    </w:p>
    <w:p w14:paraId="14F6D50C" w14:textId="5C57F357" w:rsidR="00DE055F" w:rsidRPr="002E2ECA" w:rsidRDefault="00DE055F" w:rsidP="002E2ECA">
      <w:pPr>
        <w:pStyle w:val="Prrafodelista"/>
        <w:numPr>
          <w:ilvl w:val="0"/>
          <w:numId w:val="15"/>
        </w:numPr>
        <w:rPr>
          <w:lang w:val="es-AR"/>
        </w:rPr>
      </w:pPr>
      <w:r w:rsidRPr="002E2ECA">
        <w:rPr>
          <w:lang w:val="es-AR"/>
        </w:rPr>
        <w:t>Federación Argentina de Instituciones de Ciegos y Ambliopes (FAICA)</w:t>
      </w:r>
    </w:p>
    <w:p w14:paraId="476FEEAD" w14:textId="3CD3D0CB" w:rsidR="001D5AA7" w:rsidRPr="002E2ECA" w:rsidRDefault="001D5AA7" w:rsidP="002E2ECA">
      <w:pPr>
        <w:pStyle w:val="Prrafodelista"/>
        <w:numPr>
          <w:ilvl w:val="0"/>
          <w:numId w:val="15"/>
        </w:numPr>
        <w:rPr>
          <w:lang w:val="es-AR"/>
        </w:rPr>
      </w:pPr>
      <w:r w:rsidRPr="002E2ECA">
        <w:rPr>
          <w:lang w:val="es-AR"/>
        </w:rPr>
        <w:t>Federación de Talleres Protegidos de Buenos Aires</w:t>
      </w:r>
      <w:r w:rsidR="008E0757" w:rsidRPr="002E2ECA">
        <w:rPr>
          <w:lang w:val="es-AR"/>
        </w:rPr>
        <w:t xml:space="preserve"> (FETAP)</w:t>
      </w:r>
    </w:p>
    <w:p w14:paraId="1A45B7AE" w14:textId="541A45AE" w:rsidR="003C491C" w:rsidRPr="002E2ECA" w:rsidRDefault="003C491C" w:rsidP="002E2ECA">
      <w:pPr>
        <w:pStyle w:val="Prrafodelista"/>
        <w:numPr>
          <w:ilvl w:val="0"/>
          <w:numId w:val="15"/>
        </w:numPr>
        <w:rPr>
          <w:lang w:val="es-AR"/>
        </w:rPr>
      </w:pPr>
      <w:r w:rsidRPr="002E2ECA">
        <w:rPr>
          <w:lang w:val="es-AR"/>
        </w:rPr>
        <w:t>Fundación Rumbos</w:t>
      </w:r>
      <w:r w:rsidR="00B76673" w:rsidRPr="002E2ECA">
        <w:rPr>
          <w:lang w:val="es-AR"/>
        </w:rPr>
        <w:t>. CABA</w:t>
      </w:r>
    </w:p>
    <w:p w14:paraId="168CD16E" w14:textId="41E04740" w:rsidR="00B76673" w:rsidRPr="002E2ECA" w:rsidRDefault="00B76673" w:rsidP="002E2ECA">
      <w:pPr>
        <w:pStyle w:val="Prrafodelista"/>
        <w:numPr>
          <w:ilvl w:val="0"/>
          <w:numId w:val="15"/>
        </w:numPr>
        <w:rPr>
          <w:lang w:val="es-AR"/>
        </w:rPr>
      </w:pPr>
      <w:r w:rsidRPr="002E2ECA">
        <w:rPr>
          <w:lang w:val="es-AR"/>
        </w:rPr>
        <w:t>Fundación Tomar Acción. Salta</w:t>
      </w:r>
    </w:p>
    <w:p w14:paraId="22475A95" w14:textId="6C8C655C" w:rsidR="00DE055F" w:rsidRPr="002E2ECA" w:rsidRDefault="00DE055F" w:rsidP="002E2ECA">
      <w:pPr>
        <w:pStyle w:val="Prrafodelista"/>
        <w:numPr>
          <w:ilvl w:val="0"/>
          <w:numId w:val="15"/>
        </w:numPr>
        <w:rPr>
          <w:lang w:val="es-AR"/>
        </w:rPr>
      </w:pPr>
      <w:r w:rsidRPr="002E2ECA">
        <w:rPr>
          <w:lang w:val="es-AR"/>
        </w:rPr>
        <w:t>Instituto de Derecho de la Discapacidad. Colegio de Abogados de Mar del Plata</w:t>
      </w:r>
    </w:p>
    <w:p w14:paraId="7FA46114" w14:textId="77777777" w:rsidR="003C491C" w:rsidRPr="002E2ECA" w:rsidRDefault="003C491C" w:rsidP="002E2ECA">
      <w:pPr>
        <w:pStyle w:val="Prrafodelista"/>
        <w:numPr>
          <w:ilvl w:val="0"/>
          <w:numId w:val="15"/>
        </w:numPr>
        <w:rPr>
          <w:lang w:val="es-AR"/>
        </w:rPr>
      </w:pPr>
      <w:r w:rsidRPr="002E2ECA">
        <w:rPr>
          <w:lang w:val="es-AR"/>
        </w:rPr>
        <w:t>Instituto Especializado en Derecho de Personas con Discapacidad del Colegio de Abogados de Rosario</w:t>
      </w:r>
    </w:p>
    <w:p w14:paraId="602D386C" w14:textId="77777777" w:rsidR="003C491C" w:rsidRPr="002E2ECA" w:rsidRDefault="003C491C" w:rsidP="002E2ECA">
      <w:pPr>
        <w:pStyle w:val="Prrafodelista"/>
        <w:numPr>
          <w:ilvl w:val="0"/>
          <w:numId w:val="15"/>
        </w:numPr>
        <w:rPr>
          <w:lang w:val="es-AR"/>
        </w:rPr>
      </w:pPr>
      <w:r w:rsidRPr="002E2ECA">
        <w:rPr>
          <w:lang w:val="es-AR"/>
        </w:rPr>
        <w:t>Mesa intersectorial de Discapacidad y Derechos Humanos de Córdoba</w:t>
      </w:r>
    </w:p>
    <w:p w14:paraId="41DA6053" w14:textId="77777777" w:rsidR="003C491C" w:rsidRPr="002E2ECA" w:rsidRDefault="003C491C" w:rsidP="002E2ECA">
      <w:pPr>
        <w:pStyle w:val="Prrafodelista"/>
        <w:numPr>
          <w:ilvl w:val="0"/>
          <w:numId w:val="15"/>
        </w:numPr>
        <w:rPr>
          <w:lang w:val="es-AR"/>
        </w:rPr>
      </w:pPr>
      <w:r w:rsidRPr="002E2ECA">
        <w:rPr>
          <w:lang w:val="es-AR"/>
        </w:rPr>
        <w:t>Observatorio de Salud Mental y Derechos Humanos de Córdoba</w:t>
      </w:r>
    </w:p>
    <w:p w14:paraId="05F726EE" w14:textId="57D92703" w:rsidR="001344C5" w:rsidRPr="002E2ECA" w:rsidRDefault="001344C5" w:rsidP="002E2ECA">
      <w:pPr>
        <w:pStyle w:val="Prrafodelista"/>
        <w:numPr>
          <w:ilvl w:val="0"/>
          <w:numId w:val="15"/>
        </w:numPr>
        <w:rPr>
          <w:lang w:val="es-AR"/>
        </w:rPr>
      </w:pPr>
      <w:r w:rsidRPr="00844123">
        <w:rPr>
          <w:shd w:val="clear" w:color="auto" w:fill="FFFFFF"/>
          <w:lang w:val="es-AR"/>
        </w:rPr>
        <w:t>Proyecto de Investigación (PPI 2020-2023) La persistencia de la categoría "discapacidad" en la lógica de la colonial/modernidad. Un aporte desde la perspectiva del feminismo descolonial- Universidad Nacional de Río Cuarto.</w:t>
      </w:r>
      <w:r w:rsidR="00F01227" w:rsidRPr="00844123">
        <w:rPr>
          <w:shd w:val="clear" w:color="auto" w:fill="FFFFFF"/>
          <w:lang w:val="es-AR"/>
        </w:rPr>
        <w:t xml:space="preserve"> </w:t>
      </w:r>
      <w:r w:rsidR="00F01227" w:rsidRPr="002E2ECA">
        <w:rPr>
          <w:shd w:val="clear" w:color="auto" w:fill="FFFFFF"/>
        </w:rPr>
        <w:t>Córdoba</w:t>
      </w:r>
    </w:p>
    <w:p w14:paraId="71AE28DD" w14:textId="72B48520" w:rsidR="003C491C" w:rsidRPr="002E2ECA" w:rsidRDefault="003C491C" w:rsidP="002E2ECA">
      <w:pPr>
        <w:pStyle w:val="Prrafodelista"/>
        <w:numPr>
          <w:ilvl w:val="0"/>
          <w:numId w:val="15"/>
        </w:numPr>
        <w:rPr>
          <w:lang w:val="es-AR"/>
        </w:rPr>
      </w:pPr>
      <w:r w:rsidRPr="002E2ECA">
        <w:rPr>
          <w:lang w:val="es-AR"/>
        </w:rPr>
        <w:t>Programa de D</w:t>
      </w:r>
      <w:r w:rsidR="00DE055F" w:rsidRPr="002E2ECA">
        <w:rPr>
          <w:lang w:val="es-AR"/>
        </w:rPr>
        <w:t>iscapacidad y Derechos Humanos. Faculta de Derecho.</w:t>
      </w:r>
      <w:r w:rsidRPr="002E2ECA">
        <w:rPr>
          <w:lang w:val="es-AR"/>
        </w:rPr>
        <w:t xml:space="preserve"> Universidad Nacional de Rosario</w:t>
      </w:r>
    </w:p>
    <w:p w14:paraId="19A7B4BF" w14:textId="6CD03450" w:rsidR="00DE055F" w:rsidRPr="002E2ECA" w:rsidRDefault="00DE055F" w:rsidP="002E2ECA">
      <w:pPr>
        <w:pStyle w:val="Prrafodelista"/>
        <w:numPr>
          <w:ilvl w:val="0"/>
          <w:numId w:val="15"/>
        </w:numPr>
        <w:rPr>
          <w:lang w:val="es-AR"/>
        </w:rPr>
      </w:pPr>
      <w:r w:rsidRPr="002E2ECA">
        <w:rPr>
          <w:lang w:val="es-AR"/>
        </w:rPr>
        <w:t>Programa La producción social de la Discapacidad. Facultad de Trabajo Social. Universidad Nacional de Entre Ríos</w:t>
      </w:r>
    </w:p>
    <w:p w14:paraId="4162A8E3" w14:textId="77777777" w:rsidR="003C491C" w:rsidRPr="002E2ECA" w:rsidRDefault="003C491C" w:rsidP="002E2ECA">
      <w:pPr>
        <w:pStyle w:val="Prrafodelista"/>
        <w:numPr>
          <w:ilvl w:val="0"/>
          <w:numId w:val="15"/>
        </w:numPr>
        <w:rPr>
          <w:lang w:val="es-AR"/>
        </w:rPr>
      </w:pPr>
      <w:r w:rsidRPr="002E2ECA">
        <w:rPr>
          <w:lang w:val="es-AR"/>
        </w:rPr>
        <w:t>Red por los Derechos de las Personas con Discapacidad (REDI)</w:t>
      </w:r>
    </w:p>
    <w:p w14:paraId="4ADE36CF" w14:textId="654D3C80" w:rsidR="003C491C" w:rsidRPr="00BB285D" w:rsidRDefault="00DE055F" w:rsidP="00BB285D">
      <w:pPr>
        <w:pStyle w:val="Prrafodelista"/>
        <w:numPr>
          <w:ilvl w:val="0"/>
          <w:numId w:val="15"/>
        </w:numPr>
        <w:rPr>
          <w:lang w:val="es-AR"/>
        </w:rPr>
      </w:pPr>
      <w:r w:rsidRPr="002E2ECA">
        <w:rPr>
          <w:lang w:val="es-AR"/>
        </w:rPr>
        <w:t>Seminario Activismos, intervención e investigación social en discapacidad. Facultad de Ciencias Sociales. Universidad Nacional de Córdoba</w:t>
      </w:r>
      <w:r w:rsidR="003C491C" w:rsidRPr="00BB285D">
        <w:rPr>
          <w:lang w:val="es-AR"/>
        </w:rPr>
        <w:br w:type="page"/>
      </w:r>
    </w:p>
    <w:p w14:paraId="331265B2" w14:textId="2540CF2F" w:rsidR="00122EB8" w:rsidRPr="00844123" w:rsidRDefault="00B84B8B" w:rsidP="00844123">
      <w:pPr>
        <w:rPr>
          <w:lang w:eastAsia="es-AR"/>
        </w:rPr>
      </w:pPr>
      <w:r w:rsidRPr="00D3502E">
        <w:rPr>
          <w:b/>
          <w:u w:val="single"/>
          <w:lang w:eastAsia="es-AR"/>
        </w:rPr>
        <w:lastRenderedPageBreak/>
        <w:t>Coordination</w:t>
      </w:r>
      <w:r w:rsidR="00A74A91" w:rsidRPr="00D3502E">
        <w:rPr>
          <w:lang w:eastAsia="es-AR"/>
        </w:rPr>
        <w:t>: REDI</w:t>
      </w:r>
    </w:p>
    <w:p w14:paraId="03FB2F53" w14:textId="0D7F30E7" w:rsidR="00C16A47" w:rsidRPr="00FA6E85" w:rsidRDefault="00FA6E85" w:rsidP="00D3502E">
      <w:r w:rsidRPr="00BB285D">
        <w:rPr>
          <w:b/>
          <w:u w:val="single"/>
        </w:rPr>
        <w:t>Responsible for drafting, compiling and edition</w:t>
      </w:r>
      <w:r>
        <w:t>:</w:t>
      </w:r>
      <w:r>
        <w:rPr>
          <w:rFonts w:eastAsiaTheme="minorEastAsia" w:cstheme="minorHAnsi"/>
          <w:lang w:eastAsia="es-AR"/>
        </w:rPr>
        <w:t xml:space="preserve"> </w:t>
      </w:r>
      <w:r w:rsidR="00A74A91" w:rsidRPr="00FA6E85">
        <w:rPr>
          <w:rFonts w:eastAsiaTheme="minorEastAsia" w:cstheme="minorHAnsi"/>
          <w:lang w:eastAsia="es-AR"/>
        </w:rPr>
        <w:t>Sofía Novillo Funes</w:t>
      </w:r>
    </w:p>
    <w:sdt>
      <w:sdtPr>
        <w:rPr>
          <w:rFonts w:cstheme="minorHAnsi"/>
          <w:b/>
          <w:bCs/>
        </w:rPr>
        <w:id w:val="-1676569106"/>
        <w:docPartObj>
          <w:docPartGallery w:val="Table of Contents"/>
          <w:docPartUnique/>
        </w:docPartObj>
      </w:sdtPr>
      <w:sdtEndPr>
        <w:rPr>
          <w:b w:val="0"/>
          <w:bCs w:val="0"/>
        </w:rPr>
      </w:sdtEndPr>
      <w:sdtContent>
        <w:p w14:paraId="401D0B6C" w14:textId="77777777" w:rsidR="0030442E" w:rsidRPr="00065BA6" w:rsidRDefault="0030442E" w:rsidP="009A0425">
          <w:pPr>
            <w:spacing w:before="0" w:after="0" w:line="240" w:lineRule="auto"/>
            <w:rPr>
              <w:rFonts w:cstheme="minorHAnsi"/>
              <w:b/>
              <w:u w:val="single"/>
            </w:rPr>
          </w:pPr>
          <w:r w:rsidRPr="00065BA6">
            <w:rPr>
              <w:rFonts w:cstheme="minorHAnsi"/>
              <w:b/>
              <w:u w:val="single"/>
            </w:rPr>
            <w:t>INDEX</w:t>
          </w:r>
        </w:p>
        <w:p w14:paraId="63D4200C" w14:textId="77777777" w:rsidR="00122EB8" w:rsidRDefault="00122EB8" w:rsidP="009A0425">
          <w:pPr>
            <w:spacing w:before="0" w:after="0" w:line="240" w:lineRule="auto"/>
            <w:rPr>
              <w:rFonts w:cstheme="minorHAnsi"/>
              <w:b/>
            </w:rPr>
          </w:pPr>
        </w:p>
        <w:p w14:paraId="2EBF5E54" w14:textId="77777777" w:rsidR="00065BA6" w:rsidRDefault="00065BA6" w:rsidP="009A0425">
          <w:pPr>
            <w:spacing w:before="0" w:after="0" w:line="240" w:lineRule="auto"/>
            <w:rPr>
              <w:rFonts w:cstheme="minorHAnsi"/>
              <w:b/>
            </w:rPr>
          </w:pPr>
        </w:p>
        <w:p w14:paraId="6A2A1433" w14:textId="77777777" w:rsidR="00065BA6" w:rsidRPr="00D3502E" w:rsidRDefault="00065BA6" w:rsidP="009A0425">
          <w:pPr>
            <w:spacing w:before="0" w:after="0" w:line="240" w:lineRule="auto"/>
            <w:rPr>
              <w:rFonts w:cstheme="minorHAnsi"/>
              <w:b/>
            </w:rPr>
          </w:pPr>
        </w:p>
        <w:p w14:paraId="03F6C48A" w14:textId="77777777" w:rsidR="00844123" w:rsidRDefault="00075BB7" w:rsidP="009A0425">
          <w:pPr>
            <w:pStyle w:val="TDC1"/>
            <w:spacing w:before="0" w:line="240" w:lineRule="auto"/>
            <w:rPr>
              <w:rFonts w:asciiTheme="minorHAnsi" w:eastAsiaTheme="minorEastAsia" w:hAnsiTheme="minorHAnsi" w:cstheme="minorBidi"/>
              <w:b w:val="0"/>
              <w:bCs w:val="0"/>
              <w:caps w:val="0"/>
              <w:noProof/>
              <w:sz w:val="22"/>
              <w:szCs w:val="22"/>
              <w:lang w:val="es-AR" w:eastAsia="es-AR"/>
            </w:rPr>
          </w:pPr>
          <w:r w:rsidRPr="00D3502E">
            <w:rPr>
              <w:rFonts w:asciiTheme="minorHAnsi" w:hAnsiTheme="minorHAnsi" w:cstheme="minorHAnsi"/>
              <w:sz w:val="22"/>
              <w:szCs w:val="22"/>
            </w:rPr>
            <w:fldChar w:fldCharType="begin"/>
          </w:r>
          <w:r w:rsidRPr="00D3502E">
            <w:rPr>
              <w:rFonts w:asciiTheme="minorHAnsi" w:hAnsiTheme="minorHAnsi" w:cstheme="minorHAnsi"/>
              <w:sz w:val="22"/>
              <w:szCs w:val="22"/>
            </w:rPr>
            <w:instrText xml:space="preserve"> TOC \o "1-3" \h \z \u </w:instrText>
          </w:r>
          <w:r w:rsidRPr="00D3502E">
            <w:rPr>
              <w:rFonts w:asciiTheme="minorHAnsi" w:hAnsiTheme="minorHAnsi" w:cstheme="minorHAnsi"/>
              <w:sz w:val="22"/>
              <w:szCs w:val="22"/>
            </w:rPr>
            <w:fldChar w:fldCharType="separate"/>
          </w:r>
          <w:hyperlink w:anchor="_Toc126310217" w:history="1">
            <w:r w:rsidR="00844123" w:rsidRPr="00654BCB">
              <w:rPr>
                <w:rStyle w:val="Hipervnculo"/>
                <w:noProof/>
              </w:rPr>
              <w:t>1.</w:t>
            </w:r>
            <w:r w:rsidR="00844123">
              <w:rPr>
                <w:rFonts w:asciiTheme="minorHAnsi" w:eastAsiaTheme="minorEastAsia" w:hAnsiTheme="minorHAnsi" w:cstheme="minorBidi"/>
                <w:b w:val="0"/>
                <w:bCs w:val="0"/>
                <w:caps w:val="0"/>
                <w:noProof/>
                <w:sz w:val="22"/>
                <w:szCs w:val="22"/>
                <w:lang w:val="es-AR" w:eastAsia="es-AR"/>
              </w:rPr>
              <w:tab/>
            </w:r>
            <w:r w:rsidR="00844123" w:rsidRPr="00654BCB">
              <w:rPr>
                <w:rStyle w:val="Hipervnculo"/>
                <w:noProof/>
              </w:rPr>
              <w:t>EXECUTIVE SUMMARY</w:t>
            </w:r>
            <w:r w:rsidR="00844123">
              <w:rPr>
                <w:noProof/>
                <w:webHidden/>
              </w:rPr>
              <w:tab/>
            </w:r>
            <w:r w:rsidR="00844123">
              <w:rPr>
                <w:noProof/>
                <w:webHidden/>
              </w:rPr>
              <w:fldChar w:fldCharType="begin"/>
            </w:r>
            <w:r w:rsidR="00844123">
              <w:rPr>
                <w:noProof/>
                <w:webHidden/>
              </w:rPr>
              <w:instrText xml:space="preserve"> PAGEREF _Toc126310217 \h </w:instrText>
            </w:r>
            <w:r w:rsidR="00844123">
              <w:rPr>
                <w:noProof/>
                <w:webHidden/>
              </w:rPr>
            </w:r>
            <w:r w:rsidR="00844123">
              <w:rPr>
                <w:noProof/>
                <w:webHidden/>
              </w:rPr>
              <w:fldChar w:fldCharType="separate"/>
            </w:r>
            <w:r w:rsidR="00C5420E">
              <w:rPr>
                <w:noProof/>
                <w:webHidden/>
              </w:rPr>
              <w:t>3</w:t>
            </w:r>
            <w:r w:rsidR="00844123">
              <w:rPr>
                <w:noProof/>
                <w:webHidden/>
              </w:rPr>
              <w:fldChar w:fldCharType="end"/>
            </w:r>
          </w:hyperlink>
        </w:p>
        <w:p w14:paraId="2CDE9F0D" w14:textId="77777777" w:rsidR="00844123" w:rsidRDefault="009A0425" w:rsidP="009A0425">
          <w:pPr>
            <w:pStyle w:val="TDC1"/>
            <w:spacing w:before="0" w:line="240" w:lineRule="auto"/>
            <w:rPr>
              <w:rFonts w:asciiTheme="minorHAnsi" w:eastAsiaTheme="minorEastAsia" w:hAnsiTheme="minorHAnsi" w:cstheme="minorBidi"/>
              <w:b w:val="0"/>
              <w:bCs w:val="0"/>
              <w:caps w:val="0"/>
              <w:noProof/>
              <w:sz w:val="22"/>
              <w:szCs w:val="22"/>
              <w:lang w:val="es-AR" w:eastAsia="es-AR"/>
            </w:rPr>
          </w:pPr>
          <w:hyperlink w:anchor="_Toc126310218" w:history="1">
            <w:r w:rsidR="00844123" w:rsidRPr="00654BCB">
              <w:rPr>
                <w:rStyle w:val="Hipervnculo"/>
                <w:rFonts w:eastAsia="Times New Roman" w:cstheme="minorHAnsi"/>
                <w:noProof/>
              </w:rPr>
              <w:t>2.</w:t>
            </w:r>
            <w:r w:rsidR="00844123">
              <w:rPr>
                <w:rFonts w:asciiTheme="minorHAnsi" w:eastAsiaTheme="minorEastAsia" w:hAnsiTheme="minorHAnsi" w:cstheme="minorBidi"/>
                <w:b w:val="0"/>
                <w:bCs w:val="0"/>
                <w:caps w:val="0"/>
                <w:noProof/>
                <w:sz w:val="22"/>
                <w:szCs w:val="22"/>
                <w:lang w:val="es-AR" w:eastAsia="es-AR"/>
              </w:rPr>
              <w:tab/>
            </w:r>
            <w:r w:rsidR="00844123" w:rsidRPr="00654BCB">
              <w:rPr>
                <w:rStyle w:val="Hipervnculo"/>
                <w:noProof/>
              </w:rPr>
              <w:t>SITUATION OF THE RIGHTS OF PWD ACCORDING TO THE ARTICLES OF THE CONVENTION</w:t>
            </w:r>
            <w:r w:rsidR="00844123">
              <w:rPr>
                <w:noProof/>
                <w:webHidden/>
              </w:rPr>
              <w:tab/>
            </w:r>
            <w:r w:rsidR="00844123">
              <w:rPr>
                <w:noProof/>
                <w:webHidden/>
              </w:rPr>
              <w:fldChar w:fldCharType="begin"/>
            </w:r>
            <w:r w:rsidR="00844123">
              <w:rPr>
                <w:noProof/>
                <w:webHidden/>
              </w:rPr>
              <w:instrText xml:space="preserve"> PAGEREF _Toc126310218 \h </w:instrText>
            </w:r>
            <w:r w:rsidR="00844123">
              <w:rPr>
                <w:noProof/>
                <w:webHidden/>
              </w:rPr>
            </w:r>
            <w:r w:rsidR="00844123">
              <w:rPr>
                <w:noProof/>
                <w:webHidden/>
              </w:rPr>
              <w:fldChar w:fldCharType="separate"/>
            </w:r>
            <w:r w:rsidR="00C5420E">
              <w:rPr>
                <w:noProof/>
                <w:webHidden/>
              </w:rPr>
              <w:t>4</w:t>
            </w:r>
            <w:r w:rsidR="00844123">
              <w:rPr>
                <w:noProof/>
                <w:webHidden/>
              </w:rPr>
              <w:fldChar w:fldCharType="end"/>
            </w:r>
          </w:hyperlink>
        </w:p>
        <w:p w14:paraId="7388830C" w14:textId="77777777" w:rsidR="00844123" w:rsidRDefault="009A0425" w:rsidP="009A0425">
          <w:pPr>
            <w:pStyle w:val="TDC2"/>
            <w:spacing w:before="0"/>
            <w:rPr>
              <w:rFonts w:eastAsiaTheme="minorEastAsia" w:cstheme="minorBidi"/>
              <w:sz w:val="22"/>
              <w:szCs w:val="22"/>
              <w:lang w:eastAsia="es-AR"/>
            </w:rPr>
          </w:pPr>
          <w:hyperlink w:anchor="_Toc126310219" w:history="1">
            <w:r w:rsidR="00844123" w:rsidRPr="00654BCB">
              <w:rPr>
                <w:rStyle w:val="Hipervnculo"/>
                <w:rFonts w:cstheme="minorHAnsi"/>
                <w:b/>
              </w:rPr>
              <w:t>Article 4: General obligations</w:t>
            </w:r>
            <w:r w:rsidR="00844123">
              <w:rPr>
                <w:webHidden/>
              </w:rPr>
              <w:tab/>
            </w:r>
            <w:r w:rsidR="00844123">
              <w:rPr>
                <w:webHidden/>
              </w:rPr>
              <w:fldChar w:fldCharType="begin"/>
            </w:r>
            <w:r w:rsidR="00844123">
              <w:rPr>
                <w:webHidden/>
              </w:rPr>
              <w:instrText xml:space="preserve"> PAGEREF _Toc126310219 \h </w:instrText>
            </w:r>
            <w:r w:rsidR="00844123">
              <w:rPr>
                <w:webHidden/>
              </w:rPr>
            </w:r>
            <w:r w:rsidR="00844123">
              <w:rPr>
                <w:webHidden/>
              </w:rPr>
              <w:fldChar w:fldCharType="separate"/>
            </w:r>
            <w:r w:rsidR="00C5420E">
              <w:rPr>
                <w:webHidden/>
              </w:rPr>
              <w:t>4</w:t>
            </w:r>
            <w:r w:rsidR="00844123">
              <w:rPr>
                <w:webHidden/>
              </w:rPr>
              <w:fldChar w:fldCharType="end"/>
            </w:r>
          </w:hyperlink>
        </w:p>
        <w:p w14:paraId="57184E95" w14:textId="77777777" w:rsidR="00844123" w:rsidRDefault="009A0425" w:rsidP="009A0425">
          <w:pPr>
            <w:pStyle w:val="TDC2"/>
            <w:spacing w:before="0"/>
            <w:rPr>
              <w:rFonts w:eastAsiaTheme="minorEastAsia" w:cstheme="minorBidi"/>
              <w:sz w:val="22"/>
              <w:szCs w:val="22"/>
              <w:lang w:eastAsia="es-AR"/>
            </w:rPr>
          </w:pPr>
          <w:hyperlink w:anchor="_Toc126310220" w:history="1">
            <w:r w:rsidR="00844123" w:rsidRPr="00654BCB">
              <w:rPr>
                <w:rStyle w:val="Hipervnculo"/>
                <w:rFonts w:cstheme="minorHAnsi"/>
                <w:b/>
              </w:rPr>
              <w:t>Article 5: Equality and no discrimination</w:t>
            </w:r>
            <w:r w:rsidR="00844123">
              <w:rPr>
                <w:webHidden/>
              </w:rPr>
              <w:tab/>
            </w:r>
            <w:r w:rsidR="00844123">
              <w:rPr>
                <w:webHidden/>
              </w:rPr>
              <w:fldChar w:fldCharType="begin"/>
            </w:r>
            <w:r w:rsidR="00844123">
              <w:rPr>
                <w:webHidden/>
              </w:rPr>
              <w:instrText xml:space="preserve"> PAGEREF _Toc126310220 \h </w:instrText>
            </w:r>
            <w:r w:rsidR="00844123">
              <w:rPr>
                <w:webHidden/>
              </w:rPr>
            </w:r>
            <w:r w:rsidR="00844123">
              <w:rPr>
                <w:webHidden/>
              </w:rPr>
              <w:fldChar w:fldCharType="separate"/>
            </w:r>
            <w:r w:rsidR="00C5420E">
              <w:rPr>
                <w:webHidden/>
              </w:rPr>
              <w:t>6</w:t>
            </w:r>
            <w:r w:rsidR="00844123">
              <w:rPr>
                <w:webHidden/>
              </w:rPr>
              <w:fldChar w:fldCharType="end"/>
            </w:r>
          </w:hyperlink>
        </w:p>
        <w:p w14:paraId="5A8B8145" w14:textId="77777777" w:rsidR="00844123" w:rsidRDefault="009A0425" w:rsidP="009A0425">
          <w:pPr>
            <w:pStyle w:val="TDC2"/>
            <w:spacing w:before="0"/>
            <w:rPr>
              <w:rFonts w:eastAsiaTheme="minorEastAsia" w:cstheme="minorBidi"/>
              <w:sz w:val="22"/>
              <w:szCs w:val="22"/>
              <w:lang w:eastAsia="es-AR"/>
            </w:rPr>
          </w:pPr>
          <w:hyperlink w:anchor="_Toc126310221" w:history="1">
            <w:r w:rsidR="00844123" w:rsidRPr="00654BCB">
              <w:rPr>
                <w:rStyle w:val="Hipervnculo"/>
                <w:rFonts w:cstheme="minorHAnsi"/>
                <w:b/>
              </w:rPr>
              <w:t>Article 6: Women with disability</w:t>
            </w:r>
            <w:r w:rsidR="00844123">
              <w:rPr>
                <w:webHidden/>
              </w:rPr>
              <w:tab/>
            </w:r>
            <w:r w:rsidR="00844123">
              <w:rPr>
                <w:webHidden/>
              </w:rPr>
              <w:fldChar w:fldCharType="begin"/>
            </w:r>
            <w:r w:rsidR="00844123">
              <w:rPr>
                <w:webHidden/>
              </w:rPr>
              <w:instrText xml:space="preserve"> PAGEREF _Toc126310221 \h </w:instrText>
            </w:r>
            <w:r w:rsidR="00844123">
              <w:rPr>
                <w:webHidden/>
              </w:rPr>
            </w:r>
            <w:r w:rsidR="00844123">
              <w:rPr>
                <w:webHidden/>
              </w:rPr>
              <w:fldChar w:fldCharType="separate"/>
            </w:r>
            <w:r w:rsidR="00C5420E">
              <w:rPr>
                <w:webHidden/>
              </w:rPr>
              <w:t>7</w:t>
            </w:r>
            <w:r w:rsidR="00844123">
              <w:rPr>
                <w:webHidden/>
              </w:rPr>
              <w:fldChar w:fldCharType="end"/>
            </w:r>
          </w:hyperlink>
        </w:p>
        <w:p w14:paraId="34EB176C" w14:textId="77777777" w:rsidR="00844123" w:rsidRDefault="009A0425" w:rsidP="009A0425">
          <w:pPr>
            <w:pStyle w:val="TDC2"/>
            <w:spacing w:before="0"/>
            <w:rPr>
              <w:rFonts w:eastAsiaTheme="minorEastAsia" w:cstheme="minorBidi"/>
              <w:sz w:val="22"/>
              <w:szCs w:val="22"/>
              <w:lang w:eastAsia="es-AR"/>
            </w:rPr>
          </w:pPr>
          <w:hyperlink w:anchor="_Toc126310222" w:history="1">
            <w:r w:rsidR="00844123" w:rsidRPr="00654BCB">
              <w:rPr>
                <w:rStyle w:val="Hipervnculo"/>
                <w:rFonts w:cstheme="minorHAnsi"/>
                <w:b/>
              </w:rPr>
              <w:t>Article 7: Boys, girls and teenagers</w:t>
            </w:r>
            <w:r w:rsidR="00844123">
              <w:rPr>
                <w:webHidden/>
              </w:rPr>
              <w:tab/>
            </w:r>
            <w:r w:rsidR="00844123">
              <w:rPr>
                <w:webHidden/>
              </w:rPr>
              <w:fldChar w:fldCharType="begin"/>
            </w:r>
            <w:r w:rsidR="00844123">
              <w:rPr>
                <w:webHidden/>
              </w:rPr>
              <w:instrText xml:space="preserve"> PAGEREF _Toc126310222 \h </w:instrText>
            </w:r>
            <w:r w:rsidR="00844123">
              <w:rPr>
                <w:webHidden/>
              </w:rPr>
            </w:r>
            <w:r w:rsidR="00844123">
              <w:rPr>
                <w:webHidden/>
              </w:rPr>
              <w:fldChar w:fldCharType="separate"/>
            </w:r>
            <w:r w:rsidR="00C5420E">
              <w:rPr>
                <w:webHidden/>
              </w:rPr>
              <w:t>8</w:t>
            </w:r>
            <w:r w:rsidR="00844123">
              <w:rPr>
                <w:webHidden/>
              </w:rPr>
              <w:fldChar w:fldCharType="end"/>
            </w:r>
          </w:hyperlink>
        </w:p>
        <w:p w14:paraId="39EE5E88" w14:textId="77777777" w:rsidR="00844123" w:rsidRDefault="009A0425" w:rsidP="009A0425">
          <w:pPr>
            <w:pStyle w:val="TDC2"/>
            <w:spacing w:before="0"/>
            <w:rPr>
              <w:rFonts w:eastAsiaTheme="minorEastAsia" w:cstheme="minorBidi"/>
              <w:sz w:val="22"/>
              <w:szCs w:val="22"/>
              <w:lang w:eastAsia="es-AR"/>
            </w:rPr>
          </w:pPr>
          <w:hyperlink w:anchor="_Toc126310223" w:history="1">
            <w:r w:rsidR="00844123" w:rsidRPr="00654BCB">
              <w:rPr>
                <w:rStyle w:val="Hipervnculo"/>
                <w:rFonts w:cstheme="minorHAnsi"/>
                <w:b/>
              </w:rPr>
              <w:t>Article 9: Accessibility</w:t>
            </w:r>
            <w:r w:rsidR="00844123">
              <w:rPr>
                <w:webHidden/>
              </w:rPr>
              <w:tab/>
            </w:r>
            <w:r w:rsidR="00844123">
              <w:rPr>
                <w:webHidden/>
              </w:rPr>
              <w:fldChar w:fldCharType="begin"/>
            </w:r>
            <w:r w:rsidR="00844123">
              <w:rPr>
                <w:webHidden/>
              </w:rPr>
              <w:instrText xml:space="preserve"> PAGEREF _Toc126310223 \h </w:instrText>
            </w:r>
            <w:r w:rsidR="00844123">
              <w:rPr>
                <w:webHidden/>
              </w:rPr>
            </w:r>
            <w:r w:rsidR="00844123">
              <w:rPr>
                <w:webHidden/>
              </w:rPr>
              <w:fldChar w:fldCharType="separate"/>
            </w:r>
            <w:r w:rsidR="00C5420E">
              <w:rPr>
                <w:webHidden/>
              </w:rPr>
              <w:t>8</w:t>
            </w:r>
            <w:r w:rsidR="00844123">
              <w:rPr>
                <w:webHidden/>
              </w:rPr>
              <w:fldChar w:fldCharType="end"/>
            </w:r>
          </w:hyperlink>
        </w:p>
        <w:p w14:paraId="08AD4826" w14:textId="77777777" w:rsidR="00844123" w:rsidRDefault="009A0425" w:rsidP="009A0425">
          <w:pPr>
            <w:pStyle w:val="TDC2"/>
            <w:spacing w:before="0"/>
            <w:rPr>
              <w:rFonts w:eastAsiaTheme="minorEastAsia" w:cstheme="minorBidi"/>
              <w:sz w:val="22"/>
              <w:szCs w:val="22"/>
              <w:lang w:eastAsia="es-AR"/>
            </w:rPr>
          </w:pPr>
          <w:hyperlink w:anchor="_Toc126310224" w:history="1">
            <w:r w:rsidR="00844123" w:rsidRPr="00654BCB">
              <w:rPr>
                <w:rStyle w:val="Hipervnculo"/>
                <w:rFonts w:cstheme="minorHAnsi"/>
                <w:b/>
              </w:rPr>
              <w:t>Article 11: Situations of risk and right to life</w:t>
            </w:r>
            <w:r w:rsidR="00844123">
              <w:rPr>
                <w:webHidden/>
              </w:rPr>
              <w:tab/>
            </w:r>
            <w:r w:rsidR="00844123">
              <w:rPr>
                <w:webHidden/>
              </w:rPr>
              <w:fldChar w:fldCharType="begin"/>
            </w:r>
            <w:r w:rsidR="00844123">
              <w:rPr>
                <w:webHidden/>
              </w:rPr>
              <w:instrText xml:space="preserve"> PAGEREF _Toc126310224 \h </w:instrText>
            </w:r>
            <w:r w:rsidR="00844123">
              <w:rPr>
                <w:webHidden/>
              </w:rPr>
            </w:r>
            <w:r w:rsidR="00844123">
              <w:rPr>
                <w:webHidden/>
              </w:rPr>
              <w:fldChar w:fldCharType="separate"/>
            </w:r>
            <w:r w:rsidR="00C5420E">
              <w:rPr>
                <w:webHidden/>
              </w:rPr>
              <w:t>10</w:t>
            </w:r>
            <w:r w:rsidR="00844123">
              <w:rPr>
                <w:webHidden/>
              </w:rPr>
              <w:fldChar w:fldCharType="end"/>
            </w:r>
          </w:hyperlink>
        </w:p>
        <w:p w14:paraId="7AB58AE1" w14:textId="77777777" w:rsidR="00844123" w:rsidRDefault="009A0425" w:rsidP="009A0425">
          <w:pPr>
            <w:pStyle w:val="TDC2"/>
            <w:spacing w:before="0"/>
            <w:rPr>
              <w:rFonts w:eastAsiaTheme="minorEastAsia" w:cstheme="minorBidi"/>
              <w:sz w:val="22"/>
              <w:szCs w:val="22"/>
              <w:lang w:eastAsia="es-AR"/>
            </w:rPr>
          </w:pPr>
          <w:hyperlink w:anchor="_Toc126310225" w:history="1">
            <w:r w:rsidR="00844123" w:rsidRPr="00654BCB">
              <w:rPr>
                <w:rStyle w:val="Hipervnculo"/>
                <w:rFonts w:cstheme="minorHAnsi"/>
                <w:b/>
              </w:rPr>
              <w:t>Article 12: Same recognition as person before the law</w:t>
            </w:r>
            <w:r w:rsidR="00844123">
              <w:rPr>
                <w:webHidden/>
              </w:rPr>
              <w:tab/>
            </w:r>
            <w:r w:rsidR="00844123">
              <w:rPr>
                <w:webHidden/>
              </w:rPr>
              <w:fldChar w:fldCharType="begin"/>
            </w:r>
            <w:r w:rsidR="00844123">
              <w:rPr>
                <w:webHidden/>
              </w:rPr>
              <w:instrText xml:space="preserve"> PAGEREF _Toc126310225 \h </w:instrText>
            </w:r>
            <w:r w:rsidR="00844123">
              <w:rPr>
                <w:webHidden/>
              </w:rPr>
            </w:r>
            <w:r w:rsidR="00844123">
              <w:rPr>
                <w:webHidden/>
              </w:rPr>
              <w:fldChar w:fldCharType="separate"/>
            </w:r>
            <w:r w:rsidR="00C5420E">
              <w:rPr>
                <w:webHidden/>
              </w:rPr>
              <w:t>11</w:t>
            </w:r>
            <w:r w:rsidR="00844123">
              <w:rPr>
                <w:webHidden/>
              </w:rPr>
              <w:fldChar w:fldCharType="end"/>
            </w:r>
          </w:hyperlink>
        </w:p>
        <w:p w14:paraId="219DD8F8" w14:textId="77777777" w:rsidR="00844123" w:rsidRDefault="009A0425" w:rsidP="009A0425">
          <w:pPr>
            <w:pStyle w:val="TDC2"/>
            <w:spacing w:before="0"/>
            <w:rPr>
              <w:rFonts w:eastAsiaTheme="minorEastAsia" w:cstheme="minorBidi"/>
              <w:sz w:val="22"/>
              <w:szCs w:val="22"/>
              <w:lang w:eastAsia="es-AR"/>
            </w:rPr>
          </w:pPr>
          <w:hyperlink w:anchor="_Toc126310226" w:history="1">
            <w:r w:rsidR="00844123" w:rsidRPr="00654BCB">
              <w:rPr>
                <w:rStyle w:val="Hipervnculo"/>
                <w:rFonts w:cstheme="minorHAnsi"/>
                <w:b/>
              </w:rPr>
              <w:t>Article 13:</w:t>
            </w:r>
            <w:r w:rsidR="00844123" w:rsidRPr="00654BCB">
              <w:rPr>
                <w:rStyle w:val="Hipervnculo"/>
                <w:rFonts w:cstheme="minorHAnsi"/>
                <w:b/>
                <w:bCs/>
              </w:rPr>
              <w:t xml:space="preserve"> </w:t>
            </w:r>
            <w:r w:rsidR="00844123" w:rsidRPr="00654BCB">
              <w:rPr>
                <w:rStyle w:val="Hipervnculo"/>
                <w:rFonts w:cstheme="minorHAnsi"/>
                <w:b/>
              </w:rPr>
              <w:t>Access to justice</w:t>
            </w:r>
            <w:r w:rsidR="00844123">
              <w:rPr>
                <w:webHidden/>
              </w:rPr>
              <w:tab/>
            </w:r>
            <w:r w:rsidR="00844123">
              <w:rPr>
                <w:webHidden/>
              </w:rPr>
              <w:fldChar w:fldCharType="begin"/>
            </w:r>
            <w:r w:rsidR="00844123">
              <w:rPr>
                <w:webHidden/>
              </w:rPr>
              <w:instrText xml:space="preserve"> PAGEREF _Toc126310226 \h </w:instrText>
            </w:r>
            <w:r w:rsidR="00844123">
              <w:rPr>
                <w:webHidden/>
              </w:rPr>
            </w:r>
            <w:r w:rsidR="00844123">
              <w:rPr>
                <w:webHidden/>
              </w:rPr>
              <w:fldChar w:fldCharType="separate"/>
            </w:r>
            <w:r w:rsidR="00C5420E">
              <w:rPr>
                <w:webHidden/>
              </w:rPr>
              <w:t>12</w:t>
            </w:r>
            <w:r w:rsidR="00844123">
              <w:rPr>
                <w:webHidden/>
              </w:rPr>
              <w:fldChar w:fldCharType="end"/>
            </w:r>
          </w:hyperlink>
        </w:p>
        <w:p w14:paraId="3F9965E7" w14:textId="77777777" w:rsidR="00844123" w:rsidRDefault="009A0425" w:rsidP="009A0425">
          <w:pPr>
            <w:pStyle w:val="TDC2"/>
            <w:spacing w:before="0"/>
            <w:rPr>
              <w:rFonts w:eastAsiaTheme="minorEastAsia" w:cstheme="minorBidi"/>
              <w:sz w:val="22"/>
              <w:szCs w:val="22"/>
              <w:lang w:eastAsia="es-AR"/>
            </w:rPr>
          </w:pPr>
          <w:hyperlink w:anchor="_Toc126310227" w:history="1">
            <w:r w:rsidR="00844123" w:rsidRPr="00654BCB">
              <w:rPr>
                <w:rStyle w:val="Hipervnculo"/>
                <w:rFonts w:cstheme="minorHAnsi"/>
                <w:b/>
              </w:rPr>
              <w:t>Article 14: Freedom and security of the person</w:t>
            </w:r>
            <w:r w:rsidR="00844123">
              <w:rPr>
                <w:webHidden/>
              </w:rPr>
              <w:tab/>
            </w:r>
            <w:r w:rsidR="00844123">
              <w:rPr>
                <w:webHidden/>
              </w:rPr>
              <w:fldChar w:fldCharType="begin"/>
            </w:r>
            <w:r w:rsidR="00844123">
              <w:rPr>
                <w:webHidden/>
              </w:rPr>
              <w:instrText xml:space="preserve"> PAGEREF _Toc126310227 \h </w:instrText>
            </w:r>
            <w:r w:rsidR="00844123">
              <w:rPr>
                <w:webHidden/>
              </w:rPr>
            </w:r>
            <w:r w:rsidR="00844123">
              <w:rPr>
                <w:webHidden/>
              </w:rPr>
              <w:fldChar w:fldCharType="separate"/>
            </w:r>
            <w:r w:rsidR="00C5420E">
              <w:rPr>
                <w:webHidden/>
              </w:rPr>
              <w:t>12</w:t>
            </w:r>
            <w:r w:rsidR="00844123">
              <w:rPr>
                <w:webHidden/>
              </w:rPr>
              <w:fldChar w:fldCharType="end"/>
            </w:r>
          </w:hyperlink>
        </w:p>
        <w:p w14:paraId="7AE73784" w14:textId="77777777" w:rsidR="00844123" w:rsidRDefault="009A0425" w:rsidP="009A0425">
          <w:pPr>
            <w:pStyle w:val="TDC2"/>
            <w:spacing w:before="0"/>
            <w:rPr>
              <w:rFonts w:eastAsiaTheme="minorEastAsia" w:cstheme="minorBidi"/>
              <w:sz w:val="22"/>
              <w:szCs w:val="22"/>
              <w:lang w:eastAsia="es-AR"/>
            </w:rPr>
          </w:pPr>
          <w:hyperlink w:anchor="_Toc126310228" w:history="1">
            <w:r w:rsidR="00844123" w:rsidRPr="00654BCB">
              <w:rPr>
                <w:rStyle w:val="Hipervnculo"/>
                <w:rFonts w:cstheme="minorHAnsi"/>
                <w:b/>
              </w:rPr>
              <w:t>Article 15: Protection against torture and other cruel inhumane or degrading treatment</w:t>
            </w:r>
            <w:r w:rsidR="00844123">
              <w:rPr>
                <w:webHidden/>
              </w:rPr>
              <w:tab/>
            </w:r>
            <w:r w:rsidR="00844123">
              <w:rPr>
                <w:webHidden/>
              </w:rPr>
              <w:fldChar w:fldCharType="begin"/>
            </w:r>
            <w:r w:rsidR="00844123">
              <w:rPr>
                <w:webHidden/>
              </w:rPr>
              <w:instrText xml:space="preserve"> PAGEREF _Toc126310228 \h </w:instrText>
            </w:r>
            <w:r w:rsidR="00844123">
              <w:rPr>
                <w:webHidden/>
              </w:rPr>
            </w:r>
            <w:r w:rsidR="00844123">
              <w:rPr>
                <w:webHidden/>
              </w:rPr>
              <w:fldChar w:fldCharType="separate"/>
            </w:r>
            <w:r w:rsidR="00C5420E">
              <w:rPr>
                <w:webHidden/>
              </w:rPr>
              <w:t>13</w:t>
            </w:r>
            <w:r w:rsidR="00844123">
              <w:rPr>
                <w:webHidden/>
              </w:rPr>
              <w:fldChar w:fldCharType="end"/>
            </w:r>
          </w:hyperlink>
        </w:p>
        <w:p w14:paraId="1349B2AD" w14:textId="77777777" w:rsidR="00844123" w:rsidRDefault="009A0425" w:rsidP="009A0425">
          <w:pPr>
            <w:pStyle w:val="TDC2"/>
            <w:spacing w:before="0"/>
            <w:rPr>
              <w:rFonts w:eastAsiaTheme="minorEastAsia" w:cstheme="minorBidi"/>
              <w:sz w:val="22"/>
              <w:szCs w:val="22"/>
              <w:lang w:eastAsia="es-AR"/>
            </w:rPr>
          </w:pPr>
          <w:hyperlink w:anchor="_Toc126310229" w:history="1">
            <w:r w:rsidR="00844123" w:rsidRPr="00654BCB">
              <w:rPr>
                <w:rStyle w:val="Hipervnculo"/>
                <w:b/>
              </w:rPr>
              <w:t>Article 19: Right to an independent life and to be included in the community</w:t>
            </w:r>
            <w:r w:rsidR="00844123">
              <w:rPr>
                <w:webHidden/>
              </w:rPr>
              <w:tab/>
            </w:r>
            <w:r w:rsidR="00844123">
              <w:rPr>
                <w:webHidden/>
              </w:rPr>
              <w:fldChar w:fldCharType="begin"/>
            </w:r>
            <w:r w:rsidR="00844123">
              <w:rPr>
                <w:webHidden/>
              </w:rPr>
              <w:instrText xml:space="preserve"> PAGEREF _Toc126310229 \h </w:instrText>
            </w:r>
            <w:r w:rsidR="00844123">
              <w:rPr>
                <w:webHidden/>
              </w:rPr>
            </w:r>
            <w:r w:rsidR="00844123">
              <w:rPr>
                <w:webHidden/>
              </w:rPr>
              <w:fldChar w:fldCharType="separate"/>
            </w:r>
            <w:r w:rsidR="00C5420E">
              <w:rPr>
                <w:webHidden/>
              </w:rPr>
              <w:t>14</w:t>
            </w:r>
            <w:r w:rsidR="00844123">
              <w:rPr>
                <w:webHidden/>
              </w:rPr>
              <w:fldChar w:fldCharType="end"/>
            </w:r>
          </w:hyperlink>
        </w:p>
        <w:p w14:paraId="0D5843BC" w14:textId="77777777" w:rsidR="00844123" w:rsidRDefault="009A0425" w:rsidP="009A0425">
          <w:pPr>
            <w:pStyle w:val="TDC2"/>
            <w:spacing w:before="0"/>
            <w:rPr>
              <w:rFonts w:eastAsiaTheme="minorEastAsia" w:cstheme="minorBidi"/>
              <w:sz w:val="22"/>
              <w:szCs w:val="22"/>
              <w:lang w:eastAsia="es-AR"/>
            </w:rPr>
          </w:pPr>
          <w:hyperlink w:anchor="_Toc126310230" w:history="1">
            <w:r w:rsidR="00844123" w:rsidRPr="00654BCB">
              <w:rPr>
                <w:rStyle w:val="Hipervnculo"/>
                <w:rFonts w:cstheme="minorHAnsi"/>
                <w:b/>
              </w:rPr>
              <w:t>Article 20: Personal mobility</w:t>
            </w:r>
            <w:r w:rsidR="00844123">
              <w:rPr>
                <w:webHidden/>
              </w:rPr>
              <w:tab/>
            </w:r>
            <w:r w:rsidR="00844123">
              <w:rPr>
                <w:webHidden/>
              </w:rPr>
              <w:fldChar w:fldCharType="begin"/>
            </w:r>
            <w:r w:rsidR="00844123">
              <w:rPr>
                <w:webHidden/>
              </w:rPr>
              <w:instrText xml:space="preserve"> PAGEREF _Toc126310230 \h </w:instrText>
            </w:r>
            <w:r w:rsidR="00844123">
              <w:rPr>
                <w:webHidden/>
              </w:rPr>
            </w:r>
            <w:r w:rsidR="00844123">
              <w:rPr>
                <w:webHidden/>
              </w:rPr>
              <w:fldChar w:fldCharType="separate"/>
            </w:r>
            <w:r w:rsidR="00C5420E">
              <w:rPr>
                <w:webHidden/>
              </w:rPr>
              <w:t>16</w:t>
            </w:r>
            <w:r w:rsidR="00844123">
              <w:rPr>
                <w:webHidden/>
              </w:rPr>
              <w:fldChar w:fldCharType="end"/>
            </w:r>
          </w:hyperlink>
        </w:p>
        <w:p w14:paraId="0E2B2F35" w14:textId="77777777" w:rsidR="00844123" w:rsidRDefault="009A0425" w:rsidP="009A0425">
          <w:pPr>
            <w:pStyle w:val="TDC2"/>
            <w:spacing w:before="0"/>
            <w:rPr>
              <w:rFonts w:eastAsiaTheme="minorEastAsia" w:cstheme="minorBidi"/>
              <w:sz w:val="22"/>
              <w:szCs w:val="22"/>
              <w:lang w:eastAsia="es-AR"/>
            </w:rPr>
          </w:pPr>
          <w:hyperlink w:anchor="_Toc126310231" w:history="1">
            <w:r w:rsidR="00844123" w:rsidRPr="00654BCB">
              <w:rPr>
                <w:rStyle w:val="Hipervnculo"/>
                <w:rFonts w:cstheme="minorHAnsi"/>
                <w:b/>
              </w:rPr>
              <w:t>Article 21: Freedom of opinion and expression and access to information</w:t>
            </w:r>
            <w:r w:rsidR="00844123">
              <w:rPr>
                <w:webHidden/>
              </w:rPr>
              <w:tab/>
            </w:r>
            <w:r w:rsidR="00844123">
              <w:rPr>
                <w:webHidden/>
              </w:rPr>
              <w:fldChar w:fldCharType="begin"/>
            </w:r>
            <w:r w:rsidR="00844123">
              <w:rPr>
                <w:webHidden/>
              </w:rPr>
              <w:instrText xml:space="preserve"> PAGEREF _Toc126310231 \h </w:instrText>
            </w:r>
            <w:r w:rsidR="00844123">
              <w:rPr>
                <w:webHidden/>
              </w:rPr>
            </w:r>
            <w:r w:rsidR="00844123">
              <w:rPr>
                <w:webHidden/>
              </w:rPr>
              <w:fldChar w:fldCharType="separate"/>
            </w:r>
            <w:r w:rsidR="00C5420E">
              <w:rPr>
                <w:webHidden/>
              </w:rPr>
              <w:t>17</w:t>
            </w:r>
            <w:r w:rsidR="00844123">
              <w:rPr>
                <w:webHidden/>
              </w:rPr>
              <w:fldChar w:fldCharType="end"/>
            </w:r>
          </w:hyperlink>
        </w:p>
        <w:p w14:paraId="29BEC8AA" w14:textId="77777777" w:rsidR="00844123" w:rsidRDefault="009A0425" w:rsidP="009A0425">
          <w:pPr>
            <w:pStyle w:val="TDC2"/>
            <w:spacing w:before="0"/>
            <w:rPr>
              <w:rFonts w:eastAsiaTheme="minorEastAsia" w:cstheme="minorBidi"/>
              <w:sz w:val="22"/>
              <w:szCs w:val="22"/>
              <w:lang w:eastAsia="es-AR"/>
            </w:rPr>
          </w:pPr>
          <w:hyperlink w:anchor="_Toc126310232" w:history="1">
            <w:r w:rsidR="00844123" w:rsidRPr="00654BCB">
              <w:rPr>
                <w:rStyle w:val="Hipervnculo"/>
                <w:rFonts w:cstheme="minorHAnsi"/>
                <w:b/>
              </w:rPr>
              <w:t>Article 23: Respect for the family and home</w:t>
            </w:r>
            <w:r w:rsidR="00844123">
              <w:rPr>
                <w:webHidden/>
              </w:rPr>
              <w:tab/>
            </w:r>
            <w:r w:rsidR="00844123">
              <w:rPr>
                <w:webHidden/>
              </w:rPr>
              <w:fldChar w:fldCharType="begin"/>
            </w:r>
            <w:r w:rsidR="00844123">
              <w:rPr>
                <w:webHidden/>
              </w:rPr>
              <w:instrText xml:space="preserve"> PAGEREF _Toc126310232 \h </w:instrText>
            </w:r>
            <w:r w:rsidR="00844123">
              <w:rPr>
                <w:webHidden/>
              </w:rPr>
            </w:r>
            <w:r w:rsidR="00844123">
              <w:rPr>
                <w:webHidden/>
              </w:rPr>
              <w:fldChar w:fldCharType="separate"/>
            </w:r>
            <w:r w:rsidR="00C5420E">
              <w:rPr>
                <w:webHidden/>
              </w:rPr>
              <w:t>18</w:t>
            </w:r>
            <w:r w:rsidR="00844123">
              <w:rPr>
                <w:webHidden/>
              </w:rPr>
              <w:fldChar w:fldCharType="end"/>
            </w:r>
          </w:hyperlink>
        </w:p>
        <w:p w14:paraId="1724F561" w14:textId="77777777" w:rsidR="00844123" w:rsidRDefault="009A0425" w:rsidP="009A0425">
          <w:pPr>
            <w:pStyle w:val="TDC2"/>
            <w:spacing w:before="0"/>
            <w:rPr>
              <w:rFonts w:eastAsiaTheme="minorEastAsia" w:cstheme="minorBidi"/>
              <w:sz w:val="22"/>
              <w:szCs w:val="22"/>
              <w:lang w:eastAsia="es-AR"/>
            </w:rPr>
          </w:pPr>
          <w:hyperlink w:anchor="_Toc126310233" w:history="1">
            <w:r w:rsidR="00844123" w:rsidRPr="00654BCB">
              <w:rPr>
                <w:rStyle w:val="Hipervnculo"/>
                <w:rFonts w:cstheme="minorHAnsi"/>
                <w:b/>
              </w:rPr>
              <w:t>Article 24: Right to education</w:t>
            </w:r>
            <w:r w:rsidR="00844123">
              <w:rPr>
                <w:webHidden/>
              </w:rPr>
              <w:tab/>
            </w:r>
            <w:r w:rsidR="00844123">
              <w:rPr>
                <w:webHidden/>
              </w:rPr>
              <w:fldChar w:fldCharType="begin"/>
            </w:r>
            <w:r w:rsidR="00844123">
              <w:rPr>
                <w:webHidden/>
              </w:rPr>
              <w:instrText xml:space="preserve"> PAGEREF _Toc126310233 \h </w:instrText>
            </w:r>
            <w:r w:rsidR="00844123">
              <w:rPr>
                <w:webHidden/>
              </w:rPr>
            </w:r>
            <w:r w:rsidR="00844123">
              <w:rPr>
                <w:webHidden/>
              </w:rPr>
              <w:fldChar w:fldCharType="separate"/>
            </w:r>
            <w:r w:rsidR="00C5420E">
              <w:rPr>
                <w:webHidden/>
              </w:rPr>
              <w:t>20</w:t>
            </w:r>
            <w:r w:rsidR="00844123">
              <w:rPr>
                <w:webHidden/>
              </w:rPr>
              <w:fldChar w:fldCharType="end"/>
            </w:r>
          </w:hyperlink>
        </w:p>
        <w:p w14:paraId="7FE658FC" w14:textId="77777777" w:rsidR="00844123" w:rsidRDefault="009A0425" w:rsidP="009A0425">
          <w:pPr>
            <w:pStyle w:val="TDC2"/>
            <w:spacing w:before="0"/>
            <w:rPr>
              <w:rFonts w:eastAsiaTheme="minorEastAsia" w:cstheme="minorBidi"/>
              <w:sz w:val="22"/>
              <w:szCs w:val="22"/>
              <w:lang w:eastAsia="es-AR"/>
            </w:rPr>
          </w:pPr>
          <w:hyperlink w:anchor="_Toc126310234" w:history="1">
            <w:r w:rsidR="00844123" w:rsidRPr="00654BCB">
              <w:rPr>
                <w:rStyle w:val="Hipervnculo"/>
                <w:rFonts w:cstheme="minorHAnsi"/>
                <w:b/>
              </w:rPr>
              <w:t>Article 25: Right to heath</w:t>
            </w:r>
            <w:r w:rsidR="00844123">
              <w:rPr>
                <w:webHidden/>
              </w:rPr>
              <w:tab/>
            </w:r>
            <w:r w:rsidR="00844123">
              <w:rPr>
                <w:webHidden/>
              </w:rPr>
              <w:fldChar w:fldCharType="begin"/>
            </w:r>
            <w:r w:rsidR="00844123">
              <w:rPr>
                <w:webHidden/>
              </w:rPr>
              <w:instrText xml:space="preserve"> PAGEREF _Toc126310234 \h </w:instrText>
            </w:r>
            <w:r w:rsidR="00844123">
              <w:rPr>
                <w:webHidden/>
              </w:rPr>
            </w:r>
            <w:r w:rsidR="00844123">
              <w:rPr>
                <w:webHidden/>
              </w:rPr>
              <w:fldChar w:fldCharType="separate"/>
            </w:r>
            <w:r w:rsidR="00C5420E">
              <w:rPr>
                <w:webHidden/>
              </w:rPr>
              <w:t>21</w:t>
            </w:r>
            <w:r w:rsidR="00844123">
              <w:rPr>
                <w:webHidden/>
              </w:rPr>
              <w:fldChar w:fldCharType="end"/>
            </w:r>
          </w:hyperlink>
        </w:p>
        <w:p w14:paraId="42F0B814" w14:textId="77777777" w:rsidR="00844123" w:rsidRDefault="009A0425" w:rsidP="009A0425">
          <w:pPr>
            <w:pStyle w:val="TDC2"/>
            <w:spacing w:before="0"/>
            <w:rPr>
              <w:rFonts w:eastAsiaTheme="minorEastAsia" w:cstheme="minorBidi"/>
              <w:sz w:val="22"/>
              <w:szCs w:val="22"/>
              <w:lang w:eastAsia="es-AR"/>
            </w:rPr>
          </w:pPr>
          <w:hyperlink w:anchor="_Toc126310235" w:history="1">
            <w:r w:rsidR="00844123" w:rsidRPr="00654BCB">
              <w:rPr>
                <w:rStyle w:val="Hipervnculo"/>
                <w:rFonts w:cstheme="minorHAnsi"/>
                <w:b/>
              </w:rPr>
              <w:t>Article 27: Work and employment</w:t>
            </w:r>
            <w:r w:rsidR="00844123">
              <w:rPr>
                <w:webHidden/>
              </w:rPr>
              <w:tab/>
            </w:r>
            <w:r w:rsidR="00844123">
              <w:rPr>
                <w:webHidden/>
              </w:rPr>
              <w:fldChar w:fldCharType="begin"/>
            </w:r>
            <w:r w:rsidR="00844123">
              <w:rPr>
                <w:webHidden/>
              </w:rPr>
              <w:instrText xml:space="preserve"> PAGEREF _Toc126310235 \h </w:instrText>
            </w:r>
            <w:r w:rsidR="00844123">
              <w:rPr>
                <w:webHidden/>
              </w:rPr>
            </w:r>
            <w:r w:rsidR="00844123">
              <w:rPr>
                <w:webHidden/>
              </w:rPr>
              <w:fldChar w:fldCharType="separate"/>
            </w:r>
            <w:r w:rsidR="00C5420E">
              <w:rPr>
                <w:webHidden/>
              </w:rPr>
              <w:t>23</w:t>
            </w:r>
            <w:r w:rsidR="00844123">
              <w:rPr>
                <w:webHidden/>
              </w:rPr>
              <w:fldChar w:fldCharType="end"/>
            </w:r>
          </w:hyperlink>
        </w:p>
        <w:p w14:paraId="27D2ACC3" w14:textId="77777777" w:rsidR="00844123" w:rsidRDefault="009A0425" w:rsidP="009A0425">
          <w:pPr>
            <w:pStyle w:val="TDC2"/>
            <w:spacing w:before="0"/>
            <w:rPr>
              <w:rFonts w:eastAsiaTheme="minorEastAsia" w:cstheme="minorBidi"/>
              <w:sz w:val="22"/>
              <w:szCs w:val="22"/>
              <w:lang w:eastAsia="es-AR"/>
            </w:rPr>
          </w:pPr>
          <w:hyperlink w:anchor="_Toc126310236" w:history="1">
            <w:r w:rsidR="00844123" w:rsidRPr="00654BCB">
              <w:rPr>
                <w:rStyle w:val="Hipervnculo"/>
                <w:rFonts w:cstheme="minorHAnsi"/>
                <w:b/>
              </w:rPr>
              <w:t>Article 28: Appropriate standard of living and social protection</w:t>
            </w:r>
            <w:r w:rsidR="00844123">
              <w:rPr>
                <w:webHidden/>
              </w:rPr>
              <w:tab/>
            </w:r>
            <w:r w:rsidR="00844123">
              <w:rPr>
                <w:webHidden/>
              </w:rPr>
              <w:fldChar w:fldCharType="begin"/>
            </w:r>
            <w:r w:rsidR="00844123">
              <w:rPr>
                <w:webHidden/>
              </w:rPr>
              <w:instrText xml:space="preserve"> PAGEREF _Toc126310236 \h </w:instrText>
            </w:r>
            <w:r w:rsidR="00844123">
              <w:rPr>
                <w:webHidden/>
              </w:rPr>
            </w:r>
            <w:r w:rsidR="00844123">
              <w:rPr>
                <w:webHidden/>
              </w:rPr>
              <w:fldChar w:fldCharType="separate"/>
            </w:r>
            <w:r w:rsidR="00C5420E">
              <w:rPr>
                <w:webHidden/>
              </w:rPr>
              <w:t>24</w:t>
            </w:r>
            <w:r w:rsidR="00844123">
              <w:rPr>
                <w:webHidden/>
              </w:rPr>
              <w:fldChar w:fldCharType="end"/>
            </w:r>
          </w:hyperlink>
        </w:p>
        <w:p w14:paraId="583A71FB" w14:textId="77777777" w:rsidR="00844123" w:rsidRDefault="009A0425" w:rsidP="009A0425">
          <w:pPr>
            <w:pStyle w:val="TDC2"/>
            <w:spacing w:before="0"/>
            <w:rPr>
              <w:rFonts w:eastAsiaTheme="minorEastAsia" w:cstheme="minorBidi"/>
              <w:sz w:val="22"/>
              <w:szCs w:val="22"/>
              <w:lang w:eastAsia="es-AR"/>
            </w:rPr>
          </w:pPr>
          <w:hyperlink w:anchor="_Toc126310237" w:history="1">
            <w:r w:rsidR="00844123" w:rsidRPr="00654BCB">
              <w:rPr>
                <w:rStyle w:val="Hipervnculo"/>
                <w:rFonts w:cstheme="minorHAnsi"/>
                <w:b/>
              </w:rPr>
              <w:t>Article 29: Participation in political and political life</w:t>
            </w:r>
            <w:r w:rsidR="00844123">
              <w:rPr>
                <w:webHidden/>
              </w:rPr>
              <w:tab/>
            </w:r>
            <w:r w:rsidR="00844123">
              <w:rPr>
                <w:webHidden/>
              </w:rPr>
              <w:fldChar w:fldCharType="begin"/>
            </w:r>
            <w:r w:rsidR="00844123">
              <w:rPr>
                <w:webHidden/>
              </w:rPr>
              <w:instrText xml:space="preserve"> PAGEREF _Toc126310237 \h </w:instrText>
            </w:r>
            <w:r w:rsidR="00844123">
              <w:rPr>
                <w:webHidden/>
              </w:rPr>
            </w:r>
            <w:r w:rsidR="00844123">
              <w:rPr>
                <w:webHidden/>
              </w:rPr>
              <w:fldChar w:fldCharType="separate"/>
            </w:r>
            <w:r w:rsidR="00C5420E">
              <w:rPr>
                <w:webHidden/>
              </w:rPr>
              <w:t>26</w:t>
            </w:r>
            <w:r w:rsidR="00844123">
              <w:rPr>
                <w:webHidden/>
              </w:rPr>
              <w:fldChar w:fldCharType="end"/>
            </w:r>
          </w:hyperlink>
        </w:p>
        <w:p w14:paraId="55338C6A" w14:textId="77777777" w:rsidR="00844123" w:rsidRDefault="009A0425" w:rsidP="009A0425">
          <w:pPr>
            <w:pStyle w:val="TDC2"/>
            <w:spacing w:before="0"/>
            <w:rPr>
              <w:rFonts w:eastAsiaTheme="minorEastAsia" w:cstheme="minorBidi"/>
              <w:sz w:val="22"/>
              <w:szCs w:val="22"/>
              <w:lang w:eastAsia="es-AR"/>
            </w:rPr>
          </w:pPr>
          <w:hyperlink w:anchor="_Toc126310238" w:history="1">
            <w:r w:rsidR="00844123" w:rsidRPr="00654BCB">
              <w:rPr>
                <w:rStyle w:val="Hipervnculo"/>
                <w:rFonts w:cstheme="minorHAnsi"/>
                <w:b/>
              </w:rPr>
              <w:t>Article 30: Participation in cultural life, recreational activities, entertainment and sport</w:t>
            </w:r>
            <w:r w:rsidR="00844123">
              <w:rPr>
                <w:webHidden/>
              </w:rPr>
              <w:tab/>
            </w:r>
            <w:r w:rsidR="00844123">
              <w:rPr>
                <w:webHidden/>
              </w:rPr>
              <w:fldChar w:fldCharType="begin"/>
            </w:r>
            <w:r w:rsidR="00844123">
              <w:rPr>
                <w:webHidden/>
              </w:rPr>
              <w:instrText xml:space="preserve"> PAGEREF _Toc126310238 \h </w:instrText>
            </w:r>
            <w:r w:rsidR="00844123">
              <w:rPr>
                <w:webHidden/>
              </w:rPr>
            </w:r>
            <w:r w:rsidR="00844123">
              <w:rPr>
                <w:webHidden/>
              </w:rPr>
              <w:fldChar w:fldCharType="separate"/>
            </w:r>
            <w:r w:rsidR="00C5420E">
              <w:rPr>
                <w:webHidden/>
              </w:rPr>
              <w:t>26</w:t>
            </w:r>
            <w:r w:rsidR="00844123">
              <w:rPr>
                <w:webHidden/>
              </w:rPr>
              <w:fldChar w:fldCharType="end"/>
            </w:r>
          </w:hyperlink>
        </w:p>
        <w:p w14:paraId="359E9D5E" w14:textId="77777777" w:rsidR="00844123" w:rsidRDefault="009A0425" w:rsidP="009A0425">
          <w:pPr>
            <w:pStyle w:val="TDC2"/>
            <w:spacing w:before="0"/>
            <w:rPr>
              <w:rFonts w:eastAsiaTheme="minorEastAsia" w:cstheme="minorBidi"/>
              <w:sz w:val="22"/>
              <w:szCs w:val="22"/>
              <w:lang w:eastAsia="es-AR"/>
            </w:rPr>
          </w:pPr>
          <w:hyperlink w:anchor="_Toc126310239" w:history="1">
            <w:r w:rsidR="00844123" w:rsidRPr="00654BCB">
              <w:rPr>
                <w:rStyle w:val="Hipervnculo"/>
                <w:rFonts w:cstheme="minorHAnsi"/>
                <w:b/>
              </w:rPr>
              <w:t>Article 31: Data and statistics collection</w:t>
            </w:r>
            <w:r w:rsidR="00844123">
              <w:rPr>
                <w:webHidden/>
              </w:rPr>
              <w:tab/>
            </w:r>
            <w:r w:rsidR="00844123">
              <w:rPr>
                <w:webHidden/>
              </w:rPr>
              <w:fldChar w:fldCharType="begin"/>
            </w:r>
            <w:r w:rsidR="00844123">
              <w:rPr>
                <w:webHidden/>
              </w:rPr>
              <w:instrText xml:space="preserve"> PAGEREF _Toc126310239 \h </w:instrText>
            </w:r>
            <w:r w:rsidR="00844123">
              <w:rPr>
                <w:webHidden/>
              </w:rPr>
            </w:r>
            <w:r w:rsidR="00844123">
              <w:rPr>
                <w:webHidden/>
              </w:rPr>
              <w:fldChar w:fldCharType="separate"/>
            </w:r>
            <w:r w:rsidR="00C5420E">
              <w:rPr>
                <w:webHidden/>
              </w:rPr>
              <w:t>27</w:t>
            </w:r>
            <w:r w:rsidR="00844123">
              <w:rPr>
                <w:webHidden/>
              </w:rPr>
              <w:fldChar w:fldCharType="end"/>
            </w:r>
          </w:hyperlink>
        </w:p>
        <w:p w14:paraId="2107F757" w14:textId="77777777" w:rsidR="00844123" w:rsidRDefault="009A0425" w:rsidP="009A0425">
          <w:pPr>
            <w:pStyle w:val="TDC2"/>
            <w:spacing w:before="0"/>
            <w:rPr>
              <w:rFonts w:eastAsiaTheme="minorEastAsia" w:cstheme="minorBidi"/>
              <w:sz w:val="22"/>
              <w:szCs w:val="22"/>
              <w:lang w:eastAsia="es-AR"/>
            </w:rPr>
          </w:pPr>
          <w:hyperlink w:anchor="_Toc126310240" w:history="1">
            <w:r w:rsidR="00844123" w:rsidRPr="00654BCB">
              <w:rPr>
                <w:rStyle w:val="Hipervnculo"/>
                <w:rFonts w:cstheme="minorHAnsi"/>
                <w:b/>
              </w:rPr>
              <w:t>Article 33: Application and National monitoring</w:t>
            </w:r>
            <w:r w:rsidR="00844123">
              <w:rPr>
                <w:webHidden/>
              </w:rPr>
              <w:tab/>
            </w:r>
            <w:r w:rsidR="00844123">
              <w:rPr>
                <w:webHidden/>
              </w:rPr>
              <w:fldChar w:fldCharType="begin"/>
            </w:r>
            <w:r w:rsidR="00844123">
              <w:rPr>
                <w:webHidden/>
              </w:rPr>
              <w:instrText xml:space="preserve"> PAGEREF _Toc126310240 \h </w:instrText>
            </w:r>
            <w:r w:rsidR="00844123">
              <w:rPr>
                <w:webHidden/>
              </w:rPr>
            </w:r>
            <w:r w:rsidR="00844123">
              <w:rPr>
                <w:webHidden/>
              </w:rPr>
              <w:fldChar w:fldCharType="separate"/>
            </w:r>
            <w:r w:rsidR="00C5420E">
              <w:rPr>
                <w:webHidden/>
              </w:rPr>
              <w:t>28</w:t>
            </w:r>
            <w:r w:rsidR="00844123">
              <w:rPr>
                <w:webHidden/>
              </w:rPr>
              <w:fldChar w:fldCharType="end"/>
            </w:r>
          </w:hyperlink>
        </w:p>
        <w:p w14:paraId="3090A9D1" w14:textId="77777777" w:rsidR="00D915D8" w:rsidRPr="00D3502E" w:rsidRDefault="00075BB7" w:rsidP="009A0425">
          <w:pPr>
            <w:spacing w:before="0" w:after="0" w:line="240" w:lineRule="auto"/>
            <w:ind w:firstLine="0"/>
            <w:rPr>
              <w:rFonts w:cstheme="minorHAnsi"/>
            </w:rPr>
          </w:pPr>
          <w:r w:rsidRPr="00D3502E">
            <w:rPr>
              <w:rFonts w:cstheme="minorHAnsi"/>
            </w:rPr>
            <w:fldChar w:fldCharType="end"/>
          </w:r>
        </w:p>
      </w:sdtContent>
    </w:sdt>
    <w:p w14:paraId="2A8F06AC" w14:textId="4BFFC448" w:rsidR="00122EB8" w:rsidRDefault="00122EB8">
      <w:pPr>
        <w:spacing w:before="0" w:after="160" w:line="259" w:lineRule="auto"/>
        <w:ind w:firstLine="0"/>
        <w:jc w:val="left"/>
        <w:rPr>
          <w:rFonts w:asciiTheme="majorHAnsi" w:eastAsiaTheme="majorEastAsia" w:hAnsiTheme="majorHAnsi" w:cstheme="majorBidi"/>
          <w:b/>
          <w:sz w:val="24"/>
          <w:szCs w:val="24"/>
          <w:u w:val="single"/>
        </w:rPr>
      </w:pPr>
      <w:r>
        <w:rPr>
          <w:b/>
          <w:sz w:val="24"/>
          <w:szCs w:val="24"/>
          <w:u w:val="single"/>
        </w:rPr>
        <w:br w:type="page"/>
      </w:r>
    </w:p>
    <w:p w14:paraId="2E19E928" w14:textId="77777777" w:rsidR="00122EB8" w:rsidRPr="00122EB8" w:rsidRDefault="00122EB8" w:rsidP="00122EB8">
      <w:pPr>
        <w:pStyle w:val="Ttulo1"/>
        <w:ind w:left="720" w:firstLine="0"/>
        <w:jc w:val="left"/>
        <w:rPr>
          <w:b/>
          <w:color w:val="auto"/>
          <w:sz w:val="24"/>
          <w:szCs w:val="24"/>
          <w:u w:val="single"/>
        </w:rPr>
      </w:pPr>
    </w:p>
    <w:p w14:paraId="20FD5045" w14:textId="202EE530" w:rsidR="0030442E" w:rsidRPr="00D3502E" w:rsidRDefault="0030442E" w:rsidP="00D3502E">
      <w:pPr>
        <w:pStyle w:val="Ttulo1"/>
        <w:numPr>
          <w:ilvl w:val="0"/>
          <w:numId w:val="32"/>
        </w:numPr>
        <w:jc w:val="left"/>
        <w:rPr>
          <w:b/>
          <w:color w:val="auto"/>
          <w:sz w:val="24"/>
          <w:szCs w:val="24"/>
          <w:u w:val="single"/>
        </w:rPr>
      </w:pPr>
      <w:bookmarkStart w:id="1" w:name="_Toc126310217"/>
      <w:r w:rsidRPr="00D3502E">
        <w:rPr>
          <w:b/>
          <w:color w:val="auto"/>
          <w:sz w:val="28"/>
          <w:szCs w:val="28"/>
          <w:u w:val="single"/>
        </w:rPr>
        <w:t>EXECUTIVE</w:t>
      </w:r>
      <w:r w:rsidRPr="00D3502E">
        <w:rPr>
          <w:b/>
          <w:color w:val="auto"/>
          <w:sz w:val="24"/>
          <w:szCs w:val="24"/>
          <w:u w:val="single"/>
        </w:rPr>
        <w:t xml:space="preserve"> </w:t>
      </w:r>
      <w:r w:rsidRPr="00D3502E">
        <w:rPr>
          <w:b/>
          <w:color w:val="auto"/>
          <w:sz w:val="28"/>
          <w:szCs w:val="28"/>
          <w:u w:val="single"/>
        </w:rPr>
        <w:t>SUMMARY</w:t>
      </w:r>
      <w:bookmarkEnd w:id="1"/>
    </w:p>
    <w:p w14:paraId="388A95A1" w14:textId="77777777" w:rsidR="00EE497D" w:rsidRPr="002E2ECA" w:rsidRDefault="0030442E" w:rsidP="002E2ECA">
      <w:r w:rsidRPr="00D3502E">
        <w:t xml:space="preserve">A group of organizations of the Argentinean </w:t>
      </w:r>
      <w:r w:rsidRPr="002E2ECA">
        <w:t>civil society and national universities have made this report in order to put into consideration of the Committee updated information on the situation of persons with disabilities, (from now o</w:t>
      </w:r>
      <w:r w:rsidR="00EE497D" w:rsidRPr="002E2ECA">
        <w:t>n PWD) in the period 2018/2022.</w:t>
      </w:r>
    </w:p>
    <w:p w14:paraId="7001C25A" w14:textId="77777777" w:rsidR="00EE497D" w:rsidRPr="002E2ECA" w:rsidRDefault="0030442E" w:rsidP="002E2ECA">
      <w:r w:rsidRPr="002E2ECA">
        <w:t>According to Human Rights obligations taken on by the State and displayed by the Convention on the Rights of Persons with Disabilities, (from now on CRDP), we can say that there has been certain progress. Nevertheless, we have noticed the persistence of some barriers, breach in the matter of rights of the PWD, as well as the persistent discrimination an</w:t>
      </w:r>
      <w:r w:rsidR="00EE497D" w:rsidRPr="002E2ECA">
        <w:t>d exclusion in their detriment.</w:t>
      </w:r>
    </w:p>
    <w:p w14:paraId="17F58F12" w14:textId="77777777" w:rsidR="00EE497D" w:rsidRPr="002E2ECA" w:rsidRDefault="0030442E" w:rsidP="002E2ECA">
      <w:r w:rsidRPr="002E2ECA">
        <w:t>The report gets back the experiences of the PWD in an attempt to represent facts throughout the country, taking into account geographical gaps that deepen inequality and discrimination.</w:t>
      </w:r>
    </w:p>
    <w:p w14:paraId="1AD912A3" w14:textId="427E6767" w:rsidR="0030442E" w:rsidRPr="002E2ECA" w:rsidRDefault="0030442E" w:rsidP="002E2ECA">
      <w:r w:rsidRPr="002E2ECA">
        <w:t>We would like to stand out the collective and participatory work of the organizations, universities and civil organizations involved, which on the work on the legal, territorial, educational and interdisciplinary fields keep up the defense of the rights of the PWD and promote the construction of an inclusive and egalitarian society. We would also like to thank the International Disability Alliance (IDA), which with its support and transmission of experience has made the formulation of this report easier and has contributed for several years to strengthen the civil society in our country.</w:t>
      </w:r>
    </w:p>
    <w:p w14:paraId="04185F36" w14:textId="77777777" w:rsidR="00D430C7" w:rsidRPr="0030442E" w:rsidRDefault="00D430C7" w:rsidP="002E2ECA"/>
    <w:p w14:paraId="1EC56D05" w14:textId="77777777" w:rsidR="00454D5A" w:rsidRPr="0030442E" w:rsidRDefault="00454D5A" w:rsidP="002E2ECA">
      <w:r w:rsidRPr="0030442E">
        <w:br w:type="page"/>
      </w:r>
    </w:p>
    <w:p w14:paraId="6C89E78D" w14:textId="64E7BB09" w:rsidR="007162F8" w:rsidRPr="006941D1" w:rsidRDefault="007162F8" w:rsidP="00D3502E">
      <w:pPr>
        <w:pStyle w:val="Ttulo1"/>
        <w:numPr>
          <w:ilvl w:val="0"/>
          <w:numId w:val="32"/>
        </w:numPr>
        <w:jc w:val="left"/>
        <w:rPr>
          <w:rFonts w:asciiTheme="minorHAnsi" w:eastAsia="Times New Roman" w:hAnsiTheme="minorHAnsi" w:cstheme="minorHAnsi"/>
          <w:b/>
          <w:bCs/>
          <w:color w:val="auto"/>
          <w:sz w:val="28"/>
          <w:szCs w:val="28"/>
          <w:u w:val="single"/>
        </w:rPr>
      </w:pPr>
      <w:bookmarkStart w:id="2" w:name="_Toc126310218"/>
      <w:r w:rsidRPr="006941D1">
        <w:rPr>
          <w:b/>
          <w:color w:val="auto"/>
          <w:sz w:val="28"/>
          <w:szCs w:val="28"/>
          <w:u w:val="single"/>
        </w:rPr>
        <w:lastRenderedPageBreak/>
        <w:t>SITUATION OF THE RIGHTS OF PWD ACCORDING TO THE ARTICLES OF THE CONVENTION</w:t>
      </w:r>
      <w:bookmarkEnd w:id="2"/>
    </w:p>
    <w:p w14:paraId="09DFDF65" w14:textId="77777777" w:rsidR="007162F8" w:rsidRPr="007162F8" w:rsidRDefault="007162F8" w:rsidP="002E2ECA"/>
    <w:tbl>
      <w:tblPr>
        <w:tblStyle w:val="Tablaconcuadrcula"/>
        <w:tblW w:w="0" w:type="auto"/>
        <w:tblLook w:val="04A0" w:firstRow="1" w:lastRow="0" w:firstColumn="1" w:lastColumn="0" w:noHBand="0" w:noVBand="1"/>
      </w:tblPr>
      <w:tblGrid>
        <w:gridCol w:w="9736"/>
      </w:tblGrid>
      <w:tr w:rsidR="00C37C64" w14:paraId="321E3603" w14:textId="77777777" w:rsidTr="00C37C64">
        <w:tc>
          <w:tcPr>
            <w:tcW w:w="9736" w:type="dxa"/>
            <w:shd w:val="clear" w:color="auto" w:fill="D5DCE4" w:themeFill="text2" w:themeFillTint="33"/>
          </w:tcPr>
          <w:p w14:paraId="08369C7E" w14:textId="51989757" w:rsidR="00C37C64" w:rsidRPr="00D16D1D" w:rsidRDefault="00065BA6" w:rsidP="00065BA6">
            <w:pPr>
              <w:pStyle w:val="Ttulo2"/>
              <w:outlineLvl w:val="1"/>
              <w:rPr>
                <w:rFonts w:asciiTheme="minorHAnsi" w:eastAsia="Times New Roman" w:hAnsiTheme="minorHAnsi" w:cstheme="minorHAnsi"/>
                <w:b/>
                <w:bCs/>
                <w:color w:val="auto"/>
                <w:sz w:val="24"/>
                <w:szCs w:val="24"/>
                <w:lang w:val="es-AR"/>
              </w:rPr>
            </w:pPr>
            <w:bookmarkStart w:id="3" w:name="_Toc126310219"/>
            <w:r>
              <w:rPr>
                <w:rFonts w:asciiTheme="minorHAnsi" w:hAnsiTheme="minorHAnsi" w:cstheme="minorHAnsi"/>
                <w:b/>
                <w:color w:val="auto"/>
                <w:sz w:val="24"/>
                <w:szCs w:val="24"/>
              </w:rPr>
              <w:t>Article</w:t>
            </w:r>
            <w:r w:rsidR="007162F8" w:rsidRPr="00D16D1D">
              <w:rPr>
                <w:rFonts w:asciiTheme="minorHAnsi" w:hAnsiTheme="minorHAnsi" w:cstheme="minorHAnsi"/>
                <w:b/>
                <w:color w:val="auto"/>
                <w:sz w:val="24"/>
                <w:szCs w:val="24"/>
              </w:rPr>
              <w:t xml:space="preserve"> 4: </w:t>
            </w:r>
            <w:r>
              <w:rPr>
                <w:rFonts w:asciiTheme="minorHAnsi" w:hAnsiTheme="minorHAnsi" w:cstheme="minorHAnsi"/>
                <w:b/>
                <w:color w:val="auto"/>
                <w:sz w:val="24"/>
                <w:szCs w:val="24"/>
              </w:rPr>
              <w:t>General</w:t>
            </w:r>
            <w:r w:rsidR="007162F8" w:rsidRPr="00D16D1D">
              <w:rPr>
                <w:rFonts w:asciiTheme="minorHAnsi" w:hAnsiTheme="minorHAnsi" w:cstheme="minorHAnsi"/>
                <w:b/>
                <w:color w:val="auto"/>
                <w:sz w:val="24"/>
                <w:szCs w:val="24"/>
              </w:rPr>
              <w:t xml:space="preserve"> </w:t>
            </w:r>
            <w:r>
              <w:rPr>
                <w:rFonts w:asciiTheme="minorHAnsi" w:hAnsiTheme="minorHAnsi" w:cstheme="minorHAnsi"/>
                <w:b/>
                <w:color w:val="auto"/>
                <w:sz w:val="24"/>
                <w:szCs w:val="24"/>
              </w:rPr>
              <w:t>obligations</w:t>
            </w:r>
            <w:bookmarkEnd w:id="3"/>
          </w:p>
        </w:tc>
      </w:tr>
    </w:tbl>
    <w:p w14:paraId="672ED8AE" w14:textId="77777777" w:rsidR="007162F8" w:rsidRDefault="007162F8" w:rsidP="002E2ECA">
      <w:pPr>
        <w:pStyle w:val="Prrafodelista"/>
      </w:pPr>
    </w:p>
    <w:p w14:paraId="1384B18F" w14:textId="77777777" w:rsidR="00EE497D" w:rsidRPr="002E2ECA" w:rsidRDefault="007162F8" w:rsidP="002E2ECA">
      <w:r w:rsidRPr="002E2ECA">
        <w:t>The milestones when getting the CUD (Unique Certificate of Disability) still remain, standing out the few amounts of Evaluation Boards, the lack of capacity and criteria in the request of evidential examinations of disability and the rejection in their granting due to the lack of knowledge of the social model.</w:t>
      </w:r>
    </w:p>
    <w:p w14:paraId="306BFA89" w14:textId="7321FC2A" w:rsidR="00EE497D" w:rsidRPr="00EE497D" w:rsidRDefault="007162F8" w:rsidP="002E2ECA">
      <w:r w:rsidRPr="00EE497D">
        <w:t>Recently, a draft bill that allows the issue of a certificate with no expiring date has been debated</w:t>
      </w:r>
      <w:r w:rsidRPr="00EE497D">
        <w:rPr>
          <w:rStyle w:val="Refdenotaalpie"/>
          <w:rFonts w:eastAsia="Times New Roman" w:cstheme="minorHAnsi"/>
          <w:bCs/>
        </w:rPr>
        <w:t xml:space="preserve"> </w:t>
      </w:r>
      <w:r w:rsidR="00E413A2" w:rsidRPr="00EE497D">
        <w:rPr>
          <w:rStyle w:val="Refdenotaalpie"/>
          <w:rFonts w:eastAsia="Times New Roman" w:cstheme="minorHAnsi"/>
          <w:bCs/>
          <w:lang w:val="es-AR"/>
        </w:rPr>
        <w:footnoteReference w:id="1"/>
      </w:r>
      <w:r w:rsidR="00E413A2" w:rsidRPr="00EE497D">
        <w:rPr>
          <w:rFonts w:eastAsia="Times New Roman" w:cstheme="minorHAnsi"/>
          <w:bCs/>
        </w:rPr>
        <w:t xml:space="preserve">. </w:t>
      </w:r>
      <w:r w:rsidRPr="00EE497D">
        <w:t xml:space="preserve">The project is contradictory as it accepts disability as a dynamic concept, but it would allow it to be granted permanently, contradicting what is mentioned in the </w:t>
      </w:r>
      <w:r w:rsidR="00AA38E4">
        <w:t>Country report</w:t>
      </w:r>
      <w:r w:rsidR="00AB78F6" w:rsidRPr="00EE497D">
        <w:rPr>
          <w:rStyle w:val="Refdenotaalpie"/>
          <w:rFonts w:eastAsia="Times New Roman" w:cstheme="minorHAnsi"/>
          <w:bCs/>
          <w:lang w:val="es-AR"/>
        </w:rPr>
        <w:footnoteReference w:id="2"/>
      </w:r>
      <w:r w:rsidR="00AB78F6" w:rsidRPr="00EE497D">
        <w:rPr>
          <w:rFonts w:eastAsia="Times New Roman" w:cstheme="minorHAnsi"/>
          <w:bCs/>
        </w:rPr>
        <w:t>.</w:t>
      </w:r>
      <w:r w:rsidR="00E413A2" w:rsidRPr="00EE497D">
        <w:rPr>
          <w:rFonts w:eastAsia="Times New Roman" w:cstheme="minorHAnsi"/>
          <w:bCs/>
        </w:rPr>
        <w:t xml:space="preserve"> </w:t>
      </w:r>
      <w:r w:rsidRPr="00EE497D">
        <w:t>A permanent CUD would be out of date if the person acquired another disability, which would turn into the inability to have access to other benefits related to the new disability.  The draft bill does not solve the fear that in the future the request of a new updating might be hindered. Likewise, as the updating of the CUD is actually the only mechanism that the State has of gathering information on the social situation of the PWD, the passing of this law would damage public statistics</w:t>
      </w:r>
      <w:r w:rsidR="000859B1" w:rsidRPr="00EE497D">
        <w:rPr>
          <w:rFonts w:eastAsia="Times New Roman" w:cstheme="minorHAnsi"/>
          <w:bCs/>
        </w:rPr>
        <w:t>.</w:t>
      </w:r>
      <w:r w:rsidR="000C0D42" w:rsidRPr="00EE497D">
        <w:rPr>
          <w:rStyle w:val="Refdenotaalpie"/>
          <w:rFonts w:eastAsia="Times New Roman" w:cstheme="minorHAnsi"/>
          <w:bCs/>
          <w:lang w:val="es-AR"/>
        </w:rPr>
        <w:footnoteReference w:id="3"/>
      </w:r>
      <w:r w:rsidR="005C1B3D" w:rsidRPr="00EE497D">
        <w:rPr>
          <w:rFonts w:eastAsia="Times New Roman" w:cstheme="minorHAnsi"/>
          <w:bCs/>
        </w:rPr>
        <w:t xml:space="preserve">. </w:t>
      </w:r>
    </w:p>
    <w:p w14:paraId="4C91469B" w14:textId="722EC7BD" w:rsidR="00EE497D" w:rsidRPr="00EE497D" w:rsidRDefault="007162F8" w:rsidP="002E2ECA">
      <w:r w:rsidRPr="00EE497D">
        <w:t xml:space="preserve">As regards the right of participation of PWD,   there are several formal mechanisms of participation and enquiry in the </w:t>
      </w:r>
      <w:r w:rsidRPr="00F963EB">
        <w:t>different levels of the State (National, Provincial and in many cases, local).  At a natio</w:t>
      </w:r>
      <w:r w:rsidR="00B84B8B" w:rsidRPr="00F963EB">
        <w:t xml:space="preserve">nal level, we want to point </w:t>
      </w:r>
      <w:r w:rsidR="00B84B8B" w:rsidRPr="00F963EB">
        <w:rPr>
          <w:rFonts w:cstheme="minorHAnsi"/>
        </w:rPr>
        <w:t>ANDIS Advisor Committee</w:t>
      </w:r>
      <w:r w:rsidR="00E413A2" w:rsidRPr="00F963EB">
        <w:rPr>
          <w:rFonts w:cstheme="minorHAnsi"/>
          <w:vertAlign w:val="superscript"/>
          <w:lang w:val="es-AR"/>
        </w:rPr>
        <w:footnoteReference w:id="4"/>
      </w:r>
      <w:r w:rsidR="00E413A2" w:rsidRPr="00F963EB">
        <w:rPr>
          <w:rFonts w:cstheme="minorHAnsi"/>
        </w:rPr>
        <w:t xml:space="preserve">, </w:t>
      </w:r>
      <w:r w:rsidRPr="00F963EB">
        <w:rPr>
          <w:rFonts w:cstheme="minorHAnsi"/>
        </w:rPr>
        <w:t>the</w:t>
      </w:r>
      <w:r w:rsidR="00E413A2" w:rsidRPr="00F963EB">
        <w:rPr>
          <w:rFonts w:cstheme="minorHAnsi"/>
        </w:rPr>
        <w:t xml:space="preserve"> </w:t>
      </w:r>
      <w:r w:rsidR="00B84B8B" w:rsidRPr="00F963EB">
        <w:rPr>
          <w:rFonts w:cstheme="minorHAnsi"/>
        </w:rPr>
        <w:t>Benefits System Directory</w:t>
      </w:r>
      <w:r w:rsidR="00E413A2" w:rsidRPr="00F963EB">
        <w:rPr>
          <w:rFonts w:cstheme="minorHAnsi"/>
          <w:vertAlign w:val="superscript"/>
          <w:lang w:val="es-AR"/>
        </w:rPr>
        <w:footnoteReference w:id="5"/>
      </w:r>
      <w:r w:rsidR="00AC49B1" w:rsidRPr="00F963EB">
        <w:rPr>
          <w:rFonts w:cstheme="minorHAnsi"/>
        </w:rPr>
        <w:t xml:space="preserve"> </w:t>
      </w:r>
      <w:r w:rsidR="00F963EB">
        <w:rPr>
          <w:rFonts w:cstheme="minorHAnsi"/>
        </w:rPr>
        <w:t>and the</w:t>
      </w:r>
      <w:r w:rsidRPr="00F963EB">
        <w:rPr>
          <w:rFonts w:cstheme="minorHAnsi"/>
        </w:rPr>
        <w:t xml:space="preserve"> participation of organizations in the</w:t>
      </w:r>
      <w:r w:rsidR="00E413A2" w:rsidRPr="00F963EB">
        <w:rPr>
          <w:rFonts w:cstheme="minorHAnsi"/>
        </w:rPr>
        <w:t xml:space="preserve"> </w:t>
      </w:r>
      <w:r w:rsidR="00B84B8B" w:rsidRPr="00F963EB">
        <w:rPr>
          <w:rFonts w:cstheme="minorHAnsi"/>
        </w:rPr>
        <w:t>Federal Council of Disability</w:t>
      </w:r>
      <w:r w:rsidR="00E413A2" w:rsidRPr="00F963EB">
        <w:rPr>
          <w:rFonts w:cstheme="minorHAnsi"/>
          <w:vertAlign w:val="superscript"/>
          <w:lang w:val="es-AR"/>
        </w:rPr>
        <w:footnoteReference w:id="6"/>
      </w:r>
      <w:r w:rsidR="00B84B8B" w:rsidRPr="00F963EB">
        <w:rPr>
          <w:rFonts w:cstheme="minorHAnsi"/>
        </w:rPr>
        <w:t xml:space="preserve"> and the</w:t>
      </w:r>
      <w:r w:rsidR="00E413A2" w:rsidRPr="00F963EB">
        <w:rPr>
          <w:rFonts w:cstheme="minorHAnsi"/>
        </w:rPr>
        <w:t xml:space="preserve"> </w:t>
      </w:r>
      <w:r w:rsidR="00B84B8B" w:rsidRPr="00F963EB">
        <w:rPr>
          <w:rFonts w:cstheme="minorHAnsi"/>
        </w:rPr>
        <w:t>Disability Observatory</w:t>
      </w:r>
      <w:r w:rsidR="00E413A2" w:rsidRPr="00F963EB">
        <w:rPr>
          <w:rFonts w:cstheme="minorHAnsi"/>
          <w:vertAlign w:val="superscript"/>
          <w:lang w:val="es-AR"/>
        </w:rPr>
        <w:footnoteReference w:id="7"/>
      </w:r>
      <w:r w:rsidR="00E413A2" w:rsidRPr="00F963EB">
        <w:rPr>
          <w:rFonts w:cstheme="minorHAnsi"/>
        </w:rPr>
        <w:t>.</w:t>
      </w:r>
      <w:r w:rsidR="00C92FDE" w:rsidRPr="00F963EB">
        <w:rPr>
          <w:rFonts w:cstheme="minorHAnsi"/>
        </w:rPr>
        <w:t xml:space="preserve"> </w:t>
      </w:r>
      <w:r w:rsidRPr="00F963EB">
        <w:t>However, the people taking part in these bodies are usually</w:t>
      </w:r>
      <w:r w:rsidRPr="00EE497D">
        <w:t xml:space="preserve"> appointed without clear criteria as regards their application, election and rotation. What is more, their members in general are not PWD, so they are substituted in their right to political participation. That is the case of the Board of Benefits System, made up permanently and with no changes for many years by organizations “FOR” PWD. Since its beginnings, there have been no evaluation criteria of services based and the social model and there has been no participation of the PWD in the processes of authorization and evaluation in these services</w:t>
      </w:r>
      <w:r w:rsidR="00E413A2" w:rsidRPr="00EE497D">
        <w:rPr>
          <w:rFonts w:cstheme="minorHAnsi"/>
          <w:vertAlign w:val="superscript"/>
          <w:lang w:val="es-AR"/>
        </w:rPr>
        <w:footnoteReference w:id="8"/>
      </w:r>
      <w:r w:rsidR="00E413A2" w:rsidRPr="00EE497D">
        <w:rPr>
          <w:rFonts w:cstheme="minorHAnsi"/>
        </w:rPr>
        <w:t>.</w:t>
      </w:r>
    </w:p>
    <w:p w14:paraId="017317D8" w14:textId="7DC2F59F" w:rsidR="004967BD" w:rsidRPr="00EE497D" w:rsidRDefault="004967BD" w:rsidP="002E2ECA">
      <w:r w:rsidRPr="00EE497D">
        <w:t>With the creation of the Board of Articulation of Programs for PWD of the FONADIS</w:t>
      </w:r>
      <w:r w:rsidR="00DC23A6" w:rsidRPr="00EE497D">
        <w:rPr>
          <w:rStyle w:val="Refdenotaalpie"/>
          <w:rFonts w:cstheme="minorHAnsi"/>
          <w:lang w:val="es-AR"/>
        </w:rPr>
        <w:footnoteReference w:id="9"/>
      </w:r>
      <w:r w:rsidR="000534F4" w:rsidRPr="00EE497D">
        <w:rPr>
          <w:rFonts w:cstheme="minorHAnsi"/>
        </w:rPr>
        <w:t xml:space="preserve"> </w:t>
      </w:r>
      <w:r w:rsidRPr="00EE497D">
        <w:t xml:space="preserve">the number of representatives of OPD (organizations of </w:t>
      </w:r>
      <w:r w:rsidR="00F963EB">
        <w:t>PWD</w:t>
      </w:r>
      <w:r w:rsidRPr="00EE497D">
        <w:t xml:space="preserve">) has decreased. Also, it added an endogamy perspective by </w:t>
      </w:r>
      <w:r w:rsidRPr="00EE497D">
        <w:lastRenderedPageBreak/>
        <w:t>not allowing the participation of other public areas that could contribute to make the Fund a tool for the mainstreaming of disability. Before this, this space counted with the participation of other Ministries with expertise in disability.</w:t>
      </w:r>
    </w:p>
    <w:p w14:paraId="7AFDDDBE" w14:textId="6F79655E" w:rsidR="00C92FDE" w:rsidRPr="004967BD" w:rsidRDefault="004967BD" w:rsidP="002E2ECA">
      <w:pPr>
        <w:rPr>
          <w:rFonts w:eastAsia="Times New Roman" w:cstheme="minorHAnsi"/>
        </w:rPr>
      </w:pPr>
      <w:r w:rsidRPr="004967BD">
        <w:t>Besides, a National Cabinet for the mainstreaming of the policies on Disability</w:t>
      </w:r>
      <w:r w:rsidR="00F166D9">
        <w:rPr>
          <w:rStyle w:val="Refdenotaalpie"/>
          <w:rFonts w:ascii="Calibri" w:hAnsi="Calibri" w:cs="Calibri"/>
          <w:shd w:val="clear" w:color="auto" w:fill="FFFFFF"/>
        </w:rPr>
        <w:footnoteReference w:id="10"/>
      </w:r>
      <w:r w:rsidR="00FD3B2C" w:rsidRPr="004967BD">
        <w:rPr>
          <w:rFonts w:ascii="Calibri" w:hAnsi="Calibri" w:cs="Calibri"/>
          <w:shd w:val="clear" w:color="auto" w:fill="FFFFFF"/>
        </w:rPr>
        <w:t xml:space="preserve"> </w:t>
      </w:r>
      <w:r>
        <w:t>has been created under the Chief Cabinet of Ministers; however, the organizations of persons with disabilities (OPD) do not count on any public information about plans and progress that have been made.</w:t>
      </w:r>
    </w:p>
    <w:p w14:paraId="263ED97A" w14:textId="2D259933" w:rsidR="00E413A2" w:rsidRPr="00B32C44" w:rsidRDefault="00B32C44" w:rsidP="002E2ECA">
      <w:pPr>
        <w:rPr>
          <w:rFonts w:cstheme="minorHAnsi"/>
        </w:rPr>
      </w:pPr>
      <w:r>
        <w:t xml:space="preserve">At a provincial level, we can see the same barriers for the participation of the PWD. </w:t>
      </w:r>
      <w:r w:rsidRPr="00B32C44">
        <w:t xml:space="preserve">For example, in Córdoba, these spaces are the </w:t>
      </w:r>
      <w:r w:rsidR="00F963EB">
        <w:t>Provincial Commission on disability</w:t>
      </w:r>
      <w:r w:rsidRPr="00F963EB">
        <w:t xml:space="preserve"> </w:t>
      </w:r>
      <w:r w:rsidR="00E413A2" w:rsidRPr="00F963EB">
        <w:rPr>
          <w:rFonts w:eastAsia="Times New Roman" w:cstheme="minorHAnsi"/>
        </w:rPr>
        <w:t>(</w:t>
      </w:r>
      <w:hyperlink r:id="rId10">
        <w:r w:rsidR="007141F9" w:rsidRPr="00F963EB">
          <w:rPr>
            <w:rFonts w:eastAsia="Times New Roman" w:cstheme="minorHAnsi"/>
          </w:rPr>
          <w:t>Provincial Law 8</w:t>
        </w:r>
        <w:r w:rsidR="00F963EB">
          <w:rPr>
            <w:rFonts w:eastAsia="Times New Roman" w:cstheme="minorHAnsi"/>
          </w:rPr>
          <w:t>.</w:t>
        </w:r>
        <w:r w:rsidR="007141F9" w:rsidRPr="00F963EB">
          <w:rPr>
            <w:rFonts w:eastAsia="Times New Roman" w:cstheme="minorHAnsi"/>
          </w:rPr>
          <w:t>624</w:t>
        </w:r>
      </w:hyperlink>
      <w:r w:rsidR="00E413A2" w:rsidRPr="00F963EB">
        <w:rPr>
          <w:rFonts w:eastAsia="Times New Roman" w:cstheme="minorHAnsi"/>
        </w:rPr>
        <w:t xml:space="preserve">) </w:t>
      </w:r>
      <w:r w:rsidRPr="00F963EB">
        <w:rPr>
          <w:rFonts w:eastAsia="Times New Roman" w:cstheme="minorHAnsi"/>
        </w:rPr>
        <w:t>and the</w:t>
      </w:r>
      <w:r w:rsidR="00E413A2" w:rsidRPr="00F963EB">
        <w:rPr>
          <w:rFonts w:eastAsia="Times New Roman" w:cstheme="minorHAnsi"/>
        </w:rPr>
        <w:t xml:space="preserve"> </w:t>
      </w:r>
      <w:r w:rsidR="00F963EB">
        <w:rPr>
          <w:rFonts w:eastAsia="Times New Roman" w:cstheme="minorHAnsi"/>
        </w:rPr>
        <w:t>Provincial Accessibility Council</w:t>
      </w:r>
      <w:r w:rsidR="00E413A2" w:rsidRPr="00F963EB">
        <w:rPr>
          <w:rFonts w:eastAsia="Times New Roman" w:cstheme="minorHAnsi"/>
        </w:rPr>
        <w:t xml:space="preserve"> (</w:t>
      </w:r>
      <w:r w:rsidR="007141F9" w:rsidRPr="00F963EB">
        <w:rPr>
          <w:rFonts w:eastAsia="Times New Roman" w:cstheme="minorHAnsi"/>
        </w:rPr>
        <w:t>Law 1222/2008</w:t>
      </w:r>
      <w:r w:rsidR="00E413A2" w:rsidRPr="00F963EB">
        <w:rPr>
          <w:rFonts w:eastAsia="Times New Roman" w:cstheme="minorHAnsi"/>
        </w:rPr>
        <w:t>),</w:t>
      </w:r>
      <w:r w:rsidR="00306D30" w:rsidRPr="00F963EB">
        <w:rPr>
          <w:rFonts w:eastAsia="Times New Roman" w:cstheme="minorHAnsi"/>
        </w:rPr>
        <w:t xml:space="preserve"> </w:t>
      </w:r>
      <w:r w:rsidRPr="00F963EB">
        <w:t>and this participation is through organizations whose objective is to support PWD.</w:t>
      </w:r>
    </w:p>
    <w:p w14:paraId="5429DFDB" w14:textId="786912E0" w:rsidR="00E413A2" w:rsidRPr="00B32C44" w:rsidRDefault="00B32C44" w:rsidP="005006EE">
      <w:pPr>
        <w:rPr>
          <w:rFonts w:cstheme="minorHAnsi"/>
        </w:rPr>
      </w:pPr>
      <w:r>
        <w:t>What is more, we can see that some procedures have been displayed through which PWD have been invited to take part in these issues, but their contributions are not reflected in public policies. For example, the National Agency on Disability (ANDIS) carried out a federal referendum between March and June 2022 in order to collect contributions for the new law on Disability. By January 2023, the incorporation of those contributions is still unknown</w:t>
      </w:r>
      <w:r w:rsidR="00E413A2" w:rsidRPr="003F612F">
        <w:rPr>
          <w:rFonts w:cstheme="minorHAnsi"/>
          <w:vertAlign w:val="superscript"/>
          <w:lang w:val="es-AR"/>
        </w:rPr>
        <w:footnoteReference w:id="11"/>
      </w:r>
      <w:r w:rsidR="00E413A2" w:rsidRPr="00B32C44">
        <w:rPr>
          <w:rFonts w:cstheme="minorHAnsi"/>
        </w:rPr>
        <w:t xml:space="preserve">. </w:t>
      </w:r>
      <w:r w:rsidR="005006EE">
        <w:t>At the same time, the ANDIS drew up some guidelines for such draft bill that were only shared restrictively and confidentially with a group of members of the collective by which most of them</w:t>
      </w:r>
      <w:r w:rsidR="00E413A2" w:rsidRPr="003F612F">
        <w:rPr>
          <w:rFonts w:cstheme="minorHAnsi"/>
          <w:vertAlign w:val="superscript"/>
          <w:lang w:val="es-AR"/>
        </w:rPr>
        <w:footnoteReference w:id="12"/>
      </w:r>
      <w:r w:rsidR="00844123">
        <w:rPr>
          <w:rFonts w:cstheme="minorHAnsi"/>
        </w:rPr>
        <w:t xml:space="preserve">. </w:t>
      </w:r>
    </w:p>
    <w:p w14:paraId="657DB9C9" w14:textId="6447FB8D" w:rsidR="00E413A2" w:rsidRPr="00844123" w:rsidRDefault="00844123" w:rsidP="00844123">
      <w:r w:rsidRPr="00844123">
        <w:t>In the same way, Rumbos, FAICA and REDI participated in public audiences referring to the New Building and Urban Code in the City of Buenos Aires in order to reject it for its disabling content in essential aspects such as accessibility and to support proposal</w:t>
      </w:r>
      <w:r w:rsidR="00F963EB">
        <w:t>s in line with the social model</w:t>
      </w:r>
      <w:r w:rsidR="00E413A2" w:rsidRPr="00844123">
        <w:rPr>
          <w:vertAlign w:val="superscript"/>
          <w:lang w:val="es-AR"/>
        </w:rPr>
        <w:footnoteReference w:id="13"/>
      </w:r>
      <w:r w:rsidR="00E413A2" w:rsidRPr="00844123">
        <w:rPr>
          <w:vertAlign w:val="superscript"/>
        </w:rPr>
        <w:t>.</w:t>
      </w:r>
      <w:r w:rsidR="00E413A2" w:rsidRPr="00844123">
        <w:t xml:space="preserve"> </w:t>
      </w:r>
      <w:r w:rsidRPr="00844123">
        <w:t>However, the proposals have not been included in the new legislation and</w:t>
      </w:r>
      <w:r w:rsidR="00F963EB">
        <w:t xml:space="preserve"> the reasons for such commissions</w:t>
      </w:r>
      <w:r w:rsidR="00E413A2" w:rsidRPr="00844123">
        <w:rPr>
          <w:vertAlign w:val="superscript"/>
          <w:lang w:val="es-AR"/>
        </w:rPr>
        <w:footnoteReference w:id="14"/>
      </w:r>
      <w:r w:rsidR="00CC7759" w:rsidRPr="00844123">
        <w:t xml:space="preserve">, </w:t>
      </w:r>
      <w:r w:rsidRPr="00844123">
        <w:t>have not been justified. Due to this, a collective action has been started claiming the violation of the right of citizen participation and the due process</w:t>
      </w:r>
      <w:r w:rsidR="00777B99" w:rsidRPr="00844123">
        <w:t>.</w:t>
      </w:r>
      <w:r w:rsidR="00E413A2" w:rsidRPr="00844123">
        <w:rPr>
          <w:vertAlign w:val="superscript"/>
          <w:lang w:val="es-AR"/>
        </w:rPr>
        <w:footnoteReference w:id="15"/>
      </w:r>
    </w:p>
    <w:p w14:paraId="7E24976A" w14:textId="77777777" w:rsidR="00B32C44" w:rsidRPr="002E2ECA" w:rsidRDefault="00B32C44" w:rsidP="002E2ECA">
      <w:pPr>
        <w:ind w:firstLine="0"/>
        <w:rPr>
          <w:rFonts w:eastAsia="Times New Roman" w:cstheme="minorHAnsi"/>
          <w:b/>
          <w:bCs/>
          <w:i/>
          <w:u w:val="single"/>
        </w:rPr>
      </w:pPr>
      <w:r w:rsidRPr="002E2ECA">
        <w:rPr>
          <w:b/>
          <w:i/>
          <w:u w:val="single"/>
        </w:rPr>
        <w:t>SUGGESTED RECOMMENDATIONS TO THE STATE</w:t>
      </w:r>
      <w:r w:rsidR="00E413A2" w:rsidRPr="002E2ECA">
        <w:rPr>
          <w:rFonts w:eastAsia="Times New Roman" w:cstheme="minorHAnsi"/>
          <w:b/>
          <w:bCs/>
          <w:i/>
          <w:u w:val="single"/>
        </w:rPr>
        <w:t>:</w:t>
      </w:r>
    </w:p>
    <w:p w14:paraId="234D3D12" w14:textId="5CD1C3B4" w:rsidR="00E413A2" w:rsidRPr="00B32C44" w:rsidRDefault="00E413A2" w:rsidP="002E2ECA">
      <w:pPr>
        <w:pStyle w:val="Prrafodelista"/>
      </w:pPr>
      <w:r w:rsidRPr="00B32C44">
        <w:t xml:space="preserve"> </w:t>
      </w:r>
    </w:p>
    <w:p w14:paraId="4444961B" w14:textId="77777777" w:rsidR="00D915D8" w:rsidRDefault="00B32C44" w:rsidP="00D915D8">
      <w:pPr>
        <w:pStyle w:val="Prrafodelista"/>
        <w:numPr>
          <w:ilvl w:val="0"/>
          <w:numId w:val="17"/>
        </w:numPr>
        <w:ind w:left="714" w:hanging="357"/>
      </w:pPr>
      <w:r>
        <w:t>To guarantee the cross participation of the PWD organizations in the design of public policies about disability in the different jurisdictions of the government, including the participation of children and adolescents.</w:t>
      </w:r>
    </w:p>
    <w:p w14:paraId="7010F491" w14:textId="163F56D6" w:rsidR="00B32C44" w:rsidRPr="00A37A82" w:rsidRDefault="00B32C44" w:rsidP="00D915D8">
      <w:pPr>
        <w:pStyle w:val="Prrafodelista"/>
        <w:numPr>
          <w:ilvl w:val="0"/>
          <w:numId w:val="17"/>
        </w:numPr>
        <w:ind w:left="714" w:hanging="357"/>
        <w:contextualSpacing w:val="0"/>
      </w:pPr>
      <w:r>
        <w:t>Take concrete and comprehensive actions of promotion of the ODP throughout the country to guarantee fully participation and representation of the PWD according to the motto “</w:t>
      </w:r>
      <w:r w:rsidRPr="00D915D8">
        <w:rPr>
          <w:b/>
          <w:i/>
        </w:rPr>
        <w:t>nothing about us without us”.</w:t>
      </w:r>
    </w:p>
    <w:tbl>
      <w:tblPr>
        <w:tblStyle w:val="Tablaconcuadrcula"/>
        <w:tblW w:w="0" w:type="auto"/>
        <w:tblLook w:val="04A0" w:firstRow="1" w:lastRow="0" w:firstColumn="1" w:lastColumn="0" w:noHBand="0" w:noVBand="1"/>
      </w:tblPr>
      <w:tblGrid>
        <w:gridCol w:w="9736"/>
      </w:tblGrid>
      <w:tr w:rsidR="003A4393" w:rsidRPr="00416BC1" w14:paraId="6B6DA195" w14:textId="77777777" w:rsidTr="003A4393">
        <w:tc>
          <w:tcPr>
            <w:tcW w:w="9736" w:type="dxa"/>
            <w:shd w:val="clear" w:color="auto" w:fill="D5DCE4" w:themeFill="text2" w:themeFillTint="33"/>
          </w:tcPr>
          <w:p w14:paraId="19A1B370" w14:textId="60CA7254" w:rsidR="003A4393" w:rsidRPr="00D66714" w:rsidRDefault="00065BA6" w:rsidP="00065BA6">
            <w:pPr>
              <w:pStyle w:val="Ttulo2"/>
              <w:jc w:val="center"/>
              <w:outlineLvl w:val="1"/>
              <w:rPr>
                <w:rFonts w:asciiTheme="minorHAnsi" w:eastAsia="Times New Roman" w:hAnsiTheme="minorHAnsi" w:cstheme="minorHAnsi"/>
                <w:b/>
                <w:bCs/>
                <w:color w:val="auto"/>
                <w:sz w:val="24"/>
                <w:szCs w:val="24"/>
              </w:rPr>
            </w:pPr>
            <w:bookmarkStart w:id="4" w:name="_Toc126310220"/>
            <w:r>
              <w:rPr>
                <w:rFonts w:asciiTheme="minorHAnsi" w:hAnsiTheme="minorHAnsi" w:cstheme="minorHAnsi"/>
                <w:b/>
                <w:color w:val="auto"/>
                <w:sz w:val="24"/>
                <w:szCs w:val="24"/>
              </w:rPr>
              <w:lastRenderedPageBreak/>
              <w:t>Article</w:t>
            </w:r>
            <w:r w:rsidR="00F870D8">
              <w:rPr>
                <w:rFonts w:asciiTheme="minorHAnsi" w:hAnsiTheme="minorHAnsi" w:cstheme="minorHAnsi"/>
                <w:b/>
                <w:color w:val="auto"/>
                <w:sz w:val="24"/>
                <w:szCs w:val="24"/>
              </w:rPr>
              <w:t xml:space="preserve"> 5:</w:t>
            </w:r>
            <w:r w:rsidR="0032298E" w:rsidRPr="00D66714">
              <w:rPr>
                <w:rFonts w:asciiTheme="minorHAnsi" w:hAnsiTheme="minorHAnsi" w:cstheme="minorHAnsi"/>
                <w:b/>
                <w:color w:val="auto"/>
                <w:sz w:val="24"/>
                <w:szCs w:val="24"/>
              </w:rPr>
              <w:t xml:space="preserve"> </w:t>
            </w:r>
            <w:r>
              <w:rPr>
                <w:rFonts w:asciiTheme="minorHAnsi" w:hAnsiTheme="minorHAnsi" w:cstheme="minorHAnsi"/>
                <w:b/>
                <w:color w:val="auto"/>
                <w:sz w:val="24"/>
                <w:szCs w:val="24"/>
              </w:rPr>
              <w:t>Equality</w:t>
            </w:r>
            <w:r w:rsidR="0032298E" w:rsidRPr="00D66714">
              <w:rPr>
                <w:rFonts w:asciiTheme="minorHAnsi" w:hAnsiTheme="minorHAnsi" w:cstheme="minorHAnsi"/>
                <w:b/>
                <w:color w:val="auto"/>
                <w:sz w:val="24"/>
                <w:szCs w:val="24"/>
              </w:rPr>
              <w:t xml:space="preserve"> </w:t>
            </w:r>
            <w:r>
              <w:rPr>
                <w:rFonts w:asciiTheme="minorHAnsi" w:hAnsiTheme="minorHAnsi" w:cstheme="minorHAnsi"/>
                <w:b/>
                <w:color w:val="auto"/>
                <w:sz w:val="24"/>
                <w:szCs w:val="24"/>
              </w:rPr>
              <w:t>and no</w:t>
            </w:r>
            <w:r w:rsidR="0032298E" w:rsidRPr="00D66714">
              <w:rPr>
                <w:rFonts w:asciiTheme="minorHAnsi" w:hAnsiTheme="minorHAnsi" w:cstheme="minorHAnsi"/>
                <w:b/>
                <w:color w:val="auto"/>
                <w:sz w:val="24"/>
                <w:szCs w:val="24"/>
              </w:rPr>
              <w:t xml:space="preserve"> </w:t>
            </w:r>
            <w:r>
              <w:rPr>
                <w:rFonts w:asciiTheme="minorHAnsi" w:hAnsiTheme="minorHAnsi" w:cstheme="minorHAnsi"/>
                <w:b/>
                <w:color w:val="auto"/>
                <w:sz w:val="24"/>
                <w:szCs w:val="24"/>
              </w:rPr>
              <w:t>discrimination</w:t>
            </w:r>
            <w:bookmarkEnd w:id="4"/>
          </w:p>
        </w:tc>
      </w:tr>
    </w:tbl>
    <w:p w14:paraId="5F866731" w14:textId="77777777" w:rsidR="0032298E" w:rsidRDefault="0032298E" w:rsidP="00536548">
      <w:r>
        <w:t>The current legal framework about discriminatory actions, Law 23592 from1988, does not present changes as regards the 2017 alternative report. The denial of reasonable adjustments as discrimination due to disability has not been incorporated yet and multiple discriminations has not been considered either.</w:t>
      </w:r>
    </w:p>
    <w:p w14:paraId="00F24696" w14:textId="589E6B15" w:rsidR="00A123CD" w:rsidRPr="0032298E" w:rsidRDefault="0032298E" w:rsidP="00536548">
      <w:pPr>
        <w:rPr>
          <w:rFonts w:eastAsia="Times New Roman" w:cstheme="minorHAnsi"/>
        </w:rPr>
      </w:pPr>
      <w:r>
        <w:t xml:space="preserve">The National Map of Discrimination designed by the INADI shows a rising on the levels of discrimination with an increase in the number of people who suffered from it from 65% in 2013 to 72% in 2019. The main reasons are diverse corporeality (38%) and disability </w:t>
      </w:r>
      <w:r w:rsidR="00A123CD" w:rsidRPr="0032298E">
        <w:rPr>
          <w:rFonts w:ascii="Calibri" w:hAnsi="Calibri" w:cs="Calibri"/>
          <w:shd w:val="clear" w:color="auto" w:fill="FFFFFF"/>
        </w:rPr>
        <w:t>(3%)</w:t>
      </w:r>
      <w:r w:rsidR="00A123CD" w:rsidRPr="001E64BD">
        <w:rPr>
          <w:rStyle w:val="Refdenotaalpie"/>
          <w:rFonts w:ascii="Calibri" w:hAnsi="Calibri" w:cs="Calibri"/>
          <w:shd w:val="clear" w:color="auto" w:fill="FFFFFF"/>
        </w:rPr>
        <w:footnoteReference w:id="16"/>
      </w:r>
      <w:r w:rsidR="00A123CD" w:rsidRPr="0032298E">
        <w:rPr>
          <w:rFonts w:ascii="Calibri" w:hAnsi="Calibri" w:cs="Calibri"/>
          <w:shd w:val="clear" w:color="auto" w:fill="FFFFFF"/>
        </w:rPr>
        <w:t>.</w:t>
      </w:r>
    </w:p>
    <w:p w14:paraId="0A8924CC" w14:textId="77777777" w:rsidR="0032298E" w:rsidRDefault="0032298E" w:rsidP="00536548">
      <w:r>
        <w:t>Unequal treatment and discrimination persists in detriment of PWD. We can see the breach of laws referring to egalitarian access in public transport, the judicial power, access to health care, education and private companies or public services concessionaries, among other areas. An effective lack of application and monitoring of current measures has been noted as well as lack of reasonable adjustments. To this respect, the Judicial Power of the Province of Buenos Aires denies reasonable adjustments in detriment of visually PWD lawyers, since the system of electronic notifications and presentations are no designed in a way that is compatible with screen readers used by blind people. This makes the autonomous exercise of the profession impossible and is a barrier for those who are unable to contract a person to assist them.</w:t>
      </w:r>
    </w:p>
    <w:p w14:paraId="65FD21C9" w14:textId="25DD9243" w:rsidR="00E413A2" w:rsidRPr="0032298E" w:rsidRDefault="0032298E" w:rsidP="00536548">
      <w:pPr>
        <w:rPr>
          <w:rFonts w:eastAsia="Times New Roman" w:cstheme="minorHAnsi"/>
        </w:rPr>
      </w:pPr>
      <w:r>
        <w:t>We would like to point at the particular discriminatory situation that affects psycho-social PWD.  Capacitism and paternalism prevails due to which they spend their lives in confinement, outpatient centers, in the case there were and they could be admitted, in their homes or in the streets. On top of it, the same state agencies are those which generate barriers for the access to their rights, as we can see in the delay of the attention</w:t>
      </w:r>
      <w:r w:rsidR="00364C56" w:rsidRPr="003F612F">
        <w:rPr>
          <w:rStyle w:val="Refdenotaalpie"/>
          <w:rFonts w:eastAsia="Times New Roman" w:cstheme="minorHAnsi"/>
          <w:lang w:val="es-AR"/>
        </w:rPr>
        <w:footnoteReference w:id="17"/>
      </w:r>
      <w:r w:rsidR="00364C56" w:rsidRPr="0032298E">
        <w:rPr>
          <w:rFonts w:eastAsia="Times New Roman" w:cstheme="minorHAnsi"/>
        </w:rPr>
        <w:t xml:space="preserve"> </w:t>
      </w:r>
      <w:r>
        <w:t>and the breach of judiciary resolutions</w:t>
      </w:r>
      <w:r w:rsidRPr="0032298E">
        <w:rPr>
          <w:rStyle w:val="Refdenotaalpie"/>
          <w:rFonts w:eastAsia="Times New Roman" w:cstheme="minorHAnsi"/>
        </w:rPr>
        <w:t xml:space="preserve"> </w:t>
      </w:r>
      <w:r w:rsidR="005C49A8" w:rsidRPr="003F612F">
        <w:rPr>
          <w:rStyle w:val="Refdenotaalpie"/>
          <w:rFonts w:eastAsia="Times New Roman" w:cstheme="minorHAnsi"/>
          <w:lang w:val="es-AR"/>
        </w:rPr>
        <w:footnoteReference w:id="18"/>
      </w:r>
      <w:r w:rsidR="00364C56" w:rsidRPr="0032298E">
        <w:rPr>
          <w:rFonts w:eastAsia="Times New Roman" w:cstheme="minorHAnsi"/>
        </w:rPr>
        <w:t xml:space="preserve">. </w:t>
      </w:r>
      <w:r w:rsidR="002C6D38" w:rsidRPr="0032298E">
        <w:rPr>
          <w:rFonts w:eastAsia="Times New Roman" w:cstheme="minorHAnsi"/>
        </w:rPr>
        <w:t xml:space="preserve"> </w:t>
      </w:r>
      <w:r>
        <w:t>It is also still unknown the management of the area of Disability and Native Communities of the ANDIS, created in 2020 and whose head, member of a wichi community, died shortly after having been appointed</w:t>
      </w:r>
      <w:r w:rsidR="002813E7">
        <w:rPr>
          <w:rStyle w:val="Refdenotaalpie"/>
          <w:rFonts w:eastAsia="Times New Roman" w:cstheme="minorHAnsi"/>
          <w:lang w:val="es-AR"/>
        </w:rPr>
        <w:footnoteReference w:id="19"/>
      </w:r>
      <w:r w:rsidR="002813E7" w:rsidRPr="0032298E">
        <w:rPr>
          <w:rFonts w:eastAsia="Times New Roman" w:cstheme="minorHAnsi"/>
        </w:rPr>
        <w:t>.</w:t>
      </w:r>
      <w:r w:rsidR="004E46CC" w:rsidRPr="0032298E">
        <w:rPr>
          <w:rFonts w:eastAsia="Times New Roman" w:cstheme="minorHAnsi"/>
        </w:rPr>
        <w:t xml:space="preserve"> </w:t>
      </w:r>
    </w:p>
    <w:p w14:paraId="3B0602F9" w14:textId="4447FEF9" w:rsidR="00E413A2" w:rsidRPr="00536548" w:rsidRDefault="00213F9B" w:rsidP="00536548">
      <w:pPr>
        <w:ind w:firstLine="0"/>
        <w:rPr>
          <w:rFonts w:eastAsia="Times New Roman" w:cstheme="minorHAnsi"/>
          <w:b/>
          <w:bCs/>
          <w:i/>
          <w:u w:val="single"/>
        </w:rPr>
      </w:pPr>
      <w:r w:rsidRPr="00536548">
        <w:rPr>
          <w:b/>
          <w:i/>
          <w:u w:val="single"/>
        </w:rPr>
        <w:t>SUGGESTED RECOMMENDATIONS TO THE STATE</w:t>
      </w:r>
      <w:r w:rsidR="00E413A2" w:rsidRPr="00536548">
        <w:rPr>
          <w:rFonts w:eastAsia="Times New Roman" w:cstheme="minorHAnsi"/>
          <w:b/>
          <w:bCs/>
          <w:i/>
          <w:u w:val="single"/>
        </w:rPr>
        <w:t>:</w:t>
      </w:r>
    </w:p>
    <w:p w14:paraId="1A7D46C4" w14:textId="77777777" w:rsidR="0032298E" w:rsidRPr="003663C9" w:rsidRDefault="0032298E" w:rsidP="002E2ECA">
      <w:pPr>
        <w:pStyle w:val="Prrafodelista"/>
        <w:numPr>
          <w:ilvl w:val="0"/>
          <w:numId w:val="18"/>
        </w:numPr>
      </w:pPr>
      <w:r>
        <w:t>Pass a new law on discriminatory action to promote the implementation of reasonable adjustments to make the participation of PWD in different areas easier and admit the denial as a way of discrimination.</w:t>
      </w:r>
    </w:p>
    <w:p w14:paraId="2EC7F2BB" w14:textId="77777777" w:rsidR="0032298E" w:rsidRDefault="0032298E" w:rsidP="002E2ECA">
      <w:pPr>
        <w:pStyle w:val="Prrafodelista"/>
        <w:numPr>
          <w:ilvl w:val="0"/>
          <w:numId w:val="18"/>
        </w:numPr>
      </w:pPr>
      <w:r>
        <w:t>Implement measures to prevent and punish multiple and intersectional discrimination in detriment of PWD.</w:t>
      </w:r>
    </w:p>
    <w:p w14:paraId="0E3BFF90" w14:textId="77777777" w:rsidR="0032298E" w:rsidRDefault="0032298E" w:rsidP="002E2ECA">
      <w:pPr>
        <w:pStyle w:val="Prrafodelista"/>
      </w:pPr>
    </w:p>
    <w:tbl>
      <w:tblPr>
        <w:tblStyle w:val="Tablaconcuadrcula"/>
        <w:tblW w:w="0" w:type="auto"/>
        <w:tblLook w:val="04A0" w:firstRow="1" w:lastRow="0" w:firstColumn="1" w:lastColumn="0" w:noHBand="0" w:noVBand="1"/>
      </w:tblPr>
      <w:tblGrid>
        <w:gridCol w:w="9736"/>
      </w:tblGrid>
      <w:tr w:rsidR="00D65210" w:rsidRPr="003F612F" w14:paraId="43F019A9" w14:textId="77777777" w:rsidTr="00D65210">
        <w:tc>
          <w:tcPr>
            <w:tcW w:w="9736" w:type="dxa"/>
            <w:shd w:val="clear" w:color="auto" w:fill="D5DCE4" w:themeFill="text2" w:themeFillTint="33"/>
          </w:tcPr>
          <w:p w14:paraId="7630A9D4" w14:textId="3D5FFA8F" w:rsidR="00D65210" w:rsidRPr="00065BA6" w:rsidRDefault="00065BA6" w:rsidP="00065BA6">
            <w:pPr>
              <w:pStyle w:val="Ttulo2"/>
              <w:outlineLvl w:val="1"/>
              <w:rPr>
                <w:rFonts w:asciiTheme="minorHAnsi" w:eastAsia="Times New Roman" w:hAnsiTheme="minorHAnsi" w:cstheme="minorHAnsi"/>
                <w:b/>
                <w:bCs/>
                <w:color w:val="auto"/>
                <w:sz w:val="24"/>
                <w:szCs w:val="24"/>
              </w:rPr>
            </w:pPr>
            <w:bookmarkStart w:id="5" w:name="_Toc126310221"/>
            <w:r>
              <w:rPr>
                <w:rFonts w:asciiTheme="minorHAnsi" w:hAnsiTheme="minorHAnsi" w:cstheme="minorHAnsi"/>
                <w:b/>
                <w:color w:val="auto"/>
                <w:sz w:val="24"/>
                <w:szCs w:val="24"/>
              </w:rPr>
              <w:lastRenderedPageBreak/>
              <w:t>Article</w:t>
            </w:r>
            <w:r w:rsidR="0032298E" w:rsidRPr="00D16D1D">
              <w:rPr>
                <w:rFonts w:asciiTheme="minorHAnsi" w:hAnsiTheme="minorHAnsi" w:cstheme="minorHAnsi"/>
                <w:b/>
                <w:color w:val="auto"/>
                <w:sz w:val="24"/>
                <w:szCs w:val="24"/>
              </w:rPr>
              <w:t xml:space="preserve"> 6: </w:t>
            </w:r>
            <w:r>
              <w:rPr>
                <w:rFonts w:asciiTheme="minorHAnsi" w:hAnsiTheme="minorHAnsi" w:cstheme="minorHAnsi"/>
                <w:b/>
                <w:color w:val="auto"/>
                <w:sz w:val="24"/>
                <w:szCs w:val="24"/>
              </w:rPr>
              <w:t>Women with</w:t>
            </w:r>
            <w:r w:rsidR="0032298E" w:rsidRPr="00D16D1D">
              <w:rPr>
                <w:rFonts w:asciiTheme="minorHAnsi" w:hAnsiTheme="minorHAnsi" w:cstheme="minorHAnsi"/>
                <w:b/>
                <w:color w:val="auto"/>
                <w:sz w:val="24"/>
                <w:szCs w:val="24"/>
              </w:rPr>
              <w:t xml:space="preserve"> </w:t>
            </w:r>
            <w:r>
              <w:rPr>
                <w:rFonts w:asciiTheme="minorHAnsi" w:hAnsiTheme="minorHAnsi" w:cstheme="minorHAnsi"/>
                <w:b/>
                <w:color w:val="auto"/>
                <w:sz w:val="24"/>
                <w:szCs w:val="24"/>
              </w:rPr>
              <w:t>disability</w:t>
            </w:r>
            <w:bookmarkStart w:id="6" w:name="_Hlk123313091"/>
            <w:bookmarkEnd w:id="5"/>
          </w:p>
        </w:tc>
      </w:tr>
    </w:tbl>
    <w:bookmarkEnd w:id="6"/>
    <w:p w14:paraId="4D93D8AB" w14:textId="686446AF" w:rsidR="00E413A2" w:rsidRPr="0032298E" w:rsidRDefault="0032298E" w:rsidP="00D66714">
      <w:pPr>
        <w:rPr>
          <w:rFonts w:cstheme="minorHAnsi"/>
        </w:rPr>
      </w:pPr>
      <w:r w:rsidRPr="0032298E">
        <w:t>The National Plan of Action against Violence for Gender Reasons (2020/2022</w:t>
      </w:r>
      <w:r w:rsidR="00C93DD7" w:rsidRPr="0032298E">
        <w:rPr>
          <w:rFonts w:cstheme="minorHAnsi"/>
        </w:rPr>
        <w:t>)</w:t>
      </w:r>
      <w:r w:rsidR="00C93DD7" w:rsidRPr="003F612F">
        <w:rPr>
          <w:rStyle w:val="Refdenotaalpie"/>
          <w:rFonts w:cstheme="minorHAnsi"/>
        </w:rPr>
        <w:footnoteReference w:id="20"/>
      </w:r>
      <w:r w:rsidR="00C93DD7" w:rsidRPr="0032298E">
        <w:rPr>
          <w:rFonts w:cstheme="minorHAnsi"/>
        </w:rPr>
        <w:t xml:space="preserve"> </w:t>
      </w:r>
      <w:r>
        <w:t xml:space="preserve">and its programs are not designed with an intersectional approach, which results inaccessible for women with disability. </w:t>
      </w:r>
      <w:r w:rsidRPr="0032298E">
        <w:t xml:space="preserve">The Urgent Support program and the Immediate Integral Assistance in cases of Extreme Violence for Gender Reasons </w:t>
      </w:r>
      <w:r w:rsidR="00DB7C73" w:rsidRPr="003F612F">
        <w:rPr>
          <w:rStyle w:val="Refdenotaalpie"/>
          <w:rFonts w:cstheme="minorHAnsi"/>
        </w:rPr>
        <w:footnoteReference w:id="21"/>
      </w:r>
      <w:r w:rsidR="00E413A2" w:rsidRPr="0032298E">
        <w:rPr>
          <w:rFonts w:cstheme="minorHAnsi"/>
        </w:rPr>
        <w:t xml:space="preserve"> </w:t>
      </w:r>
      <w:r>
        <w:t>and the Strengthening Program for Territorial Devices of Integral Protection of People in Violent Contexts due to Gender Reasons</w:t>
      </w:r>
      <w:r w:rsidR="00DB7C73" w:rsidRPr="003F612F">
        <w:rPr>
          <w:rStyle w:val="Refdenotaalpie"/>
          <w:rFonts w:cstheme="minorHAnsi"/>
        </w:rPr>
        <w:footnoteReference w:id="22"/>
      </w:r>
      <w:r w:rsidR="00E413A2" w:rsidRPr="0032298E">
        <w:rPr>
          <w:rFonts w:cstheme="minorHAnsi"/>
        </w:rPr>
        <w:t xml:space="preserve"> </w:t>
      </w:r>
      <w:r>
        <w:t>lack intersectional approach. Consequently, women with disability find architectural, communicative and attitudinal barriers to reach them due to the fact that most of these homes or shelters do not count on the necessary accessibility to enter and stay in them. Besides, proper information is not granted on accessible format about admission to them and there are no accessibility requirements to fulfill from those who offer those services</w:t>
      </w:r>
      <w:r w:rsidR="00D66714">
        <w:t>. Besides, Aco</w:t>
      </w:r>
      <w:r w:rsidR="00D66714" w:rsidRPr="00213F9B">
        <w:t xml:space="preserve">mpañar </w:t>
      </w:r>
      <w:r w:rsidR="00F963EB">
        <w:t>P</w:t>
      </w:r>
      <w:r w:rsidR="00D66714" w:rsidRPr="00213F9B">
        <w:t xml:space="preserve">rogram is not compatible with the granting of </w:t>
      </w:r>
      <w:r w:rsidR="00F963EB" w:rsidRPr="00213F9B">
        <w:t>non-contributive</w:t>
      </w:r>
      <w:r w:rsidR="00D66714" w:rsidRPr="00213F9B">
        <w:t xml:space="preserve"> pensions.</w:t>
      </w:r>
    </w:p>
    <w:p w14:paraId="75ADC8AA" w14:textId="21645816" w:rsidR="00213F9B" w:rsidRPr="003663C9" w:rsidRDefault="00F963EB" w:rsidP="00536548">
      <w:r>
        <w:t xml:space="preserve">As regards the </w:t>
      </w:r>
      <w:r w:rsidR="0032298E" w:rsidRPr="00213F9B">
        <w:t>Law</w:t>
      </w:r>
      <w:r>
        <w:t xml:space="preserve"> 27.610</w:t>
      </w:r>
      <w:r w:rsidR="0032298E" w:rsidRPr="00213F9B">
        <w:rPr>
          <w:rFonts w:cstheme="minorHAnsi"/>
          <w:vertAlign w:val="superscript"/>
        </w:rPr>
        <w:t xml:space="preserve"> </w:t>
      </w:r>
      <w:r w:rsidR="00FF68A9" w:rsidRPr="003F612F">
        <w:rPr>
          <w:rFonts w:cstheme="minorHAnsi"/>
          <w:vertAlign w:val="superscript"/>
          <w:lang w:val="es"/>
        </w:rPr>
        <w:footnoteReference w:id="23"/>
      </w:r>
      <w:r w:rsidR="00FF68A9" w:rsidRPr="00213F9B">
        <w:rPr>
          <w:rFonts w:cstheme="minorHAnsi"/>
        </w:rPr>
        <w:t xml:space="preserve"> </w:t>
      </w:r>
      <w:r w:rsidR="00213F9B">
        <w:t xml:space="preserve">that rules the access to the voluntary interruption of pregnancy, it shows a serious rights violation of restricted PWD (according to the article 32 of the CCCyC). Such article details that in both cases the consent to carry out the interruption of the pregnancy will be expressed by the designated person o named guardian or, in lack of or absence of any of them, a close relative. It also expresses that in none of the cases judicial authorization should be required to have access to the interruption, but it does not include, as it was required by the PWD collective, that the informed consent of the pregnant woman should always be required. </w:t>
      </w:r>
    </w:p>
    <w:p w14:paraId="1CF79691" w14:textId="77777777" w:rsidR="00213F9B" w:rsidRPr="00536548" w:rsidRDefault="00213F9B" w:rsidP="00536548">
      <w:pPr>
        <w:ind w:firstLine="0"/>
        <w:rPr>
          <w:rFonts w:eastAsia="Times New Roman" w:cstheme="minorHAnsi"/>
          <w:b/>
          <w:bCs/>
          <w:i/>
          <w:iCs/>
          <w:u w:val="single"/>
        </w:rPr>
      </w:pPr>
      <w:r w:rsidRPr="00536548">
        <w:rPr>
          <w:b/>
          <w:i/>
          <w:u w:val="single"/>
        </w:rPr>
        <w:t>SUGGESTED RECOMMENDATIONS TO THE STATE</w:t>
      </w:r>
      <w:r w:rsidRPr="00536548">
        <w:rPr>
          <w:rFonts w:eastAsia="Times New Roman" w:cstheme="minorHAnsi"/>
          <w:b/>
          <w:bCs/>
          <w:i/>
          <w:iCs/>
          <w:u w:val="single"/>
        </w:rPr>
        <w:t xml:space="preserve"> </w:t>
      </w:r>
    </w:p>
    <w:p w14:paraId="06EC371C" w14:textId="78ACCBA5" w:rsidR="00213F9B" w:rsidRDefault="00213F9B" w:rsidP="002E2ECA">
      <w:pPr>
        <w:pStyle w:val="Prrafodelista"/>
        <w:numPr>
          <w:ilvl w:val="0"/>
          <w:numId w:val="19"/>
        </w:numPr>
      </w:pPr>
      <w:r w:rsidRPr="00EE3C3E">
        <w:rPr>
          <w:b/>
          <w:u w:val="single"/>
        </w:rPr>
        <w:t>URGENT RECOMMENDATION:</w:t>
      </w:r>
      <w:r>
        <w:rPr>
          <w:b/>
          <w:u w:val="single"/>
        </w:rPr>
        <w:t xml:space="preserve"> </w:t>
      </w:r>
      <w:r w:rsidR="00F963EB">
        <w:t>Combine the Acompañar P</w:t>
      </w:r>
      <w:r>
        <w:t>rogram with non-contributive pensions.</w:t>
      </w:r>
    </w:p>
    <w:p w14:paraId="2F0AD449" w14:textId="77777777" w:rsidR="00213F9B" w:rsidRDefault="00213F9B" w:rsidP="002E2ECA">
      <w:pPr>
        <w:pStyle w:val="Prrafodelista"/>
        <w:numPr>
          <w:ilvl w:val="0"/>
          <w:numId w:val="19"/>
        </w:numPr>
      </w:pPr>
      <w:r>
        <w:t>Incorporate perspective of disability and accessibility to the net of homes, shelters and devices of the Strengthening Program for Territorial Devices of Integral Protection of People in Violent Contexts due to Gender Reasons.</w:t>
      </w:r>
    </w:p>
    <w:p w14:paraId="4D7EC751" w14:textId="77777777" w:rsidR="00213F9B" w:rsidRDefault="00213F9B" w:rsidP="002E2ECA">
      <w:pPr>
        <w:pStyle w:val="Prrafodelista"/>
        <w:numPr>
          <w:ilvl w:val="0"/>
          <w:numId w:val="19"/>
        </w:numPr>
      </w:pPr>
      <w:r>
        <w:t>Put into practice a strategy of mainstreaming of gender approach and disability in the legislation and in specific programs for women, mainly as regards violence against girls and women with disability.</w:t>
      </w:r>
    </w:p>
    <w:p w14:paraId="13B13D41" w14:textId="77777777" w:rsidR="00213F9B" w:rsidRDefault="00213F9B" w:rsidP="002E2ECA">
      <w:pPr>
        <w:pStyle w:val="Prrafodelista"/>
        <w:numPr>
          <w:ilvl w:val="0"/>
          <w:numId w:val="19"/>
        </w:numPr>
      </w:pPr>
      <w:r>
        <w:t>Promote measures that would provide working and educational inclusion of women.</w:t>
      </w:r>
    </w:p>
    <w:p w14:paraId="11879D64" w14:textId="77777777" w:rsidR="00213F9B" w:rsidRDefault="00213F9B" w:rsidP="002E2ECA">
      <w:pPr>
        <w:pStyle w:val="Prrafodelista"/>
        <w:numPr>
          <w:ilvl w:val="0"/>
          <w:numId w:val="19"/>
        </w:numPr>
      </w:pPr>
      <w:r>
        <w:t>Guarantee the supports in the access to the voluntary and legal interruption of pregnancy for pregnant women with disability.</w:t>
      </w:r>
    </w:p>
    <w:tbl>
      <w:tblPr>
        <w:tblStyle w:val="Tablaconcuadrcula"/>
        <w:tblW w:w="0" w:type="auto"/>
        <w:tblLook w:val="04A0" w:firstRow="1" w:lastRow="0" w:firstColumn="1" w:lastColumn="0" w:noHBand="0" w:noVBand="1"/>
      </w:tblPr>
      <w:tblGrid>
        <w:gridCol w:w="9736"/>
      </w:tblGrid>
      <w:tr w:rsidR="00AD7597" w:rsidRPr="00416BC1" w14:paraId="2D9828AD" w14:textId="77777777" w:rsidTr="00AD7597">
        <w:tc>
          <w:tcPr>
            <w:tcW w:w="9736" w:type="dxa"/>
            <w:shd w:val="clear" w:color="auto" w:fill="D5DCE4" w:themeFill="text2" w:themeFillTint="33"/>
          </w:tcPr>
          <w:p w14:paraId="3E03A9DC" w14:textId="36B063E4" w:rsidR="00AD7597" w:rsidRPr="00D66714" w:rsidRDefault="00F11C78" w:rsidP="00F11C78">
            <w:pPr>
              <w:pStyle w:val="Ttulo2"/>
              <w:jc w:val="center"/>
              <w:outlineLvl w:val="1"/>
              <w:rPr>
                <w:rFonts w:asciiTheme="minorHAnsi" w:eastAsia="Times New Roman" w:hAnsiTheme="minorHAnsi" w:cstheme="minorHAnsi"/>
                <w:b/>
                <w:bCs/>
                <w:color w:val="auto"/>
                <w:sz w:val="24"/>
                <w:szCs w:val="24"/>
              </w:rPr>
            </w:pPr>
            <w:bookmarkStart w:id="7" w:name="_Toc126310222"/>
            <w:r>
              <w:rPr>
                <w:rFonts w:asciiTheme="minorHAnsi" w:hAnsiTheme="minorHAnsi" w:cstheme="minorHAnsi"/>
                <w:b/>
                <w:color w:val="auto"/>
                <w:sz w:val="24"/>
                <w:szCs w:val="24"/>
              </w:rPr>
              <w:lastRenderedPageBreak/>
              <w:t>Article</w:t>
            </w:r>
            <w:r w:rsidR="005D6A3F" w:rsidRPr="00D66714">
              <w:rPr>
                <w:rFonts w:asciiTheme="minorHAnsi" w:hAnsiTheme="minorHAnsi" w:cstheme="minorHAnsi"/>
                <w:b/>
                <w:color w:val="auto"/>
                <w:sz w:val="24"/>
                <w:szCs w:val="24"/>
              </w:rPr>
              <w:t xml:space="preserve"> 7: </w:t>
            </w:r>
            <w:r>
              <w:rPr>
                <w:rFonts w:asciiTheme="minorHAnsi" w:hAnsiTheme="minorHAnsi" w:cstheme="minorHAnsi"/>
                <w:b/>
                <w:color w:val="auto"/>
                <w:sz w:val="24"/>
                <w:szCs w:val="24"/>
              </w:rPr>
              <w:t>Boys, girls and</w:t>
            </w:r>
            <w:r w:rsidR="005D6A3F" w:rsidRPr="00D66714">
              <w:rPr>
                <w:rFonts w:asciiTheme="minorHAnsi" w:hAnsiTheme="minorHAnsi" w:cstheme="minorHAnsi"/>
                <w:b/>
                <w:color w:val="auto"/>
                <w:sz w:val="24"/>
                <w:szCs w:val="24"/>
              </w:rPr>
              <w:t xml:space="preserve"> </w:t>
            </w:r>
            <w:r>
              <w:rPr>
                <w:rFonts w:asciiTheme="minorHAnsi" w:hAnsiTheme="minorHAnsi" w:cstheme="minorHAnsi"/>
                <w:b/>
                <w:color w:val="auto"/>
                <w:sz w:val="24"/>
                <w:szCs w:val="24"/>
              </w:rPr>
              <w:t>teenagers</w:t>
            </w:r>
            <w:bookmarkEnd w:id="7"/>
          </w:p>
        </w:tc>
      </w:tr>
    </w:tbl>
    <w:p w14:paraId="50A281AC" w14:textId="3945BF90" w:rsidR="00E413A2" w:rsidRPr="005D6A3F" w:rsidRDefault="005D6A3F" w:rsidP="00536548">
      <w:pPr>
        <w:rPr>
          <w:rFonts w:eastAsia="Times New Roman" w:cstheme="minorHAnsi"/>
        </w:rPr>
      </w:pPr>
      <w:r w:rsidRPr="005D6A3F">
        <w:t>The Law of Protection of Girls, Boys and Teenagers</w:t>
      </w:r>
      <w:r w:rsidR="00067A51">
        <w:rPr>
          <w:rStyle w:val="Refdenotaalpie"/>
          <w:rFonts w:eastAsia="Times New Roman" w:cstheme="minorHAnsi"/>
          <w:lang w:val="es-AR"/>
        </w:rPr>
        <w:footnoteReference w:id="24"/>
      </w:r>
      <w:r w:rsidR="00057778" w:rsidRPr="005D6A3F">
        <w:rPr>
          <w:rFonts w:eastAsia="Times New Roman" w:cstheme="minorHAnsi"/>
        </w:rPr>
        <w:t xml:space="preserve"> </w:t>
      </w:r>
      <w:r>
        <w:t>still does not have a perspective on disability. Judicial claims persist through amparo applications to guarantee a proper assistance to disability in childhood the same as a visible lack of guarantee in the access to the general system of Education. The poverty situation requires on the part of the State to implement measures that would provide the families a proper level of financial security, access to resources and to basic services such as health, nutrition and education and mechanisms of care that would support the role of families to guarantee good attention and development opportunities during early childhood.</w:t>
      </w:r>
    </w:p>
    <w:p w14:paraId="58B4B163" w14:textId="77483F60" w:rsidR="00ED5373" w:rsidRPr="005D6A3F" w:rsidRDefault="005D6A3F" w:rsidP="00536548">
      <w:pPr>
        <w:rPr>
          <w:rFonts w:cstheme="minorHAnsi"/>
          <w:u w:val="single"/>
        </w:rPr>
      </w:pPr>
      <w:r>
        <w:t>Children and teenagers with disability still have a segregated life, confined to their homes or the institutions</w:t>
      </w:r>
      <w:r w:rsidR="00F2047C" w:rsidRPr="003F612F">
        <w:rPr>
          <w:rStyle w:val="Refdenotaalpie"/>
          <w:rFonts w:cstheme="minorHAnsi"/>
          <w:lang w:val="es-AR"/>
        </w:rPr>
        <w:footnoteReference w:id="25"/>
      </w:r>
      <w:r w:rsidR="00ED5373" w:rsidRPr="005D6A3F">
        <w:rPr>
          <w:rFonts w:cstheme="minorHAnsi"/>
        </w:rPr>
        <w:t xml:space="preserve"> </w:t>
      </w:r>
      <w:r>
        <w:t>that host them. Although school buildings in some places incorporate integral improvements and solutions to basic accessibility it can be observed in new projects, that transport and surrounding itineraries are still inaccessible.</w:t>
      </w:r>
    </w:p>
    <w:p w14:paraId="201108B3" w14:textId="7A8D698E" w:rsidR="00E413A2" w:rsidRPr="00536548" w:rsidRDefault="005D6A3F" w:rsidP="00536548">
      <w:pPr>
        <w:ind w:firstLine="0"/>
        <w:rPr>
          <w:rFonts w:eastAsia="Times New Roman" w:cstheme="minorHAnsi"/>
          <w:b/>
          <w:bCs/>
          <w:i/>
          <w:u w:val="single"/>
        </w:rPr>
      </w:pPr>
      <w:bookmarkStart w:id="8" w:name="_ovbjdt1f20v9" w:colFirst="0" w:colLast="0"/>
      <w:bookmarkEnd w:id="8"/>
      <w:r w:rsidRPr="00536548">
        <w:rPr>
          <w:b/>
          <w:i/>
          <w:u w:val="single"/>
        </w:rPr>
        <w:t>SUGGESTED RECOMMENDATIONS TO THE STATE</w:t>
      </w:r>
      <w:r w:rsidR="00E413A2" w:rsidRPr="00536548">
        <w:rPr>
          <w:rFonts w:eastAsia="Times New Roman" w:cstheme="minorHAnsi"/>
          <w:b/>
          <w:bCs/>
          <w:i/>
          <w:u w:val="single"/>
        </w:rPr>
        <w:t>:</w:t>
      </w:r>
    </w:p>
    <w:p w14:paraId="6FAA4E47" w14:textId="77777777" w:rsidR="005D6A3F" w:rsidRDefault="005D6A3F" w:rsidP="002E2ECA">
      <w:pPr>
        <w:pStyle w:val="Prrafodelista"/>
        <w:numPr>
          <w:ilvl w:val="0"/>
          <w:numId w:val="20"/>
        </w:numPr>
      </w:pPr>
      <w:r>
        <w:t>Harmonizing the Protection Law of Girls, Boys and Teenagers in accordance with the Convention.</w:t>
      </w:r>
    </w:p>
    <w:p w14:paraId="7389ED54" w14:textId="77777777" w:rsidR="005D6A3F" w:rsidRDefault="005D6A3F" w:rsidP="002E2ECA">
      <w:pPr>
        <w:pStyle w:val="Prrafodelista"/>
        <w:numPr>
          <w:ilvl w:val="0"/>
          <w:numId w:val="20"/>
        </w:numPr>
      </w:pPr>
      <w:r>
        <w:t>Putting into practice programs to accompany families and include resources destined to support socio-educative inclusion and integral development of children and teenagers.</w:t>
      </w:r>
    </w:p>
    <w:tbl>
      <w:tblPr>
        <w:tblStyle w:val="Tablaconcuadrcula"/>
        <w:tblW w:w="0" w:type="auto"/>
        <w:tblLook w:val="04A0" w:firstRow="1" w:lastRow="0" w:firstColumn="1" w:lastColumn="0" w:noHBand="0" w:noVBand="1"/>
      </w:tblPr>
      <w:tblGrid>
        <w:gridCol w:w="9736"/>
      </w:tblGrid>
      <w:tr w:rsidR="00AD7597" w14:paraId="4198B772" w14:textId="77777777" w:rsidTr="00AD7597">
        <w:tc>
          <w:tcPr>
            <w:tcW w:w="9736" w:type="dxa"/>
            <w:shd w:val="clear" w:color="auto" w:fill="D5DCE4" w:themeFill="text2" w:themeFillTint="33"/>
          </w:tcPr>
          <w:p w14:paraId="18A9B530" w14:textId="56C0708D" w:rsidR="00AD7597" w:rsidRPr="00D16D1D" w:rsidRDefault="00F11C78" w:rsidP="00F11C78">
            <w:pPr>
              <w:pStyle w:val="Ttulo2"/>
              <w:jc w:val="center"/>
              <w:outlineLvl w:val="1"/>
              <w:rPr>
                <w:rFonts w:asciiTheme="minorHAnsi" w:eastAsia="Times New Roman" w:hAnsiTheme="minorHAnsi" w:cstheme="minorHAnsi"/>
                <w:b/>
                <w:bCs/>
                <w:color w:val="auto"/>
                <w:sz w:val="24"/>
                <w:szCs w:val="24"/>
                <w:lang w:val="es-AR"/>
              </w:rPr>
            </w:pPr>
            <w:bookmarkStart w:id="9" w:name="_Toc126310223"/>
            <w:r>
              <w:rPr>
                <w:rFonts w:asciiTheme="minorHAnsi" w:hAnsiTheme="minorHAnsi" w:cstheme="minorHAnsi"/>
                <w:b/>
                <w:color w:val="auto"/>
                <w:sz w:val="24"/>
                <w:szCs w:val="24"/>
              </w:rPr>
              <w:t>Article</w:t>
            </w:r>
            <w:r w:rsidR="005D6A3F" w:rsidRPr="00D16D1D">
              <w:rPr>
                <w:rFonts w:asciiTheme="minorHAnsi" w:hAnsiTheme="minorHAnsi" w:cstheme="minorHAnsi"/>
                <w:b/>
                <w:color w:val="auto"/>
                <w:sz w:val="24"/>
                <w:szCs w:val="24"/>
              </w:rPr>
              <w:t xml:space="preserve"> 9: </w:t>
            </w:r>
            <w:r>
              <w:rPr>
                <w:rFonts w:asciiTheme="minorHAnsi" w:hAnsiTheme="minorHAnsi" w:cstheme="minorHAnsi"/>
                <w:b/>
                <w:color w:val="auto"/>
                <w:sz w:val="24"/>
                <w:szCs w:val="24"/>
              </w:rPr>
              <w:t>Accessibility</w:t>
            </w:r>
            <w:bookmarkEnd w:id="9"/>
          </w:p>
        </w:tc>
      </w:tr>
    </w:tbl>
    <w:p w14:paraId="2EADB87E" w14:textId="77777777" w:rsidR="00415F98" w:rsidRDefault="00415F98" w:rsidP="002E2ECA">
      <w:pPr>
        <w:pStyle w:val="Ttulo3"/>
        <w:rPr>
          <w:lang w:val="es-AR"/>
        </w:rPr>
      </w:pPr>
    </w:p>
    <w:p w14:paraId="322818C9" w14:textId="3F6B9F74" w:rsidR="00A958E7" w:rsidRPr="00536548" w:rsidRDefault="005D6A3F" w:rsidP="00536548">
      <w:pPr>
        <w:ind w:firstLine="0"/>
        <w:rPr>
          <w:b/>
        </w:rPr>
      </w:pPr>
      <w:r w:rsidRPr="00536548">
        <w:rPr>
          <w:b/>
        </w:rPr>
        <w:t>WEB SCCESSIBILITY</w:t>
      </w:r>
    </w:p>
    <w:p w14:paraId="0DE33D7B" w14:textId="552FF1BE" w:rsidR="005D6A3F" w:rsidRDefault="005D6A3F" w:rsidP="00536548">
      <w:pPr>
        <w:rPr>
          <w:rFonts w:cstheme="minorHAnsi"/>
          <w:color w:val="000000"/>
        </w:rPr>
      </w:pPr>
      <w:r>
        <w:t xml:space="preserve">After more than 10 years of the passing of Law 26653 that compels the three branches of the State to count with accessible web sites, barriers to reach information and digital services still remain in spite of what was mentioned in the </w:t>
      </w:r>
      <w:r w:rsidR="00AA38E4">
        <w:t>Country report</w:t>
      </w:r>
      <w:r w:rsidR="009A0194">
        <w:rPr>
          <w:rStyle w:val="Refdenotaalpie"/>
          <w:rFonts w:cstheme="minorHAnsi"/>
          <w:color w:val="000000"/>
          <w:lang w:val="es-AR"/>
        </w:rPr>
        <w:footnoteReference w:id="26"/>
      </w:r>
      <w:r w:rsidR="00A958E7" w:rsidRPr="005D6A3F">
        <w:rPr>
          <w:rFonts w:cstheme="minorHAnsi"/>
          <w:color w:val="000000"/>
        </w:rPr>
        <w:t xml:space="preserve">. </w:t>
      </w:r>
      <w:r>
        <w:t xml:space="preserve">We remark on the lack of accessibility on the platform of Procedures at a distance from the national government to carry out digital arrangements </w:t>
      </w:r>
      <w:r w:rsidR="00A958E7" w:rsidRPr="003F612F">
        <w:rPr>
          <w:rStyle w:val="Refdenotaalpie"/>
          <w:rFonts w:cstheme="minorHAnsi"/>
          <w:color w:val="000000"/>
          <w:lang w:val="es-AR"/>
        </w:rPr>
        <w:footnoteReference w:id="27"/>
      </w:r>
      <w:r w:rsidR="009A0194" w:rsidRPr="005D6A3F">
        <w:rPr>
          <w:rFonts w:cstheme="minorHAnsi"/>
          <w:color w:val="000000"/>
        </w:rPr>
        <w:t>.</w:t>
      </w:r>
      <w:r w:rsidR="00A958E7" w:rsidRPr="005D6A3F">
        <w:rPr>
          <w:rFonts w:cstheme="minorHAnsi"/>
          <w:color w:val="000000"/>
        </w:rPr>
        <w:t xml:space="preserve"> </w:t>
      </w:r>
      <w:r>
        <w:t>This site does not allow blind people and poor eyesight to complete forms in a digital way, being inaccessible its use through screen readers. It is important to point out that the system is the way to in make comp</w:t>
      </w:r>
      <w:r w:rsidR="00F963EB">
        <w:t xml:space="preserve">laints that in some situations </w:t>
      </w:r>
      <w:r>
        <w:t>are really sensitive, as in the case, for example, of violence at work at a state level.</w:t>
      </w:r>
      <w:r w:rsidR="00800014" w:rsidRPr="005D6A3F">
        <w:rPr>
          <w:rFonts w:cstheme="minorHAnsi"/>
          <w:color w:val="000000"/>
        </w:rPr>
        <w:t>.</w:t>
      </w:r>
    </w:p>
    <w:p w14:paraId="2CFE7F7B" w14:textId="61BA6289" w:rsidR="005D6A3F" w:rsidRPr="005D6A3F" w:rsidRDefault="005D6A3F" w:rsidP="00536548">
      <w:pPr>
        <w:rPr>
          <w:rFonts w:cstheme="minorHAnsi"/>
        </w:rPr>
      </w:pPr>
      <w:r>
        <w:t xml:space="preserve">On the other hand, we are worried about the lack of accessibility of the mobile application developed by the National Government named “mi Argentina” in which you can get to personal information and carry out digital administrative procedures. The application requires authenticating biometric data for which you are asked to follow certain gestures very quickly taking as reference the color of the screen. </w:t>
      </w:r>
      <w:r w:rsidRPr="00416BC1">
        <w:t>These steps are inaccessible for visual and intellectual PWD.</w:t>
      </w:r>
    </w:p>
    <w:p w14:paraId="31E4BABC" w14:textId="77777777" w:rsidR="005D6A3F" w:rsidRDefault="005D6A3F" w:rsidP="00536548">
      <w:pPr>
        <w:rPr>
          <w:rFonts w:cstheme="minorHAnsi"/>
          <w:color w:val="000000"/>
        </w:rPr>
      </w:pPr>
      <w:r>
        <w:lastRenderedPageBreak/>
        <w:t>The lack of accessibility of official applications and platforms has affected the fulfillment of digital procedures during the covid-19 pandemic. As these were the only authorized ways due to the circulation restrictions, PWD have seen their autonomy cut off</w:t>
      </w:r>
      <w:r w:rsidR="00E67741" w:rsidRPr="003F612F">
        <w:rPr>
          <w:rStyle w:val="Refdenotaalpie"/>
          <w:rFonts w:cstheme="minorHAnsi"/>
          <w:color w:val="000000"/>
          <w:lang w:val="es-AR"/>
        </w:rPr>
        <w:footnoteReference w:id="28"/>
      </w:r>
      <w:r w:rsidR="007D74A3" w:rsidRPr="005D6A3F">
        <w:rPr>
          <w:rFonts w:cstheme="minorHAnsi"/>
          <w:color w:val="000000"/>
        </w:rPr>
        <w:t>.</w:t>
      </w:r>
    </w:p>
    <w:p w14:paraId="7D536370" w14:textId="2EDC8DB9" w:rsidR="005D6A3F" w:rsidRPr="005D6A3F" w:rsidRDefault="005D6A3F" w:rsidP="00536548">
      <w:pPr>
        <w:rPr>
          <w:rFonts w:cstheme="minorHAnsi"/>
          <w:color w:val="000000"/>
        </w:rPr>
      </w:pPr>
      <w:r>
        <w:t>For the PWD working in the State, the system of Electronic Document Management (GDE) also results inaccessible, which limits the possibility of the visual PWD to manage their licenses, vacations and official communications, apart from carrying out administrative tasks when leading a work group.</w:t>
      </w:r>
    </w:p>
    <w:p w14:paraId="294939B9" w14:textId="77777777" w:rsidR="005D6A3F" w:rsidRPr="00536548" w:rsidRDefault="005D6A3F" w:rsidP="00536548">
      <w:pPr>
        <w:ind w:firstLine="0"/>
        <w:rPr>
          <w:b/>
        </w:rPr>
      </w:pPr>
      <w:r w:rsidRPr="00536548">
        <w:rPr>
          <w:b/>
        </w:rPr>
        <w:t>PEDESTRIAN ACCESSIBILITY AND MOBILITY</w:t>
      </w:r>
    </w:p>
    <w:p w14:paraId="66867AC8" w14:textId="7D07B299" w:rsidR="006C4EAC" w:rsidRPr="00691859" w:rsidRDefault="00691859" w:rsidP="00536548">
      <w:pPr>
        <w:rPr>
          <w:rFonts w:cstheme="minorHAnsi"/>
        </w:rPr>
      </w:pPr>
      <w:r>
        <w:t xml:space="preserve">It is pointed out the absence of infrastructure and accessibility devices in support to an accessible pedestrian movement. In particular, there is a marked gap in terms of accessibility among those who live in the City of Buenos Aires and in the rest of the country. The current mobility conditions intensify the disabling barriers, generate isolation, greater vulnerability and widen the gap between those who can pay for a personal transport and those who cannot. There is dissociation between high investments on highways and roads </w:t>
      </w:r>
      <w:r w:rsidR="006C4EAC" w:rsidRPr="003F612F">
        <w:rPr>
          <w:rFonts w:cstheme="minorHAnsi"/>
          <w:vertAlign w:val="superscript"/>
          <w:lang w:val="es-AR"/>
        </w:rPr>
        <w:footnoteReference w:id="29"/>
      </w:r>
      <w:r w:rsidR="006C4EAC" w:rsidRPr="00691859">
        <w:rPr>
          <w:rFonts w:cstheme="minorHAnsi"/>
        </w:rPr>
        <w:t xml:space="preserve"> </w:t>
      </w:r>
      <w:r>
        <w:t>and the putting into practice of inclusive social practices to generate safe and accessible paths and pedestrian</w:t>
      </w:r>
      <w:r w:rsidR="006C4EAC" w:rsidRPr="003F612F">
        <w:rPr>
          <w:rFonts w:cstheme="minorHAnsi"/>
          <w:vertAlign w:val="superscript"/>
          <w:lang w:val="es-AR"/>
        </w:rPr>
        <w:footnoteReference w:id="30"/>
      </w:r>
      <w:r w:rsidR="009A0194" w:rsidRPr="00691859">
        <w:rPr>
          <w:rFonts w:cstheme="minorHAnsi"/>
        </w:rPr>
        <w:t>.</w:t>
      </w:r>
    </w:p>
    <w:p w14:paraId="1813A608" w14:textId="77777777" w:rsidR="00691859" w:rsidRPr="00536548" w:rsidRDefault="00691859" w:rsidP="00536548">
      <w:pPr>
        <w:ind w:firstLine="0"/>
        <w:rPr>
          <w:b/>
        </w:rPr>
      </w:pPr>
      <w:r w:rsidRPr="00536548">
        <w:rPr>
          <w:b/>
        </w:rPr>
        <w:t>BUILDING ACCESSIBILITY</w:t>
      </w:r>
    </w:p>
    <w:p w14:paraId="241A59F5" w14:textId="34242ED0" w:rsidR="00B737A6" w:rsidRPr="00691859" w:rsidRDefault="00691859" w:rsidP="00536548">
      <w:pPr>
        <w:rPr>
          <w:rFonts w:cstheme="minorHAnsi"/>
        </w:rPr>
      </w:pPr>
      <w:r>
        <w:t>In spite of what was announced by the Minister of Environment and Territorial Development as regards the right to decent housing throughout the country, only one out the forty models of selected  one-family houses</w:t>
      </w:r>
      <w:r w:rsidR="00B737A6" w:rsidRPr="003F612F">
        <w:rPr>
          <w:rFonts w:cstheme="minorHAnsi"/>
          <w:vertAlign w:val="superscript"/>
          <w:lang w:val="es-AR"/>
        </w:rPr>
        <w:footnoteReference w:id="31"/>
      </w:r>
      <w:r w:rsidR="00B737A6" w:rsidRPr="00691859">
        <w:rPr>
          <w:rFonts w:cstheme="minorHAnsi"/>
        </w:rPr>
        <w:t xml:space="preserve"> </w:t>
      </w:r>
      <w:r>
        <w:t>shows conditions of enough space for users of wheelchairs. Although “universal accessibility” is pointed out as one more criteria of evaluation, the other 39 models do not count on clear conditions of visitability or adaptability. Because of this, it cannot be said that they offer basic or potential conditions of accessibility. In the plans of urban development, financing of reasonable adjustment a means to guarantee accessibility of and in the house is not considered, which is restricted for those who cannot afford it</w:t>
      </w:r>
      <w:r w:rsidR="005279B3" w:rsidRPr="00691859">
        <w:rPr>
          <w:rFonts w:cstheme="minorHAnsi"/>
        </w:rPr>
        <w:t>.</w:t>
      </w:r>
    </w:p>
    <w:p w14:paraId="21F9C793" w14:textId="5C64C223" w:rsidR="00B737A6" w:rsidRPr="00691859" w:rsidRDefault="00691859" w:rsidP="00536548">
      <w:pPr>
        <w:rPr>
          <w:rFonts w:cstheme="minorHAnsi"/>
        </w:rPr>
      </w:pPr>
      <w:r w:rsidRPr="00691859">
        <w:t>In the City of Buenos Aires, the Council has passed a discriminatory Building Code</w:t>
      </w:r>
      <w:r w:rsidRPr="00691859">
        <w:rPr>
          <w:rFonts w:cstheme="minorHAnsi"/>
          <w:vertAlign w:val="superscript"/>
        </w:rPr>
        <w:t xml:space="preserve"> </w:t>
      </w:r>
      <w:r w:rsidR="00B737A6" w:rsidRPr="003F612F">
        <w:rPr>
          <w:rFonts w:cstheme="minorHAnsi"/>
          <w:vertAlign w:val="superscript"/>
          <w:lang w:val="es-AR"/>
        </w:rPr>
        <w:footnoteReference w:id="32"/>
      </w:r>
      <w:r w:rsidR="00B737A6" w:rsidRPr="00691859">
        <w:rPr>
          <w:rFonts w:cstheme="minorHAnsi"/>
        </w:rPr>
        <w:t xml:space="preserve"> </w:t>
      </w:r>
      <w:r w:rsidRPr="00691859">
        <w:t>and is also regressive</w:t>
      </w:r>
      <w:r w:rsidRPr="00691859">
        <w:rPr>
          <w:rFonts w:cstheme="minorHAnsi"/>
          <w:vertAlign w:val="superscript"/>
        </w:rPr>
        <w:t xml:space="preserve"> </w:t>
      </w:r>
      <w:r w:rsidR="00B737A6" w:rsidRPr="003F612F">
        <w:rPr>
          <w:rFonts w:cstheme="minorHAnsi"/>
          <w:vertAlign w:val="superscript"/>
          <w:lang w:val="es-AR"/>
        </w:rPr>
        <w:footnoteReference w:id="33"/>
      </w:r>
      <w:r w:rsidR="00B737A6" w:rsidRPr="00691859">
        <w:rPr>
          <w:rFonts w:cstheme="minorHAnsi"/>
        </w:rPr>
        <w:t xml:space="preserve"> </w:t>
      </w:r>
      <w:r w:rsidRPr="00691859">
        <w:t>compared to the previous one, reducing the minimum admissible dimensions for decent housing, allowing inaccessible bathrooms that make it difficult for the PWD living in them, to use them; particularly those with motor limitations and those who require assistance.</w:t>
      </w:r>
    </w:p>
    <w:p w14:paraId="0D7D0807" w14:textId="34292924" w:rsidR="00691859" w:rsidRPr="00536548" w:rsidRDefault="00536548" w:rsidP="00536548">
      <w:pPr>
        <w:ind w:firstLine="0"/>
        <w:rPr>
          <w:b/>
          <w:i/>
          <w:u w:val="single"/>
        </w:rPr>
      </w:pPr>
      <w:r w:rsidRPr="00536548">
        <w:rPr>
          <w:b/>
          <w:i/>
          <w:u w:val="single"/>
        </w:rPr>
        <w:t>S</w:t>
      </w:r>
      <w:r w:rsidR="00691859" w:rsidRPr="00536548">
        <w:rPr>
          <w:b/>
          <w:i/>
          <w:u w:val="single"/>
        </w:rPr>
        <w:t>UGGESTED RECOMMENDATIONS TO THE STATE</w:t>
      </w:r>
    </w:p>
    <w:p w14:paraId="51B8E8E1" w14:textId="77777777" w:rsidR="00691859" w:rsidRPr="00315B6C" w:rsidRDefault="00691859" w:rsidP="002E2ECA">
      <w:pPr>
        <w:pStyle w:val="Prrafodelista"/>
        <w:numPr>
          <w:ilvl w:val="0"/>
          <w:numId w:val="21"/>
        </w:numPr>
        <w:rPr>
          <w:b/>
          <w:sz w:val="18"/>
          <w:szCs w:val="18"/>
          <w:u w:val="single"/>
        </w:rPr>
      </w:pPr>
      <w:r w:rsidRPr="00315B6C">
        <w:rPr>
          <w:b/>
          <w:u w:val="single"/>
        </w:rPr>
        <w:t>URGENT RECOMMENDATION</w:t>
      </w:r>
      <w:r w:rsidRPr="00315B6C">
        <w:rPr>
          <w:b/>
          <w:sz w:val="18"/>
          <w:szCs w:val="18"/>
          <w:u w:val="single"/>
        </w:rPr>
        <w:t xml:space="preserve">: </w:t>
      </w:r>
      <w:r w:rsidRPr="00315B6C">
        <w:rPr>
          <w:sz w:val="18"/>
          <w:szCs w:val="18"/>
        </w:rPr>
        <w:t xml:space="preserve"> </w:t>
      </w:r>
      <w:r w:rsidRPr="00315B6C">
        <w:t>Promote accessibility to online Procedures</w:t>
      </w:r>
      <w:r>
        <w:t>.</w:t>
      </w:r>
    </w:p>
    <w:p w14:paraId="3DCAD262" w14:textId="77777777" w:rsidR="00691859" w:rsidRPr="00315B6C" w:rsidRDefault="00691859" w:rsidP="002E2ECA">
      <w:pPr>
        <w:pStyle w:val="Prrafodelista"/>
        <w:numPr>
          <w:ilvl w:val="0"/>
          <w:numId w:val="21"/>
        </w:numPr>
        <w:rPr>
          <w:b/>
          <w:sz w:val="18"/>
          <w:szCs w:val="18"/>
          <w:u w:val="single"/>
        </w:rPr>
      </w:pPr>
      <w:r>
        <w:t>Putting into practice mechanisms of supervision evaluation and sanction due to the breach of Web Pages Law.</w:t>
      </w:r>
    </w:p>
    <w:p w14:paraId="28F5E0DB" w14:textId="77777777" w:rsidR="00691859" w:rsidRPr="00691859" w:rsidRDefault="00691859" w:rsidP="002E2ECA">
      <w:pPr>
        <w:pStyle w:val="Prrafodelista"/>
        <w:numPr>
          <w:ilvl w:val="0"/>
          <w:numId w:val="21"/>
        </w:numPr>
        <w:rPr>
          <w:b/>
          <w:sz w:val="18"/>
          <w:szCs w:val="18"/>
          <w:u w:val="single"/>
        </w:rPr>
      </w:pPr>
      <w:r>
        <w:lastRenderedPageBreak/>
        <w:t>Carrying out mechanisms to verify and promote measures of physical accessibility that would include rural and urban areas as well as every cross-disciplinary measure in the field of public work.</w:t>
      </w:r>
    </w:p>
    <w:p w14:paraId="7C693949" w14:textId="77777777" w:rsidR="00691859" w:rsidRPr="00315B6C" w:rsidRDefault="00691859" w:rsidP="002E2ECA">
      <w:pPr>
        <w:pStyle w:val="Prrafodelista"/>
      </w:pPr>
    </w:p>
    <w:tbl>
      <w:tblPr>
        <w:tblStyle w:val="Tablaconcuadrcula"/>
        <w:tblW w:w="0" w:type="auto"/>
        <w:tblLook w:val="04A0" w:firstRow="1" w:lastRow="0" w:firstColumn="1" w:lastColumn="0" w:noHBand="0" w:noVBand="1"/>
      </w:tblPr>
      <w:tblGrid>
        <w:gridCol w:w="9736"/>
      </w:tblGrid>
      <w:tr w:rsidR="00E413A2" w:rsidRPr="00416BC1" w14:paraId="7338BA89" w14:textId="77777777" w:rsidTr="00852258">
        <w:tc>
          <w:tcPr>
            <w:tcW w:w="9736" w:type="dxa"/>
            <w:shd w:val="clear" w:color="auto" w:fill="D5DCE4" w:themeFill="text2" w:themeFillTint="33"/>
          </w:tcPr>
          <w:p w14:paraId="35C5757B" w14:textId="237143A2" w:rsidR="00E413A2" w:rsidRPr="00D66714" w:rsidRDefault="00F11C78" w:rsidP="00F11C78">
            <w:pPr>
              <w:pStyle w:val="Ttulo2"/>
              <w:jc w:val="center"/>
              <w:outlineLvl w:val="1"/>
              <w:rPr>
                <w:rFonts w:asciiTheme="minorHAnsi" w:eastAsia="Times New Roman" w:hAnsiTheme="minorHAnsi" w:cstheme="minorHAnsi"/>
                <w:b/>
                <w:bCs/>
                <w:color w:val="auto"/>
                <w:sz w:val="24"/>
                <w:szCs w:val="24"/>
              </w:rPr>
            </w:pPr>
            <w:bookmarkStart w:id="10" w:name="_Toc126310224"/>
            <w:r>
              <w:rPr>
                <w:rFonts w:asciiTheme="minorHAnsi" w:hAnsiTheme="minorHAnsi" w:cstheme="minorHAnsi"/>
                <w:b/>
                <w:color w:val="auto"/>
                <w:sz w:val="24"/>
                <w:szCs w:val="24"/>
              </w:rPr>
              <w:t>Article</w:t>
            </w:r>
            <w:r w:rsidR="00954622" w:rsidRPr="00D66714">
              <w:rPr>
                <w:rFonts w:asciiTheme="minorHAnsi" w:hAnsiTheme="minorHAnsi" w:cstheme="minorHAnsi"/>
                <w:b/>
                <w:color w:val="auto"/>
                <w:sz w:val="24"/>
                <w:szCs w:val="24"/>
              </w:rPr>
              <w:t xml:space="preserve"> 11: </w:t>
            </w:r>
            <w:r>
              <w:rPr>
                <w:rFonts w:asciiTheme="minorHAnsi" w:hAnsiTheme="minorHAnsi" w:cstheme="minorHAnsi"/>
                <w:b/>
                <w:color w:val="auto"/>
                <w:sz w:val="24"/>
                <w:szCs w:val="24"/>
              </w:rPr>
              <w:t>Situations of risk and right to life</w:t>
            </w:r>
            <w:bookmarkEnd w:id="10"/>
          </w:p>
        </w:tc>
      </w:tr>
    </w:tbl>
    <w:p w14:paraId="0C29FB1B" w14:textId="03E704B5" w:rsidR="00E413A2" w:rsidRPr="00416BC1" w:rsidRDefault="003956CC" w:rsidP="00536548">
      <w:pPr>
        <w:rPr>
          <w:rFonts w:eastAsia="Times New Roman" w:cstheme="minorHAnsi"/>
          <w:color w:val="000000"/>
          <w:lang w:eastAsia="en-GB"/>
        </w:rPr>
      </w:pPr>
      <w:r>
        <w:t>The Covid-19 pandemic has shown that the PWD are more exposed in situations of humanitarian risk. A resolution published by the National Executive Power in March, 2020</w:t>
      </w:r>
      <w:r w:rsidR="00E66555" w:rsidRPr="003F612F">
        <w:rPr>
          <w:rStyle w:val="Refdenotaalpie"/>
          <w:rFonts w:eastAsia="Times New Roman" w:cstheme="minorHAnsi"/>
          <w:color w:val="000000"/>
          <w:lang w:val="es-AR" w:eastAsia="en-GB"/>
        </w:rPr>
        <w:footnoteReference w:id="34"/>
      </w:r>
      <w:r w:rsidR="00E413A2" w:rsidRPr="00416BC1">
        <w:rPr>
          <w:rFonts w:eastAsia="Times New Roman" w:cstheme="minorHAnsi"/>
          <w:color w:val="000000"/>
          <w:lang w:eastAsia="en-GB"/>
        </w:rPr>
        <w:t xml:space="preserve"> </w:t>
      </w:r>
      <w:r>
        <w:t>admitted that the PWD collective was one of the groups at risk facing this illness. However, adequate measures have not been taken to guarantee the autonomy and independence of PWD and the information provided was no accessible</w:t>
      </w:r>
      <w:r w:rsidR="00E22C0D" w:rsidRPr="003F612F">
        <w:rPr>
          <w:rStyle w:val="Refdenotaalpie"/>
          <w:rFonts w:eastAsia="Times New Roman" w:cstheme="minorHAnsi"/>
          <w:color w:val="000000"/>
          <w:lang w:val="es-AR" w:eastAsia="en-GB"/>
        </w:rPr>
        <w:footnoteReference w:id="35"/>
      </w:r>
      <w:r w:rsidR="00E22C0D" w:rsidRPr="00416BC1">
        <w:rPr>
          <w:rFonts w:eastAsia="Times New Roman" w:cstheme="minorHAnsi"/>
          <w:color w:val="000000"/>
          <w:lang w:eastAsia="en-GB"/>
        </w:rPr>
        <w:t xml:space="preserve">. </w:t>
      </w:r>
    </w:p>
    <w:p w14:paraId="4192F268" w14:textId="10312313" w:rsidR="00E413A2" w:rsidRPr="00CE2E71" w:rsidRDefault="00CE2E71" w:rsidP="00536548">
      <w:r>
        <w:t>ANDiS created an Experts Committee</w:t>
      </w:r>
      <w:r w:rsidR="006C7F68" w:rsidRPr="00936DFE">
        <w:rPr>
          <w:rStyle w:val="Refdenotaalpie"/>
          <w:rFonts w:ascii="Calibri" w:hAnsi="Calibri" w:cs="Calibri"/>
          <w:shd w:val="clear" w:color="auto" w:fill="FFFFFF"/>
        </w:rPr>
        <w:footnoteReference w:id="36"/>
      </w:r>
      <w:r w:rsidR="00AF6609" w:rsidRPr="00416BC1">
        <w:rPr>
          <w:rFonts w:ascii="Calibri" w:hAnsi="Calibri" w:cs="Calibri"/>
          <w:shd w:val="clear" w:color="auto" w:fill="FFFFFF"/>
        </w:rPr>
        <w:t xml:space="preserve"> </w:t>
      </w:r>
      <w:r>
        <w:t xml:space="preserve">to work on the impact of Covid-19, but there is no information about the investigation or the results obtained. Results on the National Plan of Risk Reduction and Disasters that the </w:t>
      </w:r>
      <w:r w:rsidR="00AA38E4">
        <w:t>Country report</w:t>
      </w:r>
      <w:r w:rsidR="00F63A4D">
        <w:rPr>
          <w:rStyle w:val="Refdenotaalpie"/>
          <w:rFonts w:eastAsia="Times New Roman" w:cstheme="minorHAnsi"/>
          <w:bCs/>
        </w:rPr>
        <w:footnoteReference w:id="37"/>
      </w:r>
      <w:r>
        <w:t xml:space="preserve"> mentions and carried out by ANDIS are not known either</w:t>
      </w:r>
      <w:r w:rsidR="00D93049" w:rsidRPr="00416BC1">
        <w:rPr>
          <w:rFonts w:eastAsia="Times New Roman" w:cstheme="minorHAnsi"/>
          <w:bCs/>
        </w:rPr>
        <w:t xml:space="preserve">. </w:t>
      </w:r>
      <w:r>
        <w:t>A report</w:t>
      </w:r>
      <w:r w:rsidR="00E413A2" w:rsidRPr="00D93049">
        <w:rPr>
          <w:rStyle w:val="Refdenotaalpie"/>
          <w:rFonts w:eastAsia="Times New Roman" w:cstheme="minorHAnsi"/>
          <w:lang w:val="es-AR" w:eastAsia="en-GB"/>
        </w:rPr>
        <w:footnoteReference w:id="38"/>
      </w:r>
      <w:r w:rsidR="00E413A2" w:rsidRPr="00416BC1">
        <w:rPr>
          <w:rFonts w:eastAsia="Times New Roman" w:cstheme="minorHAnsi"/>
          <w:lang w:eastAsia="en-GB"/>
        </w:rPr>
        <w:t xml:space="preserve"> </w:t>
      </w:r>
      <w:r>
        <w:t xml:space="preserve">published by </w:t>
      </w:r>
      <w:r w:rsidR="00F963EB">
        <w:t>ANDIS</w:t>
      </w:r>
      <w:r>
        <w:t>, with data gathered until September, 23</w:t>
      </w:r>
      <w:r w:rsidRPr="00AB6E14">
        <w:rPr>
          <w:vertAlign w:val="superscript"/>
        </w:rPr>
        <w:t>rd</w:t>
      </w:r>
      <w:r>
        <w:t>. 2020, showed that 9% of all dead people by Covid-19 throughout the country were PWD</w:t>
      </w:r>
      <w:r w:rsidRPr="00416BC1">
        <w:rPr>
          <w:rStyle w:val="Refdenotaalpie"/>
          <w:rFonts w:eastAsia="Times New Roman" w:cstheme="minorHAnsi"/>
          <w:color w:val="000000"/>
          <w:lang w:eastAsia="en-GB"/>
        </w:rPr>
        <w:t xml:space="preserve"> </w:t>
      </w:r>
      <w:r w:rsidR="00E413A2" w:rsidRPr="003F612F">
        <w:rPr>
          <w:rStyle w:val="Refdenotaalpie"/>
          <w:rFonts w:eastAsia="Times New Roman" w:cstheme="minorHAnsi"/>
          <w:color w:val="000000"/>
          <w:lang w:val="es-AR" w:eastAsia="en-GB"/>
        </w:rPr>
        <w:footnoteReference w:id="39"/>
      </w:r>
      <w:r w:rsidR="00E413A2" w:rsidRPr="00416BC1">
        <w:rPr>
          <w:rFonts w:eastAsia="Times New Roman" w:cstheme="minorHAnsi"/>
          <w:color w:val="000000"/>
          <w:lang w:eastAsia="en-GB"/>
        </w:rPr>
        <w:t xml:space="preserve">. </w:t>
      </w:r>
      <w:r>
        <w:t>As regards the recovered people, the report pointed out a minor proportion of PWD with Certificate of Disability (CUD). On the other hand, PWD were not considered as a priority group to have access to vaccines.</w:t>
      </w:r>
    </w:p>
    <w:p w14:paraId="16507CF9" w14:textId="4B189E98" w:rsidR="00D140C5" w:rsidRPr="00416BC1" w:rsidRDefault="00CE2E71" w:rsidP="00536548">
      <w:pPr>
        <w:rPr>
          <w:rFonts w:eastAsia="Times New Roman" w:cstheme="minorHAnsi"/>
          <w:color w:val="000000"/>
          <w:lang w:eastAsia="en-GB"/>
        </w:rPr>
      </w:pPr>
      <w:r>
        <w:t>It is pointed out that in pandemic context access to health services for PWD who needed company became more complex. Only two months later after preventive social and obligatory confinement</w:t>
      </w:r>
      <w:r w:rsidR="001C409F" w:rsidRPr="00F63A4D">
        <w:rPr>
          <w:rStyle w:val="Refdenotaalpie"/>
          <w:rFonts w:eastAsia="Times New Roman" w:cstheme="minorHAnsi"/>
          <w:color w:val="000000"/>
          <w:lang w:val="es-AR" w:eastAsia="en-GB"/>
        </w:rPr>
        <w:footnoteReference w:id="40"/>
      </w:r>
      <w:r w:rsidR="007E5BE6" w:rsidRPr="00416BC1">
        <w:rPr>
          <w:rFonts w:eastAsia="Times New Roman" w:cstheme="minorHAnsi"/>
          <w:color w:val="000000"/>
          <w:lang w:eastAsia="en-GB"/>
        </w:rPr>
        <w:t>,</w:t>
      </w:r>
      <w:r w:rsidR="00F63A4D" w:rsidRPr="00416BC1">
        <w:rPr>
          <w:rFonts w:eastAsia="Times New Roman" w:cstheme="minorHAnsi"/>
          <w:color w:val="000000"/>
          <w:lang w:eastAsia="en-GB"/>
        </w:rPr>
        <w:t xml:space="preserve"> </w:t>
      </w:r>
      <w:r>
        <w:t>the Ministry of Health published a protocol of recommendations for the confinement of PWD suffering from Covid-19</w:t>
      </w:r>
      <w:r w:rsidR="00D140C5" w:rsidRPr="003F612F">
        <w:rPr>
          <w:rStyle w:val="Refdenotaalpie"/>
          <w:rFonts w:eastAsia="Times New Roman" w:cstheme="minorHAnsi"/>
          <w:color w:val="000000"/>
          <w:lang w:val="es-AR" w:eastAsia="en-GB"/>
        </w:rPr>
        <w:footnoteReference w:id="41"/>
      </w:r>
      <w:r w:rsidR="00D140C5" w:rsidRPr="00416BC1">
        <w:rPr>
          <w:rFonts w:eastAsia="Times New Roman" w:cstheme="minorHAnsi"/>
          <w:color w:val="000000"/>
          <w:lang w:eastAsia="en-GB"/>
        </w:rPr>
        <w:t xml:space="preserve">, </w:t>
      </w:r>
      <w:r w:rsidRPr="00416BC1">
        <w:rPr>
          <w:rFonts w:eastAsia="Times New Roman" w:cstheme="minorHAnsi"/>
          <w:color w:val="000000"/>
          <w:lang w:eastAsia="en-GB"/>
        </w:rPr>
        <w:t>designate</w:t>
      </w:r>
      <w:r w:rsidR="00954622" w:rsidRPr="00416BC1">
        <w:rPr>
          <w:rFonts w:eastAsia="Times New Roman" w:cstheme="minorHAnsi"/>
          <w:color w:val="000000"/>
          <w:lang w:eastAsia="en-GB"/>
        </w:rPr>
        <w:t>d</w:t>
      </w:r>
      <w:r>
        <w:t xml:space="preserve"> together with ANDIS, which was not enough, as the Health staff was not trained on how to treat PWD.</w:t>
      </w:r>
    </w:p>
    <w:p w14:paraId="0800DB5A" w14:textId="2D61820A" w:rsidR="00817D63" w:rsidRPr="00416BC1" w:rsidRDefault="001C409F" w:rsidP="00C5420E">
      <w:r w:rsidRPr="00416BC1">
        <w:rPr>
          <w:rFonts w:eastAsia="Times New Roman" w:cstheme="minorHAnsi"/>
          <w:color w:val="000000"/>
          <w:lang w:eastAsia="en-GB"/>
        </w:rPr>
        <w:tab/>
      </w:r>
      <w:r w:rsidR="00CE2E71">
        <w:t xml:space="preserve">A National Plan of Risks, which is mentioned in the </w:t>
      </w:r>
      <w:r w:rsidR="00AA38E4">
        <w:t>Country report</w:t>
      </w:r>
      <w:r w:rsidR="00CE2E71">
        <w:t>, does not count with a Disability Perspective and the PWD organizations have not</w:t>
      </w:r>
      <w:r w:rsidR="00C5420E">
        <w:t xml:space="preserve"> been consulted for its design.</w:t>
      </w:r>
    </w:p>
    <w:p w14:paraId="76546238" w14:textId="5C6A0A14" w:rsidR="00954622" w:rsidRPr="00536548" w:rsidRDefault="00954622" w:rsidP="00536548">
      <w:pPr>
        <w:ind w:firstLine="0"/>
        <w:rPr>
          <w:b/>
          <w:i/>
          <w:u w:val="single"/>
        </w:rPr>
      </w:pPr>
      <w:r w:rsidRPr="00536548">
        <w:rPr>
          <w:b/>
          <w:i/>
          <w:u w:val="single"/>
        </w:rPr>
        <w:t>SUGGESTED RECOMMEN</w:t>
      </w:r>
      <w:r w:rsidR="00F963EB">
        <w:rPr>
          <w:b/>
          <w:i/>
          <w:u w:val="single"/>
        </w:rPr>
        <w:t>DATIONS TO THE STATE</w:t>
      </w:r>
    </w:p>
    <w:p w14:paraId="1E4903F1" w14:textId="77777777" w:rsidR="00954622" w:rsidRDefault="00954622" w:rsidP="002E2ECA">
      <w:pPr>
        <w:pStyle w:val="Prrafodelista"/>
        <w:numPr>
          <w:ilvl w:val="0"/>
          <w:numId w:val="22"/>
        </w:numPr>
      </w:pPr>
      <w:r>
        <w:t>Inclusion of Disability Perspective in the National Plan of Risks related to the reduction of disaster risks and mechanisms of existing early alert in risky situations and humanitarian perspective.</w:t>
      </w:r>
    </w:p>
    <w:p w14:paraId="4C6F87F7" w14:textId="77777777" w:rsidR="00536548" w:rsidRDefault="00954622" w:rsidP="00536548">
      <w:pPr>
        <w:pStyle w:val="Prrafodelista"/>
        <w:numPr>
          <w:ilvl w:val="0"/>
          <w:numId w:val="22"/>
        </w:numPr>
      </w:pPr>
      <w:r>
        <w:t>Public statistics on the incidence of Covid-19 on PWD in order to build indicators and take measures in the future to reduce the damage that a new similar situation could cause.</w:t>
      </w:r>
    </w:p>
    <w:p w14:paraId="44800F29" w14:textId="3A7F33D1" w:rsidR="00F077E1" w:rsidRPr="00536548" w:rsidRDefault="00954622" w:rsidP="00536548">
      <w:pPr>
        <w:pStyle w:val="Prrafodelista"/>
        <w:numPr>
          <w:ilvl w:val="0"/>
          <w:numId w:val="22"/>
        </w:numPr>
      </w:pPr>
      <w:r>
        <w:t>Training of Health Staff in relation to the needs of PWD to count on supports on medical attention and confinement under risky situations or humanitarian emergencies.</w:t>
      </w:r>
    </w:p>
    <w:tbl>
      <w:tblPr>
        <w:tblStyle w:val="Tablaconcuadrcula"/>
        <w:tblW w:w="0" w:type="auto"/>
        <w:tblLook w:val="04A0" w:firstRow="1" w:lastRow="0" w:firstColumn="1" w:lastColumn="0" w:noHBand="0" w:noVBand="1"/>
      </w:tblPr>
      <w:tblGrid>
        <w:gridCol w:w="9736"/>
      </w:tblGrid>
      <w:tr w:rsidR="00600D59" w:rsidRPr="00416BC1" w14:paraId="21EA9E52" w14:textId="77777777" w:rsidTr="00600D59">
        <w:tc>
          <w:tcPr>
            <w:tcW w:w="9736" w:type="dxa"/>
            <w:shd w:val="clear" w:color="auto" w:fill="D5DCE4" w:themeFill="text2" w:themeFillTint="33"/>
          </w:tcPr>
          <w:p w14:paraId="5B4C872D" w14:textId="1DD07BB2" w:rsidR="00600D59" w:rsidRPr="00FF6472" w:rsidRDefault="00F11C78" w:rsidP="00F11C78">
            <w:pPr>
              <w:pStyle w:val="Ttulo2"/>
              <w:jc w:val="center"/>
              <w:outlineLvl w:val="1"/>
              <w:rPr>
                <w:rFonts w:asciiTheme="minorHAnsi" w:eastAsia="Times New Roman" w:hAnsiTheme="minorHAnsi" w:cstheme="minorHAnsi"/>
                <w:b/>
                <w:bCs/>
                <w:color w:val="auto"/>
                <w:sz w:val="24"/>
                <w:szCs w:val="24"/>
                <w:lang w:eastAsia="en-GB"/>
              </w:rPr>
            </w:pPr>
            <w:bookmarkStart w:id="11" w:name="_Toc126310225"/>
            <w:r>
              <w:rPr>
                <w:rFonts w:asciiTheme="minorHAnsi" w:hAnsiTheme="minorHAnsi" w:cstheme="minorHAnsi"/>
                <w:b/>
                <w:color w:val="auto"/>
                <w:sz w:val="24"/>
                <w:szCs w:val="24"/>
              </w:rPr>
              <w:lastRenderedPageBreak/>
              <w:t>Article</w:t>
            </w:r>
            <w:r w:rsidR="00954622" w:rsidRPr="00FF6472">
              <w:rPr>
                <w:rFonts w:asciiTheme="minorHAnsi" w:hAnsiTheme="minorHAnsi" w:cstheme="minorHAnsi"/>
                <w:b/>
                <w:color w:val="auto"/>
                <w:sz w:val="24"/>
                <w:szCs w:val="24"/>
              </w:rPr>
              <w:t xml:space="preserve"> 12: </w:t>
            </w:r>
            <w:r>
              <w:rPr>
                <w:rFonts w:asciiTheme="minorHAnsi" w:hAnsiTheme="minorHAnsi" w:cstheme="minorHAnsi"/>
                <w:b/>
                <w:color w:val="auto"/>
                <w:sz w:val="24"/>
                <w:szCs w:val="24"/>
              </w:rPr>
              <w:t>Same recognition as</w:t>
            </w:r>
            <w:r w:rsidR="00954622" w:rsidRPr="00FF6472">
              <w:rPr>
                <w:rFonts w:asciiTheme="minorHAnsi" w:hAnsiTheme="minorHAnsi" w:cstheme="minorHAnsi"/>
                <w:b/>
                <w:color w:val="auto"/>
                <w:sz w:val="24"/>
                <w:szCs w:val="24"/>
              </w:rPr>
              <w:t xml:space="preserve"> </w:t>
            </w:r>
            <w:r>
              <w:rPr>
                <w:rFonts w:asciiTheme="minorHAnsi" w:hAnsiTheme="minorHAnsi" w:cstheme="minorHAnsi"/>
                <w:b/>
                <w:color w:val="auto"/>
                <w:sz w:val="24"/>
                <w:szCs w:val="24"/>
              </w:rPr>
              <w:t>person before the law</w:t>
            </w:r>
            <w:r w:rsidR="00954622" w:rsidRPr="00FF6472">
              <w:rPr>
                <w:rStyle w:val="Refdenotaalpie"/>
                <w:rFonts w:asciiTheme="minorHAnsi" w:eastAsia="Times New Roman" w:hAnsiTheme="minorHAnsi" w:cstheme="minorHAnsi"/>
                <w:b/>
                <w:bCs/>
                <w:color w:val="auto"/>
                <w:sz w:val="24"/>
                <w:szCs w:val="24"/>
                <w:lang w:eastAsia="en-GB"/>
              </w:rPr>
              <w:t xml:space="preserve"> </w:t>
            </w:r>
            <w:r w:rsidR="00E22C0D" w:rsidRPr="00FF6472">
              <w:rPr>
                <w:rStyle w:val="Refdenotaalpie"/>
                <w:rFonts w:asciiTheme="minorHAnsi" w:eastAsia="Times New Roman" w:hAnsiTheme="minorHAnsi" w:cstheme="minorHAnsi"/>
                <w:b/>
                <w:bCs/>
                <w:color w:val="auto"/>
                <w:sz w:val="24"/>
                <w:szCs w:val="24"/>
                <w:lang w:val="es-AR" w:eastAsia="en-GB"/>
              </w:rPr>
              <w:footnoteReference w:id="42"/>
            </w:r>
            <w:bookmarkEnd w:id="11"/>
          </w:p>
        </w:tc>
      </w:tr>
    </w:tbl>
    <w:p w14:paraId="7FC921AA" w14:textId="2F0CBD23" w:rsidR="00681AED" w:rsidRPr="00416BC1" w:rsidRDefault="00954622" w:rsidP="00536548">
      <w:pPr>
        <w:rPr>
          <w:rFonts w:cstheme="minorHAnsi"/>
        </w:rPr>
      </w:pPr>
      <w:r>
        <w:t>Even though there have been some regulatory advances</w:t>
      </w:r>
      <w:r w:rsidR="00681AED" w:rsidRPr="003F612F">
        <w:rPr>
          <w:rStyle w:val="Refdenotaalpie"/>
          <w:rFonts w:cstheme="minorHAnsi"/>
          <w:color w:val="000000"/>
          <w:lang w:val="es-AR"/>
        </w:rPr>
        <w:footnoteReference w:id="43"/>
      </w:r>
      <w:r w:rsidR="00681AED" w:rsidRPr="00416BC1">
        <w:rPr>
          <w:rFonts w:cstheme="minorHAnsi"/>
          <w:color w:val="000000"/>
        </w:rPr>
        <w:t xml:space="preserve">, </w:t>
      </w:r>
      <w:r>
        <w:t>those legal reforms do not fully respect the standards established by the Committee. The Commerce Code and the Civil Code of the Nation incorporate the figure of the support systems for the exercise of legal capacity, but in some cases they keep the figure of curatorship</w:t>
      </w:r>
      <w:r w:rsidR="00681AED" w:rsidRPr="003F612F">
        <w:rPr>
          <w:rStyle w:val="Refdenotaalpie"/>
          <w:rFonts w:cstheme="minorHAnsi"/>
          <w:color w:val="000000"/>
          <w:lang w:val="es-AR"/>
        </w:rPr>
        <w:footnoteReference w:id="44"/>
      </w:r>
      <w:r w:rsidR="00FF68A9" w:rsidRPr="00416BC1">
        <w:rPr>
          <w:rFonts w:cstheme="minorHAnsi"/>
          <w:color w:val="000000"/>
        </w:rPr>
        <w:t>.</w:t>
      </w:r>
      <w:r w:rsidR="00681AED" w:rsidRPr="00416BC1">
        <w:rPr>
          <w:rFonts w:cstheme="minorHAnsi"/>
          <w:color w:val="000000"/>
        </w:rPr>
        <w:t xml:space="preserve"> </w:t>
      </w:r>
    </w:p>
    <w:p w14:paraId="621D85A5" w14:textId="3424A9FC" w:rsidR="00681AED" w:rsidRPr="00416BC1" w:rsidRDefault="00954622" w:rsidP="00536548">
      <w:pPr>
        <w:rPr>
          <w:rFonts w:cstheme="minorHAnsi"/>
        </w:rPr>
      </w:pPr>
      <w:r>
        <w:t>In the processes of determination of the legal capacity, there is still a great relevance on the diagnosis of the person</w:t>
      </w:r>
      <w:r w:rsidR="00681AED" w:rsidRPr="003F612F">
        <w:rPr>
          <w:rStyle w:val="Refdenotaalpie"/>
          <w:rFonts w:cstheme="minorHAnsi"/>
          <w:color w:val="000000"/>
          <w:lang w:val="es-AR"/>
        </w:rPr>
        <w:footnoteReference w:id="45"/>
      </w:r>
      <w:r w:rsidR="00681AED" w:rsidRPr="00416BC1">
        <w:rPr>
          <w:rFonts w:cstheme="minorHAnsi"/>
          <w:color w:val="000000"/>
        </w:rPr>
        <w:t xml:space="preserve"> </w:t>
      </w:r>
      <w:r>
        <w:t>and there are no protocols to evaluate the supports that promote a respectful work on the right to legal capacity. It might be added that many of these legal processes are not related to the designation of reliable supports for specific legal acts, but on the listing of rights that are restricted and that are not always related to the life of the persons.</w:t>
      </w:r>
    </w:p>
    <w:p w14:paraId="219CF3C5" w14:textId="54040680" w:rsidR="00681AED" w:rsidRPr="00BC366A" w:rsidRDefault="00BC366A" w:rsidP="00536548">
      <w:r>
        <w:t>On the other hand, safeguards inexistence in court rulings persist due to which agile mechanisms for people to report their supports are not respecting their wishes and preferences are not guaranteed. Nothing prevents the supports, in practice; substitute the will of the persons.</w:t>
      </w:r>
    </w:p>
    <w:p w14:paraId="1D408477" w14:textId="764CE554" w:rsidR="00681AED" w:rsidRPr="00416BC1" w:rsidRDefault="00BC366A" w:rsidP="00536548">
      <w:pPr>
        <w:rPr>
          <w:rFonts w:cstheme="minorHAnsi"/>
        </w:rPr>
      </w:pPr>
      <w:r>
        <w:t>Even though there has been progress in the periodical revision of judgments of insanity declaration or disqualification passed according to the previous system, in many cases the new judgments still lean on the curatorship model</w:t>
      </w:r>
      <w:r w:rsidR="00681AED" w:rsidRPr="00416BC1">
        <w:rPr>
          <w:rFonts w:cstheme="minorHAnsi"/>
          <w:color w:val="000000"/>
        </w:rPr>
        <w:t>. </w:t>
      </w:r>
    </w:p>
    <w:p w14:paraId="542F36FC" w14:textId="3CF3BE9B" w:rsidR="00BC366A" w:rsidRPr="00536548" w:rsidRDefault="00BC366A" w:rsidP="00536548">
      <w:pPr>
        <w:ind w:firstLine="0"/>
        <w:rPr>
          <w:b/>
          <w:i/>
          <w:u w:val="single"/>
        </w:rPr>
      </w:pPr>
      <w:r w:rsidRPr="00536548">
        <w:rPr>
          <w:b/>
          <w:i/>
          <w:u w:val="single"/>
        </w:rPr>
        <w:t>SUGGESTED RECOMMENDATIONS TO THE STATE</w:t>
      </w:r>
    </w:p>
    <w:p w14:paraId="13444E9B" w14:textId="57FEA983" w:rsidR="003F3056" w:rsidRPr="00BC366A" w:rsidRDefault="00BC366A" w:rsidP="002E2ECA">
      <w:pPr>
        <w:pStyle w:val="Prrafodelista"/>
        <w:numPr>
          <w:ilvl w:val="0"/>
          <w:numId w:val="12"/>
        </w:numPr>
      </w:pPr>
      <w:r>
        <w:t>Promote a law that would make the support provision and lifeguards for PWD easier, a kind of supplement to what is established by the Commerce and Civil Code in relation to the legal capacity of the PWD.</w:t>
      </w:r>
    </w:p>
    <w:tbl>
      <w:tblPr>
        <w:tblStyle w:val="Tablaconcuadrcula"/>
        <w:tblW w:w="0" w:type="auto"/>
        <w:shd w:val="clear" w:color="auto" w:fill="E7E6E6" w:themeFill="background2"/>
        <w:tblLook w:val="04A0" w:firstRow="1" w:lastRow="0" w:firstColumn="1" w:lastColumn="0" w:noHBand="0" w:noVBand="1"/>
      </w:tblPr>
      <w:tblGrid>
        <w:gridCol w:w="9736"/>
      </w:tblGrid>
      <w:tr w:rsidR="002E75BF" w:rsidRPr="002E75BF" w14:paraId="51F7E05E" w14:textId="77777777" w:rsidTr="00FF6472">
        <w:tc>
          <w:tcPr>
            <w:tcW w:w="9736" w:type="dxa"/>
            <w:shd w:val="clear" w:color="auto" w:fill="E7E6E6" w:themeFill="background2"/>
          </w:tcPr>
          <w:p w14:paraId="1F105E21" w14:textId="6FDDF474" w:rsidR="009F6ACE" w:rsidRPr="00F11C78" w:rsidRDefault="00F11C78" w:rsidP="00F11C78">
            <w:pPr>
              <w:pStyle w:val="Ttulo2"/>
              <w:jc w:val="center"/>
              <w:outlineLvl w:val="1"/>
              <w:rPr>
                <w:rFonts w:asciiTheme="minorHAnsi" w:eastAsia="Times New Roman" w:hAnsiTheme="minorHAnsi" w:cstheme="minorHAnsi"/>
                <w:b/>
                <w:bCs/>
                <w:color w:val="auto"/>
                <w:sz w:val="24"/>
                <w:szCs w:val="24"/>
              </w:rPr>
            </w:pPr>
            <w:bookmarkStart w:id="12" w:name="_Toc126310226"/>
            <w:r>
              <w:rPr>
                <w:rFonts w:asciiTheme="minorHAnsi" w:hAnsiTheme="minorHAnsi" w:cstheme="minorHAnsi"/>
                <w:b/>
                <w:color w:val="auto"/>
                <w:sz w:val="24"/>
                <w:szCs w:val="24"/>
              </w:rPr>
              <w:lastRenderedPageBreak/>
              <w:t>Article</w:t>
            </w:r>
            <w:r w:rsidR="00BC366A" w:rsidRPr="00D16D1D">
              <w:rPr>
                <w:rFonts w:asciiTheme="minorHAnsi" w:hAnsiTheme="minorHAnsi" w:cstheme="minorHAnsi"/>
                <w:b/>
                <w:color w:val="auto"/>
                <w:sz w:val="24"/>
                <w:szCs w:val="24"/>
              </w:rPr>
              <w:t xml:space="preserve"> 13:</w:t>
            </w:r>
            <w:r w:rsidR="009F6ACE" w:rsidRPr="00F11C78">
              <w:rPr>
                <w:rFonts w:asciiTheme="minorHAnsi" w:eastAsia="Times New Roman" w:hAnsiTheme="minorHAnsi" w:cstheme="minorHAnsi"/>
                <w:b/>
                <w:bCs/>
                <w:color w:val="auto"/>
                <w:sz w:val="24"/>
                <w:szCs w:val="24"/>
              </w:rPr>
              <w:t xml:space="preserve"> </w:t>
            </w:r>
            <w:r>
              <w:rPr>
                <w:rFonts w:asciiTheme="minorHAnsi" w:hAnsiTheme="minorHAnsi" w:cstheme="minorHAnsi"/>
                <w:b/>
                <w:color w:val="auto"/>
                <w:sz w:val="24"/>
                <w:szCs w:val="24"/>
              </w:rPr>
              <w:t>Access to justice</w:t>
            </w:r>
            <w:bookmarkEnd w:id="12"/>
          </w:p>
        </w:tc>
      </w:tr>
    </w:tbl>
    <w:p w14:paraId="38841DF4" w14:textId="6B11775B" w:rsidR="00F63A4D" w:rsidRPr="00416BC1" w:rsidRDefault="00BC366A" w:rsidP="00536548">
      <w:pPr>
        <w:rPr>
          <w:rFonts w:eastAsia="Times New Roman" w:cstheme="minorHAnsi"/>
        </w:rPr>
      </w:pPr>
      <w:r>
        <w:t xml:space="preserve">Access to justice for PWD is affected by the absence of enough services of advice, assistance and free legal services. Likewise, the few available show weaknesses. It is emphasized the distance where they are located, the lack of infrastructure and accessible information, they give a preliminary advice without being able to represent in legal processes; they demand the requirement of extreme poverty as a condition to assist PWD; they do not count on staff trained in the social model of disability. In many cases, the PWD are derived from an agency to another without answers and it is the civil organizations those which try to substitute the inaction of public bodies. On top of this, there is no accessibility for deaf persons through facilitators of communication and interpreters of sign language. It is not known, either, that there has been progress in the unique register of interpreters of sign language, mentioned in the </w:t>
      </w:r>
      <w:r w:rsidR="00AA38E4">
        <w:t>Country report</w:t>
      </w:r>
      <w:r w:rsidR="00F63A4D">
        <w:rPr>
          <w:rStyle w:val="Refdenotaalpie"/>
          <w:rFonts w:ascii="Calibri" w:hAnsi="Calibri" w:cs="Calibri"/>
          <w:color w:val="222222"/>
          <w:shd w:val="clear" w:color="auto" w:fill="FFFFFF"/>
        </w:rPr>
        <w:footnoteReference w:id="46"/>
      </w:r>
      <w:r w:rsidR="00F63A4D" w:rsidRPr="00416BC1">
        <w:rPr>
          <w:rFonts w:ascii="Calibri" w:hAnsi="Calibri" w:cs="Calibri"/>
          <w:color w:val="222222"/>
          <w:shd w:val="clear" w:color="auto" w:fill="FFFFFF"/>
        </w:rPr>
        <w:t>.</w:t>
      </w:r>
    </w:p>
    <w:p w14:paraId="3751974E" w14:textId="65387D66" w:rsidR="002A3869" w:rsidRPr="00416BC1" w:rsidRDefault="00BB50DE" w:rsidP="00536548">
      <w:pPr>
        <w:rPr>
          <w:rFonts w:ascii="Calibri" w:hAnsi="Calibri" w:cs="Calibri"/>
          <w:color w:val="222222"/>
          <w:shd w:val="clear" w:color="auto" w:fill="FFFFFF"/>
        </w:rPr>
      </w:pPr>
      <w:r>
        <w:t xml:space="preserve">The program ADAJUS from the Ministry of Justice on Human Rights still does not count with the enough resources to make the access to justice easier, in spite of the not checked improvements mentioned in the </w:t>
      </w:r>
      <w:r w:rsidR="00AA38E4">
        <w:t>Country report</w:t>
      </w:r>
      <w:r w:rsidR="00F63A4D">
        <w:rPr>
          <w:rStyle w:val="Refdenotaalpie"/>
          <w:rFonts w:ascii="Calibri" w:hAnsi="Calibri" w:cs="Calibri"/>
          <w:color w:val="222222"/>
          <w:shd w:val="clear" w:color="auto" w:fill="FFFFFF"/>
        </w:rPr>
        <w:footnoteReference w:id="47"/>
      </w:r>
      <w:r w:rsidR="0021647C" w:rsidRPr="00416BC1">
        <w:rPr>
          <w:rFonts w:ascii="Calibri" w:hAnsi="Calibri" w:cs="Calibri"/>
          <w:color w:val="222222"/>
          <w:shd w:val="clear" w:color="auto" w:fill="FFFFFF"/>
        </w:rPr>
        <w:t>.</w:t>
      </w:r>
    </w:p>
    <w:p w14:paraId="14CCE91E" w14:textId="3D7E70A6" w:rsidR="00E413A2" w:rsidRPr="00416BC1" w:rsidRDefault="00BB50DE" w:rsidP="00536548">
      <w:pPr>
        <w:rPr>
          <w:rFonts w:eastAsia="Times New Roman" w:cstheme="minorHAnsi"/>
        </w:rPr>
      </w:pPr>
      <w:r>
        <w:t>On regulatory grounds, even if the Commerce and Civil Code of the Nation incorporates the figure of the adjustments of procedure in the processes of determination of legal capacity, procedural reforms at a provincial level that would guarantee the adjustments of procedure and incorporate the standards of the Convention have not been carried out. They also have the possibility of putting off the legal processes if it is considered that the person has a supervening disability. As a consequence, it does not only impact on the right of the person to be judged in a reasonable period of time with the required adjustments of procedure, but can also be deprived of his liberty on legal grounds based on danger, under measures of security</w:t>
      </w:r>
      <w:r w:rsidR="00F63A4D">
        <w:rPr>
          <w:rStyle w:val="Refdenotaalpie"/>
          <w:rFonts w:eastAsia="Times New Roman" w:cstheme="minorHAnsi"/>
          <w:lang w:val="es-AR"/>
        </w:rPr>
        <w:footnoteReference w:id="48"/>
      </w:r>
      <w:r w:rsidR="00F63A4D" w:rsidRPr="00416BC1">
        <w:rPr>
          <w:rFonts w:eastAsia="Times New Roman" w:cstheme="minorHAnsi"/>
        </w:rPr>
        <w:t>.</w:t>
      </w:r>
    </w:p>
    <w:p w14:paraId="073400CE" w14:textId="2F814615" w:rsidR="00C43BA8" w:rsidRPr="00416BC1" w:rsidRDefault="00BB50DE" w:rsidP="00536548">
      <w:pPr>
        <w:rPr>
          <w:rFonts w:eastAsia="Times New Roman" w:cstheme="minorHAnsi"/>
        </w:rPr>
      </w:pPr>
      <w:r>
        <w:t>It is worth mentioning that in some institutions and local organizations some courses are being taken to reach an adequate attention on PWD</w:t>
      </w:r>
      <w:r w:rsidR="00E413A2" w:rsidRPr="003F612F">
        <w:rPr>
          <w:rStyle w:val="Refdenotaalpie"/>
          <w:rFonts w:eastAsia="Times New Roman" w:cstheme="minorHAnsi"/>
          <w:lang w:val="es-AR"/>
        </w:rPr>
        <w:footnoteReference w:id="49"/>
      </w:r>
      <w:r w:rsidR="00E413A2" w:rsidRPr="00416BC1">
        <w:rPr>
          <w:rFonts w:eastAsia="Times New Roman" w:cstheme="minorHAnsi"/>
        </w:rPr>
        <w:t xml:space="preserve">. </w:t>
      </w:r>
      <w:r>
        <w:t>However, it is a slow process that requires</w:t>
      </w:r>
      <w:r w:rsidRPr="00DB6B0F">
        <w:t xml:space="preserve"> </w:t>
      </w:r>
      <w:r>
        <w:t>urgency and mainstreaming to pave the way from existing barriers.</w:t>
      </w:r>
    </w:p>
    <w:p w14:paraId="48A3FC8D" w14:textId="77777777" w:rsidR="00BB50DE" w:rsidRPr="00536548" w:rsidRDefault="00BB50DE" w:rsidP="00536548">
      <w:pPr>
        <w:ind w:firstLine="0"/>
        <w:rPr>
          <w:b/>
          <w:i/>
          <w:u w:val="single"/>
        </w:rPr>
      </w:pPr>
      <w:r w:rsidRPr="00536548">
        <w:rPr>
          <w:b/>
          <w:i/>
          <w:u w:val="single"/>
        </w:rPr>
        <w:t>SUGGESTED RECOMMENDATIONS TO THE STATE</w:t>
      </w:r>
    </w:p>
    <w:p w14:paraId="561C90E0" w14:textId="77777777" w:rsidR="00BB50DE" w:rsidRDefault="00BB50DE" w:rsidP="002E2ECA">
      <w:pPr>
        <w:pStyle w:val="Prrafodelista"/>
        <w:numPr>
          <w:ilvl w:val="0"/>
          <w:numId w:val="2"/>
        </w:numPr>
      </w:pPr>
      <w:r>
        <w:t>Extension of the Program for Assistance to Persons with Disabilities in their Relations with Justice Administration, providing it with more human resources and budget.</w:t>
      </w:r>
    </w:p>
    <w:p w14:paraId="1212675D" w14:textId="71D551A6" w:rsidR="006334A2" w:rsidRPr="009F6FE4" w:rsidRDefault="00BB50DE" w:rsidP="002E2ECA">
      <w:pPr>
        <w:pStyle w:val="Prrafodelista"/>
        <w:numPr>
          <w:ilvl w:val="0"/>
          <w:numId w:val="2"/>
        </w:numPr>
        <w:rPr>
          <w:rFonts w:eastAsia="Times New Roman" w:cstheme="minorHAnsi"/>
          <w:bCs/>
          <w:iCs/>
        </w:rPr>
      </w:pPr>
      <w:r w:rsidRPr="009F6FE4">
        <w:t>Offer training to the Judicial Power on Disability Perspective.</w:t>
      </w:r>
    </w:p>
    <w:tbl>
      <w:tblPr>
        <w:tblStyle w:val="Tablaconcuadrcula"/>
        <w:tblW w:w="0" w:type="auto"/>
        <w:tblLook w:val="04A0" w:firstRow="1" w:lastRow="0" w:firstColumn="1" w:lastColumn="0" w:noHBand="0" w:noVBand="1"/>
      </w:tblPr>
      <w:tblGrid>
        <w:gridCol w:w="9736"/>
      </w:tblGrid>
      <w:tr w:rsidR="00C66191" w:rsidRPr="00416BC1" w14:paraId="20486253" w14:textId="77777777" w:rsidTr="00C66191">
        <w:tc>
          <w:tcPr>
            <w:tcW w:w="9736" w:type="dxa"/>
            <w:shd w:val="clear" w:color="auto" w:fill="D5DCE4" w:themeFill="text2" w:themeFillTint="33"/>
          </w:tcPr>
          <w:p w14:paraId="46ED7FB0" w14:textId="34FFF7EC" w:rsidR="00C66191" w:rsidRPr="00846678" w:rsidRDefault="00F11C78" w:rsidP="00F11C78">
            <w:pPr>
              <w:pStyle w:val="Ttulo2"/>
              <w:jc w:val="center"/>
              <w:outlineLvl w:val="1"/>
              <w:rPr>
                <w:rFonts w:asciiTheme="minorHAnsi" w:eastAsia="Times New Roman" w:hAnsiTheme="minorHAnsi" w:cstheme="minorHAnsi"/>
                <w:b/>
                <w:bCs/>
                <w:color w:val="auto"/>
                <w:sz w:val="24"/>
                <w:szCs w:val="24"/>
              </w:rPr>
            </w:pPr>
            <w:bookmarkStart w:id="13" w:name="_Toc126310227"/>
            <w:r>
              <w:rPr>
                <w:rFonts w:asciiTheme="minorHAnsi" w:hAnsiTheme="minorHAnsi" w:cstheme="minorHAnsi"/>
                <w:b/>
                <w:color w:val="auto"/>
                <w:sz w:val="24"/>
                <w:szCs w:val="24"/>
              </w:rPr>
              <w:t>Article</w:t>
            </w:r>
            <w:r w:rsidR="00BB50DE" w:rsidRPr="00846678">
              <w:rPr>
                <w:rFonts w:asciiTheme="minorHAnsi" w:hAnsiTheme="minorHAnsi" w:cstheme="minorHAnsi"/>
                <w:b/>
                <w:color w:val="auto"/>
                <w:sz w:val="24"/>
                <w:szCs w:val="24"/>
              </w:rPr>
              <w:t xml:space="preserve"> 14: </w:t>
            </w:r>
            <w:r>
              <w:rPr>
                <w:rFonts w:asciiTheme="minorHAnsi" w:hAnsiTheme="minorHAnsi" w:cstheme="minorHAnsi"/>
                <w:b/>
                <w:color w:val="auto"/>
                <w:sz w:val="24"/>
                <w:szCs w:val="24"/>
              </w:rPr>
              <w:t>Freedom and</w:t>
            </w:r>
            <w:r w:rsidR="00BB50DE" w:rsidRPr="00846678">
              <w:rPr>
                <w:rFonts w:asciiTheme="minorHAnsi" w:hAnsiTheme="minorHAnsi" w:cstheme="minorHAnsi"/>
                <w:b/>
                <w:color w:val="auto"/>
                <w:sz w:val="24"/>
                <w:szCs w:val="24"/>
              </w:rPr>
              <w:t xml:space="preserve"> </w:t>
            </w:r>
            <w:r>
              <w:rPr>
                <w:rFonts w:asciiTheme="minorHAnsi" w:hAnsiTheme="minorHAnsi" w:cstheme="minorHAnsi"/>
                <w:b/>
                <w:color w:val="auto"/>
                <w:sz w:val="24"/>
                <w:szCs w:val="24"/>
              </w:rPr>
              <w:t>security of the person</w:t>
            </w:r>
            <w:bookmarkEnd w:id="13"/>
          </w:p>
        </w:tc>
      </w:tr>
    </w:tbl>
    <w:p w14:paraId="6283A5F7" w14:textId="2E4B1E6F" w:rsidR="00E413A2" w:rsidRPr="00416BC1" w:rsidRDefault="00987812" w:rsidP="00536548">
      <w:pPr>
        <w:rPr>
          <w:rFonts w:eastAsia="Times New Roman" w:cstheme="minorHAnsi"/>
          <w:lang w:eastAsia="en-GB"/>
        </w:rPr>
      </w:pPr>
      <w:r>
        <w:t>Procedural and Criminal Law in the country does not fulfill the standards mentioned in the Convention</w:t>
      </w:r>
      <w:r w:rsidRPr="00416BC1">
        <w:rPr>
          <w:rStyle w:val="Refdenotaalpie"/>
          <w:rFonts w:eastAsia="Times New Roman" w:cstheme="minorHAnsi"/>
          <w:color w:val="000000"/>
          <w:lang w:eastAsia="en-GB"/>
        </w:rPr>
        <w:t xml:space="preserve"> </w:t>
      </w:r>
      <w:r w:rsidR="007A2F95" w:rsidRPr="003F612F">
        <w:rPr>
          <w:rStyle w:val="Refdenotaalpie"/>
          <w:rFonts w:eastAsia="Times New Roman" w:cstheme="minorHAnsi"/>
          <w:color w:val="000000"/>
          <w:lang w:val="es-AR" w:eastAsia="en-GB"/>
        </w:rPr>
        <w:footnoteReference w:id="50"/>
      </w:r>
      <w:r w:rsidR="007A2F95" w:rsidRPr="00416BC1">
        <w:rPr>
          <w:rFonts w:eastAsia="Times New Roman" w:cstheme="minorHAnsi"/>
          <w:color w:val="000000"/>
          <w:lang w:eastAsia="en-GB"/>
        </w:rPr>
        <w:t xml:space="preserve">. </w:t>
      </w:r>
      <w:r>
        <w:t xml:space="preserve">Article 34, section 1 of the Criminal Code continues allowing deprivation of liberty of the PWD </w:t>
      </w:r>
      <w:r>
        <w:lastRenderedPageBreak/>
        <w:t>accused of a crime on the basis of danger. In this sense, the Criminal Code allows the issuing of security measures against PWD that have been declared inimputable which are issued with no stipulated time and without ensuring the minimum guarantees of the due criminal process.</w:t>
      </w:r>
    </w:p>
    <w:p w14:paraId="0D7FAC0F" w14:textId="60F8EF69" w:rsidR="00E413A2" w:rsidRPr="00797A37" w:rsidRDefault="00987812" w:rsidP="00536548">
      <w:pPr>
        <w:rPr>
          <w:rFonts w:eastAsia="Times New Roman" w:cstheme="minorHAnsi"/>
          <w:color w:val="000000"/>
          <w:lang w:eastAsia="en-GB"/>
        </w:rPr>
      </w:pPr>
      <w:r>
        <w:t>Procedure and Criminal Law foresees other problematic figures that enable the deprivation of liberty of PWD justified on the criteria of danger</w:t>
      </w:r>
      <w:r w:rsidR="00E413A2" w:rsidRPr="003F612F">
        <w:rPr>
          <w:rStyle w:val="Refdenotaalpie"/>
          <w:rFonts w:eastAsia="Times New Roman" w:cstheme="minorHAnsi"/>
          <w:color w:val="000000"/>
          <w:lang w:val="es-AR" w:eastAsia="en-GB"/>
        </w:rPr>
        <w:footnoteReference w:id="51"/>
      </w:r>
      <w:r w:rsidR="00E154EF" w:rsidRPr="00797A37">
        <w:rPr>
          <w:rFonts w:eastAsia="Times New Roman" w:cstheme="minorHAnsi"/>
          <w:color w:val="000000"/>
          <w:lang w:eastAsia="en-GB"/>
        </w:rPr>
        <w:t xml:space="preserve">. </w:t>
      </w:r>
      <w:r>
        <w:t>Besides the Procedure Code of the Province of Buenos Aires in its Article 63 rules the figure of supervening disability to the process and allows its suspension and confinement on the basis of danger. In this case, we are in front of people who might not be declared inimputable but who can receive a judicial answer with similar consequences</w:t>
      </w:r>
      <w:r w:rsidR="00E413A2" w:rsidRPr="003F612F">
        <w:rPr>
          <w:rStyle w:val="Refdenotaalpie"/>
          <w:rFonts w:eastAsia="Times New Roman" w:cstheme="minorHAnsi"/>
          <w:color w:val="000000"/>
          <w:lang w:val="es-AR" w:eastAsia="en-GB"/>
        </w:rPr>
        <w:footnoteReference w:id="52"/>
      </w:r>
      <w:r w:rsidR="00E413A2" w:rsidRPr="00797A37">
        <w:rPr>
          <w:rFonts w:eastAsia="Times New Roman" w:cstheme="minorHAnsi"/>
          <w:color w:val="000000"/>
          <w:lang w:eastAsia="en-GB"/>
        </w:rPr>
        <w:t xml:space="preserve">. </w:t>
      </w:r>
      <w:r>
        <w:t>In virtue of these institutes, in the prison jails that house psycho-social or intellectual PWD there are not only people declared inimputable and who receive a security measure but also people under other figures of procedural status on the basis of danger.</w:t>
      </w:r>
    </w:p>
    <w:p w14:paraId="1AA37628" w14:textId="1A629D0A" w:rsidR="00987812" w:rsidRPr="00C52C69" w:rsidRDefault="00987812" w:rsidP="00C52C69">
      <w:pPr>
        <w:ind w:firstLine="0"/>
        <w:rPr>
          <w:b/>
          <w:i/>
          <w:u w:val="single"/>
        </w:rPr>
      </w:pPr>
      <w:r w:rsidRPr="00536548">
        <w:rPr>
          <w:b/>
          <w:i/>
          <w:u w:val="single"/>
        </w:rPr>
        <w:t>SUGGEST</w:t>
      </w:r>
      <w:r w:rsidR="00C52C69">
        <w:rPr>
          <w:b/>
          <w:i/>
          <w:u w:val="single"/>
        </w:rPr>
        <w:t>ED RECOMMENDATIONS TO THE STATE</w:t>
      </w:r>
    </w:p>
    <w:p w14:paraId="0BF8AB5C" w14:textId="77777777" w:rsidR="00987812" w:rsidRDefault="00987812" w:rsidP="002E2ECA">
      <w:pPr>
        <w:pStyle w:val="Prrafodelista"/>
        <w:numPr>
          <w:ilvl w:val="0"/>
          <w:numId w:val="8"/>
        </w:numPr>
      </w:pPr>
      <w:r>
        <w:t xml:space="preserve"> Modification of Article 34 of the Criminal Code so that deprivation of liberty is not allowed on the grounds of contrary criteria to the Convention. Carry out a survey on the amount of PWD that are detained in jails throughout the country and the type of needs required depending on their disability.</w:t>
      </w:r>
    </w:p>
    <w:p w14:paraId="5CD3EC15" w14:textId="181CD2F3" w:rsidR="009C3B68" w:rsidRPr="00797A37" w:rsidRDefault="00987812" w:rsidP="002E2ECA">
      <w:pPr>
        <w:pStyle w:val="Prrafodelista"/>
        <w:numPr>
          <w:ilvl w:val="0"/>
          <w:numId w:val="8"/>
        </w:numPr>
        <w:rPr>
          <w:rFonts w:eastAsia="Times New Roman" w:cstheme="minorHAnsi"/>
          <w:bCs/>
          <w:i/>
          <w:u w:val="single"/>
        </w:rPr>
      </w:pPr>
      <w:r>
        <w:t>Carry out controls to guarantee that the cases of confinement under the Plan de Progresividad would count on all the proper safeguards depending on the needs of the persons.</w:t>
      </w:r>
    </w:p>
    <w:tbl>
      <w:tblPr>
        <w:tblStyle w:val="Tablaconcuadrcula"/>
        <w:tblW w:w="0" w:type="auto"/>
        <w:tblLook w:val="04A0" w:firstRow="1" w:lastRow="0" w:firstColumn="1" w:lastColumn="0" w:noHBand="0" w:noVBand="1"/>
      </w:tblPr>
      <w:tblGrid>
        <w:gridCol w:w="9736"/>
      </w:tblGrid>
      <w:tr w:rsidR="00DC3E4C" w:rsidRPr="00416BC1" w14:paraId="412D3921" w14:textId="77777777" w:rsidTr="00DC3E4C">
        <w:tc>
          <w:tcPr>
            <w:tcW w:w="9736" w:type="dxa"/>
            <w:shd w:val="clear" w:color="auto" w:fill="D5DCE4" w:themeFill="text2" w:themeFillTint="33"/>
          </w:tcPr>
          <w:p w14:paraId="42408B4F" w14:textId="4DB44A01" w:rsidR="00DC3E4C" w:rsidRPr="009F6FE4" w:rsidRDefault="00F11C78" w:rsidP="00F11C78">
            <w:pPr>
              <w:pStyle w:val="Ttulo2"/>
              <w:jc w:val="center"/>
              <w:outlineLvl w:val="1"/>
              <w:rPr>
                <w:rFonts w:asciiTheme="minorHAnsi" w:hAnsiTheme="minorHAnsi" w:cstheme="minorHAnsi"/>
                <w:b/>
                <w:color w:val="auto"/>
                <w:sz w:val="24"/>
                <w:szCs w:val="24"/>
              </w:rPr>
            </w:pPr>
            <w:bookmarkStart w:id="14" w:name="_Toc126310228"/>
            <w:r>
              <w:rPr>
                <w:rFonts w:asciiTheme="minorHAnsi" w:hAnsiTheme="minorHAnsi" w:cstheme="minorHAnsi"/>
                <w:b/>
                <w:color w:val="auto"/>
                <w:sz w:val="24"/>
                <w:szCs w:val="24"/>
              </w:rPr>
              <w:t>Article</w:t>
            </w:r>
            <w:r w:rsidR="00B21FB8" w:rsidRPr="009F6FE4">
              <w:rPr>
                <w:rFonts w:asciiTheme="minorHAnsi" w:hAnsiTheme="minorHAnsi" w:cstheme="minorHAnsi"/>
                <w:b/>
                <w:color w:val="auto"/>
                <w:sz w:val="24"/>
                <w:szCs w:val="24"/>
              </w:rPr>
              <w:t xml:space="preserve"> 15: </w:t>
            </w:r>
            <w:r>
              <w:rPr>
                <w:rFonts w:asciiTheme="minorHAnsi" w:hAnsiTheme="minorHAnsi" w:cstheme="minorHAnsi"/>
                <w:b/>
                <w:color w:val="auto"/>
                <w:sz w:val="24"/>
                <w:szCs w:val="24"/>
              </w:rPr>
              <w:t>Protection against torture and other cruel inhumane or degrading treatment</w:t>
            </w:r>
            <w:bookmarkEnd w:id="14"/>
            <w:r>
              <w:rPr>
                <w:rFonts w:asciiTheme="minorHAnsi" w:hAnsiTheme="minorHAnsi" w:cstheme="minorHAnsi"/>
                <w:b/>
                <w:color w:val="auto"/>
                <w:sz w:val="24"/>
                <w:szCs w:val="24"/>
              </w:rPr>
              <w:t xml:space="preserve"> </w:t>
            </w:r>
          </w:p>
        </w:tc>
      </w:tr>
    </w:tbl>
    <w:p w14:paraId="617B8818" w14:textId="65E16572" w:rsidR="00E413A2" w:rsidRPr="00416BC1" w:rsidRDefault="00B21FB8" w:rsidP="00536548">
      <w:pPr>
        <w:rPr>
          <w:rFonts w:cstheme="minorHAnsi"/>
        </w:rPr>
      </w:pPr>
      <w:r>
        <w:t>In some jurisdictions security forces are still acting on crisis situations or mental health urgencies with fatal outcome in some cases</w:t>
      </w:r>
      <w:r w:rsidR="00FD6533" w:rsidRPr="003F612F">
        <w:rPr>
          <w:rStyle w:val="Refdenotaalpie"/>
          <w:rFonts w:cstheme="minorHAnsi"/>
          <w:color w:val="000000"/>
          <w:lang w:val="es-AR"/>
        </w:rPr>
        <w:footnoteReference w:id="53"/>
      </w:r>
      <w:r w:rsidR="00FD6533" w:rsidRPr="00416BC1">
        <w:rPr>
          <w:rFonts w:cstheme="minorHAnsi"/>
          <w:color w:val="000000"/>
        </w:rPr>
        <w:t>. </w:t>
      </w:r>
      <w:r>
        <w:t>A recent case is that of Ezequiel Castro in Córdoba, a 21-year-old young man arrested and carried to a psychological assistance center and who finally died at Misericordia Hospital</w:t>
      </w:r>
      <w:r w:rsidR="00FD6533" w:rsidRPr="003F612F">
        <w:rPr>
          <w:rStyle w:val="Refdenotaalpie"/>
          <w:rFonts w:cstheme="minorHAnsi"/>
          <w:color w:val="000000"/>
          <w:lang w:val="es-AR"/>
        </w:rPr>
        <w:footnoteReference w:id="54"/>
      </w:r>
      <w:r w:rsidR="00FD6533" w:rsidRPr="00416BC1">
        <w:rPr>
          <w:rFonts w:cstheme="minorHAnsi"/>
          <w:color w:val="000000"/>
        </w:rPr>
        <w:t>. </w:t>
      </w:r>
      <w:r w:rsidR="00DA3A88" w:rsidRPr="00416BC1">
        <w:rPr>
          <w:rFonts w:cstheme="minorHAnsi"/>
        </w:rPr>
        <w:t xml:space="preserve"> </w:t>
      </w:r>
      <w:r>
        <w:t>It is warned the lack of application of Resolution 506/2013 from the National Security Ministry</w:t>
      </w:r>
      <w:r w:rsidR="00E413A2" w:rsidRPr="003F612F">
        <w:rPr>
          <w:rStyle w:val="Refdenotaalpie"/>
          <w:rFonts w:cstheme="minorHAnsi"/>
          <w:color w:val="000000"/>
          <w:lang w:val="es-AR"/>
        </w:rPr>
        <w:footnoteReference w:id="55"/>
      </w:r>
      <w:r w:rsidR="0029297B" w:rsidRPr="00416BC1">
        <w:rPr>
          <w:rFonts w:cstheme="minorHAnsi"/>
          <w:color w:val="000000"/>
        </w:rPr>
        <w:t xml:space="preserve"> </w:t>
      </w:r>
      <w:r>
        <w:t>on guidelines for the intervention of security forces on situations that involve people going though mental health problems.</w:t>
      </w:r>
    </w:p>
    <w:p w14:paraId="4FDA068E" w14:textId="31AB2A58" w:rsidR="00E413A2" w:rsidRPr="00416BC1" w:rsidRDefault="00215278" w:rsidP="00536548">
      <w:pPr>
        <w:rPr>
          <w:rFonts w:cstheme="minorHAnsi"/>
        </w:rPr>
      </w:pPr>
      <w:r>
        <w:lastRenderedPageBreak/>
        <w:t>What is more, medical practices are still carried out without the informed consent of the PWD. In 2021 some functional psycho-surgeries were carried out in the Alejandro Posadas National Hospital to PWD diagnosed with refractory aggressiveness to treatment. The National Ministry of Health informed that the procedures were carried out on two confined persons, without their informed consent</w:t>
      </w:r>
      <w:r w:rsidR="00A5363A" w:rsidRPr="003F612F">
        <w:rPr>
          <w:rStyle w:val="Refdenotaalpie"/>
          <w:rFonts w:cstheme="minorHAnsi"/>
          <w:color w:val="000000"/>
          <w:lang w:val="es-AR"/>
        </w:rPr>
        <w:footnoteReference w:id="56"/>
      </w:r>
      <w:r w:rsidR="00DA3A88" w:rsidRPr="00416BC1">
        <w:rPr>
          <w:rFonts w:cstheme="minorHAnsi"/>
          <w:color w:val="000000"/>
        </w:rPr>
        <w:t xml:space="preserve">, </w:t>
      </w:r>
      <w:r>
        <w:t>and only with the consent of their legal</w:t>
      </w:r>
      <w:r w:rsidR="00E413A2" w:rsidRPr="003F612F">
        <w:rPr>
          <w:rStyle w:val="Refdenotaalpie"/>
          <w:rFonts w:cstheme="minorHAnsi"/>
          <w:color w:val="000000"/>
          <w:lang w:val="es-AR"/>
        </w:rPr>
        <w:footnoteReference w:id="57"/>
      </w:r>
      <w:r w:rsidR="00A5363A" w:rsidRPr="00416BC1">
        <w:rPr>
          <w:rFonts w:cstheme="minorHAnsi"/>
          <w:color w:val="000000"/>
        </w:rPr>
        <w:t xml:space="preserve">. </w:t>
      </w:r>
      <w:r>
        <w:t>This situation derived on a Resolution of the Organ of National Revision on Mental Health</w:t>
      </w:r>
      <w:r w:rsidR="00E413A2" w:rsidRPr="003F612F">
        <w:rPr>
          <w:rStyle w:val="Refdenotaalpie"/>
          <w:rFonts w:cstheme="minorHAnsi"/>
          <w:color w:val="000000"/>
          <w:lang w:val="es-AR"/>
        </w:rPr>
        <w:footnoteReference w:id="58"/>
      </w:r>
      <w:r w:rsidR="00E413A2" w:rsidRPr="00416BC1">
        <w:rPr>
          <w:rFonts w:cstheme="minorHAnsi"/>
          <w:color w:val="000000"/>
        </w:rPr>
        <w:t xml:space="preserve">. </w:t>
      </w:r>
    </w:p>
    <w:p w14:paraId="4D4D5F1B" w14:textId="6DE40670" w:rsidR="00215278" w:rsidRPr="00536548" w:rsidRDefault="00215278" w:rsidP="00536548">
      <w:pPr>
        <w:ind w:firstLine="0"/>
        <w:rPr>
          <w:b/>
          <w:i/>
          <w:u w:val="single"/>
        </w:rPr>
      </w:pPr>
      <w:bookmarkStart w:id="15" w:name="_Hlk124590298"/>
      <w:r w:rsidRPr="00536548">
        <w:rPr>
          <w:b/>
          <w:i/>
          <w:u w:val="single"/>
        </w:rPr>
        <w:t>SUGGESTED RECOMMENDATIONS TO THE STATE</w:t>
      </w:r>
    </w:p>
    <w:p w14:paraId="22ED4834" w14:textId="76C429ED" w:rsidR="00215278" w:rsidRDefault="00215278" w:rsidP="00C52C69">
      <w:pPr>
        <w:pStyle w:val="Prrafodelista"/>
        <w:numPr>
          <w:ilvl w:val="0"/>
          <w:numId w:val="14"/>
        </w:numPr>
      </w:pPr>
      <w:r>
        <w:t>Elaborate protocols of action and train the security forces in line with the implementation of the CRPD and the National Law on Mental Health and Addictions.</w:t>
      </w:r>
    </w:p>
    <w:p w14:paraId="72CF8290" w14:textId="692DCA17" w:rsidR="00EE0BDE" w:rsidRPr="00536548" w:rsidRDefault="00215278" w:rsidP="00536548">
      <w:pPr>
        <w:pStyle w:val="Prrafodelista"/>
        <w:numPr>
          <w:ilvl w:val="0"/>
          <w:numId w:val="14"/>
        </w:numPr>
      </w:pPr>
      <w:r w:rsidRPr="00C52C69">
        <w:t>Constant</w:t>
      </w:r>
      <w:r>
        <w:t xml:space="preserve"> monitoring of the conditions of deprivation of liberty of the PWD in coordination with the organs of national and local revision created by the National Law on Mental Health (Law 26657)</w:t>
      </w:r>
      <w:r w:rsidR="00EE0BDE" w:rsidRPr="00536548">
        <w:t>.</w:t>
      </w:r>
    </w:p>
    <w:tbl>
      <w:tblPr>
        <w:tblStyle w:val="Tablaconcuadrcula"/>
        <w:tblW w:w="0" w:type="auto"/>
        <w:tblLook w:val="04A0" w:firstRow="1" w:lastRow="0" w:firstColumn="1" w:lastColumn="0" w:noHBand="0" w:noVBand="1"/>
      </w:tblPr>
      <w:tblGrid>
        <w:gridCol w:w="9736"/>
      </w:tblGrid>
      <w:tr w:rsidR="00A66F49" w:rsidRPr="00416BC1" w14:paraId="180F9D7B" w14:textId="77777777" w:rsidTr="00A66F49">
        <w:tc>
          <w:tcPr>
            <w:tcW w:w="9736" w:type="dxa"/>
            <w:shd w:val="clear" w:color="auto" w:fill="D5DCE4" w:themeFill="text2" w:themeFillTint="33"/>
          </w:tcPr>
          <w:p w14:paraId="0E16B44D" w14:textId="20DEF313" w:rsidR="00A66F49" w:rsidRPr="00846678" w:rsidRDefault="00F11C78" w:rsidP="00F11C78">
            <w:pPr>
              <w:pStyle w:val="Ttulo2"/>
              <w:jc w:val="center"/>
              <w:outlineLvl w:val="1"/>
              <w:rPr>
                <w:rFonts w:asciiTheme="minorHAnsi" w:eastAsia="Times New Roman" w:hAnsiTheme="minorHAnsi" w:cstheme="minorHAnsi"/>
                <w:b/>
                <w:bCs/>
                <w:color w:val="auto"/>
                <w:sz w:val="24"/>
                <w:szCs w:val="24"/>
              </w:rPr>
            </w:pPr>
            <w:bookmarkStart w:id="16" w:name="_Toc126310229"/>
            <w:bookmarkEnd w:id="15"/>
            <w:r>
              <w:rPr>
                <w:b/>
                <w:color w:val="auto"/>
                <w:sz w:val="24"/>
                <w:szCs w:val="24"/>
              </w:rPr>
              <w:t>Article</w:t>
            </w:r>
            <w:r w:rsidR="00C709D1" w:rsidRPr="00846678">
              <w:rPr>
                <w:b/>
                <w:color w:val="auto"/>
                <w:sz w:val="24"/>
                <w:szCs w:val="24"/>
              </w:rPr>
              <w:t xml:space="preserve"> 19: </w:t>
            </w:r>
            <w:r>
              <w:rPr>
                <w:b/>
                <w:color w:val="auto"/>
                <w:sz w:val="24"/>
                <w:szCs w:val="24"/>
              </w:rPr>
              <w:t>Right to an independent life</w:t>
            </w:r>
            <w:r w:rsidR="00C709D1" w:rsidRPr="00846678">
              <w:rPr>
                <w:b/>
                <w:color w:val="auto"/>
                <w:sz w:val="24"/>
                <w:szCs w:val="24"/>
              </w:rPr>
              <w:t xml:space="preserve"> </w:t>
            </w:r>
            <w:r>
              <w:rPr>
                <w:b/>
                <w:color w:val="auto"/>
                <w:sz w:val="24"/>
                <w:szCs w:val="24"/>
              </w:rPr>
              <w:t>and to be included in the community</w:t>
            </w:r>
            <w:bookmarkEnd w:id="16"/>
          </w:p>
        </w:tc>
      </w:tr>
    </w:tbl>
    <w:p w14:paraId="4F71C0A1" w14:textId="0AB86996" w:rsidR="00C709D1" w:rsidRDefault="00C709D1" w:rsidP="00846678">
      <w:r>
        <w:t>The 2010 Mental Health Law established that by 2020 expired the limit period for the definite closure of neuropsychiatric hospitals in Argentina with the obligation of creating a substitution system of community attention integrated to the rest of health services respectful to human rights of psychosocial PWD. However, the periods were not fulfilled due to the lack of development of public policies; the currency of a model that places confinement as a central measure in the approach to psychosocial disability and the lack of economic resources assigned by the State for the creation and maintenance of alternative devices to the confinement in monovalent hospitals. There are no significant advances on the matter and thousands of PWD still live in institutions or isolated in their homes. As regards the psychosocial PWD, public policies to substitute the model of mental asylum for a system of community attention that would guarantee autonomous life and social inclusion have not been implemented.</w:t>
      </w:r>
    </w:p>
    <w:p w14:paraId="4F027FEF" w14:textId="3D724F0C" w:rsidR="00E413A2" w:rsidRPr="00797A37" w:rsidRDefault="00C709D1" w:rsidP="00536548">
      <w:pPr>
        <w:rPr>
          <w:rFonts w:eastAsia="Times New Roman" w:cstheme="minorHAnsi"/>
          <w:color w:val="000000"/>
          <w:lang w:eastAsia="en-GB"/>
        </w:rPr>
      </w:pPr>
      <w:r>
        <w:lastRenderedPageBreak/>
        <w:t>According to data from the last National Census on Confined Persons due to Mental Health in 2019</w:t>
      </w:r>
      <w:r w:rsidR="00E413A2" w:rsidRPr="003F612F">
        <w:rPr>
          <w:rStyle w:val="Refdenotaalpie"/>
          <w:rFonts w:eastAsia="Times New Roman" w:cstheme="minorHAnsi"/>
          <w:color w:val="000000"/>
          <w:lang w:val="es-AR" w:eastAsia="en-GB"/>
        </w:rPr>
        <w:footnoteReference w:id="59"/>
      </w:r>
      <w:r w:rsidR="00E413A2" w:rsidRPr="00797A37">
        <w:rPr>
          <w:rFonts w:eastAsia="Times New Roman" w:cstheme="minorHAnsi"/>
          <w:color w:val="000000"/>
          <w:lang w:eastAsia="en-GB"/>
        </w:rPr>
        <w:t xml:space="preserve">, </w:t>
      </w:r>
      <w:r>
        <w:t>12035 persons were confined in mental asylums. We should sum up those who live in institutions with exclusive confinement for addictions, which were not included in the survey. Average stay time in the surveyed institutions is of 8.2 years, number that goes up to 12.5 years in the public sector</w:t>
      </w:r>
      <w:r w:rsidR="00E232A5">
        <w:rPr>
          <w:rStyle w:val="Refdenotaalpie"/>
          <w:rFonts w:eastAsia="Times New Roman" w:cstheme="minorHAnsi"/>
          <w:b/>
          <w:bCs/>
          <w:color w:val="000000"/>
          <w:lang w:val="es-AR" w:eastAsia="en-GB"/>
        </w:rPr>
        <w:footnoteReference w:id="60"/>
      </w:r>
      <w:r w:rsidR="00E413A2" w:rsidRPr="00797A37">
        <w:rPr>
          <w:rFonts w:eastAsia="Times New Roman" w:cstheme="minorHAnsi"/>
          <w:color w:val="000000"/>
          <w:lang w:eastAsia="en-GB"/>
        </w:rPr>
        <w:t xml:space="preserve">. </w:t>
      </w:r>
      <w:r w:rsidR="007D77EA">
        <w:t>One out of four persons has stayed in confinement from 11 up to 90 years, 60.4% have not signed consent to be in a mental asylum and 63.6% does not even count with the criteria of confinement established by the National Law of Mental Health, turning this into illegal detention. Only 12.4% of the confined persons have their DNI (national identity document) in their power and only 41.6% can make phone calls and even some of them have to pay to do so. Out of all of the persons confined, 266 are children and teenagers.</w:t>
      </w:r>
    </w:p>
    <w:p w14:paraId="552DB6EC" w14:textId="3A295932" w:rsidR="00E413A2" w:rsidRPr="00416BC1" w:rsidRDefault="007D77EA" w:rsidP="00536548">
      <w:pPr>
        <w:rPr>
          <w:rFonts w:eastAsia="Times New Roman" w:cstheme="minorHAnsi"/>
          <w:color w:val="000000"/>
          <w:lang w:eastAsia="en-GB"/>
        </w:rPr>
      </w:pPr>
      <w:r>
        <w:t>This situation has been verified by the Judiciary Power in the context of the case “SAF y C. Estado y otros</w:t>
      </w:r>
      <w:r w:rsidR="00E413A2" w:rsidRPr="00416BC1">
        <w:rPr>
          <w:rFonts w:eastAsia="Times New Roman" w:cstheme="minorHAnsi"/>
          <w:color w:val="000000"/>
          <w:lang w:eastAsia="en-GB"/>
        </w:rPr>
        <w:t>”</w:t>
      </w:r>
      <w:r w:rsidR="00E413A2" w:rsidRPr="003F612F">
        <w:rPr>
          <w:rStyle w:val="Refdenotaalpie"/>
          <w:rFonts w:eastAsia="Times New Roman" w:cstheme="minorHAnsi"/>
          <w:color w:val="000000"/>
          <w:lang w:val="es-AR" w:eastAsia="en-GB"/>
        </w:rPr>
        <w:footnoteReference w:id="61"/>
      </w:r>
      <w:r w:rsidR="00E413A2" w:rsidRPr="00416BC1">
        <w:rPr>
          <w:rFonts w:eastAsia="Times New Roman" w:cstheme="minorHAnsi"/>
          <w:color w:val="000000"/>
          <w:lang w:eastAsia="en-GB"/>
        </w:rPr>
        <w:t xml:space="preserve">, </w:t>
      </w:r>
      <w:r>
        <w:t>where in 2015 the National State and the Government of the City of Buenos Aires were ordered to provide community devices for all those persons confined in mental asylums that were under certified discharge conditions. However, almost 7 years after the judicial decision issue actions to breach it were not implemented and the case was presented before the Inter</w:t>
      </w:r>
      <w:r w:rsidR="00BD07D2">
        <w:t>-A</w:t>
      </w:r>
      <w:r>
        <w:t>merican Commission on Human Rights (CIDH)</w:t>
      </w:r>
      <w:r w:rsidR="00E232A5">
        <w:rPr>
          <w:rStyle w:val="Refdenotaalpie"/>
          <w:rFonts w:eastAsia="Times New Roman" w:cstheme="minorHAnsi"/>
          <w:color w:val="000000"/>
          <w:lang w:val="es-AR" w:eastAsia="en-GB"/>
        </w:rPr>
        <w:footnoteReference w:id="62"/>
      </w:r>
      <w:r w:rsidR="00E413A2" w:rsidRPr="00416BC1">
        <w:rPr>
          <w:rFonts w:eastAsia="Times New Roman" w:cstheme="minorHAnsi"/>
          <w:color w:val="000000"/>
          <w:lang w:eastAsia="en-GB"/>
        </w:rPr>
        <w:t>.</w:t>
      </w:r>
      <w:r w:rsidR="003557ED" w:rsidRPr="00416BC1">
        <w:rPr>
          <w:rFonts w:eastAsia="Times New Roman" w:cstheme="minorHAnsi"/>
          <w:color w:val="000000"/>
          <w:lang w:eastAsia="en-GB"/>
        </w:rPr>
        <w:t xml:space="preserve"> </w:t>
      </w:r>
    </w:p>
    <w:p w14:paraId="76938F9A" w14:textId="0B28C34B" w:rsidR="00816B85" w:rsidRPr="00416BC1" w:rsidRDefault="007D77EA" w:rsidP="00536548">
      <w:pPr>
        <w:rPr>
          <w:rFonts w:eastAsia="Times New Roman" w:cstheme="minorHAnsi"/>
          <w:color w:val="000000"/>
          <w:lang w:eastAsia="en-GB"/>
        </w:rPr>
      </w:pPr>
      <w:r>
        <w:t>What has been developed is shown on the budget assigned to ANDIS, as there are no significant budget headings destined to finance polices to promote autonomy and independent life for PWD. The assigned budget for Mental Health should reach at least 10% of the total budget for the Ministry of Health, but since the passing of the Law for Mental Health till now, it has never been higher than 2.2% and a great amount is still destined to mental asylums</w:t>
      </w:r>
      <w:r w:rsidR="00816B85" w:rsidRPr="003F612F">
        <w:rPr>
          <w:rStyle w:val="Refdenotaalpie"/>
          <w:rFonts w:eastAsia="Times New Roman" w:cstheme="minorHAnsi"/>
          <w:color w:val="000000"/>
          <w:lang w:val="es-AR" w:eastAsia="en-GB"/>
        </w:rPr>
        <w:footnoteReference w:id="63"/>
      </w:r>
      <w:r w:rsidR="00503EF6" w:rsidRPr="00416BC1">
        <w:rPr>
          <w:rFonts w:eastAsia="Times New Roman" w:cstheme="minorHAnsi"/>
          <w:color w:val="000000"/>
          <w:lang w:eastAsia="en-GB"/>
        </w:rPr>
        <w:t>.</w:t>
      </w:r>
      <w:r w:rsidR="00816B85" w:rsidRPr="00416BC1">
        <w:rPr>
          <w:rFonts w:eastAsia="Times New Roman" w:cstheme="minorHAnsi"/>
          <w:color w:val="000000"/>
          <w:lang w:eastAsia="en-GB"/>
        </w:rPr>
        <w:t xml:space="preserve"> </w:t>
      </w:r>
    </w:p>
    <w:p w14:paraId="4E9B2ADD" w14:textId="119914DF" w:rsidR="00B07FDD" w:rsidRPr="00416BC1" w:rsidRDefault="00AA64EC" w:rsidP="00536548">
      <w:pPr>
        <w:rPr>
          <w:rFonts w:eastAsia="Times New Roman" w:cstheme="minorHAnsi"/>
        </w:rPr>
      </w:pPr>
      <w:r>
        <w:t>Discrimination is also seen at the moment of renting a house; such is the case of denying the signature to a lease agreement</w:t>
      </w:r>
      <w:r w:rsidR="00D3760C" w:rsidRPr="003F612F">
        <w:rPr>
          <w:rStyle w:val="Refdenotaalpie"/>
          <w:rFonts w:eastAsia="Times New Roman" w:cstheme="minorHAnsi"/>
          <w:lang w:val="es-AR"/>
        </w:rPr>
        <w:footnoteReference w:id="64"/>
      </w:r>
      <w:r w:rsidR="004B7796" w:rsidRPr="00416BC1">
        <w:rPr>
          <w:rFonts w:eastAsia="Times New Roman" w:cstheme="minorHAnsi"/>
        </w:rPr>
        <w:t xml:space="preserve">, </w:t>
      </w:r>
      <w:r>
        <w:t>cancelling it saying that disability is a potential cause of dangerous incidents and it puts either the property or the PWD at risk. It is also worth mentioning the lack of owners among PWD.</w:t>
      </w:r>
    </w:p>
    <w:p w14:paraId="297C991E" w14:textId="26B44473" w:rsidR="00406178" w:rsidRPr="00416BC1" w:rsidRDefault="00AA64EC" w:rsidP="00536548">
      <w:pPr>
        <w:rPr>
          <w:rFonts w:eastAsia="Times New Roman" w:cstheme="minorHAnsi"/>
        </w:rPr>
      </w:pPr>
      <w:r>
        <w:t>The medical model outstands in the regulation of supports for an independent life, and there is no state coverage on personal assistance</w:t>
      </w:r>
      <w:r w:rsidR="00AC6149" w:rsidRPr="003F612F">
        <w:rPr>
          <w:rStyle w:val="Refdenotaalpie"/>
          <w:rFonts w:eastAsia="Times New Roman" w:cstheme="minorHAnsi"/>
          <w:color w:val="000000"/>
          <w:lang w:val="es-AR" w:eastAsia="en-GB"/>
        </w:rPr>
        <w:footnoteReference w:id="65"/>
      </w:r>
      <w:r w:rsidR="00C60514" w:rsidRPr="00416BC1">
        <w:rPr>
          <w:rFonts w:eastAsia="Times New Roman" w:cstheme="minorHAnsi"/>
          <w:color w:val="000000"/>
          <w:lang w:eastAsia="en-GB"/>
        </w:rPr>
        <w:t xml:space="preserve">. </w:t>
      </w:r>
      <w:r>
        <w:t xml:space="preserve">Regulated support services follow the medical model and do not admit that the user could select and coordinate their personal assistants. Azul Association, when promoting </w:t>
      </w:r>
      <w:r>
        <w:lastRenderedPageBreak/>
        <w:t>the figure of personal assistant presented on draft bill in the Province of Buenos Aires</w:t>
      </w:r>
      <w:r w:rsidR="00406178" w:rsidRPr="003F612F">
        <w:rPr>
          <w:rStyle w:val="Refdenotaalpie"/>
          <w:rFonts w:cstheme="minorHAnsi"/>
        </w:rPr>
        <w:footnoteReference w:id="66"/>
      </w:r>
      <w:r w:rsidR="00406178" w:rsidRPr="00416BC1">
        <w:rPr>
          <w:rFonts w:eastAsia="Times New Roman" w:cstheme="minorHAnsi"/>
        </w:rPr>
        <w:t xml:space="preserve">. </w:t>
      </w:r>
      <w:r w:rsidR="007861D7">
        <w:t>Also, a claim was made against the provincial State in virtue of the lack of regulation of the service of personal assistance in IOMA, with a favorable judgment in first and second instances</w:t>
      </w:r>
      <w:r w:rsidR="00406178" w:rsidRPr="003F612F">
        <w:rPr>
          <w:rStyle w:val="Refdenotaalpie"/>
          <w:rFonts w:cstheme="minorHAnsi"/>
        </w:rPr>
        <w:footnoteReference w:id="67"/>
      </w:r>
      <w:r w:rsidR="00406178" w:rsidRPr="00416BC1">
        <w:rPr>
          <w:rFonts w:eastAsia="Times New Roman" w:cstheme="minorHAnsi"/>
        </w:rPr>
        <w:t xml:space="preserve"> </w:t>
      </w:r>
      <w:r w:rsidR="007861D7">
        <w:t>but the State appealed and is now waiting for a resolution at the Supreme Court of the Province. It has also been pending from the last 13 years the regulation of Law 26480 that incorporated home caretakers to Law 24901.</w:t>
      </w:r>
    </w:p>
    <w:p w14:paraId="064B1474" w14:textId="77777777" w:rsidR="007861D7" w:rsidRPr="00536548" w:rsidRDefault="007861D7" w:rsidP="00536548">
      <w:pPr>
        <w:ind w:firstLine="0"/>
        <w:rPr>
          <w:b/>
          <w:i/>
          <w:u w:val="single"/>
        </w:rPr>
      </w:pPr>
      <w:bookmarkStart w:id="17" w:name="_heading=h.yudm9b8ywovp" w:colFirst="0" w:colLast="0"/>
      <w:bookmarkEnd w:id="17"/>
      <w:r w:rsidRPr="00536548">
        <w:rPr>
          <w:b/>
          <w:i/>
          <w:u w:val="single"/>
        </w:rPr>
        <w:t>SUGGESTED RECOMMENDATIONS TO THE STATE</w:t>
      </w:r>
    </w:p>
    <w:p w14:paraId="095C4829" w14:textId="77777777" w:rsidR="007861D7" w:rsidRPr="00B96188" w:rsidRDefault="007861D7" w:rsidP="002E2ECA">
      <w:pPr>
        <w:pStyle w:val="Prrafodelista"/>
        <w:numPr>
          <w:ilvl w:val="0"/>
          <w:numId w:val="23"/>
        </w:numPr>
      </w:pPr>
      <w:r w:rsidRPr="00B96188">
        <w:t>Designing of policies to guarantee the right to an independent life for PWD, the closure of the different kinds of institutions that lodge them and the access to support services for life in community.</w:t>
      </w:r>
    </w:p>
    <w:p w14:paraId="34491234" w14:textId="77777777" w:rsidR="007861D7" w:rsidRDefault="007861D7" w:rsidP="002E2ECA">
      <w:pPr>
        <w:pStyle w:val="Prrafodelista"/>
        <w:numPr>
          <w:ilvl w:val="0"/>
          <w:numId w:val="23"/>
        </w:numPr>
      </w:pPr>
      <w:r>
        <w:t xml:space="preserve">Moving forward in the processes of sustainable discharge from asylums including specifically those of women, feminized identities and teenagers, closure of still existing mental hospitals and create devices for outpatients´ attention and social inclusion. </w:t>
      </w:r>
    </w:p>
    <w:p w14:paraId="724C2F67" w14:textId="10507E28" w:rsidR="007861D7" w:rsidRDefault="007861D7" w:rsidP="002E2ECA">
      <w:pPr>
        <w:pStyle w:val="Prrafodelista"/>
        <w:numPr>
          <w:ilvl w:val="0"/>
          <w:numId w:val="23"/>
        </w:numPr>
      </w:pPr>
      <w:r>
        <w:t xml:space="preserve">Increasing training of professionals working in the field of Mental Health in the social model </w:t>
      </w:r>
      <w:r w:rsidR="00BD07D2">
        <w:t>of</w:t>
      </w:r>
      <w:r>
        <w:t xml:space="preserve"> disability and in the approach to community mental health.</w:t>
      </w:r>
    </w:p>
    <w:p w14:paraId="6FC36C70" w14:textId="77777777" w:rsidR="007861D7" w:rsidRDefault="007861D7" w:rsidP="002E2ECA">
      <w:pPr>
        <w:pStyle w:val="Prrafodelista"/>
        <w:numPr>
          <w:ilvl w:val="0"/>
          <w:numId w:val="23"/>
        </w:numPr>
      </w:pPr>
      <w:r>
        <w:t>Guarantee that the functioning technical defense on article 22, Law 26657 is implemented throughout the National Territory and at the disposal of every confined person and also guaranteed to persons under a confinement regime for mental health reasons in conflict with Criminal Law.</w:t>
      </w:r>
    </w:p>
    <w:p w14:paraId="372405CA" w14:textId="77777777" w:rsidR="007861D7" w:rsidRDefault="007861D7" w:rsidP="002E2ECA">
      <w:pPr>
        <w:pStyle w:val="Prrafodelista"/>
        <w:numPr>
          <w:ilvl w:val="0"/>
          <w:numId w:val="23"/>
        </w:numPr>
      </w:pPr>
      <w:r>
        <w:t>Adjust the service system to the social model of disability and ensure the access of PWD to support services, such as personal assistance.</w:t>
      </w:r>
    </w:p>
    <w:p w14:paraId="7BFEEF05" w14:textId="77777777" w:rsidR="007861D7" w:rsidRDefault="007861D7" w:rsidP="002E2ECA">
      <w:pPr>
        <w:pStyle w:val="Prrafodelista"/>
        <w:numPr>
          <w:ilvl w:val="0"/>
          <w:numId w:val="23"/>
        </w:numPr>
      </w:pPr>
      <w:r>
        <w:t>Regulate Law 26480 that rules the figure of the home caretakers whose deadlines are overdue.</w:t>
      </w:r>
    </w:p>
    <w:tbl>
      <w:tblPr>
        <w:tblStyle w:val="Tablaconcuadrcula"/>
        <w:tblW w:w="0" w:type="auto"/>
        <w:tblLook w:val="04A0" w:firstRow="1" w:lastRow="0" w:firstColumn="1" w:lastColumn="0" w:noHBand="0" w:noVBand="1"/>
      </w:tblPr>
      <w:tblGrid>
        <w:gridCol w:w="9736"/>
      </w:tblGrid>
      <w:tr w:rsidR="00E413A2" w:rsidRPr="003F612F" w14:paraId="4383E6C9" w14:textId="77777777" w:rsidTr="00CC4E09">
        <w:tc>
          <w:tcPr>
            <w:tcW w:w="9736" w:type="dxa"/>
            <w:shd w:val="clear" w:color="auto" w:fill="D5DCE4" w:themeFill="text2" w:themeFillTint="33"/>
          </w:tcPr>
          <w:p w14:paraId="21E0AE1A" w14:textId="60549980" w:rsidR="00E413A2" w:rsidRPr="00846678" w:rsidRDefault="00F11C78" w:rsidP="00F11C78">
            <w:pPr>
              <w:pStyle w:val="Ttulo2"/>
              <w:outlineLvl w:val="1"/>
              <w:rPr>
                <w:rFonts w:asciiTheme="minorHAnsi" w:eastAsia="Times New Roman" w:hAnsiTheme="minorHAnsi" w:cstheme="minorHAnsi"/>
                <w:b/>
                <w:bCs/>
                <w:color w:val="auto"/>
                <w:sz w:val="24"/>
                <w:szCs w:val="24"/>
                <w:lang w:val="es-AR"/>
              </w:rPr>
            </w:pPr>
            <w:bookmarkStart w:id="18" w:name="_Toc126310230"/>
            <w:r>
              <w:rPr>
                <w:rFonts w:asciiTheme="minorHAnsi" w:hAnsiTheme="minorHAnsi" w:cstheme="minorHAnsi"/>
                <w:b/>
                <w:color w:val="auto"/>
                <w:sz w:val="24"/>
                <w:szCs w:val="24"/>
              </w:rPr>
              <w:t>Article</w:t>
            </w:r>
            <w:r w:rsidR="007861D7" w:rsidRPr="00846678">
              <w:rPr>
                <w:rFonts w:asciiTheme="minorHAnsi" w:hAnsiTheme="minorHAnsi" w:cstheme="minorHAnsi"/>
                <w:b/>
                <w:color w:val="auto"/>
                <w:sz w:val="24"/>
                <w:szCs w:val="24"/>
              </w:rPr>
              <w:t xml:space="preserve"> 20: </w:t>
            </w:r>
            <w:r>
              <w:rPr>
                <w:rFonts w:asciiTheme="minorHAnsi" w:hAnsiTheme="minorHAnsi" w:cstheme="minorHAnsi"/>
                <w:b/>
                <w:color w:val="auto"/>
                <w:sz w:val="24"/>
                <w:szCs w:val="24"/>
              </w:rPr>
              <w:t>Personal mobility</w:t>
            </w:r>
            <w:bookmarkEnd w:id="18"/>
          </w:p>
        </w:tc>
      </w:tr>
    </w:tbl>
    <w:p w14:paraId="50A3B13F" w14:textId="16CB0BAE" w:rsidR="00E413A2" w:rsidRPr="00416BC1" w:rsidRDefault="00330379" w:rsidP="00C52C69">
      <w:pPr>
        <w:rPr>
          <w:rFonts w:eastAsia="Times New Roman" w:cstheme="minorHAnsi"/>
        </w:rPr>
      </w:pPr>
      <w:r>
        <w:t xml:space="preserve">PWD come across multiple barriers to get to long distance transport. Decree 38/04 regulatory of Law 22431, determines the right to free transport for PWD. However, companies stick to the regulatory decree 118/06 that establishes a quota of seats for PWD per bus and reduces the access to semi-bed services. On top of it, there are persistent physical barriers to get to long distant services. Resolution 91/18 mentioned in the </w:t>
      </w:r>
      <w:r w:rsidR="00AA38E4">
        <w:t>Country report</w:t>
      </w:r>
      <w:r>
        <w:t xml:space="preserve"> </w:t>
      </w:r>
      <w:r w:rsidR="009B6DA9">
        <w:rPr>
          <w:rStyle w:val="Refdenotaalpie"/>
          <w:rFonts w:eastAsia="Times New Roman" w:cstheme="minorHAnsi"/>
          <w:lang w:val="es-AR"/>
        </w:rPr>
        <w:footnoteReference w:id="68"/>
      </w:r>
      <w:r w:rsidR="009B6DA9" w:rsidRPr="00416BC1">
        <w:rPr>
          <w:rFonts w:eastAsia="Times New Roman" w:cstheme="minorHAnsi"/>
        </w:rPr>
        <w:t xml:space="preserve"> </w:t>
      </w:r>
      <w:r>
        <w:t>has not brought about improvements in accessibility.</w:t>
      </w:r>
    </w:p>
    <w:p w14:paraId="3AB37590" w14:textId="2C497512" w:rsidR="00012615" w:rsidRPr="00416BC1" w:rsidRDefault="00330379" w:rsidP="00BD07D2">
      <w:pPr>
        <w:rPr>
          <w:rFonts w:cstheme="minorHAnsi"/>
          <w:color w:val="26282A"/>
        </w:rPr>
      </w:pPr>
      <w:r>
        <w:t>In relation to the Advice and Comptroller Committee</w:t>
      </w:r>
      <w:r w:rsidR="00012615" w:rsidRPr="003F612F">
        <w:rPr>
          <w:rStyle w:val="Refdenotaalpie"/>
          <w:rFonts w:cstheme="minorHAnsi"/>
          <w:color w:val="26282A"/>
          <w:lang w:val="es-ES"/>
        </w:rPr>
        <w:footnoteReference w:id="69"/>
      </w:r>
      <w:r w:rsidR="00BD07D2">
        <w:t xml:space="preserve"> </w:t>
      </w:r>
      <w:r w:rsidR="00BD07D2">
        <w:t>of Law 24314 on accessibility to persons with reduced mobility, there is no representation of a public body on disability as the CONADIS was replaced by the ANDIS but it did not continue its role before the CAC</w:t>
      </w:r>
      <w:r w:rsidR="00681BF1" w:rsidRPr="00416BC1">
        <w:rPr>
          <w:rFonts w:cstheme="minorHAnsi"/>
          <w:color w:val="26282A"/>
        </w:rPr>
        <w:t xml:space="preserve">. </w:t>
      </w:r>
      <w:r>
        <w:t xml:space="preserve">It is not known either if there has been progress as </w:t>
      </w:r>
      <w:r>
        <w:lastRenderedPageBreak/>
        <w:t xml:space="preserve">regards the development of accessible long distance buses mentioned in the </w:t>
      </w:r>
      <w:r w:rsidR="00F11C78">
        <w:t>Country repor</w:t>
      </w:r>
      <w:r w:rsidR="00BD07D2">
        <w:t>t</w:t>
      </w:r>
      <w:r>
        <w:t xml:space="preserve"> </w:t>
      </w:r>
      <w:r w:rsidR="009B6DA9">
        <w:rPr>
          <w:rStyle w:val="Refdenotaalpie"/>
          <w:rFonts w:cstheme="minorHAnsi"/>
          <w:color w:val="26282A"/>
          <w:lang w:val="es-ES"/>
        </w:rPr>
        <w:footnoteReference w:id="70"/>
      </w:r>
      <w:r w:rsidR="00BC0F7D" w:rsidRPr="00416BC1">
        <w:rPr>
          <w:rFonts w:cstheme="minorHAnsi"/>
          <w:color w:val="26282A"/>
        </w:rPr>
        <w:t xml:space="preserve"> </w:t>
      </w:r>
      <w:r>
        <w:t xml:space="preserve">to which the </w:t>
      </w:r>
      <w:r w:rsidR="003B3DD9">
        <w:t xml:space="preserve">National Passenger Transport Direction </w:t>
      </w:r>
      <w:r>
        <w:t xml:space="preserve">and the </w:t>
      </w:r>
      <w:r w:rsidR="003B3DD9">
        <w:t>National Traffic and Road Security Commission</w:t>
      </w:r>
      <w:r>
        <w:t xml:space="preserve"> committed.</w:t>
      </w:r>
    </w:p>
    <w:p w14:paraId="2E3DDDD4" w14:textId="7447E439" w:rsidR="00E413A2" w:rsidRPr="00416BC1" w:rsidRDefault="00330379" w:rsidP="00536548">
      <w:pPr>
        <w:rPr>
          <w:rFonts w:cstheme="minorHAnsi"/>
          <w:color w:val="000000"/>
        </w:rPr>
      </w:pPr>
      <w:r>
        <w:t>In 2018, Blue Association made a claim against passengers motor transport companies of the Buenos Aires Province due to the breach of the ruling framework. It had a favorable judgment in first and second instances</w:t>
      </w:r>
      <w:r w:rsidR="00E413A2" w:rsidRPr="003F612F">
        <w:rPr>
          <w:rStyle w:val="Refdenotaalpie"/>
          <w:rFonts w:cstheme="minorHAnsi"/>
          <w:color w:val="000000"/>
          <w:lang w:val="es-AR"/>
        </w:rPr>
        <w:footnoteReference w:id="71"/>
      </w:r>
      <w:r w:rsidR="007648F5" w:rsidRPr="00416BC1">
        <w:rPr>
          <w:rFonts w:cstheme="minorHAnsi"/>
          <w:color w:val="000000"/>
        </w:rPr>
        <w:t xml:space="preserve">, </w:t>
      </w:r>
      <w:r>
        <w:t>but it has been appealed and is waiting for a resolution at the Supreme Court.</w:t>
      </w:r>
    </w:p>
    <w:p w14:paraId="4C906D6B" w14:textId="191D0630" w:rsidR="000D22BC" w:rsidRPr="00416BC1" w:rsidRDefault="00330379" w:rsidP="00536548">
      <w:pPr>
        <w:rPr>
          <w:rFonts w:eastAsia="Calibri" w:cstheme="minorHAnsi"/>
          <w:iCs/>
        </w:rPr>
      </w:pPr>
      <w:r>
        <w:t>As regards urban transport, PWD are not included in the Unique System of Electronic Ticket (SUBE) used in buses and underground system and which provides a receipt and gives safe access to those using transport. In December 2022, the Federal Court for Contentious Administrative Proceedings N°5</w:t>
      </w:r>
      <w:r w:rsidR="00CB0E43" w:rsidRPr="003F612F">
        <w:rPr>
          <w:rStyle w:val="Refdenotaalpie"/>
          <w:rFonts w:cstheme="minorHAnsi"/>
          <w:color w:val="000000"/>
          <w:lang w:val="es-AR"/>
        </w:rPr>
        <w:footnoteReference w:id="72"/>
      </w:r>
      <w:r w:rsidR="00CB0E43" w:rsidRPr="00416BC1">
        <w:rPr>
          <w:rFonts w:cstheme="minorHAnsi"/>
          <w:color w:val="000000"/>
        </w:rPr>
        <w:t xml:space="preserve"> </w:t>
      </w:r>
      <w:r>
        <w:t>claimed that PWD should be included in the SUBE within a period of 90 days keeping gratuity of transport established on Law 22</w:t>
      </w:r>
      <w:r w:rsidR="003B3DD9">
        <w:t>.</w:t>
      </w:r>
      <w:r>
        <w:t>431.</w:t>
      </w:r>
    </w:p>
    <w:p w14:paraId="0698A9B0" w14:textId="1CAEC700" w:rsidR="00330379" w:rsidRPr="00536548" w:rsidRDefault="00330379" w:rsidP="00536548">
      <w:pPr>
        <w:ind w:firstLine="0"/>
        <w:rPr>
          <w:b/>
          <w:i/>
          <w:u w:val="single"/>
        </w:rPr>
      </w:pPr>
      <w:r w:rsidRPr="00536548">
        <w:rPr>
          <w:b/>
          <w:i/>
          <w:u w:val="single"/>
        </w:rPr>
        <w:t>SUGGESTED RECOMMENDATIONS TO THE STATE</w:t>
      </w:r>
    </w:p>
    <w:p w14:paraId="29B26F93" w14:textId="77777777" w:rsidR="00330379" w:rsidRDefault="00330379" w:rsidP="002E2ECA">
      <w:pPr>
        <w:pStyle w:val="Prrafodelista"/>
        <w:numPr>
          <w:ilvl w:val="0"/>
          <w:numId w:val="3"/>
        </w:numPr>
      </w:pPr>
      <w:r>
        <w:t>Apply measures to facilitate transport for PWD and improve access to it in every way.</w:t>
      </w:r>
    </w:p>
    <w:p w14:paraId="3D6F1B71" w14:textId="77777777" w:rsidR="00330379" w:rsidRDefault="00330379" w:rsidP="002E2ECA">
      <w:pPr>
        <w:pStyle w:val="Prrafodelista"/>
        <w:numPr>
          <w:ilvl w:val="0"/>
          <w:numId w:val="3"/>
        </w:numPr>
      </w:pPr>
      <w:r>
        <w:t>Repeal decree 118/06 that establishes a quota of seats for PWD in long distance transport, limiting in this way the possibility of getting free tickets.</w:t>
      </w:r>
    </w:p>
    <w:p w14:paraId="6A7C8B00" w14:textId="77777777" w:rsidR="00330379" w:rsidRDefault="00330379" w:rsidP="002E2ECA">
      <w:pPr>
        <w:pStyle w:val="Prrafodelista"/>
        <w:numPr>
          <w:ilvl w:val="0"/>
          <w:numId w:val="3"/>
        </w:numPr>
      </w:pPr>
      <w:r>
        <w:t>Increase the training of people working in public transport on the social model and security measures established for PWD.</w:t>
      </w:r>
    </w:p>
    <w:p w14:paraId="46ED6DBE" w14:textId="77777777" w:rsidR="00330379" w:rsidRDefault="00330379" w:rsidP="002E2ECA">
      <w:pPr>
        <w:pStyle w:val="Prrafodelista"/>
        <w:numPr>
          <w:ilvl w:val="0"/>
          <w:numId w:val="3"/>
        </w:numPr>
      </w:pPr>
      <w:r>
        <w:t>Give effect to the sentence that claims for the inclusion of PWD in the SUBE and promote the implementation of similar measures in other provinces.</w:t>
      </w:r>
    </w:p>
    <w:p w14:paraId="27E247E3" w14:textId="781C6588" w:rsidR="005133D5" w:rsidRPr="00416BC1" w:rsidRDefault="009279D6" w:rsidP="002E2ECA">
      <w:pPr>
        <w:pStyle w:val="Prrafodelista"/>
      </w:pPr>
      <w:r w:rsidRPr="00416BC1">
        <w:t xml:space="preserve"> </w:t>
      </w:r>
    </w:p>
    <w:tbl>
      <w:tblPr>
        <w:tblStyle w:val="Tablaconcuadrcula"/>
        <w:tblW w:w="0" w:type="auto"/>
        <w:tblLook w:val="04A0" w:firstRow="1" w:lastRow="0" w:firstColumn="1" w:lastColumn="0" w:noHBand="0" w:noVBand="1"/>
      </w:tblPr>
      <w:tblGrid>
        <w:gridCol w:w="9736"/>
      </w:tblGrid>
      <w:tr w:rsidR="00E413A2" w:rsidRPr="00416BC1" w14:paraId="02484023" w14:textId="77777777" w:rsidTr="00855A69">
        <w:tc>
          <w:tcPr>
            <w:tcW w:w="9736" w:type="dxa"/>
            <w:shd w:val="clear" w:color="auto" w:fill="D5DCE4" w:themeFill="text2" w:themeFillTint="33"/>
          </w:tcPr>
          <w:p w14:paraId="77D35A9D" w14:textId="6B3EB143" w:rsidR="00E413A2" w:rsidRPr="00FF6472" w:rsidRDefault="00F11C78" w:rsidP="00F11C78">
            <w:pPr>
              <w:pStyle w:val="Ttulo2"/>
              <w:jc w:val="center"/>
              <w:outlineLvl w:val="1"/>
              <w:rPr>
                <w:rFonts w:asciiTheme="minorHAnsi" w:eastAsia="Times New Roman" w:hAnsiTheme="minorHAnsi" w:cstheme="minorHAnsi"/>
                <w:b/>
                <w:bCs/>
                <w:color w:val="auto"/>
                <w:sz w:val="24"/>
                <w:szCs w:val="24"/>
              </w:rPr>
            </w:pPr>
            <w:bookmarkStart w:id="19" w:name="_Toc126310231"/>
            <w:r>
              <w:rPr>
                <w:rFonts w:asciiTheme="minorHAnsi" w:hAnsiTheme="minorHAnsi" w:cstheme="minorHAnsi"/>
                <w:b/>
                <w:color w:val="auto"/>
                <w:sz w:val="24"/>
                <w:szCs w:val="24"/>
              </w:rPr>
              <w:t>Article</w:t>
            </w:r>
            <w:r w:rsidR="00330379" w:rsidRPr="00FF6472">
              <w:rPr>
                <w:rFonts w:asciiTheme="minorHAnsi" w:hAnsiTheme="minorHAnsi" w:cstheme="minorHAnsi"/>
                <w:b/>
                <w:color w:val="auto"/>
                <w:sz w:val="24"/>
                <w:szCs w:val="24"/>
              </w:rPr>
              <w:t xml:space="preserve"> 21: </w:t>
            </w:r>
            <w:r>
              <w:rPr>
                <w:rFonts w:asciiTheme="minorHAnsi" w:hAnsiTheme="minorHAnsi" w:cstheme="minorHAnsi"/>
                <w:b/>
                <w:color w:val="auto"/>
                <w:sz w:val="24"/>
                <w:szCs w:val="24"/>
              </w:rPr>
              <w:t>Freedom of opinion and expression and access to information</w:t>
            </w:r>
            <w:bookmarkEnd w:id="19"/>
          </w:p>
        </w:tc>
      </w:tr>
    </w:tbl>
    <w:p w14:paraId="3B4C50D8" w14:textId="1F634D57" w:rsidR="00810F4E" w:rsidRPr="005B12EE" w:rsidRDefault="005B12EE" w:rsidP="00C52C69">
      <w:r>
        <w:t>In spite of the laws of Audiovisual Communication services, which establish the obligation to broadcast content with accessibility resources</w:t>
      </w:r>
      <w:r w:rsidR="005E006D" w:rsidRPr="003F612F">
        <w:rPr>
          <w:rStyle w:val="Refdenotaalpie"/>
          <w:rFonts w:eastAsia="Times New Roman" w:cstheme="minorHAnsi"/>
          <w:color w:val="000000"/>
          <w:lang w:val="es-AR" w:eastAsia="en-GB"/>
        </w:rPr>
        <w:footnoteReference w:id="73"/>
      </w:r>
      <w:r w:rsidR="005E006D" w:rsidRPr="00797A37">
        <w:rPr>
          <w:rFonts w:eastAsia="Times New Roman" w:cstheme="minorHAnsi"/>
          <w:color w:val="000000"/>
          <w:lang w:eastAsia="en-GB"/>
        </w:rPr>
        <w:t>,</w:t>
      </w:r>
      <w:r w:rsidR="00810F4E" w:rsidRPr="00797A37">
        <w:rPr>
          <w:rFonts w:eastAsia="Times New Roman" w:cstheme="minorHAnsi"/>
          <w:color w:val="000000"/>
          <w:lang w:eastAsia="en-GB"/>
        </w:rPr>
        <w:t xml:space="preserve"> </w:t>
      </w:r>
      <w:r>
        <w:t>television channels do no incorporate hidden subtitles, sign language or audio-description for blind people or for intellectual PWD in the period established by the law</w:t>
      </w:r>
      <w:r w:rsidR="00AA68F0">
        <w:rPr>
          <w:rStyle w:val="Refdenotaalpie"/>
          <w:rFonts w:eastAsia="Times New Roman" w:cstheme="minorHAnsi"/>
          <w:color w:val="000000"/>
          <w:lang w:val="es-AR" w:eastAsia="en-GB"/>
        </w:rPr>
        <w:footnoteReference w:id="74"/>
      </w:r>
      <w:r w:rsidR="00810F4E" w:rsidRPr="00797A37">
        <w:rPr>
          <w:rFonts w:eastAsia="Times New Roman" w:cstheme="minorHAnsi"/>
          <w:color w:val="000000"/>
          <w:lang w:eastAsia="en-GB"/>
        </w:rPr>
        <w:t xml:space="preserve">. </w:t>
      </w:r>
      <w:r>
        <w:t>Public television does not incorporate these resources either. At the same time, there is not a mechanism of state control of these services.</w:t>
      </w:r>
    </w:p>
    <w:p w14:paraId="306FD0F6" w14:textId="77777777" w:rsidR="005B12EE" w:rsidRDefault="005B12EE" w:rsidP="00536548">
      <w:r>
        <w:t>Besides, official messages from the President broadcast through National Television Network .while in other cases interpreters were covered by information plates of the channels broadcasting the speech. This prevented deaf people to have access to the epidemic situation and measures taken by the government. What is more, official spots providing information about a phone line of attention to women in violent contexts and about vaccination campaigns were not accessible for visual, auditory and intellectual PWD.</w:t>
      </w:r>
    </w:p>
    <w:p w14:paraId="679E747B" w14:textId="276AB5A2" w:rsidR="00E413A2" w:rsidRPr="00797A37" w:rsidRDefault="005B12EE" w:rsidP="00536548">
      <w:pPr>
        <w:rPr>
          <w:rStyle w:val="Hipervnculo"/>
          <w:rFonts w:eastAsia="Times New Roman" w:cstheme="minorHAnsi"/>
        </w:rPr>
      </w:pPr>
      <w:r>
        <w:lastRenderedPageBreak/>
        <w:t>Paper currency in Argentina continues having inaccessible formaT</w:t>
      </w:r>
      <w:r w:rsidR="00AA68F0">
        <w:rPr>
          <w:rStyle w:val="Refdenotaalpie"/>
          <w:rFonts w:eastAsia="Times New Roman" w:cstheme="minorHAnsi"/>
          <w:color w:val="000000"/>
          <w:lang w:val="es-AR" w:eastAsia="en-GB"/>
        </w:rPr>
        <w:footnoteReference w:id="75"/>
      </w:r>
      <w:r w:rsidR="001D5824" w:rsidRPr="00797A37">
        <w:rPr>
          <w:rFonts w:eastAsia="Times New Roman" w:cstheme="minorHAnsi"/>
          <w:color w:val="000000"/>
          <w:lang w:eastAsia="en-GB"/>
        </w:rPr>
        <w:t xml:space="preserve">. </w:t>
      </w:r>
      <w:r>
        <w:t>FAICA and REDI presented a collective demand to incorporate designs that would allow visual PWD to distinguish them in an autonomous way. The National Central Bank and answered negatively</w:t>
      </w:r>
      <w:r w:rsidR="00BC6426" w:rsidRPr="003F612F">
        <w:rPr>
          <w:rStyle w:val="Refdenotaalpie"/>
          <w:rFonts w:eastAsia="Times New Roman" w:cstheme="minorHAnsi"/>
          <w:color w:val="000000"/>
          <w:lang w:val="es-AR" w:eastAsia="en-GB"/>
        </w:rPr>
        <w:footnoteReference w:id="76"/>
      </w:r>
      <w:r w:rsidR="00DB4559" w:rsidRPr="00797A37">
        <w:rPr>
          <w:rFonts w:eastAsia="Times New Roman" w:cstheme="minorHAnsi"/>
          <w:color w:val="000000"/>
          <w:lang w:eastAsia="en-GB"/>
        </w:rPr>
        <w:t>.</w:t>
      </w:r>
      <w:r w:rsidR="00BC6426" w:rsidRPr="00797A37">
        <w:rPr>
          <w:rFonts w:eastAsia="Times New Roman" w:cstheme="minorHAnsi"/>
          <w:color w:val="000000"/>
          <w:lang w:eastAsia="en-GB"/>
        </w:rPr>
        <w:t xml:space="preserve"> </w:t>
      </w:r>
      <w:r w:rsidRPr="005B12EE">
        <w:t xml:space="preserve"> </w:t>
      </w:r>
      <w:r>
        <w:t>Control on financial entities to fulfill accessibility control for PWD users of financial services</w:t>
      </w:r>
      <w:r w:rsidR="00106771">
        <w:rPr>
          <w:rStyle w:val="Refdenotaalpie"/>
          <w:rFonts w:eastAsia="Times New Roman" w:cstheme="minorHAnsi"/>
          <w:color w:val="000000"/>
          <w:lang w:val="es-AR" w:eastAsia="en-GB"/>
        </w:rPr>
        <w:footnoteReference w:id="77"/>
      </w:r>
      <w:r w:rsidR="001D5824" w:rsidRPr="00797A37">
        <w:rPr>
          <w:rFonts w:eastAsia="Times New Roman" w:cstheme="minorHAnsi"/>
          <w:color w:val="000000"/>
          <w:lang w:eastAsia="en-GB"/>
        </w:rPr>
        <w:t xml:space="preserve">, </w:t>
      </w:r>
      <w:r>
        <w:t>is not carried out either highlighting that access to many home banking services are still inaccessible, among them the Banco de la Nación , main public bank in the country and cash dispensers.</w:t>
      </w:r>
    </w:p>
    <w:p w14:paraId="38346533" w14:textId="7814FB07" w:rsidR="005B12EE" w:rsidRPr="00536548" w:rsidRDefault="005B12EE" w:rsidP="00536548">
      <w:pPr>
        <w:ind w:firstLine="0"/>
        <w:rPr>
          <w:b/>
          <w:i/>
          <w:u w:val="single"/>
        </w:rPr>
      </w:pPr>
      <w:r w:rsidRPr="00536548">
        <w:rPr>
          <w:b/>
          <w:i/>
          <w:u w:val="single"/>
        </w:rPr>
        <w:t>SUGGESTED RECOMMENDATION TO THE STATE</w:t>
      </w:r>
    </w:p>
    <w:p w14:paraId="4D1B2E64" w14:textId="77777777" w:rsidR="005B12EE" w:rsidRDefault="005B12EE" w:rsidP="002E2ECA">
      <w:pPr>
        <w:pStyle w:val="Prrafodelista"/>
        <w:numPr>
          <w:ilvl w:val="0"/>
          <w:numId w:val="24"/>
        </w:numPr>
      </w:pPr>
      <w:r>
        <w:t>Increase mechanisms of accessibility in public channels and resources and training in private channels to put these mechanisms into practice.</w:t>
      </w:r>
    </w:p>
    <w:p w14:paraId="26CF9C81" w14:textId="77777777" w:rsidR="005B12EE" w:rsidRDefault="005B12EE" w:rsidP="002E2ECA">
      <w:pPr>
        <w:pStyle w:val="Prrafodelista"/>
        <w:numPr>
          <w:ilvl w:val="0"/>
          <w:numId w:val="24"/>
        </w:numPr>
      </w:pPr>
      <w:r>
        <w:t>Guarantee sign language interpreters fully trained and accessible information for intellectual PWD in the different areas of communication.</w:t>
      </w:r>
    </w:p>
    <w:p w14:paraId="05B3C31B" w14:textId="77777777" w:rsidR="005B12EE" w:rsidRDefault="005B12EE" w:rsidP="002E2ECA">
      <w:pPr>
        <w:pStyle w:val="Prrafodelista"/>
        <w:numPr>
          <w:ilvl w:val="0"/>
          <w:numId w:val="24"/>
        </w:numPr>
      </w:pPr>
      <w:r>
        <w:t>Demand banking institutions the fulfillment of the regulation for protection of users or financial services of the BCRA for financial inclusion.</w:t>
      </w:r>
    </w:p>
    <w:tbl>
      <w:tblPr>
        <w:tblStyle w:val="Tablaconcuadrcula"/>
        <w:tblW w:w="0" w:type="auto"/>
        <w:tblLook w:val="04A0" w:firstRow="1" w:lastRow="0" w:firstColumn="1" w:lastColumn="0" w:noHBand="0" w:noVBand="1"/>
      </w:tblPr>
      <w:tblGrid>
        <w:gridCol w:w="9736"/>
      </w:tblGrid>
      <w:tr w:rsidR="005E7822" w:rsidRPr="00416BC1" w14:paraId="69477E2F" w14:textId="77777777" w:rsidTr="005E7822">
        <w:tc>
          <w:tcPr>
            <w:tcW w:w="9736" w:type="dxa"/>
            <w:shd w:val="clear" w:color="auto" w:fill="D5DCE4" w:themeFill="text2" w:themeFillTint="33"/>
          </w:tcPr>
          <w:p w14:paraId="2D9286BB" w14:textId="62B05C09" w:rsidR="005E7822" w:rsidRPr="00846678" w:rsidRDefault="00F11C78" w:rsidP="00F11C78">
            <w:pPr>
              <w:pStyle w:val="Ttulo2"/>
              <w:outlineLvl w:val="1"/>
              <w:rPr>
                <w:rFonts w:asciiTheme="minorHAnsi" w:eastAsia="Times New Roman" w:hAnsiTheme="minorHAnsi" w:cstheme="minorHAnsi"/>
                <w:b/>
                <w:bCs/>
                <w:i/>
                <w:iCs/>
                <w:color w:val="auto"/>
                <w:sz w:val="24"/>
                <w:szCs w:val="24"/>
              </w:rPr>
            </w:pPr>
            <w:bookmarkStart w:id="20" w:name="_Toc126310232"/>
            <w:r>
              <w:rPr>
                <w:rFonts w:asciiTheme="minorHAnsi" w:hAnsiTheme="minorHAnsi" w:cstheme="minorHAnsi"/>
                <w:b/>
                <w:color w:val="auto"/>
                <w:sz w:val="24"/>
                <w:szCs w:val="24"/>
              </w:rPr>
              <w:t>Article</w:t>
            </w:r>
            <w:r w:rsidR="00AD51B0" w:rsidRPr="00846678">
              <w:rPr>
                <w:rFonts w:asciiTheme="minorHAnsi" w:hAnsiTheme="minorHAnsi" w:cstheme="minorHAnsi"/>
                <w:b/>
                <w:color w:val="auto"/>
                <w:sz w:val="24"/>
                <w:szCs w:val="24"/>
              </w:rPr>
              <w:t xml:space="preserve"> 23: </w:t>
            </w:r>
            <w:r>
              <w:rPr>
                <w:rFonts w:asciiTheme="minorHAnsi" w:hAnsiTheme="minorHAnsi" w:cstheme="minorHAnsi"/>
                <w:b/>
                <w:color w:val="auto"/>
                <w:sz w:val="24"/>
                <w:szCs w:val="24"/>
              </w:rPr>
              <w:t>Respect for</w:t>
            </w:r>
            <w:r w:rsidR="00AD51B0" w:rsidRPr="00846678">
              <w:rPr>
                <w:rFonts w:asciiTheme="minorHAnsi" w:hAnsiTheme="minorHAnsi" w:cstheme="minorHAnsi"/>
                <w:b/>
                <w:color w:val="auto"/>
                <w:sz w:val="24"/>
                <w:szCs w:val="24"/>
              </w:rPr>
              <w:t xml:space="preserve"> </w:t>
            </w:r>
            <w:r>
              <w:rPr>
                <w:rFonts w:asciiTheme="minorHAnsi" w:hAnsiTheme="minorHAnsi" w:cstheme="minorHAnsi"/>
                <w:b/>
                <w:color w:val="auto"/>
                <w:sz w:val="24"/>
                <w:szCs w:val="24"/>
              </w:rPr>
              <w:t>the family and home</w:t>
            </w:r>
            <w:bookmarkEnd w:id="20"/>
          </w:p>
        </w:tc>
      </w:tr>
    </w:tbl>
    <w:p w14:paraId="271675B0" w14:textId="0C9AB7B0" w:rsidR="00AD51B0" w:rsidRDefault="00AD51B0" w:rsidP="00536548">
      <w:r>
        <w:t>In Argentinean society, there is a social mandate to prohibit maternity on women with disability. There are barriers as regards the necessary supports for wanted pregnancies as well as in the exercise of raising children and they are deprived from their maternal responsibility by judicial decision and children are often institutionalized.</w:t>
      </w:r>
    </w:p>
    <w:p w14:paraId="0E097660" w14:textId="4394BE6D" w:rsidR="00E413A2" w:rsidRPr="00AD51B0" w:rsidRDefault="00AD51B0" w:rsidP="00536548">
      <w:r>
        <w:t>Children are systematically separated from mothers with disability and in poor conditions, on the basis that they could not provide proper care to them. This is opposed to the highest interest of the child</w:t>
      </w:r>
      <w:r w:rsidR="00CE28F7">
        <w:rPr>
          <w:rStyle w:val="Refdenotaalpie"/>
          <w:rFonts w:cstheme="minorHAnsi"/>
          <w:color w:val="000000"/>
          <w:lang w:val="es-AR"/>
        </w:rPr>
        <w:footnoteReference w:id="78"/>
      </w:r>
      <w:r w:rsidR="00CE28F7" w:rsidRPr="00416BC1">
        <w:rPr>
          <w:rFonts w:cstheme="minorHAnsi"/>
          <w:color w:val="000000"/>
        </w:rPr>
        <w:t xml:space="preserve">, </w:t>
      </w:r>
      <w:r>
        <w:t>and to the right of maternity of the PWD. In the province of Tierra del Fuego, in July 2019, the Judicial Power separated a newly born child from his mother on the grounds that the woman had an intellectual disability in spite of her and her family´s request to continue raising the son</w:t>
      </w:r>
      <w:r w:rsidR="00E413A2" w:rsidRPr="003F612F">
        <w:rPr>
          <w:rStyle w:val="Refdenotaalpie"/>
          <w:rFonts w:cstheme="minorHAnsi"/>
          <w:color w:val="000000"/>
          <w:lang w:val="es-AR"/>
        </w:rPr>
        <w:footnoteReference w:id="79"/>
      </w:r>
      <w:r w:rsidR="00E413A2" w:rsidRPr="00416BC1">
        <w:rPr>
          <w:rFonts w:cstheme="minorHAnsi"/>
          <w:color w:val="000000"/>
        </w:rPr>
        <w:t>.</w:t>
      </w:r>
      <w:r w:rsidR="008910F4" w:rsidRPr="00416BC1">
        <w:rPr>
          <w:rFonts w:cstheme="minorHAnsi"/>
          <w:color w:val="000000"/>
        </w:rPr>
        <w:t xml:space="preserve"> </w:t>
      </w:r>
      <w:r>
        <w:t>Another similar case took place in February, 2022 in the Province of La Pampa. The Bureau of Childhood, Adolescence and Family of the province decided to stop with the rising of a six year old boy of a deaf woman in spite of the fact that there was no evidence that the child had suffered from violence and was taken to a hotel with the only visit of social workers</w:t>
      </w:r>
      <w:r w:rsidR="00E413A2" w:rsidRPr="003F612F">
        <w:rPr>
          <w:rStyle w:val="Refdenotaalpie"/>
          <w:rFonts w:cstheme="minorHAnsi"/>
          <w:color w:val="000000"/>
          <w:lang w:val="es-AR"/>
        </w:rPr>
        <w:footnoteReference w:id="80"/>
      </w:r>
      <w:r w:rsidR="00E413A2" w:rsidRPr="00416BC1">
        <w:rPr>
          <w:rFonts w:cstheme="minorHAnsi"/>
          <w:color w:val="000000"/>
        </w:rPr>
        <w:t>.</w:t>
      </w:r>
      <w:r w:rsidR="008910F4" w:rsidRPr="00416BC1">
        <w:rPr>
          <w:rFonts w:cstheme="minorHAnsi"/>
          <w:color w:val="000000"/>
        </w:rPr>
        <w:t xml:space="preserve"> </w:t>
      </w:r>
      <w:r>
        <w:t>In none of these cases did the State choose to provide these mothers with disability the supports required for the exercise of maternity.</w:t>
      </w:r>
    </w:p>
    <w:p w14:paraId="54E8903A" w14:textId="02116C78" w:rsidR="009A0194" w:rsidRPr="00416BC1" w:rsidRDefault="003676D5" w:rsidP="00536548">
      <w:pPr>
        <w:rPr>
          <w:rFonts w:eastAsia="Times New Roman" w:cstheme="minorHAnsi"/>
          <w:color w:val="000000"/>
          <w:lang w:eastAsia="en-GB"/>
        </w:rPr>
      </w:pPr>
      <w:r>
        <w:t>In 2020 the Law 27611 on Integral Attention and Care of Health during Pregnancy and Early Childhood was passed. Financial allocations included</w:t>
      </w:r>
      <w:r w:rsidR="00DB4559" w:rsidRPr="003F612F">
        <w:rPr>
          <w:rStyle w:val="Refdenotaalpie"/>
          <w:rFonts w:cstheme="minorHAnsi"/>
          <w:iCs/>
          <w:lang w:val="es-AR"/>
        </w:rPr>
        <w:footnoteReference w:id="81"/>
      </w:r>
      <w:r w:rsidR="00E413A2" w:rsidRPr="00797A37">
        <w:rPr>
          <w:rFonts w:cstheme="minorHAnsi"/>
          <w:iCs/>
        </w:rPr>
        <w:t xml:space="preserve"> </w:t>
      </w:r>
      <w:r>
        <w:t>are not congruent with the collecting of non-</w:t>
      </w:r>
      <w:r>
        <w:lastRenderedPageBreak/>
        <w:t>contributive pensions. These tools are fundamental in the family organization to favor life quality of pregnant women and childhood. Likewise, specific licenses for PWD who are parents are not considered, which strongly impacts on the family projects of PWD. To sum up, we are especially concerned about the situation of children with psycho-social disability, as there are no policies to implement strategies of family strengthening, community-domiciliary interventions and the creation of alternative devices to their confinement. At the same time and due to the lack of proper answers to move forward into a sustainable external attention and the few available vacancies many of the children remain indefinitely confined in these institutions or go through constant discharge and re-hospitalizations</w:t>
      </w:r>
      <w:r w:rsidR="009A0194" w:rsidRPr="003F612F">
        <w:rPr>
          <w:rFonts w:eastAsia="Times New Roman" w:cstheme="minorHAnsi"/>
          <w:color w:val="000000"/>
          <w:vertAlign w:val="superscript"/>
          <w:lang w:val="es" w:eastAsia="en-GB"/>
        </w:rPr>
        <w:footnoteReference w:id="82"/>
      </w:r>
      <w:r w:rsidR="009A0194" w:rsidRPr="00416BC1">
        <w:rPr>
          <w:rFonts w:eastAsia="Times New Roman" w:cstheme="minorHAnsi"/>
          <w:color w:val="000000"/>
          <w:lang w:eastAsia="en-GB"/>
        </w:rPr>
        <w:t xml:space="preserve">. </w:t>
      </w:r>
      <w:r w:rsidRPr="00692946">
        <w:t xml:space="preserve">In </w:t>
      </w:r>
      <w:r>
        <w:t>these places, children are exposed to different forms of violence and a constant pathologisation of their behaviors. This situation gets worse if we take into account that according to recent investigations, psychiatric institutionalization of childhood in Argentina has shown an increase and with an important progressive tendency</w:t>
      </w:r>
      <w:r w:rsidR="009A0194" w:rsidRPr="003F612F">
        <w:rPr>
          <w:rFonts w:eastAsia="Times New Roman" w:cstheme="minorHAnsi"/>
          <w:color w:val="000000"/>
          <w:vertAlign w:val="superscript"/>
          <w:lang w:val="es" w:eastAsia="en-GB"/>
        </w:rPr>
        <w:footnoteReference w:id="83"/>
      </w:r>
      <w:r w:rsidR="009A0194" w:rsidRPr="00416BC1">
        <w:rPr>
          <w:rFonts w:eastAsia="Times New Roman" w:cstheme="minorHAnsi"/>
          <w:color w:val="000000"/>
          <w:lang w:eastAsia="en-GB"/>
        </w:rPr>
        <w:t xml:space="preserve">. </w:t>
      </w:r>
    </w:p>
    <w:p w14:paraId="78F1EA0B" w14:textId="08C6E051" w:rsidR="009A0194" w:rsidRPr="00416BC1" w:rsidRDefault="003676D5" w:rsidP="00536548">
      <w:pPr>
        <w:rPr>
          <w:rFonts w:eastAsia="Times New Roman" w:cstheme="minorHAnsi"/>
        </w:rPr>
      </w:pPr>
      <w:r>
        <w:t>The Organ of National Revision on Mental Health</w:t>
      </w:r>
      <w:r w:rsidR="009A0194" w:rsidRPr="003F612F">
        <w:rPr>
          <w:rFonts w:eastAsia="Times New Roman" w:cstheme="minorHAnsi"/>
          <w:color w:val="000000"/>
          <w:vertAlign w:val="superscript"/>
          <w:lang w:val="es" w:eastAsia="en-GB"/>
        </w:rPr>
        <w:footnoteReference w:id="84"/>
      </w:r>
      <w:r w:rsidR="009A0194" w:rsidRPr="00416BC1">
        <w:rPr>
          <w:rFonts w:eastAsia="Times New Roman" w:cstheme="minorHAnsi"/>
          <w:color w:val="000000"/>
          <w:lang w:eastAsia="en-GB"/>
        </w:rPr>
        <w:t xml:space="preserve"> </w:t>
      </w:r>
      <w:r>
        <w:t>mentioned that there are still institutions in Argentina whose only approach is that of assistance in asylums, in overcrowded places that gather adults, children and adolescents in the same place. Apart from that, cases of abandoning confined persons, institutional violence, inadequate treatment, physical restraints, building deterioration of institutions and lack of privacy and intimacy. This Organ also warned about the unnecessary prolongation of confinement due to social problems, vulnerability to the right of identity, education and the support of family relationship and the restrictions of the communication of institutionalized children with their affective reference</w:t>
      </w:r>
      <w:r w:rsidR="009A0194" w:rsidRPr="003F612F">
        <w:rPr>
          <w:rFonts w:eastAsia="Times New Roman" w:cstheme="minorHAnsi"/>
          <w:color w:val="000000"/>
          <w:vertAlign w:val="superscript"/>
          <w:lang w:val="es" w:eastAsia="en-GB"/>
        </w:rPr>
        <w:footnoteReference w:id="85"/>
      </w:r>
      <w:r w:rsidR="009A0194" w:rsidRPr="00416BC1">
        <w:rPr>
          <w:rFonts w:eastAsia="Times New Roman" w:cstheme="minorHAnsi"/>
          <w:color w:val="000000"/>
          <w:lang w:eastAsia="en-GB"/>
        </w:rPr>
        <w:t xml:space="preserve">. </w:t>
      </w:r>
    </w:p>
    <w:p w14:paraId="4230282E" w14:textId="57EF25F1" w:rsidR="003676D5" w:rsidRPr="00536548" w:rsidRDefault="003676D5" w:rsidP="00536548">
      <w:pPr>
        <w:ind w:firstLine="0"/>
        <w:rPr>
          <w:b/>
          <w:i/>
          <w:u w:val="single"/>
        </w:rPr>
      </w:pPr>
      <w:r w:rsidRPr="00536548">
        <w:rPr>
          <w:b/>
          <w:i/>
          <w:u w:val="single"/>
        </w:rPr>
        <w:t>SUGGESTED RECOMMENDATIONS TO THE STATE</w:t>
      </w:r>
    </w:p>
    <w:p w14:paraId="4C82547C" w14:textId="77777777" w:rsidR="003676D5" w:rsidRDefault="003676D5" w:rsidP="002E2ECA">
      <w:pPr>
        <w:pStyle w:val="Prrafodelista"/>
        <w:numPr>
          <w:ilvl w:val="0"/>
          <w:numId w:val="25"/>
        </w:numPr>
      </w:pPr>
      <w:r>
        <w:t>Implementing measures for the PWD to count on the necessary support, including specific financial allocations congruent with non- contributory pensions to raise their children so as not to discriminate due to disability affecting the young and their families.</w:t>
      </w:r>
    </w:p>
    <w:p w14:paraId="3EF008D7" w14:textId="77777777" w:rsidR="003676D5" w:rsidRDefault="003676D5" w:rsidP="002E2ECA">
      <w:pPr>
        <w:pStyle w:val="Prrafodelista"/>
        <w:numPr>
          <w:ilvl w:val="0"/>
          <w:numId w:val="25"/>
        </w:numPr>
      </w:pPr>
      <w:r>
        <w:t>Implementing measures to prevent discrimination due to disability in adoptions or pregnancies through assisted reproductive techniques.</w:t>
      </w:r>
    </w:p>
    <w:p w14:paraId="198FFA3F" w14:textId="40EBAF0A" w:rsidR="003676D5" w:rsidRDefault="003676D5" w:rsidP="002E2ECA">
      <w:pPr>
        <w:pStyle w:val="Prrafodelista"/>
        <w:numPr>
          <w:ilvl w:val="0"/>
          <w:numId w:val="25"/>
        </w:numPr>
      </w:pPr>
      <w:r>
        <w:t>Implementing measures to train the Judicial Power staff, social workers and health centers staff to strengthen the bond of mothers with disability and their children in order to avoid forced separation.</w:t>
      </w:r>
    </w:p>
    <w:tbl>
      <w:tblPr>
        <w:tblStyle w:val="Tablaconcuadrcula"/>
        <w:tblW w:w="0" w:type="auto"/>
        <w:tblLook w:val="04A0" w:firstRow="1" w:lastRow="0" w:firstColumn="1" w:lastColumn="0" w:noHBand="0" w:noVBand="1"/>
      </w:tblPr>
      <w:tblGrid>
        <w:gridCol w:w="9736"/>
      </w:tblGrid>
      <w:tr w:rsidR="00C22053" w:rsidRPr="003F612F" w14:paraId="178CE992" w14:textId="77777777" w:rsidTr="00C22053">
        <w:tc>
          <w:tcPr>
            <w:tcW w:w="9736" w:type="dxa"/>
            <w:shd w:val="clear" w:color="auto" w:fill="D5DCE4" w:themeFill="text2" w:themeFillTint="33"/>
          </w:tcPr>
          <w:p w14:paraId="1AC1CAC7" w14:textId="4DA5F1F5" w:rsidR="00C22053" w:rsidRPr="00846678" w:rsidRDefault="00F11C78" w:rsidP="00F11C78">
            <w:pPr>
              <w:pStyle w:val="Ttulo2"/>
              <w:outlineLvl w:val="1"/>
              <w:rPr>
                <w:rFonts w:asciiTheme="minorHAnsi" w:eastAsia="Times New Roman" w:hAnsiTheme="minorHAnsi" w:cstheme="minorHAnsi"/>
                <w:b/>
                <w:bCs/>
                <w:color w:val="auto"/>
                <w:sz w:val="24"/>
                <w:szCs w:val="24"/>
                <w:lang w:val="es-AR"/>
              </w:rPr>
            </w:pPr>
            <w:bookmarkStart w:id="21" w:name="_Toc126310233"/>
            <w:r>
              <w:rPr>
                <w:rFonts w:asciiTheme="minorHAnsi" w:hAnsiTheme="minorHAnsi" w:cstheme="minorHAnsi"/>
                <w:b/>
                <w:color w:val="auto"/>
                <w:sz w:val="24"/>
                <w:szCs w:val="24"/>
              </w:rPr>
              <w:lastRenderedPageBreak/>
              <w:t>Article</w:t>
            </w:r>
            <w:r w:rsidR="00442BB7" w:rsidRPr="00846678">
              <w:rPr>
                <w:rFonts w:asciiTheme="minorHAnsi" w:hAnsiTheme="minorHAnsi" w:cstheme="minorHAnsi"/>
                <w:b/>
                <w:color w:val="auto"/>
                <w:sz w:val="24"/>
                <w:szCs w:val="24"/>
              </w:rPr>
              <w:t xml:space="preserve"> 24: R</w:t>
            </w:r>
            <w:r>
              <w:rPr>
                <w:rFonts w:asciiTheme="minorHAnsi" w:hAnsiTheme="minorHAnsi" w:cstheme="minorHAnsi"/>
                <w:b/>
                <w:color w:val="auto"/>
                <w:sz w:val="24"/>
                <w:szCs w:val="24"/>
              </w:rPr>
              <w:t>ight to education</w:t>
            </w:r>
            <w:bookmarkEnd w:id="21"/>
          </w:p>
        </w:tc>
      </w:tr>
    </w:tbl>
    <w:p w14:paraId="05CECBA1" w14:textId="27E81B54" w:rsidR="00C561FB" w:rsidRPr="00416BC1" w:rsidRDefault="00442BB7" w:rsidP="00536548">
      <w:pPr>
        <w:rPr>
          <w:rFonts w:eastAsia="Chivo" w:cstheme="minorHAnsi"/>
        </w:rPr>
      </w:pPr>
      <w:r w:rsidRPr="00461F89">
        <w:t xml:space="preserve">The </w:t>
      </w:r>
      <w:r>
        <w:t xml:space="preserve">right to education of PWD is violated in three ways: i) some are completely excluded from the system; ii) others remain segregated at special schools and iii) others attend general schools but without the required support to learn and participate in equal conditions. PWD </w:t>
      </w:r>
      <w:r w:rsidRPr="00856119">
        <w:t>face systematic rejections of enrolment to public private schools</w:t>
      </w:r>
      <w:r w:rsidR="0078633F" w:rsidRPr="00940520">
        <w:rPr>
          <w:rStyle w:val="Refdenotaalpie"/>
          <w:rFonts w:eastAsia="Chivo" w:cstheme="minorHAnsi"/>
          <w:lang w:val="es-AR"/>
        </w:rPr>
        <w:footnoteReference w:id="86"/>
      </w:r>
      <w:r w:rsidR="00B12DA5" w:rsidRPr="00416BC1">
        <w:rPr>
          <w:rFonts w:eastAsia="Chivo" w:cstheme="minorHAnsi"/>
        </w:rPr>
        <w:t xml:space="preserve">. </w:t>
      </w:r>
      <w:r w:rsidRPr="00856119">
        <w:t>It occurs that in spite of the existence of the Resolution 311/16 of the Federal Education Council that even though it brings about some progress in the regulation of educational trajectories it is not in fully harmony with the CRPD.</w:t>
      </w:r>
    </w:p>
    <w:p w14:paraId="7FA65FDA" w14:textId="36A9E57B" w:rsidR="00FA1F43" w:rsidRPr="00416BC1" w:rsidRDefault="00442BB7" w:rsidP="00536548">
      <w:pPr>
        <w:rPr>
          <w:rFonts w:eastAsia="Chivo" w:cstheme="minorHAnsi"/>
        </w:rPr>
      </w:pPr>
      <w:r w:rsidRPr="00856119">
        <w:t>According to the last available information, there are 101.107 children and teenagers attending special schools</w:t>
      </w:r>
      <w:r w:rsidR="003952A0" w:rsidRPr="003F612F">
        <w:rPr>
          <w:rFonts w:eastAsia="Chivo" w:cstheme="minorHAnsi"/>
          <w:vertAlign w:val="superscript"/>
          <w:lang w:val="es-AR"/>
        </w:rPr>
        <w:footnoteReference w:id="87"/>
      </w:r>
      <w:r w:rsidR="003952A0" w:rsidRPr="00416BC1">
        <w:rPr>
          <w:rFonts w:eastAsia="Chivo" w:cstheme="minorHAnsi"/>
        </w:rPr>
        <w:t xml:space="preserve">. </w:t>
      </w:r>
      <w:r w:rsidRPr="00856119">
        <w:t>As regards data from 2020</w:t>
      </w:r>
      <w:r w:rsidR="003952A0" w:rsidRPr="003F612F">
        <w:rPr>
          <w:rFonts w:eastAsia="Chivo" w:cstheme="minorHAnsi"/>
          <w:vertAlign w:val="superscript"/>
          <w:lang w:val="es-AR"/>
        </w:rPr>
        <w:footnoteReference w:id="88"/>
      </w:r>
      <w:r w:rsidRPr="00856119">
        <w:t xml:space="preserve">, out of the total number of PWD attending school (254.037) 39.8% </w:t>
      </w:r>
      <w:r w:rsidR="00BD07D2" w:rsidRPr="00856119">
        <w:t>attends</w:t>
      </w:r>
      <w:r w:rsidRPr="00856119">
        <w:t xml:space="preserve"> special schools and the propo</w:t>
      </w:r>
      <w:r>
        <w:t>rtion of schools is not above 1.</w:t>
      </w:r>
      <w:r w:rsidRPr="00856119">
        <w:t>39%. In high school, 47.63% of the students with disabilities study at special schools and represent only 1.06% of the students at ordinary high schools. In some provinces the situation is even more alarming, as more than half of the PWD attend special schools</w:t>
      </w:r>
      <w:r w:rsidR="003952A0" w:rsidRPr="003F612F">
        <w:rPr>
          <w:rStyle w:val="Refdenotaalpie"/>
          <w:rFonts w:eastAsia="Chivo" w:cstheme="minorHAnsi"/>
          <w:lang w:val="es-AR"/>
        </w:rPr>
        <w:footnoteReference w:id="89"/>
      </w:r>
      <w:r w:rsidR="003952A0" w:rsidRPr="00416BC1">
        <w:rPr>
          <w:rFonts w:eastAsia="Chivo" w:cstheme="minorHAnsi"/>
        </w:rPr>
        <w:t xml:space="preserve">. </w:t>
      </w:r>
    </w:p>
    <w:p w14:paraId="5C2BBD5C" w14:textId="3B0C2408" w:rsidR="003E6FA4" w:rsidRPr="00416BC1" w:rsidRDefault="00442BB7" w:rsidP="00536548">
      <w:pPr>
        <w:rPr>
          <w:rFonts w:eastAsia="Chivo" w:cstheme="minorHAnsi"/>
          <w:color w:val="222222"/>
        </w:rPr>
      </w:pPr>
      <w:r w:rsidRPr="00856119">
        <w:t>There are no proper policies to ensure full physical and communicational accessibility to the educational system in itself. The existing support services are scarce, fragmented, and discontinuous, and thought of from a medical perspective.  According to gathered information</w:t>
      </w:r>
      <w:r w:rsidR="003E6FA4" w:rsidRPr="003F612F">
        <w:rPr>
          <w:rFonts w:eastAsia="Chivo" w:cstheme="minorHAnsi"/>
          <w:color w:val="222222"/>
          <w:vertAlign w:val="superscript"/>
          <w:lang w:val="es-AR"/>
        </w:rPr>
        <w:footnoteReference w:id="90"/>
      </w:r>
      <w:r w:rsidR="003E6FA4" w:rsidRPr="00416BC1">
        <w:rPr>
          <w:rFonts w:eastAsia="Chivo" w:cstheme="minorHAnsi"/>
          <w:color w:val="222222"/>
        </w:rPr>
        <w:t xml:space="preserve">, </w:t>
      </w:r>
      <w:r w:rsidRPr="00856119">
        <w:t xml:space="preserve">83.5% of the surveyed persons did not count on support figures and from that percentage, 81.5% indicated that they could not have access to them in spite of needing them. Besides, 57% of the persons mentioned having had problems with the financial covering of the support staff. At school, other forms of discrimination can be seen, such as the imposing a reduced schedule, repetition and resistance to modify evaluation techniques. Reasonable adjustments mentioned in the </w:t>
      </w:r>
      <w:r w:rsidR="00AA38E4">
        <w:t>Country report</w:t>
      </w:r>
      <w:r w:rsidR="00940520">
        <w:rPr>
          <w:rStyle w:val="Refdenotaalpie"/>
          <w:rFonts w:eastAsia="Chivo" w:cstheme="minorHAnsi"/>
          <w:color w:val="222222"/>
          <w:lang w:val="es-AR"/>
        </w:rPr>
        <w:footnoteReference w:id="91"/>
      </w:r>
      <w:r w:rsidR="0070330D">
        <w:t xml:space="preserve"> </w:t>
      </w:r>
      <w:r w:rsidR="0070330D" w:rsidRPr="00856119">
        <w:t>are not guaranteed either</w:t>
      </w:r>
      <w:r w:rsidR="00940520" w:rsidRPr="00416BC1">
        <w:rPr>
          <w:rFonts w:eastAsia="Chivo" w:cstheme="minorHAnsi"/>
          <w:color w:val="222222"/>
        </w:rPr>
        <w:t>.</w:t>
      </w:r>
    </w:p>
    <w:p w14:paraId="08817F9E" w14:textId="47A51D8F" w:rsidR="00C66A8F" w:rsidRPr="0070330D" w:rsidRDefault="00442BB7" w:rsidP="00536548">
      <w:r>
        <w:t>Accessibility of materials for visual PWD is not guaranteed by the State. During the pandemic, material financing for the ”Programa Seguimos Educando” was provided by the Asociación Tiflonexos, with funds from national and international cooperation</w:t>
      </w:r>
      <w:r w:rsidR="00A8008C">
        <w:rPr>
          <w:rStyle w:val="Refdenotaalpie"/>
        </w:rPr>
        <w:footnoteReference w:id="92"/>
      </w:r>
      <w:r w:rsidR="00496301" w:rsidRPr="00797A37">
        <w:t xml:space="preserve">. </w:t>
      </w:r>
      <w:r w:rsidR="0070330D">
        <w:t>It is not known the amount of accessible computers provided as part of the program Conectar Igualdad.</w:t>
      </w:r>
    </w:p>
    <w:p w14:paraId="2A18E76B" w14:textId="1FF42E8B" w:rsidR="00853ABA" w:rsidRPr="00416BC1" w:rsidRDefault="0070330D" w:rsidP="00536548">
      <w:pPr>
        <w:rPr>
          <w:rFonts w:eastAsia="Chivo" w:cstheme="minorHAnsi"/>
          <w:color w:val="222222"/>
        </w:rPr>
      </w:pPr>
      <w:r>
        <w:t>Health Insurance of the Provincial Administration of Córdoba has still not fulfilled the precautionary measure of the CIDH 376-15</w:t>
      </w:r>
      <w:r w:rsidR="0013755B">
        <w:rPr>
          <w:rStyle w:val="Refdenotaalpie"/>
        </w:rPr>
        <w:footnoteReference w:id="93"/>
      </w:r>
      <w:r w:rsidR="00B554C8" w:rsidRPr="00416BC1">
        <w:t xml:space="preserve">, </w:t>
      </w:r>
      <w:r>
        <w:t>which damage the right to the socio-educational inclusion of a young person with multiple disabilities.</w:t>
      </w:r>
    </w:p>
    <w:p w14:paraId="1FE27C8A" w14:textId="77777777" w:rsidR="0070330D" w:rsidRDefault="0070330D" w:rsidP="00536548">
      <w:r>
        <w:lastRenderedPageBreak/>
        <w:t>There are also obstacles to certify learning in contexts of equality, absence of independent mechanisms of claim and adequate and fast resolution facing violation of rights on inclusive education, and lack of teacher training on the social model of disability and the right to inclusive education.</w:t>
      </w:r>
    </w:p>
    <w:p w14:paraId="3AB748D7" w14:textId="701C27D2" w:rsidR="009A0194" w:rsidRPr="00416BC1" w:rsidRDefault="0070330D" w:rsidP="00536548">
      <w:pPr>
        <w:rPr>
          <w:rFonts w:cstheme="minorHAnsi"/>
          <w:b/>
        </w:rPr>
      </w:pPr>
      <w:r>
        <w:t>Due to the growing incorporation of PWD to the University system, the proposals and actions many times are held on skill, segregated and commercial paradigms that reproduce barriers of all kinds. It is worth mentioning the great effort of academic activism spaces within Universities</w:t>
      </w:r>
      <w:r w:rsidR="002F4D5E" w:rsidRPr="003F612F">
        <w:rPr>
          <w:rStyle w:val="Refdenotaalpie"/>
          <w:rFonts w:cstheme="minorHAnsi"/>
          <w:lang w:val="es-AR"/>
        </w:rPr>
        <w:footnoteReference w:id="94"/>
      </w:r>
      <w:r w:rsidR="002F4D5E" w:rsidRPr="00416BC1">
        <w:rPr>
          <w:rFonts w:cstheme="minorHAnsi"/>
        </w:rPr>
        <w:t xml:space="preserve"> </w:t>
      </w:r>
      <w:r>
        <w:t>due to the lack of response from competent authorities. The Physical Accessibility Program in buildings and premises of the National Universities was discontinued</w:t>
      </w:r>
      <w:r w:rsidR="00C561FB" w:rsidRPr="003F612F">
        <w:rPr>
          <w:rFonts w:cstheme="minorHAnsi"/>
          <w:vertAlign w:val="superscript"/>
          <w:lang w:val="es-AR"/>
        </w:rPr>
        <w:footnoteReference w:id="95"/>
      </w:r>
      <w:r w:rsidR="00C561FB" w:rsidRPr="00416BC1">
        <w:rPr>
          <w:rFonts w:cstheme="minorHAnsi"/>
        </w:rPr>
        <w:t xml:space="preserve">. </w:t>
      </w:r>
      <w:bookmarkStart w:id="22" w:name="_Hlk125130839"/>
    </w:p>
    <w:bookmarkEnd w:id="22"/>
    <w:p w14:paraId="131B8DE4" w14:textId="2B73B8B6" w:rsidR="0070330D" w:rsidRDefault="0070330D" w:rsidP="00536548">
      <w:r>
        <w:t>Together with this, the recent creation of the ANDIS vacation camp becomes worrying, a segregating device instead of deepening into more inclusive policies for PWD in the already existing camps (59/2023Resolution).</w:t>
      </w:r>
    </w:p>
    <w:p w14:paraId="7B55C7D9" w14:textId="0C8F65B2" w:rsidR="0070330D" w:rsidRPr="00536548" w:rsidRDefault="0070330D" w:rsidP="00536548">
      <w:pPr>
        <w:ind w:firstLine="0"/>
        <w:rPr>
          <w:b/>
          <w:i/>
          <w:u w:val="single"/>
        </w:rPr>
      </w:pPr>
      <w:r w:rsidRPr="00536548">
        <w:rPr>
          <w:b/>
          <w:i/>
          <w:u w:val="single"/>
        </w:rPr>
        <w:t>SUGGESTED RECOMMENDATIONS TO THE STATE</w:t>
      </w:r>
    </w:p>
    <w:p w14:paraId="24E0D355" w14:textId="77777777" w:rsidR="0070330D" w:rsidRDefault="0070330D" w:rsidP="002E2ECA">
      <w:pPr>
        <w:pStyle w:val="Prrafodelista"/>
        <w:numPr>
          <w:ilvl w:val="0"/>
          <w:numId w:val="26"/>
        </w:numPr>
      </w:pPr>
      <w:r>
        <w:t>Implementing measures to reduce the enrolment of students attending special schools, transforming and/or transferring their human and budget resources to the general system.</w:t>
      </w:r>
    </w:p>
    <w:p w14:paraId="60183553" w14:textId="77777777" w:rsidR="0070330D" w:rsidRDefault="0070330D" w:rsidP="002E2ECA">
      <w:pPr>
        <w:pStyle w:val="Prrafodelista"/>
        <w:numPr>
          <w:ilvl w:val="0"/>
          <w:numId w:val="26"/>
        </w:numPr>
      </w:pPr>
      <w:r>
        <w:t>Implementing measures to avoid discriminatory denials of enrolment in ordinary schools, either public or private and derivation to special schools.</w:t>
      </w:r>
    </w:p>
    <w:p w14:paraId="1BC29C01" w14:textId="77777777" w:rsidR="0070330D" w:rsidRDefault="0070330D" w:rsidP="002E2ECA">
      <w:pPr>
        <w:pStyle w:val="Prrafodelista"/>
        <w:numPr>
          <w:ilvl w:val="0"/>
          <w:numId w:val="26"/>
        </w:numPr>
      </w:pPr>
      <w:r>
        <w:t>Guaranteeing full accessibility to ordinary educational establishments and the provision of assisted technologies and enough support in quantity and quality, providing teacher training on inclusive education.</w:t>
      </w:r>
    </w:p>
    <w:p w14:paraId="13E78697" w14:textId="77777777" w:rsidR="0070330D" w:rsidRDefault="0070330D" w:rsidP="002E2ECA">
      <w:pPr>
        <w:pStyle w:val="Prrafodelista"/>
        <w:numPr>
          <w:ilvl w:val="0"/>
          <w:numId w:val="26"/>
        </w:numPr>
      </w:pPr>
      <w:r>
        <w:t>Guaranteeing inclusive education in high levels, including distant education.</w:t>
      </w:r>
    </w:p>
    <w:p w14:paraId="56D49A6F" w14:textId="752A8C2D" w:rsidR="003A5DE6" w:rsidRPr="0070330D" w:rsidRDefault="0070330D" w:rsidP="00536548">
      <w:pPr>
        <w:pStyle w:val="Prrafodelista"/>
        <w:numPr>
          <w:ilvl w:val="0"/>
          <w:numId w:val="26"/>
        </w:numPr>
      </w:pPr>
      <w:r>
        <w:t>Moving forward in the implementation of Resolution 311/2016 throughout the National Territory</w:t>
      </w:r>
      <w:r w:rsidR="003A5DE6" w:rsidRPr="00536548">
        <w:rPr>
          <w:rFonts w:eastAsia="Times New Roman" w:cstheme="minorHAnsi"/>
          <w:color w:val="000000"/>
          <w:lang w:eastAsia="en-GB"/>
        </w:rPr>
        <w:t xml:space="preserve">. </w:t>
      </w:r>
    </w:p>
    <w:tbl>
      <w:tblPr>
        <w:tblStyle w:val="Tablaconcuadrcula"/>
        <w:tblW w:w="0" w:type="auto"/>
        <w:tblLook w:val="04A0" w:firstRow="1" w:lastRow="0" w:firstColumn="1" w:lastColumn="0" w:noHBand="0" w:noVBand="1"/>
      </w:tblPr>
      <w:tblGrid>
        <w:gridCol w:w="9736"/>
      </w:tblGrid>
      <w:tr w:rsidR="000A3890" w14:paraId="523A2FBD" w14:textId="77777777" w:rsidTr="000A3890">
        <w:tc>
          <w:tcPr>
            <w:tcW w:w="9736" w:type="dxa"/>
            <w:shd w:val="clear" w:color="auto" w:fill="D5DCE4" w:themeFill="text2" w:themeFillTint="33"/>
          </w:tcPr>
          <w:p w14:paraId="1495CF30" w14:textId="6FC6C7CB" w:rsidR="000A3890" w:rsidRPr="00846678" w:rsidRDefault="00F11C78" w:rsidP="00D4583C">
            <w:pPr>
              <w:pStyle w:val="Ttulo2"/>
              <w:outlineLvl w:val="1"/>
              <w:rPr>
                <w:rFonts w:asciiTheme="minorHAnsi" w:eastAsia="Times New Roman" w:hAnsiTheme="minorHAnsi" w:cstheme="minorHAnsi"/>
                <w:b/>
                <w:bCs/>
                <w:color w:val="auto"/>
                <w:sz w:val="24"/>
                <w:szCs w:val="24"/>
                <w:lang w:val="es-AR" w:eastAsia="en-GB"/>
              </w:rPr>
            </w:pPr>
            <w:bookmarkStart w:id="23" w:name="_Toc126310234"/>
            <w:r>
              <w:rPr>
                <w:rFonts w:asciiTheme="minorHAnsi" w:hAnsiTheme="minorHAnsi" w:cstheme="minorHAnsi"/>
                <w:b/>
                <w:color w:val="auto"/>
                <w:sz w:val="24"/>
                <w:szCs w:val="24"/>
              </w:rPr>
              <w:t>Article</w:t>
            </w:r>
            <w:r w:rsidR="00576CD4" w:rsidRPr="00846678">
              <w:rPr>
                <w:rFonts w:asciiTheme="minorHAnsi" w:hAnsiTheme="minorHAnsi" w:cstheme="minorHAnsi"/>
                <w:b/>
                <w:color w:val="auto"/>
                <w:sz w:val="24"/>
                <w:szCs w:val="24"/>
              </w:rPr>
              <w:t xml:space="preserve"> 25: </w:t>
            </w:r>
            <w:r w:rsidR="00D4583C">
              <w:rPr>
                <w:rFonts w:asciiTheme="minorHAnsi" w:hAnsiTheme="minorHAnsi" w:cstheme="minorHAnsi"/>
                <w:b/>
                <w:color w:val="auto"/>
                <w:sz w:val="24"/>
                <w:szCs w:val="24"/>
              </w:rPr>
              <w:t>Right to heath</w:t>
            </w:r>
            <w:bookmarkEnd w:id="23"/>
          </w:p>
        </w:tc>
      </w:tr>
    </w:tbl>
    <w:p w14:paraId="4CB77C80" w14:textId="32D87F0D" w:rsidR="00022325" w:rsidRPr="00416BC1" w:rsidRDefault="00576CD4" w:rsidP="00536548">
      <w:pPr>
        <w:rPr>
          <w:rFonts w:cstheme="minorHAnsi"/>
          <w:iCs/>
        </w:rPr>
      </w:pPr>
      <w:r>
        <w:t>There is a steady progress in the processes of substitution and adequacy of monovalent institutions according to the Nati</w:t>
      </w:r>
      <w:r w:rsidR="00BD07D2">
        <w:t>onal Law on Mental Health.</w:t>
      </w:r>
      <w:r w:rsidR="00022325" w:rsidRPr="003F612F">
        <w:rPr>
          <w:rStyle w:val="Refdenotaalpie"/>
          <w:rFonts w:cstheme="minorHAnsi"/>
          <w:iCs/>
          <w:lang w:val="es-AR"/>
        </w:rPr>
        <w:footnoteReference w:id="96"/>
      </w:r>
      <w:r w:rsidR="00022325" w:rsidRPr="00797A37">
        <w:rPr>
          <w:rFonts w:cstheme="minorHAnsi"/>
          <w:iCs/>
        </w:rPr>
        <w:t xml:space="preserve"> </w:t>
      </w:r>
      <w:r>
        <w:t>However, we are worried about the opening, by the end of March, 2022, of the Dr. Diego Acosta Mental Health Center in the Province of Santiago del Estero with 92 confinement beds. Such concentration of resources in only one health center constitutes a transgression to the fundamental principles of the running legislation that foresees rehabilitation and inclusion in the community of psycho-social PWD (PCDIPS).</w:t>
      </w:r>
      <w:r w:rsidR="00022325" w:rsidRPr="00416BC1">
        <w:rPr>
          <w:rFonts w:cstheme="minorHAnsi"/>
          <w:iCs/>
        </w:rPr>
        <w:t xml:space="preserve"> </w:t>
      </w:r>
    </w:p>
    <w:p w14:paraId="36300701" w14:textId="7CDB02F4" w:rsidR="00022325" w:rsidRPr="00576CD4" w:rsidRDefault="00576CD4" w:rsidP="00536548">
      <w:r>
        <w:lastRenderedPageBreak/>
        <w:t>As regards the Organ of Local Revision on Mental Health (ORL), foreseen by the law and necessary to protect the rights of the PCDIPS, not all jurisdictions count with such regulatory entity so far. Likewise, we observe that access to public information of the ORL result insufficient</w:t>
      </w:r>
      <w:r w:rsidR="00022325" w:rsidRPr="00416BC1">
        <w:rPr>
          <w:rFonts w:cstheme="minorHAnsi"/>
          <w:iCs/>
        </w:rPr>
        <w:t xml:space="preserve">. </w:t>
      </w:r>
    </w:p>
    <w:p w14:paraId="1F704D9E" w14:textId="77777777" w:rsidR="00576CD4" w:rsidRDefault="00576CD4" w:rsidP="00536548">
      <w:r>
        <w:t>In April, 2022, the Federal Strategy on Integral Approach on Mental Health was launched. This includes a series of prevention, promotion and assistance actions that will be carried out from the Ministry of Health. However, the strategy does not count on concrete programs and a detailed plan on how it will be put into practice. Besides, as regards budget, the announcement does not show an effective variation in the budget lines and does not</w:t>
      </w:r>
      <w:r w:rsidRPr="00122832">
        <w:t xml:space="preserve"> </w:t>
      </w:r>
      <w:r>
        <w:t xml:space="preserve">represent the 10% of all the health expenditure stipulated by law.  </w:t>
      </w:r>
    </w:p>
    <w:p w14:paraId="01A6D549" w14:textId="63FFE6AE" w:rsidR="00022325" w:rsidRPr="003F612F" w:rsidRDefault="00BD07D2" w:rsidP="00BD07D2">
      <w:pPr>
        <w:rPr>
          <w:lang w:val="es-AR"/>
        </w:rPr>
      </w:pPr>
      <w:r>
        <w:t>As regards sexual, reproductive and no reproductive rights of women and girls in institutions there has been some progress, although in different ways in the different provinces of the country in questions of accessibility for the admission and stay of PWD. But we keep warning about the absence of: i) proper furniture and equipment for gynecological examination; ii) interpreters of sign language; iii) signage for visual and auditory PWD; and iv) accessible information on contraceptive methods and prevention o</w:t>
      </w:r>
      <w:r>
        <w:t>f sexually transmitted diseases</w:t>
      </w:r>
      <w:r w:rsidR="006D4FA0">
        <w:rPr>
          <w:rStyle w:val="Refdenotaalpie"/>
          <w:rFonts w:cstheme="minorHAnsi"/>
          <w:iCs/>
          <w:lang w:val="es-AR"/>
        </w:rPr>
        <w:footnoteReference w:id="97"/>
      </w:r>
      <w:r w:rsidR="00022325" w:rsidRPr="003F612F">
        <w:rPr>
          <w:lang w:val="es-AR"/>
        </w:rPr>
        <w:t xml:space="preserve">. </w:t>
      </w:r>
    </w:p>
    <w:p w14:paraId="78510AE9" w14:textId="5B2C9092" w:rsidR="00022325" w:rsidRPr="00416BC1" w:rsidRDefault="00576CD4" w:rsidP="00536548">
      <w:pPr>
        <w:rPr>
          <w:rFonts w:cstheme="minorHAnsi"/>
          <w:iCs/>
        </w:rPr>
      </w:pPr>
      <w:r>
        <w:t>National Law 25929 on Humanized Childbirth</w:t>
      </w:r>
      <w:r w:rsidR="00022325" w:rsidRPr="003F612F">
        <w:rPr>
          <w:rStyle w:val="Refdenotaalpie"/>
          <w:rFonts w:cstheme="minorHAnsi"/>
          <w:iCs/>
          <w:lang w:val="es-AR"/>
        </w:rPr>
        <w:footnoteReference w:id="98"/>
      </w:r>
      <w:r w:rsidR="00022325" w:rsidRPr="00416BC1">
        <w:rPr>
          <w:rFonts w:cstheme="minorHAnsi"/>
          <w:iCs/>
        </w:rPr>
        <w:t xml:space="preserve">, </w:t>
      </w:r>
      <w:r>
        <w:t>does not count with disability perspective, by which it is not contemplated as part of obligations of the National Health System of Health System Organizations the presence of sign language interpreters in institutions where the pregnant woman will give birth.</w:t>
      </w:r>
    </w:p>
    <w:p w14:paraId="32A66816" w14:textId="77777777" w:rsidR="00576CD4" w:rsidRDefault="00576CD4" w:rsidP="00536548">
      <w:r w:rsidRPr="00B73E9E">
        <w:t>According to information given by the Province of Buenos Aires, where most of the confinements in the country are concentrated, 80%</w:t>
      </w:r>
      <w:r>
        <w:t xml:space="preserve"> of the confinements in monovalent mental institutions are involuntary, which brings about an alert on the way they are being carried out and the lack of implementation of supports to offer consent in health care.</w:t>
      </w:r>
    </w:p>
    <w:p w14:paraId="3B1E0E1E" w14:textId="4ABE9368" w:rsidR="00022325" w:rsidRPr="00416BC1" w:rsidRDefault="00576CD4" w:rsidP="00536548">
      <w:pPr>
        <w:rPr>
          <w:rFonts w:cstheme="minorHAnsi"/>
        </w:rPr>
      </w:pPr>
      <w:r>
        <w:t>Psycho-social PWD are affected by the bureaucracy of the registers to the point of becoming institutional violence, as the running law cannot be put into practice. As regards public health institution there is only one first-aid mental health institution for the entire province, very few psychiatrists and appointments are impossible to make</w:t>
      </w:r>
      <w:r w:rsidR="00022325" w:rsidRPr="003F612F">
        <w:rPr>
          <w:rStyle w:val="Refdenotaalpie"/>
          <w:rFonts w:cstheme="minorHAnsi"/>
          <w:lang w:val="es-AR"/>
        </w:rPr>
        <w:footnoteReference w:id="99"/>
      </w:r>
      <w:r w:rsidR="00022325" w:rsidRPr="00416BC1">
        <w:rPr>
          <w:rFonts w:cstheme="minorHAnsi"/>
        </w:rPr>
        <w:t xml:space="preserve">. </w:t>
      </w:r>
    </w:p>
    <w:p w14:paraId="3620EB12" w14:textId="7C509D52" w:rsidR="00576CD4" w:rsidRPr="00536548" w:rsidRDefault="00576CD4" w:rsidP="00536548">
      <w:pPr>
        <w:ind w:firstLine="0"/>
        <w:rPr>
          <w:b/>
          <w:i/>
          <w:u w:val="single"/>
        </w:rPr>
      </w:pPr>
      <w:r w:rsidRPr="00536548">
        <w:rPr>
          <w:b/>
          <w:i/>
          <w:u w:val="single"/>
        </w:rPr>
        <w:t>SUGGESTED RECOMMENDATIONS TO THE STATE</w:t>
      </w:r>
    </w:p>
    <w:p w14:paraId="27E6E696" w14:textId="77777777" w:rsidR="00576CD4" w:rsidRDefault="00576CD4" w:rsidP="002E2ECA">
      <w:pPr>
        <w:pStyle w:val="Prrafodelista"/>
        <w:numPr>
          <w:ilvl w:val="0"/>
          <w:numId w:val="4"/>
        </w:numPr>
      </w:pPr>
      <w:r>
        <w:t>Guarantee cross-sectional accessibility contemplating the different life cycles through measures adopted by the National Ministry of Health, the Ministries of the different jurisdictions and Health Care Centers in general.</w:t>
      </w:r>
    </w:p>
    <w:p w14:paraId="6028C22F" w14:textId="77777777" w:rsidR="00576CD4" w:rsidRDefault="00576CD4" w:rsidP="002E2ECA">
      <w:pPr>
        <w:pStyle w:val="Prrafodelista"/>
        <w:numPr>
          <w:ilvl w:val="0"/>
          <w:numId w:val="4"/>
        </w:numPr>
      </w:pPr>
      <w:r>
        <w:t>Move forward in the progressive closure of mental asylums and mental health attention in the community.</w:t>
      </w:r>
    </w:p>
    <w:p w14:paraId="18ACCA99" w14:textId="2E899FA7" w:rsidR="00FE164E" w:rsidRPr="00576CD4" w:rsidRDefault="00576CD4" w:rsidP="002E2ECA">
      <w:pPr>
        <w:pStyle w:val="Prrafodelista"/>
        <w:numPr>
          <w:ilvl w:val="0"/>
          <w:numId w:val="4"/>
        </w:numPr>
      </w:pPr>
      <w:r>
        <w:t>Guarantee that PWD can give informed consent in the health process.</w:t>
      </w:r>
    </w:p>
    <w:tbl>
      <w:tblPr>
        <w:tblStyle w:val="Tablaconcuadrcula"/>
        <w:tblW w:w="0" w:type="auto"/>
        <w:tblInd w:w="66" w:type="dxa"/>
        <w:tblLook w:val="04A0" w:firstRow="1" w:lastRow="0" w:firstColumn="1" w:lastColumn="0" w:noHBand="0" w:noVBand="1"/>
      </w:tblPr>
      <w:tblGrid>
        <w:gridCol w:w="9736"/>
      </w:tblGrid>
      <w:tr w:rsidR="00244A91" w14:paraId="50F3E275" w14:textId="77777777" w:rsidTr="00244A91">
        <w:tc>
          <w:tcPr>
            <w:tcW w:w="9736" w:type="dxa"/>
            <w:shd w:val="clear" w:color="auto" w:fill="D5DCE4" w:themeFill="text2" w:themeFillTint="33"/>
          </w:tcPr>
          <w:p w14:paraId="0696597E" w14:textId="657DA7F0" w:rsidR="00244A91" w:rsidRPr="00846678" w:rsidRDefault="00D4583C" w:rsidP="00D4583C">
            <w:pPr>
              <w:pStyle w:val="Ttulo2"/>
              <w:outlineLvl w:val="1"/>
              <w:rPr>
                <w:rFonts w:asciiTheme="minorHAnsi" w:hAnsiTheme="minorHAnsi" w:cstheme="minorHAnsi"/>
                <w:b/>
                <w:bCs/>
                <w:color w:val="auto"/>
                <w:sz w:val="24"/>
                <w:szCs w:val="24"/>
                <w:lang w:val="es-AR"/>
              </w:rPr>
            </w:pPr>
            <w:bookmarkStart w:id="24" w:name="_Toc126310235"/>
            <w:r>
              <w:rPr>
                <w:rFonts w:asciiTheme="minorHAnsi" w:hAnsiTheme="minorHAnsi" w:cstheme="minorHAnsi"/>
                <w:b/>
                <w:color w:val="auto"/>
                <w:sz w:val="24"/>
                <w:szCs w:val="24"/>
              </w:rPr>
              <w:lastRenderedPageBreak/>
              <w:t>Article</w:t>
            </w:r>
            <w:r w:rsidR="00FB5DCE" w:rsidRPr="00846678">
              <w:rPr>
                <w:rFonts w:asciiTheme="minorHAnsi" w:hAnsiTheme="minorHAnsi" w:cstheme="minorHAnsi"/>
                <w:b/>
                <w:color w:val="auto"/>
                <w:sz w:val="24"/>
                <w:szCs w:val="24"/>
              </w:rPr>
              <w:t xml:space="preserve"> 27: </w:t>
            </w:r>
            <w:r>
              <w:rPr>
                <w:rFonts w:asciiTheme="minorHAnsi" w:hAnsiTheme="minorHAnsi" w:cstheme="minorHAnsi"/>
                <w:b/>
                <w:color w:val="auto"/>
                <w:sz w:val="24"/>
                <w:szCs w:val="24"/>
              </w:rPr>
              <w:t>Work and employment</w:t>
            </w:r>
            <w:bookmarkEnd w:id="24"/>
          </w:p>
        </w:tc>
      </w:tr>
    </w:tbl>
    <w:p w14:paraId="0A69DACD" w14:textId="77777777" w:rsidR="00416BC1" w:rsidRDefault="00416BC1" w:rsidP="002E2ECA"/>
    <w:p w14:paraId="071BA81F" w14:textId="77777777" w:rsidR="00FB5DCE" w:rsidRDefault="00FB5DCE" w:rsidP="00536548">
      <w:r>
        <w:t>Lack of working inclusion of PWD continues being one of the most important problems to which public policies do not meet demands. The breach of the labor quota of 4% fixed by law 22431 more than 40 years ago, still persists. According to the last available public information, Dec., 2019, the quota</w:t>
      </w:r>
      <w:r w:rsidRPr="00E94D17">
        <w:t xml:space="preserve"> </w:t>
      </w:r>
      <w:r>
        <w:t>in the area of National Public Administration reached 0.9%</w:t>
      </w:r>
      <w:r w:rsidR="00E413A2" w:rsidRPr="003F612F">
        <w:rPr>
          <w:rStyle w:val="Refdenotaalpie"/>
          <w:rFonts w:eastAsia="Times New Roman" w:cstheme="minorHAnsi"/>
          <w:color w:val="000000"/>
          <w:lang w:val="es-AR" w:eastAsia="en-GB"/>
        </w:rPr>
        <w:footnoteReference w:id="100"/>
      </w:r>
      <w:r w:rsidR="00E413A2" w:rsidRPr="00416BC1">
        <w:rPr>
          <w:rFonts w:eastAsia="Times New Roman" w:cstheme="minorHAnsi"/>
          <w:color w:val="000000"/>
          <w:lang w:eastAsia="en-GB"/>
        </w:rPr>
        <w:t xml:space="preserve">. </w:t>
      </w:r>
      <w:r>
        <w:t>Out of the 191 Ministerial Jurisdictions, decentralized bodies and National Universities that should have included this quota, it is reported that only 25 institutions concentrate 75% of the PWD. Likewise, none of the 43 national universities informs that is meeting the expectation of the 4% quota. No information was given as regards the fulfillment in the period 2020-2022.</w:t>
      </w:r>
    </w:p>
    <w:p w14:paraId="42E78458" w14:textId="7A0773C3" w:rsidR="00873244" w:rsidRPr="00416BC1" w:rsidRDefault="00FB5DCE" w:rsidP="00536548">
      <w:pPr>
        <w:rPr>
          <w:rFonts w:eastAsia="Times New Roman" w:cstheme="minorHAnsi"/>
          <w:color w:val="000000"/>
          <w:lang w:eastAsia="en-GB"/>
        </w:rPr>
      </w:pPr>
      <w:r w:rsidRPr="0092477F">
        <w:t>The impact on working inclusio</w:t>
      </w:r>
      <w:r>
        <w:t>n</w:t>
      </w:r>
      <w:r w:rsidRPr="0092477F">
        <w:t xml:space="preserve"> </w:t>
      </w:r>
      <w:r>
        <w:t>in each Department of the National State</w:t>
      </w:r>
      <w:r w:rsidRPr="0092477F">
        <w:t xml:space="preserve"> of the Respon</w:t>
      </w:r>
      <w:r>
        <w:t>sible on the Inclusion and Labor Development</w:t>
      </w:r>
      <w:r w:rsidRPr="0092477F">
        <w:t xml:space="preserve"> (RIDEL</w:t>
      </w:r>
      <w:r w:rsidR="00393AA2" w:rsidRPr="00416BC1">
        <w:rPr>
          <w:rFonts w:eastAsia="Times New Roman" w:cstheme="minorHAnsi"/>
          <w:color w:val="000000"/>
          <w:lang w:eastAsia="en-GB"/>
        </w:rPr>
        <w:t>)</w:t>
      </w:r>
      <w:r w:rsidR="00393AA2">
        <w:rPr>
          <w:rStyle w:val="Refdenotaalpie"/>
          <w:rFonts w:eastAsia="Times New Roman" w:cstheme="minorHAnsi"/>
          <w:color w:val="000000"/>
          <w:lang w:val="es-AR" w:eastAsia="en-GB"/>
        </w:rPr>
        <w:footnoteReference w:id="101"/>
      </w:r>
      <w:r w:rsidR="00393AA2" w:rsidRPr="00416BC1">
        <w:rPr>
          <w:rFonts w:eastAsia="Times New Roman" w:cstheme="minorHAnsi"/>
          <w:color w:val="000000"/>
          <w:lang w:eastAsia="en-GB"/>
        </w:rPr>
        <w:t xml:space="preserve"> </w:t>
      </w:r>
      <w:r>
        <w:t>is not known either.</w:t>
      </w:r>
    </w:p>
    <w:p w14:paraId="224B09C8" w14:textId="77777777" w:rsidR="00FB5DCE" w:rsidRDefault="00FB5DCE" w:rsidP="00536548">
      <w:r w:rsidRPr="0092477F">
        <w:t xml:space="preserve">In the </w:t>
      </w:r>
      <w:r>
        <w:t>framework of the pandemic, practices of home office were extended, which took the National Congress to pass the Law 27555</w:t>
      </w:r>
      <w:r w:rsidR="00975199" w:rsidRPr="003F612F">
        <w:rPr>
          <w:rStyle w:val="Refdenotaalpie"/>
          <w:rFonts w:eastAsia="Times New Roman" w:cstheme="minorHAnsi"/>
          <w:color w:val="000000"/>
          <w:lang w:val="es-AR" w:eastAsia="en-GB"/>
        </w:rPr>
        <w:footnoteReference w:id="102"/>
      </w:r>
      <w:r w:rsidR="00975199" w:rsidRPr="00416BC1">
        <w:rPr>
          <w:rFonts w:eastAsia="Times New Roman" w:cstheme="minorHAnsi"/>
          <w:color w:val="000000"/>
          <w:lang w:eastAsia="en-GB"/>
        </w:rPr>
        <w:t xml:space="preserve"> </w:t>
      </w:r>
      <w:r>
        <w:t>about home office. It does not have a disability perspective as it does not contemplate the possibility that the PWD might need supports for accessibility or reasonable adjustments as it might be furniture, equipment, inputs, support technology and other means of personal support. The law only mentions PWD as persons under the care of others, showing that the state still does not consider PWD as active work force.</w:t>
      </w:r>
    </w:p>
    <w:p w14:paraId="242FB58E" w14:textId="77777777" w:rsidR="00FB5DCE" w:rsidRDefault="00FB5DCE" w:rsidP="00536548">
      <w:r>
        <w:t>As regards visual PWD, there are several cases of denials to adapt internal platforms of work even in public bodies. The Electronic System of Document Management (GDE) is a clear example of complete inaccessibility.</w:t>
      </w:r>
    </w:p>
    <w:p w14:paraId="5554DA7B" w14:textId="77777777" w:rsidR="00FB5DCE" w:rsidRDefault="00FB5DCE" w:rsidP="00536548">
      <w:r>
        <w:t xml:space="preserve">Absence of specific public policies implies that it is the civil organizations in society the ones that provide answers to advice requests for working integration. Many of the opportunities still are scholarships or work internships making it difficult to get a stable formal work. </w:t>
      </w:r>
    </w:p>
    <w:p w14:paraId="334E8EFB" w14:textId="352225CF" w:rsidR="00FB5DCE" w:rsidRDefault="00FB5DCE" w:rsidP="00536548">
      <w:r>
        <w:t>Besides, supports for working development are scarce and in most cases, possibilities of promotion for a PWD are limited due to the lack of physical and communicational accessibility in every possible place</w:t>
      </w:r>
      <w:r w:rsidR="00416BC1">
        <w:rPr>
          <w:rStyle w:val="Refdenotaalpie"/>
        </w:rPr>
        <w:footnoteReference w:id="103"/>
      </w:r>
      <w:r>
        <w:t xml:space="preserve"> (103). Promotion is not motivated either, so that PWD usually are in disadvantage at the moment of </w:t>
      </w:r>
      <w:r>
        <w:lastRenderedPageBreak/>
        <w:t xml:space="preserve">advancement. Likewise, there is no special emphasis in promoting work for women as it is mentioned in the </w:t>
      </w:r>
      <w:r w:rsidR="00AA38E4">
        <w:t>Country report</w:t>
      </w:r>
      <w:r>
        <w:t xml:space="preserve"> (paragraphs 86 and 87)</w:t>
      </w:r>
    </w:p>
    <w:p w14:paraId="2B46011D" w14:textId="37A58256" w:rsidR="00FB5DCE" w:rsidRDefault="00FB5DCE" w:rsidP="00536548">
      <w:r>
        <w:t xml:space="preserve">As regards work cooperatives, fostered by the program Potenciar Trabajo, the return received by the State is scarce; by which those working in them get incomes that are below poverty line. This sector was not reached by the many measures taken by the State to relieve the economic effects of the pandemic. </w:t>
      </w:r>
    </w:p>
    <w:p w14:paraId="1B6D37FB" w14:textId="4511E1D6" w:rsidR="00E413A2" w:rsidRPr="00FB5DCE" w:rsidRDefault="00FB5DCE" w:rsidP="00536548">
      <w:r>
        <w:t>The Federal Regime Law on Protected Employment for PWD</w:t>
      </w:r>
      <w:r w:rsidR="00E413A2" w:rsidRPr="003F612F">
        <w:rPr>
          <w:rStyle w:val="Refdenotaalpie"/>
          <w:rFonts w:eastAsia="Times New Roman" w:cstheme="minorHAnsi"/>
          <w:color w:val="000000"/>
          <w:lang w:val="es-AR" w:eastAsia="en-GB"/>
        </w:rPr>
        <w:footnoteReference w:id="104"/>
      </w:r>
      <w:r w:rsidR="00E413A2" w:rsidRPr="00416BC1">
        <w:rPr>
          <w:rFonts w:eastAsia="Times New Roman" w:cstheme="minorHAnsi"/>
          <w:color w:val="000000"/>
          <w:lang w:eastAsia="en-GB"/>
        </w:rPr>
        <w:t xml:space="preserve"> </w:t>
      </w:r>
      <w:r>
        <w:t>and its Regulatory Decree 1771/15</w:t>
      </w:r>
      <w:r w:rsidR="00E413A2" w:rsidRPr="003F612F">
        <w:rPr>
          <w:rStyle w:val="Refdenotaalpie"/>
          <w:rFonts w:eastAsia="Times New Roman" w:cstheme="minorHAnsi"/>
          <w:color w:val="000000"/>
          <w:lang w:val="es-AR" w:eastAsia="en-GB"/>
        </w:rPr>
        <w:footnoteReference w:id="105"/>
      </w:r>
      <w:r w:rsidR="00E413A2" w:rsidRPr="00416BC1">
        <w:rPr>
          <w:rFonts w:eastAsia="Times New Roman" w:cstheme="minorHAnsi"/>
          <w:color w:val="000000"/>
          <w:lang w:eastAsia="en-GB"/>
        </w:rPr>
        <w:t xml:space="preserve"> </w:t>
      </w:r>
      <w:r>
        <w:t>promote labor development on PWD but is still not fulfilled due to lack of budget allocation process. There has been progress only in the implementation of some of its articles related to the recognition of rights to labor and social security for PWD</w:t>
      </w:r>
      <w:r w:rsidR="00E413A2" w:rsidRPr="003F612F">
        <w:rPr>
          <w:rStyle w:val="Refdenotaalpie"/>
          <w:rFonts w:eastAsia="Times New Roman" w:cstheme="minorHAnsi"/>
          <w:color w:val="000000"/>
          <w:lang w:val="es-AR" w:eastAsia="en-GB"/>
        </w:rPr>
        <w:footnoteReference w:id="106"/>
      </w:r>
      <w:r w:rsidR="00E413A2" w:rsidRPr="00416BC1">
        <w:rPr>
          <w:rFonts w:eastAsia="Times New Roman" w:cstheme="minorHAnsi"/>
          <w:color w:val="000000"/>
          <w:lang w:eastAsia="en-GB"/>
        </w:rPr>
        <w:t xml:space="preserve">. </w:t>
      </w:r>
    </w:p>
    <w:p w14:paraId="5D90239D" w14:textId="1D956C60" w:rsidR="00E413A2" w:rsidRPr="00416BC1" w:rsidRDefault="00FB5DCE" w:rsidP="00536548">
      <w:pPr>
        <w:rPr>
          <w:rFonts w:eastAsia="Times New Roman" w:cstheme="minorHAnsi"/>
          <w:lang w:eastAsia="en-GB"/>
        </w:rPr>
      </w:pPr>
      <w:r>
        <w:t>Another clue factor to outstand framed in the Law 26816 and related to work development of the PWD is the scarce availability of support mechanisms and the sate follow-up that would promote sustainable development of workshops and to contribute to the manufacture and offer of products and services of social and economic value. In August, 2022 there were 258 Protected Workshops of Production with 6512 workers with disability.</w:t>
      </w:r>
    </w:p>
    <w:p w14:paraId="701F8EF0" w14:textId="3BB0401C" w:rsidR="00FB5DCE" w:rsidRPr="00536548" w:rsidRDefault="00FB5DCE" w:rsidP="00536548">
      <w:pPr>
        <w:ind w:firstLine="0"/>
        <w:rPr>
          <w:b/>
          <w:i/>
          <w:u w:val="single"/>
        </w:rPr>
      </w:pPr>
      <w:r w:rsidRPr="00536548">
        <w:rPr>
          <w:b/>
          <w:i/>
          <w:u w:val="single"/>
        </w:rPr>
        <w:t>SUGGESTED RECOMMENDATIONS TO THE STATE</w:t>
      </w:r>
    </w:p>
    <w:p w14:paraId="05BB8D18" w14:textId="77777777" w:rsidR="00FB5DCE" w:rsidRDefault="00FB5DCE" w:rsidP="002E2ECA">
      <w:pPr>
        <w:pStyle w:val="Prrafodelista"/>
        <w:numPr>
          <w:ilvl w:val="0"/>
          <w:numId w:val="9"/>
        </w:numPr>
      </w:pPr>
      <w:r>
        <w:t>Give fulfillment to the 4% of labor quote in the public sector and concession companies of public services.</w:t>
      </w:r>
    </w:p>
    <w:p w14:paraId="07208799" w14:textId="77777777" w:rsidR="00FB5DCE" w:rsidRDefault="00FB5DCE" w:rsidP="002E2ECA">
      <w:pPr>
        <w:pStyle w:val="Prrafodelista"/>
        <w:numPr>
          <w:ilvl w:val="0"/>
          <w:numId w:val="9"/>
        </w:numPr>
      </w:pPr>
      <w:r>
        <w:t>Make the GDE platform accessible, which is used by those working in the State.</w:t>
      </w:r>
    </w:p>
    <w:p w14:paraId="05FE9CB4" w14:textId="77777777" w:rsidR="00FB5DCE" w:rsidRDefault="00FB5DCE" w:rsidP="002E2ECA">
      <w:pPr>
        <w:pStyle w:val="Prrafodelista"/>
        <w:numPr>
          <w:ilvl w:val="0"/>
          <w:numId w:val="9"/>
        </w:numPr>
      </w:pPr>
      <w:r>
        <w:t>Give effectiveness to Law 26816. Promote measures so that those who work in protected employment can incorporate to open employment.</w:t>
      </w:r>
    </w:p>
    <w:p w14:paraId="13CE47A3" w14:textId="77777777" w:rsidR="00FB5DCE" w:rsidRDefault="00FB5DCE" w:rsidP="002E2ECA">
      <w:pPr>
        <w:pStyle w:val="Prrafodelista"/>
        <w:numPr>
          <w:ilvl w:val="0"/>
          <w:numId w:val="9"/>
        </w:numPr>
      </w:pPr>
      <w:r>
        <w:t>Create proper mechanism for the incorporation of reasonable adjustments of employment.</w:t>
      </w:r>
    </w:p>
    <w:p w14:paraId="47EFE25C" w14:textId="6B9EEC10" w:rsidR="003F0689" w:rsidRPr="00416BC1" w:rsidRDefault="00FB5DCE" w:rsidP="002E2ECA">
      <w:pPr>
        <w:pStyle w:val="Prrafodelista"/>
        <w:numPr>
          <w:ilvl w:val="0"/>
          <w:numId w:val="9"/>
        </w:numPr>
        <w:rPr>
          <w:rFonts w:eastAsia="Times New Roman" w:cstheme="minorHAnsi"/>
          <w:bCs/>
          <w:iCs/>
        </w:rPr>
      </w:pPr>
      <w:r>
        <w:t>Implement legislative reforms to make formal employment compatible with the perception of PNC (non-contributive pensions).</w:t>
      </w:r>
    </w:p>
    <w:tbl>
      <w:tblPr>
        <w:tblStyle w:val="Tablaconcuadrcula"/>
        <w:tblW w:w="0" w:type="auto"/>
        <w:tblLook w:val="04A0" w:firstRow="1" w:lastRow="0" w:firstColumn="1" w:lastColumn="0" w:noHBand="0" w:noVBand="1"/>
      </w:tblPr>
      <w:tblGrid>
        <w:gridCol w:w="9736"/>
      </w:tblGrid>
      <w:tr w:rsidR="00721056" w:rsidRPr="00416BC1" w14:paraId="62093976" w14:textId="77777777" w:rsidTr="00721056">
        <w:tc>
          <w:tcPr>
            <w:tcW w:w="9736" w:type="dxa"/>
            <w:shd w:val="clear" w:color="auto" w:fill="D5DCE4" w:themeFill="text2" w:themeFillTint="33"/>
          </w:tcPr>
          <w:p w14:paraId="110759B5" w14:textId="5318320B" w:rsidR="00721056" w:rsidRPr="00D4583C" w:rsidRDefault="00D4583C" w:rsidP="00D4583C">
            <w:pPr>
              <w:pStyle w:val="Ttulo2"/>
              <w:jc w:val="center"/>
              <w:outlineLvl w:val="1"/>
              <w:rPr>
                <w:rFonts w:asciiTheme="minorHAnsi" w:hAnsiTheme="minorHAnsi" w:cstheme="minorHAnsi"/>
                <w:b/>
                <w:color w:val="auto"/>
                <w:sz w:val="24"/>
                <w:szCs w:val="24"/>
              </w:rPr>
            </w:pPr>
            <w:bookmarkStart w:id="25" w:name="_Toc126310236"/>
            <w:r w:rsidRPr="00D4583C">
              <w:rPr>
                <w:rFonts w:asciiTheme="minorHAnsi" w:hAnsiTheme="minorHAnsi" w:cstheme="minorHAnsi"/>
                <w:b/>
                <w:color w:val="auto"/>
                <w:sz w:val="24"/>
                <w:szCs w:val="24"/>
              </w:rPr>
              <w:t>Article</w:t>
            </w:r>
            <w:r w:rsidR="00416BC1" w:rsidRPr="00D4583C">
              <w:rPr>
                <w:rFonts w:asciiTheme="minorHAnsi" w:hAnsiTheme="minorHAnsi" w:cstheme="minorHAnsi"/>
                <w:b/>
                <w:color w:val="auto"/>
                <w:sz w:val="24"/>
                <w:szCs w:val="24"/>
              </w:rPr>
              <w:t xml:space="preserve"> 28: </w:t>
            </w:r>
            <w:r w:rsidRPr="00D4583C">
              <w:rPr>
                <w:rFonts w:asciiTheme="minorHAnsi" w:hAnsiTheme="minorHAnsi" w:cstheme="minorHAnsi"/>
                <w:b/>
                <w:color w:val="auto"/>
                <w:sz w:val="24"/>
                <w:szCs w:val="24"/>
              </w:rPr>
              <w:t>Appropriate</w:t>
            </w:r>
            <w:r w:rsidR="00416BC1" w:rsidRPr="00D4583C">
              <w:rPr>
                <w:rFonts w:asciiTheme="minorHAnsi" w:hAnsiTheme="minorHAnsi" w:cstheme="minorHAnsi"/>
                <w:b/>
                <w:color w:val="auto"/>
                <w:sz w:val="24"/>
                <w:szCs w:val="24"/>
              </w:rPr>
              <w:t xml:space="preserve"> </w:t>
            </w:r>
            <w:r w:rsidRPr="00D4583C">
              <w:rPr>
                <w:rFonts w:asciiTheme="minorHAnsi" w:hAnsiTheme="minorHAnsi" w:cstheme="minorHAnsi"/>
                <w:b/>
                <w:color w:val="auto"/>
                <w:sz w:val="24"/>
                <w:szCs w:val="24"/>
              </w:rPr>
              <w:t>standard of living and social protection</w:t>
            </w:r>
            <w:bookmarkEnd w:id="25"/>
          </w:p>
        </w:tc>
      </w:tr>
    </w:tbl>
    <w:p w14:paraId="26C3AC89" w14:textId="351450A2" w:rsidR="00E413A2" w:rsidRPr="0019196D" w:rsidRDefault="0019196D" w:rsidP="00536548">
      <w:pPr>
        <w:rPr>
          <w:rFonts w:cstheme="minorHAnsi"/>
        </w:rPr>
      </w:pPr>
      <w:r>
        <w:t>The state does not count with enough legislation on social security. The main program is still the one on non-contributory pensions (PNC) that is granted on the basis of law 13478, passed to rule retirements and pensions. A PNC is the 70% of a minimum pension retirement, insufficient amount to develop a life project, and are based on work invalidity as opposed to CRPD</w:t>
      </w:r>
      <w:r w:rsidR="002E233E" w:rsidRPr="003F612F">
        <w:rPr>
          <w:rStyle w:val="Refdenotaalpie"/>
          <w:rFonts w:cstheme="minorHAnsi"/>
          <w:color w:val="000000"/>
          <w:lang w:val="es-AR"/>
        </w:rPr>
        <w:footnoteReference w:id="107"/>
      </w:r>
      <w:r w:rsidR="00E413A2" w:rsidRPr="0019196D">
        <w:rPr>
          <w:rFonts w:cstheme="minorHAnsi"/>
          <w:color w:val="000000"/>
        </w:rPr>
        <w:t xml:space="preserve">. </w:t>
      </w:r>
      <w:r w:rsidR="00157872" w:rsidRPr="0019196D">
        <w:rPr>
          <w:rFonts w:cstheme="minorHAnsi"/>
          <w:color w:val="000000"/>
        </w:rPr>
        <w:t xml:space="preserve"> </w:t>
      </w:r>
      <w:r>
        <w:t xml:space="preserve">It is requisite for the PWD that they do not have asset in their name, resources or incomes that would allow their economic livelihood and no relatives legally forced to provide for them. </w:t>
      </w:r>
      <w:r w:rsidRPr="0019196D">
        <w:t>Recent changes have been introduced on Decree 432/97</w:t>
      </w:r>
      <w:r w:rsidR="00405B44">
        <w:rPr>
          <w:rStyle w:val="Refdenotaalpie"/>
          <w:rFonts w:cstheme="minorHAnsi"/>
          <w:color w:val="000000"/>
          <w:lang w:val="es-AR"/>
        </w:rPr>
        <w:footnoteReference w:id="108"/>
      </w:r>
      <w:r w:rsidR="000A117C" w:rsidRPr="0019196D">
        <w:rPr>
          <w:rFonts w:cstheme="minorHAnsi"/>
          <w:color w:val="000000"/>
        </w:rPr>
        <w:t xml:space="preserve">, </w:t>
      </w:r>
      <w:r>
        <w:t xml:space="preserve">and only imply a marginal improvement as they still grant the PNC depending on work inability. Its perception is still </w:t>
      </w:r>
      <w:r>
        <w:lastRenderedPageBreak/>
        <w:t>incompatible with having a job and the exclusion continues for those whose families support them financially.</w:t>
      </w:r>
    </w:p>
    <w:p w14:paraId="4176E658" w14:textId="3ABBE147" w:rsidR="003D433F" w:rsidRPr="0019196D" w:rsidRDefault="0019196D" w:rsidP="00536548">
      <w:pPr>
        <w:rPr>
          <w:rFonts w:cstheme="minorHAnsi"/>
          <w:color w:val="000000"/>
        </w:rPr>
      </w:pPr>
      <w:r>
        <w:t xml:space="preserve">In 2016, REDI started a collective claim for the taking off of thousands of PNC. In 2017the Court took a precautionary measure which obliged the State to give them back, but it was not fulfilled for what it was required its forced execution. After this some pensions were given back, but others could not make their right effective. </w:t>
      </w:r>
      <w:r w:rsidR="00EE25A0">
        <w:t>First instance</w:t>
      </w:r>
      <w:r w:rsidR="00FE7136" w:rsidRPr="003F612F">
        <w:rPr>
          <w:rStyle w:val="Refdenotaalpie"/>
          <w:rFonts w:cstheme="minorHAnsi"/>
          <w:color w:val="000000"/>
        </w:rPr>
        <w:footnoteReference w:id="109"/>
      </w:r>
      <w:r w:rsidR="00FE7136" w:rsidRPr="0019196D">
        <w:rPr>
          <w:rFonts w:cstheme="minorHAnsi"/>
          <w:color w:val="000000"/>
        </w:rPr>
        <w:t xml:space="preserve"> </w:t>
      </w:r>
      <w:r>
        <w:t xml:space="preserve">and second instance </w:t>
      </w:r>
      <w:r w:rsidR="00FE7136" w:rsidRPr="003F612F">
        <w:rPr>
          <w:rStyle w:val="Refdenotaalpie"/>
          <w:rFonts w:cstheme="minorHAnsi"/>
          <w:color w:val="000000"/>
        </w:rPr>
        <w:footnoteReference w:id="110"/>
      </w:r>
      <w:r w:rsidR="003D433F" w:rsidRPr="0019196D">
        <w:rPr>
          <w:rFonts w:cstheme="minorHAnsi"/>
          <w:color w:val="000000"/>
        </w:rPr>
        <w:t xml:space="preserve"> </w:t>
      </w:r>
      <w:r>
        <w:t>sentences were favorable, but the National Government appealed and the procedure is in progress at the Supreme Court. It has been waiting for more than three years to be solved, but there is no movement in the case.</w:t>
      </w:r>
    </w:p>
    <w:p w14:paraId="7CC2E53B" w14:textId="77777777" w:rsidR="0019196D" w:rsidRDefault="0019196D" w:rsidP="00536548">
      <w:r>
        <w:t xml:space="preserve">On the other hand, perception of PNC due to age (adults) is inconsistent with disability pension and having PWD to choose between the two options. REDI took legal action as it turns into discrimination on the grounds of disability because if a person has a PNC due to disability, the state denies hedges of old age contingency. </w:t>
      </w:r>
    </w:p>
    <w:p w14:paraId="06CB5DFD" w14:textId="3450D3AE" w:rsidR="00E413A2" w:rsidRPr="0019196D" w:rsidRDefault="0019196D" w:rsidP="00536548">
      <w:pPr>
        <w:rPr>
          <w:rFonts w:eastAsia="Times New Roman" w:cstheme="minorHAnsi"/>
          <w:lang w:eastAsia="en-GB"/>
        </w:rPr>
      </w:pPr>
      <w:r>
        <w:t>In the Province of Buenos Aires the amount of PNC ruled through law 10205 should be equal to a current minimum wage for the beneficiaries of the Instituto de Previsión Social. As this disposition</w:t>
      </w:r>
      <w:r w:rsidR="003034EB" w:rsidRPr="003F612F">
        <w:rPr>
          <w:rStyle w:val="Refdenotaalpie"/>
          <w:rFonts w:eastAsia="Times New Roman" w:cstheme="minorHAnsi"/>
          <w:color w:val="000000"/>
          <w:lang w:val="es-AR" w:eastAsia="en-GB"/>
        </w:rPr>
        <w:footnoteReference w:id="111"/>
      </w:r>
      <w:r w:rsidR="004E7D1F" w:rsidRPr="0019196D">
        <w:rPr>
          <w:rFonts w:eastAsia="Times New Roman" w:cstheme="minorHAnsi"/>
          <w:color w:val="000000"/>
          <w:lang w:eastAsia="en-GB"/>
        </w:rPr>
        <w:t xml:space="preserve">, </w:t>
      </w:r>
      <w:r>
        <w:t>is not fulfilled, a collective claim was presented</w:t>
      </w:r>
      <w:r w:rsidR="004E7D1F" w:rsidRPr="003F612F">
        <w:rPr>
          <w:rStyle w:val="Refdenotaalpie"/>
          <w:rFonts w:eastAsia="Times New Roman" w:cstheme="minorHAnsi"/>
          <w:color w:val="000000"/>
          <w:lang w:val="es-AR" w:eastAsia="en-GB"/>
        </w:rPr>
        <w:footnoteReference w:id="112"/>
      </w:r>
      <w:r w:rsidR="00E413A2" w:rsidRPr="0019196D">
        <w:rPr>
          <w:rFonts w:eastAsia="Times New Roman" w:cstheme="minorHAnsi"/>
          <w:color w:val="000000"/>
          <w:lang w:eastAsia="en-GB"/>
        </w:rPr>
        <w:t xml:space="preserve">. </w:t>
      </w:r>
      <w:r w:rsidR="00BD07D2">
        <w:t xml:space="preserve">Answer </w:t>
      </w:r>
      <w:r>
        <w:t>received was the transfer of 25000 beneficiaries to the National System. However this implied the loss of provincial health care coverage which has better welfare benefits</w:t>
      </w:r>
      <w:r w:rsidR="00482A08" w:rsidRPr="003F612F">
        <w:rPr>
          <w:rStyle w:val="Refdenotaalpie"/>
          <w:rFonts w:eastAsia="Times New Roman" w:cstheme="minorHAnsi"/>
          <w:color w:val="000000"/>
          <w:lang w:val="es-AR" w:eastAsia="en-GB"/>
        </w:rPr>
        <w:footnoteReference w:id="113"/>
      </w:r>
      <w:r w:rsidR="00E413A2" w:rsidRPr="0019196D">
        <w:rPr>
          <w:rFonts w:eastAsia="Times New Roman" w:cstheme="minorHAnsi"/>
          <w:color w:val="000000"/>
          <w:lang w:eastAsia="en-GB"/>
        </w:rPr>
        <w:t xml:space="preserve">. </w:t>
      </w:r>
      <w:r>
        <w:t xml:space="preserve"> It was then suggested that they could keep the coverage but it would not be possible for pensions granted onwards. This was not accepted by the collective of petitioners.</w:t>
      </w:r>
    </w:p>
    <w:p w14:paraId="42E157B3" w14:textId="0A644E7C" w:rsidR="00E413A2" w:rsidRPr="0019196D" w:rsidRDefault="0019196D" w:rsidP="00536548">
      <w:pPr>
        <w:rPr>
          <w:rFonts w:eastAsia="Times New Roman" w:cstheme="minorHAnsi"/>
          <w:lang w:eastAsia="en-GB"/>
        </w:rPr>
      </w:pPr>
      <w:r>
        <w:t xml:space="preserve">Besides, Tarjeta Alimentar, a program of food assistance for families incorporated persons with children with disabilities in spite of the fact that the collective claim of including the PWD that are in poverty. </w:t>
      </w:r>
      <w:r w:rsidRPr="0019196D">
        <w:t>Meanwhile, the IFE</w:t>
      </w:r>
      <w:r w:rsidR="00E413A2" w:rsidRPr="0019196D">
        <w:rPr>
          <w:rFonts w:eastAsia="Times New Roman" w:cstheme="minorHAnsi"/>
          <w:color w:val="000000"/>
          <w:lang w:eastAsia="en-GB"/>
        </w:rPr>
        <w:t>)”</w:t>
      </w:r>
      <w:r w:rsidR="00E413A2" w:rsidRPr="003F612F">
        <w:rPr>
          <w:rStyle w:val="Refdenotaalpie"/>
          <w:rFonts w:eastAsia="Times New Roman" w:cstheme="minorHAnsi"/>
          <w:color w:val="000000"/>
          <w:lang w:val="es-AR" w:eastAsia="en-GB"/>
        </w:rPr>
        <w:footnoteReference w:id="114"/>
      </w:r>
      <w:r w:rsidR="00E413A2" w:rsidRPr="0019196D">
        <w:rPr>
          <w:rFonts w:eastAsia="Times New Roman" w:cstheme="minorHAnsi"/>
          <w:color w:val="000000"/>
          <w:lang w:eastAsia="en-GB"/>
        </w:rPr>
        <w:t xml:space="preserve">, </w:t>
      </w:r>
      <w:r>
        <w:t>one of the main programs to ease the lack of family incomes during the pandemic did not include the PWD.</w:t>
      </w:r>
    </w:p>
    <w:p w14:paraId="6C464334" w14:textId="77777777" w:rsidR="0019196D" w:rsidRPr="00536548" w:rsidRDefault="0019196D" w:rsidP="00536548">
      <w:pPr>
        <w:ind w:firstLine="0"/>
        <w:jc w:val="left"/>
        <w:rPr>
          <w:b/>
          <w:i/>
          <w:u w:val="single"/>
        </w:rPr>
      </w:pPr>
      <w:r w:rsidRPr="00536548">
        <w:rPr>
          <w:b/>
          <w:i/>
          <w:u w:val="single"/>
        </w:rPr>
        <w:t>SUGGESTED RECOMMENDATIONS TO THE STATE</w:t>
      </w:r>
    </w:p>
    <w:p w14:paraId="5E8D1E1F" w14:textId="77777777" w:rsidR="0019196D" w:rsidRDefault="0019196D" w:rsidP="002E2ECA">
      <w:pPr>
        <w:pStyle w:val="Prrafodelista"/>
        <w:numPr>
          <w:ilvl w:val="0"/>
          <w:numId w:val="1"/>
        </w:numPr>
      </w:pPr>
      <w:r>
        <w:lastRenderedPageBreak/>
        <w:t>Bring to line social protection as regards it was established in the Convention. In particular, focused measures to make non-contributive pensions consistent with social contingencies such as old age and other programs of financial support to which PWD could have access.</w:t>
      </w:r>
    </w:p>
    <w:p w14:paraId="16E466C0" w14:textId="12B2B13E" w:rsidR="00193A65" w:rsidRPr="0019196D" w:rsidRDefault="00193A65" w:rsidP="002E2ECA">
      <w:pPr>
        <w:pStyle w:val="Prrafodelista"/>
      </w:pPr>
    </w:p>
    <w:tbl>
      <w:tblPr>
        <w:tblStyle w:val="Tablaconcuadrcula"/>
        <w:tblW w:w="0" w:type="auto"/>
        <w:tblLook w:val="04A0" w:firstRow="1" w:lastRow="0" w:firstColumn="1" w:lastColumn="0" w:noHBand="0" w:noVBand="1"/>
      </w:tblPr>
      <w:tblGrid>
        <w:gridCol w:w="9736"/>
      </w:tblGrid>
      <w:tr w:rsidR="0022029E" w:rsidRPr="00253D08" w14:paraId="17C1A415" w14:textId="77777777" w:rsidTr="0022029E">
        <w:tc>
          <w:tcPr>
            <w:tcW w:w="9736" w:type="dxa"/>
            <w:shd w:val="clear" w:color="auto" w:fill="D5DCE4" w:themeFill="text2" w:themeFillTint="33"/>
          </w:tcPr>
          <w:p w14:paraId="2B708C43" w14:textId="452CCDD2" w:rsidR="0022029E" w:rsidRPr="00FF6472" w:rsidRDefault="00D4583C" w:rsidP="00D4583C">
            <w:pPr>
              <w:pStyle w:val="Ttulo2"/>
              <w:outlineLvl w:val="1"/>
              <w:rPr>
                <w:rFonts w:asciiTheme="minorHAnsi" w:hAnsiTheme="minorHAnsi" w:cstheme="minorHAnsi"/>
                <w:b/>
                <w:color w:val="auto"/>
                <w:sz w:val="24"/>
                <w:szCs w:val="24"/>
              </w:rPr>
            </w:pPr>
            <w:bookmarkStart w:id="26" w:name="_Toc126310237"/>
            <w:r>
              <w:rPr>
                <w:rFonts w:asciiTheme="minorHAnsi" w:hAnsiTheme="minorHAnsi" w:cstheme="minorHAnsi"/>
                <w:b/>
                <w:color w:val="auto"/>
                <w:sz w:val="24"/>
                <w:szCs w:val="24"/>
              </w:rPr>
              <w:t>Article</w:t>
            </w:r>
            <w:r w:rsidR="00253D08" w:rsidRPr="00FF6472">
              <w:rPr>
                <w:rFonts w:asciiTheme="minorHAnsi" w:hAnsiTheme="minorHAnsi" w:cstheme="minorHAnsi"/>
                <w:b/>
                <w:color w:val="auto"/>
                <w:sz w:val="24"/>
                <w:szCs w:val="24"/>
              </w:rPr>
              <w:t xml:space="preserve"> 29: </w:t>
            </w:r>
            <w:r>
              <w:rPr>
                <w:rFonts w:asciiTheme="minorHAnsi" w:hAnsiTheme="minorHAnsi" w:cstheme="minorHAnsi"/>
                <w:b/>
                <w:color w:val="auto"/>
                <w:sz w:val="24"/>
                <w:szCs w:val="24"/>
              </w:rPr>
              <w:t>Participation in political and political life</w:t>
            </w:r>
            <w:bookmarkEnd w:id="26"/>
          </w:p>
        </w:tc>
      </w:tr>
    </w:tbl>
    <w:p w14:paraId="0555C127" w14:textId="68FFC686" w:rsidR="00C46EAE" w:rsidRPr="006B18B4" w:rsidRDefault="006B18B4" w:rsidP="00615443">
      <w:pPr>
        <w:rPr>
          <w:rFonts w:cstheme="minorHAnsi"/>
          <w:color w:val="000000"/>
        </w:rPr>
      </w:pPr>
      <w:r>
        <w:t>Lack of accessibility for autonomous, secret and in equal terms persists. In matters of political rights, the National Electoral Code continues restricting the right to vote to PWD</w:t>
      </w:r>
      <w:r w:rsidR="00C46EAE" w:rsidRPr="00C46EAE">
        <w:rPr>
          <w:rStyle w:val="Refdenotaalpie"/>
          <w:rFonts w:cstheme="minorHAnsi"/>
          <w:color w:val="000000"/>
          <w:lang w:val="es-AR"/>
        </w:rPr>
        <w:footnoteReference w:id="115"/>
      </w:r>
      <w:r w:rsidR="00C46EAE" w:rsidRPr="006B18B4">
        <w:rPr>
          <w:rFonts w:cstheme="minorHAnsi"/>
          <w:color w:val="000000"/>
        </w:rPr>
        <w:t xml:space="preserve"> </w:t>
      </w:r>
      <w:r>
        <w:t>and as a consequence the right</w:t>
      </w:r>
      <w:r w:rsidR="00BD07D2">
        <w:t xml:space="preserve"> to be elected is also affected</w:t>
      </w:r>
      <w:r w:rsidR="00C46EAE" w:rsidRPr="00C46EAE">
        <w:rPr>
          <w:rStyle w:val="Refdenotaalpie"/>
          <w:rFonts w:cstheme="minorHAnsi"/>
          <w:color w:val="000000"/>
          <w:lang w:val="es-AR"/>
        </w:rPr>
        <w:footnoteReference w:id="116"/>
      </w:r>
      <w:r w:rsidR="00C46EAE" w:rsidRPr="006B18B4">
        <w:rPr>
          <w:rFonts w:cstheme="minorHAnsi"/>
          <w:color w:val="000000"/>
        </w:rPr>
        <w:t xml:space="preserve">. </w:t>
      </w:r>
      <w:r>
        <w:t>These restrictions also occur at a level of provincial legislation</w:t>
      </w:r>
      <w:r w:rsidR="00C46EAE" w:rsidRPr="00C46EAE">
        <w:rPr>
          <w:rStyle w:val="Refdenotaalpie"/>
          <w:rFonts w:cstheme="minorHAnsi"/>
          <w:color w:val="000000"/>
          <w:lang w:val="es-AR"/>
        </w:rPr>
        <w:footnoteReference w:id="117"/>
      </w:r>
      <w:r w:rsidR="00C46EAE" w:rsidRPr="006B18B4">
        <w:rPr>
          <w:rFonts w:cstheme="minorHAnsi"/>
          <w:color w:val="000000"/>
        </w:rPr>
        <w:t xml:space="preserve">. </w:t>
      </w:r>
    </w:p>
    <w:p w14:paraId="72308DE8" w14:textId="4366A8EE" w:rsidR="00E413A2" w:rsidRPr="006B18B4" w:rsidRDefault="00EF3525" w:rsidP="00615443">
      <w:pPr>
        <w:rPr>
          <w:rFonts w:eastAsia="Times New Roman" w:cstheme="minorHAnsi"/>
          <w:lang w:eastAsia="en-GB"/>
        </w:rPr>
      </w:pPr>
      <w:r>
        <w:t>Even if assisted vote</w:t>
      </w:r>
      <w:r w:rsidR="00C46EAE" w:rsidRPr="00C46EAE">
        <w:rPr>
          <w:rStyle w:val="Refdenotaalpie"/>
          <w:rFonts w:eastAsia="Times New Roman" w:cstheme="minorHAnsi"/>
          <w:color w:val="000000"/>
          <w:lang w:val="es-AR" w:eastAsia="en-GB"/>
        </w:rPr>
        <w:footnoteReference w:id="118"/>
      </w:r>
      <w:r w:rsidR="00C46EAE" w:rsidRPr="006B18B4">
        <w:rPr>
          <w:rFonts w:eastAsia="Times New Roman" w:cstheme="minorHAnsi"/>
          <w:color w:val="000000"/>
          <w:lang w:eastAsia="en-GB"/>
        </w:rPr>
        <w:t xml:space="preserve">, </w:t>
      </w:r>
      <w:r w:rsidR="006B18B4">
        <w:t xml:space="preserve">which means that the PWD can enter the voting room with a person that considers reliable, was introduced, it is not a solution that guarantees autonomy and secret vote. Since 2015 there has not been a single mechanism implemented that would let them identify in an autonomous way the different electoral options. </w:t>
      </w:r>
      <w:r w:rsidR="006B18B4" w:rsidRPr="006B18B4">
        <w:t>On their behalf, the Acordada 27/2015</w:t>
      </w:r>
      <w:r w:rsidR="00452D1E">
        <w:rPr>
          <w:rStyle w:val="Refdenotaalpie"/>
          <w:rFonts w:eastAsia="Times New Roman" w:cstheme="minorHAnsi"/>
          <w:color w:val="000000"/>
          <w:lang w:val="es-AR" w:eastAsia="en-GB"/>
        </w:rPr>
        <w:footnoteReference w:id="119"/>
      </w:r>
      <w:r w:rsidR="00452D1E" w:rsidRPr="006B18B4">
        <w:rPr>
          <w:rFonts w:eastAsia="Times New Roman" w:cstheme="minorHAnsi"/>
          <w:color w:val="000000"/>
          <w:lang w:eastAsia="en-GB"/>
        </w:rPr>
        <w:t xml:space="preserve"> </w:t>
      </w:r>
      <w:r w:rsidR="006B18B4">
        <w:t>of the National Electoral Chamber establishes that PWD cannot be part of the election officials and those who do not count with CUD are excluded from the obligation to vote.</w:t>
      </w:r>
    </w:p>
    <w:p w14:paraId="38929504" w14:textId="77777777" w:rsidR="006B18B4" w:rsidRDefault="006B18B4" w:rsidP="00615443">
      <w:r>
        <w:t xml:space="preserve">Physical barriers still exist in the places where elections are carried out. Although there is an accessible voting room on ground floors if the front door to the building is inaccessible it is impossible to be used by the motor PWD. There is no previous coordination among the various ministries, the National Electoral Board and Electoral Justice to guarantee that all voting places are fully accessible. </w:t>
      </w:r>
    </w:p>
    <w:p w14:paraId="03129D36" w14:textId="77777777" w:rsidR="006B18B4" w:rsidRPr="00615443" w:rsidRDefault="006B18B4" w:rsidP="00615443">
      <w:pPr>
        <w:ind w:firstLine="0"/>
        <w:rPr>
          <w:b/>
          <w:i/>
          <w:u w:val="single"/>
        </w:rPr>
      </w:pPr>
      <w:r w:rsidRPr="00615443">
        <w:rPr>
          <w:b/>
          <w:i/>
          <w:u w:val="single"/>
        </w:rPr>
        <w:t>SUGGESTED RECOMMENDATIONS TO THE STATE¿</w:t>
      </w:r>
    </w:p>
    <w:p w14:paraId="7C25D1B1" w14:textId="77777777" w:rsidR="006B18B4" w:rsidRDefault="006B18B4" w:rsidP="002E2ECA">
      <w:pPr>
        <w:pStyle w:val="Prrafodelista"/>
        <w:numPr>
          <w:ilvl w:val="0"/>
          <w:numId w:val="5"/>
        </w:numPr>
      </w:pPr>
      <w:r>
        <w:t>Implement mechanisms to guarantee physical and communicative accessibility during elections. Modify article 3 of the Electoral Code that allows PWD with restricted capacity not to vote.</w:t>
      </w:r>
    </w:p>
    <w:p w14:paraId="1CA209AE" w14:textId="51EA7288" w:rsidR="00E60A33" w:rsidRPr="009414E5" w:rsidRDefault="006B18B4" w:rsidP="002E2ECA">
      <w:pPr>
        <w:pStyle w:val="Prrafodelista"/>
        <w:numPr>
          <w:ilvl w:val="0"/>
          <w:numId w:val="13"/>
        </w:numPr>
        <w:rPr>
          <w:rFonts w:eastAsia="Times New Roman" w:cstheme="minorHAnsi"/>
          <w:bCs/>
          <w:iCs/>
        </w:rPr>
      </w:pPr>
      <w:r>
        <w:t>Guarantee that PWD can be chosen for the exercise of public office and as election officials. Revoke Acordada 27.</w:t>
      </w:r>
    </w:p>
    <w:tbl>
      <w:tblPr>
        <w:tblStyle w:val="Tablaconcuadrcula"/>
        <w:tblW w:w="0" w:type="auto"/>
        <w:tblLook w:val="04A0" w:firstRow="1" w:lastRow="0" w:firstColumn="1" w:lastColumn="0" w:noHBand="0" w:noVBand="1"/>
      </w:tblPr>
      <w:tblGrid>
        <w:gridCol w:w="9736"/>
      </w:tblGrid>
      <w:tr w:rsidR="00BA6C16" w:rsidRPr="006B18B4" w14:paraId="0885E89C" w14:textId="77777777" w:rsidTr="00BA6C16">
        <w:tc>
          <w:tcPr>
            <w:tcW w:w="9736" w:type="dxa"/>
            <w:shd w:val="clear" w:color="auto" w:fill="D5DCE4" w:themeFill="text2" w:themeFillTint="33"/>
          </w:tcPr>
          <w:p w14:paraId="307B62B1" w14:textId="39358002" w:rsidR="00BA6C16" w:rsidRPr="00FF6472" w:rsidRDefault="00D4583C" w:rsidP="00D4583C">
            <w:pPr>
              <w:pStyle w:val="Ttulo2"/>
              <w:jc w:val="center"/>
              <w:outlineLvl w:val="1"/>
              <w:rPr>
                <w:rFonts w:asciiTheme="minorHAnsi" w:hAnsiTheme="minorHAnsi" w:cstheme="minorHAnsi"/>
                <w:b/>
                <w:color w:val="auto"/>
                <w:sz w:val="24"/>
                <w:szCs w:val="24"/>
              </w:rPr>
            </w:pPr>
            <w:bookmarkStart w:id="27" w:name="_Toc126310238"/>
            <w:r>
              <w:rPr>
                <w:rFonts w:asciiTheme="minorHAnsi" w:hAnsiTheme="minorHAnsi" w:cstheme="minorHAnsi"/>
                <w:b/>
                <w:color w:val="auto"/>
                <w:sz w:val="24"/>
                <w:szCs w:val="24"/>
              </w:rPr>
              <w:t>Article 30</w:t>
            </w:r>
            <w:r w:rsidR="006B18B4" w:rsidRPr="00FF6472">
              <w:rPr>
                <w:rFonts w:asciiTheme="minorHAnsi" w:hAnsiTheme="minorHAnsi" w:cstheme="minorHAnsi"/>
                <w:b/>
                <w:color w:val="auto"/>
                <w:sz w:val="24"/>
                <w:szCs w:val="24"/>
              </w:rPr>
              <w:t xml:space="preserve">: </w:t>
            </w:r>
            <w:r>
              <w:rPr>
                <w:rFonts w:asciiTheme="minorHAnsi" w:hAnsiTheme="minorHAnsi" w:cstheme="minorHAnsi"/>
                <w:b/>
                <w:color w:val="auto"/>
                <w:sz w:val="24"/>
                <w:szCs w:val="24"/>
              </w:rPr>
              <w:t>Participation in</w:t>
            </w:r>
            <w:r w:rsidR="006B18B4" w:rsidRPr="00FF6472">
              <w:rPr>
                <w:rFonts w:asciiTheme="minorHAnsi" w:hAnsiTheme="minorHAnsi" w:cstheme="minorHAnsi"/>
                <w:b/>
                <w:color w:val="auto"/>
                <w:sz w:val="24"/>
                <w:szCs w:val="24"/>
              </w:rPr>
              <w:t xml:space="preserve"> </w:t>
            </w:r>
            <w:r>
              <w:rPr>
                <w:rFonts w:asciiTheme="minorHAnsi" w:hAnsiTheme="minorHAnsi" w:cstheme="minorHAnsi"/>
                <w:b/>
                <w:color w:val="auto"/>
                <w:sz w:val="24"/>
                <w:szCs w:val="24"/>
              </w:rPr>
              <w:t>cultural life</w:t>
            </w:r>
            <w:r w:rsidR="006B18B4" w:rsidRPr="00FF6472">
              <w:rPr>
                <w:rFonts w:asciiTheme="minorHAnsi" w:hAnsiTheme="minorHAnsi" w:cstheme="minorHAnsi"/>
                <w:b/>
                <w:color w:val="auto"/>
                <w:sz w:val="24"/>
                <w:szCs w:val="24"/>
              </w:rPr>
              <w:t xml:space="preserve">, </w:t>
            </w:r>
            <w:r>
              <w:rPr>
                <w:rFonts w:asciiTheme="minorHAnsi" w:hAnsiTheme="minorHAnsi" w:cstheme="minorHAnsi"/>
                <w:b/>
                <w:color w:val="auto"/>
                <w:sz w:val="24"/>
                <w:szCs w:val="24"/>
              </w:rPr>
              <w:t>recreational activities</w:t>
            </w:r>
            <w:r w:rsidR="006B18B4" w:rsidRPr="00FF6472">
              <w:rPr>
                <w:rFonts w:asciiTheme="minorHAnsi" w:hAnsiTheme="minorHAnsi" w:cstheme="minorHAnsi"/>
                <w:b/>
                <w:color w:val="auto"/>
                <w:sz w:val="24"/>
                <w:szCs w:val="24"/>
              </w:rPr>
              <w:t xml:space="preserve">, </w:t>
            </w:r>
            <w:r>
              <w:rPr>
                <w:rFonts w:asciiTheme="minorHAnsi" w:hAnsiTheme="minorHAnsi" w:cstheme="minorHAnsi"/>
                <w:b/>
                <w:color w:val="auto"/>
                <w:sz w:val="24"/>
                <w:szCs w:val="24"/>
              </w:rPr>
              <w:t>entertainment and</w:t>
            </w:r>
            <w:r w:rsidR="006B18B4" w:rsidRPr="00FF6472">
              <w:rPr>
                <w:rFonts w:asciiTheme="minorHAnsi" w:hAnsiTheme="minorHAnsi" w:cstheme="minorHAnsi"/>
                <w:b/>
                <w:color w:val="auto"/>
                <w:sz w:val="24"/>
                <w:szCs w:val="24"/>
              </w:rPr>
              <w:t xml:space="preserve"> </w:t>
            </w:r>
            <w:r>
              <w:rPr>
                <w:rFonts w:asciiTheme="minorHAnsi" w:hAnsiTheme="minorHAnsi" w:cstheme="minorHAnsi"/>
                <w:b/>
                <w:color w:val="auto"/>
                <w:sz w:val="24"/>
                <w:szCs w:val="24"/>
              </w:rPr>
              <w:t>sport</w:t>
            </w:r>
            <w:bookmarkEnd w:id="27"/>
          </w:p>
        </w:tc>
      </w:tr>
    </w:tbl>
    <w:p w14:paraId="168E34C1" w14:textId="2C8780F8" w:rsidR="00452D1E" w:rsidRPr="006B18B4" w:rsidRDefault="006B18B4" w:rsidP="00615443">
      <w:pPr>
        <w:rPr>
          <w:rFonts w:cstheme="minorHAnsi"/>
        </w:rPr>
      </w:pPr>
      <w:r>
        <w:t>Programs and regulations that announce the implementation of accessibility apply non-inclusive criteria. In institutional tours lack of accessibility even in new building sites, is covered with personal assistance, being the PWD those who adapt to the environment. In the same way, there is a wrong</w:t>
      </w:r>
      <w:r w:rsidR="00C5420E">
        <w:t xml:space="preserve"> </w:t>
      </w:r>
      <w:r>
        <w:lastRenderedPageBreak/>
        <w:t>applic</w:t>
      </w:r>
      <w:r w:rsidR="00BD07D2">
        <w:t>ation of reasonable adjustments.</w:t>
      </w:r>
      <w:r w:rsidR="00452D1E" w:rsidRPr="003F612F">
        <w:rPr>
          <w:rFonts w:cstheme="minorHAnsi"/>
          <w:vertAlign w:val="superscript"/>
          <w:lang w:val="es-AR"/>
        </w:rPr>
        <w:footnoteReference w:id="120"/>
      </w:r>
      <w:r w:rsidR="00452D1E" w:rsidRPr="006B18B4">
        <w:rPr>
          <w:rFonts w:cstheme="minorHAnsi"/>
        </w:rPr>
        <w:t xml:space="preserve"> </w:t>
      </w:r>
      <w:r>
        <w:t>There are no programs that implement an inclusive design articulating accessibility premises on concrete situations</w:t>
      </w:r>
      <w:r w:rsidR="00452D1E" w:rsidRPr="003F612F">
        <w:rPr>
          <w:rFonts w:cstheme="minorHAnsi"/>
          <w:vertAlign w:val="superscript"/>
          <w:lang w:val="es-AR"/>
        </w:rPr>
        <w:footnoteReference w:id="121"/>
      </w:r>
      <w:r w:rsidR="00452D1E" w:rsidRPr="006B18B4">
        <w:rPr>
          <w:rFonts w:cstheme="minorHAnsi"/>
        </w:rPr>
        <w:t xml:space="preserve">. </w:t>
      </w:r>
    </w:p>
    <w:p w14:paraId="48BED29E" w14:textId="7CB01B8B" w:rsidR="00E413A2" w:rsidRPr="006B18B4" w:rsidRDefault="006B18B4" w:rsidP="00615443">
      <w:pPr>
        <w:rPr>
          <w:rFonts w:cstheme="minorHAnsi"/>
        </w:rPr>
      </w:pPr>
      <w:r>
        <w:t>Prohibitions for visual PWD to enter tourist sites are constant. That is the case of</w:t>
      </w:r>
      <w:r w:rsidR="00AC686B">
        <w:t xml:space="preserve"> </w:t>
      </w:r>
      <w:proofErr w:type="spellStart"/>
      <w:r w:rsidR="00AC686B">
        <w:t>Iguazú</w:t>
      </w:r>
      <w:proofErr w:type="spellEnd"/>
      <w:r>
        <w:t xml:space="preserve"> </w:t>
      </w:r>
      <w:r w:rsidR="00AC686B">
        <w:t>Nat</w:t>
      </w:r>
      <w:r>
        <w:t>ional</w:t>
      </w:r>
      <w:r w:rsidR="00AC686B">
        <w:t xml:space="preserve"> Park</w:t>
      </w:r>
      <w:r>
        <w:t xml:space="preserve"> (Misiones) where it is forbidden for them to participate on a boat tour called “The Great Adventure” whose franchise belongs to Iguazú Jungle with the argument that they cannot respond in an autonomous way to nautical emergency. It is a discriminatory treatment due to the fact that the rest of adult population are given the possibility to choose whether they want to take the risks that the activity implies and the company respects each tourist´s will</w:t>
      </w:r>
      <w:r w:rsidR="00DB3401" w:rsidRPr="003F612F">
        <w:rPr>
          <w:rStyle w:val="Refdenotaalpie"/>
          <w:rFonts w:cstheme="minorHAnsi"/>
          <w:color w:val="000000"/>
          <w:lang w:val="es-AR"/>
        </w:rPr>
        <w:footnoteReference w:id="122"/>
      </w:r>
      <w:r w:rsidR="00E413A2" w:rsidRPr="006B18B4">
        <w:rPr>
          <w:rFonts w:cstheme="minorHAnsi"/>
          <w:color w:val="000000"/>
        </w:rPr>
        <w:t xml:space="preserve">. </w:t>
      </w:r>
    </w:p>
    <w:p w14:paraId="69669384" w14:textId="044A560B" w:rsidR="006B18B4" w:rsidRDefault="006B18B4" w:rsidP="00615443">
      <w:bookmarkStart w:id="28" w:name="_heading=h.30j0zll" w:colFirst="0" w:colLast="0"/>
      <w:bookmarkEnd w:id="28"/>
      <w:r>
        <w:t xml:space="preserve">Visual PWD are also excluded from access to </w:t>
      </w:r>
      <w:r w:rsidR="00AC686B">
        <w:t xml:space="preserve">Cerro Otto Tourist Complex </w:t>
      </w:r>
      <w:r>
        <w:t>Cerro (</w:t>
      </w:r>
      <w:proofErr w:type="spellStart"/>
      <w:r>
        <w:t>Bariloche</w:t>
      </w:r>
      <w:proofErr w:type="spellEnd"/>
      <w:r>
        <w:t>, Río Negro). These measures perpetuate prejudices and stereotypes related to visual PWD affecting their autonomy and dignity, giving them a discr</w:t>
      </w:r>
      <w:r w:rsidR="00BD07D2">
        <w:t>iminatory and unequal treatment</w:t>
      </w:r>
      <w:r w:rsidR="00492501">
        <w:rPr>
          <w:rStyle w:val="Refdenotaalpie"/>
          <w:rFonts w:cstheme="minorHAnsi"/>
          <w:lang w:val="es-AR"/>
        </w:rPr>
        <w:footnoteReference w:id="123"/>
      </w:r>
      <w:r w:rsidR="00EC065D" w:rsidRPr="006B18B4">
        <w:rPr>
          <w:rFonts w:cstheme="minorHAnsi"/>
        </w:rPr>
        <w:t xml:space="preserve">. </w:t>
      </w:r>
      <w:r>
        <w:t>Segregation generated by the separation between conventional parks and inclusive parks in the province of Buenos Aires as well as in CABA (124) is worrying. Inclusion is not only solved with functional designs of accessibility. Participative, physical and cultural contextualized designs are necessary. But the management mechanisms only consider standard and certified designs being, besides, more expensive.</w:t>
      </w:r>
    </w:p>
    <w:p w14:paraId="093CABE5" w14:textId="29B4A817" w:rsidR="00EC065D" w:rsidRPr="006B18B4" w:rsidRDefault="00EF3525" w:rsidP="00615443">
      <w:r>
        <w:t>Segregation generated by the separation between conventional parks and inclusive parks in the province of Buenos Aires as well as in CABA</w:t>
      </w:r>
      <w:r>
        <w:rPr>
          <w:rStyle w:val="Refdenotaalpie"/>
        </w:rPr>
        <w:footnoteReference w:id="124"/>
      </w:r>
      <w:r>
        <w:t xml:space="preserve"> is worrying. Inclusion is not only solved with functional designs of accessibility. Participative, physical and cultural contextualized designs are necessary. But the management mechanisms only consider standard and certified designs </w:t>
      </w:r>
      <w:r w:rsidR="00615443">
        <w:t>being, besides, more expensive.</w:t>
      </w:r>
    </w:p>
    <w:p w14:paraId="78B94B34" w14:textId="77777777" w:rsidR="006B18B4" w:rsidRPr="00615443" w:rsidRDefault="006B18B4" w:rsidP="00615443">
      <w:pPr>
        <w:ind w:firstLine="0"/>
        <w:rPr>
          <w:b/>
          <w:i/>
          <w:u w:val="single"/>
        </w:rPr>
      </w:pPr>
      <w:r w:rsidRPr="00615443">
        <w:rPr>
          <w:b/>
          <w:i/>
          <w:u w:val="single"/>
        </w:rPr>
        <w:t>SUGGESTED RECOMMENDATIONS TO THE STATE</w:t>
      </w:r>
    </w:p>
    <w:p w14:paraId="77871242" w14:textId="77777777" w:rsidR="006B18B4" w:rsidRDefault="006B18B4" w:rsidP="002E2ECA">
      <w:pPr>
        <w:pStyle w:val="Prrafodelista"/>
        <w:numPr>
          <w:ilvl w:val="0"/>
          <w:numId w:val="5"/>
        </w:numPr>
      </w:pPr>
      <w:r>
        <w:t>Provide training to concessionary companies of tourist services that forbid fully participation of PWD.</w:t>
      </w:r>
    </w:p>
    <w:p w14:paraId="6E7D9A5C" w14:textId="13D45E4C" w:rsidR="006B18B4" w:rsidRPr="006B18B4" w:rsidRDefault="006B18B4" w:rsidP="002E2ECA">
      <w:pPr>
        <w:pStyle w:val="Prrafodelista"/>
        <w:numPr>
          <w:ilvl w:val="0"/>
          <w:numId w:val="5"/>
        </w:numPr>
      </w:pPr>
      <w:r>
        <w:t>Grant enough budgets to fulfill accessibility modifications in situations of discrimination to PWD as regards access to entertainment and tourism.</w:t>
      </w:r>
    </w:p>
    <w:tbl>
      <w:tblPr>
        <w:tblStyle w:val="Tablaconcuadrcula"/>
        <w:tblW w:w="0" w:type="auto"/>
        <w:tblLook w:val="04A0" w:firstRow="1" w:lastRow="0" w:firstColumn="1" w:lastColumn="0" w:noHBand="0" w:noVBand="1"/>
      </w:tblPr>
      <w:tblGrid>
        <w:gridCol w:w="9736"/>
      </w:tblGrid>
      <w:tr w:rsidR="0022417E" w:rsidRPr="00374245" w14:paraId="7FD5239B" w14:textId="77777777" w:rsidTr="0022417E">
        <w:tc>
          <w:tcPr>
            <w:tcW w:w="9736" w:type="dxa"/>
            <w:shd w:val="clear" w:color="auto" w:fill="D5DCE4" w:themeFill="text2" w:themeFillTint="33"/>
          </w:tcPr>
          <w:p w14:paraId="06798AF9" w14:textId="588FEB42" w:rsidR="0022417E" w:rsidRPr="00D4583C" w:rsidRDefault="00D4583C" w:rsidP="00D4583C">
            <w:pPr>
              <w:pStyle w:val="Ttulo2"/>
              <w:jc w:val="center"/>
              <w:outlineLvl w:val="1"/>
              <w:rPr>
                <w:rFonts w:asciiTheme="minorHAnsi" w:hAnsiTheme="minorHAnsi" w:cstheme="minorHAnsi"/>
                <w:b/>
                <w:color w:val="auto"/>
                <w:sz w:val="24"/>
                <w:szCs w:val="24"/>
              </w:rPr>
            </w:pPr>
            <w:bookmarkStart w:id="29" w:name="_Toc126310239"/>
            <w:r w:rsidRPr="00D4583C">
              <w:rPr>
                <w:rFonts w:asciiTheme="minorHAnsi" w:hAnsiTheme="minorHAnsi" w:cstheme="minorHAnsi"/>
                <w:b/>
                <w:color w:val="auto"/>
                <w:sz w:val="24"/>
                <w:szCs w:val="24"/>
              </w:rPr>
              <w:t>Article</w:t>
            </w:r>
            <w:r w:rsidR="00EF3525" w:rsidRPr="00D4583C">
              <w:rPr>
                <w:rFonts w:asciiTheme="minorHAnsi" w:hAnsiTheme="minorHAnsi" w:cstheme="minorHAnsi"/>
                <w:b/>
                <w:color w:val="auto"/>
                <w:sz w:val="24"/>
                <w:szCs w:val="24"/>
              </w:rPr>
              <w:t xml:space="preserve"> 31: </w:t>
            </w:r>
            <w:r w:rsidRPr="00D4583C">
              <w:rPr>
                <w:rFonts w:asciiTheme="minorHAnsi" w:hAnsiTheme="minorHAnsi" w:cstheme="minorHAnsi"/>
                <w:b/>
                <w:color w:val="auto"/>
                <w:sz w:val="24"/>
                <w:szCs w:val="24"/>
              </w:rPr>
              <w:t>Data and statistics collection</w:t>
            </w:r>
            <w:bookmarkEnd w:id="29"/>
            <w:r w:rsidRPr="00D4583C">
              <w:rPr>
                <w:rFonts w:asciiTheme="minorHAnsi" w:hAnsiTheme="minorHAnsi" w:cstheme="minorHAnsi"/>
                <w:b/>
                <w:color w:val="auto"/>
                <w:sz w:val="24"/>
                <w:szCs w:val="24"/>
              </w:rPr>
              <w:t xml:space="preserve"> </w:t>
            </w:r>
          </w:p>
        </w:tc>
      </w:tr>
    </w:tbl>
    <w:p w14:paraId="72D894E6" w14:textId="77777777" w:rsidR="00EF3525" w:rsidRDefault="00EF3525" w:rsidP="00C52C69">
      <w:r>
        <w:t>We want to emphasize the lack of data and lacking statistics referring to PWD in all areas. In 2022 the National Census on Population, Homes and Housing was carried out and it was inaccessible for PWD. The Census foresaw a digital instance but PWD could not complete it in an autonomous way. Possibility of answering questions in person does not exclude the State from fulfilling obligations in terms of accessibility.</w:t>
      </w:r>
    </w:p>
    <w:p w14:paraId="79D53DA1" w14:textId="77777777" w:rsidR="00EF3525" w:rsidRDefault="00EF3525" w:rsidP="00615443">
      <w:r>
        <w:lastRenderedPageBreak/>
        <w:t>The 2022 Census Web Site, as official government web site, should fulfill the demanded requirements in agreement with “2.0 Accessibility Guidelines of Web Content” approved by the National Office on Information Technology (ONTI) through disposition 6/2019.</w:t>
      </w:r>
    </w:p>
    <w:p w14:paraId="04AA2FEB" w14:textId="4BE52500" w:rsidR="00EF3525" w:rsidRDefault="00EF3525" w:rsidP="00615443">
      <w:r>
        <w:t>As regards the Census, even if they followed the Washington Group Method, they only asked about the amount of homes with PWD for it was not possible to know how many PWD there are in Argentina</w:t>
      </w:r>
    </w:p>
    <w:p w14:paraId="0999B46D" w14:textId="4F8A11F8" w:rsidR="00EF3525" w:rsidRDefault="00EF3525" w:rsidP="00615443">
      <w:r>
        <w:t>Intersectionalities such as migrants, afro-descendant, indigenous people, trans and no binary persons were not reflected. It will not be possible to identify either: academic level, job, or living conditions. By January 2023 it had not been announced when a survey to complement th</w:t>
      </w:r>
      <w:r w:rsidR="00615443">
        <w:t xml:space="preserve">e census would be carried out. </w:t>
      </w:r>
    </w:p>
    <w:p w14:paraId="5549E7B3" w14:textId="7EE0319B" w:rsidR="00EF3525" w:rsidRPr="00615443" w:rsidRDefault="00EF3525" w:rsidP="00615443">
      <w:pPr>
        <w:ind w:firstLine="0"/>
        <w:rPr>
          <w:b/>
          <w:i/>
          <w:u w:val="single"/>
        </w:rPr>
      </w:pPr>
      <w:r w:rsidRPr="00615443">
        <w:rPr>
          <w:b/>
          <w:i/>
          <w:u w:val="single"/>
        </w:rPr>
        <w:t>SUGGESTED RECOMMENDATIONS TO THE STATE</w:t>
      </w:r>
    </w:p>
    <w:p w14:paraId="0F4A93D3" w14:textId="77777777" w:rsidR="00EF3525" w:rsidRDefault="00EF3525" w:rsidP="002E2ECA">
      <w:pPr>
        <w:pStyle w:val="Prrafodelista"/>
        <w:numPr>
          <w:ilvl w:val="0"/>
          <w:numId w:val="30"/>
        </w:numPr>
      </w:pPr>
      <w:r>
        <w:t>Implement accessibility measures to guarantee that PWD could take part in an autonomous way of statistics in on-site, digital or other formats.</w:t>
      </w:r>
    </w:p>
    <w:p w14:paraId="3B15CF4F" w14:textId="77777777" w:rsidR="00EF3525" w:rsidRDefault="00EF3525" w:rsidP="002E2ECA">
      <w:pPr>
        <w:pStyle w:val="Prrafodelista"/>
        <w:numPr>
          <w:ilvl w:val="0"/>
          <w:numId w:val="30"/>
        </w:numPr>
      </w:pPr>
      <w:r>
        <w:t>Carry out a complementary statistics study to overcome the lack of information in the 2022 Census with Civil Societies participation.</w:t>
      </w:r>
    </w:p>
    <w:p w14:paraId="4EBED261" w14:textId="77777777" w:rsidR="00EF3525" w:rsidRDefault="00EF3525" w:rsidP="002E2ECA">
      <w:pPr>
        <w:pStyle w:val="Prrafodelista"/>
        <w:numPr>
          <w:ilvl w:val="0"/>
          <w:numId w:val="30"/>
        </w:numPr>
      </w:pPr>
      <w:r>
        <w:t>Carry out a proper plan of PWD participation properly trained to incorporate intersectional perspective in statistics that would take into consideration the access to sexual and reproductive rights and violent situations in all forms so that statistics can show all types of intersectionality.</w:t>
      </w:r>
    </w:p>
    <w:tbl>
      <w:tblPr>
        <w:tblStyle w:val="Tablaconcuadrcula"/>
        <w:tblW w:w="0" w:type="auto"/>
        <w:tblLook w:val="04A0" w:firstRow="1" w:lastRow="0" w:firstColumn="1" w:lastColumn="0" w:noHBand="0" w:noVBand="1"/>
      </w:tblPr>
      <w:tblGrid>
        <w:gridCol w:w="9736"/>
      </w:tblGrid>
      <w:tr w:rsidR="00F84F93" w:rsidRPr="00EF3525" w14:paraId="04FD9042" w14:textId="77777777" w:rsidTr="00F84F93">
        <w:tc>
          <w:tcPr>
            <w:tcW w:w="9736" w:type="dxa"/>
            <w:shd w:val="clear" w:color="auto" w:fill="D5DCE4" w:themeFill="text2" w:themeFillTint="33"/>
          </w:tcPr>
          <w:p w14:paraId="47117D37" w14:textId="112BF5C3" w:rsidR="00F84F93" w:rsidRPr="00846678" w:rsidRDefault="00D4583C" w:rsidP="00D4583C">
            <w:pPr>
              <w:pStyle w:val="Ttulo2"/>
              <w:outlineLvl w:val="1"/>
              <w:rPr>
                <w:rFonts w:asciiTheme="minorHAnsi" w:eastAsia="Times New Roman" w:hAnsiTheme="minorHAnsi" w:cstheme="minorHAnsi"/>
                <w:b/>
                <w:bCs/>
                <w:color w:val="auto"/>
                <w:sz w:val="24"/>
                <w:szCs w:val="24"/>
              </w:rPr>
            </w:pPr>
            <w:bookmarkStart w:id="30" w:name="_Toc126310240"/>
            <w:r>
              <w:rPr>
                <w:rFonts w:asciiTheme="minorHAnsi" w:hAnsiTheme="minorHAnsi" w:cstheme="minorHAnsi"/>
                <w:b/>
                <w:color w:val="auto"/>
                <w:sz w:val="24"/>
                <w:szCs w:val="24"/>
              </w:rPr>
              <w:t>Article</w:t>
            </w:r>
            <w:r w:rsidR="00EF3525" w:rsidRPr="00846678">
              <w:rPr>
                <w:rFonts w:asciiTheme="minorHAnsi" w:hAnsiTheme="minorHAnsi" w:cstheme="minorHAnsi"/>
                <w:b/>
                <w:color w:val="auto"/>
                <w:sz w:val="24"/>
                <w:szCs w:val="24"/>
              </w:rPr>
              <w:t xml:space="preserve"> 33: </w:t>
            </w:r>
            <w:r>
              <w:rPr>
                <w:rFonts w:asciiTheme="minorHAnsi" w:hAnsiTheme="minorHAnsi" w:cstheme="minorHAnsi"/>
                <w:b/>
                <w:color w:val="auto"/>
                <w:sz w:val="24"/>
                <w:szCs w:val="24"/>
              </w:rPr>
              <w:t>Application and National</w:t>
            </w:r>
            <w:r w:rsidR="00EF3525" w:rsidRPr="00846678">
              <w:rPr>
                <w:rFonts w:asciiTheme="minorHAnsi" w:hAnsiTheme="minorHAnsi" w:cstheme="minorHAnsi"/>
                <w:b/>
                <w:color w:val="auto"/>
                <w:sz w:val="24"/>
                <w:szCs w:val="24"/>
              </w:rPr>
              <w:t xml:space="preserve"> </w:t>
            </w:r>
            <w:r>
              <w:rPr>
                <w:rFonts w:asciiTheme="minorHAnsi" w:hAnsiTheme="minorHAnsi" w:cstheme="minorHAnsi"/>
                <w:b/>
                <w:color w:val="auto"/>
                <w:sz w:val="24"/>
                <w:szCs w:val="24"/>
              </w:rPr>
              <w:t>monitoring</w:t>
            </w:r>
            <w:bookmarkEnd w:id="30"/>
          </w:p>
        </w:tc>
      </w:tr>
    </w:tbl>
    <w:p w14:paraId="7BF74754" w14:textId="3DA80917" w:rsidR="00E413A2" w:rsidRPr="004E6DCA" w:rsidRDefault="00EF3525" w:rsidP="00615443">
      <w:pPr>
        <w:rPr>
          <w:rFonts w:cstheme="minorHAnsi"/>
          <w:color w:val="000000"/>
        </w:rPr>
      </w:pPr>
      <w:r>
        <w:t>In Argentina, the Observatory on Disability is in charge of monitoring application and fulfillment of the Convention and its Optional Protocol. As it has been informed in alternative previous reports (2012/2017), the Observatory is under the National Agency of Disability (former CONADIS), that is, from the National Executive Power, as it comes out from the official web page</w:t>
      </w:r>
      <w:r w:rsidR="00E413A2" w:rsidRPr="003F612F">
        <w:rPr>
          <w:rStyle w:val="Refdenotaalpie"/>
          <w:rFonts w:cstheme="minorHAnsi"/>
          <w:color w:val="000000"/>
          <w:lang w:val="es-AR"/>
        </w:rPr>
        <w:footnoteReference w:id="125"/>
      </w:r>
      <w:r w:rsidR="00E413A2" w:rsidRPr="00EF3525">
        <w:rPr>
          <w:rFonts w:cstheme="minorHAnsi"/>
          <w:color w:val="000000"/>
        </w:rPr>
        <w:t xml:space="preserve">. </w:t>
      </w:r>
      <w:r w:rsidR="004E6DCA">
        <w:t>Lack of proper and independent institutionalism has been debated in the observations of the present Committee</w:t>
      </w:r>
      <w:r w:rsidR="00E413A2" w:rsidRPr="003F612F">
        <w:rPr>
          <w:rStyle w:val="Refdenotaalpie"/>
          <w:rFonts w:cstheme="minorHAnsi"/>
          <w:color w:val="000000"/>
          <w:lang w:val="es-AR"/>
        </w:rPr>
        <w:footnoteReference w:id="126"/>
      </w:r>
      <w:r w:rsidR="00E413A2" w:rsidRPr="004E6DCA">
        <w:rPr>
          <w:rFonts w:cstheme="minorHAnsi"/>
          <w:color w:val="000000"/>
        </w:rPr>
        <w:t xml:space="preserve">. </w:t>
      </w:r>
      <w:r w:rsidR="004E6DCA">
        <w:t>However, by this time, the Observatory still depends on the National Agency of Disability.</w:t>
      </w:r>
    </w:p>
    <w:p w14:paraId="587856A1" w14:textId="5563D242" w:rsidR="00E413A2" w:rsidRPr="004E6DCA" w:rsidRDefault="004E6DCA" w:rsidP="00615443">
      <w:pPr>
        <w:rPr>
          <w:rFonts w:cstheme="minorHAnsi"/>
        </w:rPr>
      </w:pPr>
      <w:r>
        <w:t xml:space="preserve">In 2020, organizations of and for PWD were summoned to send proposals about the Observatory. </w:t>
      </w:r>
      <w:r w:rsidRPr="004E6DCA">
        <w:t>Proposals</w:t>
      </w:r>
      <w:r w:rsidR="00E413A2" w:rsidRPr="003F612F">
        <w:rPr>
          <w:rStyle w:val="Refdenotaalpie"/>
          <w:rFonts w:cstheme="minorHAnsi"/>
          <w:color w:val="000000"/>
          <w:lang w:val="es-AR"/>
        </w:rPr>
        <w:footnoteReference w:id="127"/>
      </w:r>
      <w:r w:rsidR="00E2759F" w:rsidRPr="004E6DCA">
        <w:rPr>
          <w:rFonts w:cstheme="minorHAnsi"/>
          <w:color w:val="000000"/>
        </w:rPr>
        <w:t xml:space="preserve"> </w:t>
      </w:r>
      <w:r>
        <w:t>were sent, but by January 2023 it was not published that the ANDIS has elaborated a project about the Observatory.</w:t>
      </w:r>
    </w:p>
    <w:p w14:paraId="5E4BE0F5" w14:textId="1D779A0B" w:rsidR="004E6DCA" w:rsidRPr="00615443" w:rsidRDefault="004E6DCA" w:rsidP="00615443">
      <w:pPr>
        <w:ind w:firstLine="0"/>
        <w:rPr>
          <w:b/>
          <w:i/>
          <w:u w:val="single"/>
        </w:rPr>
      </w:pPr>
      <w:r w:rsidRPr="00615443">
        <w:rPr>
          <w:b/>
          <w:i/>
          <w:u w:val="single"/>
        </w:rPr>
        <w:t>SUGGESTED RECOMMENDATIONS TO THE STATE</w:t>
      </w:r>
    </w:p>
    <w:p w14:paraId="507F5ABA" w14:textId="616CB53D" w:rsidR="0041100E" w:rsidRPr="004E6DCA" w:rsidRDefault="004E6DCA" w:rsidP="00D3502E">
      <w:pPr>
        <w:pStyle w:val="Prrafodelista"/>
        <w:numPr>
          <w:ilvl w:val="0"/>
          <w:numId w:val="31"/>
        </w:numPr>
      </w:pPr>
      <w:r>
        <w:lastRenderedPageBreak/>
        <w:t>Propose the implementation of measures for the transition to an Observatory independent from the National Executive Power and in harmony with the CRPD and the Paris principles. To do so, the document elaborated by the Civil Society should be contemplated. It must count on budget, deadlines and ways of implementation.</w:t>
      </w:r>
    </w:p>
    <w:sectPr w:rsidR="0041100E" w:rsidRPr="004E6DCA" w:rsidSect="00C52C69">
      <w:footerReference w:type="default" r:id="rId11"/>
      <w:pgSz w:w="11906" w:h="16838"/>
      <w:pgMar w:top="1134" w:right="1077" w:bottom="1134" w:left="1077"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E40092" w14:textId="77777777" w:rsidR="00AB6D7A" w:rsidRDefault="00AB6D7A" w:rsidP="002E2ECA">
      <w:r>
        <w:separator/>
      </w:r>
    </w:p>
  </w:endnote>
  <w:endnote w:type="continuationSeparator" w:id="0">
    <w:p w14:paraId="79DA0488" w14:textId="77777777" w:rsidR="00AB6D7A" w:rsidRDefault="00AB6D7A" w:rsidP="002E2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hivo">
    <w:altName w:val="Calibri"/>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7510374"/>
      <w:docPartObj>
        <w:docPartGallery w:val="Page Numbers (Bottom of Page)"/>
        <w:docPartUnique/>
      </w:docPartObj>
    </w:sdtPr>
    <w:sdtContent>
      <w:p w14:paraId="0B8CFAF7" w14:textId="229F0147" w:rsidR="009A0425" w:rsidRDefault="009A0425" w:rsidP="002E2ECA">
        <w:pPr>
          <w:pStyle w:val="Piedepgina"/>
        </w:pPr>
        <w:r>
          <w:fldChar w:fldCharType="begin"/>
        </w:r>
        <w:r>
          <w:instrText>PAGE   \* MERGEFORMAT</w:instrText>
        </w:r>
        <w:r>
          <w:fldChar w:fldCharType="separate"/>
        </w:r>
        <w:r w:rsidR="006059D4" w:rsidRPr="006059D4">
          <w:rPr>
            <w:noProof/>
            <w:lang w:val="es-ES"/>
          </w:rPr>
          <w:t>1</w:t>
        </w:r>
        <w:r>
          <w:fldChar w:fldCharType="end"/>
        </w:r>
      </w:p>
    </w:sdtContent>
  </w:sdt>
  <w:p w14:paraId="3A8485D6" w14:textId="77777777" w:rsidR="009A0425" w:rsidRDefault="009A0425" w:rsidP="002E2EC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A23E18" w14:textId="77777777" w:rsidR="00AB6D7A" w:rsidRDefault="00AB6D7A" w:rsidP="002E2ECA">
      <w:r>
        <w:separator/>
      </w:r>
    </w:p>
  </w:footnote>
  <w:footnote w:type="continuationSeparator" w:id="0">
    <w:p w14:paraId="07A6B4DA" w14:textId="77777777" w:rsidR="00AB6D7A" w:rsidRDefault="00AB6D7A" w:rsidP="002E2ECA">
      <w:r>
        <w:continuationSeparator/>
      </w:r>
    </w:p>
  </w:footnote>
  <w:footnote w:id="1">
    <w:p w14:paraId="3559A2A7" w14:textId="53AA48B5" w:rsidR="009A0425" w:rsidRPr="00844123" w:rsidRDefault="009A0425" w:rsidP="00B84B8B">
      <w:pPr>
        <w:pStyle w:val="Textonotapie"/>
        <w:spacing w:before="0"/>
        <w:ind w:firstLine="0"/>
        <w:rPr>
          <w:lang w:val="en-US"/>
        </w:rPr>
      </w:pPr>
      <w:r>
        <w:rPr>
          <w:rStyle w:val="Refdenotaalpie"/>
        </w:rPr>
        <w:footnoteRef/>
      </w:r>
      <w:r w:rsidRPr="00844123">
        <w:rPr>
          <w:lang w:val="en-US"/>
        </w:rPr>
        <w:t xml:space="preserve"> </w:t>
      </w:r>
      <w:r w:rsidRPr="00844123">
        <w:rPr>
          <w:sz w:val="18"/>
          <w:szCs w:val="18"/>
          <w:lang w:val="en-US"/>
        </w:rPr>
        <w:t xml:space="preserve">The draft bill counts on preliminary approval of the Chamber of Deputies of the Nation. Draft bill available </w:t>
      </w:r>
      <w:hyperlink r:id="rId1" w:history="1">
        <w:r w:rsidRPr="00416BC1">
          <w:rPr>
            <w:rStyle w:val="Hipervnculo"/>
            <w:lang w:val="en-US"/>
          </w:rPr>
          <w:t>here</w:t>
        </w:r>
      </w:hyperlink>
      <w:r w:rsidRPr="00844123">
        <w:rPr>
          <w:lang w:val="en-US"/>
        </w:rPr>
        <w:t xml:space="preserve"> </w:t>
      </w:r>
    </w:p>
  </w:footnote>
  <w:footnote w:id="2">
    <w:p w14:paraId="4670890C" w14:textId="14E7770E" w:rsidR="009A0425" w:rsidRPr="00844123" w:rsidRDefault="009A0425" w:rsidP="00B84B8B">
      <w:pPr>
        <w:pStyle w:val="Sinespaciado"/>
        <w:ind w:firstLine="0"/>
        <w:rPr>
          <w:lang w:val="en-US"/>
        </w:rPr>
      </w:pPr>
      <w:r w:rsidRPr="00184D6B">
        <w:rPr>
          <w:rStyle w:val="Refdenotaalpie"/>
          <w:vertAlign w:val="baseline"/>
        </w:rPr>
        <w:footnoteRef/>
      </w:r>
      <w:r w:rsidRPr="00844123">
        <w:rPr>
          <w:lang w:val="en-US"/>
        </w:rPr>
        <w:t xml:space="preserve"> Country report. Paragraph 31</w:t>
      </w:r>
    </w:p>
  </w:footnote>
  <w:footnote w:id="3">
    <w:p w14:paraId="6735F206" w14:textId="7B2AB82D" w:rsidR="009A0425" w:rsidRPr="00184D6B" w:rsidRDefault="009A0425" w:rsidP="00B84B8B">
      <w:pPr>
        <w:pStyle w:val="Textonotapie"/>
        <w:spacing w:before="0"/>
        <w:ind w:firstLine="0"/>
        <w:rPr>
          <w:lang w:val="en-US"/>
        </w:rPr>
      </w:pPr>
      <w:r>
        <w:rPr>
          <w:rStyle w:val="Refdenotaalpie"/>
        </w:rPr>
        <w:footnoteRef/>
      </w:r>
      <w:r w:rsidRPr="00184D6B">
        <w:rPr>
          <w:lang w:val="en-US"/>
        </w:rPr>
        <w:t xml:space="preserve"> Because of this, the draft bill would also be against article 31 of the Convention</w:t>
      </w:r>
    </w:p>
  </w:footnote>
  <w:footnote w:id="4">
    <w:p w14:paraId="0FB4A209" w14:textId="3A5608FD" w:rsidR="009A0425" w:rsidRPr="00844123" w:rsidRDefault="009A0425" w:rsidP="00B84B8B">
      <w:pPr>
        <w:spacing w:before="0" w:after="0" w:line="240" w:lineRule="auto"/>
        <w:ind w:firstLine="0"/>
        <w:rPr>
          <w:sz w:val="20"/>
          <w:szCs w:val="20"/>
          <w:lang w:val="es-AR"/>
        </w:rPr>
      </w:pPr>
      <w:r w:rsidRPr="00E921F2">
        <w:rPr>
          <w:sz w:val="20"/>
          <w:szCs w:val="20"/>
          <w:vertAlign w:val="superscript"/>
        </w:rPr>
        <w:footnoteRef/>
      </w:r>
      <w:r w:rsidRPr="00844123">
        <w:rPr>
          <w:sz w:val="20"/>
          <w:szCs w:val="20"/>
          <w:lang w:val="es-AR"/>
        </w:rPr>
        <w:t xml:space="preserve"> </w:t>
      </w:r>
      <w:hyperlink r:id="rId2">
        <w:r w:rsidR="00B84B8B">
          <w:rPr>
            <w:rFonts w:cstheme="minorHAnsi"/>
            <w:color w:val="1155CC"/>
            <w:sz w:val="20"/>
            <w:szCs w:val="20"/>
            <w:u w:val="single"/>
            <w:lang w:val="es-AR"/>
          </w:rPr>
          <w:t>ANDIS Advisor Committee</w:t>
        </w:r>
      </w:hyperlink>
      <w:r w:rsidRPr="00E921F2">
        <w:rPr>
          <w:rFonts w:cstheme="minorHAnsi"/>
          <w:color w:val="1155CC"/>
          <w:sz w:val="20"/>
          <w:szCs w:val="20"/>
          <w:u w:val="single"/>
          <w:lang w:val="es-AR"/>
        </w:rPr>
        <w:t xml:space="preserve"> </w:t>
      </w:r>
    </w:p>
  </w:footnote>
  <w:footnote w:id="5">
    <w:p w14:paraId="1FB8DA62" w14:textId="52908764" w:rsidR="009A0425" w:rsidRPr="00844123" w:rsidRDefault="009A0425" w:rsidP="00B84B8B">
      <w:pPr>
        <w:spacing w:before="0" w:after="0" w:line="240" w:lineRule="auto"/>
        <w:ind w:firstLine="0"/>
        <w:rPr>
          <w:sz w:val="20"/>
          <w:szCs w:val="20"/>
          <w:lang w:val="es-AR"/>
        </w:rPr>
      </w:pPr>
      <w:r w:rsidRPr="00E921F2">
        <w:rPr>
          <w:sz w:val="20"/>
          <w:szCs w:val="20"/>
          <w:vertAlign w:val="superscript"/>
        </w:rPr>
        <w:footnoteRef/>
      </w:r>
      <w:r w:rsidRPr="00844123">
        <w:rPr>
          <w:sz w:val="20"/>
          <w:szCs w:val="20"/>
          <w:lang w:val="es-AR"/>
        </w:rPr>
        <w:t xml:space="preserve"> </w:t>
      </w:r>
      <w:hyperlink r:id="rId3">
        <w:r w:rsidR="00B84B8B">
          <w:rPr>
            <w:rFonts w:cstheme="minorHAnsi"/>
            <w:color w:val="1155CC"/>
            <w:sz w:val="20"/>
            <w:szCs w:val="20"/>
            <w:u w:val="single"/>
            <w:lang w:val="es-AR"/>
          </w:rPr>
          <w:t>Benefits System Directory</w:t>
        </w:r>
      </w:hyperlink>
    </w:p>
  </w:footnote>
  <w:footnote w:id="6">
    <w:p w14:paraId="119EB467" w14:textId="237296C5" w:rsidR="009A0425" w:rsidRPr="00844123" w:rsidRDefault="009A0425" w:rsidP="00B84B8B">
      <w:pPr>
        <w:spacing w:before="0" w:after="0" w:line="240" w:lineRule="auto"/>
        <w:ind w:firstLine="0"/>
        <w:rPr>
          <w:sz w:val="20"/>
          <w:szCs w:val="20"/>
          <w:lang w:val="es-AR"/>
        </w:rPr>
      </w:pPr>
      <w:r w:rsidRPr="00E921F2">
        <w:rPr>
          <w:sz w:val="20"/>
          <w:szCs w:val="20"/>
          <w:vertAlign w:val="superscript"/>
        </w:rPr>
        <w:footnoteRef/>
      </w:r>
      <w:r w:rsidRPr="00844123">
        <w:rPr>
          <w:sz w:val="20"/>
          <w:szCs w:val="20"/>
          <w:lang w:val="es-AR"/>
        </w:rPr>
        <w:t xml:space="preserve"> </w:t>
      </w:r>
      <w:hyperlink r:id="rId4">
        <w:r w:rsidR="00B84B8B">
          <w:rPr>
            <w:rFonts w:cstheme="minorHAnsi"/>
            <w:color w:val="1155CC"/>
            <w:sz w:val="20"/>
            <w:szCs w:val="20"/>
            <w:u w:val="single"/>
            <w:lang w:val="es-AR"/>
          </w:rPr>
          <w:t>Federal Council of Disability</w:t>
        </w:r>
      </w:hyperlink>
    </w:p>
  </w:footnote>
  <w:footnote w:id="7">
    <w:p w14:paraId="107B7BE2" w14:textId="386AA769" w:rsidR="009A0425" w:rsidRPr="00844123" w:rsidRDefault="009A0425" w:rsidP="00B84B8B">
      <w:pPr>
        <w:spacing w:before="0" w:after="0" w:line="240" w:lineRule="auto"/>
        <w:ind w:firstLine="0"/>
        <w:rPr>
          <w:sz w:val="20"/>
          <w:szCs w:val="20"/>
          <w:lang w:val="es-AR"/>
        </w:rPr>
      </w:pPr>
      <w:r w:rsidRPr="00E921F2">
        <w:rPr>
          <w:sz w:val="20"/>
          <w:szCs w:val="20"/>
          <w:vertAlign w:val="superscript"/>
        </w:rPr>
        <w:footnoteRef/>
      </w:r>
      <w:r w:rsidRPr="00844123">
        <w:rPr>
          <w:sz w:val="20"/>
          <w:szCs w:val="20"/>
          <w:lang w:val="es-AR"/>
        </w:rPr>
        <w:t xml:space="preserve"> </w:t>
      </w:r>
      <w:hyperlink r:id="rId5">
        <w:r w:rsidR="00B84B8B">
          <w:rPr>
            <w:rFonts w:cstheme="minorHAnsi"/>
            <w:color w:val="1155CC"/>
            <w:sz w:val="20"/>
            <w:szCs w:val="20"/>
            <w:u w:val="single"/>
            <w:lang w:val="es-AR"/>
          </w:rPr>
          <w:t>Disability Observatory</w:t>
        </w:r>
      </w:hyperlink>
    </w:p>
  </w:footnote>
  <w:footnote w:id="8">
    <w:p w14:paraId="44D4B9BF" w14:textId="6447D97D" w:rsidR="009A0425" w:rsidRPr="00B32C44" w:rsidRDefault="009A0425" w:rsidP="00B84B8B">
      <w:pPr>
        <w:spacing w:before="0" w:after="0" w:line="240" w:lineRule="auto"/>
        <w:ind w:firstLine="0"/>
        <w:rPr>
          <w:rFonts w:cstheme="minorHAnsi"/>
          <w:sz w:val="20"/>
          <w:szCs w:val="20"/>
        </w:rPr>
      </w:pPr>
      <w:r w:rsidRPr="00370A25">
        <w:rPr>
          <w:rFonts w:cstheme="minorHAnsi"/>
          <w:sz w:val="20"/>
          <w:szCs w:val="20"/>
          <w:vertAlign w:val="superscript"/>
        </w:rPr>
        <w:footnoteRef/>
      </w:r>
      <w:r w:rsidRPr="00B32C44">
        <w:rPr>
          <w:rFonts w:cstheme="minorHAnsi"/>
          <w:sz w:val="20"/>
          <w:szCs w:val="20"/>
        </w:rPr>
        <w:t xml:space="preserve"> </w:t>
      </w:r>
      <w:r w:rsidRPr="00A201B6">
        <w:rPr>
          <w:sz w:val="18"/>
          <w:szCs w:val="18"/>
        </w:rPr>
        <w:t xml:space="preserve">From the panel discussion on Disability and Human Rights </w:t>
      </w:r>
      <w:r>
        <w:rPr>
          <w:sz w:val="18"/>
          <w:szCs w:val="18"/>
        </w:rPr>
        <w:t xml:space="preserve">we </w:t>
      </w:r>
      <w:hyperlink r:id="rId6">
        <w:r>
          <w:rPr>
            <w:rFonts w:eastAsia="Times New Roman" w:cstheme="minorHAnsi"/>
            <w:color w:val="1155CC"/>
            <w:sz w:val="20"/>
            <w:szCs w:val="20"/>
            <w:u w:val="single"/>
          </w:rPr>
          <w:t>share this note</w:t>
        </w:r>
      </w:hyperlink>
      <w:r w:rsidRPr="00B32C44">
        <w:rPr>
          <w:rFonts w:eastAsia="Times New Roman" w:cstheme="minorHAnsi"/>
          <w:sz w:val="20"/>
          <w:szCs w:val="20"/>
        </w:rPr>
        <w:t>.</w:t>
      </w:r>
    </w:p>
  </w:footnote>
  <w:footnote w:id="9">
    <w:p w14:paraId="5E7BA264" w14:textId="4672DDFC" w:rsidR="009A0425" w:rsidRPr="00844123" w:rsidRDefault="009A0425" w:rsidP="00B84B8B">
      <w:pPr>
        <w:pStyle w:val="Sinespaciado"/>
        <w:ind w:firstLine="0"/>
        <w:rPr>
          <w:lang w:val="en-US"/>
        </w:rPr>
      </w:pPr>
      <w:r>
        <w:rPr>
          <w:rStyle w:val="Refdenotaalpie"/>
        </w:rPr>
        <w:footnoteRef/>
      </w:r>
      <w:r w:rsidRPr="00844123">
        <w:rPr>
          <w:lang w:val="en-US"/>
        </w:rPr>
        <w:t xml:space="preserve"> FONADIS was created by </w:t>
      </w:r>
      <w:r w:rsidR="00BC1F1E">
        <w:rPr>
          <w:lang w:val="en-US"/>
        </w:rPr>
        <w:t>Decree N°</w:t>
      </w:r>
      <w:r w:rsidRPr="00844123">
        <w:rPr>
          <w:lang w:val="en-US"/>
        </w:rPr>
        <w:t xml:space="preserve"> 187/22 in replacement of the fund provided by </w:t>
      </w:r>
      <w:r w:rsidR="00BC1F1E">
        <w:rPr>
          <w:lang w:val="en-US"/>
        </w:rPr>
        <w:t>Law N°</w:t>
      </w:r>
      <w:r w:rsidRPr="00844123">
        <w:rPr>
          <w:lang w:val="en-US"/>
        </w:rPr>
        <w:t xml:space="preserve">s 24452 and 25730, ruled by </w:t>
      </w:r>
      <w:r w:rsidR="00BC1F1E">
        <w:rPr>
          <w:lang w:val="en-US"/>
        </w:rPr>
        <w:t>Decree N°</w:t>
      </w:r>
      <w:r w:rsidRPr="00844123">
        <w:rPr>
          <w:lang w:val="en-US"/>
        </w:rPr>
        <w:t xml:space="preserve"> 1277/2003. </w:t>
      </w:r>
    </w:p>
  </w:footnote>
  <w:footnote w:id="10">
    <w:p w14:paraId="3FCF85F0" w14:textId="6AA7FCF8" w:rsidR="009A0425" w:rsidRPr="00844123" w:rsidRDefault="009A0425" w:rsidP="00184D6B">
      <w:pPr>
        <w:pStyle w:val="Sinespaciado"/>
        <w:ind w:firstLine="0"/>
        <w:rPr>
          <w:lang w:val="en-US"/>
        </w:rPr>
      </w:pPr>
      <w:r>
        <w:rPr>
          <w:rStyle w:val="Refdenotaalpie"/>
        </w:rPr>
        <w:footnoteRef/>
      </w:r>
      <w:r w:rsidRPr="00844123">
        <w:rPr>
          <w:lang w:val="en-US"/>
        </w:rPr>
        <w:t xml:space="preserve"> </w:t>
      </w:r>
      <w:r w:rsidR="00BC1F1E">
        <w:rPr>
          <w:lang w:val="en-US"/>
        </w:rPr>
        <w:t>Decree N°</w:t>
      </w:r>
      <w:r w:rsidRPr="00844123">
        <w:rPr>
          <w:lang w:val="en-US"/>
        </w:rPr>
        <w:t xml:space="preserve"> 746/2021</w:t>
      </w:r>
      <w:hyperlink r:id="rId7" w:history="1">
        <w:r w:rsidRPr="00794007">
          <w:rPr>
            <w:rStyle w:val="Hipervnculo"/>
            <w:lang w:val="en-US"/>
          </w:rPr>
          <w:t xml:space="preserve">: </w:t>
        </w:r>
        <w:r w:rsidR="00BC1F1E">
          <w:rPr>
            <w:rStyle w:val="Hipervnculo"/>
            <w:lang w:val="en-US"/>
          </w:rPr>
          <w:t>link</w:t>
        </w:r>
        <w:r w:rsidRPr="00794007">
          <w:rPr>
            <w:rStyle w:val="Hipervnculo"/>
            <w:lang w:val="en-US"/>
          </w:rPr>
          <w:t xml:space="preserve">. </w:t>
        </w:r>
      </w:hyperlink>
      <w:r w:rsidRPr="00844123">
        <w:rPr>
          <w:lang w:val="en-US"/>
        </w:rPr>
        <w:t xml:space="preserve"> </w:t>
      </w:r>
    </w:p>
  </w:footnote>
  <w:footnote w:id="11">
    <w:p w14:paraId="413DA727" w14:textId="24B35DA2" w:rsidR="009A0425" w:rsidRPr="00844123" w:rsidRDefault="009A0425" w:rsidP="00184D6B">
      <w:pPr>
        <w:pStyle w:val="Sinespaciado"/>
        <w:ind w:firstLine="0"/>
        <w:rPr>
          <w:color w:val="000000"/>
          <w:lang w:val="en-US"/>
        </w:rPr>
      </w:pPr>
      <w:r w:rsidRPr="00370A25">
        <w:rPr>
          <w:vertAlign w:val="superscript"/>
        </w:rPr>
        <w:footnoteRef/>
      </w:r>
      <w:r w:rsidRPr="00844123">
        <w:rPr>
          <w:color w:val="000000"/>
          <w:lang w:val="en-US"/>
        </w:rPr>
        <w:t xml:space="preserve"> </w:t>
      </w:r>
      <w:proofErr w:type="gramStart"/>
      <w:r w:rsidR="00F963EB">
        <w:rPr>
          <w:lang w:val="en-US"/>
        </w:rPr>
        <w:t>AMBA</w:t>
      </w:r>
      <w:r w:rsidRPr="00844123">
        <w:rPr>
          <w:lang w:val="en-US"/>
        </w:rPr>
        <w:t xml:space="preserve"> region Public Audience on the New </w:t>
      </w:r>
      <w:r w:rsidR="00BC1F1E">
        <w:rPr>
          <w:lang w:val="en-US"/>
        </w:rPr>
        <w:t>Law N°</w:t>
      </w:r>
      <w:r w:rsidRPr="00844123">
        <w:rPr>
          <w:lang w:val="en-US"/>
        </w:rPr>
        <w:t xml:space="preserve"> on Disability.</w:t>
      </w:r>
      <w:proofErr w:type="gramEnd"/>
      <w:r w:rsidRPr="00844123">
        <w:rPr>
          <w:lang w:val="en-US"/>
        </w:rPr>
        <w:t xml:space="preserve"> May, </w:t>
      </w:r>
      <w:r w:rsidR="00F963EB" w:rsidRPr="00844123">
        <w:rPr>
          <w:lang w:val="en-US"/>
        </w:rPr>
        <w:t>30th,</w:t>
      </w:r>
      <w:r w:rsidR="00F963EB">
        <w:rPr>
          <w:lang w:val="en-US"/>
        </w:rPr>
        <w:t xml:space="preserve"> 2022:</w:t>
      </w:r>
      <w:hyperlink r:id="rId8" w:history="1">
        <w:r w:rsidRPr="00844123">
          <w:rPr>
            <w:rStyle w:val="Hipervnculo"/>
            <w:rFonts w:cstheme="minorBidi"/>
            <w:lang w:val="en-US"/>
          </w:rPr>
          <w:t xml:space="preserve"> </w:t>
        </w:r>
        <w:r w:rsidR="00BC1F1E">
          <w:rPr>
            <w:rStyle w:val="Hipervnculo"/>
            <w:rFonts w:cstheme="minorBidi"/>
            <w:lang w:val="en-US"/>
          </w:rPr>
          <w:t>Link</w:t>
        </w:r>
      </w:hyperlink>
      <w:r w:rsidR="00F963EB">
        <w:rPr>
          <w:color w:val="000000"/>
          <w:lang w:val="en-US"/>
        </w:rPr>
        <w:t>.</w:t>
      </w:r>
      <w:r w:rsidR="00F963EB" w:rsidRPr="00844123">
        <w:rPr>
          <w:color w:val="000000"/>
          <w:lang w:val="en-US"/>
        </w:rPr>
        <w:t xml:space="preserve"> </w:t>
      </w:r>
      <w:proofErr w:type="gramStart"/>
      <w:r w:rsidR="00F963EB" w:rsidRPr="00844123">
        <w:rPr>
          <w:color w:val="000000"/>
          <w:lang w:val="en-US"/>
        </w:rPr>
        <w:t>Public</w:t>
      </w:r>
      <w:r w:rsidRPr="00844123">
        <w:rPr>
          <w:lang w:val="en-US"/>
        </w:rPr>
        <w:t xml:space="preserve"> Audiences on the New </w:t>
      </w:r>
      <w:r w:rsidR="00BC1F1E">
        <w:rPr>
          <w:lang w:val="en-US"/>
        </w:rPr>
        <w:t>Law N°</w:t>
      </w:r>
      <w:r w:rsidRPr="00844123">
        <w:rPr>
          <w:lang w:val="en-US"/>
        </w:rPr>
        <w:t xml:space="preserve"> on Disability.</w:t>
      </w:r>
      <w:proofErr w:type="gramEnd"/>
      <w:r w:rsidRPr="00844123">
        <w:rPr>
          <w:lang w:val="en-US"/>
        </w:rPr>
        <w:t xml:space="preserve"> Speakers 7, 8, 11, 12, and 13</w:t>
      </w:r>
      <w:r w:rsidRPr="00844123">
        <w:rPr>
          <w:color w:val="000000"/>
          <w:lang w:val="en-US"/>
        </w:rPr>
        <w:t xml:space="preserve">: </w:t>
      </w:r>
      <w:hyperlink r:id="rId9" w:history="1">
        <w:r w:rsidR="00BC1F1E">
          <w:rPr>
            <w:rStyle w:val="Hipervnculo"/>
            <w:rFonts w:cstheme="minorBidi"/>
            <w:lang w:val="en-US"/>
          </w:rPr>
          <w:t>Link</w:t>
        </w:r>
        <w:r w:rsidRPr="00844123">
          <w:rPr>
            <w:rStyle w:val="Hipervnculo"/>
            <w:rFonts w:cstheme="minorBidi"/>
            <w:lang w:val="en-US"/>
          </w:rPr>
          <w:t>.</w:t>
        </w:r>
      </w:hyperlink>
      <w:r w:rsidRPr="00844123">
        <w:rPr>
          <w:color w:val="000000"/>
          <w:lang w:val="en-US"/>
        </w:rPr>
        <w:t xml:space="preserve"> </w:t>
      </w:r>
    </w:p>
  </w:footnote>
  <w:footnote w:id="12">
    <w:p w14:paraId="75426B8A" w14:textId="15187412" w:rsidR="009A0425" w:rsidRPr="00844123" w:rsidRDefault="009A0425" w:rsidP="00184D6B">
      <w:pPr>
        <w:pStyle w:val="Sinespaciado"/>
        <w:ind w:firstLine="0"/>
        <w:rPr>
          <w:lang w:val="en-US"/>
        </w:rPr>
      </w:pPr>
      <w:r w:rsidRPr="00370A25">
        <w:rPr>
          <w:vertAlign w:val="superscript"/>
        </w:rPr>
        <w:footnoteRef/>
      </w:r>
      <w:r w:rsidRPr="00844123">
        <w:rPr>
          <w:lang w:val="en-US"/>
        </w:rPr>
        <w:t xml:space="preserve"> </w:t>
      </w:r>
      <w:r w:rsidR="00F963EB">
        <w:rPr>
          <w:lang w:val="en-US"/>
        </w:rPr>
        <w:t xml:space="preserve">Fundación Rumbos, Note sent to </w:t>
      </w:r>
      <w:r w:rsidRPr="00844123">
        <w:rPr>
          <w:lang w:val="en-US"/>
        </w:rPr>
        <w:t xml:space="preserve">ANDIS: We repeat the proposal of making the Draft Bill on Disability public, Nov, </w:t>
      </w:r>
      <w:proofErr w:type="gramStart"/>
      <w:r w:rsidRPr="00844123">
        <w:rPr>
          <w:lang w:val="en-US"/>
        </w:rPr>
        <w:t>22</w:t>
      </w:r>
      <w:r w:rsidRPr="00844123">
        <w:rPr>
          <w:vertAlign w:val="superscript"/>
          <w:lang w:val="en-US"/>
        </w:rPr>
        <w:t>nd</w:t>
      </w:r>
      <w:r w:rsidRPr="00844123">
        <w:rPr>
          <w:lang w:val="en-US"/>
        </w:rPr>
        <w:t>.,</w:t>
      </w:r>
      <w:proofErr w:type="gramEnd"/>
      <w:r w:rsidRPr="00844123">
        <w:rPr>
          <w:lang w:val="en-US"/>
        </w:rPr>
        <w:t xml:space="preserve"> 2022: </w:t>
      </w:r>
      <w:hyperlink r:id="rId10" w:history="1">
        <w:r w:rsidR="00BC1F1E">
          <w:rPr>
            <w:rStyle w:val="Hipervnculo"/>
            <w:rFonts w:cstheme="minorBidi"/>
            <w:lang w:val="en-US"/>
          </w:rPr>
          <w:t>link</w:t>
        </w:r>
        <w:r w:rsidRPr="00844123">
          <w:rPr>
            <w:rStyle w:val="Hipervnculo"/>
            <w:rFonts w:cstheme="minorBidi"/>
            <w:lang w:val="en-US"/>
          </w:rPr>
          <w:t>.</w:t>
        </w:r>
      </w:hyperlink>
      <w:r w:rsidRPr="00844123">
        <w:rPr>
          <w:lang w:val="en-US"/>
        </w:rPr>
        <w:t xml:space="preserve"> </w:t>
      </w:r>
    </w:p>
  </w:footnote>
  <w:footnote w:id="13">
    <w:p w14:paraId="10248E50" w14:textId="61309DAD" w:rsidR="009A0425" w:rsidRPr="00844123" w:rsidRDefault="009A0425" w:rsidP="00184D6B">
      <w:pPr>
        <w:pStyle w:val="Sinespaciado"/>
        <w:ind w:firstLine="0"/>
        <w:rPr>
          <w:color w:val="000000"/>
          <w:lang w:val="en-US"/>
        </w:rPr>
      </w:pPr>
      <w:r>
        <w:rPr>
          <w:vertAlign w:val="superscript"/>
        </w:rPr>
        <w:footnoteRef/>
      </w:r>
      <w:r w:rsidRPr="00844123">
        <w:rPr>
          <w:color w:val="000000"/>
          <w:lang w:val="en-US"/>
        </w:rPr>
        <w:t xml:space="preserve"> </w:t>
      </w:r>
      <w:r w:rsidRPr="00844123">
        <w:rPr>
          <w:sz w:val="18"/>
          <w:szCs w:val="18"/>
          <w:lang w:val="en-US"/>
        </w:rPr>
        <w:t xml:space="preserve">Fundación Rumbos, interventions in public audiences related to </w:t>
      </w:r>
      <w:r w:rsidR="00F963EB" w:rsidRPr="00844123">
        <w:rPr>
          <w:sz w:val="18"/>
          <w:szCs w:val="18"/>
          <w:lang w:val="en-US"/>
        </w:rPr>
        <w:t>accessibility (</w:t>
      </w:r>
      <w:r w:rsidRPr="00844123">
        <w:rPr>
          <w:sz w:val="18"/>
          <w:szCs w:val="18"/>
          <w:lang w:val="en-US"/>
        </w:rPr>
        <w:t xml:space="preserve">Nation </w:t>
      </w:r>
      <w:r w:rsidR="00F963EB" w:rsidRPr="00844123">
        <w:rPr>
          <w:sz w:val="18"/>
          <w:szCs w:val="18"/>
          <w:lang w:val="en-US"/>
        </w:rPr>
        <w:t>and CABA</w:t>
      </w:r>
      <w:r w:rsidRPr="00844123">
        <w:rPr>
          <w:sz w:val="18"/>
          <w:szCs w:val="18"/>
          <w:lang w:val="en-US"/>
        </w:rPr>
        <w:t>, 2018-2022)</w:t>
      </w:r>
      <w:r w:rsidRPr="00844123">
        <w:rPr>
          <w:color w:val="000000"/>
          <w:lang w:val="en-US"/>
        </w:rPr>
        <w:t xml:space="preserve">: </w:t>
      </w:r>
      <w:hyperlink r:id="rId11" w:history="1">
        <w:r w:rsidR="00BC1F1E">
          <w:rPr>
            <w:rStyle w:val="Hipervnculo"/>
            <w:rFonts w:cstheme="minorBidi"/>
            <w:lang w:val="en-US"/>
          </w:rPr>
          <w:t>link</w:t>
        </w:r>
        <w:r w:rsidRPr="00844123">
          <w:rPr>
            <w:rStyle w:val="Hipervnculo"/>
            <w:rFonts w:cstheme="minorBidi"/>
            <w:lang w:val="en-US"/>
          </w:rPr>
          <w:t>.</w:t>
        </w:r>
      </w:hyperlink>
      <w:r w:rsidRPr="00844123">
        <w:rPr>
          <w:color w:val="000000"/>
          <w:lang w:val="en-US"/>
        </w:rPr>
        <w:t xml:space="preserve"> </w:t>
      </w:r>
    </w:p>
  </w:footnote>
  <w:footnote w:id="14">
    <w:p w14:paraId="65744C3B" w14:textId="40A91575" w:rsidR="009A0425" w:rsidRDefault="009A0425" w:rsidP="00184D6B">
      <w:pPr>
        <w:pStyle w:val="Sinespaciado"/>
        <w:ind w:firstLine="0"/>
        <w:rPr>
          <w:color w:val="000000"/>
        </w:rPr>
      </w:pPr>
      <w:r>
        <w:rPr>
          <w:vertAlign w:val="superscript"/>
        </w:rPr>
        <w:footnoteRef/>
      </w:r>
      <w:r>
        <w:rPr>
          <w:color w:val="000000"/>
        </w:rPr>
        <w:t xml:space="preserve"> Página 12, “</w:t>
      </w:r>
      <w:hyperlink r:id="rId12" w:history="1">
        <w:r w:rsidRPr="00630AAD">
          <w:rPr>
            <w:rStyle w:val="Hipervnculo"/>
            <w:rFonts w:cstheme="minorBidi"/>
          </w:rPr>
          <w:t>La garantía del debido proceso</w:t>
        </w:r>
      </w:hyperlink>
      <w:r>
        <w:rPr>
          <w:color w:val="000000"/>
        </w:rPr>
        <w:t xml:space="preserve">”, </w:t>
      </w:r>
      <w:r>
        <w:rPr>
          <w:sz w:val="18"/>
          <w:szCs w:val="18"/>
        </w:rPr>
        <w:t>(guarantee of the due process)  October, 2nd., 2022</w:t>
      </w:r>
      <w:r w:rsidRPr="00A821BB">
        <w:rPr>
          <w:sz w:val="18"/>
          <w:szCs w:val="18"/>
        </w:rPr>
        <w:t>.</w:t>
      </w:r>
    </w:p>
  </w:footnote>
  <w:footnote w:id="15">
    <w:p w14:paraId="399D63FA" w14:textId="13F3F3BA" w:rsidR="009A0425" w:rsidRDefault="009A0425" w:rsidP="00184D6B">
      <w:pPr>
        <w:pStyle w:val="Sinespaciado"/>
        <w:ind w:firstLine="0"/>
      </w:pPr>
      <w:r>
        <w:rPr>
          <w:vertAlign w:val="superscript"/>
        </w:rPr>
        <w:footnoteRef/>
      </w:r>
      <w:r>
        <w:t xml:space="preserve"> Joly, Eduardo Daniel y otros contra</w:t>
      </w:r>
      <w:r w:rsidRPr="005C690D">
        <w:t xml:space="preserve"> </w:t>
      </w:r>
      <w:r>
        <w:t>Legislatura de la CABA y otros</w:t>
      </w:r>
      <w:r w:rsidRPr="005C690D">
        <w:t xml:space="preserve"> </w:t>
      </w:r>
      <w:r>
        <w:t>sobre incidente de recurso de inconstitucionalidad</w:t>
      </w:r>
      <w:r w:rsidRPr="005C690D">
        <w:t xml:space="preserve"> </w:t>
      </w:r>
      <w:r>
        <w:t xml:space="preserve">– Amparo - Otros: </w:t>
      </w:r>
      <w:hyperlink r:id="rId13" w:history="1">
        <w:r w:rsidR="00BC1F1E">
          <w:rPr>
            <w:rStyle w:val="Hipervnculo"/>
            <w:rFonts w:cstheme="minorBidi"/>
          </w:rPr>
          <w:t>link</w:t>
        </w:r>
        <w:r w:rsidRPr="005C690D">
          <w:rPr>
            <w:rStyle w:val="Hipervnculo"/>
            <w:rFonts w:cstheme="minorBidi"/>
          </w:rPr>
          <w:t>.</w:t>
        </w:r>
      </w:hyperlink>
      <w:r>
        <w:t xml:space="preserve"> </w:t>
      </w:r>
    </w:p>
  </w:footnote>
  <w:footnote w:id="16">
    <w:p w14:paraId="4696065E" w14:textId="77777777" w:rsidR="009A0425" w:rsidRPr="0029162E" w:rsidRDefault="009A0425" w:rsidP="00184D6B">
      <w:pPr>
        <w:pStyle w:val="Sinespaciado"/>
        <w:ind w:firstLine="0"/>
      </w:pPr>
      <w:r>
        <w:rPr>
          <w:rStyle w:val="Refdenotaalpie"/>
        </w:rPr>
        <w:footnoteRef/>
      </w:r>
      <w:r>
        <w:t xml:space="preserve"> </w:t>
      </w:r>
      <w:hyperlink r:id="rId14" w:history="1">
        <w:r>
          <w:rPr>
            <w:rStyle w:val="cf01"/>
            <w:color w:val="0000FF"/>
            <w:u w:val="single"/>
          </w:rPr>
          <w:t>https://www.argentina.gob.ar/inadi/mapa-nacional-de-la-discriminacion</w:t>
        </w:r>
      </w:hyperlink>
    </w:p>
  </w:footnote>
  <w:footnote w:id="17">
    <w:p w14:paraId="74CBE7CF" w14:textId="37C5019E" w:rsidR="009A0425" w:rsidRPr="0032298E" w:rsidRDefault="009A0425" w:rsidP="00184D6B">
      <w:pPr>
        <w:pStyle w:val="Sinespaciado"/>
        <w:ind w:firstLine="0"/>
        <w:rPr>
          <w:lang w:val="en-US"/>
        </w:rPr>
      </w:pPr>
      <w:r>
        <w:rPr>
          <w:rStyle w:val="Refdenotaalpie"/>
        </w:rPr>
        <w:footnoteRef/>
      </w:r>
      <w:r>
        <w:t xml:space="preserve"> Jujuy al Momento, “</w:t>
      </w:r>
      <w:hyperlink r:id="rId15" w:history="1">
        <w:r w:rsidRPr="005C49A8">
          <w:rPr>
            <w:rStyle w:val="Hipervnculo"/>
          </w:rPr>
          <w:t>Malestar y quejas por largas filas y atención lenta en Hospital Néstor Sequeiros</w:t>
        </w:r>
      </w:hyperlink>
      <w:r>
        <w:t xml:space="preserve">”, </w:t>
      </w:r>
      <w:r w:rsidRPr="00C867EB">
        <w:rPr>
          <w:sz w:val="18"/>
          <w:szCs w:val="18"/>
        </w:rPr>
        <w:t xml:space="preserve">Oct. 24th. </w:t>
      </w:r>
      <w:r w:rsidRPr="0032298E">
        <w:rPr>
          <w:sz w:val="18"/>
          <w:szCs w:val="18"/>
          <w:lang w:val="en-US"/>
        </w:rPr>
        <w:t>2022</w:t>
      </w:r>
      <w:r w:rsidRPr="0032298E">
        <w:rPr>
          <w:lang w:val="en-US"/>
        </w:rPr>
        <w:t xml:space="preserve">. </w:t>
      </w:r>
    </w:p>
  </w:footnote>
  <w:footnote w:id="18">
    <w:p w14:paraId="0F144091" w14:textId="12C236B0" w:rsidR="009A0425" w:rsidRPr="00844123" w:rsidRDefault="009A0425" w:rsidP="00184D6B">
      <w:pPr>
        <w:pStyle w:val="Sinespaciado"/>
        <w:ind w:firstLine="0"/>
        <w:rPr>
          <w:lang w:val="en-US"/>
        </w:rPr>
      </w:pPr>
      <w:r>
        <w:rPr>
          <w:rStyle w:val="Refdenotaalpie"/>
        </w:rPr>
        <w:footnoteRef/>
      </w:r>
      <w:r w:rsidRPr="00844123">
        <w:rPr>
          <w:lang w:val="en-US"/>
        </w:rPr>
        <w:t xml:space="preserve"> The ISJ does not </w:t>
      </w:r>
      <w:proofErr w:type="gramStart"/>
      <w:r w:rsidRPr="00844123">
        <w:rPr>
          <w:lang w:val="en-US"/>
        </w:rPr>
        <w:t>comply</w:t>
      </w:r>
      <w:proofErr w:type="gramEnd"/>
      <w:r w:rsidRPr="00844123">
        <w:rPr>
          <w:lang w:val="en-US"/>
        </w:rPr>
        <w:t xml:space="preserve"> a court order to treat an 8-year-old boy suffering from hydrocephalus: </w:t>
      </w:r>
      <w:hyperlink r:id="rId16" w:history="1">
        <w:r w:rsidR="00BC1F1E">
          <w:rPr>
            <w:rStyle w:val="Hipervnculo"/>
            <w:lang w:val="en-US"/>
          </w:rPr>
          <w:t>link</w:t>
        </w:r>
      </w:hyperlink>
      <w:r w:rsidRPr="00844123">
        <w:rPr>
          <w:lang w:val="en-US"/>
        </w:rPr>
        <w:t xml:space="preserve">. </w:t>
      </w:r>
    </w:p>
  </w:footnote>
  <w:footnote w:id="19">
    <w:p w14:paraId="6654D68D" w14:textId="115B7891" w:rsidR="009A0425" w:rsidRPr="00844123" w:rsidRDefault="009A0425" w:rsidP="00184D6B">
      <w:pPr>
        <w:pStyle w:val="Sinespaciado"/>
        <w:ind w:firstLine="0"/>
        <w:rPr>
          <w:lang w:val="en-US"/>
        </w:rPr>
      </w:pPr>
      <w:r>
        <w:rPr>
          <w:rStyle w:val="Refdenotaalpie"/>
        </w:rPr>
        <w:footnoteRef/>
      </w:r>
      <w:r w:rsidRPr="00844123">
        <w:rPr>
          <w:lang w:val="en-US"/>
        </w:rPr>
        <w:t xml:space="preserve"> https://www.facebook.com/AgenciaNacionaldeDiscapacidad/posts/3461050653911718/</w:t>
      </w:r>
    </w:p>
  </w:footnote>
  <w:footnote w:id="20">
    <w:p w14:paraId="24CD34F2" w14:textId="6E463D37" w:rsidR="009A0425" w:rsidRPr="00213F9B" w:rsidRDefault="009A0425" w:rsidP="00184D6B">
      <w:pPr>
        <w:pStyle w:val="Sinespaciado"/>
        <w:ind w:firstLine="0"/>
      </w:pPr>
      <w:r>
        <w:rPr>
          <w:rStyle w:val="Refdenotaalpie"/>
        </w:rPr>
        <w:footnoteRef/>
      </w:r>
      <w:r w:rsidRPr="00844123">
        <w:rPr>
          <w:lang w:val="en-US"/>
        </w:rPr>
        <w:t xml:space="preserve"> The plan organizes actions through several programs that are worth mentioning, such as: 1- Acompañar: its main objective is to provide direct assistance and strengthen economic independence of women and LGBTI+ under gender violence promoting the material conditions that would allow the development of autonomous life projects and a life free from violence. </w:t>
      </w:r>
      <w:r w:rsidRPr="00213F9B">
        <w:t xml:space="preserve">2- Programa para el Apoyo Urgente y la Asistencia Integral Inmediataante casos de Violencias Extremas por Motivos de Género; 3- </w:t>
      </w:r>
      <w:r>
        <w:t xml:space="preserve">Programa de </w:t>
      </w:r>
      <w:r w:rsidRPr="00213F9B">
        <w:t>Fortalecimiento para Dispositivos</w:t>
      </w:r>
      <w:r>
        <w:t xml:space="preserve"> </w:t>
      </w:r>
      <w:r w:rsidRPr="00213F9B">
        <w:t xml:space="preserve">Territoriales de Protección Integral de Personas en Contexto de Violencia por Motivos de Género, is complementary to the strategy of the Acompañar program. </w:t>
      </w:r>
    </w:p>
  </w:footnote>
  <w:footnote w:id="21">
    <w:p w14:paraId="7156CDEC" w14:textId="178995E3" w:rsidR="009A0425" w:rsidRPr="00D66714" w:rsidRDefault="009A0425" w:rsidP="00184D6B">
      <w:pPr>
        <w:pStyle w:val="Sinespaciado"/>
        <w:ind w:firstLine="0"/>
        <w:rPr>
          <w:lang w:val="en-US"/>
        </w:rPr>
      </w:pPr>
      <w:r>
        <w:rPr>
          <w:rStyle w:val="Refdenotaalpie"/>
        </w:rPr>
        <w:footnoteRef/>
      </w:r>
      <w:r w:rsidRPr="00D66714">
        <w:rPr>
          <w:lang w:val="en-US"/>
        </w:rPr>
        <w:t xml:space="preserve"> This program gives assistance to the family and /or relatives of the victims of extreme violence through an economic benefit, psychological assistance and legal service.</w:t>
      </w:r>
    </w:p>
  </w:footnote>
  <w:footnote w:id="22">
    <w:p w14:paraId="4D3948E7" w14:textId="2AE1E269" w:rsidR="009A0425" w:rsidRPr="00844123" w:rsidRDefault="009A0425" w:rsidP="00184D6B">
      <w:pPr>
        <w:pStyle w:val="Sinespaciado"/>
        <w:ind w:firstLine="0"/>
        <w:rPr>
          <w:lang w:val="en-US"/>
        </w:rPr>
      </w:pPr>
      <w:r>
        <w:rPr>
          <w:rStyle w:val="Refdenotaalpie"/>
        </w:rPr>
        <w:footnoteRef/>
      </w:r>
      <w:r w:rsidRPr="00844123">
        <w:rPr>
          <w:lang w:val="en-US"/>
        </w:rPr>
        <w:t xml:space="preserve"> This program seeks to strengthen and consolidate the net of houses, shelters and protective devices through the financing of projects for the renovation, equipment and enlargement of the homes</w:t>
      </w:r>
    </w:p>
  </w:footnote>
  <w:footnote w:id="23">
    <w:p w14:paraId="3B531032" w14:textId="2B194594" w:rsidR="009A0425" w:rsidRPr="00844123" w:rsidRDefault="009A0425" w:rsidP="00184D6B">
      <w:pPr>
        <w:pStyle w:val="Sinespaciado"/>
        <w:ind w:firstLine="0"/>
        <w:rPr>
          <w:lang w:val="en-US"/>
        </w:rPr>
      </w:pPr>
      <w:r>
        <w:rPr>
          <w:vertAlign w:val="superscript"/>
        </w:rPr>
        <w:footnoteRef/>
      </w:r>
      <w:r w:rsidRPr="00844123">
        <w:rPr>
          <w:lang w:val="en-US"/>
        </w:rPr>
        <w:t xml:space="preserve"> National </w:t>
      </w:r>
      <w:r w:rsidR="00BC1F1E">
        <w:rPr>
          <w:lang w:val="en-US"/>
        </w:rPr>
        <w:t>Law N°</w:t>
      </w:r>
      <w:r w:rsidRPr="00844123">
        <w:rPr>
          <w:lang w:val="en-US"/>
        </w:rPr>
        <w:t xml:space="preserve"> 27610 l rules the Access to the voluntary interruption of pregnancy and post abortion attention. The </w:t>
      </w:r>
      <w:r w:rsidR="00BC1F1E">
        <w:rPr>
          <w:lang w:val="en-US"/>
        </w:rPr>
        <w:t>Law N°</w:t>
      </w:r>
      <w:r w:rsidRPr="00844123">
        <w:rPr>
          <w:lang w:val="en-US"/>
        </w:rPr>
        <w:t xml:space="preserve"> is obligatory throughout the National Territory: </w:t>
      </w:r>
      <w:hyperlink r:id="rId17" w:anchor=":~:text=La%20Ley%20N%C2%BA%2027.610%20dispone,ni%20reglamentaci%C3%B3n%20para%20su%20vigencia." w:history="1">
        <w:r w:rsidR="00BC1F1E">
          <w:rPr>
            <w:rStyle w:val="Hipervnculo"/>
            <w:rFonts w:cstheme="minorBidi"/>
            <w:lang w:val="en-US"/>
          </w:rPr>
          <w:t>link</w:t>
        </w:r>
        <w:r w:rsidRPr="00844123">
          <w:rPr>
            <w:rStyle w:val="Hipervnculo"/>
            <w:rFonts w:cstheme="minorBidi"/>
            <w:lang w:val="en-US"/>
          </w:rPr>
          <w:t>.</w:t>
        </w:r>
      </w:hyperlink>
      <w:r w:rsidRPr="00844123">
        <w:rPr>
          <w:lang w:val="en-US"/>
        </w:rPr>
        <w:t xml:space="preserve"> </w:t>
      </w:r>
    </w:p>
  </w:footnote>
  <w:footnote w:id="24">
    <w:p w14:paraId="2FFA7446" w14:textId="6427933B" w:rsidR="009A0425" w:rsidRPr="00844123" w:rsidRDefault="009A0425" w:rsidP="00C52C69">
      <w:pPr>
        <w:pStyle w:val="Sinespaciado"/>
        <w:ind w:firstLine="0"/>
        <w:rPr>
          <w:lang w:val="en-US"/>
        </w:rPr>
      </w:pPr>
      <w:r>
        <w:rPr>
          <w:rStyle w:val="Refdenotaalpie"/>
        </w:rPr>
        <w:footnoteRef/>
      </w:r>
      <w:r w:rsidRPr="00844123">
        <w:rPr>
          <w:lang w:val="en-US"/>
        </w:rPr>
        <w:t xml:space="preserve"> </w:t>
      </w:r>
      <w:r w:rsidR="00BC1F1E">
        <w:rPr>
          <w:lang w:val="en-US"/>
        </w:rPr>
        <w:t>Law N°</w:t>
      </w:r>
      <w:r w:rsidRPr="00844123">
        <w:rPr>
          <w:lang w:val="en-US"/>
        </w:rPr>
        <w:t xml:space="preserve"> 26.061</w:t>
      </w:r>
    </w:p>
  </w:footnote>
  <w:footnote w:id="25">
    <w:p w14:paraId="2DA99025" w14:textId="36FD432F" w:rsidR="009A0425" w:rsidRPr="00844123" w:rsidRDefault="009A0425" w:rsidP="00C52C69">
      <w:pPr>
        <w:pStyle w:val="Sinespaciado"/>
        <w:ind w:firstLine="0"/>
        <w:rPr>
          <w:lang w:val="en-US"/>
        </w:rPr>
      </w:pPr>
      <w:r>
        <w:rPr>
          <w:rStyle w:val="Refdenotaalpie"/>
        </w:rPr>
        <w:footnoteRef/>
      </w:r>
      <w:r w:rsidRPr="00844123">
        <w:rPr>
          <w:lang w:val="en-US"/>
        </w:rPr>
        <w:t xml:space="preserve"> Day center, sheltered workshops, homes, schools. </w:t>
      </w:r>
    </w:p>
  </w:footnote>
  <w:footnote w:id="26">
    <w:p w14:paraId="2C23BE8A" w14:textId="11FDF3CD" w:rsidR="009A0425" w:rsidRPr="005D6A3F" w:rsidRDefault="009A0425" w:rsidP="00C52C69">
      <w:pPr>
        <w:pStyle w:val="Sinespaciado"/>
        <w:ind w:firstLine="0"/>
      </w:pPr>
      <w:r>
        <w:rPr>
          <w:rStyle w:val="Refdenotaalpie"/>
        </w:rPr>
        <w:footnoteRef/>
      </w:r>
      <w:r w:rsidRPr="005D6A3F">
        <w:t xml:space="preserve"> </w:t>
      </w:r>
      <w:r>
        <w:t xml:space="preserve">Country </w:t>
      </w:r>
      <w:proofErr w:type="spellStart"/>
      <w:r>
        <w:t>report</w:t>
      </w:r>
      <w:proofErr w:type="spellEnd"/>
      <w:r w:rsidRPr="00C867EB">
        <w:t xml:space="preserve">, </w:t>
      </w:r>
      <w:proofErr w:type="spellStart"/>
      <w:r w:rsidRPr="00C867EB">
        <w:t>paragraph</w:t>
      </w:r>
      <w:proofErr w:type="spellEnd"/>
      <w:r w:rsidRPr="00C867EB">
        <w:t xml:space="preserve"> 54.</w:t>
      </w:r>
    </w:p>
  </w:footnote>
  <w:footnote w:id="27">
    <w:p w14:paraId="3B1CB6F2" w14:textId="219EDBC7" w:rsidR="009A0425" w:rsidRPr="00844123" w:rsidRDefault="009A0425" w:rsidP="00C52C69">
      <w:pPr>
        <w:pStyle w:val="Sinespaciado"/>
        <w:ind w:firstLine="0"/>
        <w:rPr>
          <w:lang w:val="en-US"/>
        </w:rPr>
      </w:pPr>
      <w:r>
        <w:rPr>
          <w:rStyle w:val="Refdenotaalpie"/>
        </w:rPr>
        <w:footnoteRef/>
      </w:r>
      <w:r w:rsidRPr="00844123">
        <w:rPr>
          <w:lang w:val="en-US"/>
        </w:rPr>
        <w:t xml:space="preserve"> </w:t>
      </w:r>
      <w:r w:rsidRPr="00844123">
        <w:rPr>
          <w:sz w:val="18"/>
          <w:szCs w:val="18"/>
          <w:lang w:val="en-US"/>
        </w:rPr>
        <w:t>Web for remote procedures:</w:t>
      </w:r>
      <w:r w:rsidRPr="00844123">
        <w:rPr>
          <w:lang w:val="en-US"/>
        </w:rPr>
        <w:t xml:space="preserve"> </w:t>
      </w:r>
      <w:hyperlink r:id="rId18" w:history="1">
        <w:r w:rsidR="00BC1F1E">
          <w:rPr>
            <w:rStyle w:val="Hipervnculo"/>
            <w:rFonts w:eastAsiaTheme="majorEastAsia"/>
            <w:lang w:val="en-US"/>
          </w:rPr>
          <w:t>link</w:t>
        </w:r>
        <w:r w:rsidRPr="005D6A3F">
          <w:rPr>
            <w:rStyle w:val="Hipervnculo"/>
            <w:rFonts w:eastAsiaTheme="majorEastAsia"/>
            <w:lang w:val="en-US"/>
          </w:rPr>
          <w:t>.</w:t>
        </w:r>
      </w:hyperlink>
      <w:r w:rsidRPr="00844123">
        <w:rPr>
          <w:lang w:val="en-US"/>
        </w:rPr>
        <w:t xml:space="preserve"> </w:t>
      </w:r>
    </w:p>
  </w:footnote>
  <w:footnote w:id="28">
    <w:p w14:paraId="7FC3AC27" w14:textId="319C632E" w:rsidR="009A0425" w:rsidRPr="00844123" w:rsidRDefault="009A0425" w:rsidP="002C5C58">
      <w:pPr>
        <w:pStyle w:val="Sinespaciado"/>
        <w:ind w:firstLine="0"/>
        <w:rPr>
          <w:lang w:val="en-US"/>
        </w:rPr>
      </w:pPr>
      <w:r>
        <w:rPr>
          <w:rStyle w:val="Refdenotaalpie"/>
        </w:rPr>
        <w:footnoteRef/>
      </w:r>
      <w:r w:rsidRPr="00844123">
        <w:rPr>
          <w:lang w:val="en-US"/>
        </w:rPr>
        <w:t xml:space="preserve"> As an integral part of the strategies of prevention and care of public health due to Covid-19 the National Government developed the system “Cuidar”. </w:t>
      </w:r>
      <w:hyperlink r:id="rId19" w:history="1">
        <w:r w:rsidRPr="005D6A3F">
          <w:rPr>
            <w:rStyle w:val="Hipervnculo"/>
            <w:lang w:val="en-US"/>
          </w:rPr>
          <w:t>https://www.boletinoficial.gob.ar/detalleAviso/primera/227116/20200324</w:t>
        </w:r>
      </w:hyperlink>
    </w:p>
  </w:footnote>
  <w:footnote w:id="29">
    <w:p w14:paraId="50212FF5" w14:textId="60192951" w:rsidR="009A0425" w:rsidRPr="00844123" w:rsidRDefault="009A0425" w:rsidP="002C5C58">
      <w:pPr>
        <w:pStyle w:val="Sinespaciado"/>
        <w:ind w:firstLine="0"/>
        <w:rPr>
          <w:lang w:val="en-US"/>
        </w:rPr>
      </w:pPr>
      <w:r>
        <w:rPr>
          <w:vertAlign w:val="superscript"/>
        </w:rPr>
        <w:footnoteRef/>
      </w:r>
      <w:r w:rsidRPr="00844123">
        <w:rPr>
          <w:lang w:val="en-US"/>
        </w:rPr>
        <w:t xml:space="preserve"> </w:t>
      </w:r>
      <w:r w:rsidRPr="00844123">
        <w:rPr>
          <w:sz w:val="18"/>
          <w:szCs w:val="18"/>
          <w:lang w:val="en-US"/>
        </w:rPr>
        <w:t>Contracts with technical specifications only show constructive issues</w:t>
      </w:r>
      <w:r w:rsidRPr="00844123">
        <w:rPr>
          <w:lang w:val="en-US"/>
        </w:rPr>
        <w:t xml:space="preserve">: </w:t>
      </w:r>
      <w:hyperlink r:id="rId20" w:history="1">
        <w:r w:rsidR="00BC1F1E">
          <w:rPr>
            <w:rStyle w:val="Hipervnculo"/>
            <w:rFonts w:cstheme="minorBidi"/>
            <w:lang w:val="en-US"/>
          </w:rPr>
          <w:t>link</w:t>
        </w:r>
      </w:hyperlink>
      <w:r w:rsidRPr="00844123">
        <w:rPr>
          <w:lang w:val="en-US"/>
        </w:rPr>
        <w:t xml:space="preserve">. </w:t>
      </w:r>
    </w:p>
  </w:footnote>
  <w:footnote w:id="30">
    <w:p w14:paraId="2439BA06" w14:textId="49C179B7" w:rsidR="009A0425" w:rsidRPr="00844123" w:rsidRDefault="009A0425" w:rsidP="002C5C58">
      <w:pPr>
        <w:pStyle w:val="Sinespaciado"/>
        <w:ind w:firstLine="0"/>
        <w:rPr>
          <w:lang w:val="en-US"/>
        </w:rPr>
      </w:pPr>
      <w:r w:rsidRPr="00F5412D">
        <w:rPr>
          <w:vertAlign w:val="superscript"/>
        </w:rPr>
        <w:footnoteRef/>
      </w:r>
      <w:r w:rsidRPr="00844123">
        <w:rPr>
          <w:lang w:val="en-US"/>
        </w:rPr>
        <w:t xml:space="preserve"> </w:t>
      </w:r>
      <w:r w:rsidRPr="00844123">
        <w:rPr>
          <w:sz w:val="18"/>
          <w:szCs w:val="18"/>
          <w:lang w:val="en-US"/>
        </w:rPr>
        <w:t>Cases in the Metropolitan Area of Buenos Aires (AMBA) including the City of Buenos Aires</w:t>
      </w:r>
      <w:r w:rsidRPr="00844123">
        <w:rPr>
          <w:lang w:val="en-US"/>
        </w:rPr>
        <w:t xml:space="preserve">: </w:t>
      </w:r>
      <w:hyperlink r:id="rId21" w:anchor="slide=id.gd8087b6127_0_455" w:history="1">
        <w:r w:rsidR="00BC1F1E">
          <w:rPr>
            <w:rStyle w:val="Hipervnculo"/>
            <w:rFonts w:cstheme="minorBidi"/>
            <w:lang w:val="en-US"/>
          </w:rPr>
          <w:t>link</w:t>
        </w:r>
      </w:hyperlink>
      <w:r w:rsidRPr="00844123">
        <w:rPr>
          <w:lang w:val="en-US"/>
        </w:rPr>
        <w:t xml:space="preserve">. </w:t>
      </w:r>
    </w:p>
  </w:footnote>
  <w:footnote w:id="31">
    <w:p w14:paraId="2EC35FA4" w14:textId="7A80BD44" w:rsidR="009A0425" w:rsidRPr="00844123" w:rsidRDefault="009A0425" w:rsidP="002C5C58">
      <w:pPr>
        <w:pStyle w:val="Sinespaciado"/>
        <w:ind w:firstLine="0"/>
        <w:rPr>
          <w:color w:val="000000"/>
          <w:lang w:val="en-US"/>
        </w:rPr>
      </w:pPr>
      <w:r>
        <w:rPr>
          <w:vertAlign w:val="superscript"/>
        </w:rPr>
        <w:footnoteRef/>
      </w:r>
      <w:r w:rsidRPr="00844123">
        <w:rPr>
          <w:lang w:val="en-US"/>
        </w:rPr>
        <w:t xml:space="preserve"> Models of houses as a result of an architecture contest carried out through the Architects Association. The objective was to enlarge proposals for those who have access to credits, providing groundbreaking housing solutions: </w:t>
      </w:r>
      <w:hyperlink r:id="rId22" w:history="1">
        <w:r w:rsidR="00BC1F1E">
          <w:rPr>
            <w:rStyle w:val="Hipervnculo"/>
            <w:rFonts w:cstheme="minorBidi"/>
            <w:lang w:val="en-US"/>
          </w:rPr>
          <w:t>link</w:t>
        </w:r>
      </w:hyperlink>
      <w:r w:rsidRPr="00844123">
        <w:rPr>
          <w:lang w:val="en-US"/>
        </w:rPr>
        <w:t xml:space="preserve">.  </w:t>
      </w:r>
    </w:p>
  </w:footnote>
  <w:footnote w:id="32">
    <w:p w14:paraId="1838E6E7" w14:textId="218768F6" w:rsidR="009A0425" w:rsidRPr="00844123" w:rsidRDefault="009A0425" w:rsidP="002C5C58">
      <w:pPr>
        <w:pStyle w:val="Sinespaciado"/>
        <w:ind w:firstLine="0"/>
        <w:rPr>
          <w:color w:val="000000"/>
          <w:lang w:val="en-US"/>
        </w:rPr>
      </w:pPr>
      <w:r>
        <w:rPr>
          <w:vertAlign w:val="superscript"/>
        </w:rPr>
        <w:footnoteRef/>
      </w:r>
      <w:r w:rsidRPr="00844123">
        <w:rPr>
          <w:color w:val="000000"/>
          <w:lang w:val="en-US"/>
        </w:rPr>
        <w:t xml:space="preserve"> </w:t>
      </w:r>
      <w:r w:rsidRPr="00844123">
        <w:rPr>
          <w:sz w:val="18"/>
          <w:szCs w:val="18"/>
          <w:lang w:val="en-US"/>
        </w:rPr>
        <w:t xml:space="preserve">Buenos Aires City Code, </w:t>
      </w:r>
      <w:r w:rsidR="00BC1F1E">
        <w:rPr>
          <w:sz w:val="18"/>
          <w:szCs w:val="18"/>
          <w:lang w:val="en-US"/>
        </w:rPr>
        <w:t>Law N°</w:t>
      </w:r>
      <w:r w:rsidRPr="00844123">
        <w:rPr>
          <w:sz w:val="18"/>
          <w:szCs w:val="18"/>
          <w:lang w:val="en-US"/>
        </w:rPr>
        <w:t xml:space="preserve"> 6100 (2018) and modification N° 6438 (2021)</w:t>
      </w:r>
      <w:r w:rsidR="00F963EB" w:rsidRPr="00844123">
        <w:rPr>
          <w:sz w:val="18"/>
          <w:szCs w:val="18"/>
          <w:lang w:val="en-US"/>
        </w:rPr>
        <w:t>:</w:t>
      </w:r>
      <w:r w:rsidRPr="00844123">
        <w:rPr>
          <w:color w:val="000000"/>
          <w:lang w:val="en-US"/>
        </w:rPr>
        <w:t xml:space="preserve"> </w:t>
      </w:r>
      <w:hyperlink r:id="rId23" w:history="1">
        <w:r w:rsidR="00BC1F1E">
          <w:rPr>
            <w:rStyle w:val="Hipervnculo"/>
            <w:rFonts w:cstheme="minorBidi"/>
            <w:lang w:val="en-US"/>
          </w:rPr>
          <w:t>link</w:t>
        </w:r>
        <w:r w:rsidRPr="00844123">
          <w:rPr>
            <w:rStyle w:val="Hipervnculo"/>
            <w:rFonts w:cstheme="minorBidi"/>
            <w:lang w:val="en-US"/>
          </w:rPr>
          <w:t>.</w:t>
        </w:r>
      </w:hyperlink>
      <w:r w:rsidRPr="00844123">
        <w:rPr>
          <w:color w:val="000000"/>
          <w:lang w:val="en-US"/>
        </w:rPr>
        <w:t xml:space="preserve"> </w:t>
      </w:r>
    </w:p>
  </w:footnote>
  <w:footnote w:id="33">
    <w:p w14:paraId="59FEFAF7" w14:textId="60A96DB7" w:rsidR="009A0425" w:rsidRDefault="009A0425" w:rsidP="002C5C58">
      <w:pPr>
        <w:pStyle w:val="Sinespaciado"/>
        <w:ind w:firstLine="0"/>
        <w:rPr>
          <w:color w:val="000000"/>
        </w:rPr>
      </w:pPr>
      <w:r w:rsidRPr="00A16AAC">
        <w:rPr>
          <w:vertAlign w:val="superscript"/>
        </w:rPr>
        <w:footnoteRef/>
      </w:r>
      <w:r w:rsidRPr="00A16AAC">
        <w:rPr>
          <w:color w:val="000000"/>
        </w:rPr>
        <w:t xml:space="preserve"> El Grito del Sur,</w:t>
      </w:r>
      <w:r w:rsidRPr="00A16AAC">
        <w:t xml:space="preserve"> </w:t>
      </w:r>
      <w:r>
        <w:t>“</w:t>
      </w:r>
      <w:hyperlink r:id="rId24" w:history="1">
        <w:r w:rsidRPr="00A16AAC">
          <w:rPr>
            <w:rStyle w:val="Hipervnculo"/>
            <w:rFonts w:cstheme="minorBidi"/>
          </w:rPr>
          <w:t>El nuevo código de edificación de Larreta: discriminatorio y expulsivo</w:t>
        </w:r>
      </w:hyperlink>
      <w:r>
        <w:rPr>
          <w:color w:val="000000"/>
        </w:rPr>
        <w:t xml:space="preserve">”, </w:t>
      </w:r>
      <w:r w:rsidRPr="007C5C31">
        <w:rPr>
          <w:sz w:val="18"/>
          <w:szCs w:val="18"/>
        </w:rPr>
        <w:t>July, 19th., 2021</w:t>
      </w:r>
    </w:p>
  </w:footnote>
  <w:footnote w:id="34">
    <w:p w14:paraId="580A6640" w14:textId="3CDD25BD" w:rsidR="009A0425" w:rsidRPr="00844123" w:rsidRDefault="009A0425" w:rsidP="002C5C58">
      <w:pPr>
        <w:pStyle w:val="Sinespaciado"/>
        <w:ind w:firstLine="0"/>
        <w:rPr>
          <w:lang w:val="en-US"/>
        </w:rPr>
      </w:pPr>
      <w:r>
        <w:rPr>
          <w:rStyle w:val="Refdenotaalpie"/>
        </w:rPr>
        <w:footnoteRef/>
      </w:r>
      <w:r w:rsidRPr="00844123">
        <w:rPr>
          <w:lang w:val="en-US"/>
        </w:rPr>
        <w:t xml:space="preserve"> </w:t>
      </w:r>
      <w:r w:rsidRPr="00844123">
        <w:rPr>
          <w:sz w:val="18"/>
          <w:szCs w:val="18"/>
          <w:lang w:val="en-US"/>
        </w:rPr>
        <w:t>Resolution 627/2020</w:t>
      </w:r>
      <w:r w:rsidRPr="00844123">
        <w:rPr>
          <w:lang w:val="en-US"/>
        </w:rPr>
        <w:t xml:space="preserve"> </w:t>
      </w:r>
      <w:hyperlink r:id="rId25" w:history="1">
        <w:r w:rsidRPr="00281511">
          <w:rPr>
            <w:rStyle w:val="Hipervnculo"/>
            <w:lang w:val="en-US"/>
          </w:rPr>
          <w:t>https://www.boletinoficial.gob.ar/detalleAviso/primera/227068/20200320</w:t>
        </w:r>
      </w:hyperlink>
    </w:p>
  </w:footnote>
  <w:footnote w:id="35">
    <w:p w14:paraId="4CB63B4F" w14:textId="2B34D009" w:rsidR="009A0425" w:rsidRPr="00844123" w:rsidRDefault="009A0425" w:rsidP="002C5C58">
      <w:pPr>
        <w:pStyle w:val="Sinespaciado"/>
        <w:ind w:firstLine="0"/>
        <w:rPr>
          <w:lang w:val="en-US"/>
        </w:rPr>
      </w:pPr>
      <w:r>
        <w:rPr>
          <w:rStyle w:val="Refdenotaalpie"/>
        </w:rPr>
        <w:footnoteRef/>
      </w:r>
      <w:r w:rsidRPr="00844123">
        <w:rPr>
          <w:lang w:val="en-US"/>
        </w:rPr>
        <w:t xml:space="preserve"> Many of the messages given by the president to inform the population about measures regarding </w:t>
      </w:r>
      <w:r w:rsidR="00F963EB" w:rsidRPr="00844123">
        <w:rPr>
          <w:lang w:val="en-US"/>
        </w:rPr>
        <w:t>care</w:t>
      </w:r>
      <w:r w:rsidRPr="00844123">
        <w:rPr>
          <w:lang w:val="en-US"/>
        </w:rPr>
        <w:t xml:space="preserve"> did not count on accessibility measures such as subtitles or sign language. </w:t>
      </w:r>
    </w:p>
  </w:footnote>
  <w:footnote w:id="36">
    <w:p w14:paraId="232F131D" w14:textId="5A72528D" w:rsidR="009A0425" w:rsidRPr="00844123" w:rsidRDefault="009A0425" w:rsidP="002C5C58">
      <w:pPr>
        <w:pStyle w:val="Sinespaciado"/>
        <w:ind w:firstLine="0"/>
        <w:rPr>
          <w:lang w:val="en-US"/>
        </w:rPr>
      </w:pPr>
      <w:r>
        <w:rPr>
          <w:rStyle w:val="Refdenotaalpie"/>
        </w:rPr>
        <w:footnoteRef/>
      </w:r>
      <w:r w:rsidRPr="00844123">
        <w:rPr>
          <w:lang w:val="en-US"/>
        </w:rPr>
        <w:t xml:space="preserve"> Resolution 965/21 http://servicios.infoleg.gob.ar/infolegInternet/verNorma.do?id=352118</w:t>
      </w:r>
    </w:p>
  </w:footnote>
  <w:footnote w:id="37">
    <w:p w14:paraId="79FBF7D2" w14:textId="0B0915A2" w:rsidR="009A0425" w:rsidRPr="00416BC1" w:rsidRDefault="009A0425" w:rsidP="002C5C58">
      <w:pPr>
        <w:pStyle w:val="Sinespaciado"/>
        <w:ind w:firstLine="0"/>
      </w:pPr>
      <w:r>
        <w:rPr>
          <w:rStyle w:val="Refdenotaalpie"/>
        </w:rPr>
        <w:footnoteRef/>
      </w:r>
      <w:r w:rsidRPr="00416BC1">
        <w:t xml:space="preserve"> </w:t>
      </w:r>
      <w:r>
        <w:rPr>
          <w:bCs/>
        </w:rPr>
        <w:t>Country Report</w:t>
      </w:r>
      <w:r w:rsidRPr="00416BC1">
        <w:rPr>
          <w:bCs/>
        </w:rPr>
        <w:t xml:space="preserve">, </w:t>
      </w:r>
      <w:r w:rsidRPr="00C867EB">
        <w:rPr>
          <w:sz w:val="18"/>
          <w:szCs w:val="18"/>
        </w:rPr>
        <w:t>paragraph 26.</w:t>
      </w:r>
    </w:p>
  </w:footnote>
  <w:footnote w:id="38">
    <w:p w14:paraId="0FA81AF7" w14:textId="3BA3391D" w:rsidR="009A0425" w:rsidRPr="00844123" w:rsidRDefault="009A0425" w:rsidP="002C5C58">
      <w:pPr>
        <w:pStyle w:val="Sinespaciado"/>
        <w:ind w:firstLine="0"/>
        <w:rPr>
          <w:lang w:val="en-US"/>
        </w:rPr>
      </w:pPr>
      <w:r w:rsidRPr="001A0951">
        <w:rPr>
          <w:rStyle w:val="Refdenotaalpie"/>
        </w:rPr>
        <w:footnoteRef/>
      </w:r>
      <w:r w:rsidRPr="00844123">
        <w:rPr>
          <w:lang w:val="en-US"/>
        </w:rPr>
        <w:t xml:space="preserve"> ANDIS, </w:t>
      </w:r>
      <w:hyperlink r:id="rId26" w:history="1">
        <w:r w:rsidRPr="00416BC1">
          <w:rPr>
            <w:rStyle w:val="Hipervnculo"/>
            <w:rFonts w:eastAsiaTheme="majorEastAsia"/>
            <w:lang w:val="en-US"/>
          </w:rPr>
          <w:t xml:space="preserve"> ANDIS, confirmed PWD with CUD affected by Covid-19 on Sept. 23rd. 2020.</w:t>
        </w:r>
      </w:hyperlink>
      <w:r w:rsidRPr="00844123">
        <w:rPr>
          <w:lang w:val="en-US"/>
        </w:rPr>
        <w:t xml:space="preserve">.  </w:t>
      </w:r>
    </w:p>
  </w:footnote>
  <w:footnote w:id="39">
    <w:p w14:paraId="3F1F405C" w14:textId="1202C20C" w:rsidR="009A0425" w:rsidRPr="00844123" w:rsidRDefault="009A0425" w:rsidP="002C5C58">
      <w:pPr>
        <w:pStyle w:val="Sinespaciado"/>
        <w:ind w:firstLine="0"/>
        <w:rPr>
          <w:lang w:val="en-US"/>
        </w:rPr>
      </w:pPr>
      <w:r w:rsidRPr="001A0951">
        <w:rPr>
          <w:rStyle w:val="Refdenotaalpie"/>
        </w:rPr>
        <w:footnoteRef/>
      </w:r>
      <w:r w:rsidRPr="00844123">
        <w:rPr>
          <w:lang w:val="en-US"/>
        </w:rPr>
        <w:t xml:space="preserve"> While “fatality rate among PWD with CUD was higher compared to those of total population: 7% against 2,2%, a considerable amount of 4,8 %” </w:t>
      </w:r>
    </w:p>
  </w:footnote>
  <w:footnote w:id="40">
    <w:p w14:paraId="7660D224" w14:textId="7C0651C4" w:rsidR="009A0425" w:rsidRPr="00844123" w:rsidRDefault="009A0425" w:rsidP="002C5C58">
      <w:pPr>
        <w:pStyle w:val="Sinespaciado"/>
        <w:ind w:firstLine="0"/>
        <w:rPr>
          <w:lang w:val="en-US"/>
        </w:rPr>
      </w:pPr>
      <w:r>
        <w:rPr>
          <w:rStyle w:val="Refdenotaalpie"/>
        </w:rPr>
        <w:footnoteRef/>
      </w:r>
      <w:r w:rsidRPr="00844123">
        <w:rPr>
          <w:lang w:val="en-US"/>
        </w:rPr>
        <w:t xml:space="preserve"> https://www.boletinoficial.gob.ar/detalleAviso/primera/227042/20200320</w:t>
      </w:r>
    </w:p>
  </w:footnote>
  <w:footnote w:id="41">
    <w:p w14:paraId="479C4FCF" w14:textId="3D3F2A44" w:rsidR="009A0425" w:rsidRPr="00844123" w:rsidRDefault="009A0425" w:rsidP="002C5C58">
      <w:pPr>
        <w:pStyle w:val="Sinespaciado"/>
        <w:ind w:firstLine="0"/>
        <w:rPr>
          <w:lang w:val="en-US"/>
        </w:rPr>
      </w:pPr>
      <w:r>
        <w:rPr>
          <w:rStyle w:val="Refdenotaalpie"/>
        </w:rPr>
        <w:footnoteRef/>
      </w:r>
      <w:r w:rsidRPr="00844123">
        <w:rPr>
          <w:sz w:val="18"/>
          <w:szCs w:val="18"/>
          <w:lang w:val="en-US"/>
        </w:rPr>
        <w:t>Protocol of systems of support and care f</w:t>
      </w:r>
      <w:r w:rsidR="00F963EB">
        <w:rPr>
          <w:sz w:val="18"/>
          <w:szCs w:val="18"/>
          <w:lang w:val="en-US"/>
        </w:rPr>
        <w:t>or PWD confined due to pandemic:</w:t>
      </w:r>
      <w:r w:rsidRPr="00844123">
        <w:rPr>
          <w:lang w:val="en-US"/>
        </w:rPr>
        <w:t xml:space="preserve"> </w:t>
      </w:r>
      <w:hyperlink r:id="rId27" w:history="1">
        <w:r w:rsidR="00BC1F1E">
          <w:rPr>
            <w:rStyle w:val="Hipervnculo"/>
            <w:lang w:val="en-US"/>
          </w:rPr>
          <w:t>link</w:t>
        </w:r>
        <w:r w:rsidRPr="00416BC1">
          <w:rPr>
            <w:rStyle w:val="Hipervnculo"/>
            <w:lang w:val="en-US"/>
          </w:rPr>
          <w:t>.</w:t>
        </w:r>
      </w:hyperlink>
      <w:r w:rsidRPr="00844123">
        <w:rPr>
          <w:lang w:val="en-US"/>
        </w:rPr>
        <w:t xml:space="preserve"> </w:t>
      </w:r>
    </w:p>
  </w:footnote>
  <w:footnote w:id="42">
    <w:p w14:paraId="07B22D67" w14:textId="674EBE25" w:rsidR="009A0425" w:rsidRPr="00844123" w:rsidRDefault="009A0425" w:rsidP="002C5C58">
      <w:pPr>
        <w:pStyle w:val="Sinespaciado"/>
        <w:ind w:firstLine="0"/>
        <w:rPr>
          <w:lang w:val="en-US"/>
        </w:rPr>
      </w:pPr>
      <w:r>
        <w:rPr>
          <w:rStyle w:val="Refdenotaalpie"/>
        </w:rPr>
        <w:footnoteRef/>
      </w:r>
      <w:r w:rsidRPr="00FF6472">
        <w:rPr>
          <w:lang w:val="en-US"/>
        </w:rPr>
        <w:t xml:space="preserve"> Briefly speaking, there are several problems in the judicial practice. </w:t>
      </w:r>
      <w:r w:rsidRPr="00844123">
        <w:rPr>
          <w:lang w:val="en-US"/>
        </w:rPr>
        <w:t xml:space="preserve">1: Absence of the voice of the person, as they speak through professionals of health or </w:t>
      </w:r>
      <w:r w:rsidR="00BC1F1E">
        <w:rPr>
          <w:lang w:val="en-US"/>
        </w:rPr>
        <w:t>Law N°</w:t>
      </w:r>
      <w:r w:rsidRPr="00844123">
        <w:rPr>
          <w:lang w:val="en-US"/>
        </w:rPr>
        <w:t>. 2: Preeminence of medical aspects above the concrete need of support. 3: Dealing with issues not related to the legal capacity in the sentences that restrict them, for example, naming supports for issues such as food preparation or doing the cleaning at home. 4: Supports for concrete judicial acts related to the life of a person, for example, naming the support for acts on monetary disposal of people in situation of poverty. 5: Judicial impositions of supports that generally fall on judiciary structures historically related to the models of will substitution such as Official Curatorship. 6: Judicial supports that impede processes of making decisions. 7: Legal supports that substitute the person’s will. 8: Absence of safeguard legal mechanisms. 9: Absence of new state structures that would provide support under the model of CRPD.</w:t>
      </w:r>
    </w:p>
  </w:footnote>
  <w:footnote w:id="43">
    <w:p w14:paraId="1C1FCFC8" w14:textId="743282AE" w:rsidR="009A0425" w:rsidRPr="00844123" w:rsidRDefault="009A0425" w:rsidP="002C5C58">
      <w:pPr>
        <w:pStyle w:val="Sinespaciado"/>
        <w:ind w:firstLine="0"/>
        <w:rPr>
          <w:lang w:val="en-US"/>
        </w:rPr>
      </w:pPr>
      <w:r w:rsidRPr="001A0951">
        <w:rPr>
          <w:rStyle w:val="Refdenotaalpie"/>
        </w:rPr>
        <w:footnoteRef/>
      </w:r>
      <w:r w:rsidRPr="00FF6472">
        <w:rPr>
          <w:lang w:val="en-US"/>
        </w:rPr>
        <w:t xml:space="preserve"> - Since the reform of the Commerce and Civil Code in 2015, PWD can be owners or inherit goods, control their own economy and have equality in the conditions of bank loans, mortgages or other forms of financial credit. </w:t>
      </w:r>
      <w:r w:rsidRPr="00844123">
        <w:rPr>
          <w:lang w:val="en-US"/>
        </w:rPr>
        <w:t>They are also protected from being deprived from their goods arbitrarily. It can be observed that the courts are being aware and deciding gradually when judging and applying the local current regulations as regards the Convention.</w:t>
      </w:r>
    </w:p>
  </w:footnote>
  <w:footnote w:id="44">
    <w:p w14:paraId="12E68498" w14:textId="6D9616A8" w:rsidR="009A0425" w:rsidRPr="00416BC1" w:rsidRDefault="009A0425" w:rsidP="002C5C58">
      <w:pPr>
        <w:pStyle w:val="Sinespaciado"/>
        <w:ind w:firstLine="0"/>
        <w:rPr>
          <w:rFonts w:cstheme="minorHAnsi"/>
          <w:b/>
        </w:rPr>
      </w:pPr>
      <w:r w:rsidRPr="001A0951">
        <w:rPr>
          <w:rStyle w:val="Refdenotaalpie"/>
        </w:rPr>
        <w:footnoteRef/>
      </w:r>
      <w:r w:rsidRPr="00844123">
        <w:rPr>
          <w:lang w:val="en-US"/>
        </w:rPr>
        <w:t xml:space="preserve"> For example, Article 60 of the Commerce and Civil Code establishes that only the person fully capable can anticipate skills in contradiction with the General Observation 1 of the CRPD and Article 61 of the same legal body expresses that only the fully capable persons can make decisions on their dead bodies once dead. </w:t>
      </w:r>
      <w:proofErr w:type="spellStart"/>
      <w:r w:rsidRPr="00CF4841">
        <w:t>Alternative</w:t>
      </w:r>
      <w:proofErr w:type="spellEnd"/>
      <w:r w:rsidRPr="00C867EB">
        <w:t xml:space="preserve"> </w:t>
      </w:r>
      <w:r w:rsidRPr="00CF4841">
        <w:t>2013/2017</w:t>
      </w:r>
      <w:r w:rsidRPr="00416BC1">
        <w:rPr>
          <w:rFonts w:cstheme="minorHAnsi"/>
          <w:color w:val="000000"/>
        </w:rPr>
        <w:t xml:space="preserve">: </w:t>
      </w:r>
      <w:hyperlink r:id="rId28" w:history="1">
        <w:r w:rsidR="00BC1F1E">
          <w:rPr>
            <w:rStyle w:val="Hipervnculo"/>
            <w:rFonts w:cstheme="minorHAnsi"/>
            <w:lang w:val="en-US"/>
          </w:rPr>
          <w:t>link</w:t>
        </w:r>
        <w:r w:rsidRPr="00416BC1">
          <w:rPr>
            <w:rStyle w:val="Hipervnculo"/>
            <w:rFonts w:cstheme="minorHAnsi"/>
            <w:lang w:val="en-US"/>
          </w:rPr>
          <w:t>.</w:t>
        </w:r>
      </w:hyperlink>
      <w:r w:rsidRPr="00416BC1">
        <w:rPr>
          <w:rFonts w:cstheme="minorHAnsi"/>
          <w:color w:val="000000"/>
        </w:rPr>
        <w:t xml:space="preserve">  </w:t>
      </w:r>
    </w:p>
  </w:footnote>
  <w:footnote w:id="45">
    <w:p w14:paraId="5225FEAB" w14:textId="626D345C" w:rsidR="009A0425" w:rsidRPr="00416BC1" w:rsidRDefault="009A0425" w:rsidP="002C5C58">
      <w:pPr>
        <w:pStyle w:val="Sinespaciado"/>
        <w:ind w:firstLine="0"/>
      </w:pPr>
      <w:r w:rsidRPr="001A0951">
        <w:rPr>
          <w:rStyle w:val="Refdenotaalpie"/>
        </w:rPr>
        <w:footnoteRef/>
      </w:r>
      <w:r w:rsidRPr="00416BC1">
        <w:t xml:space="preserve"> </w:t>
      </w:r>
      <w:r w:rsidRPr="00CF4841">
        <w:rPr>
          <w:sz w:val="18"/>
          <w:szCs w:val="18"/>
        </w:rPr>
        <w:t xml:space="preserve">Commerce and Civil </w:t>
      </w:r>
      <w:proofErr w:type="spellStart"/>
      <w:r w:rsidRPr="00CF4841">
        <w:rPr>
          <w:sz w:val="18"/>
          <w:szCs w:val="18"/>
        </w:rPr>
        <w:t>Code</w:t>
      </w:r>
      <w:proofErr w:type="spellEnd"/>
      <w:r w:rsidRPr="00CF4841">
        <w:rPr>
          <w:sz w:val="18"/>
          <w:szCs w:val="18"/>
        </w:rPr>
        <w:t xml:space="preserve">, </w:t>
      </w:r>
      <w:proofErr w:type="spellStart"/>
      <w:r w:rsidRPr="00CF4841">
        <w:rPr>
          <w:sz w:val="18"/>
          <w:szCs w:val="18"/>
        </w:rPr>
        <w:t>Article</w:t>
      </w:r>
      <w:proofErr w:type="spellEnd"/>
      <w:r w:rsidRPr="00CF4841">
        <w:rPr>
          <w:sz w:val="18"/>
          <w:szCs w:val="18"/>
        </w:rPr>
        <w:t xml:space="preserve"> 37</w:t>
      </w:r>
      <w:r w:rsidRPr="00416BC1">
        <w:t xml:space="preserve">: </w:t>
      </w:r>
      <w:hyperlink r:id="rId29" w:history="1">
        <w:r w:rsidR="00BC1F1E">
          <w:rPr>
            <w:rStyle w:val="Hipervnculo"/>
            <w:rFonts w:eastAsiaTheme="majorEastAsia"/>
            <w:lang w:val="en-US"/>
          </w:rPr>
          <w:t>link</w:t>
        </w:r>
      </w:hyperlink>
      <w:r w:rsidRPr="00416BC1">
        <w:t xml:space="preserve">.  </w:t>
      </w:r>
    </w:p>
  </w:footnote>
  <w:footnote w:id="46">
    <w:p w14:paraId="31559F12" w14:textId="6FB07D35" w:rsidR="009A0425" w:rsidRPr="002C5C58" w:rsidRDefault="009A0425" w:rsidP="002C5C58">
      <w:pPr>
        <w:pStyle w:val="Sinespaciado"/>
        <w:ind w:firstLine="0"/>
        <w:rPr>
          <w:lang w:val="en-US"/>
        </w:rPr>
      </w:pPr>
      <w:r>
        <w:rPr>
          <w:rStyle w:val="Refdenotaalpie"/>
        </w:rPr>
        <w:footnoteRef/>
      </w:r>
      <w:r w:rsidRPr="002C5C58">
        <w:rPr>
          <w:lang w:val="en-US"/>
        </w:rPr>
        <w:t xml:space="preserve"> </w:t>
      </w:r>
      <w:proofErr w:type="gramStart"/>
      <w:r w:rsidRPr="002C5C58">
        <w:rPr>
          <w:lang w:val="en-US"/>
        </w:rPr>
        <w:t xml:space="preserve">Country report, </w:t>
      </w:r>
      <w:r w:rsidRPr="002C5C58">
        <w:rPr>
          <w:sz w:val="18"/>
          <w:szCs w:val="18"/>
          <w:lang w:val="en-US"/>
        </w:rPr>
        <w:t xml:space="preserve">paragraph </w:t>
      </w:r>
      <w:r w:rsidRPr="002C5C58">
        <w:rPr>
          <w:lang w:val="en-US"/>
        </w:rPr>
        <w:t>226.</w:t>
      </w:r>
      <w:proofErr w:type="gramEnd"/>
    </w:p>
  </w:footnote>
  <w:footnote w:id="47">
    <w:p w14:paraId="26BC1E17" w14:textId="11000DB4" w:rsidR="009A0425" w:rsidRPr="002C5C58" w:rsidRDefault="009A0425" w:rsidP="002C5C58">
      <w:pPr>
        <w:pStyle w:val="Sinespaciado"/>
        <w:ind w:firstLine="0"/>
        <w:rPr>
          <w:lang w:val="en-US"/>
        </w:rPr>
      </w:pPr>
      <w:r>
        <w:rPr>
          <w:rStyle w:val="Refdenotaalpie"/>
        </w:rPr>
        <w:footnoteRef/>
      </w:r>
      <w:r w:rsidRPr="002C5C58">
        <w:rPr>
          <w:lang w:val="en-US"/>
        </w:rPr>
        <w:t xml:space="preserve"> Country report, </w:t>
      </w:r>
      <w:r w:rsidRPr="002C5C58">
        <w:rPr>
          <w:sz w:val="18"/>
          <w:szCs w:val="18"/>
          <w:lang w:val="en-US"/>
        </w:rPr>
        <w:t xml:space="preserve">paragraph </w:t>
      </w:r>
      <w:r w:rsidRPr="002C5C58">
        <w:rPr>
          <w:lang w:val="en-US"/>
        </w:rPr>
        <w:t>27.</w:t>
      </w:r>
    </w:p>
  </w:footnote>
  <w:footnote w:id="48">
    <w:p w14:paraId="00E3ED63" w14:textId="64D68367" w:rsidR="009A0425" w:rsidRPr="00844123" w:rsidRDefault="009A0425" w:rsidP="002C5C58">
      <w:pPr>
        <w:pStyle w:val="Sinespaciado"/>
        <w:ind w:firstLine="0"/>
        <w:rPr>
          <w:lang w:val="en-US"/>
        </w:rPr>
      </w:pPr>
      <w:r>
        <w:rPr>
          <w:rStyle w:val="Refdenotaalpie"/>
        </w:rPr>
        <w:footnoteRef/>
      </w:r>
      <w:r w:rsidR="00C52C69">
        <w:rPr>
          <w:lang w:val="en-US"/>
        </w:rPr>
        <w:t xml:space="preserve"> </w:t>
      </w:r>
      <w:r w:rsidRPr="00844123">
        <w:rPr>
          <w:lang w:val="en-US"/>
        </w:rPr>
        <w:t>See article 4 CRPD below.</w:t>
      </w:r>
    </w:p>
  </w:footnote>
  <w:footnote w:id="49">
    <w:p w14:paraId="56A482DD" w14:textId="210F8CB0" w:rsidR="009A0425" w:rsidRPr="00844123" w:rsidRDefault="009A0425" w:rsidP="002C5C58">
      <w:pPr>
        <w:pStyle w:val="Sinespaciado"/>
        <w:ind w:firstLine="0"/>
        <w:rPr>
          <w:lang w:val="en-US"/>
        </w:rPr>
      </w:pPr>
      <w:r>
        <w:rPr>
          <w:rStyle w:val="Refdenotaalpie"/>
        </w:rPr>
        <w:footnoteRef/>
      </w:r>
      <w:r w:rsidRPr="00844123">
        <w:rPr>
          <w:lang w:val="en-US"/>
        </w:rPr>
        <w:t xml:space="preserve"> For example, at the Bar Association in Morón province of Buenos Aires, attention through sign language was implemented, which allowed successful attention of a deaf person.</w:t>
      </w:r>
    </w:p>
  </w:footnote>
  <w:footnote w:id="50">
    <w:p w14:paraId="4B9F5C2A" w14:textId="72EEEC43" w:rsidR="009A0425" w:rsidRPr="00844123" w:rsidRDefault="009A0425" w:rsidP="002C5C58">
      <w:pPr>
        <w:pStyle w:val="Sinespaciado"/>
        <w:ind w:firstLine="0"/>
        <w:rPr>
          <w:lang w:val="en-US"/>
        </w:rPr>
      </w:pPr>
      <w:r>
        <w:rPr>
          <w:rStyle w:val="Refdenotaalpie"/>
        </w:rPr>
        <w:footnoteRef/>
      </w:r>
      <w:r w:rsidRPr="00844123">
        <w:rPr>
          <w:lang w:val="en-US"/>
        </w:rPr>
        <w:t xml:space="preserve"> This is in accordance with articles 12 and 13 or the established standards by the Committee in its General Observation N°1, in the guidelines on Article 14 and in the case Medina Vela versus Mexico</w:t>
      </w:r>
      <w:r w:rsidR="00F963EB" w:rsidRPr="00844123">
        <w:rPr>
          <w:lang w:val="en-US"/>
        </w:rPr>
        <w:t>.</w:t>
      </w:r>
    </w:p>
  </w:footnote>
  <w:footnote w:id="51">
    <w:p w14:paraId="003D302E" w14:textId="293CD440" w:rsidR="009A0425" w:rsidRPr="00844123" w:rsidRDefault="009A0425" w:rsidP="002C5C58">
      <w:pPr>
        <w:pStyle w:val="Sinespaciado"/>
        <w:ind w:firstLine="0"/>
        <w:rPr>
          <w:lang w:val="en-US"/>
        </w:rPr>
      </w:pPr>
      <w:r>
        <w:rPr>
          <w:rStyle w:val="Refdenotaalpie"/>
        </w:rPr>
        <w:footnoteRef/>
      </w:r>
      <w:r w:rsidRPr="00844123">
        <w:rPr>
          <w:lang w:val="en-US"/>
        </w:rPr>
        <w:t xml:space="preserve"> As an example, the Procedure Code of the Province of Buenos Aires in its Article 62 expresses that: “If it is assumed that the accused, at the time of the crime was suffering a mental disease that would turn him inimputable, it would temporarily decide his confinement in a special health center if he was dangerous for himself or others.”  In this sense, it foresees provisional confinement, that is, before the declaration of inimputability based on the criteria of danger as opposed to the respect of relative guarantees in due process.</w:t>
      </w:r>
    </w:p>
  </w:footnote>
  <w:footnote w:id="52">
    <w:p w14:paraId="466E0AA9" w14:textId="6AF26027" w:rsidR="009A0425" w:rsidRPr="00844123" w:rsidRDefault="009A0425" w:rsidP="002C5C58">
      <w:pPr>
        <w:pStyle w:val="Sinespaciado"/>
        <w:ind w:firstLine="0"/>
        <w:rPr>
          <w:lang w:val="en-US"/>
        </w:rPr>
      </w:pPr>
      <w:r>
        <w:rPr>
          <w:rStyle w:val="Refdenotaalpie"/>
        </w:rPr>
        <w:footnoteRef/>
      </w:r>
      <w:r w:rsidR="00F963EB">
        <w:rPr>
          <w:lang w:val="en-US"/>
        </w:rPr>
        <w:t xml:space="preserve"> </w:t>
      </w:r>
      <w:r w:rsidRPr="00844123">
        <w:rPr>
          <w:lang w:val="en-US"/>
        </w:rPr>
        <w:t xml:space="preserve">For example, Article 63 of the </w:t>
      </w:r>
      <w:hyperlink r:id="rId30" w:history="1">
        <w:r w:rsidR="00F963EB">
          <w:rPr>
            <w:rStyle w:val="Hipervnculo"/>
            <w:rFonts w:eastAsiaTheme="majorEastAsia"/>
            <w:lang w:val="en-US"/>
          </w:rPr>
          <w:t>Criminal Procedure Code of Buenos Aires Province</w:t>
        </w:r>
      </w:hyperlink>
      <w:r w:rsidRPr="00844123">
        <w:rPr>
          <w:lang w:val="en-US"/>
        </w:rPr>
        <w:t xml:space="preserve"> says that “if during the process supervenes mental incapacity of the accused, the cause will be put off and if such situation would turn into dangerous for himself or others, confinement in a proper health center will be declared”. Almost the same can be observed on Article 81 of the </w:t>
      </w:r>
      <w:hyperlink r:id="rId31" w:history="1">
        <w:r w:rsidR="00F963EB">
          <w:rPr>
            <w:rStyle w:val="Hipervnculo"/>
            <w:rFonts w:eastAsiaTheme="majorEastAsia"/>
            <w:lang w:val="en-US"/>
          </w:rPr>
          <w:t>Criminal Procedure Code of La Pampa Province</w:t>
        </w:r>
      </w:hyperlink>
      <w:r w:rsidRPr="00844123">
        <w:rPr>
          <w:lang w:val="en-US"/>
        </w:rPr>
        <w:t xml:space="preserve"> and the article 95 of the </w:t>
      </w:r>
      <w:hyperlink r:id="rId32" w:history="1">
        <w:r w:rsidR="00F963EB">
          <w:rPr>
            <w:rStyle w:val="Hipervnculo"/>
            <w:rFonts w:eastAsiaTheme="majorEastAsia"/>
            <w:lang w:val="en-US"/>
          </w:rPr>
          <w:t>Criminal Procedure Code of Salta Province</w:t>
        </w:r>
      </w:hyperlink>
      <w:r w:rsidRPr="00844123">
        <w:rPr>
          <w:lang w:val="en-US"/>
        </w:rPr>
        <w:t xml:space="preserve">. </w:t>
      </w:r>
    </w:p>
  </w:footnote>
  <w:footnote w:id="53">
    <w:p w14:paraId="304FE39E" w14:textId="27F6A893" w:rsidR="009A0425" w:rsidRPr="00844123" w:rsidRDefault="009A0425" w:rsidP="002C5C58">
      <w:pPr>
        <w:pStyle w:val="Sinespaciado"/>
        <w:ind w:firstLine="0"/>
        <w:rPr>
          <w:lang w:val="en-US"/>
        </w:rPr>
      </w:pPr>
      <w:r>
        <w:rPr>
          <w:rStyle w:val="Refdenotaalpie"/>
        </w:rPr>
        <w:footnoteRef/>
      </w:r>
      <w:r w:rsidRPr="00844123">
        <w:rPr>
          <w:lang w:val="en-US"/>
        </w:rPr>
        <w:t xml:space="preserve"> Apart from the notorious case of the singer Chano Charpentier, there are other cases of death, such as Matías Ruiz in Salta; Victoria Nuñez in Paraná and María de los Ángeles Paris in Rosario. All of them involve the acting of the police in episodes of crisis: </w:t>
      </w:r>
      <w:proofErr w:type="spellStart"/>
      <w:r w:rsidRPr="00844123">
        <w:rPr>
          <w:lang w:val="en-US"/>
        </w:rPr>
        <w:t>Cosecha</w:t>
      </w:r>
      <w:proofErr w:type="spellEnd"/>
      <w:r w:rsidRPr="00844123">
        <w:rPr>
          <w:lang w:val="en-US"/>
        </w:rPr>
        <w:t xml:space="preserve"> </w:t>
      </w:r>
      <w:proofErr w:type="spellStart"/>
      <w:r w:rsidRPr="00844123">
        <w:rPr>
          <w:lang w:val="en-US"/>
        </w:rPr>
        <w:t>Roja</w:t>
      </w:r>
      <w:proofErr w:type="spellEnd"/>
      <w:r w:rsidRPr="00844123">
        <w:rPr>
          <w:lang w:val="en-US"/>
        </w:rPr>
        <w:t xml:space="preserve">, </w:t>
      </w:r>
      <w:hyperlink r:id="rId33" w:history="1">
        <w:r w:rsidRPr="00416BC1">
          <w:rPr>
            <w:rStyle w:val="Hipervnculo"/>
            <w:rFonts w:eastAsiaTheme="majorEastAsia"/>
            <w:lang w:val="en-US"/>
          </w:rPr>
          <w:t xml:space="preserve">“Tan </w:t>
        </w:r>
        <w:proofErr w:type="spellStart"/>
        <w:r w:rsidRPr="00416BC1">
          <w:rPr>
            <w:rStyle w:val="Hipervnculo"/>
            <w:rFonts w:eastAsiaTheme="majorEastAsia"/>
            <w:lang w:val="en-US"/>
          </w:rPr>
          <w:t>biónicos</w:t>
        </w:r>
        <w:proofErr w:type="spellEnd"/>
        <w:r w:rsidRPr="00416BC1">
          <w:rPr>
            <w:rStyle w:val="Hipervnculo"/>
            <w:rFonts w:eastAsiaTheme="majorEastAsia"/>
            <w:lang w:val="en-US"/>
          </w:rPr>
          <w:t xml:space="preserve">: </w:t>
        </w:r>
        <w:proofErr w:type="spellStart"/>
        <w:r w:rsidRPr="00416BC1">
          <w:rPr>
            <w:rStyle w:val="Hipervnculo"/>
            <w:rFonts w:eastAsiaTheme="majorEastAsia"/>
            <w:lang w:val="en-US"/>
          </w:rPr>
          <w:t>cómo</w:t>
        </w:r>
        <w:proofErr w:type="spellEnd"/>
        <w:r w:rsidRPr="00416BC1">
          <w:rPr>
            <w:rStyle w:val="Hipervnculo"/>
            <w:rFonts w:eastAsiaTheme="majorEastAsia"/>
            <w:lang w:val="en-US"/>
          </w:rPr>
          <w:t xml:space="preserve"> </w:t>
        </w:r>
        <w:proofErr w:type="spellStart"/>
        <w:r w:rsidRPr="00416BC1">
          <w:rPr>
            <w:rStyle w:val="Hipervnculo"/>
            <w:rFonts w:eastAsiaTheme="majorEastAsia"/>
            <w:lang w:val="en-US"/>
          </w:rPr>
          <w:t>actúa</w:t>
        </w:r>
        <w:proofErr w:type="spellEnd"/>
        <w:r w:rsidRPr="00416BC1">
          <w:rPr>
            <w:rStyle w:val="Hipervnculo"/>
            <w:rFonts w:eastAsiaTheme="majorEastAsia"/>
            <w:lang w:val="en-US"/>
          </w:rPr>
          <w:t xml:space="preserve"> la </w:t>
        </w:r>
        <w:proofErr w:type="spellStart"/>
        <w:r w:rsidRPr="00416BC1">
          <w:rPr>
            <w:rStyle w:val="Hipervnculo"/>
            <w:rFonts w:eastAsiaTheme="majorEastAsia"/>
            <w:lang w:val="en-US"/>
          </w:rPr>
          <w:t>Policía</w:t>
        </w:r>
        <w:proofErr w:type="spellEnd"/>
        <w:r w:rsidRPr="00416BC1">
          <w:rPr>
            <w:rStyle w:val="Hipervnculo"/>
            <w:rFonts w:eastAsiaTheme="majorEastAsia"/>
            <w:lang w:val="en-US"/>
          </w:rPr>
          <w:t xml:space="preserve"> en </w:t>
        </w:r>
        <w:proofErr w:type="spellStart"/>
        <w:r w:rsidRPr="00416BC1">
          <w:rPr>
            <w:rStyle w:val="Hipervnculo"/>
            <w:rFonts w:eastAsiaTheme="majorEastAsia"/>
            <w:lang w:val="en-US"/>
          </w:rPr>
          <w:t>casos</w:t>
        </w:r>
        <w:proofErr w:type="spellEnd"/>
        <w:r w:rsidRPr="00416BC1">
          <w:rPr>
            <w:rStyle w:val="Hipervnculo"/>
            <w:rFonts w:eastAsiaTheme="majorEastAsia"/>
            <w:lang w:val="en-US"/>
          </w:rPr>
          <w:t xml:space="preserve"> de </w:t>
        </w:r>
        <w:proofErr w:type="spellStart"/>
        <w:r w:rsidRPr="00416BC1">
          <w:rPr>
            <w:rStyle w:val="Hipervnculo"/>
            <w:rFonts w:eastAsiaTheme="majorEastAsia"/>
            <w:lang w:val="en-US"/>
          </w:rPr>
          <w:t>salud</w:t>
        </w:r>
        <w:proofErr w:type="spellEnd"/>
        <w:r w:rsidRPr="00416BC1">
          <w:rPr>
            <w:rStyle w:val="Hipervnculo"/>
            <w:rFonts w:eastAsiaTheme="majorEastAsia"/>
            <w:lang w:val="en-US"/>
          </w:rPr>
          <w:t xml:space="preserve"> mental”,</w:t>
        </w:r>
      </w:hyperlink>
      <w:r w:rsidRPr="00844123">
        <w:rPr>
          <w:lang w:val="en-US"/>
        </w:rPr>
        <w:t xml:space="preserve"> July, 26</w:t>
      </w:r>
      <w:r w:rsidRPr="00844123">
        <w:rPr>
          <w:vertAlign w:val="superscript"/>
          <w:lang w:val="en-US"/>
        </w:rPr>
        <w:t>th</w:t>
      </w:r>
      <w:r w:rsidRPr="00844123">
        <w:rPr>
          <w:lang w:val="en-US"/>
        </w:rPr>
        <w:t>. 2021.</w:t>
      </w:r>
    </w:p>
  </w:footnote>
  <w:footnote w:id="54">
    <w:p w14:paraId="07B5600B" w14:textId="67D7E719" w:rsidR="009A0425" w:rsidRPr="00844123" w:rsidRDefault="009A0425" w:rsidP="002C5C58">
      <w:pPr>
        <w:pStyle w:val="Sinespaciado"/>
        <w:ind w:firstLine="0"/>
        <w:rPr>
          <w:lang w:val="en-US"/>
        </w:rPr>
      </w:pPr>
      <w:r>
        <w:rPr>
          <w:rStyle w:val="Refdenotaalpie"/>
        </w:rPr>
        <w:footnoteRef/>
      </w:r>
      <w:r w:rsidRPr="00844123">
        <w:rPr>
          <w:lang w:val="en-US"/>
        </w:rPr>
        <w:t xml:space="preserve"> </w:t>
      </w:r>
      <w:r w:rsidRPr="00844123">
        <w:rPr>
          <w:sz w:val="18"/>
          <w:szCs w:val="18"/>
          <w:lang w:val="en-US"/>
        </w:rPr>
        <w:t>News on local media on the Ezequiel Castro case</w:t>
      </w:r>
      <w:r w:rsidRPr="00844123">
        <w:rPr>
          <w:lang w:val="en-US"/>
        </w:rPr>
        <w:t xml:space="preserve">: </w:t>
      </w:r>
      <w:hyperlink r:id="rId34" w:history="1">
        <w:r w:rsidRPr="00416BC1">
          <w:rPr>
            <w:rStyle w:val="Hipervnculo"/>
            <w:rFonts w:eastAsiaTheme="majorEastAsia"/>
            <w:lang w:val="en-US"/>
          </w:rPr>
          <w:t>https://www.lavoz.com.ar/sucesos/ezequiel-castro-otra-muerte-tras-una-detencion-policial-que-investiga-la-justicia-de-cordoba/</w:t>
        </w:r>
      </w:hyperlink>
      <w:r w:rsidRPr="00844123">
        <w:rPr>
          <w:lang w:val="en-US"/>
        </w:rPr>
        <w:t xml:space="preserve"> and </w:t>
      </w:r>
      <w:hyperlink r:id="rId35" w:history="1">
        <w:r w:rsidRPr="00416BC1">
          <w:rPr>
            <w:rStyle w:val="Hipervnculo"/>
            <w:rFonts w:eastAsiaTheme="majorEastAsia"/>
            <w:lang w:val="en-US"/>
          </w:rPr>
          <w:t>https://latinta.com.ar/2022/07/violencia-policial-salud-mental/</w:t>
        </w:r>
      </w:hyperlink>
    </w:p>
  </w:footnote>
  <w:footnote w:id="55">
    <w:p w14:paraId="069BC6D9" w14:textId="1DC1285D" w:rsidR="009A0425" w:rsidRPr="00844123" w:rsidRDefault="009A0425" w:rsidP="002C5C58">
      <w:pPr>
        <w:pStyle w:val="Sinespaciado"/>
        <w:ind w:firstLine="0"/>
        <w:rPr>
          <w:lang w:val="en-US"/>
        </w:rPr>
      </w:pPr>
      <w:r>
        <w:rPr>
          <w:rStyle w:val="Refdenotaalpie"/>
        </w:rPr>
        <w:footnoteRef/>
      </w:r>
      <w:r w:rsidRPr="00844123">
        <w:rPr>
          <w:lang w:val="en-US"/>
        </w:rPr>
        <w:t xml:space="preserve"> </w:t>
      </w:r>
      <w:r w:rsidRPr="00844123">
        <w:rPr>
          <w:sz w:val="18"/>
          <w:szCs w:val="18"/>
          <w:lang w:val="en-US"/>
        </w:rPr>
        <w:t>National Ministry of Security, Resolution 506/2013</w:t>
      </w:r>
      <w:r w:rsidRPr="00844123">
        <w:rPr>
          <w:lang w:val="en-US"/>
        </w:rPr>
        <w:t>:</w:t>
      </w:r>
      <w:hyperlink r:id="rId36" w:history="1">
        <w:r w:rsidRPr="00416BC1">
          <w:rPr>
            <w:rStyle w:val="Hipervnculo"/>
            <w:lang w:val="en-US"/>
          </w:rPr>
          <w:t xml:space="preserve"> </w:t>
        </w:r>
        <w:r w:rsidR="00BC1F1E">
          <w:rPr>
            <w:rStyle w:val="Hipervnculo"/>
            <w:lang w:val="en-US"/>
          </w:rPr>
          <w:t>link</w:t>
        </w:r>
      </w:hyperlink>
      <w:r w:rsidRPr="00844123">
        <w:rPr>
          <w:lang w:val="en-US"/>
        </w:rPr>
        <w:t xml:space="preserve">. </w:t>
      </w:r>
    </w:p>
  </w:footnote>
  <w:footnote w:id="56">
    <w:p w14:paraId="19DA7837" w14:textId="51191FEF" w:rsidR="009A0425" w:rsidRPr="00844123" w:rsidRDefault="009A0425" w:rsidP="002C5C58">
      <w:pPr>
        <w:pStyle w:val="Sinespaciado"/>
        <w:ind w:firstLine="0"/>
        <w:rPr>
          <w:lang w:val="en-US"/>
        </w:rPr>
      </w:pPr>
      <w:r>
        <w:rPr>
          <w:rStyle w:val="Refdenotaalpie"/>
        </w:rPr>
        <w:footnoteRef/>
      </w:r>
      <w:r w:rsidRPr="00844123">
        <w:rPr>
          <w:lang w:val="en-US"/>
        </w:rPr>
        <w:t xml:space="preserve"> It has been informed that it was a case of “neurosurgeries for refractory aggressiveness disorders functional to pharmacological treatment on patients under severe/critical mental retardation (…) and they were performed on two patients. Patient N°1, 28-year-old male, and patient N° 2, 46-year-old female, diagnosed both with deep mental retardation and severe behavioral disorders. Both are of disruptive character, self-flagellation (they bite themselves and hit the head against the wall) and present hetero-aggressiveness (causing fractures and serious injuries to others). Behavioral therapies and poly-pharmacotherapy have been indicated but the results were totally inefficient.”</w:t>
      </w:r>
    </w:p>
  </w:footnote>
  <w:footnote w:id="57">
    <w:p w14:paraId="4A7720E1" w14:textId="03656490" w:rsidR="009A0425" w:rsidRPr="00844123" w:rsidRDefault="009A0425" w:rsidP="002C5C58">
      <w:pPr>
        <w:pStyle w:val="Sinespaciado"/>
        <w:ind w:firstLine="0"/>
        <w:rPr>
          <w:lang w:val="en-US"/>
        </w:rPr>
      </w:pPr>
      <w:r>
        <w:rPr>
          <w:rStyle w:val="Refdenotaalpie"/>
        </w:rPr>
        <w:footnoteRef/>
      </w:r>
      <w:r w:rsidRPr="00844123">
        <w:rPr>
          <w:lang w:val="en-US"/>
        </w:rPr>
        <w:t xml:space="preserve"> Answer received as regards the informed consent;  ” Due to the situation in both patients, restriction of capacity was determined and both legal representatives intervened and were informed clearly, precisely and properly as regards the proposed treatment, as foreseen on Article 5, </w:t>
      </w:r>
      <w:r w:rsidR="00BC1F1E">
        <w:rPr>
          <w:lang w:val="en-US"/>
        </w:rPr>
        <w:t>Law N°</w:t>
      </w:r>
      <w:r w:rsidRPr="00844123">
        <w:rPr>
          <w:lang w:val="en-US"/>
        </w:rPr>
        <w:t xml:space="preserve"> 26529. In the case of patient N°2, the sentence that </w:t>
      </w:r>
      <w:r w:rsidR="00BC1F1E">
        <w:rPr>
          <w:lang w:val="en-US"/>
        </w:rPr>
        <w:t xml:space="preserve">Decree </w:t>
      </w:r>
      <w:proofErr w:type="spellStart"/>
      <w:r w:rsidR="00BC1F1E">
        <w:rPr>
          <w:lang w:val="en-US"/>
        </w:rPr>
        <w:t>N°</w:t>
      </w:r>
      <w:r w:rsidRPr="00844123">
        <w:rPr>
          <w:lang w:val="en-US"/>
        </w:rPr>
        <w:t>d</w:t>
      </w:r>
      <w:proofErr w:type="spellEnd"/>
      <w:r w:rsidRPr="00844123">
        <w:rPr>
          <w:lang w:val="en-US"/>
        </w:rPr>
        <w:t xml:space="preserve"> the restriction of her capacity determined a system of support and lifeguard to develop her activities, including specifically the medical context… In breach of what was previously mentioned, such legal representative subscribed to the respective informed consent. </w:t>
      </w:r>
      <w:proofErr w:type="gramStart"/>
      <w:r w:rsidRPr="00844123">
        <w:rPr>
          <w:lang w:val="en-US"/>
        </w:rPr>
        <w:t xml:space="preserve">In the case of Patient N°1, the sentence that </w:t>
      </w:r>
      <w:r w:rsidR="00BC1F1E">
        <w:rPr>
          <w:lang w:val="en-US"/>
        </w:rPr>
        <w:t xml:space="preserve">Decree </w:t>
      </w:r>
      <w:proofErr w:type="spellStart"/>
      <w:r w:rsidR="00BC1F1E">
        <w:rPr>
          <w:lang w:val="en-US"/>
        </w:rPr>
        <w:t>N°</w:t>
      </w:r>
      <w:r w:rsidRPr="00844123">
        <w:rPr>
          <w:lang w:val="en-US"/>
        </w:rPr>
        <w:t>d</w:t>
      </w:r>
      <w:proofErr w:type="spellEnd"/>
      <w:r w:rsidRPr="00844123">
        <w:rPr>
          <w:lang w:val="en-US"/>
        </w:rPr>
        <w:t xml:space="preserve"> the restriction of his capacity… appointing as Curator to the head of the Local Curatorship.</w:t>
      </w:r>
      <w:proofErr w:type="gramEnd"/>
      <w:r w:rsidRPr="00844123">
        <w:rPr>
          <w:lang w:val="en-US"/>
        </w:rPr>
        <w:t xml:space="preserve"> In breach of what was previously mentioned, such legal representative subscribed to the respective informed consent. The information was provided to their legal representatives, support systems and, in a way possible, to the patients themselves. As it is established on Article 7 of the </w:t>
      </w:r>
      <w:r w:rsidR="00BC1F1E">
        <w:rPr>
          <w:lang w:val="en-US"/>
        </w:rPr>
        <w:t>Law N°</w:t>
      </w:r>
      <w:r w:rsidRPr="00844123">
        <w:rPr>
          <w:lang w:val="en-US"/>
        </w:rPr>
        <w:t xml:space="preserve"> mentioned above for this type of medical procedures he respective informed consent was informed in written subscribed by their legal representatives as well as their support system and the professional who provided the information.</w:t>
      </w:r>
    </w:p>
  </w:footnote>
  <w:footnote w:id="58">
    <w:p w14:paraId="573521FE" w14:textId="77161288" w:rsidR="009A0425" w:rsidRPr="00844123" w:rsidRDefault="009A0425" w:rsidP="002C5C58">
      <w:pPr>
        <w:pStyle w:val="Sinespaciado"/>
        <w:ind w:firstLine="0"/>
        <w:rPr>
          <w:lang w:val="en-US"/>
        </w:rPr>
      </w:pPr>
      <w:r>
        <w:rPr>
          <w:rStyle w:val="Refdenotaalpie"/>
        </w:rPr>
        <w:footnoteRef/>
      </w:r>
      <w:r w:rsidRPr="00844123">
        <w:rPr>
          <w:lang w:val="en-US"/>
        </w:rPr>
        <w:t xml:space="preserve"> </w:t>
      </w:r>
      <w:r w:rsidRPr="00844123">
        <w:rPr>
          <w:sz w:val="18"/>
          <w:szCs w:val="18"/>
          <w:lang w:val="en-US"/>
        </w:rPr>
        <w:t>National Mental Health Revision Organ</w:t>
      </w:r>
      <w:r w:rsidRPr="00844123">
        <w:rPr>
          <w:lang w:val="en-US"/>
        </w:rPr>
        <w:t xml:space="preserve">, </w:t>
      </w:r>
      <w:hyperlink r:id="rId37" w:history="1">
        <w:r w:rsidR="00F421CA">
          <w:rPr>
            <w:rStyle w:val="Hipervnculo"/>
            <w:rFonts w:eastAsiaTheme="majorEastAsia"/>
            <w:lang w:val="en-US"/>
          </w:rPr>
          <w:t>Resolution 07/2022 – Psicocirugía</w:t>
        </w:r>
      </w:hyperlink>
      <w:r w:rsidRPr="00844123">
        <w:rPr>
          <w:lang w:val="en-US"/>
        </w:rPr>
        <w:t xml:space="preserve">, </w:t>
      </w:r>
      <w:r w:rsidRPr="00844123">
        <w:rPr>
          <w:sz w:val="18"/>
          <w:szCs w:val="18"/>
          <w:lang w:val="en-US"/>
        </w:rPr>
        <w:t>October, 11th. 2021.</w:t>
      </w:r>
      <w:r w:rsidRPr="00844123">
        <w:rPr>
          <w:lang w:val="en-US"/>
        </w:rPr>
        <w:t xml:space="preserve">. </w:t>
      </w:r>
    </w:p>
  </w:footnote>
  <w:footnote w:id="59">
    <w:p w14:paraId="5C68B4D1" w14:textId="3A3177F7" w:rsidR="009A0425" w:rsidRPr="00844123" w:rsidRDefault="009A0425" w:rsidP="002C5C58">
      <w:pPr>
        <w:pStyle w:val="Sinespaciado"/>
        <w:ind w:firstLine="0"/>
        <w:rPr>
          <w:lang w:val="en-US"/>
        </w:rPr>
      </w:pPr>
      <w:r>
        <w:rPr>
          <w:rStyle w:val="Refdenotaalpie"/>
        </w:rPr>
        <w:footnoteRef/>
      </w:r>
      <w:r w:rsidRPr="00844123">
        <w:rPr>
          <w:lang w:val="en-US"/>
        </w:rPr>
        <w:t xml:space="preserve"> </w:t>
      </w:r>
      <w:r w:rsidRPr="00844123">
        <w:rPr>
          <w:sz w:val="18"/>
          <w:szCs w:val="18"/>
          <w:lang w:val="en-US"/>
        </w:rPr>
        <w:t>Available in</w:t>
      </w:r>
      <w:r w:rsidRPr="00844123">
        <w:rPr>
          <w:lang w:val="en-US"/>
        </w:rPr>
        <w:t xml:space="preserve">: </w:t>
      </w:r>
      <w:hyperlink r:id="rId38" w:history="1">
        <w:r w:rsidR="00BC1F1E">
          <w:rPr>
            <w:rStyle w:val="Hipervnculo"/>
            <w:lang w:val="en-US"/>
          </w:rPr>
          <w:t>link</w:t>
        </w:r>
      </w:hyperlink>
      <w:r w:rsidRPr="00844123">
        <w:rPr>
          <w:lang w:val="en-US"/>
        </w:rPr>
        <w:t xml:space="preserve">. </w:t>
      </w:r>
    </w:p>
  </w:footnote>
  <w:footnote w:id="60">
    <w:p w14:paraId="2DDACC88" w14:textId="705AE03A" w:rsidR="009A0425" w:rsidRPr="00844123" w:rsidRDefault="009A0425" w:rsidP="002C5C58">
      <w:pPr>
        <w:pStyle w:val="Sinespaciado"/>
        <w:ind w:firstLine="0"/>
        <w:rPr>
          <w:lang w:val="en-US"/>
        </w:rPr>
      </w:pPr>
      <w:r>
        <w:rPr>
          <w:rStyle w:val="Refdenotaalpie"/>
        </w:rPr>
        <w:footnoteRef/>
      </w:r>
      <w:r w:rsidRPr="00844123">
        <w:rPr>
          <w:lang w:val="en-US"/>
        </w:rPr>
        <w:t xml:space="preserve"> There are few co-existence homes for persons leaving the public monovalent institution. Meanwhile, confinement in monovalent hospitals, still exist, where you find persons with more than 8 years of confinement without decent housing.</w:t>
      </w:r>
    </w:p>
  </w:footnote>
  <w:footnote w:id="61">
    <w:p w14:paraId="37EDA951" w14:textId="12F7FD08" w:rsidR="009A0425" w:rsidRPr="00416BC1" w:rsidRDefault="009A0425" w:rsidP="002C5C58">
      <w:pPr>
        <w:pStyle w:val="Sinespaciado"/>
        <w:ind w:firstLine="0"/>
        <w:rPr>
          <w:lang w:val="en-US"/>
        </w:rPr>
      </w:pPr>
      <w:r>
        <w:rPr>
          <w:rStyle w:val="Refdenotaalpie"/>
        </w:rPr>
        <w:footnoteRef/>
      </w:r>
      <w:r>
        <w:t xml:space="preserve"> </w:t>
      </w:r>
      <w:r w:rsidRPr="00346849">
        <w:t xml:space="preserve">Cámara en lo Contencioso Administrativo Federal, Sala V, “Scaturro, Andrea Fabiana y Otros c/ EN-M Salud de la Nación y Otros s/Amparo Ley 16.986”, Expte. </w:t>
      </w:r>
      <w:r w:rsidRPr="00C867EB">
        <w:rPr>
          <w:lang w:val="en-US"/>
        </w:rPr>
        <w:t>74516/2014, 2015</w:t>
      </w:r>
    </w:p>
  </w:footnote>
  <w:footnote w:id="62">
    <w:p w14:paraId="630AED46" w14:textId="57EBBCBA" w:rsidR="009A0425" w:rsidRPr="00844123" w:rsidRDefault="009A0425" w:rsidP="002C5C58">
      <w:pPr>
        <w:pStyle w:val="Sinespaciado"/>
        <w:ind w:firstLine="0"/>
        <w:rPr>
          <w:lang w:val="en-US"/>
        </w:rPr>
      </w:pPr>
      <w:r>
        <w:rPr>
          <w:rStyle w:val="Refdenotaalpie"/>
        </w:rPr>
        <w:footnoteRef/>
      </w:r>
      <w:r w:rsidRPr="00844123">
        <w:rPr>
          <w:lang w:val="en-US"/>
        </w:rPr>
        <w:t xml:space="preserve"> The Ministry of Public Defense has recently made a presentation before this Committee.</w:t>
      </w:r>
    </w:p>
  </w:footnote>
  <w:footnote w:id="63">
    <w:p w14:paraId="15F8FFF5" w14:textId="610A52DB" w:rsidR="009A0425" w:rsidRPr="00844123" w:rsidRDefault="009A0425" w:rsidP="002C5C58">
      <w:pPr>
        <w:pStyle w:val="Sinespaciado"/>
        <w:ind w:firstLine="0"/>
        <w:rPr>
          <w:lang w:val="en-US"/>
        </w:rPr>
      </w:pPr>
      <w:r w:rsidRPr="00A32E97">
        <w:rPr>
          <w:rStyle w:val="Refdenotaalpie"/>
          <w:rFonts w:cstheme="minorHAnsi"/>
        </w:rPr>
        <w:footnoteRef/>
      </w:r>
      <w:r w:rsidRPr="00844123">
        <w:rPr>
          <w:rFonts w:cstheme="minorHAnsi"/>
          <w:lang w:val="en-US"/>
        </w:rPr>
        <w:t xml:space="preserve"> </w:t>
      </w:r>
      <w:r w:rsidRPr="00844123">
        <w:rPr>
          <w:sz w:val="18"/>
          <w:szCs w:val="18"/>
          <w:lang w:val="en-US"/>
        </w:rPr>
        <w:t>ACIJ. Budget for Mental Health</w:t>
      </w:r>
      <w:r w:rsidRPr="00844123">
        <w:rPr>
          <w:rFonts w:cstheme="minorHAnsi"/>
          <w:lang w:val="en-US"/>
        </w:rPr>
        <w:t xml:space="preserve">: </w:t>
      </w:r>
      <w:hyperlink r:id="rId39" w:history="1">
        <w:r w:rsidR="00BC1F1E">
          <w:rPr>
            <w:rStyle w:val="Hipervnculo"/>
            <w:rFonts w:cstheme="minorHAnsi"/>
            <w:lang w:val="en-US"/>
          </w:rPr>
          <w:t>link</w:t>
        </w:r>
        <w:r w:rsidRPr="00416BC1">
          <w:rPr>
            <w:rStyle w:val="Hipervnculo"/>
            <w:rFonts w:cstheme="minorHAnsi"/>
            <w:lang w:val="en-US"/>
          </w:rPr>
          <w:t>.</w:t>
        </w:r>
      </w:hyperlink>
      <w:r w:rsidRPr="00844123">
        <w:rPr>
          <w:rFonts w:cstheme="minorHAnsi"/>
          <w:lang w:val="en-US"/>
        </w:rPr>
        <w:t xml:space="preserve"> </w:t>
      </w:r>
    </w:p>
  </w:footnote>
  <w:footnote w:id="64">
    <w:p w14:paraId="2920FF38" w14:textId="4EE69F8E" w:rsidR="009A0425" w:rsidRPr="00D3760C" w:rsidRDefault="009A0425" w:rsidP="002C5C58">
      <w:pPr>
        <w:pStyle w:val="Sinespaciado"/>
        <w:ind w:firstLine="0"/>
        <w:rPr>
          <w:lang w:val="es-ES"/>
        </w:rPr>
      </w:pPr>
      <w:r>
        <w:rPr>
          <w:rStyle w:val="Refdenotaalpie"/>
        </w:rPr>
        <w:footnoteRef/>
      </w:r>
      <w:r>
        <w:rPr>
          <w:lang w:val="es-ES"/>
        </w:rPr>
        <w:t xml:space="preserve"> Página 12, </w:t>
      </w:r>
      <w:hyperlink r:id="rId40" w:history="1">
        <w:r w:rsidRPr="001513A6">
          <w:rPr>
            <w:rStyle w:val="Hipervnculo"/>
            <w:lang w:val="es-ES"/>
          </w:rPr>
          <w:t>“Le rechazaron el alquiler de un departamento por ser ciega: "Es un acto de discriminación".</w:t>
        </w:r>
      </w:hyperlink>
      <w:r>
        <w:rPr>
          <w:lang w:val="es-ES"/>
        </w:rPr>
        <w:t xml:space="preserve">  </w:t>
      </w:r>
    </w:p>
  </w:footnote>
  <w:footnote w:id="65">
    <w:p w14:paraId="6A57B9DA" w14:textId="5E5CFCEB" w:rsidR="009A0425" w:rsidRPr="00844123" w:rsidRDefault="009A0425" w:rsidP="002C5C58">
      <w:pPr>
        <w:pStyle w:val="Sinespaciado"/>
        <w:ind w:firstLine="0"/>
        <w:rPr>
          <w:lang w:val="en-US"/>
        </w:rPr>
      </w:pPr>
      <w:r>
        <w:rPr>
          <w:rStyle w:val="Refdenotaalpie"/>
        </w:rPr>
        <w:footnoteRef/>
      </w:r>
      <w:r w:rsidRPr="00844123">
        <w:rPr>
          <w:lang w:val="en-US"/>
        </w:rPr>
        <w:t xml:space="preserve"> </w:t>
      </w:r>
      <w:r w:rsidR="00BC1F1E">
        <w:rPr>
          <w:lang w:val="en-US"/>
        </w:rPr>
        <w:t>Law N°</w:t>
      </w:r>
      <w:r w:rsidRPr="00844123">
        <w:rPr>
          <w:lang w:val="en-US"/>
        </w:rPr>
        <w:t xml:space="preserve"> 24901 rules assistance services to provide coverage to the basic essential requirements of PWD, it foresees home assistance to favor autonomous life for PWD, avoid their institutionalization or shorten the confinement periods. However, we point out that the requisite of inexistence of family group or the incapacity of it to assist or take care of the PWD, should be revised. Conditioning social services and assistance in general, especially the lack of economic resources prevents most of PWD to have access to a device that could support their everyday life and promote their autonomy.</w:t>
      </w:r>
    </w:p>
  </w:footnote>
  <w:footnote w:id="66">
    <w:p w14:paraId="37ABBBB9" w14:textId="6D1810F9" w:rsidR="009A0425" w:rsidRPr="00844123" w:rsidRDefault="009A0425" w:rsidP="002C5C58">
      <w:pPr>
        <w:pStyle w:val="Sinespaciado"/>
        <w:ind w:firstLine="0"/>
        <w:rPr>
          <w:lang w:val="en-US"/>
        </w:rPr>
      </w:pPr>
      <w:r>
        <w:rPr>
          <w:rStyle w:val="Refdenotaalpie"/>
        </w:rPr>
        <w:footnoteRef/>
      </w:r>
      <w:r w:rsidRPr="00844123">
        <w:rPr>
          <w:lang w:val="en-US"/>
        </w:rPr>
        <w:t xml:space="preserve"> Project D157-22/23. This project has not even been treated by 50% of the Commissions that were appointed before being treated in the Chamber in spite of the strong incidence of regional and national organizations. Several visits were paid to users, unattended requests of interviews in the last 4 years, sending of mails, petitions in change.com with more than 34.000 signatures, campaigns in social networks and media among other strategies.</w:t>
      </w:r>
    </w:p>
  </w:footnote>
  <w:footnote w:id="67">
    <w:p w14:paraId="524D8AF6" w14:textId="35D37510" w:rsidR="009A0425" w:rsidRPr="00416BC1" w:rsidRDefault="009A0425" w:rsidP="002C5C58">
      <w:pPr>
        <w:pStyle w:val="Sinespaciado"/>
        <w:ind w:firstLine="0"/>
        <w:rPr>
          <w:lang w:val="en-US"/>
        </w:rPr>
      </w:pPr>
      <w:r>
        <w:rPr>
          <w:rStyle w:val="Refdenotaalpie"/>
        </w:rPr>
        <w:footnoteRef/>
      </w:r>
      <w:r>
        <w:t xml:space="preserve"> </w:t>
      </w:r>
      <w:r w:rsidRPr="00CE7887">
        <w:t>Juzgado de Primera Instancia no 4 en lo Contencioso Administrat</w:t>
      </w:r>
      <w:r>
        <w:t>ivo de La Plata, sentencia</w:t>
      </w:r>
      <w:r w:rsidRPr="00CE7887">
        <w:t>;</w:t>
      </w:r>
      <w:r>
        <w:t xml:space="preserve"> “</w:t>
      </w:r>
      <w:r w:rsidRPr="00CE7887">
        <w:t>Asociación Azul c/ IOMA y</w:t>
      </w:r>
      <w:r>
        <w:t xml:space="preserve"> </w:t>
      </w:r>
      <w:r w:rsidRPr="00CE7887">
        <w:t xml:space="preserve">otro/a s/ pretensión de restablecimiento o reconocimiento de derechos”: </w:t>
      </w:r>
      <w:r w:rsidR="00BC1F1E">
        <w:t>link</w:t>
      </w:r>
      <w:r w:rsidRPr="00CE7887">
        <w:t xml:space="preserve">. </w:t>
      </w:r>
      <w:r w:rsidRPr="00C867EB">
        <w:rPr>
          <w:lang w:val="en-US"/>
        </w:rPr>
        <w:t>Summary of the sentence in simple language</w:t>
      </w:r>
      <w:r w:rsidRPr="00416BC1">
        <w:rPr>
          <w:lang w:val="en-US"/>
        </w:rPr>
        <w:t xml:space="preserve">: </w:t>
      </w:r>
      <w:hyperlink r:id="rId41" w:history="1">
        <w:r w:rsidR="00BC1F1E">
          <w:rPr>
            <w:rStyle w:val="Hipervnculo"/>
            <w:rFonts w:eastAsiaTheme="majorEastAsia"/>
            <w:lang w:val="en-US"/>
          </w:rPr>
          <w:t>link</w:t>
        </w:r>
        <w:r w:rsidRPr="00416BC1">
          <w:rPr>
            <w:rStyle w:val="Hipervnculo"/>
            <w:rFonts w:eastAsiaTheme="majorEastAsia"/>
            <w:lang w:val="en-US"/>
          </w:rPr>
          <w:t>.</w:t>
        </w:r>
      </w:hyperlink>
      <w:r w:rsidRPr="00416BC1">
        <w:rPr>
          <w:lang w:val="en-US"/>
        </w:rPr>
        <w:t xml:space="preserve"> </w:t>
      </w:r>
    </w:p>
  </w:footnote>
  <w:footnote w:id="68">
    <w:p w14:paraId="081B2FD7" w14:textId="2B542477" w:rsidR="009A0425" w:rsidRPr="00844123" w:rsidRDefault="009A0425" w:rsidP="002C5C58">
      <w:pPr>
        <w:pStyle w:val="Sinespaciado"/>
        <w:ind w:firstLine="0"/>
        <w:rPr>
          <w:lang w:val="en-US"/>
        </w:rPr>
      </w:pPr>
      <w:r>
        <w:rPr>
          <w:rStyle w:val="Refdenotaalpie"/>
        </w:rPr>
        <w:footnoteRef/>
      </w:r>
      <w:r w:rsidRPr="00844123">
        <w:rPr>
          <w:lang w:val="en-US"/>
        </w:rPr>
        <w:t xml:space="preserve"> </w:t>
      </w:r>
      <w:proofErr w:type="gramStart"/>
      <w:r w:rsidRPr="00844123">
        <w:rPr>
          <w:lang w:val="en-US"/>
        </w:rPr>
        <w:t xml:space="preserve">Country report, </w:t>
      </w:r>
      <w:r w:rsidRPr="00844123">
        <w:rPr>
          <w:sz w:val="18"/>
          <w:szCs w:val="18"/>
          <w:lang w:val="en-US"/>
        </w:rPr>
        <w:t xml:space="preserve">paragraph </w:t>
      </w:r>
      <w:r w:rsidRPr="00844123">
        <w:rPr>
          <w:lang w:val="en-US"/>
        </w:rPr>
        <w:t>21.</w:t>
      </w:r>
      <w:proofErr w:type="gramEnd"/>
    </w:p>
  </w:footnote>
  <w:footnote w:id="69">
    <w:p w14:paraId="7347504B" w14:textId="2439BBDE" w:rsidR="009A0425" w:rsidRPr="00844123" w:rsidRDefault="009A0425" w:rsidP="002C5C58">
      <w:pPr>
        <w:pStyle w:val="Sinespaciado"/>
        <w:ind w:firstLine="0"/>
        <w:rPr>
          <w:lang w:val="en-US"/>
        </w:rPr>
      </w:pPr>
      <w:r>
        <w:rPr>
          <w:rStyle w:val="Refdenotaalpie"/>
        </w:rPr>
        <w:footnoteRef/>
      </w:r>
      <w:r w:rsidRPr="00844123">
        <w:rPr>
          <w:lang w:val="en-US"/>
        </w:rPr>
        <w:t xml:space="preserve"> </w:t>
      </w:r>
      <w:proofErr w:type="spellStart"/>
      <w:r w:rsidRPr="00844123">
        <w:rPr>
          <w:lang w:val="en-US"/>
        </w:rPr>
        <w:t>Fundación</w:t>
      </w:r>
      <w:proofErr w:type="spellEnd"/>
      <w:r w:rsidRPr="00844123">
        <w:rPr>
          <w:lang w:val="en-US"/>
        </w:rPr>
        <w:t xml:space="preserve"> </w:t>
      </w:r>
      <w:proofErr w:type="spellStart"/>
      <w:r w:rsidRPr="00844123">
        <w:rPr>
          <w:lang w:val="en-US"/>
        </w:rPr>
        <w:t>Rumbos</w:t>
      </w:r>
      <w:proofErr w:type="spellEnd"/>
      <w:r w:rsidRPr="00844123">
        <w:rPr>
          <w:lang w:val="en-US"/>
        </w:rPr>
        <w:t xml:space="preserve"> </w:t>
      </w:r>
      <w:hyperlink r:id="rId42" w:history="1">
        <w:r w:rsidRPr="00416BC1">
          <w:rPr>
            <w:rStyle w:val="Hipervnculo"/>
            <w:rFonts w:eastAsiaTheme="majorEastAsia"/>
            <w:lang w:val="en-US"/>
          </w:rPr>
          <w:t>Request to access to public information addressed to ANDIS as regards the CAC and response.</w:t>
        </w:r>
      </w:hyperlink>
      <w:r w:rsidRPr="00844123">
        <w:rPr>
          <w:lang w:val="en-US"/>
        </w:rPr>
        <w:t>.</w:t>
      </w:r>
    </w:p>
  </w:footnote>
  <w:footnote w:id="70">
    <w:p w14:paraId="1AA70631" w14:textId="46843A35" w:rsidR="009A0425" w:rsidRDefault="009A0425" w:rsidP="002C5C58">
      <w:pPr>
        <w:pStyle w:val="Sinespaciado"/>
        <w:ind w:firstLine="0"/>
      </w:pPr>
      <w:r>
        <w:rPr>
          <w:rStyle w:val="Refdenotaalpie"/>
        </w:rPr>
        <w:footnoteRef/>
      </w:r>
      <w:r>
        <w:t xml:space="preserve"> Country report, </w:t>
      </w:r>
      <w:r w:rsidRPr="00C867EB">
        <w:rPr>
          <w:sz w:val="18"/>
          <w:szCs w:val="18"/>
          <w:lang w:val="en-US"/>
        </w:rPr>
        <w:t xml:space="preserve">paragraph </w:t>
      </w:r>
      <w:r w:rsidRPr="009B6DA9">
        <w:t>139</w:t>
      </w:r>
      <w:r>
        <w:t>.</w:t>
      </w:r>
    </w:p>
  </w:footnote>
  <w:footnote w:id="71">
    <w:p w14:paraId="5F7D9F79" w14:textId="2A1DBA3F" w:rsidR="009A0425" w:rsidRPr="00416BC1" w:rsidRDefault="009A0425" w:rsidP="002C5C58">
      <w:pPr>
        <w:pStyle w:val="Sinespaciado"/>
        <w:ind w:firstLine="0"/>
        <w:rPr>
          <w:lang w:val="en-US"/>
        </w:rPr>
      </w:pPr>
      <w:r w:rsidRPr="006E294E">
        <w:rPr>
          <w:rStyle w:val="Refdenotaalpie"/>
        </w:rPr>
        <w:footnoteRef/>
      </w:r>
      <w:r w:rsidRPr="006E294E">
        <w:t xml:space="preserve"> Cámara de Apelación en lo Contencioso Administrativo, </w:t>
      </w:r>
      <w:hyperlink r:id="rId43" w:history="1">
        <w:r w:rsidRPr="006E294E">
          <w:rPr>
            <w:rStyle w:val="Hipervnculo"/>
            <w:rFonts w:eastAsiaTheme="majorEastAsia"/>
          </w:rPr>
          <w:t>sentencia causa No. 23.800 CCALP “ASOCIACION AZUL Y OTRO S/AMPARO</w:t>
        </w:r>
      </w:hyperlink>
      <w:r w:rsidRPr="006E294E">
        <w:t xml:space="preserve">”, </w:t>
      </w:r>
      <w:r>
        <w:t>May, 14th,.</w:t>
      </w:r>
      <w:r w:rsidRPr="006E294E">
        <w:t xml:space="preserve"> </w:t>
      </w:r>
      <w:r w:rsidRPr="00416BC1">
        <w:rPr>
          <w:lang w:val="en-US"/>
        </w:rPr>
        <w:t>2019.  It is argued that:</w:t>
      </w:r>
      <w:r w:rsidRPr="00416BC1">
        <w:rPr>
          <w:rFonts w:cstheme="minorHAnsi"/>
          <w:color w:val="000000"/>
          <w:lang w:val="en-US"/>
        </w:rPr>
        <w:t xml:space="preserve"> </w:t>
      </w:r>
      <w:r w:rsidRPr="00C867EB">
        <w:rPr>
          <w:sz w:val="18"/>
          <w:szCs w:val="18"/>
          <w:lang w:val="en-US"/>
        </w:rPr>
        <w:t>“in spite of a proper judicial framework putting off the adequation of the units accorded by the Subsecretaría de Transporte, they prevent the enjoyment of rights on behalf of the affected group.”</w:t>
      </w:r>
    </w:p>
  </w:footnote>
  <w:footnote w:id="72">
    <w:p w14:paraId="46259BE5" w14:textId="6B8E50D3" w:rsidR="009A0425" w:rsidRPr="00844123" w:rsidRDefault="009A0425" w:rsidP="002C5C58">
      <w:pPr>
        <w:pStyle w:val="Sinespaciado"/>
        <w:ind w:firstLine="0"/>
        <w:rPr>
          <w:lang w:val="en-US"/>
        </w:rPr>
      </w:pPr>
      <w:r w:rsidRPr="00312266">
        <w:rPr>
          <w:rStyle w:val="Refdenotaalpie"/>
        </w:rPr>
        <w:footnoteRef/>
      </w:r>
      <w:r w:rsidRPr="00844123">
        <w:rPr>
          <w:lang w:val="en-US"/>
        </w:rPr>
        <w:t xml:space="preserve"> </w:t>
      </w:r>
      <w:hyperlink r:id="rId44" w:history="1">
        <w:r w:rsidRPr="00416BC1">
          <w:rPr>
            <w:rStyle w:val="Hipervnculo"/>
            <w:lang w:val="en-US"/>
          </w:rPr>
          <w:t>https://drive.google.com/drive/folders/1NQLREYmdn0_8H4lsUehjhVJo1zsNFHrn</w:t>
        </w:r>
      </w:hyperlink>
    </w:p>
  </w:footnote>
  <w:footnote w:id="73">
    <w:p w14:paraId="013C35AB" w14:textId="63ED3AF0" w:rsidR="009A0425" w:rsidRPr="00844123" w:rsidRDefault="009A0425" w:rsidP="002C5C58">
      <w:pPr>
        <w:pStyle w:val="Sinespaciado"/>
        <w:ind w:firstLine="0"/>
        <w:rPr>
          <w:lang w:val="en-US"/>
        </w:rPr>
      </w:pPr>
      <w:r>
        <w:rPr>
          <w:rStyle w:val="Refdenotaalpie"/>
        </w:rPr>
        <w:footnoteRef/>
      </w:r>
      <w:r w:rsidRPr="00844123">
        <w:rPr>
          <w:lang w:val="en-US"/>
        </w:rPr>
        <w:t xml:space="preserve"> The </w:t>
      </w:r>
      <w:r w:rsidR="00BC1F1E">
        <w:rPr>
          <w:lang w:val="en-US"/>
        </w:rPr>
        <w:t>Law N°</w:t>
      </w:r>
      <w:r w:rsidRPr="00844123">
        <w:rPr>
          <w:lang w:val="en-US"/>
        </w:rPr>
        <w:t xml:space="preserve"> foresees accessibility resources such as: 1- audio-description of images for visual PWD; 2- hidden subtitles and sign language interpretation for deaf persons and 3- audio-description in easy language for intellectual PWD.</w:t>
      </w:r>
    </w:p>
  </w:footnote>
  <w:footnote w:id="74">
    <w:p w14:paraId="640B4ABC" w14:textId="032A58FA" w:rsidR="009A0425" w:rsidRPr="00AA38E4" w:rsidRDefault="009A0425" w:rsidP="002C5C58">
      <w:pPr>
        <w:pStyle w:val="Sinespaciado"/>
        <w:ind w:firstLine="0"/>
        <w:rPr>
          <w:lang w:val="en-US"/>
        </w:rPr>
      </w:pPr>
      <w:r>
        <w:rPr>
          <w:rStyle w:val="Refdenotaalpie"/>
        </w:rPr>
        <w:footnoteRef/>
      </w:r>
      <w:r w:rsidRPr="00AA38E4">
        <w:rPr>
          <w:lang w:val="en-US"/>
        </w:rPr>
        <w:t xml:space="preserve"> In clear opposition to what was mentioned on paragraph 53 on the Country report. </w:t>
      </w:r>
    </w:p>
  </w:footnote>
  <w:footnote w:id="75">
    <w:p w14:paraId="5C8D46CE" w14:textId="53BF2690" w:rsidR="009A0425" w:rsidRPr="002C5C58" w:rsidRDefault="009A0425" w:rsidP="002C5C58">
      <w:pPr>
        <w:pStyle w:val="Sinespaciado"/>
        <w:ind w:firstLine="0"/>
        <w:rPr>
          <w:lang w:val="en-US"/>
        </w:rPr>
      </w:pPr>
      <w:r>
        <w:rPr>
          <w:rStyle w:val="Refdenotaalpie"/>
        </w:rPr>
        <w:footnoteRef/>
      </w:r>
      <w:r w:rsidRPr="002C5C58">
        <w:rPr>
          <w:lang w:val="en-US"/>
        </w:rPr>
        <w:t xml:space="preserve"> In spite of the fact that paragraph 230 of the </w:t>
      </w:r>
      <w:r>
        <w:rPr>
          <w:lang w:val="en-US"/>
        </w:rPr>
        <w:t>Country report</w:t>
      </w:r>
      <w:r w:rsidRPr="002C5C58">
        <w:rPr>
          <w:lang w:val="en-US"/>
        </w:rPr>
        <w:t xml:space="preserve"> mentions the opposite.</w:t>
      </w:r>
    </w:p>
  </w:footnote>
  <w:footnote w:id="76">
    <w:p w14:paraId="3378EEB1" w14:textId="5F0FC83A" w:rsidR="009A0425" w:rsidRPr="00844123" w:rsidRDefault="009A0425" w:rsidP="002C5C58">
      <w:pPr>
        <w:pStyle w:val="Sinespaciado"/>
        <w:ind w:firstLine="0"/>
        <w:rPr>
          <w:lang w:val="en-US"/>
        </w:rPr>
      </w:pPr>
      <w:r>
        <w:rPr>
          <w:rStyle w:val="Refdenotaalpie"/>
        </w:rPr>
        <w:footnoteRef/>
      </w:r>
      <w:r w:rsidRPr="00844123">
        <w:rPr>
          <w:lang w:val="en-US"/>
        </w:rPr>
        <w:t xml:space="preserve"> </w:t>
      </w:r>
      <w:r w:rsidRPr="00844123">
        <w:rPr>
          <w:sz w:val="18"/>
          <w:szCs w:val="18"/>
          <w:lang w:val="en-US"/>
        </w:rPr>
        <w:t>Answers of the Ce</w:t>
      </w:r>
      <w:r w:rsidR="00F421CA">
        <w:rPr>
          <w:sz w:val="18"/>
          <w:szCs w:val="18"/>
          <w:lang w:val="en-US"/>
        </w:rPr>
        <w:t>ntral Bank</w:t>
      </w:r>
      <w:r w:rsidRPr="00844123">
        <w:rPr>
          <w:lang w:val="en-US"/>
        </w:rPr>
        <w:t xml:space="preserve">: </w:t>
      </w:r>
      <w:hyperlink r:id="rId45" w:history="1">
        <w:r w:rsidR="00BC1F1E">
          <w:rPr>
            <w:rStyle w:val="Hipervnculo"/>
            <w:lang w:val="en-US"/>
          </w:rPr>
          <w:t>link</w:t>
        </w:r>
        <w:r w:rsidRPr="00416BC1">
          <w:rPr>
            <w:rStyle w:val="Hipervnculo"/>
            <w:lang w:val="en-US"/>
          </w:rPr>
          <w:t>.</w:t>
        </w:r>
      </w:hyperlink>
      <w:r w:rsidRPr="00844123">
        <w:rPr>
          <w:lang w:val="en-US"/>
        </w:rPr>
        <w:t xml:space="preserve"> </w:t>
      </w:r>
    </w:p>
  </w:footnote>
  <w:footnote w:id="77">
    <w:p w14:paraId="0473777D" w14:textId="116EDB04" w:rsidR="009A0425" w:rsidRPr="00844123" w:rsidRDefault="009A0425" w:rsidP="002C5C58">
      <w:pPr>
        <w:pStyle w:val="Sinespaciado"/>
        <w:ind w:firstLine="0"/>
        <w:rPr>
          <w:lang w:val="en-US"/>
        </w:rPr>
      </w:pPr>
      <w:r>
        <w:rPr>
          <w:rStyle w:val="Refdenotaalpie"/>
        </w:rPr>
        <w:footnoteRef/>
      </w:r>
      <w:r w:rsidRPr="00844123">
        <w:rPr>
          <w:lang w:val="en-US"/>
        </w:rPr>
        <w:t xml:space="preserve"> </w:t>
      </w:r>
      <w:r w:rsidRPr="00844123">
        <w:rPr>
          <w:sz w:val="18"/>
          <w:szCs w:val="18"/>
          <w:lang w:val="en-US"/>
        </w:rPr>
        <w:t>Regulation of Protection for users of Financial Services. Section 2</w:t>
      </w:r>
      <w:r w:rsidRPr="00844123">
        <w:rPr>
          <w:lang w:val="en-US"/>
        </w:rPr>
        <w:t xml:space="preserve">. </w:t>
      </w:r>
      <w:hyperlink r:id="rId46" w:history="1">
        <w:r w:rsidRPr="00416BC1">
          <w:rPr>
            <w:rStyle w:val="Hipervnculo"/>
            <w:lang w:val="en-US"/>
          </w:rPr>
          <w:t>https://www.bcra.gob.ar/Pdfs/Texord/t-pusf.pdf</w:t>
        </w:r>
      </w:hyperlink>
    </w:p>
  </w:footnote>
  <w:footnote w:id="78">
    <w:p w14:paraId="55813CB2" w14:textId="19F59471" w:rsidR="009A0425" w:rsidRPr="00CE28F7" w:rsidRDefault="009A0425" w:rsidP="002C5C58">
      <w:pPr>
        <w:pStyle w:val="Sinespaciado"/>
        <w:ind w:firstLine="0"/>
      </w:pPr>
      <w:r>
        <w:rPr>
          <w:rStyle w:val="Refdenotaalpie"/>
        </w:rPr>
        <w:footnoteRef/>
      </w:r>
      <w:r>
        <w:t xml:space="preserve"> </w:t>
      </w:r>
      <w:proofErr w:type="spellStart"/>
      <w:r w:rsidR="00BC1F1E">
        <w:t>Law</w:t>
      </w:r>
      <w:proofErr w:type="spellEnd"/>
      <w:r w:rsidR="00BC1F1E">
        <w:t xml:space="preserve"> N°</w:t>
      </w:r>
      <w:r>
        <w:t xml:space="preserve"> 26.061 </w:t>
      </w:r>
    </w:p>
  </w:footnote>
  <w:footnote w:id="79">
    <w:p w14:paraId="715BD379" w14:textId="0F621D6A" w:rsidR="009A0425" w:rsidRPr="00DB4559" w:rsidRDefault="009A0425" w:rsidP="002C5C58">
      <w:pPr>
        <w:pStyle w:val="Sinespaciado"/>
        <w:ind w:firstLine="0"/>
      </w:pPr>
      <w:r w:rsidRPr="00DB4559">
        <w:rPr>
          <w:rStyle w:val="Refdenotaalpie"/>
        </w:rPr>
        <w:footnoteRef/>
      </w:r>
      <w:r w:rsidRPr="00DB4559">
        <w:t xml:space="preserve"> Infofueguina.com, </w:t>
      </w:r>
      <w:hyperlink r:id="rId47" w:history="1">
        <w:r w:rsidRPr="00DB4559">
          <w:rPr>
            <w:rStyle w:val="Hipervnculo"/>
            <w:rFonts w:eastAsiaTheme="majorEastAsia"/>
          </w:rPr>
          <w:t>“Le quitaron el bebe a joven con retraso madurativo”,</w:t>
        </w:r>
      </w:hyperlink>
      <w:r w:rsidRPr="00DB4559">
        <w:t xml:space="preserve"> </w:t>
      </w:r>
      <w:r w:rsidRPr="00692946">
        <w:rPr>
          <w:sz w:val="18"/>
          <w:szCs w:val="18"/>
        </w:rPr>
        <w:t>July, 20th., 2019</w:t>
      </w:r>
    </w:p>
  </w:footnote>
  <w:footnote w:id="80">
    <w:p w14:paraId="4CD82105" w14:textId="44D89EFF" w:rsidR="009A0425" w:rsidRPr="00AD51B0" w:rsidRDefault="009A0425" w:rsidP="002C5C58">
      <w:pPr>
        <w:pStyle w:val="Sinespaciado"/>
        <w:ind w:firstLine="0"/>
        <w:rPr>
          <w:sz w:val="18"/>
          <w:szCs w:val="18"/>
        </w:rPr>
      </w:pPr>
      <w:r w:rsidRPr="00DB4559">
        <w:rPr>
          <w:rStyle w:val="Refdenotaalpie"/>
        </w:rPr>
        <w:footnoteRef/>
      </w:r>
      <w:r w:rsidRPr="00DB4559">
        <w:t xml:space="preserve"> El Diario de La Pampa, “</w:t>
      </w:r>
      <w:hyperlink r:id="rId48" w:history="1">
        <w:r w:rsidRPr="00DB4559">
          <w:rPr>
            <w:rStyle w:val="Hipervnculo"/>
            <w:rFonts w:eastAsiaTheme="majorEastAsia"/>
          </w:rPr>
          <w:t>Una mujer con discapacidad, separada de su hijo hace más de 2 meses: lo alojaron en un hotel</w:t>
        </w:r>
      </w:hyperlink>
      <w:r w:rsidRPr="00DB4559">
        <w:t xml:space="preserve">”, </w:t>
      </w:r>
      <w:r w:rsidRPr="00692946">
        <w:rPr>
          <w:sz w:val="18"/>
          <w:szCs w:val="18"/>
        </w:rPr>
        <w:t>April, 6th., 2022</w:t>
      </w:r>
    </w:p>
  </w:footnote>
  <w:footnote w:id="81">
    <w:p w14:paraId="1ADD21DD" w14:textId="2550A5C8" w:rsidR="009A0425" w:rsidRDefault="009A0425" w:rsidP="002C5C58">
      <w:pPr>
        <w:pStyle w:val="Sinespaciado"/>
        <w:ind w:firstLine="0"/>
      </w:pPr>
      <w:r w:rsidRPr="00DB4559">
        <w:rPr>
          <w:rStyle w:val="Refdenotaalpie"/>
        </w:rPr>
        <w:footnoteRef/>
      </w:r>
      <w:r w:rsidRPr="00DB4559">
        <w:t xml:space="preserve"> </w:t>
      </w:r>
      <w:r w:rsidRPr="00692946">
        <w:t>- Such as: la Asignación Universal por Hijo/Hija  and  la Asignación por Embarazo para Protección social; el Apoyo Alimentario y la estrategia Sueño Seguro (o Plan Qunita)</w:t>
      </w:r>
    </w:p>
  </w:footnote>
  <w:footnote w:id="82">
    <w:p w14:paraId="2583B5F6" w14:textId="77777777" w:rsidR="009A0425" w:rsidRPr="00D66714" w:rsidRDefault="009A0425" w:rsidP="002C5C58">
      <w:pPr>
        <w:pStyle w:val="Sinespaciado"/>
        <w:ind w:firstLine="0"/>
      </w:pPr>
      <w:r>
        <w:rPr>
          <w:vertAlign w:val="superscript"/>
        </w:rPr>
        <w:footnoteRef/>
      </w:r>
      <w:r>
        <w:rPr>
          <w:rFonts w:ascii="Chivo" w:eastAsia="Chivo" w:hAnsi="Chivo" w:cs="Chivo"/>
        </w:rPr>
        <w:t xml:space="preserve"> </w:t>
      </w:r>
      <w:r w:rsidRPr="00D66714">
        <w:t>Barcala,A (208) “Niñez e Institucionalización psiquiátrica: violencias en contextos de encierro. Salud Mental,</w:t>
      </w:r>
    </w:p>
    <w:p w14:paraId="48E86314" w14:textId="0CECD1EE" w:rsidR="009A0425" w:rsidRPr="00D66714" w:rsidRDefault="009A0425" w:rsidP="002C5C58">
      <w:pPr>
        <w:pStyle w:val="Sinespaciado"/>
        <w:ind w:firstLine="0"/>
      </w:pPr>
      <w:r w:rsidRPr="00D66714">
        <w:t>Políticas públicas y derechos humanos”, in P. Vommaro, A. Barcala y L. Rangel, Infancias y juventudes: diversidades,</w:t>
      </w:r>
    </w:p>
    <w:p w14:paraId="162DBF66" w14:textId="77777777" w:rsidR="009A0425" w:rsidRPr="00D66714" w:rsidRDefault="009A0425" w:rsidP="002C5C58">
      <w:pPr>
        <w:pStyle w:val="Sinespaciado"/>
        <w:ind w:firstLine="0"/>
      </w:pPr>
      <w:r w:rsidRPr="00D66714">
        <w:t>prácticas y perspectivas en derechos y políticas. Buenos Aires: CLACSO; Bogotá: Fundación Centro Internacional de</w:t>
      </w:r>
    </w:p>
    <w:p w14:paraId="745BEFB3" w14:textId="2B64AE73" w:rsidR="009A0425" w:rsidRPr="00D66714" w:rsidRDefault="009A0425" w:rsidP="002C5C58">
      <w:pPr>
        <w:pStyle w:val="Sinespaciado"/>
        <w:ind w:firstLine="0"/>
        <w:rPr>
          <w:rFonts w:eastAsia="Chivo" w:cstheme="minorHAnsi"/>
        </w:rPr>
      </w:pPr>
      <w:r w:rsidRPr="00D66714">
        <w:rPr>
          <w:sz w:val="18"/>
          <w:szCs w:val="18"/>
        </w:rPr>
        <w:t>Educación y Desarrollo Humano CINDE; Manizales: Universidad de Manizales</w:t>
      </w:r>
      <w:r w:rsidRPr="00D66714">
        <w:rPr>
          <w:rFonts w:eastAsia="Chivo" w:cstheme="minorHAnsi"/>
        </w:rPr>
        <w:t xml:space="preserve">: </w:t>
      </w:r>
      <w:hyperlink r:id="rId49" w:history="1">
        <w:r w:rsidR="00BC1F1E">
          <w:rPr>
            <w:rStyle w:val="Hipervnculo"/>
            <w:rFonts w:eastAsia="Chivo" w:cstheme="minorHAnsi"/>
          </w:rPr>
          <w:t>link</w:t>
        </w:r>
        <w:r w:rsidRPr="00D66714">
          <w:rPr>
            <w:rStyle w:val="Hipervnculo"/>
            <w:rFonts w:eastAsia="Chivo" w:cstheme="minorHAnsi"/>
          </w:rPr>
          <w:t>.</w:t>
        </w:r>
      </w:hyperlink>
    </w:p>
  </w:footnote>
  <w:footnote w:id="83">
    <w:p w14:paraId="0607A868" w14:textId="224B99C0" w:rsidR="009A0425" w:rsidRPr="00663915" w:rsidRDefault="009A0425" w:rsidP="002C5C58">
      <w:pPr>
        <w:pStyle w:val="Sinespaciado"/>
        <w:ind w:firstLine="0"/>
        <w:rPr>
          <w:rFonts w:eastAsia="Chivo" w:cstheme="minorHAnsi"/>
        </w:rPr>
      </w:pPr>
      <w:r w:rsidRPr="00D66714">
        <w:rPr>
          <w:rFonts w:cstheme="minorHAnsi"/>
          <w:vertAlign w:val="superscript"/>
        </w:rPr>
        <w:footnoteRef/>
      </w:r>
      <w:r w:rsidRPr="00D66714">
        <w:rPr>
          <w:rFonts w:eastAsia="Chivo" w:cstheme="minorHAnsi"/>
        </w:rPr>
        <w:t xml:space="preserve"> </w:t>
      </w:r>
      <w:r w:rsidRPr="00D66714">
        <w:t>Barcala A., y Faraone S. (2020). A diez años de la sanción de la Ley Nacional de Salud Mental: coordenadas para una cartografía posible (1ra ed.), Ciudad Autónoma de Buenos Aires: Teseo</w:t>
      </w:r>
      <w:r w:rsidRPr="00D66714">
        <w:rPr>
          <w:rFonts w:eastAsia="Chivo" w:cstheme="minorHAnsi"/>
        </w:rPr>
        <w:t xml:space="preserve">: </w:t>
      </w:r>
      <w:hyperlink r:id="rId50" w:history="1">
        <w:r w:rsidR="00BC1F1E">
          <w:rPr>
            <w:rStyle w:val="Hipervnculo"/>
            <w:rFonts w:eastAsia="Chivo" w:cstheme="minorHAnsi"/>
          </w:rPr>
          <w:t>link</w:t>
        </w:r>
        <w:r w:rsidRPr="00D66714">
          <w:rPr>
            <w:rStyle w:val="Hipervnculo"/>
            <w:rFonts w:eastAsia="Chivo" w:cstheme="minorHAnsi"/>
          </w:rPr>
          <w:t>.</w:t>
        </w:r>
      </w:hyperlink>
      <w:r>
        <w:rPr>
          <w:rFonts w:eastAsia="Chivo" w:cstheme="minorHAnsi"/>
        </w:rPr>
        <w:t xml:space="preserve"> </w:t>
      </w:r>
      <w:r w:rsidRPr="00663915">
        <w:rPr>
          <w:rFonts w:eastAsia="Chivo" w:cstheme="minorHAnsi"/>
        </w:rPr>
        <w:t xml:space="preserve"> </w:t>
      </w:r>
    </w:p>
  </w:footnote>
  <w:footnote w:id="84">
    <w:p w14:paraId="6ED4535A" w14:textId="790003F3" w:rsidR="009A0425" w:rsidRPr="00844123" w:rsidRDefault="009A0425" w:rsidP="002C5C58">
      <w:pPr>
        <w:pStyle w:val="Sinespaciado"/>
        <w:ind w:firstLine="0"/>
        <w:rPr>
          <w:lang w:val="en-US"/>
        </w:rPr>
      </w:pPr>
      <w:r w:rsidRPr="00663915">
        <w:rPr>
          <w:rFonts w:cstheme="minorHAnsi"/>
          <w:vertAlign w:val="superscript"/>
        </w:rPr>
        <w:footnoteRef/>
      </w:r>
      <w:r w:rsidRPr="00844123">
        <w:rPr>
          <w:rFonts w:eastAsia="Chivo" w:cstheme="minorHAnsi"/>
          <w:lang w:val="en-US"/>
        </w:rPr>
        <w:t xml:space="preserve"> </w:t>
      </w:r>
      <w:r w:rsidRPr="00844123">
        <w:rPr>
          <w:lang w:val="en-US"/>
        </w:rPr>
        <w:t xml:space="preserve">The Organ of National Revision on Mental Health is an entity created by </w:t>
      </w:r>
      <w:r w:rsidR="00BC1F1E">
        <w:rPr>
          <w:lang w:val="en-US"/>
        </w:rPr>
        <w:t>Law N°</w:t>
      </w:r>
      <w:r w:rsidRPr="00844123">
        <w:rPr>
          <w:lang w:val="en-US"/>
        </w:rPr>
        <w:t xml:space="preserve"> 26657 under the Ministry of Public Defense to promote its fulfillment and to protect the rights of users of mental health services.</w:t>
      </w:r>
      <w:r w:rsidRPr="00844123">
        <w:rPr>
          <w:rFonts w:eastAsia="Chivo" w:cstheme="minorHAnsi"/>
          <w:lang w:val="en-US"/>
        </w:rPr>
        <w:t xml:space="preserve"> </w:t>
      </w:r>
    </w:p>
  </w:footnote>
  <w:footnote w:id="85">
    <w:p w14:paraId="628E9F07" w14:textId="751A95D2" w:rsidR="009A0425" w:rsidRPr="00844123" w:rsidRDefault="009A0425" w:rsidP="002C5C58">
      <w:pPr>
        <w:pStyle w:val="Sinespaciado"/>
        <w:ind w:firstLine="0"/>
        <w:rPr>
          <w:rFonts w:eastAsia="Chivo" w:cstheme="minorHAnsi"/>
          <w:lang w:val="en-US"/>
        </w:rPr>
      </w:pPr>
      <w:r w:rsidRPr="00A32E97">
        <w:rPr>
          <w:rFonts w:cstheme="minorHAnsi"/>
          <w:vertAlign w:val="superscript"/>
        </w:rPr>
        <w:footnoteRef/>
      </w:r>
      <w:r w:rsidRPr="00844123">
        <w:rPr>
          <w:rFonts w:eastAsia="Chivo" w:cstheme="minorHAnsi"/>
          <w:lang w:val="en-US"/>
        </w:rPr>
        <w:t xml:space="preserve">  </w:t>
      </w:r>
      <w:r w:rsidRPr="00844123">
        <w:rPr>
          <w:lang w:val="en-US"/>
        </w:rPr>
        <w:t xml:space="preserve">Organ of National Revision. Yearly Report (2018): </w:t>
      </w:r>
      <w:r w:rsidR="00BC1F1E">
        <w:rPr>
          <w:lang w:val="en-US"/>
        </w:rPr>
        <w:t>Link</w:t>
      </w:r>
      <w:r w:rsidR="00F421CA" w:rsidRPr="00844123">
        <w:rPr>
          <w:lang w:val="en-US"/>
        </w:rPr>
        <w:t>;</w:t>
      </w:r>
      <w:r w:rsidRPr="00844123">
        <w:rPr>
          <w:lang w:val="en-US"/>
        </w:rPr>
        <w:t xml:space="preserve"> Annual Report 2019: </w:t>
      </w:r>
      <w:r w:rsidR="00BC1F1E">
        <w:rPr>
          <w:lang w:val="en-US"/>
        </w:rPr>
        <w:t>link</w:t>
      </w:r>
      <w:r w:rsidRPr="00844123">
        <w:rPr>
          <w:lang w:val="en-US"/>
        </w:rPr>
        <w:t>; Resolution 2/2</w:t>
      </w:r>
      <w:r w:rsidR="00F421CA">
        <w:rPr>
          <w:lang w:val="en-US"/>
        </w:rPr>
        <w:t>0 of resolution of the document</w:t>
      </w:r>
      <w:r w:rsidRPr="00844123">
        <w:rPr>
          <w:lang w:val="en-US"/>
        </w:rPr>
        <w:t xml:space="preserve">; “A diez años de la Ley Nacional de Salud Mental: posicionamiento </w:t>
      </w:r>
      <w:proofErr w:type="gramStart"/>
      <w:r w:rsidRPr="00844123">
        <w:rPr>
          <w:lang w:val="en-US"/>
        </w:rPr>
        <w:t>del</w:t>
      </w:r>
      <w:proofErr w:type="gramEnd"/>
      <w:r w:rsidRPr="00844123">
        <w:rPr>
          <w:lang w:val="en-US"/>
        </w:rPr>
        <w:t xml:space="preserve"> Órgano deRevisión Nacional de </w:t>
      </w:r>
      <w:proofErr w:type="spellStart"/>
      <w:r w:rsidRPr="00844123">
        <w:rPr>
          <w:lang w:val="en-US"/>
        </w:rPr>
        <w:t>Salud</w:t>
      </w:r>
      <w:proofErr w:type="spellEnd"/>
      <w:r w:rsidRPr="00844123">
        <w:rPr>
          <w:lang w:val="en-US"/>
        </w:rPr>
        <w:t xml:space="preserve"> Mental”</w:t>
      </w:r>
      <w:r w:rsidRPr="00844123">
        <w:rPr>
          <w:rFonts w:eastAsia="Chivo" w:cstheme="minorHAnsi"/>
          <w:lang w:val="en-US"/>
        </w:rPr>
        <w:t xml:space="preserve">: </w:t>
      </w:r>
      <w:hyperlink r:id="rId51" w:history="1">
        <w:r w:rsidR="00BC1F1E">
          <w:rPr>
            <w:rStyle w:val="Hipervnculo"/>
            <w:rFonts w:eastAsia="Chivo" w:cstheme="minorHAnsi"/>
            <w:lang w:val="en-US"/>
          </w:rPr>
          <w:t>link</w:t>
        </w:r>
      </w:hyperlink>
      <w:r w:rsidRPr="00844123">
        <w:rPr>
          <w:rFonts w:eastAsia="Chivo" w:cstheme="minorHAnsi"/>
          <w:lang w:val="en-US"/>
        </w:rPr>
        <w:t xml:space="preserve">.  </w:t>
      </w:r>
    </w:p>
  </w:footnote>
  <w:footnote w:id="86">
    <w:p w14:paraId="5291C067" w14:textId="66291037" w:rsidR="009A0425" w:rsidRPr="00844123" w:rsidRDefault="009A0425" w:rsidP="002C5C58">
      <w:pPr>
        <w:pStyle w:val="Sinespaciado"/>
        <w:ind w:firstLine="0"/>
        <w:rPr>
          <w:lang w:val="en-US"/>
        </w:rPr>
      </w:pPr>
      <w:r>
        <w:rPr>
          <w:rStyle w:val="Refdenotaalpie"/>
        </w:rPr>
        <w:footnoteRef/>
      </w:r>
      <w:r w:rsidRPr="00844123">
        <w:rPr>
          <w:lang w:val="en-US"/>
        </w:rPr>
        <w:t>ttps://www.telam.com.ar/notas/202206/597140-justicia-ciudad-de-buenos-aires-gobierno-porteno--educacion-inclusiva-discapacidad.html</w:t>
      </w:r>
    </w:p>
  </w:footnote>
  <w:footnote w:id="87">
    <w:p w14:paraId="68DBE7A6" w14:textId="4EA72329" w:rsidR="009A0425" w:rsidRPr="004C5E67" w:rsidRDefault="009A0425" w:rsidP="002C5C58">
      <w:pPr>
        <w:pStyle w:val="Sinespaciado"/>
        <w:ind w:firstLine="0"/>
        <w:rPr>
          <w:rFonts w:ascii="Chivo" w:eastAsia="Chivo" w:hAnsi="Chivo" w:cs="Chivo"/>
        </w:rPr>
      </w:pPr>
      <w:r>
        <w:rPr>
          <w:vertAlign w:val="superscript"/>
        </w:rPr>
        <w:footnoteRef/>
      </w:r>
      <w:r>
        <w:rPr>
          <w:rFonts w:ascii="Chivo" w:eastAsia="Chivo" w:hAnsi="Chivo" w:cs="Chivo"/>
          <w:sz w:val="16"/>
          <w:szCs w:val="16"/>
        </w:rPr>
        <w:t xml:space="preserve"> </w:t>
      </w:r>
      <w:r w:rsidRPr="004C5E67">
        <w:rPr>
          <w:rFonts w:ascii="Chivo" w:eastAsia="Chivo" w:hAnsi="Chivo" w:cs="Chivo"/>
        </w:rPr>
        <w:t xml:space="preserve">Anuario estadístico educativo 2021: </w:t>
      </w:r>
      <w:hyperlink r:id="rId52" w:history="1">
        <w:r w:rsidR="00BC1F1E">
          <w:rPr>
            <w:rStyle w:val="Hipervnculo"/>
            <w:rFonts w:ascii="Chivo" w:eastAsia="Chivo" w:hAnsi="Chivo" w:cs="Chivo"/>
          </w:rPr>
          <w:t>link</w:t>
        </w:r>
        <w:r w:rsidRPr="004C5E67">
          <w:rPr>
            <w:rStyle w:val="Hipervnculo"/>
            <w:rFonts w:ascii="Chivo" w:eastAsia="Chivo" w:hAnsi="Chivo" w:cs="Chivo"/>
          </w:rPr>
          <w:t xml:space="preserve">. </w:t>
        </w:r>
      </w:hyperlink>
      <w:r w:rsidRPr="004C5E67">
        <w:rPr>
          <w:rFonts w:ascii="Chivo" w:eastAsia="Chivo" w:hAnsi="Chivo" w:cs="Chivo"/>
        </w:rPr>
        <w:t xml:space="preserve"> </w:t>
      </w:r>
    </w:p>
  </w:footnote>
  <w:footnote w:id="88">
    <w:p w14:paraId="5752CBE1" w14:textId="078C8B30" w:rsidR="009A0425" w:rsidRPr="00844123" w:rsidRDefault="009A0425" w:rsidP="002C5C58">
      <w:pPr>
        <w:pStyle w:val="Sinespaciado"/>
        <w:ind w:firstLine="0"/>
        <w:rPr>
          <w:lang w:val="en-US"/>
        </w:rPr>
      </w:pPr>
      <w:r w:rsidRPr="004C5E67">
        <w:rPr>
          <w:vertAlign w:val="superscript"/>
        </w:rPr>
        <w:footnoteRef/>
      </w:r>
      <w:r w:rsidRPr="004C5E67">
        <w:rPr>
          <w:rFonts w:ascii="Chivo" w:eastAsia="Chivo" w:hAnsi="Chivo" w:cs="Chivo"/>
        </w:rPr>
        <w:t xml:space="preserve"> Anuario estadístico educativo 2020:</w:t>
      </w:r>
      <w:r>
        <w:rPr>
          <w:rFonts w:ascii="Chivo" w:eastAsia="Chivo" w:hAnsi="Chivo" w:cs="Chivo"/>
        </w:rPr>
        <w:t xml:space="preserve"> </w:t>
      </w:r>
      <w:hyperlink r:id="rId53" w:history="1">
        <w:r w:rsidR="00BC1F1E">
          <w:rPr>
            <w:rStyle w:val="Hipervnculo"/>
            <w:rFonts w:ascii="Chivo" w:eastAsia="Chivo" w:hAnsi="Chivo" w:cs="Chivo"/>
          </w:rPr>
          <w:t>link</w:t>
        </w:r>
      </w:hyperlink>
      <w:r w:rsidRPr="004C5E67">
        <w:rPr>
          <w:rFonts w:ascii="Chivo" w:eastAsia="Chivo" w:hAnsi="Chivo" w:cs="Chivo"/>
        </w:rPr>
        <w:t xml:space="preserve">. </w:t>
      </w:r>
      <w:r w:rsidRPr="00844123">
        <w:rPr>
          <w:sz w:val="18"/>
          <w:szCs w:val="18"/>
          <w:lang w:val="en-US"/>
        </w:rPr>
        <w:t>A recent request to access to public information was required as this information is not yet available for 2021.</w:t>
      </w:r>
    </w:p>
  </w:footnote>
  <w:footnote w:id="89">
    <w:p w14:paraId="1E646B41" w14:textId="0B81EBCE" w:rsidR="009A0425" w:rsidRPr="00844123" w:rsidRDefault="009A0425" w:rsidP="002C5C58">
      <w:pPr>
        <w:pStyle w:val="Sinespaciado"/>
        <w:ind w:firstLine="0"/>
        <w:rPr>
          <w:lang w:val="en-US"/>
        </w:rPr>
      </w:pPr>
      <w:r>
        <w:rPr>
          <w:rStyle w:val="Refdenotaalpie"/>
        </w:rPr>
        <w:footnoteRef/>
      </w:r>
      <w:r w:rsidRPr="00844123">
        <w:rPr>
          <w:lang w:val="en-US"/>
        </w:rPr>
        <w:t xml:space="preserve"> For example, in the Province of Corrientes this percentage is 54%; in Misiones, 53.8%; in San Juan, 52% and in Chaco, 5.3%.</w:t>
      </w:r>
    </w:p>
  </w:footnote>
  <w:footnote w:id="90">
    <w:p w14:paraId="150C5029" w14:textId="47AA772A" w:rsidR="009A0425" w:rsidRPr="002F05AE" w:rsidRDefault="009A0425" w:rsidP="002C5C58">
      <w:pPr>
        <w:pStyle w:val="Sinespaciado"/>
        <w:ind w:firstLine="0"/>
        <w:rPr>
          <w:rFonts w:ascii="Chivo" w:eastAsia="Chivo" w:hAnsi="Chivo" w:cs="Chivo"/>
          <w:sz w:val="18"/>
          <w:szCs w:val="18"/>
        </w:rPr>
      </w:pPr>
      <w:r w:rsidRPr="004C5E67">
        <w:rPr>
          <w:vertAlign w:val="superscript"/>
        </w:rPr>
        <w:footnoteRef/>
      </w:r>
      <w:r>
        <w:rPr>
          <w:rFonts w:ascii="Chivo" w:eastAsia="Chivo" w:hAnsi="Chivo" w:cs="Chivo"/>
        </w:rPr>
        <w:t xml:space="preserve"> ACIJ, </w:t>
      </w:r>
      <w:r w:rsidRPr="005C5852">
        <w:rPr>
          <w:rFonts w:ascii="Chivo" w:eastAsia="Chivo" w:hAnsi="Chivo" w:cs="Chivo"/>
        </w:rPr>
        <w:t>Apoyos para la</w:t>
      </w:r>
      <w:r>
        <w:rPr>
          <w:rFonts w:ascii="Chivo" w:eastAsia="Chivo" w:hAnsi="Chivo" w:cs="Chivo"/>
        </w:rPr>
        <w:t xml:space="preserve"> </w:t>
      </w:r>
      <w:r w:rsidRPr="005C5852">
        <w:rPr>
          <w:rFonts w:ascii="Chivo" w:eastAsia="Chivo" w:hAnsi="Chivo" w:cs="Chivo"/>
        </w:rPr>
        <w:t>educación inclusiva:</w:t>
      </w:r>
      <w:r>
        <w:rPr>
          <w:rFonts w:ascii="Chivo" w:eastAsia="Chivo" w:hAnsi="Chivo" w:cs="Chivo"/>
        </w:rPr>
        <w:t xml:space="preserve"> </w:t>
      </w:r>
      <w:r w:rsidRPr="005C5852">
        <w:rPr>
          <w:rFonts w:ascii="Chivo" w:eastAsia="Chivo" w:hAnsi="Chivo" w:cs="Chivo"/>
        </w:rPr>
        <w:t>datos que evidencian</w:t>
      </w:r>
      <w:r>
        <w:rPr>
          <w:rFonts w:ascii="Chivo" w:eastAsia="Chivo" w:hAnsi="Chivo" w:cs="Chivo"/>
        </w:rPr>
        <w:t xml:space="preserve"> </w:t>
      </w:r>
      <w:r w:rsidRPr="005C5852">
        <w:rPr>
          <w:rFonts w:ascii="Chivo" w:eastAsia="Chivo" w:hAnsi="Chivo" w:cs="Chivo"/>
        </w:rPr>
        <w:t>barreras</w:t>
      </w:r>
      <w:r>
        <w:rPr>
          <w:rFonts w:ascii="Chivo" w:eastAsia="Chivo" w:hAnsi="Chivo" w:cs="Chivo"/>
        </w:rPr>
        <w:t xml:space="preserve">: </w:t>
      </w:r>
      <w:hyperlink r:id="rId54" w:history="1">
        <w:r w:rsidR="00BC1F1E">
          <w:rPr>
            <w:rStyle w:val="Hipervnculo"/>
            <w:rFonts w:ascii="Chivo" w:eastAsia="Chivo" w:hAnsi="Chivo" w:cs="Chivo"/>
          </w:rPr>
          <w:t>link</w:t>
        </w:r>
        <w:r w:rsidRPr="005C5852">
          <w:rPr>
            <w:rStyle w:val="Hipervnculo"/>
            <w:rFonts w:ascii="Chivo" w:eastAsia="Chivo" w:hAnsi="Chivo" w:cs="Chivo"/>
          </w:rPr>
          <w:t>.</w:t>
        </w:r>
      </w:hyperlink>
      <w:r>
        <w:rPr>
          <w:rFonts w:ascii="Chivo" w:eastAsia="Chivo" w:hAnsi="Chivo" w:cs="Chivo"/>
        </w:rPr>
        <w:t xml:space="preserve"> </w:t>
      </w:r>
    </w:p>
  </w:footnote>
  <w:footnote w:id="91">
    <w:p w14:paraId="5789764A" w14:textId="6FFB85BD" w:rsidR="009A0425" w:rsidRPr="00844123" w:rsidRDefault="009A0425" w:rsidP="002C5C58">
      <w:pPr>
        <w:pStyle w:val="Sinespaciado"/>
        <w:ind w:firstLine="0"/>
        <w:rPr>
          <w:lang w:val="en-US"/>
        </w:rPr>
      </w:pPr>
      <w:r>
        <w:rPr>
          <w:rStyle w:val="Refdenotaalpie"/>
        </w:rPr>
        <w:footnoteRef/>
      </w:r>
      <w:r w:rsidRPr="00844123">
        <w:rPr>
          <w:lang w:val="en-US"/>
        </w:rPr>
        <w:t xml:space="preserve"> Country repor</w:t>
      </w:r>
      <w:r w:rsidR="00F421CA">
        <w:rPr>
          <w:lang w:val="en-US"/>
        </w:rPr>
        <w:t>t</w:t>
      </w:r>
      <w:r w:rsidRPr="00844123">
        <w:rPr>
          <w:lang w:val="en-US"/>
        </w:rPr>
        <w:t xml:space="preserve">, </w:t>
      </w:r>
      <w:r w:rsidRPr="00844123">
        <w:rPr>
          <w:sz w:val="18"/>
          <w:szCs w:val="18"/>
          <w:lang w:val="en-US"/>
        </w:rPr>
        <w:t xml:space="preserve">paragraph </w:t>
      </w:r>
      <w:r w:rsidRPr="00844123">
        <w:rPr>
          <w:lang w:val="en-US"/>
        </w:rPr>
        <w:t>52.</w:t>
      </w:r>
    </w:p>
  </w:footnote>
  <w:footnote w:id="92">
    <w:p w14:paraId="182DF09F" w14:textId="1C2D1996" w:rsidR="009A0425" w:rsidRPr="009A0425" w:rsidRDefault="009A0425" w:rsidP="002C5C58">
      <w:pPr>
        <w:pStyle w:val="Sinespaciado"/>
        <w:ind w:firstLine="0"/>
      </w:pPr>
      <w:r>
        <w:rPr>
          <w:rStyle w:val="Refdenotaalpie"/>
        </w:rPr>
        <w:footnoteRef/>
      </w:r>
      <w:r w:rsidRPr="009A0425">
        <w:t xml:space="preserve"> </w:t>
      </w:r>
      <w:proofErr w:type="spellStart"/>
      <w:r w:rsidRPr="009A0425">
        <w:t>Tiflonexos</w:t>
      </w:r>
      <w:proofErr w:type="spellEnd"/>
      <w:r w:rsidRPr="009A0425">
        <w:t xml:space="preserve">, </w:t>
      </w:r>
      <w:hyperlink r:id="rId55" w:history="1">
        <w:r w:rsidRPr="009A0425">
          <w:rPr>
            <w:rStyle w:val="Hipervnculo"/>
          </w:rPr>
          <w:t>https://tiflonexos.org/content/seguimos-adaptando-seguimos-educando</w:t>
        </w:r>
      </w:hyperlink>
    </w:p>
  </w:footnote>
  <w:footnote w:id="93">
    <w:p w14:paraId="5F70FFF9" w14:textId="78DCBF94" w:rsidR="009A0425" w:rsidRPr="009A0425" w:rsidRDefault="009A0425" w:rsidP="002C5C58">
      <w:pPr>
        <w:pStyle w:val="Sinespaciado"/>
        <w:ind w:firstLine="0"/>
      </w:pPr>
      <w:r>
        <w:rPr>
          <w:rStyle w:val="Refdenotaalpie"/>
        </w:rPr>
        <w:footnoteRef/>
      </w:r>
      <w:r w:rsidRPr="009A0425">
        <w:t xml:space="preserve"> https://drive.google.com/drive/folders/1NQLREYmdn0_8H4lsUehjhVJo1zsNFHrn</w:t>
      </w:r>
    </w:p>
  </w:footnote>
  <w:footnote w:id="94">
    <w:p w14:paraId="4225E363" w14:textId="6FC4D82C" w:rsidR="009A0425" w:rsidRPr="00844123" w:rsidRDefault="009A0425" w:rsidP="002C5C58">
      <w:pPr>
        <w:pStyle w:val="Sinespaciado"/>
        <w:ind w:firstLine="0"/>
        <w:rPr>
          <w:lang w:val="en-US"/>
        </w:rPr>
      </w:pPr>
      <w:r>
        <w:rPr>
          <w:rStyle w:val="Refdenotaalpie"/>
        </w:rPr>
        <w:footnoteRef/>
      </w:r>
      <w:r w:rsidRPr="00844123">
        <w:rPr>
          <w:lang w:val="en-US"/>
        </w:rPr>
        <w:t xml:space="preserve"> The inter-university net on disability has existed for more than 20 years, nowadays it is the net of the Inter-Uni</w:t>
      </w:r>
      <w:r w:rsidR="00F421CA">
        <w:rPr>
          <w:lang w:val="en-US"/>
        </w:rPr>
        <w:t>versity National Council (CIN).</w:t>
      </w:r>
      <w:r w:rsidRPr="00844123">
        <w:rPr>
          <w:lang w:val="en-US"/>
        </w:rPr>
        <w:t xml:space="preserve"> </w:t>
      </w:r>
    </w:p>
  </w:footnote>
  <w:footnote w:id="95">
    <w:p w14:paraId="5A6A8A85" w14:textId="32F890F1" w:rsidR="009A0425" w:rsidRPr="00844123" w:rsidRDefault="009A0425" w:rsidP="002C5C58">
      <w:pPr>
        <w:pStyle w:val="Sinespaciado"/>
        <w:ind w:firstLine="0"/>
        <w:rPr>
          <w:lang w:val="en-US"/>
        </w:rPr>
      </w:pPr>
      <w:r>
        <w:rPr>
          <w:vertAlign w:val="superscript"/>
        </w:rPr>
        <w:footnoteRef/>
      </w:r>
      <w:r w:rsidRPr="00844123">
        <w:rPr>
          <w:lang w:val="en-US"/>
        </w:rPr>
        <w:t xml:space="preserve"> The National University of La Plata (UNLP) in Buenos Aires Province does not comply with </w:t>
      </w:r>
      <w:r w:rsidR="00BC1F1E">
        <w:rPr>
          <w:lang w:val="en-US"/>
        </w:rPr>
        <w:t>Law N°</w:t>
      </w:r>
      <w:r w:rsidRPr="00844123">
        <w:rPr>
          <w:lang w:val="en-US"/>
        </w:rPr>
        <w:t xml:space="preserve"> 26653. Most of the content on web pages, event the portal site of the UNLP is not accessible and accessibility is only guaranteed through voluntary initiatives of the </w:t>
      </w:r>
      <w:r w:rsidR="00F421CA">
        <w:rPr>
          <w:lang w:val="en-US"/>
        </w:rPr>
        <w:t>University Commission of Disability</w:t>
      </w:r>
      <w:r w:rsidRPr="00844123">
        <w:rPr>
          <w:lang w:val="en-US"/>
        </w:rPr>
        <w:t xml:space="preserve"> and the </w:t>
      </w:r>
      <w:r w:rsidR="00F421CA">
        <w:rPr>
          <w:lang w:val="en-US"/>
        </w:rPr>
        <w:t>University Commission on Disability</w:t>
      </w:r>
      <w:r w:rsidRPr="00844123">
        <w:rPr>
          <w:lang w:val="en-US"/>
        </w:rPr>
        <w:t xml:space="preserve">: </w:t>
      </w:r>
      <w:hyperlink r:id="rId56" w:history="1">
        <w:r w:rsidR="00BC1F1E">
          <w:rPr>
            <w:rStyle w:val="Hipervnculo"/>
            <w:rFonts w:cstheme="minorBidi"/>
            <w:lang w:val="en-US"/>
          </w:rPr>
          <w:t>link</w:t>
        </w:r>
      </w:hyperlink>
      <w:r w:rsidRPr="00844123">
        <w:rPr>
          <w:lang w:val="en-US"/>
        </w:rPr>
        <w:t xml:space="preserve"> and </w:t>
      </w:r>
      <w:hyperlink r:id="rId57">
        <w:r w:rsidRPr="00844123">
          <w:rPr>
            <w:color w:val="1155CC"/>
            <w:u w:val="single"/>
            <w:lang w:val="en-US"/>
          </w:rPr>
          <w:t>http://www.cud.unlp.edu.ar</w:t>
        </w:r>
      </w:hyperlink>
      <w:r w:rsidRPr="00844123">
        <w:rPr>
          <w:b/>
          <w:lang w:val="en-US"/>
        </w:rPr>
        <w:t xml:space="preserve"> </w:t>
      </w:r>
    </w:p>
  </w:footnote>
  <w:footnote w:id="96">
    <w:p w14:paraId="16D059E1" w14:textId="00D96002" w:rsidR="009A0425" w:rsidRPr="00844123" w:rsidRDefault="009A0425" w:rsidP="002C5C58">
      <w:pPr>
        <w:pStyle w:val="Sinespaciado"/>
        <w:ind w:firstLine="0"/>
        <w:rPr>
          <w:lang w:val="en-US"/>
        </w:rPr>
      </w:pPr>
      <w:r>
        <w:rPr>
          <w:rStyle w:val="Refdenotaalpie"/>
        </w:rPr>
        <w:footnoteRef/>
      </w:r>
      <w:r w:rsidRPr="00844123">
        <w:rPr>
          <w:lang w:val="en-US"/>
        </w:rPr>
        <w:t xml:space="preserve"> During 2021, Colonia Domingo Cabred (Open Door), José Esteves (Temperley), Alejandro Korn (Melchor Romero, La Plata) and Domingo Taraborelli (Necochea), all in the Province of Buenos Aires, presented their adequacy projects</w:t>
      </w:r>
    </w:p>
  </w:footnote>
  <w:footnote w:id="97">
    <w:p w14:paraId="46F075E9" w14:textId="251FBC38" w:rsidR="009A0425" w:rsidRPr="00844123" w:rsidRDefault="009A0425" w:rsidP="002C5C58">
      <w:pPr>
        <w:pStyle w:val="Sinespaciado"/>
        <w:ind w:firstLine="0"/>
        <w:rPr>
          <w:lang w:val="en-US"/>
        </w:rPr>
      </w:pPr>
      <w:r>
        <w:rPr>
          <w:rStyle w:val="Refdenotaalpie"/>
        </w:rPr>
        <w:footnoteRef/>
      </w:r>
      <w:r w:rsidRPr="00844123">
        <w:rPr>
          <w:lang w:val="en-US"/>
        </w:rPr>
        <w:t xml:space="preserve"> </w:t>
      </w:r>
      <w:hyperlink r:id="rId58" w:history="1">
        <w:r w:rsidRPr="00416BC1">
          <w:rPr>
            <w:rStyle w:val="Hipervnculo"/>
            <w:lang w:val="en-US"/>
          </w:rPr>
          <w:t>https://docs.google.com/document/d/1pcZJ82Eow7tDYzUq4LHAhiFFIkxggUaB/edit</w:t>
        </w:r>
      </w:hyperlink>
    </w:p>
  </w:footnote>
  <w:footnote w:id="98">
    <w:p w14:paraId="00AEB4B3" w14:textId="3584B5F8" w:rsidR="009A0425" w:rsidRDefault="009A0425" w:rsidP="002C5C58">
      <w:pPr>
        <w:pStyle w:val="Sinespaciado"/>
        <w:ind w:firstLine="0"/>
      </w:pPr>
      <w:r>
        <w:rPr>
          <w:rStyle w:val="Refdenotaalpie"/>
        </w:rPr>
        <w:footnoteRef/>
      </w:r>
      <w:r>
        <w:t xml:space="preserve"> </w:t>
      </w:r>
      <w:proofErr w:type="spellStart"/>
      <w:r w:rsidRPr="00590F3B">
        <w:t>N</w:t>
      </w:r>
      <w:r>
        <w:t>ational</w:t>
      </w:r>
      <w:proofErr w:type="spellEnd"/>
      <w:r>
        <w:t xml:space="preserve"> </w:t>
      </w:r>
      <w:proofErr w:type="spellStart"/>
      <w:r w:rsidR="00BC1F1E">
        <w:t>Law</w:t>
      </w:r>
      <w:proofErr w:type="spellEnd"/>
      <w:r w:rsidR="00BC1F1E">
        <w:t xml:space="preserve"> N°</w:t>
      </w:r>
      <w:r w:rsidRPr="00590F3B">
        <w:t xml:space="preserve"> 25.929</w:t>
      </w:r>
      <w:r>
        <w:t xml:space="preserve">: </w:t>
      </w:r>
      <w:hyperlink r:id="rId59" w:history="1">
        <w:r w:rsidR="00BC1F1E">
          <w:rPr>
            <w:rStyle w:val="Hipervnculo"/>
          </w:rPr>
          <w:t>link</w:t>
        </w:r>
        <w:r w:rsidRPr="00590F3B">
          <w:rPr>
            <w:rStyle w:val="Hipervnculo"/>
          </w:rPr>
          <w:t>.</w:t>
        </w:r>
      </w:hyperlink>
      <w:r>
        <w:t xml:space="preserve"> </w:t>
      </w:r>
    </w:p>
  </w:footnote>
  <w:footnote w:id="99">
    <w:p w14:paraId="447A98AC" w14:textId="61A1CD4E" w:rsidR="009A0425" w:rsidRPr="003B5755" w:rsidRDefault="009A0425" w:rsidP="002C5C58">
      <w:pPr>
        <w:pStyle w:val="Sinespaciado"/>
        <w:ind w:firstLine="0"/>
        <w:rPr>
          <w:rFonts w:cstheme="minorHAnsi"/>
        </w:rPr>
      </w:pPr>
      <w:r w:rsidRPr="003B5755">
        <w:rPr>
          <w:rStyle w:val="Refdenotaalpie"/>
          <w:rFonts w:cstheme="minorHAnsi"/>
        </w:rPr>
        <w:footnoteRef/>
      </w:r>
      <w:r w:rsidRPr="003B5755">
        <w:rPr>
          <w:rFonts w:cstheme="minorHAnsi"/>
        </w:rPr>
        <w:t xml:space="preserve"> Jujuy al momento, </w:t>
      </w:r>
      <w:hyperlink r:id="rId60" w:history="1">
        <w:r w:rsidRPr="003B5755">
          <w:rPr>
            <w:rStyle w:val="Hipervnculo"/>
            <w:rFonts w:eastAsiaTheme="majorEastAsia" w:cstheme="minorHAnsi"/>
          </w:rPr>
          <w:t>Malestar y quejas por largas filas y atención lenta en Hospital Néstor Sequeiros</w:t>
        </w:r>
      </w:hyperlink>
      <w:r w:rsidRPr="003B5755">
        <w:rPr>
          <w:rFonts w:cstheme="minorHAnsi"/>
        </w:rPr>
        <w:t xml:space="preserve">, </w:t>
      </w:r>
      <w:r w:rsidRPr="00E94D17">
        <w:rPr>
          <w:sz w:val="18"/>
          <w:szCs w:val="18"/>
        </w:rPr>
        <w:t>Oct. 24th., 2022</w:t>
      </w:r>
    </w:p>
  </w:footnote>
  <w:footnote w:id="100">
    <w:p w14:paraId="54467617" w14:textId="5FE5955C" w:rsidR="009A0425" w:rsidRPr="00844123" w:rsidRDefault="009A0425" w:rsidP="002C5C58">
      <w:pPr>
        <w:pStyle w:val="Sinespaciado"/>
        <w:ind w:firstLine="0"/>
        <w:rPr>
          <w:lang w:val="en-US"/>
        </w:rPr>
      </w:pPr>
      <w:r>
        <w:rPr>
          <w:rStyle w:val="Refdenotaalpie"/>
        </w:rPr>
        <w:footnoteRef/>
      </w:r>
      <w:r w:rsidRPr="00844123">
        <w:rPr>
          <w:lang w:val="en-US"/>
        </w:rPr>
        <w:t xml:space="preserve"> Information provided by the Civil Service Management Secretary of the Chief Cabinet of Ministers of the Nation</w:t>
      </w:r>
    </w:p>
  </w:footnote>
  <w:footnote w:id="101">
    <w:p w14:paraId="2E5C9F6D" w14:textId="2EAA151F" w:rsidR="009A0425" w:rsidRPr="00844123" w:rsidRDefault="009A0425" w:rsidP="002C5C58">
      <w:pPr>
        <w:pStyle w:val="Sinespaciado"/>
        <w:ind w:firstLine="0"/>
        <w:rPr>
          <w:lang w:val="en-US"/>
        </w:rPr>
      </w:pPr>
      <w:r>
        <w:rPr>
          <w:rStyle w:val="Refdenotaalpie"/>
        </w:rPr>
        <w:footnoteRef/>
      </w:r>
      <w:r w:rsidR="00F421CA">
        <w:rPr>
          <w:lang w:val="en-US"/>
        </w:rPr>
        <w:t xml:space="preserve"> </w:t>
      </w:r>
      <w:r w:rsidRPr="00844123">
        <w:rPr>
          <w:lang w:val="en-US"/>
        </w:rPr>
        <w:t>Resolution</w:t>
      </w:r>
      <w:r w:rsidR="00F421CA">
        <w:rPr>
          <w:lang w:val="en-US"/>
        </w:rPr>
        <w:t xml:space="preserve"> 3/21</w:t>
      </w:r>
    </w:p>
  </w:footnote>
  <w:footnote w:id="102">
    <w:p w14:paraId="4933F8BF" w14:textId="72EB9321" w:rsidR="009A0425" w:rsidRPr="00844123" w:rsidRDefault="009A0425" w:rsidP="002C5C58">
      <w:pPr>
        <w:pStyle w:val="Sinespaciado"/>
        <w:ind w:firstLine="0"/>
        <w:rPr>
          <w:lang w:val="en-US"/>
        </w:rPr>
      </w:pPr>
      <w:r>
        <w:rPr>
          <w:rStyle w:val="Refdenotaalpie"/>
        </w:rPr>
        <w:footnoteRef/>
      </w:r>
      <w:r w:rsidRPr="00844123">
        <w:rPr>
          <w:lang w:val="en-US"/>
        </w:rPr>
        <w:t xml:space="preserve"> </w:t>
      </w:r>
      <w:r w:rsidR="00BC1F1E">
        <w:rPr>
          <w:sz w:val="18"/>
          <w:szCs w:val="18"/>
          <w:lang w:val="en-US"/>
        </w:rPr>
        <w:t>Law N°</w:t>
      </w:r>
      <w:r w:rsidRPr="00844123">
        <w:rPr>
          <w:sz w:val="18"/>
          <w:szCs w:val="18"/>
          <w:lang w:val="en-US"/>
        </w:rPr>
        <w:t xml:space="preserve"> 27</w:t>
      </w:r>
      <w:r w:rsidR="00F421CA">
        <w:rPr>
          <w:sz w:val="18"/>
          <w:szCs w:val="18"/>
          <w:lang w:val="en-US"/>
        </w:rPr>
        <w:t>.</w:t>
      </w:r>
      <w:r w:rsidRPr="00844123">
        <w:rPr>
          <w:sz w:val="18"/>
          <w:szCs w:val="18"/>
          <w:lang w:val="en-US"/>
        </w:rPr>
        <w:t>555 Home office legal contract regime</w:t>
      </w:r>
      <w:r w:rsidR="00F421CA">
        <w:rPr>
          <w:sz w:val="18"/>
          <w:szCs w:val="18"/>
          <w:lang w:val="en-US"/>
        </w:rPr>
        <w:t>:</w:t>
      </w:r>
      <w:r w:rsidRPr="00844123">
        <w:rPr>
          <w:sz w:val="18"/>
          <w:szCs w:val="18"/>
          <w:lang w:val="en-US"/>
        </w:rPr>
        <w:t xml:space="preserve"> </w:t>
      </w:r>
      <w:hyperlink r:id="rId61" w:history="1">
        <w:r w:rsidR="00BC1F1E">
          <w:rPr>
            <w:rStyle w:val="Hipervnculo"/>
            <w:lang w:val="en-US"/>
          </w:rPr>
          <w:t>link</w:t>
        </w:r>
        <w:r w:rsidRPr="00416BC1">
          <w:rPr>
            <w:rStyle w:val="Hipervnculo"/>
            <w:lang w:val="en-US"/>
          </w:rPr>
          <w:t xml:space="preserve">. </w:t>
        </w:r>
      </w:hyperlink>
      <w:r w:rsidRPr="00844123">
        <w:rPr>
          <w:lang w:val="en-US"/>
        </w:rPr>
        <w:t xml:space="preserve"> </w:t>
      </w:r>
    </w:p>
  </w:footnote>
  <w:footnote w:id="103">
    <w:p w14:paraId="40751052" w14:textId="0C1D72B8" w:rsidR="009A0425" w:rsidRPr="00844123" w:rsidRDefault="009A0425" w:rsidP="002C5C58">
      <w:pPr>
        <w:pStyle w:val="Sinespaciado"/>
        <w:ind w:firstLine="0"/>
        <w:rPr>
          <w:lang w:val="en-US"/>
        </w:rPr>
      </w:pPr>
      <w:r>
        <w:rPr>
          <w:rStyle w:val="Refdenotaalpie"/>
        </w:rPr>
        <w:footnoteRef/>
      </w:r>
      <w:r w:rsidRPr="00844123">
        <w:rPr>
          <w:lang w:val="en-US"/>
        </w:rPr>
        <w:t xml:space="preserve"> Possibility of egalitarian labor integration is particularly blocked in the Judicial Power of the Province of Santa Fé. Since 2015 it modified the “regime of admission of administrative employees, drivers and trade workers of the judicial power”, incorporating the “Regime of admission of applicants with different capacities, so as to comply with the requisite of the minimum 4% quota of PWD employed in the State. For the 2018 admission and in order not to make reasonable adjustments for all PWD, the Judicial Power excused them from these stages: typing examination and spelling and content examinations. Then a toss was carried out with all the PWD in order to establish an order of precedence for the admission foreseen in the new regulation. Finally, the PWD that are a part of the list of “Applicants with Different Capacities” cannot subrogate in judicial labor, only hold a position, while the people on the general list can subrogate and hold a position. It is worth mentioning that surrogacy provides credits for future promotions.</w:t>
      </w:r>
    </w:p>
  </w:footnote>
  <w:footnote w:id="104">
    <w:p w14:paraId="2E2D3822" w14:textId="3AD730A0" w:rsidR="009A0425" w:rsidRPr="003B51FB" w:rsidRDefault="009A0425" w:rsidP="002C5C58">
      <w:pPr>
        <w:pStyle w:val="Sinespaciado"/>
        <w:ind w:firstLine="0"/>
      </w:pPr>
      <w:r w:rsidRPr="003B51FB">
        <w:rPr>
          <w:rStyle w:val="Refdenotaalpie"/>
        </w:rPr>
        <w:footnoteRef/>
      </w:r>
      <w:r w:rsidRPr="003B51FB">
        <w:t xml:space="preserve"> </w:t>
      </w:r>
      <w:proofErr w:type="spellStart"/>
      <w:r w:rsidR="00BC1F1E">
        <w:rPr>
          <w:rFonts w:eastAsiaTheme="majorEastAsia"/>
        </w:rPr>
        <w:t>Law</w:t>
      </w:r>
      <w:proofErr w:type="spellEnd"/>
      <w:r w:rsidR="00BC1F1E">
        <w:rPr>
          <w:rFonts w:eastAsiaTheme="majorEastAsia"/>
        </w:rPr>
        <w:t xml:space="preserve"> N°</w:t>
      </w:r>
      <w:r w:rsidR="00F421CA" w:rsidRPr="00F421CA">
        <w:rPr>
          <w:rFonts w:eastAsiaTheme="majorEastAsia"/>
        </w:rPr>
        <w:t xml:space="preserve"> </w:t>
      </w:r>
      <w:r w:rsidRPr="00F421CA">
        <w:rPr>
          <w:rFonts w:eastAsiaTheme="majorEastAsia"/>
        </w:rPr>
        <w:t xml:space="preserve"> 26.816</w:t>
      </w:r>
      <w:r w:rsidRPr="003B51FB">
        <w:t>.</w:t>
      </w:r>
    </w:p>
  </w:footnote>
  <w:footnote w:id="105">
    <w:p w14:paraId="17CF39C9" w14:textId="4DAE4A68" w:rsidR="009A0425" w:rsidRDefault="009A0425" w:rsidP="002C5C58">
      <w:pPr>
        <w:pStyle w:val="Sinespaciado"/>
        <w:ind w:firstLine="0"/>
      </w:pPr>
      <w:r w:rsidRPr="003B51FB">
        <w:rPr>
          <w:rStyle w:val="Refdenotaalpie"/>
        </w:rPr>
        <w:footnoteRef/>
      </w:r>
      <w:r>
        <w:t xml:space="preserve"> </w:t>
      </w:r>
      <w:hyperlink r:id="rId62" w:history="1">
        <w:proofErr w:type="spellStart"/>
        <w:r>
          <w:rPr>
            <w:rStyle w:val="Hipervnculo"/>
            <w:rFonts w:cstheme="minorBidi"/>
          </w:rPr>
          <w:t>Reglamentary</w:t>
        </w:r>
        <w:proofErr w:type="spellEnd"/>
        <w:r>
          <w:rPr>
            <w:rStyle w:val="Hipervnculo"/>
            <w:rFonts w:cstheme="minorBidi"/>
          </w:rPr>
          <w:t xml:space="preserve"> </w:t>
        </w:r>
        <w:proofErr w:type="spellStart"/>
        <w:r w:rsidR="00BC1F1E">
          <w:rPr>
            <w:rStyle w:val="Hipervnculo"/>
            <w:rFonts w:cstheme="minorBidi"/>
          </w:rPr>
          <w:t>Decree</w:t>
        </w:r>
        <w:proofErr w:type="spellEnd"/>
        <w:r w:rsidR="00BC1F1E">
          <w:rPr>
            <w:rStyle w:val="Hipervnculo"/>
            <w:rFonts w:cstheme="minorBidi"/>
          </w:rPr>
          <w:t xml:space="preserve"> N°</w:t>
        </w:r>
        <w:r>
          <w:rPr>
            <w:rStyle w:val="Hipervnculo"/>
            <w:rFonts w:cstheme="minorBidi"/>
          </w:rPr>
          <w:t xml:space="preserve"> 1771/15 </w:t>
        </w:r>
      </w:hyperlink>
      <w:r w:rsidRPr="003B51FB">
        <w:rPr>
          <w:rFonts w:cstheme="minorHAnsi"/>
          <w:color w:val="000000"/>
          <w:lang w:eastAsia="en-GB"/>
        </w:rPr>
        <w:t xml:space="preserve"> </w:t>
      </w:r>
    </w:p>
  </w:footnote>
  <w:footnote w:id="106">
    <w:p w14:paraId="03E887CD" w14:textId="0271E23A" w:rsidR="009A0425" w:rsidRDefault="009A0425" w:rsidP="002C5C58">
      <w:pPr>
        <w:pStyle w:val="Sinespaciado"/>
        <w:ind w:firstLine="0"/>
      </w:pPr>
      <w:r>
        <w:rPr>
          <w:rStyle w:val="Refdenotaalpie"/>
        </w:rPr>
        <w:footnoteRef/>
      </w:r>
      <w:r>
        <w:t xml:space="preserve"> </w:t>
      </w:r>
      <w:r w:rsidRPr="00EE25A0">
        <w:t>Resolutions Nº 347/2021 and 792/2021 (Ministerio de Trabajo Empleo y Seguridad Social), Prev-11-70 3/13 (</w:t>
      </w:r>
      <w:r>
        <w:t>valid since</w:t>
      </w:r>
      <w:r w:rsidRPr="00EE25A0">
        <w:t xml:space="preserve"> july 2022</w:t>
      </w:r>
      <w:r>
        <w:t>)</w:t>
      </w:r>
      <w:r w:rsidRPr="00EE25A0">
        <w:t xml:space="preserve"> ANSES.</w:t>
      </w:r>
    </w:p>
  </w:footnote>
  <w:footnote w:id="107">
    <w:p w14:paraId="2C367822" w14:textId="7C6226E4" w:rsidR="009A0425" w:rsidRPr="00A93372" w:rsidRDefault="009A0425" w:rsidP="002C5C58">
      <w:pPr>
        <w:pStyle w:val="Sinespaciado"/>
        <w:ind w:firstLine="0"/>
        <w:rPr>
          <w:lang w:val="en-US"/>
        </w:rPr>
      </w:pPr>
      <w:r>
        <w:rPr>
          <w:rStyle w:val="Refdenotaalpie"/>
        </w:rPr>
        <w:footnoteRef/>
      </w:r>
      <w:r w:rsidRPr="00A93372">
        <w:rPr>
          <w:lang w:val="en-US"/>
        </w:rPr>
        <w:t xml:space="preserve"> </w:t>
      </w:r>
      <w:proofErr w:type="gramStart"/>
      <w:r w:rsidR="00BC1F1E">
        <w:rPr>
          <w:lang w:val="en-US"/>
        </w:rPr>
        <w:t>Decree N° 432/97.</w:t>
      </w:r>
      <w:proofErr w:type="gramEnd"/>
      <w:r w:rsidRPr="00A93372">
        <w:rPr>
          <w:lang w:val="en-US"/>
        </w:rPr>
        <w:t xml:space="preserve"> </w:t>
      </w:r>
      <w:proofErr w:type="gramStart"/>
      <w:r w:rsidRPr="00A93372">
        <w:rPr>
          <w:lang w:val="en-US"/>
        </w:rPr>
        <w:t>Previous to the Convention.</w:t>
      </w:r>
      <w:proofErr w:type="gramEnd"/>
    </w:p>
  </w:footnote>
  <w:footnote w:id="108">
    <w:p w14:paraId="09520505" w14:textId="3C56A261" w:rsidR="009A0425" w:rsidRPr="00844123" w:rsidRDefault="009A0425" w:rsidP="002C5C58">
      <w:pPr>
        <w:pStyle w:val="Sinespaciado"/>
        <w:ind w:firstLine="0"/>
        <w:rPr>
          <w:lang w:val="en-US"/>
        </w:rPr>
      </w:pPr>
      <w:r>
        <w:rPr>
          <w:rStyle w:val="Refdenotaalpie"/>
        </w:rPr>
        <w:footnoteRef/>
      </w:r>
      <w:r w:rsidRPr="00844123">
        <w:rPr>
          <w:lang w:val="en-US"/>
        </w:rPr>
        <w:t xml:space="preserve"> </w:t>
      </w:r>
      <w:r w:rsidR="00BC1F1E">
        <w:rPr>
          <w:lang w:val="en-US"/>
        </w:rPr>
        <w:t>Decree N°</w:t>
      </w:r>
      <w:r w:rsidRPr="00844123">
        <w:rPr>
          <w:lang w:val="en-US"/>
        </w:rPr>
        <w:t xml:space="preserve"> 432/97 https://www.boletinoficial.gob.ar/detalleAviso/primera/279166/20230106</w:t>
      </w:r>
    </w:p>
  </w:footnote>
  <w:footnote w:id="109">
    <w:p w14:paraId="11A1DCE9" w14:textId="08B83E66" w:rsidR="009A0425" w:rsidRPr="00844123" w:rsidRDefault="009A0425" w:rsidP="002C5C58">
      <w:pPr>
        <w:pStyle w:val="Sinespaciado"/>
        <w:ind w:firstLine="0"/>
        <w:rPr>
          <w:lang w:val="en-US"/>
        </w:rPr>
      </w:pPr>
      <w:r>
        <w:rPr>
          <w:rStyle w:val="Refdenotaalpie"/>
        </w:rPr>
        <w:footnoteRef/>
      </w:r>
      <w:r w:rsidRPr="00844123">
        <w:rPr>
          <w:lang w:val="en-US"/>
        </w:rPr>
        <w:t xml:space="preserve"> On September, 18</w:t>
      </w:r>
      <w:r w:rsidRPr="00844123">
        <w:rPr>
          <w:vertAlign w:val="superscript"/>
          <w:lang w:val="en-US"/>
        </w:rPr>
        <w:t>th</w:t>
      </w:r>
      <w:r w:rsidRPr="00844123">
        <w:rPr>
          <w:lang w:val="en-US"/>
        </w:rPr>
        <w:t>. 2018 a first instance sentence overruled the arbitrary governmental decision questioned in trial because it had not taken into account the guarantee of due process of PWD.</w:t>
      </w:r>
    </w:p>
  </w:footnote>
  <w:footnote w:id="110">
    <w:p w14:paraId="2AACB3EA" w14:textId="390D4E88" w:rsidR="009A0425" w:rsidRPr="00844123" w:rsidRDefault="009A0425" w:rsidP="002C5C58">
      <w:pPr>
        <w:pStyle w:val="Sinespaciado"/>
        <w:ind w:firstLine="0"/>
        <w:rPr>
          <w:lang w:val="en-US"/>
        </w:rPr>
      </w:pPr>
      <w:r>
        <w:rPr>
          <w:rStyle w:val="Refdenotaalpie"/>
        </w:rPr>
        <w:footnoteRef/>
      </w:r>
      <w:r w:rsidRPr="00844123">
        <w:rPr>
          <w:lang w:val="en-US"/>
        </w:rPr>
        <w:t xml:space="preserve"> On March, 15</w:t>
      </w:r>
      <w:r w:rsidRPr="00844123">
        <w:rPr>
          <w:vertAlign w:val="superscript"/>
          <w:lang w:val="en-US"/>
        </w:rPr>
        <w:t>th</w:t>
      </w:r>
      <w:r w:rsidRPr="00844123">
        <w:rPr>
          <w:lang w:val="en-US"/>
        </w:rPr>
        <w:t>. 2019 the Appeals Chamber declared articles 1b,1f, 1g and 5b unconstitutional because they violated CRPD as they did not recognized autonomy on PWD. The rules contested by the collective approach PWD from a biological content, seeing only the impossibility of getting into the working world and do not focus on the attitudinal market, cultural and social existing barriers. Besides, they require the inexistence of relatives forced to feed and assist them for the granting of the pension. In this way, they do not see the adult PWD as an autonomous person with the right to get a genuine income of social protection, but they move this person to a political debate and focus on the family to which he will be dependent on. In conclusion, he is forced to start a process of claim to the family and the pension is only granted under the impossibility of getting the family financial support</w:t>
      </w:r>
    </w:p>
  </w:footnote>
  <w:footnote w:id="111">
    <w:p w14:paraId="355AA78F" w14:textId="711760B9" w:rsidR="009A0425" w:rsidRPr="00844123" w:rsidRDefault="009A0425" w:rsidP="002C5C58">
      <w:pPr>
        <w:pStyle w:val="Sinespaciado"/>
        <w:ind w:firstLine="0"/>
        <w:rPr>
          <w:lang w:val="en-US"/>
        </w:rPr>
      </w:pPr>
      <w:r>
        <w:rPr>
          <w:rStyle w:val="Refdenotaalpie"/>
        </w:rPr>
        <w:footnoteRef/>
      </w:r>
      <w:r w:rsidRPr="00844123">
        <w:rPr>
          <w:lang w:val="en-US"/>
        </w:rPr>
        <w:t xml:space="preserve"> Nowadays, a minimum wage in the province of Buenos Aires is about $33000; the amount of disability pensions is still inferior to that. In May, 2022 they were raised from $ 1300 to $ 4020 in the case of children and from $860 to $2814 in the case of adults.</w:t>
      </w:r>
    </w:p>
  </w:footnote>
  <w:footnote w:id="112">
    <w:p w14:paraId="285BF8D0" w14:textId="5E1FB3F3" w:rsidR="009A0425" w:rsidRDefault="009A0425" w:rsidP="002C5C58">
      <w:pPr>
        <w:pStyle w:val="Sinespaciado"/>
        <w:ind w:firstLine="0"/>
      </w:pPr>
      <w:r>
        <w:rPr>
          <w:rStyle w:val="Refdenotaalpie"/>
        </w:rPr>
        <w:footnoteRef/>
      </w:r>
      <w:r>
        <w:t xml:space="preserve"> Legal action was presented by Azul Association under legal sponsorship of the Clínica de Discapacidad y Derechos Humanos de la Facultad de Ciencias Jurídicas de la UNLP.</w:t>
      </w:r>
    </w:p>
  </w:footnote>
  <w:footnote w:id="113">
    <w:p w14:paraId="49C4C938" w14:textId="42A11A4E" w:rsidR="009A0425" w:rsidRPr="00844123" w:rsidRDefault="009A0425" w:rsidP="002C5C58">
      <w:pPr>
        <w:pStyle w:val="Sinespaciado"/>
        <w:ind w:firstLine="0"/>
        <w:rPr>
          <w:lang w:val="en-US"/>
        </w:rPr>
      </w:pPr>
      <w:r>
        <w:rPr>
          <w:rStyle w:val="Refdenotaalpie"/>
        </w:rPr>
        <w:footnoteRef/>
      </w:r>
      <w:r w:rsidRPr="00844123">
        <w:rPr>
          <w:lang w:val="en-US"/>
        </w:rPr>
        <w:t xml:space="preserve"> The most valuable of the service and “at the same time damaging” as defined by beneficiaries, is the health care coverage of IOMA and the services it included.</w:t>
      </w:r>
    </w:p>
  </w:footnote>
  <w:footnote w:id="114">
    <w:p w14:paraId="5F4A5A26" w14:textId="346084E1" w:rsidR="009A0425" w:rsidRPr="00844123" w:rsidRDefault="009A0425" w:rsidP="002C5C58">
      <w:pPr>
        <w:pStyle w:val="Sinespaciado"/>
        <w:ind w:firstLine="0"/>
        <w:rPr>
          <w:lang w:val="en-US"/>
        </w:rPr>
      </w:pPr>
      <w:r>
        <w:rPr>
          <w:rStyle w:val="Refdenotaalpie"/>
        </w:rPr>
        <w:footnoteRef/>
      </w:r>
      <w:r w:rsidRPr="00844123">
        <w:rPr>
          <w:lang w:val="en-US"/>
        </w:rPr>
        <w:t xml:space="preserve"> </w:t>
      </w:r>
      <w:hyperlink r:id="rId63" w:anchor=":~:text=El%20Ingreso%20familiar%20de%20emergencia,categor%C3%ADa%20A%20y%20B)%2C%20Monotributistas" w:history="1">
        <w:r w:rsidRPr="00844123">
          <w:rPr>
            <w:rStyle w:val="Hipervnculo"/>
            <w:rFonts w:eastAsiaTheme="majorEastAsia"/>
            <w:lang w:val="en-US"/>
          </w:rPr>
          <w:t>Emergency Familiar Income (IFE)</w:t>
        </w:r>
      </w:hyperlink>
    </w:p>
  </w:footnote>
  <w:footnote w:id="115">
    <w:p w14:paraId="3288FA44" w14:textId="6F21F19D" w:rsidR="009A0425" w:rsidRPr="00844123" w:rsidRDefault="009A0425" w:rsidP="002C5C58">
      <w:pPr>
        <w:pStyle w:val="Sinespaciado"/>
        <w:ind w:firstLine="0"/>
        <w:rPr>
          <w:lang w:val="en-US"/>
        </w:rPr>
      </w:pPr>
      <w:r>
        <w:rPr>
          <w:rStyle w:val="Refdenotaalpie"/>
        </w:rPr>
        <w:footnoteRef/>
      </w:r>
      <w:r w:rsidRPr="00844123">
        <w:rPr>
          <w:lang w:val="en-US"/>
        </w:rPr>
        <w:t xml:space="preserve"> National Electoral Code, Artícle 3 Inc. a: </w:t>
      </w:r>
      <w:hyperlink r:id="rId64" w:history="1">
        <w:r w:rsidR="00BC1F1E">
          <w:rPr>
            <w:rStyle w:val="Hipervnculo"/>
            <w:rFonts w:eastAsiaTheme="majorEastAsia"/>
            <w:lang w:val="en-US"/>
          </w:rPr>
          <w:t>link</w:t>
        </w:r>
      </w:hyperlink>
      <w:r w:rsidRPr="00844123">
        <w:rPr>
          <w:lang w:val="en-US"/>
        </w:rPr>
        <w:t xml:space="preserve">.  </w:t>
      </w:r>
    </w:p>
  </w:footnote>
  <w:footnote w:id="116">
    <w:p w14:paraId="4BF5D9FF" w14:textId="7FADFFB9" w:rsidR="009A0425" w:rsidRPr="00844123" w:rsidRDefault="009A0425" w:rsidP="002C5C58">
      <w:pPr>
        <w:pStyle w:val="Sinespaciado"/>
        <w:ind w:firstLine="0"/>
        <w:rPr>
          <w:lang w:val="en-US"/>
        </w:rPr>
      </w:pPr>
      <w:r>
        <w:rPr>
          <w:rStyle w:val="Refdenotaalpie"/>
        </w:rPr>
        <w:footnoteRef/>
      </w:r>
      <w:r w:rsidRPr="00844123">
        <w:rPr>
          <w:lang w:val="en-US"/>
        </w:rPr>
        <w:t xml:space="preserve"> Political parties </w:t>
      </w:r>
      <w:r w:rsidR="00BC1F1E">
        <w:rPr>
          <w:lang w:val="en-US"/>
        </w:rPr>
        <w:t>Law N°</w:t>
      </w:r>
      <w:r w:rsidRPr="00844123">
        <w:rPr>
          <w:lang w:val="en-US"/>
        </w:rPr>
        <w:t xml:space="preserve">, Art 33 Inc. a: </w:t>
      </w:r>
      <w:hyperlink r:id="rId65" w:history="1">
        <w:r w:rsidR="00BC1F1E">
          <w:rPr>
            <w:rStyle w:val="Hipervnculo"/>
            <w:rFonts w:eastAsiaTheme="majorEastAsia"/>
            <w:lang w:val="en-US"/>
          </w:rPr>
          <w:t>link</w:t>
        </w:r>
      </w:hyperlink>
      <w:r w:rsidRPr="00844123">
        <w:rPr>
          <w:lang w:val="en-US"/>
        </w:rPr>
        <w:t xml:space="preserve">. </w:t>
      </w:r>
    </w:p>
  </w:footnote>
  <w:footnote w:id="117">
    <w:p w14:paraId="31B8D691" w14:textId="5C64A9F1" w:rsidR="009A0425" w:rsidRPr="00844123" w:rsidRDefault="009A0425" w:rsidP="002C5C58">
      <w:pPr>
        <w:pStyle w:val="Sinespaciado"/>
        <w:ind w:firstLine="0"/>
        <w:rPr>
          <w:lang w:val="en-US"/>
        </w:rPr>
      </w:pPr>
      <w:r>
        <w:rPr>
          <w:rStyle w:val="Refdenotaalpie"/>
        </w:rPr>
        <w:footnoteRef/>
      </w:r>
      <w:r w:rsidRPr="00844123">
        <w:rPr>
          <w:lang w:val="en-US"/>
        </w:rPr>
        <w:t xml:space="preserve"> For example, Art. 11- Electoral Code of Córdoba; Art. 3- Electoral </w:t>
      </w:r>
      <w:r w:rsidR="00BC1F1E">
        <w:rPr>
          <w:lang w:val="en-US"/>
        </w:rPr>
        <w:t>Law N°</w:t>
      </w:r>
      <w:r w:rsidRPr="00844123">
        <w:rPr>
          <w:lang w:val="en-US"/>
        </w:rPr>
        <w:t xml:space="preserve"> of the Province of Buenos Aires; Art. 5- Electoral Code of Río Negro</w:t>
      </w:r>
    </w:p>
  </w:footnote>
  <w:footnote w:id="118">
    <w:p w14:paraId="29199A95" w14:textId="32DEBFB1" w:rsidR="009A0425" w:rsidRPr="00EE25A0" w:rsidRDefault="009A0425" w:rsidP="002C5C58">
      <w:pPr>
        <w:pStyle w:val="Sinespaciado"/>
        <w:ind w:firstLine="0"/>
        <w:rPr>
          <w:lang w:val="en-US"/>
        </w:rPr>
      </w:pPr>
      <w:r>
        <w:rPr>
          <w:rStyle w:val="Refdenotaalpie"/>
        </w:rPr>
        <w:footnoteRef/>
      </w:r>
      <w:r w:rsidRPr="00EE25A0">
        <w:rPr>
          <w:lang w:val="en-US"/>
        </w:rPr>
        <w:t xml:space="preserve"> </w:t>
      </w:r>
      <w:r w:rsidR="00BC1F1E">
        <w:rPr>
          <w:lang w:val="en-US"/>
        </w:rPr>
        <w:t>Law N°</w:t>
      </w:r>
      <w:r w:rsidRPr="00EE25A0">
        <w:rPr>
          <w:lang w:val="en-US"/>
        </w:rPr>
        <w:t xml:space="preserve"> 26.774, article 94. http://servicios.infoleg.gob.ar/infolegInternet/anexos/200000-204999/204176/norma.htm</w:t>
      </w:r>
    </w:p>
  </w:footnote>
  <w:footnote w:id="119">
    <w:p w14:paraId="6008D9E0" w14:textId="77277D61" w:rsidR="009A0425" w:rsidRPr="00844123" w:rsidRDefault="009A0425" w:rsidP="002C5C58">
      <w:pPr>
        <w:pStyle w:val="Sinespaciado"/>
        <w:ind w:firstLine="0"/>
        <w:rPr>
          <w:lang w:val="en-US"/>
        </w:rPr>
      </w:pPr>
      <w:r>
        <w:rPr>
          <w:rStyle w:val="Refdenotaalpie"/>
        </w:rPr>
        <w:footnoteRef/>
      </w:r>
      <w:r w:rsidRPr="00844123">
        <w:rPr>
          <w:lang w:val="en-US"/>
        </w:rPr>
        <w:t xml:space="preserve"> National Electoral Chamber 27/2015: </w:t>
      </w:r>
      <w:hyperlink r:id="rId66" w:history="1">
        <w:r w:rsidR="00BC1F1E">
          <w:rPr>
            <w:rStyle w:val="Hipervnculo"/>
            <w:lang w:val="en-US"/>
          </w:rPr>
          <w:t>link</w:t>
        </w:r>
        <w:r w:rsidRPr="00253D08">
          <w:rPr>
            <w:rStyle w:val="Hipervnculo"/>
            <w:lang w:val="en-US"/>
          </w:rPr>
          <w:t>.</w:t>
        </w:r>
      </w:hyperlink>
      <w:r w:rsidRPr="00844123">
        <w:rPr>
          <w:lang w:val="en-US"/>
        </w:rPr>
        <w:t xml:space="preserve"> </w:t>
      </w:r>
    </w:p>
  </w:footnote>
  <w:footnote w:id="120">
    <w:p w14:paraId="40E1519A" w14:textId="0009E9E5" w:rsidR="009A0425" w:rsidRPr="00844123" w:rsidRDefault="009A0425" w:rsidP="002C5C58">
      <w:pPr>
        <w:pStyle w:val="Sinespaciado"/>
        <w:ind w:firstLine="0"/>
        <w:rPr>
          <w:sz w:val="18"/>
          <w:szCs w:val="18"/>
          <w:lang w:val="en-US"/>
        </w:rPr>
      </w:pPr>
      <w:r>
        <w:rPr>
          <w:vertAlign w:val="superscript"/>
        </w:rPr>
        <w:footnoteRef/>
      </w:r>
      <w:r w:rsidRPr="00844123">
        <w:rPr>
          <w:lang w:val="en-US"/>
        </w:rPr>
        <w:t xml:space="preserve"> </w:t>
      </w:r>
      <w:r w:rsidRPr="00844123">
        <w:rPr>
          <w:sz w:val="18"/>
          <w:szCs w:val="18"/>
          <w:lang w:val="en-US"/>
        </w:rPr>
        <w:t>Wrong use of the concept of “reasonable adjustment”</w:t>
      </w:r>
      <w:r w:rsidR="00F421CA">
        <w:rPr>
          <w:sz w:val="18"/>
          <w:szCs w:val="18"/>
          <w:lang w:val="en-US"/>
        </w:rPr>
        <w:t>:</w:t>
      </w:r>
      <w:r w:rsidRPr="00844123">
        <w:rPr>
          <w:sz w:val="18"/>
          <w:szCs w:val="18"/>
          <w:lang w:val="en-US"/>
        </w:rPr>
        <w:t xml:space="preserve">  </w:t>
      </w:r>
      <w:hyperlink r:id="rId67" w:history="1">
        <w:r w:rsidR="00BC1F1E">
          <w:rPr>
            <w:rStyle w:val="Hipervnculo"/>
            <w:rFonts w:cstheme="minorBidi"/>
            <w:lang w:val="en-US"/>
          </w:rPr>
          <w:t>link</w:t>
        </w:r>
        <w:r w:rsidRPr="00844123">
          <w:rPr>
            <w:rStyle w:val="Hipervnculo"/>
            <w:rFonts w:cstheme="minorBidi"/>
            <w:lang w:val="en-US"/>
          </w:rPr>
          <w:t>.</w:t>
        </w:r>
      </w:hyperlink>
      <w:r w:rsidRPr="00844123">
        <w:rPr>
          <w:lang w:val="en-US"/>
        </w:rPr>
        <w:t xml:space="preserve"> </w:t>
      </w:r>
    </w:p>
  </w:footnote>
  <w:footnote w:id="121">
    <w:p w14:paraId="1F045D09" w14:textId="24EABEF2" w:rsidR="009A0425" w:rsidRPr="00844123" w:rsidRDefault="009A0425" w:rsidP="002C5C58">
      <w:pPr>
        <w:pStyle w:val="Sinespaciado"/>
        <w:ind w:firstLine="0"/>
        <w:rPr>
          <w:lang w:val="en-US"/>
        </w:rPr>
      </w:pPr>
      <w:r>
        <w:rPr>
          <w:vertAlign w:val="superscript"/>
        </w:rPr>
        <w:footnoteRef/>
      </w:r>
      <w:r w:rsidRPr="00844123">
        <w:rPr>
          <w:lang w:val="en-US"/>
        </w:rPr>
        <w:t xml:space="preserve"> </w:t>
      </w:r>
      <w:r w:rsidRPr="00844123">
        <w:rPr>
          <w:sz w:val="18"/>
          <w:szCs w:val="18"/>
          <w:lang w:val="en-US"/>
        </w:rPr>
        <w:t>Presentation of the Program Accessibility and Human Rights</w:t>
      </w:r>
      <w:r w:rsidR="00F421CA">
        <w:rPr>
          <w:sz w:val="18"/>
          <w:szCs w:val="18"/>
          <w:lang w:val="en-US"/>
        </w:rPr>
        <w:t>:</w:t>
      </w:r>
      <w:r w:rsidRPr="00844123">
        <w:rPr>
          <w:sz w:val="18"/>
          <w:szCs w:val="18"/>
          <w:lang w:val="en-US"/>
        </w:rPr>
        <w:t xml:space="preserve"> </w:t>
      </w:r>
      <w:hyperlink r:id="rId68" w:history="1">
        <w:r w:rsidR="00BC1F1E">
          <w:rPr>
            <w:rStyle w:val="Hipervnculo"/>
            <w:rFonts w:cstheme="minorBidi"/>
            <w:lang w:val="en-US"/>
          </w:rPr>
          <w:t>link</w:t>
        </w:r>
        <w:r w:rsidRPr="00844123">
          <w:rPr>
            <w:rStyle w:val="Hipervnculo"/>
            <w:rFonts w:cstheme="minorBidi"/>
            <w:lang w:val="en-US"/>
          </w:rPr>
          <w:t>.</w:t>
        </w:r>
      </w:hyperlink>
      <w:r w:rsidRPr="00844123">
        <w:rPr>
          <w:lang w:val="en-US"/>
        </w:rPr>
        <w:t xml:space="preserve"> </w:t>
      </w:r>
    </w:p>
  </w:footnote>
  <w:footnote w:id="122">
    <w:p w14:paraId="39A63573" w14:textId="40F80E57" w:rsidR="009A0425" w:rsidRDefault="009A0425" w:rsidP="002C5C58">
      <w:pPr>
        <w:pStyle w:val="Sinespaciado"/>
        <w:ind w:firstLine="0"/>
      </w:pPr>
      <w:r>
        <w:rPr>
          <w:rStyle w:val="Refdenotaalpie"/>
        </w:rPr>
        <w:footnoteRef/>
      </w:r>
      <w:r>
        <w:t xml:space="preserve"> Iguazú Jungle response.</w:t>
      </w:r>
    </w:p>
  </w:footnote>
  <w:footnote w:id="123">
    <w:p w14:paraId="50C7C48F" w14:textId="22C82698" w:rsidR="009A0425" w:rsidRPr="00E2759F" w:rsidRDefault="009A0425" w:rsidP="002C5C58">
      <w:pPr>
        <w:pStyle w:val="Sinespaciado"/>
        <w:ind w:firstLine="0"/>
      </w:pPr>
      <w:r>
        <w:rPr>
          <w:rStyle w:val="Refdenotaalpie"/>
        </w:rPr>
        <w:footnoteRef/>
      </w:r>
      <w:r>
        <w:t xml:space="preserve"> ANB, </w:t>
      </w:r>
      <w:hyperlink r:id="rId69" w:history="1">
        <w:r w:rsidRPr="00285D0F">
          <w:rPr>
            <w:rStyle w:val="Hipervnculo"/>
          </w:rPr>
          <w:t>“Cerro Otto: No dejaron subir a una pareja con discapacidad visual por no contar con acompañante”,</w:t>
        </w:r>
      </w:hyperlink>
      <w:r>
        <w:t xml:space="preserve"> Aug, 27th., 2022.</w:t>
      </w:r>
    </w:p>
  </w:footnote>
  <w:footnote w:id="124">
    <w:p w14:paraId="00572728" w14:textId="3070D1E2" w:rsidR="009A0425" w:rsidRDefault="009A0425" w:rsidP="002C5C58">
      <w:pPr>
        <w:pStyle w:val="Sinespaciado"/>
        <w:ind w:firstLine="0"/>
      </w:pPr>
      <w:r>
        <w:rPr>
          <w:rStyle w:val="Refdenotaalpie"/>
        </w:rPr>
        <w:footnoteRef/>
      </w:r>
      <w:r>
        <w:t xml:space="preserve"> </w:t>
      </w:r>
      <w:hyperlink r:id="rId70" w:anchor=":~:text=Plazas%20inclusivas%20y%20felices%3A%20espacios,Trastornos%20del%20Espectro%20Autista%20%2D%20Infobae" w:history="1">
        <w:r w:rsidRPr="00505870">
          <w:rPr>
            <w:rStyle w:val="Hipervnculo"/>
          </w:rPr>
          <w:t>https://www.infobae.com/tendencias/2022/04/07/plazas-inclusivas-y-felices-espacios-que-suman-juegosdisenados-para-ninos-con-trastornos-del-espectroautista/#:~:text=Plazas%20inclusivas%20y%20felices%3A%20espacios,Trastornos%20del%20Espectro%20Autista%20%2D%20Infobae</w:t>
        </w:r>
      </w:hyperlink>
    </w:p>
    <w:p w14:paraId="6645B7E5" w14:textId="4E5DF98B" w:rsidR="009A0425" w:rsidRPr="00EF3525" w:rsidRDefault="009A0425" w:rsidP="002C5C58">
      <w:pPr>
        <w:pStyle w:val="Sinespaciado"/>
        <w:ind w:firstLine="0"/>
      </w:pPr>
    </w:p>
  </w:footnote>
  <w:footnote w:id="125">
    <w:p w14:paraId="6F402317" w14:textId="4DC9479D" w:rsidR="009A0425" w:rsidRPr="00844123" w:rsidRDefault="009A0425" w:rsidP="002C5C58">
      <w:pPr>
        <w:pStyle w:val="Sinespaciado"/>
        <w:ind w:firstLine="0"/>
        <w:rPr>
          <w:lang w:val="en-US"/>
        </w:rPr>
      </w:pPr>
      <w:r>
        <w:rPr>
          <w:rStyle w:val="Refdenotaalpie"/>
        </w:rPr>
        <w:footnoteRef/>
      </w:r>
      <w:r w:rsidRPr="00844123">
        <w:rPr>
          <w:lang w:val="en-US"/>
        </w:rPr>
        <w:t xml:space="preserve"> Disability Observatory: </w:t>
      </w:r>
      <w:hyperlink r:id="rId71" w:history="1">
        <w:r w:rsidR="00BC1F1E">
          <w:rPr>
            <w:rStyle w:val="Hipervnculo"/>
            <w:lang w:val="en-US"/>
          </w:rPr>
          <w:t>link</w:t>
        </w:r>
        <w:r w:rsidRPr="004E6DCA">
          <w:rPr>
            <w:rStyle w:val="Hipervnculo"/>
            <w:lang w:val="en-US"/>
          </w:rPr>
          <w:t>.</w:t>
        </w:r>
      </w:hyperlink>
      <w:r w:rsidRPr="00844123">
        <w:rPr>
          <w:lang w:val="en-US"/>
        </w:rPr>
        <w:t xml:space="preserve"> </w:t>
      </w:r>
    </w:p>
  </w:footnote>
  <w:footnote w:id="126">
    <w:p w14:paraId="0A8F0B24" w14:textId="3E484F52" w:rsidR="009A0425" w:rsidRPr="00844123" w:rsidRDefault="009A0425" w:rsidP="002C5C58">
      <w:pPr>
        <w:pStyle w:val="Sinespaciado"/>
        <w:ind w:firstLine="0"/>
        <w:rPr>
          <w:lang w:val="en-US"/>
        </w:rPr>
      </w:pPr>
      <w:r>
        <w:rPr>
          <w:rStyle w:val="Refdenotaalpie"/>
        </w:rPr>
        <w:footnoteRef/>
      </w:r>
      <w:r w:rsidRPr="00844123">
        <w:rPr>
          <w:lang w:val="en-US"/>
        </w:rPr>
        <w:t xml:space="preserve"> In such opportunity it was observed that “the Advisor National Commission for the Integration of PWD (CONADIS) does not count on the institutional hierarchy necessary to carry out efficiently its functions as a facilitator and coordinator mechanism of questions related to the application of the Convention in all levels and sectors of the government. The Committee also sees in worry that the Observatory on Disability, whose function is supervision of the application of the Convention, is a depending office of the CONADIS, which is against what was determined in paragraph 2 of article 33 of the Convention and the Paris principles.”</w:t>
      </w:r>
    </w:p>
  </w:footnote>
  <w:footnote w:id="127">
    <w:p w14:paraId="2CAB1934" w14:textId="054F4893" w:rsidR="009A0425" w:rsidRPr="00844123" w:rsidRDefault="009A0425" w:rsidP="002C5C58">
      <w:pPr>
        <w:pStyle w:val="Sinespaciado"/>
        <w:ind w:firstLine="0"/>
        <w:rPr>
          <w:lang w:val="en-US"/>
        </w:rPr>
      </w:pPr>
      <w:r>
        <w:rPr>
          <w:rStyle w:val="Refdenotaalpie"/>
        </w:rPr>
        <w:footnoteRef/>
      </w:r>
      <w:r w:rsidRPr="00844123">
        <w:rPr>
          <w:lang w:val="en-US"/>
        </w:rPr>
        <w:t xml:space="preserve">  Recommendations for the National Observatory on the Rights of PWD: </w:t>
      </w:r>
      <w:hyperlink r:id="rId72" w:history="1">
        <w:r w:rsidR="00BC1F1E">
          <w:rPr>
            <w:rStyle w:val="Hipervnculo"/>
            <w:lang w:val="en-US"/>
          </w:rPr>
          <w:t>link</w:t>
        </w:r>
        <w:r w:rsidRPr="004E6DCA">
          <w:rPr>
            <w:rStyle w:val="Hipervnculo"/>
            <w:lang w:val="en-US"/>
          </w:rPr>
          <w:t xml:space="preserve">. </w:t>
        </w:r>
      </w:hyperlink>
      <w:r w:rsidRPr="00844123">
        <w:rPr>
          <w:lang w:val="en-US"/>
        </w:rPr>
        <w:t xml:space="preserve"> </w:t>
      </w:r>
    </w:p>
    <w:p w14:paraId="3AF2B16A" w14:textId="77777777" w:rsidR="009A0425" w:rsidRPr="00844123" w:rsidRDefault="009A0425" w:rsidP="002C5C58">
      <w:pPr>
        <w:pStyle w:val="Sinespaciado"/>
        <w:ind w:firstLine="0"/>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40A1A"/>
    <w:multiLevelType w:val="hybridMultilevel"/>
    <w:tmpl w:val="270A2340"/>
    <w:lvl w:ilvl="0" w:tplc="CAE8D2C4">
      <w:start w:val="1"/>
      <w:numFmt w:val="decimal"/>
      <w:lvlText w:val="%1."/>
      <w:lvlJc w:val="left"/>
      <w:pPr>
        <w:ind w:left="720" w:hanging="360"/>
      </w:pPr>
      <w:rPr>
        <w:rFonts w:hint="default"/>
        <w:color w:val="00000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A964861"/>
    <w:multiLevelType w:val="hybridMultilevel"/>
    <w:tmpl w:val="20E2D438"/>
    <w:lvl w:ilvl="0" w:tplc="AB685868">
      <w:start w:val="1"/>
      <w:numFmt w:val="decimal"/>
      <w:lvlText w:val="%1."/>
      <w:lvlJc w:val="left"/>
      <w:pPr>
        <w:ind w:left="720" w:hanging="360"/>
      </w:pPr>
      <w:rPr>
        <w:rFonts w:ascii="Calibri" w:eastAsiaTheme="minorHAnsi" w:hAnsi="Calibri" w:cs="Calibri" w:hint="default"/>
        <w:i w:val="0"/>
        <w:color w:val="1F497D"/>
        <w:u w:val="none"/>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11521C22"/>
    <w:multiLevelType w:val="hybridMultilevel"/>
    <w:tmpl w:val="1ED4321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12590667"/>
    <w:multiLevelType w:val="hybridMultilevel"/>
    <w:tmpl w:val="F9FCC47E"/>
    <w:lvl w:ilvl="0" w:tplc="BE54401A">
      <w:start w:val="1"/>
      <w:numFmt w:val="decimal"/>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3E01EE3"/>
    <w:multiLevelType w:val="hybridMultilevel"/>
    <w:tmpl w:val="0FB4A9C8"/>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14D30898"/>
    <w:multiLevelType w:val="hybridMultilevel"/>
    <w:tmpl w:val="52BA07A2"/>
    <w:lvl w:ilvl="0" w:tplc="9B9AECE2">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nsid w:val="17F83412"/>
    <w:multiLevelType w:val="hybridMultilevel"/>
    <w:tmpl w:val="2904F318"/>
    <w:lvl w:ilvl="0" w:tplc="B05E8530">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nsid w:val="197F545F"/>
    <w:multiLevelType w:val="hybridMultilevel"/>
    <w:tmpl w:val="177C6A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D3F2525"/>
    <w:multiLevelType w:val="hybridMultilevel"/>
    <w:tmpl w:val="02668310"/>
    <w:lvl w:ilvl="0" w:tplc="E21A9CA6">
      <w:start w:val="1"/>
      <w:numFmt w:val="decimal"/>
      <w:lvlText w:val="%1."/>
      <w:lvlJc w:val="left"/>
      <w:pPr>
        <w:ind w:left="1800" w:hanging="360"/>
      </w:pPr>
      <w:rPr>
        <w:rFonts w:hint="default"/>
      </w:rPr>
    </w:lvl>
    <w:lvl w:ilvl="1" w:tplc="2C0A0019" w:tentative="1">
      <w:start w:val="1"/>
      <w:numFmt w:val="lowerLetter"/>
      <w:lvlText w:val="%2."/>
      <w:lvlJc w:val="left"/>
      <w:pPr>
        <w:ind w:left="2520" w:hanging="360"/>
      </w:pPr>
    </w:lvl>
    <w:lvl w:ilvl="2" w:tplc="2C0A001B" w:tentative="1">
      <w:start w:val="1"/>
      <w:numFmt w:val="lowerRoman"/>
      <w:lvlText w:val="%3."/>
      <w:lvlJc w:val="right"/>
      <w:pPr>
        <w:ind w:left="3240" w:hanging="180"/>
      </w:pPr>
    </w:lvl>
    <w:lvl w:ilvl="3" w:tplc="2C0A000F" w:tentative="1">
      <w:start w:val="1"/>
      <w:numFmt w:val="decimal"/>
      <w:lvlText w:val="%4."/>
      <w:lvlJc w:val="left"/>
      <w:pPr>
        <w:ind w:left="3960" w:hanging="360"/>
      </w:pPr>
    </w:lvl>
    <w:lvl w:ilvl="4" w:tplc="2C0A0019" w:tentative="1">
      <w:start w:val="1"/>
      <w:numFmt w:val="lowerLetter"/>
      <w:lvlText w:val="%5."/>
      <w:lvlJc w:val="left"/>
      <w:pPr>
        <w:ind w:left="4680" w:hanging="360"/>
      </w:pPr>
    </w:lvl>
    <w:lvl w:ilvl="5" w:tplc="2C0A001B" w:tentative="1">
      <w:start w:val="1"/>
      <w:numFmt w:val="lowerRoman"/>
      <w:lvlText w:val="%6."/>
      <w:lvlJc w:val="right"/>
      <w:pPr>
        <w:ind w:left="5400" w:hanging="180"/>
      </w:pPr>
    </w:lvl>
    <w:lvl w:ilvl="6" w:tplc="2C0A000F" w:tentative="1">
      <w:start w:val="1"/>
      <w:numFmt w:val="decimal"/>
      <w:lvlText w:val="%7."/>
      <w:lvlJc w:val="left"/>
      <w:pPr>
        <w:ind w:left="6120" w:hanging="360"/>
      </w:pPr>
    </w:lvl>
    <w:lvl w:ilvl="7" w:tplc="2C0A0019" w:tentative="1">
      <w:start w:val="1"/>
      <w:numFmt w:val="lowerLetter"/>
      <w:lvlText w:val="%8."/>
      <w:lvlJc w:val="left"/>
      <w:pPr>
        <w:ind w:left="6840" w:hanging="360"/>
      </w:pPr>
    </w:lvl>
    <w:lvl w:ilvl="8" w:tplc="2C0A001B" w:tentative="1">
      <w:start w:val="1"/>
      <w:numFmt w:val="lowerRoman"/>
      <w:lvlText w:val="%9."/>
      <w:lvlJc w:val="right"/>
      <w:pPr>
        <w:ind w:left="7560" w:hanging="180"/>
      </w:pPr>
    </w:lvl>
  </w:abstractNum>
  <w:abstractNum w:abstractNumId="9">
    <w:nsid w:val="1FC33182"/>
    <w:multiLevelType w:val="hybridMultilevel"/>
    <w:tmpl w:val="10ECAB10"/>
    <w:lvl w:ilvl="0" w:tplc="BB902C6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2EF6084"/>
    <w:multiLevelType w:val="hybridMultilevel"/>
    <w:tmpl w:val="8EE45278"/>
    <w:lvl w:ilvl="0" w:tplc="7DD49848">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nsid w:val="24237C08"/>
    <w:multiLevelType w:val="hybridMultilevel"/>
    <w:tmpl w:val="D7E291E4"/>
    <w:lvl w:ilvl="0" w:tplc="8E025C06">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nsid w:val="247A2071"/>
    <w:multiLevelType w:val="hybridMultilevel"/>
    <w:tmpl w:val="129C2DB0"/>
    <w:lvl w:ilvl="0" w:tplc="0E38DB3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5C94998"/>
    <w:multiLevelType w:val="hybridMultilevel"/>
    <w:tmpl w:val="C100A2FC"/>
    <w:lvl w:ilvl="0" w:tplc="46DE498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80A45D9"/>
    <w:multiLevelType w:val="hybridMultilevel"/>
    <w:tmpl w:val="9FAE7E4A"/>
    <w:lvl w:ilvl="0" w:tplc="27C40BB6">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nsid w:val="2B6F0F80"/>
    <w:multiLevelType w:val="hybridMultilevel"/>
    <w:tmpl w:val="BA607DC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6">
    <w:nsid w:val="2FED4C7D"/>
    <w:multiLevelType w:val="hybridMultilevel"/>
    <w:tmpl w:val="1CCAD540"/>
    <w:lvl w:ilvl="0" w:tplc="01045BB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21A24B1"/>
    <w:multiLevelType w:val="hybridMultilevel"/>
    <w:tmpl w:val="72EA110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8">
    <w:nsid w:val="44A52715"/>
    <w:multiLevelType w:val="hybridMultilevel"/>
    <w:tmpl w:val="CB922918"/>
    <w:lvl w:ilvl="0" w:tplc="8966999E">
      <w:start w:val="1"/>
      <w:numFmt w:val="decimal"/>
      <w:lvlText w:val="%1."/>
      <w:lvlJc w:val="left"/>
      <w:pPr>
        <w:ind w:left="717" w:hanging="360"/>
      </w:pPr>
      <w:rPr>
        <w:rFonts w:hint="default"/>
      </w:rPr>
    </w:lvl>
    <w:lvl w:ilvl="1" w:tplc="2C0A0019" w:tentative="1">
      <w:start w:val="1"/>
      <w:numFmt w:val="lowerLetter"/>
      <w:lvlText w:val="%2."/>
      <w:lvlJc w:val="left"/>
      <w:pPr>
        <w:ind w:left="1437" w:hanging="360"/>
      </w:pPr>
    </w:lvl>
    <w:lvl w:ilvl="2" w:tplc="2C0A001B" w:tentative="1">
      <w:start w:val="1"/>
      <w:numFmt w:val="lowerRoman"/>
      <w:lvlText w:val="%3."/>
      <w:lvlJc w:val="right"/>
      <w:pPr>
        <w:ind w:left="2157" w:hanging="180"/>
      </w:pPr>
    </w:lvl>
    <w:lvl w:ilvl="3" w:tplc="2C0A000F" w:tentative="1">
      <w:start w:val="1"/>
      <w:numFmt w:val="decimal"/>
      <w:lvlText w:val="%4."/>
      <w:lvlJc w:val="left"/>
      <w:pPr>
        <w:ind w:left="2877" w:hanging="360"/>
      </w:pPr>
    </w:lvl>
    <w:lvl w:ilvl="4" w:tplc="2C0A0019" w:tentative="1">
      <w:start w:val="1"/>
      <w:numFmt w:val="lowerLetter"/>
      <w:lvlText w:val="%5."/>
      <w:lvlJc w:val="left"/>
      <w:pPr>
        <w:ind w:left="3597" w:hanging="360"/>
      </w:pPr>
    </w:lvl>
    <w:lvl w:ilvl="5" w:tplc="2C0A001B" w:tentative="1">
      <w:start w:val="1"/>
      <w:numFmt w:val="lowerRoman"/>
      <w:lvlText w:val="%6."/>
      <w:lvlJc w:val="right"/>
      <w:pPr>
        <w:ind w:left="4317" w:hanging="180"/>
      </w:pPr>
    </w:lvl>
    <w:lvl w:ilvl="6" w:tplc="2C0A000F" w:tentative="1">
      <w:start w:val="1"/>
      <w:numFmt w:val="decimal"/>
      <w:lvlText w:val="%7."/>
      <w:lvlJc w:val="left"/>
      <w:pPr>
        <w:ind w:left="5037" w:hanging="360"/>
      </w:pPr>
    </w:lvl>
    <w:lvl w:ilvl="7" w:tplc="2C0A0019" w:tentative="1">
      <w:start w:val="1"/>
      <w:numFmt w:val="lowerLetter"/>
      <w:lvlText w:val="%8."/>
      <w:lvlJc w:val="left"/>
      <w:pPr>
        <w:ind w:left="5757" w:hanging="360"/>
      </w:pPr>
    </w:lvl>
    <w:lvl w:ilvl="8" w:tplc="2C0A001B" w:tentative="1">
      <w:start w:val="1"/>
      <w:numFmt w:val="lowerRoman"/>
      <w:lvlText w:val="%9."/>
      <w:lvlJc w:val="right"/>
      <w:pPr>
        <w:ind w:left="6477" w:hanging="180"/>
      </w:pPr>
    </w:lvl>
  </w:abstractNum>
  <w:abstractNum w:abstractNumId="19">
    <w:nsid w:val="459365A5"/>
    <w:multiLevelType w:val="hybridMultilevel"/>
    <w:tmpl w:val="7E7AAE3A"/>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0">
    <w:nsid w:val="47DB6AED"/>
    <w:multiLevelType w:val="hybridMultilevel"/>
    <w:tmpl w:val="7022555C"/>
    <w:lvl w:ilvl="0" w:tplc="5E52CC9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49C84678"/>
    <w:multiLevelType w:val="hybridMultilevel"/>
    <w:tmpl w:val="278C7296"/>
    <w:lvl w:ilvl="0" w:tplc="CB9CC4B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B084481"/>
    <w:multiLevelType w:val="hybridMultilevel"/>
    <w:tmpl w:val="9420FE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CE64954"/>
    <w:multiLevelType w:val="hybridMultilevel"/>
    <w:tmpl w:val="2E862C92"/>
    <w:lvl w:ilvl="0" w:tplc="DBF4A27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4CF17E49"/>
    <w:multiLevelType w:val="hybridMultilevel"/>
    <w:tmpl w:val="8054AE54"/>
    <w:lvl w:ilvl="0" w:tplc="4CA82B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0D53063"/>
    <w:multiLevelType w:val="hybridMultilevel"/>
    <w:tmpl w:val="C5A4A962"/>
    <w:lvl w:ilvl="0" w:tplc="4C18C06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6F4081D"/>
    <w:multiLevelType w:val="hybridMultilevel"/>
    <w:tmpl w:val="EF60C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2AA5151"/>
    <w:multiLevelType w:val="hybridMultilevel"/>
    <w:tmpl w:val="E4A6491C"/>
    <w:lvl w:ilvl="0" w:tplc="5C802ABC">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8">
    <w:nsid w:val="658E3232"/>
    <w:multiLevelType w:val="hybridMultilevel"/>
    <w:tmpl w:val="70B40704"/>
    <w:lvl w:ilvl="0" w:tplc="2C0A0001">
      <w:start w:val="1"/>
      <w:numFmt w:val="bullet"/>
      <w:lvlText w:val=""/>
      <w:lvlJc w:val="left"/>
      <w:pPr>
        <w:ind w:left="720" w:hanging="360"/>
      </w:pPr>
      <w:rPr>
        <w:rFonts w:ascii="Symbol" w:hAnsi="Symbol" w:cs="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cs="Wingdings" w:hint="default"/>
      </w:rPr>
    </w:lvl>
    <w:lvl w:ilvl="3" w:tplc="2C0A0001">
      <w:start w:val="1"/>
      <w:numFmt w:val="bullet"/>
      <w:lvlText w:val=""/>
      <w:lvlJc w:val="left"/>
      <w:pPr>
        <w:ind w:left="2880" w:hanging="360"/>
      </w:pPr>
      <w:rPr>
        <w:rFonts w:ascii="Symbol" w:hAnsi="Symbol" w:cs="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cs="Wingdings" w:hint="default"/>
      </w:rPr>
    </w:lvl>
    <w:lvl w:ilvl="6" w:tplc="2C0A0001">
      <w:start w:val="1"/>
      <w:numFmt w:val="bullet"/>
      <w:lvlText w:val=""/>
      <w:lvlJc w:val="left"/>
      <w:pPr>
        <w:ind w:left="5040" w:hanging="360"/>
      </w:pPr>
      <w:rPr>
        <w:rFonts w:ascii="Symbol" w:hAnsi="Symbol" w:cs="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cs="Wingdings" w:hint="default"/>
      </w:rPr>
    </w:lvl>
  </w:abstractNum>
  <w:abstractNum w:abstractNumId="29">
    <w:nsid w:val="73960E63"/>
    <w:multiLevelType w:val="hybridMultilevel"/>
    <w:tmpl w:val="1C229096"/>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0">
    <w:nsid w:val="79963D75"/>
    <w:multiLevelType w:val="hybridMultilevel"/>
    <w:tmpl w:val="29A85566"/>
    <w:lvl w:ilvl="0" w:tplc="15469CE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7DCA04CD"/>
    <w:multiLevelType w:val="hybridMultilevel"/>
    <w:tmpl w:val="F904C03C"/>
    <w:lvl w:ilvl="0" w:tplc="7C38152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2"/>
  </w:num>
  <w:num w:numId="2">
    <w:abstractNumId w:val="15"/>
  </w:num>
  <w:num w:numId="3">
    <w:abstractNumId w:val="29"/>
  </w:num>
  <w:num w:numId="4">
    <w:abstractNumId w:val="8"/>
  </w:num>
  <w:num w:numId="5">
    <w:abstractNumId w:val="0"/>
  </w:num>
  <w:num w:numId="6">
    <w:abstractNumId w:val="19"/>
  </w:num>
  <w:num w:numId="7">
    <w:abstractNumId w:val="2"/>
  </w:num>
  <w:num w:numId="8">
    <w:abstractNumId w:val="4"/>
  </w:num>
  <w:num w:numId="9">
    <w:abstractNumId w:val="7"/>
  </w:num>
  <w:num w:numId="10">
    <w:abstractNumId w:val="25"/>
  </w:num>
  <w:num w:numId="11">
    <w:abstractNumId w:val="14"/>
  </w:num>
  <w:num w:numId="12">
    <w:abstractNumId w:val="1"/>
  </w:num>
  <w:num w:numId="13">
    <w:abstractNumId w:val="18"/>
  </w:num>
  <w:num w:numId="14">
    <w:abstractNumId w:val="26"/>
  </w:num>
  <w:num w:numId="15">
    <w:abstractNumId w:val="28"/>
  </w:num>
  <w:num w:numId="16">
    <w:abstractNumId w:val="21"/>
  </w:num>
  <w:num w:numId="17">
    <w:abstractNumId w:val="13"/>
  </w:num>
  <w:num w:numId="18">
    <w:abstractNumId w:val="23"/>
  </w:num>
  <w:num w:numId="19">
    <w:abstractNumId w:val="31"/>
  </w:num>
  <w:num w:numId="20">
    <w:abstractNumId w:val="24"/>
  </w:num>
  <w:num w:numId="21">
    <w:abstractNumId w:val="9"/>
  </w:num>
  <w:num w:numId="22">
    <w:abstractNumId w:val="16"/>
  </w:num>
  <w:num w:numId="23">
    <w:abstractNumId w:val="3"/>
  </w:num>
  <w:num w:numId="24">
    <w:abstractNumId w:val="12"/>
  </w:num>
  <w:num w:numId="25">
    <w:abstractNumId w:val="30"/>
  </w:num>
  <w:num w:numId="26">
    <w:abstractNumId w:val="20"/>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3A2"/>
    <w:rsid w:val="000026AF"/>
    <w:rsid w:val="00003289"/>
    <w:rsid w:val="0000363E"/>
    <w:rsid w:val="00004DEC"/>
    <w:rsid w:val="0000584E"/>
    <w:rsid w:val="000117D0"/>
    <w:rsid w:val="00012615"/>
    <w:rsid w:val="00012CDB"/>
    <w:rsid w:val="00022325"/>
    <w:rsid w:val="00026B0A"/>
    <w:rsid w:val="00026B99"/>
    <w:rsid w:val="00027BA6"/>
    <w:rsid w:val="00030F72"/>
    <w:rsid w:val="000334D4"/>
    <w:rsid w:val="0003774D"/>
    <w:rsid w:val="00046F61"/>
    <w:rsid w:val="0005009B"/>
    <w:rsid w:val="000534F4"/>
    <w:rsid w:val="000558C5"/>
    <w:rsid w:val="00057259"/>
    <w:rsid w:val="00057778"/>
    <w:rsid w:val="00057FDF"/>
    <w:rsid w:val="00062348"/>
    <w:rsid w:val="00063590"/>
    <w:rsid w:val="000637B3"/>
    <w:rsid w:val="00065BA6"/>
    <w:rsid w:val="000663DF"/>
    <w:rsid w:val="00067A51"/>
    <w:rsid w:val="000704EF"/>
    <w:rsid w:val="00071C2F"/>
    <w:rsid w:val="00075BB7"/>
    <w:rsid w:val="000765C3"/>
    <w:rsid w:val="00081E96"/>
    <w:rsid w:val="000859B1"/>
    <w:rsid w:val="00095904"/>
    <w:rsid w:val="0009653C"/>
    <w:rsid w:val="000A117C"/>
    <w:rsid w:val="000A1DA5"/>
    <w:rsid w:val="000A3890"/>
    <w:rsid w:val="000B437D"/>
    <w:rsid w:val="000B4495"/>
    <w:rsid w:val="000C0D42"/>
    <w:rsid w:val="000C216A"/>
    <w:rsid w:val="000C6B0A"/>
    <w:rsid w:val="000C6B24"/>
    <w:rsid w:val="000C7303"/>
    <w:rsid w:val="000D22BC"/>
    <w:rsid w:val="000D34CE"/>
    <w:rsid w:val="000D7899"/>
    <w:rsid w:val="000E16BD"/>
    <w:rsid w:val="000E3BAB"/>
    <w:rsid w:val="000E49CA"/>
    <w:rsid w:val="000E5BEE"/>
    <w:rsid w:val="000F082F"/>
    <w:rsid w:val="000F0BC8"/>
    <w:rsid w:val="000F3C7C"/>
    <w:rsid w:val="000F728E"/>
    <w:rsid w:val="00104389"/>
    <w:rsid w:val="001054FE"/>
    <w:rsid w:val="00106771"/>
    <w:rsid w:val="0010687A"/>
    <w:rsid w:val="001074F9"/>
    <w:rsid w:val="0010796E"/>
    <w:rsid w:val="00110211"/>
    <w:rsid w:val="00110784"/>
    <w:rsid w:val="001140D5"/>
    <w:rsid w:val="00117D59"/>
    <w:rsid w:val="0012247C"/>
    <w:rsid w:val="00122EB8"/>
    <w:rsid w:val="00125AC2"/>
    <w:rsid w:val="001344C5"/>
    <w:rsid w:val="00136F68"/>
    <w:rsid w:val="0013755B"/>
    <w:rsid w:val="00137AE2"/>
    <w:rsid w:val="001434F3"/>
    <w:rsid w:val="001447BB"/>
    <w:rsid w:val="001513A6"/>
    <w:rsid w:val="0015169D"/>
    <w:rsid w:val="00152A0E"/>
    <w:rsid w:val="00154AD0"/>
    <w:rsid w:val="00157872"/>
    <w:rsid w:val="001600BF"/>
    <w:rsid w:val="00160755"/>
    <w:rsid w:val="00160C29"/>
    <w:rsid w:val="001616E0"/>
    <w:rsid w:val="001656A4"/>
    <w:rsid w:val="00165834"/>
    <w:rsid w:val="00165DB4"/>
    <w:rsid w:val="00167E97"/>
    <w:rsid w:val="00170D04"/>
    <w:rsid w:val="00171F22"/>
    <w:rsid w:val="00172F9D"/>
    <w:rsid w:val="00180CC3"/>
    <w:rsid w:val="001837FA"/>
    <w:rsid w:val="00184D6B"/>
    <w:rsid w:val="001908CC"/>
    <w:rsid w:val="0019196D"/>
    <w:rsid w:val="00191ABC"/>
    <w:rsid w:val="00192C01"/>
    <w:rsid w:val="00193A65"/>
    <w:rsid w:val="001940F8"/>
    <w:rsid w:val="00194FD9"/>
    <w:rsid w:val="001972DB"/>
    <w:rsid w:val="00197ACF"/>
    <w:rsid w:val="001A0951"/>
    <w:rsid w:val="001A0FE6"/>
    <w:rsid w:val="001A64BF"/>
    <w:rsid w:val="001B1FBF"/>
    <w:rsid w:val="001B5814"/>
    <w:rsid w:val="001B60EE"/>
    <w:rsid w:val="001B74CF"/>
    <w:rsid w:val="001B771F"/>
    <w:rsid w:val="001C166C"/>
    <w:rsid w:val="001C19AD"/>
    <w:rsid w:val="001C384E"/>
    <w:rsid w:val="001C409F"/>
    <w:rsid w:val="001C5147"/>
    <w:rsid w:val="001C6EFB"/>
    <w:rsid w:val="001D1D9E"/>
    <w:rsid w:val="001D45B1"/>
    <w:rsid w:val="001D49AF"/>
    <w:rsid w:val="001D5824"/>
    <w:rsid w:val="001D5AA7"/>
    <w:rsid w:val="001E1551"/>
    <w:rsid w:val="001E64BD"/>
    <w:rsid w:val="001E6D06"/>
    <w:rsid w:val="001F05D7"/>
    <w:rsid w:val="001F4C0D"/>
    <w:rsid w:val="001F5105"/>
    <w:rsid w:val="001F56FB"/>
    <w:rsid w:val="00201214"/>
    <w:rsid w:val="00202A40"/>
    <w:rsid w:val="002055FB"/>
    <w:rsid w:val="00213F9B"/>
    <w:rsid w:val="00215278"/>
    <w:rsid w:val="0021647C"/>
    <w:rsid w:val="002177B4"/>
    <w:rsid w:val="0022029E"/>
    <w:rsid w:val="00221835"/>
    <w:rsid w:val="00221DC3"/>
    <w:rsid w:val="0022417E"/>
    <w:rsid w:val="002246D3"/>
    <w:rsid w:val="00231B69"/>
    <w:rsid w:val="00233D77"/>
    <w:rsid w:val="00242226"/>
    <w:rsid w:val="00244A91"/>
    <w:rsid w:val="002465D5"/>
    <w:rsid w:val="002466E1"/>
    <w:rsid w:val="0024682B"/>
    <w:rsid w:val="002468A9"/>
    <w:rsid w:val="00247E79"/>
    <w:rsid w:val="00247F8C"/>
    <w:rsid w:val="00253D08"/>
    <w:rsid w:val="00254888"/>
    <w:rsid w:val="00260B96"/>
    <w:rsid w:val="002701C9"/>
    <w:rsid w:val="00272FDE"/>
    <w:rsid w:val="00273335"/>
    <w:rsid w:val="00277707"/>
    <w:rsid w:val="002811A9"/>
    <w:rsid w:val="002813E7"/>
    <w:rsid w:val="00281511"/>
    <w:rsid w:val="00281F08"/>
    <w:rsid w:val="00285D0F"/>
    <w:rsid w:val="00287537"/>
    <w:rsid w:val="002901FE"/>
    <w:rsid w:val="0029162E"/>
    <w:rsid w:val="00292532"/>
    <w:rsid w:val="0029297B"/>
    <w:rsid w:val="00293810"/>
    <w:rsid w:val="00294AD2"/>
    <w:rsid w:val="00295B00"/>
    <w:rsid w:val="00297E1B"/>
    <w:rsid w:val="002A1C6E"/>
    <w:rsid w:val="002A3869"/>
    <w:rsid w:val="002A63B0"/>
    <w:rsid w:val="002B2DCF"/>
    <w:rsid w:val="002B4ED8"/>
    <w:rsid w:val="002B79BC"/>
    <w:rsid w:val="002B7F0C"/>
    <w:rsid w:val="002C5C58"/>
    <w:rsid w:val="002C6D38"/>
    <w:rsid w:val="002D730E"/>
    <w:rsid w:val="002D79FB"/>
    <w:rsid w:val="002E233E"/>
    <w:rsid w:val="002E2ECA"/>
    <w:rsid w:val="002E46E9"/>
    <w:rsid w:val="002E75BF"/>
    <w:rsid w:val="002F0EA0"/>
    <w:rsid w:val="002F4D5E"/>
    <w:rsid w:val="002F5F22"/>
    <w:rsid w:val="002F5F26"/>
    <w:rsid w:val="002F6B0D"/>
    <w:rsid w:val="0030026C"/>
    <w:rsid w:val="00301363"/>
    <w:rsid w:val="003034EB"/>
    <w:rsid w:val="003041CB"/>
    <w:rsid w:val="0030442E"/>
    <w:rsid w:val="003048FE"/>
    <w:rsid w:val="0030559F"/>
    <w:rsid w:val="00306D30"/>
    <w:rsid w:val="00307202"/>
    <w:rsid w:val="00310254"/>
    <w:rsid w:val="00311610"/>
    <w:rsid w:val="00312266"/>
    <w:rsid w:val="00312510"/>
    <w:rsid w:val="00313A43"/>
    <w:rsid w:val="00314956"/>
    <w:rsid w:val="00314A40"/>
    <w:rsid w:val="00321131"/>
    <w:rsid w:val="0032191F"/>
    <w:rsid w:val="00322875"/>
    <w:rsid w:val="0032298E"/>
    <w:rsid w:val="003238AC"/>
    <w:rsid w:val="00323BD6"/>
    <w:rsid w:val="00326441"/>
    <w:rsid w:val="003277F2"/>
    <w:rsid w:val="00330379"/>
    <w:rsid w:val="00334792"/>
    <w:rsid w:val="0033790D"/>
    <w:rsid w:val="003400E2"/>
    <w:rsid w:val="00340BCB"/>
    <w:rsid w:val="00346CF6"/>
    <w:rsid w:val="00350FF5"/>
    <w:rsid w:val="00354764"/>
    <w:rsid w:val="003557ED"/>
    <w:rsid w:val="00361ABE"/>
    <w:rsid w:val="00364C56"/>
    <w:rsid w:val="00366E3F"/>
    <w:rsid w:val="003676D5"/>
    <w:rsid w:val="00370763"/>
    <w:rsid w:val="003710DB"/>
    <w:rsid w:val="00374245"/>
    <w:rsid w:val="003820D1"/>
    <w:rsid w:val="0038379E"/>
    <w:rsid w:val="003901CD"/>
    <w:rsid w:val="00393AA2"/>
    <w:rsid w:val="003952A0"/>
    <w:rsid w:val="003956CC"/>
    <w:rsid w:val="003A31F3"/>
    <w:rsid w:val="003A3760"/>
    <w:rsid w:val="003A4393"/>
    <w:rsid w:val="003A5DE6"/>
    <w:rsid w:val="003A69D5"/>
    <w:rsid w:val="003B3D22"/>
    <w:rsid w:val="003B3DD9"/>
    <w:rsid w:val="003B4832"/>
    <w:rsid w:val="003B5755"/>
    <w:rsid w:val="003B6ECE"/>
    <w:rsid w:val="003B6F4F"/>
    <w:rsid w:val="003B6FDB"/>
    <w:rsid w:val="003C128F"/>
    <w:rsid w:val="003C4730"/>
    <w:rsid w:val="003C491C"/>
    <w:rsid w:val="003C591C"/>
    <w:rsid w:val="003C6240"/>
    <w:rsid w:val="003C759C"/>
    <w:rsid w:val="003D0CDD"/>
    <w:rsid w:val="003D1A86"/>
    <w:rsid w:val="003D433F"/>
    <w:rsid w:val="003D7259"/>
    <w:rsid w:val="003E3848"/>
    <w:rsid w:val="003E6FA4"/>
    <w:rsid w:val="003F0689"/>
    <w:rsid w:val="003F266C"/>
    <w:rsid w:val="003F2E26"/>
    <w:rsid w:val="003F3056"/>
    <w:rsid w:val="003F310B"/>
    <w:rsid w:val="003F612F"/>
    <w:rsid w:val="00400859"/>
    <w:rsid w:val="00403154"/>
    <w:rsid w:val="00405B44"/>
    <w:rsid w:val="00406178"/>
    <w:rsid w:val="0041100E"/>
    <w:rsid w:val="00411568"/>
    <w:rsid w:val="004157EB"/>
    <w:rsid w:val="00415DF2"/>
    <w:rsid w:val="00415F98"/>
    <w:rsid w:val="00416BC1"/>
    <w:rsid w:val="00421243"/>
    <w:rsid w:val="00422E00"/>
    <w:rsid w:val="0043135E"/>
    <w:rsid w:val="00434713"/>
    <w:rsid w:val="00437B8E"/>
    <w:rsid w:val="00440058"/>
    <w:rsid w:val="00442612"/>
    <w:rsid w:val="00442BB7"/>
    <w:rsid w:val="00452D1E"/>
    <w:rsid w:val="0045392B"/>
    <w:rsid w:val="00454D5A"/>
    <w:rsid w:val="00460AB8"/>
    <w:rsid w:val="00462CA6"/>
    <w:rsid w:val="00474CB0"/>
    <w:rsid w:val="0047690E"/>
    <w:rsid w:val="00482A08"/>
    <w:rsid w:val="00483150"/>
    <w:rsid w:val="00483E1F"/>
    <w:rsid w:val="00490973"/>
    <w:rsid w:val="00491C1C"/>
    <w:rsid w:val="00491EDD"/>
    <w:rsid w:val="00492501"/>
    <w:rsid w:val="00492A4D"/>
    <w:rsid w:val="00496301"/>
    <w:rsid w:val="004967BD"/>
    <w:rsid w:val="0049712E"/>
    <w:rsid w:val="004A0FD7"/>
    <w:rsid w:val="004A44CF"/>
    <w:rsid w:val="004A48D6"/>
    <w:rsid w:val="004B137B"/>
    <w:rsid w:val="004B208B"/>
    <w:rsid w:val="004B23B3"/>
    <w:rsid w:val="004B7796"/>
    <w:rsid w:val="004B7A6B"/>
    <w:rsid w:val="004C12B1"/>
    <w:rsid w:val="004C4972"/>
    <w:rsid w:val="004C5E67"/>
    <w:rsid w:val="004C6642"/>
    <w:rsid w:val="004D0C35"/>
    <w:rsid w:val="004D0E82"/>
    <w:rsid w:val="004D1E15"/>
    <w:rsid w:val="004D3061"/>
    <w:rsid w:val="004D42BD"/>
    <w:rsid w:val="004D6DDA"/>
    <w:rsid w:val="004E46CC"/>
    <w:rsid w:val="004E6DCA"/>
    <w:rsid w:val="004E6E4C"/>
    <w:rsid w:val="004E7D1F"/>
    <w:rsid w:val="005006EE"/>
    <w:rsid w:val="005028B9"/>
    <w:rsid w:val="00503EF6"/>
    <w:rsid w:val="00505D1A"/>
    <w:rsid w:val="00507705"/>
    <w:rsid w:val="00512614"/>
    <w:rsid w:val="005133D5"/>
    <w:rsid w:val="0051374B"/>
    <w:rsid w:val="00514CBC"/>
    <w:rsid w:val="00517562"/>
    <w:rsid w:val="005214ED"/>
    <w:rsid w:val="005279B3"/>
    <w:rsid w:val="0053074A"/>
    <w:rsid w:val="00533C8D"/>
    <w:rsid w:val="00536548"/>
    <w:rsid w:val="00537230"/>
    <w:rsid w:val="00537C43"/>
    <w:rsid w:val="00537DD3"/>
    <w:rsid w:val="00543E23"/>
    <w:rsid w:val="005456A8"/>
    <w:rsid w:val="00546A37"/>
    <w:rsid w:val="00564983"/>
    <w:rsid w:val="005712CD"/>
    <w:rsid w:val="00576CD4"/>
    <w:rsid w:val="00577010"/>
    <w:rsid w:val="005805E6"/>
    <w:rsid w:val="00584437"/>
    <w:rsid w:val="00585AF1"/>
    <w:rsid w:val="00590F3B"/>
    <w:rsid w:val="005932A5"/>
    <w:rsid w:val="005A11C5"/>
    <w:rsid w:val="005A140D"/>
    <w:rsid w:val="005A1C57"/>
    <w:rsid w:val="005A3DF4"/>
    <w:rsid w:val="005A4B95"/>
    <w:rsid w:val="005A7A91"/>
    <w:rsid w:val="005A7C9A"/>
    <w:rsid w:val="005B12EE"/>
    <w:rsid w:val="005B1C4E"/>
    <w:rsid w:val="005C1197"/>
    <w:rsid w:val="005C140C"/>
    <w:rsid w:val="005C1570"/>
    <w:rsid w:val="005C1B3D"/>
    <w:rsid w:val="005C1FC5"/>
    <w:rsid w:val="005C3A78"/>
    <w:rsid w:val="005C4799"/>
    <w:rsid w:val="005C47B4"/>
    <w:rsid w:val="005C49A8"/>
    <w:rsid w:val="005C5852"/>
    <w:rsid w:val="005C690D"/>
    <w:rsid w:val="005D65CB"/>
    <w:rsid w:val="005D6A3F"/>
    <w:rsid w:val="005D6E89"/>
    <w:rsid w:val="005D7713"/>
    <w:rsid w:val="005E006D"/>
    <w:rsid w:val="005E10EF"/>
    <w:rsid w:val="005E6206"/>
    <w:rsid w:val="005E7822"/>
    <w:rsid w:val="005F3B26"/>
    <w:rsid w:val="005F60BD"/>
    <w:rsid w:val="0060090F"/>
    <w:rsid w:val="00600D59"/>
    <w:rsid w:val="006052EF"/>
    <w:rsid w:val="006059D4"/>
    <w:rsid w:val="006114CC"/>
    <w:rsid w:val="00615443"/>
    <w:rsid w:val="00622CF9"/>
    <w:rsid w:val="00624EA9"/>
    <w:rsid w:val="006300C3"/>
    <w:rsid w:val="00630AAD"/>
    <w:rsid w:val="00631777"/>
    <w:rsid w:val="006334A2"/>
    <w:rsid w:val="0063487C"/>
    <w:rsid w:val="00636039"/>
    <w:rsid w:val="00637BEE"/>
    <w:rsid w:val="00644EFE"/>
    <w:rsid w:val="00645462"/>
    <w:rsid w:val="006504AF"/>
    <w:rsid w:val="0066235F"/>
    <w:rsid w:val="00672E92"/>
    <w:rsid w:val="00672F38"/>
    <w:rsid w:val="00677C54"/>
    <w:rsid w:val="00681AED"/>
    <w:rsid w:val="00681BF1"/>
    <w:rsid w:val="00682D43"/>
    <w:rsid w:val="006857B3"/>
    <w:rsid w:val="00686502"/>
    <w:rsid w:val="00691859"/>
    <w:rsid w:val="00692075"/>
    <w:rsid w:val="006941D1"/>
    <w:rsid w:val="006953C5"/>
    <w:rsid w:val="006A0CE3"/>
    <w:rsid w:val="006A1929"/>
    <w:rsid w:val="006A401C"/>
    <w:rsid w:val="006A6D3B"/>
    <w:rsid w:val="006A7713"/>
    <w:rsid w:val="006B18B4"/>
    <w:rsid w:val="006B40C2"/>
    <w:rsid w:val="006B5948"/>
    <w:rsid w:val="006C04D5"/>
    <w:rsid w:val="006C4EAC"/>
    <w:rsid w:val="006C7F68"/>
    <w:rsid w:val="006D2761"/>
    <w:rsid w:val="006D3C37"/>
    <w:rsid w:val="006D4FA0"/>
    <w:rsid w:val="006D7CEF"/>
    <w:rsid w:val="006E0E00"/>
    <w:rsid w:val="006E294E"/>
    <w:rsid w:val="006E4503"/>
    <w:rsid w:val="006E598B"/>
    <w:rsid w:val="006E7B4D"/>
    <w:rsid w:val="006F3CF9"/>
    <w:rsid w:val="006F58B0"/>
    <w:rsid w:val="006F5FFD"/>
    <w:rsid w:val="006F7DFA"/>
    <w:rsid w:val="00700A5D"/>
    <w:rsid w:val="00700B70"/>
    <w:rsid w:val="00700F9E"/>
    <w:rsid w:val="00700FEA"/>
    <w:rsid w:val="0070330D"/>
    <w:rsid w:val="0070508E"/>
    <w:rsid w:val="00707CA8"/>
    <w:rsid w:val="00711A77"/>
    <w:rsid w:val="007139AB"/>
    <w:rsid w:val="007141F9"/>
    <w:rsid w:val="00714423"/>
    <w:rsid w:val="007162F8"/>
    <w:rsid w:val="00717854"/>
    <w:rsid w:val="00721056"/>
    <w:rsid w:val="00723D9F"/>
    <w:rsid w:val="00724C1B"/>
    <w:rsid w:val="00734251"/>
    <w:rsid w:val="00735A07"/>
    <w:rsid w:val="00740D94"/>
    <w:rsid w:val="007442F8"/>
    <w:rsid w:val="00744BD9"/>
    <w:rsid w:val="00746152"/>
    <w:rsid w:val="00746480"/>
    <w:rsid w:val="0074729D"/>
    <w:rsid w:val="00747E94"/>
    <w:rsid w:val="0075152D"/>
    <w:rsid w:val="00751C62"/>
    <w:rsid w:val="0075758A"/>
    <w:rsid w:val="00760CA6"/>
    <w:rsid w:val="00762BF9"/>
    <w:rsid w:val="00762FEE"/>
    <w:rsid w:val="007648F5"/>
    <w:rsid w:val="0076564D"/>
    <w:rsid w:val="00766530"/>
    <w:rsid w:val="00770346"/>
    <w:rsid w:val="00773705"/>
    <w:rsid w:val="0077430D"/>
    <w:rsid w:val="00777B99"/>
    <w:rsid w:val="00781479"/>
    <w:rsid w:val="007861D7"/>
    <w:rsid w:val="0078633F"/>
    <w:rsid w:val="00787329"/>
    <w:rsid w:val="007914B5"/>
    <w:rsid w:val="007929D8"/>
    <w:rsid w:val="00793807"/>
    <w:rsid w:val="00794007"/>
    <w:rsid w:val="00797A37"/>
    <w:rsid w:val="007A0BE9"/>
    <w:rsid w:val="007A1732"/>
    <w:rsid w:val="007A2F95"/>
    <w:rsid w:val="007A4FFB"/>
    <w:rsid w:val="007A61B2"/>
    <w:rsid w:val="007B4F6F"/>
    <w:rsid w:val="007C127D"/>
    <w:rsid w:val="007C429F"/>
    <w:rsid w:val="007C446B"/>
    <w:rsid w:val="007C762E"/>
    <w:rsid w:val="007C79E3"/>
    <w:rsid w:val="007D1C94"/>
    <w:rsid w:val="007D61FE"/>
    <w:rsid w:val="007D6EBF"/>
    <w:rsid w:val="007D74A3"/>
    <w:rsid w:val="007D77EA"/>
    <w:rsid w:val="007E2C25"/>
    <w:rsid w:val="007E39F2"/>
    <w:rsid w:val="007E441F"/>
    <w:rsid w:val="007E5BE6"/>
    <w:rsid w:val="007F1EDA"/>
    <w:rsid w:val="007F5B12"/>
    <w:rsid w:val="007F5DA1"/>
    <w:rsid w:val="00800014"/>
    <w:rsid w:val="00805C86"/>
    <w:rsid w:val="00810F4E"/>
    <w:rsid w:val="008166D7"/>
    <w:rsid w:val="00816B85"/>
    <w:rsid w:val="00817D63"/>
    <w:rsid w:val="00825A84"/>
    <w:rsid w:val="00832994"/>
    <w:rsid w:val="008407F2"/>
    <w:rsid w:val="00844123"/>
    <w:rsid w:val="00846678"/>
    <w:rsid w:val="00850BA1"/>
    <w:rsid w:val="0085138E"/>
    <w:rsid w:val="00852258"/>
    <w:rsid w:val="00853ABA"/>
    <w:rsid w:val="00855A69"/>
    <w:rsid w:val="00861867"/>
    <w:rsid w:val="00861C16"/>
    <w:rsid w:val="00864B8D"/>
    <w:rsid w:val="00865B63"/>
    <w:rsid w:val="008677FB"/>
    <w:rsid w:val="00873244"/>
    <w:rsid w:val="00875160"/>
    <w:rsid w:val="00875871"/>
    <w:rsid w:val="00881E0A"/>
    <w:rsid w:val="00882154"/>
    <w:rsid w:val="00883096"/>
    <w:rsid w:val="00886302"/>
    <w:rsid w:val="008910F4"/>
    <w:rsid w:val="00891FA5"/>
    <w:rsid w:val="00894988"/>
    <w:rsid w:val="008967D9"/>
    <w:rsid w:val="00897A5D"/>
    <w:rsid w:val="00897FAD"/>
    <w:rsid w:val="008A38E7"/>
    <w:rsid w:val="008A55BA"/>
    <w:rsid w:val="008A5AE0"/>
    <w:rsid w:val="008B308E"/>
    <w:rsid w:val="008B3E45"/>
    <w:rsid w:val="008B5159"/>
    <w:rsid w:val="008B6FCD"/>
    <w:rsid w:val="008B770B"/>
    <w:rsid w:val="008C23F1"/>
    <w:rsid w:val="008C34D5"/>
    <w:rsid w:val="008C6FDB"/>
    <w:rsid w:val="008D0EBB"/>
    <w:rsid w:val="008D36CD"/>
    <w:rsid w:val="008D52D7"/>
    <w:rsid w:val="008D6033"/>
    <w:rsid w:val="008D604C"/>
    <w:rsid w:val="008E0757"/>
    <w:rsid w:val="008E4CDB"/>
    <w:rsid w:val="008E7A6A"/>
    <w:rsid w:val="009003B6"/>
    <w:rsid w:val="009013AC"/>
    <w:rsid w:val="00902F64"/>
    <w:rsid w:val="009050EB"/>
    <w:rsid w:val="009078A9"/>
    <w:rsid w:val="00912388"/>
    <w:rsid w:val="0091529C"/>
    <w:rsid w:val="00915DDA"/>
    <w:rsid w:val="00917801"/>
    <w:rsid w:val="0092239B"/>
    <w:rsid w:val="00923E30"/>
    <w:rsid w:val="009250EF"/>
    <w:rsid w:val="00925CD9"/>
    <w:rsid w:val="009279D6"/>
    <w:rsid w:val="00930AEA"/>
    <w:rsid w:val="009312B6"/>
    <w:rsid w:val="00931433"/>
    <w:rsid w:val="00932719"/>
    <w:rsid w:val="0093292C"/>
    <w:rsid w:val="0093672C"/>
    <w:rsid w:val="00936C2C"/>
    <w:rsid w:val="00936DFE"/>
    <w:rsid w:val="009376EE"/>
    <w:rsid w:val="00940520"/>
    <w:rsid w:val="0094267A"/>
    <w:rsid w:val="00943293"/>
    <w:rsid w:val="00943BC2"/>
    <w:rsid w:val="00947226"/>
    <w:rsid w:val="009508AA"/>
    <w:rsid w:val="00952E2B"/>
    <w:rsid w:val="00954622"/>
    <w:rsid w:val="00954A4F"/>
    <w:rsid w:val="00954BAB"/>
    <w:rsid w:val="00955811"/>
    <w:rsid w:val="0095628F"/>
    <w:rsid w:val="00961889"/>
    <w:rsid w:val="00962366"/>
    <w:rsid w:val="009628A8"/>
    <w:rsid w:val="00965C25"/>
    <w:rsid w:val="00975199"/>
    <w:rsid w:val="00977191"/>
    <w:rsid w:val="00981AB1"/>
    <w:rsid w:val="009859BC"/>
    <w:rsid w:val="0098648D"/>
    <w:rsid w:val="009874F1"/>
    <w:rsid w:val="00987704"/>
    <w:rsid w:val="00987812"/>
    <w:rsid w:val="009935AB"/>
    <w:rsid w:val="00993A21"/>
    <w:rsid w:val="00995ABE"/>
    <w:rsid w:val="009972F0"/>
    <w:rsid w:val="009A0194"/>
    <w:rsid w:val="009A0320"/>
    <w:rsid w:val="009A0425"/>
    <w:rsid w:val="009A2BBD"/>
    <w:rsid w:val="009A4C75"/>
    <w:rsid w:val="009B6DA9"/>
    <w:rsid w:val="009C3B68"/>
    <w:rsid w:val="009C43D5"/>
    <w:rsid w:val="009D5F1E"/>
    <w:rsid w:val="009D6E2F"/>
    <w:rsid w:val="009E0A01"/>
    <w:rsid w:val="009E148B"/>
    <w:rsid w:val="009E5821"/>
    <w:rsid w:val="009E66EB"/>
    <w:rsid w:val="009E77FB"/>
    <w:rsid w:val="009F24E3"/>
    <w:rsid w:val="009F6427"/>
    <w:rsid w:val="009F6ACE"/>
    <w:rsid w:val="009F6FE4"/>
    <w:rsid w:val="00A06AFD"/>
    <w:rsid w:val="00A1127A"/>
    <w:rsid w:val="00A123CD"/>
    <w:rsid w:val="00A12F34"/>
    <w:rsid w:val="00A14096"/>
    <w:rsid w:val="00A166C8"/>
    <w:rsid w:val="00A16AAC"/>
    <w:rsid w:val="00A25B1E"/>
    <w:rsid w:val="00A33D8C"/>
    <w:rsid w:val="00A37056"/>
    <w:rsid w:val="00A4107D"/>
    <w:rsid w:val="00A42A5D"/>
    <w:rsid w:val="00A45216"/>
    <w:rsid w:val="00A52082"/>
    <w:rsid w:val="00A5363A"/>
    <w:rsid w:val="00A5384A"/>
    <w:rsid w:val="00A55D0E"/>
    <w:rsid w:val="00A56E7B"/>
    <w:rsid w:val="00A578DA"/>
    <w:rsid w:val="00A600DA"/>
    <w:rsid w:val="00A61F90"/>
    <w:rsid w:val="00A66F49"/>
    <w:rsid w:val="00A71A8D"/>
    <w:rsid w:val="00A738F3"/>
    <w:rsid w:val="00A74A91"/>
    <w:rsid w:val="00A74FEA"/>
    <w:rsid w:val="00A7690B"/>
    <w:rsid w:val="00A77CA7"/>
    <w:rsid w:val="00A8008C"/>
    <w:rsid w:val="00A86865"/>
    <w:rsid w:val="00A87228"/>
    <w:rsid w:val="00A93372"/>
    <w:rsid w:val="00A958E7"/>
    <w:rsid w:val="00AA3375"/>
    <w:rsid w:val="00AA38E4"/>
    <w:rsid w:val="00AA64EC"/>
    <w:rsid w:val="00AA68F0"/>
    <w:rsid w:val="00AA6F34"/>
    <w:rsid w:val="00AB1205"/>
    <w:rsid w:val="00AB6D7A"/>
    <w:rsid w:val="00AB78F6"/>
    <w:rsid w:val="00AC2834"/>
    <w:rsid w:val="00AC3AE2"/>
    <w:rsid w:val="00AC49B1"/>
    <w:rsid w:val="00AC6149"/>
    <w:rsid w:val="00AC686B"/>
    <w:rsid w:val="00AC7A92"/>
    <w:rsid w:val="00AD304D"/>
    <w:rsid w:val="00AD4979"/>
    <w:rsid w:val="00AD51B0"/>
    <w:rsid w:val="00AD7597"/>
    <w:rsid w:val="00AE20C6"/>
    <w:rsid w:val="00AE5A9D"/>
    <w:rsid w:val="00AF1E06"/>
    <w:rsid w:val="00AF4DCF"/>
    <w:rsid w:val="00AF5220"/>
    <w:rsid w:val="00AF6609"/>
    <w:rsid w:val="00B00D07"/>
    <w:rsid w:val="00B04022"/>
    <w:rsid w:val="00B0458F"/>
    <w:rsid w:val="00B07FDD"/>
    <w:rsid w:val="00B12DA5"/>
    <w:rsid w:val="00B16C3D"/>
    <w:rsid w:val="00B2126E"/>
    <w:rsid w:val="00B21FB8"/>
    <w:rsid w:val="00B228CE"/>
    <w:rsid w:val="00B2433A"/>
    <w:rsid w:val="00B2781A"/>
    <w:rsid w:val="00B30964"/>
    <w:rsid w:val="00B32C44"/>
    <w:rsid w:val="00B3441D"/>
    <w:rsid w:val="00B3671B"/>
    <w:rsid w:val="00B436F6"/>
    <w:rsid w:val="00B468B1"/>
    <w:rsid w:val="00B46A16"/>
    <w:rsid w:val="00B50B96"/>
    <w:rsid w:val="00B531CB"/>
    <w:rsid w:val="00B532FD"/>
    <w:rsid w:val="00B550F2"/>
    <w:rsid w:val="00B554C8"/>
    <w:rsid w:val="00B629C3"/>
    <w:rsid w:val="00B6324F"/>
    <w:rsid w:val="00B70E97"/>
    <w:rsid w:val="00B72935"/>
    <w:rsid w:val="00B737A6"/>
    <w:rsid w:val="00B76673"/>
    <w:rsid w:val="00B834DB"/>
    <w:rsid w:val="00B84B8B"/>
    <w:rsid w:val="00B86180"/>
    <w:rsid w:val="00B8658F"/>
    <w:rsid w:val="00B90500"/>
    <w:rsid w:val="00B90EA2"/>
    <w:rsid w:val="00B94E07"/>
    <w:rsid w:val="00BA034C"/>
    <w:rsid w:val="00BA2359"/>
    <w:rsid w:val="00BA664A"/>
    <w:rsid w:val="00BA6C16"/>
    <w:rsid w:val="00BB1C65"/>
    <w:rsid w:val="00BB285D"/>
    <w:rsid w:val="00BB50DE"/>
    <w:rsid w:val="00BB7649"/>
    <w:rsid w:val="00BC0F7D"/>
    <w:rsid w:val="00BC11DD"/>
    <w:rsid w:val="00BC1F1E"/>
    <w:rsid w:val="00BC366A"/>
    <w:rsid w:val="00BC4CB5"/>
    <w:rsid w:val="00BC6267"/>
    <w:rsid w:val="00BC6426"/>
    <w:rsid w:val="00BC739E"/>
    <w:rsid w:val="00BD07D2"/>
    <w:rsid w:val="00BD2AB7"/>
    <w:rsid w:val="00BE0302"/>
    <w:rsid w:val="00BE1D41"/>
    <w:rsid w:val="00BE71A6"/>
    <w:rsid w:val="00C1019D"/>
    <w:rsid w:val="00C14A61"/>
    <w:rsid w:val="00C15EC3"/>
    <w:rsid w:val="00C16A47"/>
    <w:rsid w:val="00C21BCC"/>
    <w:rsid w:val="00C22053"/>
    <w:rsid w:val="00C22ECF"/>
    <w:rsid w:val="00C23ECF"/>
    <w:rsid w:val="00C24615"/>
    <w:rsid w:val="00C25A8D"/>
    <w:rsid w:val="00C26CA1"/>
    <w:rsid w:val="00C31789"/>
    <w:rsid w:val="00C3649B"/>
    <w:rsid w:val="00C37C64"/>
    <w:rsid w:val="00C4164B"/>
    <w:rsid w:val="00C43BA8"/>
    <w:rsid w:val="00C46949"/>
    <w:rsid w:val="00C46EAE"/>
    <w:rsid w:val="00C52C69"/>
    <w:rsid w:val="00C53738"/>
    <w:rsid w:val="00C540D5"/>
    <w:rsid w:val="00C5420E"/>
    <w:rsid w:val="00C549B8"/>
    <w:rsid w:val="00C561FB"/>
    <w:rsid w:val="00C56C8C"/>
    <w:rsid w:val="00C57AF4"/>
    <w:rsid w:val="00C60514"/>
    <w:rsid w:val="00C6601D"/>
    <w:rsid w:val="00C66191"/>
    <w:rsid w:val="00C66A8F"/>
    <w:rsid w:val="00C709D1"/>
    <w:rsid w:val="00C74A56"/>
    <w:rsid w:val="00C80682"/>
    <w:rsid w:val="00C81418"/>
    <w:rsid w:val="00C82F12"/>
    <w:rsid w:val="00C8379D"/>
    <w:rsid w:val="00C85996"/>
    <w:rsid w:val="00C91884"/>
    <w:rsid w:val="00C92FDE"/>
    <w:rsid w:val="00C93DD7"/>
    <w:rsid w:val="00CA1E00"/>
    <w:rsid w:val="00CA2A4F"/>
    <w:rsid w:val="00CA3C37"/>
    <w:rsid w:val="00CA43F6"/>
    <w:rsid w:val="00CA520D"/>
    <w:rsid w:val="00CA64FA"/>
    <w:rsid w:val="00CA68EE"/>
    <w:rsid w:val="00CB0E43"/>
    <w:rsid w:val="00CB125C"/>
    <w:rsid w:val="00CB4240"/>
    <w:rsid w:val="00CB6D92"/>
    <w:rsid w:val="00CC2C33"/>
    <w:rsid w:val="00CC4E09"/>
    <w:rsid w:val="00CC7759"/>
    <w:rsid w:val="00CD3829"/>
    <w:rsid w:val="00CD7536"/>
    <w:rsid w:val="00CE1F50"/>
    <w:rsid w:val="00CE2610"/>
    <w:rsid w:val="00CE28F7"/>
    <w:rsid w:val="00CE2E71"/>
    <w:rsid w:val="00D0181F"/>
    <w:rsid w:val="00D140C5"/>
    <w:rsid w:val="00D15149"/>
    <w:rsid w:val="00D1515E"/>
    <w:rsid w:val="00D16D1D"/>
    <w:rsid w:val="00D22848"/>
    <w:rsid w:val="00D26B55"/>
    <w:rsid w:val="00D3026D"/>
    <w:rsid w:val="00D3502E"/>
    <w:rsid w:val="00D35B5F"/>
    <w:rsid w:val="00D3760C"/>
    <w:rsid w:val="00D42377"/>
    <w:rsid w:val="00D42C57"/>
    <w:rsid w:val="00D430C7"/>
    <w:rsid w:val="00D44A95"/>
    <w:rsid w:val="00D4583C"/>
    <w:rsid w:val="00D50E31"/>
    <w:rsid w:val="00D5513C"/>
    <w:rsid w:val="00D6169B"/>
    <w:rsid w:val="00D633C0"/>
    <w:rsid w:val="00D65210"/>
    <w:rsid w:val="00D66487"/>
    <w:rsid w:val="00D66714"/>
    <w:rsid w:val="00D675F5"/>
    <w:rsid w:val="00D72B29"/>
    <w:rsid w:val="00D81D8E"/>
    <w:rsid w:val="00D83483"/>
    <w:rsid w:val="00D915D8"/>
    <w:rsid w:val="00D93049"/>
    <w:rsid w:val="00D9773E"/>
    <w:rsid w:val="00DA0B68"/>
    <w:rsid w:val="00DA220F"/>
    <w:rsid w:val="00DA3A88"/>
    <w:rsid w:val="00DA6842"/>
    <w:rsid w:val="00DA7FA0"/>
    <w:rsid w:val="00DB3401"/>
    <w:rsid w:val="00DB4559"/>
    <w:rsid w:val="00DB7C73"/>
    <w:rsid w:val="00DC0BD4"/>
    <w:rsid w:val="00DC153F"/>
    <w:rsid w:val="00DC23A6"/>
    <w:rsid w:val="00DC34B1"/>
    <w:rsid w:val="00DC3E4C"/>
    <w:rsid w:val="00DD0175"/>
    <w:rsid w:val="00DD0BF5"/>
    <w:rsid w:val="00DD14B0"/>
    <w:rsid w:val="00DD16BF"/>
    <w:rsid w:val="00DD56B3"/>
    <w:rsid w:val="00DE055F"/>
    <w:rsid w:val="00DE52E2"/>
    <w:rsid w:val="00DE6709"/>
    <w:rsid w:val="00DF075D"/>
    <w:rsid w:val="00E00FB6"/>
    <w:rsid w:val="00E01BB3"/>
    <w:rsid w:val="00E12F01"/>
    <w:rsid w:val="00E12F0C"/>
    <w:rsid w:val="00E1406B"/>
    <w:rsid w:val="00E140B0"/>
    <w:rsid w:val="00E14166"/>
    <w:rsid w:val="00E154EF"/>
    <w:rsid w:val="00E16C71"/>
    <w:rsid w:val="00E17747"/>
    <w:rsid w:val="00E21FD0"/>
    <w:rsid w:val="00E22C0D"/>
    <w:rsid w:val="00E232A5"/>
    <w:rsid w:val="00E25381"/>
    <w:rsid w:val="00E2759F"/>
    <w:rsid w:val="00E33150"/>
    <w:rsid w:val="00E361B3"/>
    <w:rsid w:val="00E40489"/>
    <w:rsid w:val="00E413A2"/>
    <w:rsid w:val="00E42AE3"/>
    <w:rsid w:val="00E504AA"/>
    <w:rsid w:val="00E5315F"/>
    <w:rsid w:val="00E54A75"/>
    <w:rsid w:val="00E551AC"/>
    <w:rsid w:val="00E56476"/>
    <w:rsid w:val="00E57FA2"/>
    <w:rsid w:val="00E60A33"/>
    <w:rsid w:val="00E646A6"/>
    <w:rsid w:val="00E64AFD"/>
    <w:rsid w:val="00E6532B"/>
    <w:rsid w:val="00E6589A"/>
    <w:rsid w:val="00E66555"/>
    <w:rsid w:val="00E674D1"/>
    <w:rsid w:val="00E67741"/>
    <w:rsid w:val="00E67CCD"/>
    <w:rsid w:val="00E71BB6"/>
    <w:rsid w:val="00E77A18"/>
    <w:rsid w:val="00E900A8"/>
    <w:rsid w:val="00E921F2"/>
    <w:rsid w:val="00E92C8E"/>
    <w:rsid w:val="00E95706"/>
    <w:rsid w:val="00E97FB8"/>
    <w:rsid w:val="00EA553B"/>
    <w:rsid w:val="00EA5D11"/>
    <w:rsid w:val="00EA6140"/>
    <w:rsid w:val="00EA6E8F"/>
    <w:rsid w:val="00EB19DC"/>
    <w:rsid w:val="00EC065D"/>
    <w:rsid w:val="00EC576D"/>
    <w:rsid w:val="00EC69D1"/>
    <w:rsid w:val="00EC7135"/>
    <w:rsid w:val="00EC7919"/>
    <w:rsid w:val="00ED022D"/>
    <w:rsid w:val="00ED5373"/>
    <w:rsid w:val="00EE0BDE"/>
    <w:rsid w:val="00EE1C6A"/>
    <w:rsid w:val="00EE25A0"/>
    <w:rsid w:val="00EE497D"/>
    <w:rsid w:val="00EF1380"/>
    <w:rsid w:val="00EF3525"/>
    <w:rsid w:val="00EF373A"/>
    <w:rsid w:val="00EF612B"/>
    <w:rsid w:val="00F001EC"/>
    <w:rsid w:val="00F01227"/>
    <w:rsid w:val="00F01DE2"/>
    <w:rsid w:val="00F077E1"/>
    <w:rsid w:val="00F11C78"/>
    <w:rsid w:val="00F15426"/>
    <w:rsid w:val="00F1668F"/>
    <w:rsid w:val="00F166D9"/>
    <w:rsid w:val="00F2047C"/>
    <w:rsid w:val="00F23DEA"/>
    <w:rsid w:val="00F24D8F"/>
    <w:rsid w:val="00F24E48"/>
    <w:rsid w:val="00F25332"/>
    <w:rsid w:val="00F31AB8"/>
    <w:rsid w:val="00F32535"/>
    <w:rsid w:val="00F363C6"/>
    <w:rsid w:val="00F421CA"/>
    <w:rsid w:val="00F5412D"/>
    <w:rsid w:val="00F54A72"/>
    <w:rsid w:val="00F60374"/>
    <w:rsid w:val="00F618E4"/>
    <w:rsid w:val="00F62527"/>
    <w:rsid w:val="00F634E5"/>
    <w:rsid w:val="00F63A4D"/>
    <w:rsid w:val="00F84F93"/>
    <w:rsid w:val="00F870D8"/>
    <w:rsid w:val="00F952B9"/>
    <w:rsid w:val="00F963EB"/>
    <w:rsid w:val="00F96D16"/>
    <w:rsid w:val="00F96E73"/>
    <w:rsid w:val="00F97DB6"/>
    <w:rsid w:val="00FA1F43"/>
    <w:rsid w:val="00FA4C78"/>
    <w:rsid w:val="00FA6E85"/>
    <w:rsid w:val="00FB1652"/>
    <w:rsid w:val="00FB3669"/>
    <w:rsid w:val="00FB5DCE"/>
    <w:rsid w:val="00FB603E"/>
    <w:rsid w:val="00FC3A78"/>
    <w:rsid w:val="00FC5443"/>
    <w:rsid w:val="00FC67D5"/>
    <w:rsid w:val="00FD3B2C"/>
    <w:rsid w:val="00FD5B36"/>
    <w:rsid w:val="00FD5E2D"/>
    <w:rsid w:val="00FD6533"/>
    <w:rsid w:val="00FD7B8A"/>
    <w:rsid w:val="00FE164E"/>
    <w:rsid w:val="00FE7136"/>
    <w:rsid w:val="00FE7CE9"/>
    <w:rsid w:val="00FE7EA8"/>
    <w:rsid w:val="00FF21A0"/>
    <w:rsid w:val="00FF3177"/>
    <w:rsid w:val="00FF6472"/>
    <w:rsid w:val="00FF68A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0BD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ECA"/>
    <w:pPr>
      <w:spacing w:before="240" w:after="240" w:line="276" w:lineRule="auto"/>
      <w:ind w:firstLine="720"/>
      <w:jc w:val="both"/>
    </w:pPr>
    <w:rPr>
      <w:lang w:val="en-US"/>
    </w:rPr>
  </w:style>
  <w:style w:type="paragraph" w:styleId="Ttulo1">
    <w:name w:val="heading 1"/>
    <w:basedOn w:val="Normal"/>
    <w:next w:val="Normal"/>
    <w:link w:val="Ttulo1Car"/>
    <w:uiPriority w:val="9"/>
    <w:qFormat/>
    <w:rsid w:val="00E413A2"/>
    <w:pPr>
      <w:keepNext/>
      <w:keepLines/>
      <w:spacing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E413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A74F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413A2"/>
    <w:rPr>
      <w:rFonts w:asciiTheme="majorHAnsi" w:eastAsiaTheme="majorEastAsia" w:hAnsiTheme="majorHAnsi" w:cstheme="majorBidi"/>
      <w:color w:val="2F5496" w:themeColor="accent1" w:themeShade="BF"/>
      <w:sz w:val="32"/>
      <w:szCs w:val="32"/>
      <w:lang w:val="es-ES"/>
    </w:rPr>
  </w:style>
  <w:style w:type="character" w:customStyle="1" w:styleId="Ttulo2Car">
    <w:name w:val="Título 2 Car"/>
    <w:basedOn w:val="Fuentedeprrafopredeter"/>
    <w:link w:val="Ttulo2"/>
    <w:uiPriority w:val="9"/>
    <w:rsid w:val="00E413A2"/>
    <w:rPr>
      <w:rFonts w:asciiTheme="majorHAnsi" w:eastAsiaTheme="majorEastAsia" w:hAnsiTheme="majorHAnsi" w:cstheme="majorBidi"/>
      <w:color w:val="2F5496" w:themeColor="accent1" w:themeShade="BF"/>
      <w:sz w:val="26"/>
      <w:szCs w:val="26"/>
      <w:lang w:val="es-ES"/>
    </w:rPr>
  </w:style>
  <w:style w:type="character" w:styleId="Hipervnculo">
    <w:name w:val="Hyperlink"/>
    <w:basedOn w:val="Fuentedeprrafopredeter"/>
    <w:uiPriority w:val="99"/>
    <w:unhideWhenUsed/>
    <w:rsid w:val="00E413A2"/>
    <w:rPr>
      <w:rFonts w:cs="Times New Roman"/>
      <w:color w:val="0563C1" w:themeColor="hyperlink"/>
      <w:u w:val="single"/>
    </w:rPr>
  </w:style>
  <w:style w:type="paragraph" w:styleId="Textonotapie">
    <w:name w:val="footnote text"/>
    <w:aliases w:val="Ref. de nota al pie1,Footnotes refss,Ref,de nota al pie,Texto de nota al pie,referencia nota al pie,BVI fnr,Appel note de bas de page,f,Footnote number,4_G,16 Point,Superscript 6 Point,Texto nota al pie,Normal1,Footnote Reference Char3"/>
    <w:basedOn w:val="Normal"/>
    <w:link w:val="TextonotapieCar"/>
    <w:uiPriority w:val="99"/>
    <w:unhideWhenUsed/>
    <w:qFormat/>
    <w:rsid w:val="00E413A2"/>
    <w:pPr>
      <w:spacing w:after="0" w:line="240" w:lineRule="auto"/>
    </w:pPr>
    <w:rPr>
      <w:rFonts w:eastAsia="Times New Roman" w:cs="Times New Roman"/>
      <w:sz w:val="20"/>
      <w:szCs w:val="20"/>
      <w:lang w:val="es-AR"/>
    </w:rPr>
  </w:style>
  <w:style w:type="character" w:customStyle="1" w:styleId="TextonotapieCar">
    <w:name w:val="Texto nota pie Car"/>
    <w:aliases w:val="Ref. de nota al pie1 Car,Footnotes refss Car,Ref Car,de nota al pie Car,Texto de nota al pie Car,referencia nota al pie Car,BVI fnr Car,Appel note de bas de page Car,f Car,Footnote number Car,4_G Car,16 Point Car,Texto nota al pie Car"/>
    <w:basedOn w:val="Fuentedeprrafopredeter"/>
    <w:link w:val="Textonotapie"/>
    <w:uiPriority w:val="99"/>
    <w:rsid w:val="00E413A2"/>
    <w:rPr>
      <w:rFonts w:eastAsia="Times New Roman" w:cs="Times New Roman"/>
      <w:sz w:val="20"/>
      <w:szCs w:val="20"/>
      <w:lang w:val="es-AR"/>
    </w:rPr>
  </w:style>
  <w:style w:type="character" w:styleId="Refdenotaalpie">
    <w:name w:val="footnote reference"/>
    <w:aliases w:val="normal,Footnote symbol,BVI,Normal2"/>
    <w:uiPriority w:val="99"/>
    <w:unhideWhenUsed/>
    <w:qFormat/>
    <w:rsid w:val="00E413A2"/>
    <w:rPr>
      <w:vertAlign w:val="superscript"/>
    </w:rPr>
  </w:style>
  <w:style w:type="paragraph" w:styleId="Piedepgina">
    <w:name w:val="footer"/>
    <w:basedOn w:val="Normal"/>
    <w:link w:val="PiedepginaCar"/>
    <w:uiPriority w:val="99"/>
    <w:unhideWhenUsed/>
    <w:rsid w:val="00E413A2"/>
    <w:pPr>
      <w:tabs>
        <w:tab w:val="center" w:pos="4419"/>
        <w:tab w:val="right" w:pos="8838"/>
      </w:tabs>
      <w:spacing w:after="0" w:line="240" w:lineRule="auto"/>
    </w:pPr>
    <w:rPr>
      <w:lang w:val="es-AR"/>
    </w:rPr>
  </w:style>
  <w:style w:type="character" w:customStyle="1" w:styleId="PiedepginaCar">
    <w:name w:val="Pie de página Car"/>
    <w:basedOn w:val="Fuentedeprrafopredeter"/>
    <w:link w:val="Piedepgina"/>
    <w:uiPriority w:val="99"/>
    <w:rsid w:val="00E413A2"/>
    <w:rPr>
      <w:lang w:val="es-AR"/>
    </w:rPr>
  </w:style>
  <w:style w:type="paragraph" w:customStyle="1" w:styleId="Default">
    <w:name w:val="Default"/>
    <w:rsid w:val="00E413A2"/>
    <w:pPr>
      <w:autoSpaceDE w:val="0"/>
      <w:autoSpaceDN w:val="0"/>
      <w:adjustRightInd w:val="0"/>
      <w:spacing w:after="0" w:line="240" w:lineRule="auto"/>
    </w:pPr>
    <w:rPr>
      <w:rFonts w:ascii="Arial" w:hAnsi="Arial" w:cs="Arial"/>
      <w:color w:val="000000"/>
      <w:sz w:val="24"/>
      <w:szCs w:val="24"/>
      <w:lang w:val="es-AR"/>
    </w:rPr>
  </w:style>
  <w:style w:type="table" w:styleId="Tablaconcuadrcula">
    <w:name w:val="Table Grid"/>
    <w:basedOn w:val="Tablanormal"/>
    <w:uiPriority w:val="39"/>
    <w:rsid w:val="00E413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E413A2"/>
    <w:pPr>
      <w:ind w:left="720"/>
      <w:contextualSpacing/>
    </w:pPr>
  </w:style>
  <w:style w:type="character" w:customStyle="1" w:styleId="Mencinsinresolver1">
    <w:name w:val="Mención sin resolver1"/>
    <w:basedOn w:val="Fuentedeprrafopredeter"/>
    <w:uiPriority w:val="99"/>
    <w:semiHidden/>
    <w:unhideWhenUsed/>
    <w:rsid w:val="00E413A2"/>
    <w:rPr>
      <w:color w:val="605E5C"/>
      <w:shd w:val="clear" w:color="auto" w:fill="E1DFDD"/>
    </w:rPr>
  </w:style>
  <w:style w:type="paragraph" w:styleId="NormalWeb">
    <w:name w:val="Normal (Web)"/>
    <w:basedOn w:val="Normal"/>
    <w:uiPriority w:val="99"/>
    <w:unhideWhenUsed/>
    <w:rsid w:val="00E413A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tab-span">
    <w:name w:val="apple-tab-span"/>
    <w:basedOn w:val="Fuentedeprrafopredeter"/>
    <w:rsid w:val="00E413A2"/>
  </w:style>
  <w:style w:type="character" w:styleId="Refdecomentario">
    <w:name w:val="annotation reference"/>
    <w:basedOn w:val="Fuentedeprrafopredeter"/>
    <w:uiPriority w:val="99"/>
    <w:semiHidden/>
    <w:unhideWhenUsed/>
    <w:rsid w:val="00E413A2"/>
    <w:rPr>
      <w:sz w:val="16"/>
      <w:szCs w:val="16"/>
    </w:rPr>
  </w:style>
  <w:style w:type="paragraph" w:styleId="Textocomentario">
    <w:name w:val="annotation text"/>
    <w:basedOn w:val="Normal"/>
    <w:link w:val="TextocomentarioCar"/>
    <w:uiPriority w:val="99"/>
    <w:unhideWhenUsed/>
    <w:rsid w:val="00E413A2"/>
    <w:pPr>
      <w:spacing w:line="240" w:lineRule="auto"/>
    </w:pPr>
    <w:rPr>
      <w:sz w:val="20"/>
      <w:szCs w:val="20"/>
    </w:rPr>
  </w:style>
  <w:style w:type="character" w:customStyle="1" w:styleId="TextocomentarioCar">
    <w:name w:val="Texto comentario Car"/>
    <w:basedOn w:val="Fuentedeprrafopredeter"/>
    <w:link w:val="Textocomentario"/>
    <w:uiPriority w:val="99"/>
    <w:rsid w:val="00E413A2"/>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E413A2"/>
    <w:rPr>
      <w:b/>
      <w:bCs/>
    </w:rPr>
  </w:style>
  <w:style w:type="character" w:customStyle="1" w:styleId="AsuntodelcomentarioCar">
    <w:name w:val="Asunto del comentario Car"/>
    <w:basedOn w:val="TextocomentarioCar"/>
    <w:link w:val="Asuntodelcomentario"/>
    <w:uiPriority w:val="99"/>
    <w:semiHidden/>
    <w:rsid w:val="00E413A2"/>
    <w:rPr>
      <w:b/>
      <w:bCs/>
      <w:sz w:val="20"/>
      <w:szCs w:val="20"/>
      <w:lang w:val="es-ES"/>
    </w:rPr>
  </w:style>
  <w:style w:type="character" w:styleId="Hipervnculovisitado">
    <w:name w:val="FollowedHyperlink"/>
    <w:basedOn w:val="Fuentedeprrafopredeter"/>
    <w:uiPriority w:val="99"/>
    <w:semiHidden/>
    <w:unhideWhenUsed/>
    <w:rsid w:val="00E413A2"/>
    <w:rPr>
      <w:color w:val="954F72" w:themeColor="followedHyperlink"/>
      <w:u w:val="single"/>
    </w:rPr>
  </w:style>
  <w:style w:type="paragraph" w:styleId="Encabezado">
    <w:name w:val="header"/>
    <w:basedOn w:val="Normal"/>
    <w:link w:val="EncabezadoCar"/>
    <w:uiPriority w:val="99"/>
    <w:unhideWhenUsed/>
    <w:rsid w:val="005A7A9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A7A91"/>
    <w:rPr>
      <w:lang w:val="es-ES"/>
    </w:rPr>
  </w:style>
  <w:style w:type="character" w:customStyle="1" w:styleId="Mencinsinresolver2">
    <w:name w:val="Mención sin resolver2"/>
    <w:basedOn w:val="Fuentedeprrafopredeter"/>
    <w:uiPriority w:val="99"/>
    <w:semiHidden/>
    <w:unhideWhenUsed/>
    <w:rsid w:val="009050EB"/>
    <w:rPr>
      <w:color w:val="605E5C"/>
      <w:shd w:val="clear" w:color="auto" w:fill="E1DFDD"/>
    </w:rPr>
  </w:style>
  <w:style w:type="character" w:customStyle="1" w:styleId="UnresolvedMention1">
    <w:name w:val="Unresolved Mention1"/>
    <w:basedOn w:val="Fuentedeprrafopredeter"/>
    <w:uiPriority w:val="99"/>
    <w:semiHidden/>
    <w:unhideWhenUsed/>
    <w:rsid w:val="00E67741"/>
    <w:rPr>
      <w:color w:val="605E5C"/>
      <w:shd w:val="clear" w:color="auto" w:fill="E1DFDD"/>
    </w:rPr>
  </w:style>
  <w:style w:type="paragraph" w:styleId="TtulodeTDC">
    <w:name w:val="TOC Heading"/>
    <w:basedOn w:val="Ttulo1"/>
    <w:next w:val="Normal"/>
    <w:uiPriority w:val="39"/>
    <w:unhideWhenUsed/>
    <w:qFormat/>
    <w:rsid w:val="00454D5A"/>
    <w:pPr>
      <w:outlineLvl w:val="9"/>
    </w:pPr>
    <w:rPr>
      <w:lang w:val="en-GB" w:eastAsia="en-GB"/>
    </w:rPr>
  </w:style>
  <w:style w:type="paragraph" w:styleId="Ttulo">
    <w:name w:val="Title"/>
    <w:basedOn w:val="Normal"/>
    <w:next w:val="Normal"/>
    <w:link w:val="TtuloCar"/>
    <w:uiPriority w:val="10"/>
    <w:qFormat/>
    <w:rsid w:val="00454D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54D5A"/>
    <w:rPr>
      <w:rFonts w:asciiTheme="majorHAnsi" w:eastAsiaTheme="majorEastAsia" w:hAnsiTheme="majorHAnsi" w:cstheme="majorBidi"/>
      <w:spacing w:val="-10"/>
      <w:kern w:val="28"/>
      <w:sz w:val="56"/>
      <w:szCs w:val="56"/>
      <w:lang w:val="es-ES"/>
    </w:rPr>
  </w:style>
  <w:style w:type="paragraph" w:styleId="Subttulo">
    <w:name w:val="Subtitle"/>
    <w:basedOn w:val="Normal"/>
    <w:next w:val="Normal"/>
    <w:link w:val="SubttuloCar"/>
    <w:uiPriority w:val="11"/>
    <w:qFormat/>
    <w:rsid w:val="00454D5A"/>
    <w:pPr>
      <w:numPr>
        <w:ilvl w:val="1"/>
      </w:numPr>
      <w:ind w:firstLine="720"/>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454D5A"/>
    <w:rPr>
      <w:rFonts w:eastAsiaTheme="minorEastAsia"/>
      <w:color w:val="5A5A5A" w:themeColor="text1" w:themeTint="A5"/>
      <w:spacing w:val="15"/>
      <w:lang w:val="es-ES"/>
    </w:rPr>
  </w:style>
  <w:style w:type="paragraph" w:styleId="TDC1">
    <w:name w:val="toc 1"/>
    <w:basedOn w:val="Normal"/>
    <w:next w:val="Normal"/>
    <w:autoRedefine/>
    <w:uiPriority w:val="39"/>
    <w:unhideWhenUsed/>
    <w:rsid w:val="00D3502E"/>
    <w:pPr>
      <w:tabs>
        <w:tab w:val="left" w:pos="1320"/>
        <w:tab w:val="right" w:leader="dot" w:pos="9736"/>
      </w:tabs>
      <w:spacing w:before="360" w:after="0"/>
      <w:ind w:firstLine="0"/>
    </w:pPr>
    <w:rPr>
      <w:rFonts w:asciiTheme="majorHAnsi" w:hAnsiTheme="majorHAnsi" w:cstheme="majorHAnsi"/>
      <w:b/>
      <w:bCs/>
      <w:caps/>
      <w:sz w:val="24"/>
      <w:szCs w:val="24"/>
    </w:rPr>
  </w:style>
  <w:style w:type="paragraph" w:styleId="TDC2">
    <w:name w:val="toc 2"/>
    <w:basedOn w:val="Normal"/>
    <w:next w:val="Normal"/>
    <w:autoRedefine/>
    <w:uiPriority w:val="39"/>
    <w:unhideWhenUsed/>
    <w:rsid w:val="00846678"/>
    <w:pPr>
      <w:tabs>
        <w:tab w:val="right" w:pos="9736"/>
      </w:tabs>
      <w:spacing w:after="0" w:line="240" w:lineRule="auto"/>
      <w:ind w:firstLine="0"/>
    </w:pPr>
    <w:rPr>
      <w:rFonts w:eastAsia="Times New Roman" w:cstheme="minorHAnsi"/>
      <w:noProof/>
      <w:sz w:val="20"/>
      <w:szCs w:val="20"/>
      <w:lang w:val="es-AR"/>
    </w:rPr>
  </w:style>
  <w:style w:type="paragraph" w:styleId="TDC3">
    <w:name w:val="toc 3"/>
    <w:basedOn w:val="Normal"/>
    <w:next w:val="Normal"/>
    <w:autoRedefine/>
    <w:uiPriority w:val="39"/>
    <w:unhideWhenUsed/>
    <w:rsid w:val="00104389"/>
    <w:pPr>
      <w:spacing w:after="0"/>
      <w:ind w:left="220"/>
    </w:pPr>
    <w:rPr>
      <w:rFonts w:cstheme="minorHAnsi"/>
      <w:sz w:val="20"/>
      <w:szCs w:val="20"/>
    </w:rPr>
  </w:style>
  <w:style w:type="paragraph" w:styleId="TDC4">
    <w:name w:val="toc 4"/>
    <w:basedOn w:val="Normal"/>
    <w:next w:val="Normal"/>
    <w:autoRedefine/>
    <w:uiPriority w:val="39"/>
    <w:unhideWhenUsed/>
    <w:rsid w:val="00D430C7"/>
    <w:pPr>
      <w:spacing w:after="0"/>
      <w:ind w:left="440"/>
    </w:pPr>
    <w:rPr>
      <w:rFonts w:cstheme="minorHAnsi"/>
      <w:sz w:val="20"/>
      <w:szCs w:val="20"/>
    </w:rPr>
  </w:style>
  <w:style w:type="paragraph" w:styleId="TDC5">
    <w:name w:val="toc 5"/>
    <w:basedOn w:val="Normal"/>
    <w:next w:val="Normal"/>
    <w:autoRedefine/>
    <w:uiPriority w:val="39"/>
    <w:unhideWhenUsed/>
    <w:rsid w:val="00D430C7"/>
    <w:pPr>
      <w:spacing w:after="0"/>
      <w:ind w:left="660"/>
    </w:pPr>
    <w:rPr>
      <w:rFonts w:cstheme="minorHAnsi"/>
      <w:sz w:val="20"/>
      <w:szCs w:val="20"/>
    </w:rPr>
  </w:style>
  <w:style w:type="paragraph" w:styleId="TDC6">
    <w:name w:val="toc 6"/>
    <w:basedOn w:val="Normal"/>
    <w:next w:val="Normal"/>
    <w:autoRedefine/>
    <w:uiPriority w:val="39"/>
    <w:unhideWhenUsed/>
    <w:rsid w:val="00D430C7"/>
    <w:pPr>
      <w:spacing w:after="0"/>
      <w:ind w:left="880"/>
    </w:pPr>
    <w:rPr>
      <w:rFonts w:cstheme="minorHAnsi"/>
      <w:sz w:val="20"/>
      <w:szCs w:val="20"/>
    </w:rPr>
  </w:style>
  <w:style w:type="paragraph" w:styleId="TDC7">
    <w:name w:val="toc 7"/>
    <w:basedOn w:val="Normal"/>
    <w:next w:val="Normal"/>
    <w:autoRedefine/>
    <w:uiPriority w:val="39"/>
    <w:unhideWhenUsed/>
    <w:rsid w:val="00D430C7"/>
    <w:pPr>
      <w:spacing w:after="0"/>
      <w:ind w:left="1100"/>
    </w:pPr>
    <w:rPr>
      <w:rFonts w:cstheme="minorHAnsi"/>
      <w:sz w:val="20"/>
      <w:szCs w:val="20"/>
    </w:rPr>
  </w:style>
  <w:style w:type="paragraph" w:styleId="TDC8">
    <w:name w:val="toc 8"/>
    <w:basedOn w:val="Normal"/>
    <w:next w:val="Normal"/>
    <w:autoRedefine/>
    <w:uiPriority w:val="39"/>
    <w:unhideWhenUsed/>
    <w:rsid w:val="00D430C7"/>
    <w:pPr>
      <w:spacing w:after="0"/>
      <w:ind w:left="1320"/>
    </w:pPr>
    <w:rPr>
      <w:rFonts w:cstheme="minorHAnsi"/>
      <w:sz w:val="20"/>
      <w:szCs w:val="20"/>
    </w:rPr>
  </w:style>
  <w:style w:type="paragraph" w:styleId="TDC9">
    <w:name w:val="toc 9"/>
    <w:basedOn w:val="Normal"/>
    <w:next w:val="Normal"/>
    <w:autoRedefine/>
    <w:uiPriority w:val="39"/>
    <w:unhideWhenUsed/>
    <w:rsid w:val="00D430C7"/>
    <w:pPr>
      <w:spacing w:after="0"/>
      <w:ind w:left="1540"/>
    </w:pPr>
    <w:rPr>
      <w:rFonts w:cstheme="minorHAnsi"/>
      <w:sz w:val="20"/>
      <w:szCs w:val="20"/>
    </w:rPr>
  </w:style>
  <w:style w:type="character" w:customStyle="1" w:styleId="Ttulo3Car">
    <w:name w:val="Título 3 Car"/>
    <w:basedOn w:val="Fuentedeprrafopredeter"/>
    <w:link w:val="Ttulo3"/>
    <w:uiPriority w:val="9"/>
    <w:rsid w:val="00A74FEA"/>
    <w:rPr>
      <w:rFonts w:asciiTheme="majorHAnsi" w:eastAsiaTheme="majorEastAsia" w:hAnsiTheme="majorHAnsi" w:cstheme="majorBidi"/>
      <w:color w:val="1F3763" w:themeColor="accent1" w:themeShade="7F"/>
      <w:sz w:val="24"/>
      <w:szCs w:val="24"/>
      <w:lang w:val="es-ES"/>
    </w:rPr>
  </w:style>
  <w:style w:type="paragraph" w:styleId="Textodeglobo">
    <w:name w:val="Balloon Text"/>
    <w:basedOn w:val="Normal"/>
    <w:link w:val="TextodegloboCar"/>
    <w:uiPriority w:val="99"/>
    <w:semiHidden/>
    <w:unhideWhenUsed/>
    <w:rsid w:val="0031226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12266"/>
    <w:rPr>
      <w:rFonts w:ascii="Tahoma" w:hAnsi="Tahoma" w:cs="Tahoma"/>
      <w:sz w:val="16"/>
      <w:szCs w:val="16"/>
      <w:lang w:val="es-ES"/>
    </w:rPr>
  </w:style>
  <w:style w:type="paragraph" w:styleId="Revisin">
    <w:name w:val="Revision"/>
    <w:hidden/>
    <w:uiPriority w:val="99"/>
    <w:semiHidden/>
    <w:rsid w:val="00E33150"/>
    <w:pPr>
      <w:spacing w:after="0" w:line="240" w:lineRule="auto"/>
    </w:pPr>
    <w:rPr>
      <w:lang w:val="es-ES"/>
    </w:rPr>
  </w:style>
  <w:style w:type="character" w:customStyle="1" w:styleId="cf01">
    <w:name w:val="cf01"/>
    <w:basedOn w:val="Fuentedeprrafopredeter"/>
    <w:rsid w:val="00943293"/>
    <w:rPr>
      <w:rFonts w:ascii="Segoe UI" w:hAnsi="Segoe UI" w:cs="Segoe UI" w:hint="default"/>
      <w:sz w:val="18"/>
      <w:szCs w:val="18"/>
    </w:rPr>
  </w:style>
  <w:style w:type="character" w:customStyle="1" w:styleId="Mencinsinresolver3">
    <w:name w:val="Mención sin resolver3"/>
    <w:basedOn w:val="Fuentedeprrafopredeter"/>
    <w:uiPriority w:val="99"/>
    <w:semiHidden/>
    <w:unhideWhenUsed/>
    <w:rsid w:val="00810F4E"/>
    <w:rPr>
      <w:color w:val="605E5C"/>
      <w:shd w:val="clear" w:color="auto" w:fill="E1DFDD"/>
    </w:rPr>
  </w:style>
  <w:style w:type="paragraph" w:styleId="Sinespaciado">
    <w:name w:val="No Spacing"/>
    <w:basedOn w:val="Textonotapie"/>
    <w:link w:val="SinespaciadoCar"/>
    <w:uiPriority w:val="1"/>
    <w:qFormat/>
    <w:rsid w:val="00184D6B"/>
    <w:pPr>
      <w:spacing w:before="0"/>
    </w:pPr>
  </w:style>
  <w:style w:type="character" w:customStyle="1" w:styleId="SinespaciadoCar">
    <w:name w:val="Sin espaciado Car"/>
    <w:basedOn w:val="Fuentedeprrafopredeter"/>
    <w:link w:val="Sinespaciado"/>
    <w:uiPriority w:val="1"/>
    <w:rsid w:val="00184D6B"/>
    <w:rPr>
      <w:rFonts w:eastAsia="Times New Roman" w:cs="Times New Roman"/>
      <w:sz w:val="20"/>
      <w:szCs w:val="20"/>
      <w:lang w:val="es-AR"/>
    </w:rPr>
  </w:style>
  <w:style w:type="paragraph" w:styleId="Textoindependiente2">
    <w:name w:val="Body Text 2"/>
    <w:basedOn w:val="Normal"/>
    <w:link w:val="Textoindependiente2Car"/>
    <w:uiPriority w:val="99"/>
    <w:semiHidden/>
    <w:unhideWhenUsed/>
    <w:rsid w:val="00D72B29"/>
    <w:pPr>
      <w:spacing w:after="120" w:line="480" w:lineRule="auto"/>
    </w:pPr>
  </w:style>
  <w:style w:type="character" w:customStyle="1" w:styleId="Textoindependiente2Car">
    <w:name w:val="Texto independiente 2 Car"/>
    <w:basedOn w:val="Fuentedeprrafopredeter"/>
    <w:link w:val="Textoindependiente2"/>
    <w:uiPriority w:val="99"/>
    <w:semiHidden/>
    <w:rsid w:val="00D72B29"/>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ECA"/>
    <w:pPr>
      <w:spacing w:before="240" w:after="240" w:line="276" w:lineRule="auto"/>
      <w:ind w:firstLine="720"/>
      <w:jc w:val="both"/>
    </w:pPr>
    <w:rPr>
      <w:lang w:val="en-US"/>
    </w:rPr>
  </w:style>
  <w:style w:type="paragraph" w:styleId="Ttulo1">
    <w:name w:val="heading 1"/>
    <w:basedOn w:val="Normal"/>
    <w:next w:val="Normal"/>
    <w:link w:val="Ttulo1Car"/>
    <w:uiPriority w:val="9"/>
    <w:qFormat/>
    <w:rsid w:val="00E413A2"/>
    <w:pPr>
      <w:keepNext/>
      <w:keepLines/>
      <w:spacing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E413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A74F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413A2"/>
    <w:rPr>
      <w:rFonts w:asciiTheme="majorHAnsi" w:eastAsiaTheme="majorEastAsia" w:hAnsiTheme="majorHAnsi" w:cstheme="majorBidi"/>
      <w:color w:val="2F5496" w:themeColor="accent1" w:themeShade="BF"/>
      <w:sz w:val="32"/>
      <w:szCs w:val="32"/>
      <w:lang w:val="es-ES"/>
    </w:rPr>
  </w:style>
  <w:style w:type="character" w:customStyle="1" w:styleId="Ttulo2Car">
    <w:name w:val="Título 2 Car"/>
    <w:basedOn w:val="Fuentedeprrafopredeter"/>
    <w:link w:val="Ttulo2"/>
    <w:uiPriority w:val="9"/>
    <w:rsid w:val="00E413A2"/>
    <w:rPr>
      <w:rFonts w:asciiTheme="majorHAnsi" w:eastAsiaTheme="majorEastAsia" w:hAnsiTheme="majorHAnsi" w:cstheme="majorBidi"/>
      <w:color w:val="2F5496" w:themeColor="accent1" w:themeShade="BF"/>
      <w:sz w:val="26"/>
      <w:szCs w:val="26"/>
      <w:lang w:val="es-ES"/>
    </w:rPr>
  </w:style>
  <w:style w:type="character" w:styleId="Hipervnculo">
    <w:name w:val="Hyperlink"/>
    <w:basedOn w:val="Fuentedeprrafopredeter"/>
    <w:uiPriority w:val="99"/>
    <w:unhideWhenUsed/>
    <w:rsid w:val="00E413A2"/>
    <w:rPr>
      <w:rFonts w:cs="Times New Roman"/>
      <w:color w:val="0563C1" w:themeColor="hyperlink"/>
      <w:u w:val="single"/>
    </w:rPr>
  </w:style>
  <w:style w:type="paragraph" w:styleId="Textonotapie">
    <w:name w:val="footnote text"/>
    <w:aliases w:val="Ref. de nota al pie1,Footnotes refss,Ref,de nota al pie,Texto de nota al pie,referencia nota al pie,BVI fnr,Appel note de bas de page,f,Footnote number,4_G,16 Point,Superscript 6 Point,Texto nota al pie,Normal1,Footnote Reference Char3"/>
    <w:basedOn w:val="Normal"/>
    <w:link w:val="TextonotapieCar"/>
    <w:uiPriority w:val="99"/>
    <w:unhideWhenUsed/>
    <w:qFormat/>
    <w:rsid w:val="00E413A2"/>
    <w:pPr>
      <w:spacing w:after="0" w:line="240" w:lineRule="auto"/>
    </w:pPr>
    <w:rPr>
      <w:rFonts w:eastAsia="Times New Roman" w:cs="Times New Roman"/>
      <w:sz w:val="20"/>
      <w:szCs w:val="20"/>
      <w:lang w:val="es-AR"/>
    </w:rPr>
  </w:style>
  <w:style w:type="character" w:customStyle="1" w:styleId="TextonotapieCar">
    <w:name w:val="Texto nota pie Car"/>
    <w:aliases w:val="Ref. de nota al pie1 Car,Footnotes refss Car,Ref Car,de nota al pie Car,Texto de nota al pie Car,referencia nota al pie Car,BVI fnr Car,Appel note de bas de page Car,f Car,Footnote number Car,4_G Car,16 Point Car,Texto nota al pie Car"/>
    <w:basedOn w:val="Fuentedeprrafopredeter"/>
    <w:link w:val="Textonotapie"/>
    <w:uiPriority w:val="99"/>
    <w:rsid w:val="00E413A2"/>
    <w:rPr>
      <w:rFonts w:eastAsia="Times New Roman" w:cs="Times New Roman"/>
      <w:sz w:val="20"/>
      <w:szCs w:val="20"/>
      <w:lang w:val="es-AR"/>
    </w:rPr>
  </w:style>
  <w:style w:type="character" w:styleId="Refdenotaalpie">
    <w:name w:val="footnote reference"/>
    <w:aliases w:val="normal,Footnote symbol,BVI,Normal2"/>
    <w:uiPriority w:val="99"/>
    <w:unhideWhenUsed/>
    <w:qFormat/>
    <w:rsid w:val="00E413A2"/>
    <w:rPr>
      <w:vertAlign w:val="superscript"/>
    </w:rPr>
  </w:style>
  <w:style w:type="paragraph" w:styleId="Piedepgina">
    <w:name w:val="footer"/>
    <w:basedOn w:val="Normal"/>
    <w:link w:val="PiedepginaCar"/>
    <w:uiPriority w:val="99"/>
    <w:unhideWhenUsed/>
    <w:rsid w:val="00E413A2"/>
    <w:pPr>
      <w:tabs>
        <w:tab w:val="center" w:pos="4419"/>
        <w:tab w:val="right" w:pos="8838"/>
      </w:tabs>
      <w:spacing w:after="0" w:line="240" w:lineRule="auto"/>
    </w:pPr>
    <w:rPr>
      <w:lang w:val="es-AR"/>
    </w:rPr>
  </w:style>
  <w:style w:type="character" w:customStyle="1" w:styleId="PiedepginaCar">
    <w:name w:val="Pie de página Car"/>
    <w:basedOn w:val="Fuentedeprrafopredeter"/>
    <w:link w:val="Piedepgina"/>
    <w:uiPriority w:val="99"/>
    <w:rsid w:val="00E413A2"/>
    <w:rPr>
      <w:lang w:val="es-AR"/>
    </w:rPr>
  </w:style>
  <w:style w:type="paragraph" w:customStyle="1" w:styleId="Default">
    <w:name w:val="Default"/>
    <w:rsid w:val="00E413A2"/>
    <w:pPr>
      <w:autoSpaceDE w:val="0"/>
      <w:autoSpaceDN w:val="0"/>
      <w:adjustRightInd w:val="0"/>
      <w:spacing w:after="0" w:line="240" w:lineRule="auto"/>
    </w:pPr>
    <w:rPr>
      <w:rFonts w:ascii="Arial" w:hAnsi="Arial" w:cs="Arial"/>
      <w:color w:val="000000"/>
      <w:sz w:val="24"/>
      <w:szCs w:val="24"/>
      <w:lang w:val="es-AR"/>
    </w:rPr>
  </w:style>
  <w:style w:type="table" w:styleId="Tablaconcuadrcula">
    <w:name w:val="Table Grid"/>
    <w:basedOn w:val="Tablanormal"/>
    <w:uiPriority w:val="39"/>
    <w:rsid w:val="00E413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E413A2"/>
    <w:pPr>
      <w:ind w:left="720"/>
      <w:contextualSpacing/>
    </w:pPr>
  </w:style>
  <w:style w:type="character" w:customStyle="1" w:styleId="Mencinsinresolver1">
    <w:name w:val="Mención sin resolver1"/>
    <w:basedOn w:val="Fuentedeprrafopredeter"/>
    <w:uiPriority w:val="99"/>
    <w:semiHidden/>
    <w:unhideWhenUsed/>
    <w:rsid w:val="00E413A2"/>
    <w:rPr>
      <w:color w:val="605E5C"/>
      <w:shd w:val="clear" w:color="auto" w:fill="E1DFDD"/>
    </w:rPr>
  </w:style>
  <w:style w:type="paragraph" w:styleId="NormalWeb">
    <w:name w:val="Normal (Web)"/>
    <w:basedOn w:val="Normal"/>
    <w:uiPriority w:val="99"/>
    <w:unhideWhenUsed/>
    <w:rsid w:val="00E413A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tab-span">
    <w:name w:val="apple-tab-span"/>
    <w:basedOn w:val="Fuentedeprrafopredeter"/>
    <w:rsid w:val="00E413A2"/>
  </w:style>
  <w:style w:type="character" w:styleId="Refdecomentario">
    <w:name w:val="annotation reference"/>
    <w:basedOn w:val="Fuentedeprrafopredeter"/>
    <w:uiPriority w:val="99"/>
    <w:semiHidden/>
    <w:unhideWhenUsed/>
    <w:rsid w:val="00E413A2"/>
    <w:rPr>
      <w:sz w:val="16"/>
      <w:szCs w:val="16"/>
    </w:rPr>
  </w:style>
  <w:style w:type="paragraph" w:styleId="Textocomentario">
    <w:name w:val="annotation text"/>
    <w:basedOn w:val="Normal"/>
    <w:link w:val="TextocomentarioCar"/>
    <w:uiPriority w:val="99"/>
    <w:unhideWhenUsed/>
    <w:rsid w:val="00E413A2"/>
    <w:pPr>
      <w:spacing w:line="240" w:lineRule="auto"/>
    </w:pPr>
    <w:rPr>
      <w:sz w:val="20"/>
      <w:szCs w:val="20"/>
    </w:rPr>
  </w:style>
  <w:style w:type="character" w:customStyle="1" w:styleId="TextocomentarioCar">
    <w:name w:val="Texto comentario Car"/>
    <w:basedOn w:val="Fuentedeprrafopredeter"/>
    <w:link w:val="Textocomentario"/>
    <w:uiPriority w:val="99"/>
    <w:rsid w:val="00E413A2"/>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E413A2"/>
    <w:rPr>
      <w:b/>
      <w:bCs/>
    </w:rPr>
  </w:style>
  <w:style w:type="character" w:customStyle="1" w:styleId="AsuntodelcomentarioCar">
    <w:name w:val="Asunto del comentario Car"/>
    <w:basedOn w:val="TextocomentarioCar"/>
    <w:link w:val="Asuntodelcomentario"/>
    <w:uiPriority w:val="99"/>
    <w:semiHidden/>
    <w:rsid w:val="00E413A2"/>
    <w:rPr>
      <w:b/>
      <w:bCs/>
      <w:sz w:val="20"/>
      <w:szCs w:val="20"/>
      <w:lang w:val="es-ES"/>
    </w:rPr>
  </w:style>
  <w:style w:type="character" w:styleId="Hipervnculovisitado">
    <w:name w:val="FollowedHyperlink"/>
    <w:basedOn w:val="Fuentedeprrafopredeter"/>
    <w:uiPriority w:val="99"/>
    <w:semiHidden/>
    <w:unhideWhenUsed/>
    <w:rsid w:val="00E413A2"/>
    <w:rPr>
      <w:color w:val="954F72" w:themeColor="followedHyperlink"/>
      <w:u w:val="single"/>
    </w:rPr>
  </w:style>
  <w:style w:type="paragraph" w:styleId="Encabezado">
    <w:name w:val="header"/>
    <w:basedOn w:val="Normal"/>
    <w:link w:val="EncabezadoCar"/>
    <w:uiPriority w:val="99"/>
    <w:unhideWhenUsed/>
    <w:rsid w:val="005A7A9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A7A91"/>
    <w:rPr>
      <w:lang w:val="es-ES"/>
    </w:rPr>
  </w:style>
  <w:style w:type="character" w:customStyle="1" w:styleId="Mencinsinresolver2">
    <w:name w:val="Mención sin resolver2"/>
    <w:basedOn w:val="Fuentedeprrafopredeter"/>
    <w:uiPriority w:val="99"/>
    <w:semiHidden/>
    <w:unhideWhenUsed/>
    <w:rsid w:val="009050EB"/>
    <w:rPr>
      <w:color w:val="605E5C"/>
      <w:shd w:val="clear" w:color="auto" w:fill="E1DFDD"/>
    </w:rPr>
  </w:style>
  <w:style w:type="character" w:customStyle="1" w:styleId="UnresolvedMention1">
    <w:name w:val="Unresolved Mention1"/>
    <w:basedOn w:val="Fuentedeprrafopredeter"/>
    <w:uiPriority w:val="99"/>
    <w:semiHidden/>
    <w:unhideWhenUsed/>
    <w:rsid w:val="00E67741"/>
    <w:rPr>
      <w:color w:val="605E5C"/>
      <w:shd w:val="clear" w:color="auto" w:fill="E1DFDD"/>
    </w:rPr>
  </w:style>
  <w:style w:type="paragraph" w:styleId="TtulodeTDC">
    <w:name w:val="TOC Heading"/>
    <w:basedOn w:val="Ttulo1"/>
    <w:next w:val="Normal"/>
    <w:uiPriority w:val="39"/>
    <w:unhideWhenUsed/>
    <w:qFormat/>
    <w:rsid w:val="00454D5A"/>
    <w:pPr>
      <w:outlineLvl w:val="9"/>
    </w:pPr>
    <w:rPr>
      <w:lang w:val="en-GB" w:eastAsia="en-GB"/>
    </w:rPr>
  </w:style>
  <w:style w:type="paragraph" w:styleId="Ttulo">
    <w:name w:val="Title"/>
    <w:basedOn w:val="Normal"/>
    <w:next w:val="Normal"/>
    <w:link w:val="TtuloCar"/>
    <w:uiPriority w:val="10"/>
    <w:qFormat/>
    <w:rsid w:val="00454D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54D5A"/>
    <w:rPr>
      <w:rFonts w:asciiTheme="majorHAnsi" w:eastAsiaTheme="majorEastAsia" w:hAnsiTheme="majorHAnsi" w:cstheme="majorBidi"/>
      <w:spacing w:val="-10"/>
      <w:kern w:val="28"/>
      <w:sz w:val="56"/>
      <w:szCs w:val="56"/>
      <w:lang w:val="es-ES"/>
    </w:rPr>
  </w:style>
  <w:style w:type="paragraph" w:styleId="Subttulo">
    <w:name w:val="Subtitle"/>
    <w:basedOn w:val="Normal"/>
    <w:next w:val="Normal"/>
    <w:link w:val="SubttuloCar"/>
    <w:uiPriority w:val="11"/>
    <w:qFormat/>
    <w:rsid w:val="00454D5A"/>
    <w:pPr>
      <w:numPr>
        <w:ilvl w:val="1"/>
      </w:numPr>
      <w:ind w:firstLine="720"/>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454D5A"/>
    <w:rPr>
      <w:rFonts w:eastAsiaTheme="minorEastAsia"/>
      <w:color w:val="5A5A5A" w:themeColor="text1" w:themeTint="A5"/>
      <w:spacing w:val="15"/>
      <w:lang w:val="es-ES"/>
    </w:rPr>
  </w:style>
  <w:style w:type="paragraph" w:styleId="TDC1">
    <w:name w:val="toc 1"/>
    <w:basedOn w:val="Normal"/>
    <w:next w:val="Normal"/>
    <w:autoRedefine/>
    <w:uiPriority w:val="39"/>
    <w:unhideWhenUsed/>
    <w:rsid w:val="00D3502E"/>
    <w:pPr>
      <w:tabs>
        <w:tab w:val="left" w:pos="1320"/>
        <w:tab w:val="right" w:leader="dot" w:pos="9736"/>
      </w:tabs>
      <w:spacing w:before="360" w:after="0"/>
      <w:ind w:firstLine="0"/>
    </w:pPr>
    <w:rPr>
      <w:rFonts w:asciiTheme="majorHAnsi" w:hAnsiTheme="majorHAnsi" w:cstheme="majorHAnsi"/>
      <w:b/>
      <w:bCs/>
      <w:caps/>
      <w:sz w:val="24"/>
      <w:szCs w:val="24"/>
    </w:rPr>
  </w:style>
  <w:style w:type="paragraph" w:styleId="TDC2">
    <w:name w:val="toc 2"/>
    <w:basedOn w:val="Normal"/>
    <w:next w:val="Normal"/>
    <w:autoRedefine/>
    <w:uiPriority w:val="39"/>
    <w:unhideWhenUsed/>
    <w:rsid w:val="00846678"/>
    <w:pPr>
      <w:tabs>
        <w:tab w:val="right" w:pos="9736"/>
      </w:tabs>
      <w:spacing w:after="0" w:line="240" w:lineRule="auto"/>
      <w:ind w:firstLine="0"/>
    </w:pPr>
    <w:rPr>
      <w:rFonts w:eastAsia="Times New Roman" w:cstheme="minorHAnsi"/>
      <w:noProof/>
      <w:sz w:val="20"/>
      <w:szCs w:val="20"/>
      <w:lang w:val="es-AR"/>
    </w:rPr>
  </w:style>
  <w:style w:type="paragraph" w:styleId="TDC3">
    <w:name w:val="toc 3"/>
    <w:basedOn w:val="Normal"/>
    <w:next w:val="Normal"/>
    <w:autoRedefine/>
    <w:uiPriority w:val="39"/>
    <w:unhideWhenUsed/>
    <w:rsid w:val="00104389"/>
    <w:pPr>
      <w:spacing w:after="0"/>
      <w:ind w:left="220"/>
    </w:pPr>
    <w:rPr>
      <w:rFonts w:cstheme="minorHAnsi"/>
      <w:sz w:val="20"/>
      <w:szCs w:val="20"/>
    </w:rPr>
  </w:style>
  <w:style w:type="paragraph" w:styleId="TDC4">
    <w:name w:val="toc 4"/>
    <w:basedOn w:val="Normal"/>
    <w:next w:val="Normal"/>
    <w:autoRedefine/>
    <w:uiPriority w:val="39"/>
    <w:unhideWhenUsed/>
    <w:rsid w:val="00D430C7"/>
    <w:pPr>
      <w:spacing w:after="0"/>
      <w:ind w:left="440"/>
    </w:pPr>
    <w:rPr>
      <w:rFonts w:cstheme="minorHAnsi"/>
      <w:sz w:val="20"/>
      <w:szCs w:val="20"/>
    </w:rPr>
  </w:style>
  <w:style w:type="paragraph" w:styleId="TDC5">
    <w:name w:val="toc 5"/>
    <w:basedOn w:val="Normal"/>
    <w:next w:val="Normal"/>
    <w:autoRedefine/>
    <w:uiPriority w:val="39"/>
    <w:unhideWhenUsed/>
    <w:rsid w:val="00D430C7"/>
    <w:pPr>
      <w:spacing w:after="0"/>
      <w:ind w:left="660"/>
    </w:pPr>
    <w:rPr>
      <w:rFonts w:cstheme="minorHAnsi"/>
      <w:sz w:val="20"/>
      <w:szCs w:val="20"/>
    </w:rPr>
  </w:style>
  <w:style w:type="paragraph" w:styleId="TDC6">
    <w:name w:val="toc 6"/>
    <w:basedOn w:val="Normal"/>
    <w:next w:val="Normal"/>
    <w:autoRedefine/>
    <w:uiPriority w:val="39"/>
    <w:unhideWhenUsed/>
    <w:rsid w:val="00D430C7"/>
    <w:pPr>
      <w:spacing w:after="0"/>
      <w:ind w:left="880"/>
    </w:pPr>
    <w:rPr>
      <w:rFonts w:cstheme="minorHAnsi"/>
      <w:sz w:val="20"/>
      <w:szCs w:val="20"/>
    </w:rPr>
  </w:style>
  <w:style w:type="paragraph" w:styleId="TDC7">
    <w:name w:val="toc 7"/>
    <w:basedOn w:val="Normal"/>
    <w:next w:val="Normal"/>
    <w:autoRedefine/>
    <w:uiPriority w:val="39"/>
    <w:unhideWhenUsed/>
    <w:rsid w:val="00D430C7"/>
    <w:pPr>
      <w:spacing w:after="0"/>
      <w:ind w:left="1100"/>
    </w:pPr>
    <w:rPr>
      <w:rFonts w:cstheme="minorHAnsi"/>
      <w:sz w:val="20"/>
      <w:szCs w:val="20"/>
    </w:rPr>
  </w:style>
  <w:style w:type="paragraph" w:styleId="TDC8">
    <w:name w:val="toc 8"/>
    <w:basedOn w:val="Normal"/>
    <w:next w:val="Normal"/>
    <w:autoRedefine/>
    <w:uiPriority w:val="39"/>
    <w:unhideWhenUsed/>
    <w:rsid w:val="00D430C7"/>
    <w:pPr>
      <w:spacing w:after="0"/>
      <w:ind w:left="1320"/>
    </w:pPr>
    <w:rPr>
      <w:rFonts w:cstheme="minorHAnsi"/>
      <w:sz w:val="20"/>
      <w:szCs w:val="20"/>
    </w:rPr>
  </w:style>
  <w:style w:type="paragraph" w:styleId="TDC9">
    <w:name w:val="toc 9"/>
    <w:basedOn w:val="Normal"/>
    <w:next w:val="Normal"/>
    <w:autoRedefine/>
    <w:uiPriority w:val="39"/>
    <w:unhideWhenUsed/>
    <w:rsid w:val="00D430C7"/>
    <w:pPr>
      <w:spacing w:after="0"/>
      <w:ind w:left="1540"/>
    </w:pPr>
    <w:rPr>
      <w:rFonts w:cstheme="minorHAnsi"/>
      <w:sz w:val="20"/>
      <w:szCs w:val="20"/>
    </w:rPr>
  </w:style>
  <w:style w:type="character" w:customStyle="1" w:styleId="Ttulo3Car">
    <w:name w:val="Título 3 Car"/>
    <w:basedOn w:val="Fuentedeprrafopredeter"/>
    <w:link w:val="Ttulo3"/>
    <w:uiPriority w:val="9"/>
    <w:rsid w:val="00A74FEA"/>
    <w:rPr>
      <w:rFonts w:asciiTheme="majorHAnsi" w:eastAsiaTheme="majorEastAsia" w:hAnsiTheme="majorHAnsi" w:cstheme="majorBidi"/>
      <w:color w:val="1F3763" w:themeColor="accent1" w:themeShade="7F"/>
      <w:sz w:val="24"/>
      <w:szCs w:val="24"/>
      <w:lang w:val="es-ES"/>
    </w:rPr>
  </w:style>
  <w:style w:type="paragraph" w:styleId="Textodeglobo">
    <w:name w:val="Balloon Text"/>
    <w:basedOn w:val="Normal"/>
    <w:link w:val="TextodegloboCar"/>
    <w:uiPriority w:val="99"/>
    <w:semiHidden/>
    <w:unhideWhenUsed/>
    <w:rsid w:val="0031226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12266"/>
    <w:rPr>
      <w:rFonts w:ascii="Tahoma" w:hAnsi="Tahoma" w:cs="Tahoma"/>
      <w:sz w:val="16"/>
      <w:szCs w:val="16"/>
      <w:lang w:val="es-ES"/>
    </w:rPr>
  </w:style>
  <w:style w:type="paragraph" w:styleId="Revisin">
    <w:name w:val="Revision"/>
    <w:hidden/>
    <w:uiPriority w:val="99"/>
    <w:semiHidden/>
    <w:rsid w:val="00E33150"/>
    <w:pPr>
      <w:spacing w:after="0" w:line="240" w:lineRule="auto"/>
    </w:pPr>
    <w:rPr>
      <w:lang w:val="es-ES"/>
    </w:rPr>
  </w:style>
  <w:style w:type="character" w:customStyle="1" w:styleId="cf01">
    <w:name w:val="cf01"/>
    <w:basedOn w:val="Fuentedeprrafopredeter"/>
    <w:rsid w:val="00943293"/>
    <w:rPr>
      <w:rFonts w:ascii="Segoe UI" w:hAnsi="Segoe UI" w:cs="Segoe UI" w:hint="default"/>
      <w:sz w:val="18"/>
      <w:szCs w:val="18"/>
    </w:rPr>
  </w:style>
  <w:style w:type="character" w:customStyle="1" w:styleId="Mencinsinresolver3">
    <w:name w:val="Mención sin resolver3"/>
    <w:basedOn w:val="Fuentedeprrafopredeter"/>
    <w:uiPriority w:val="99"/>
    <w:semiHidden/>
    <w:unhideWhenUsed/>
    <w:rsid w:val="00810F4E"/>
    <w:rPr>
      <w:color w:val="605E5C"/>
      <w:shd w:val="clear" w:color="auto" w:fill="E1DFDD"/>
    </w:rPr>
  </w:style>
  <w:style w:type="paragraph" w:styleId="Sinespaciado">
    <w:name w:val="No Spacing"/>
    <w:basedOn w:val="Textonotapie"/>
    <w:link w:val="SinespaciadoCar"/>
    <w:uiPriority w:val="1"/>
    <w:qFormat/>
    <w:rsid w:val="00184D6B"/>
    <w:pPr>
      <w:spacing w:before="0"/>
    </w:pPr>
  </w:style>
  <w:style w:type="character" w:customStyle="1" w:styleId="SinespaciadoCar">
    <w:name w:val="Sin espaciado Car"/>
    <w:basedOn w:val="Fuentedeprrafopredeter"/>
    <w:link w:val="Sinespaciado"/>
    <w:uiPriority w:val="1"/>
    <w:rsid w:val="00184D6B"/>
    <w:rPr>
      <w:rFonts w:eastAsia="Times New Roman" w:cs="Times New Roman"/>
      <w:sz w:val="20"/>
      <w:szCs w:val="20"/>
      <w:lang w:val="es-AR"/>
    </w:rPr>
  </w:style>
  <w:style w:type="paragraph" w:styleId="Textoindependiente2">
    <w:name w:val="Body Text 2"/>
    <w:basedOn w:val="Normal"/>
    <w:link w:val="Textoindependiente2Car"/>
    <w:uiPriority w:val="99"/>
    <w:semiHidden/>
    <w:unhideWhenUsed/>
    <w:rsid w:val="00D72B29"/>
    <w:pPr>
      <w:spacing w:after="120" w:line="480" w:lineRule="auto"/>
    </w:pPr>
  </w:style>
  <w:style w:type="character" w:customStyle="1" w:styleId="Textoindependiente2Car">
    <w:name w:val="Texto independiente 2 Car"/>
    <w:basedOn w:val="Fuentedeprrafopredeter"/>
    <w:link w:val="Textoindependiente2"/>
    <w:uiPriority w:val="99"/>
    <w:semiHidden/>
    <w:rsid w:val="00D72B2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60">
      <w:bodyDiv w:val="1"/>
      <w:marLeft w:val="0"/>
      <w:marRight w:val="0"/>
      <w:marTop w:val="0"/>
      <w:marBottom w:val="0"/>
      <w:divBdr>
        <w:top w:val="none" w:sz="0" w:space="0" w:color="auto"/>
        <w:left w:val="none" w:sz="0" w:space="0" w:color="auto"/>
        <w:bottom w:val="none" w:sz="0" w:space="0" w:color="auto"/>
        <w:right w:val="none" w:sz="0" w:space="0" w:color="auto"/>
      </w:divBdr>
    </w:div>
    <w:div w:id="76367469">
      <w:bodyDiv w:val="1"/>
      <w:marLeft w:val="0"/>
      <w:marRight w:val="0"/>
      <w:marTop w:val="0"/>
      <w:marBottom w:val="0"/>
      <w:divBdr>
        <w:top w:val="none" w:sz="0" w:space="0" w:color="auto"/>
        <w:left w:val="none" w:sz="0" w:space="0" w:color="auto"/>
        <w:bottom w:val="none" w:sz="0" w:space="0" w:color="auto"/>
        <w:right w:val="none" w:sz="0" w:space="0" w:color="auto"/>
      </w:divBdr>
    </w:div>
    <w:div w:id="248272117">
      <w:bodyDiv w:val="1"/>
      <w:marLeft w:val="0"/>
      <w:marRight w:val="0"/>
      <w:marTop w:val="0"/>
      <w:marBottom w:val="0"/>
      <w:divBdr>
        <w:top w:val="none" w:sz="0" w:space="0" w:color="auto"/>
        <w:left w:val="none" w:sz="0" w:space="0" w:color="auto"/>
        <w:bottom w:val="none" w:sz="0" w:space="0" w:color="auto"/>
        <w:right w:val="none" w:sz="0" w:space="0" w:color="auto"/>
      </w:divBdr>
    </w:div>
    <w:div w:id="330258711">
      <w:bodyDiv w:val="1"/>
      <w:marLeft w:val="0"/>
      <w:marRight w:val="0"/>
      <w:marTop w:val="0"/>
      <w:marBottom w:val="0"/>
      <w:divBdr>
        <w:top w:val="none" w:sz="0" w:space="0" w:color="auto"/>
        <w:left w:val="none" w:sz="0" w:space="0" w:color="auto"/>
        <w:bottom w:val="none" w:sz="0" w:space="0" w:color="auto"/>
        <w:right w:val="none" w:sz="0" w:space="0" w:color="auto"/>
      </w:divBdr>
    </w:div>
    <w:div w:id="433746516">
      <w:bodyDiv w:val="1"/>
      <w:marLeft w:val="0"/>
      <w:marRight w:val="0"/>
      <w:marTop w:val="0"/>
      <w:marBottom w:val="0"/>
      <w:divBdr>
        <w:top w:val="none" w:sz="0" w:space="0" w:color="auto"/>
        <w:left w:val="none" w:sz="0" w:space="0" w:color="auto"/>
        <w:bottom w:val="none" w:sz="0" w:space="0" w:color="auto"/>
        <w:right w:val="none" w:sz="0" w:space="0" w:color="auto"/>
      </w:divBdr>
    </w:div>
    <w:div w:id="437022331">
      <w:bodyDiv w:val="1"/>
      <w:marLeft w:val="0"/>
      <w:marRight w:val="0"/>
      <w:marTop w:val="0"/>
      <w:marBottom w:val="0"/>
      <w:divBdr>
        <w:top w:val="none" w:sz="0" w:space="0" w:color="auto"/>
        <w:left w:val="none" w:sz="0" w:space="0" w:color="auto"/>
        <w:bottom w:val="none" w:sz="0" w:space="0" w:color="auto"/>
        <w:right w:val="none" w:sz="0" w:space="0" w:color="auto"/>
      </w:divBdr>
    </w:div>
    <w:div w:id="522674105">
      <w:bodyDiv w:val="1"/>
      <w:marLeft w:val="0"/>
      <w:marRight w:val="0"/>
      <w:marTop w:val="0"/>
      <w:marBottom w:val="0"/>
      <w:divBdr>
        <w:top w:val="none" w:sz="0" w:space="0" w:color="auto"/>
        <w:left w:val="none" w:sz="0" w:space="0" w:color="auto"/>
        <w:bottom w:val="none" w:sz="0" w:space="0" w:color="auto"/>
        <w:right w:val="none" w:sz="0" w:space="0" w:color="auto"/>
      </w:divBdr>
    </w:div>
    <w:div w:id="585459925">
      <w:bodyDiv w:val="1"/>
      <w:marLeft w:val="0"/>
      <w:marRight w:val="0"/>
      <w:marTop w:val="0"/>
      <w:marBottom w:val="0"/>
      <w:divBdr>
        <w:top w:val="none" w:sz="0" w:space="0" w:color="auto"/>
        <w:left w:val="none" w:sz="0" w:space="0" w:color="auto"/>
        <w:bottom w:val="none" w:sz="0" w:space="0" w:color="auto"/>
        <w:right w:val="none" w:sz="0" w:space="0" w:color="auto"/>
      </w:divBdr>
    </w:div>
    <w:div w:id="954294777">
      <w:bodyDiv w:val="1"/>
      <w:marLeft w:val="0"/>
      <w:marRight w:val="0"/>
      <w:marTop w:val="0"/>
      <w:marBottom w:val="0"/>
      <w:divBdr>
        <w:top w:val="none" w:sz="0" w:space="0" w:color="auto"/>
        <w:left w:val="none" w:sz="0" w:space="0" w:color="auto"/>
        <w:bottom w:val="none" w:sz="0" w:space="0" w:color="auto"/>
        <w:right w:val="none" w:sz="0" w:space="0" w:color="auto"/>
      </w:divBdr>
    </w:div>
    <w:div w:id="1019432566">
      <w:bodyDiv w:val="1"/>
      <w:marLeft w:val="0"/>
      <w:marRight w:val="0"/>
      <w:marTop w:val="0"/>
      <w:marBottom w:val="0"/>
      <w:divBdr>
        <w:top w:val="none" w:sz="0" w:space="0" w:color="auto"/>
        <w:left w:val="none" w:sz="0" w:space="0" w:color="auto"/>
        <w:bottom w:val="none" w:sz="0" w:space="0" w:color="auto"/>
        <w:right w:val="none" w:sz="0" w:space="0" w:color="auto"/>
      </w:divBdr>
    </w:div>
    <w:div w:id="1025983930">
      <w:bodyDiv w:val="1"/>
      <w:marLeft w:val="0"/>
      <w:marRight w:val="0"/>
      <w:marTop w:val="0"/>
      <w:marBottom w:val="0"/>
      <w:divBdr>
        <w:top w:val="none" w:sz="0" w:space="0" w:color="auto"/>
        <w:left w:val="none" w:sz="0" w:space="0" w:color="auto"/>
        <w:bottom w:val="none" w:sz="0" w:space="0" w:color="auto"/>
        <w:right w:val="none" w:sz="0" w:space="0" w:color="auto"/>
      </w:divBdr>
    </w:div>
    <w:div w:id="1229415733">
      <w:bodyDiv w:val="1"/>
      <w:marLeft w:val="0"/>
      <w:marRight w:val="0"/>
      <w:marTop w:val="0"/>
      <w:marBottom w:val="0"/>
      <w:divBdr>
        <w:top w:val="none" w:sz="0" w:space="0" w:color="auto"/>
        <w:left w:val="none" w:sz="0" w:space="0" w:color="auto"/>
        <w:bottom w:val="none" w:sz="0" w:space="0" w:color="auto"/>
        <w:right w:val="none" w:sz="0" w:space="0" w:color="auto"/>
      </w:divBdr>
    </w:div>
    <w:div w:id="1258099724">
      <w:bodyDiv w:val="1"/>
      <w:marLeft w:val="0"/>
      <w:marRight w:val="0"/>
      <w:marTop w:val="0"/>
      <w:marBottom w:val="0"/>
      <w:divBdr>
        <w:top w:val="none" w:sz="0" w:space="0" w:color="auto"/>
        <w:left w:val="none" w:sz="0" w:space="0" w:color="auto"/>
        <w:bottom w:val="none" w:sz="0" w:space="0" w:color="auto"/>
        <w:right w:val="none" w:sz="0" w:space="0" w:color="auto"/>
      </w:divBdr>
    </w:div>
    <w:div w:id="1476221471">
      <w:bodyDiv w:val="1"/>
      <w:marLeft w:val="0"/>
      <w:marRight w:val="0"/>
      <w:marTop w:val="0"/>
      <w:marBottom w:val="0"/>
      <w:divBdr>
        <w:top w:val="none" w:sz="0" w:space="0" w:color="auto"/>
        <w:left w:val="none" w:sz="0" w:space="0" w:color="auto"/>
        <w:bottom w:val="none" w:sz="0" w:space="0" w:color="auto"/>
        <w:right w:val="none" w:sz="0" w:space="0" w:color="auto"/>
      </w:divBdr>
    </w:div>
    <w:div w:id="1605533256">
      <w:bodyDiv w:val="1"/>
      <w:marLeft w:val="0"/>
      <w:marRight w:val="0"/>
      <w:marTop w:val="0"/>
      <w:marBottom w:val="0"/>
      <w:divBdr>
        <w:top w:val="none" w:sz="0" w:space="0" w:color="auto"/>
        <w:left w:val="none" w:sz="0" w:space="0" w:color="auto"/>
        <w:bottom w:val="none" w:sz="0" w:space="0" w:color="auto"/>
        <w:right w:val="none" w:sz="0" w:space="0" w:color="auto"/>
      </w:divBdr>
    </w:div>
    <w:div w:id="1627540323">
      <w:bodyDiv w:val="1"/>
      <w:marLeft w:val="0"/>
      <w:marRight w:val="0"/>
      <w:marTop w:val="0"/>
      <w:marBottom w:val="0"/>
      <w:divBdr>
        <w:top w:val="none" w:sz="0" w:space="0" w:color="auto"/>
        <w:left w:val="none" w:sz="0" w:space="0" w:color="auto"/>
        <w:bottom w:val="none" w:sz="0" w:space="0" w:color="auto"/>
        <w:right w:val="none" w:sz="0" w:space="0" w:color="auto"/>
      </w:divBdr>
    </w:div>
    <w:div w:id="1713766738">
      <w:bodyDiv w:val="1"/>
      <w:marLeft w:val="0"/>
      <w:marRight w:val="0"/>
      <w:marTop w:val="0"/>
      <w:marBottom w:val="0"/>
      <w:divBdr>
        <w:top w:val="none" w:sz="0" w:space="0" w:color="auto"/>
        <w:left w:val="none" w:sz="0" w:space="0" w:color="auto"/>
        <w:bottom w:val="none" w:sz="0" w:space="0" w:color="auto"/>
        <w:right w:val="none" w:sz="0" w:space="0" w:color="auto"/>
      </w:divBdr>
    </w:div>
    <w:div w:id="1805928325">
      <w:bodyDiv w:val="1"/>
      <w:marLeft w:val="0"/>
      <w:marRight w:val="0"/>
      <w:marTop w:val="0"/>
      <w:marBottom w:val="0"/>
      <w:divBdr>
        <w:top w:val="none" w:sz="0" w:space="0" w:color="auto"/>
        <w:left w:val="none" w:sz="0" w:space="0" w:color="auto"/>
        <w:bottom w:val="none" w:sz="0" w:space="0" w:color="auto"/>
        <w:right w:val="none" w:sz="0" w:space="0" w:color="auto"/>
      </w:divBdr>
    </w:div>
    <w:div w:id="1817258652">
      <w:bodyDiv w:val="1"/>
      <w:marLeft w:val="0"/>
      <w:marRight w:val="0"/>
      <w:marTop w:val="0"/>
      <w:marBottom w:val="0"/>
      <w:divBdr>
        <w:top w:val="none" w:sz="0" w:space="0" w:color="auto"/>
        <w:left w:val="none" w:sz="0" w:space="0" w:color="auto"/>
        <w:bottom w:val="none" w:sz="0" w:space="0" w:color="auto"/>
        <w:right w:val="none" w:sz="0" w:space="0" w:color="auto"/>
      </w:divBdr>
    </w:div>
    <w:div w:id="1898777124">
      <w:bodyDiv w:val="1"/>
      <w:marLeft w:val="0"/>
      <w:marRight w:val="0"/>
      <w:marTop w:val="0"/>
      <w:marBottom w:val="0"/>
      <w:divBdr>
        <w:top w:val="none" w:sz="0" w:space="0" w:color="auto"/>
        <w:left w:val="none" w:sz="0" w:space="0" w:color="auto"/>
        <w:bottom w:val="none" w:sz="0" w:space="0" w:color="auto"/>
        <w:right w:val="none" w:sz="0" w:space="0" w:color="auto"/>
      </w:divBdr>
    </w:div>
    <w:div w:id="1985546041">
      <w:bodyDiv w:val="1"/>
      <w:marLeft w:val="0"/>
      <w:marRight w:val="0"/>
      <w:marTop w:val="0"/>
      <w:marBottom w:val="0"/>
      <w:divBdr>
        <w:top w:val="none" w:sz="0" w:space="0" w:color="auto"/>
        <w:left w:val="none" w:sz="0" w:space="0" w:color="auto"/>
        <w:bottom w:val="none" w:sz="0" w:space="0" w:color="auto"/>
        <w:right w:val="none" w:sz="0" w:space="0" w:color="auto"/>
      </w:divBdr>
    </w:div>
    <w:div w:id="210194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yperlink" Target="https://e-legis-ar.msal.gov.ar/htdocs/legisalud/migration/html/9506.html" TargetMode="External"/><Relationship Id="rId4" Type="http://schemas.openxmlformats.org/officeDocument/2006/relationships/styles" Target="styles.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13" Type="http://schemas.openxmlformats.org/officeDocument/2006/relationships/hyperlink" Target="https://eje.juscaba.gob.ar/iol-ui/p/expedientes?identificador=35897%2F2019-3&amp;fuero=%7B%22codigo%22:%22%22,%22descripcion%22:%22%22%7D&amp;tribunal=%7B%22codigo%22:%22%22,%22descripcion%22:%22%22%7D&amp;materia=%7B%22codigo%22:%22%22,%22descripcion%22:%22%22%7D&amp;objetoJuicio=%7B%22codigo%22:%22%22,%22descripcion%22:%22%22%7D&amp;estadoAdministrativo=%7B%22codigo%22:%22%22,%22descripcion%22:%22%22%7D&amp;fechaDesde=&amp;fechaHasta=&amp;caratula=&amp;open=false&amp;otraJurisdiccion=&amp;expUACF=&amp;cuij=&amp;anio=&amp;numero=&amp;codigoDGR=&amp;numeroAdjudicacion=&amp;montoDesde=&amp;montoHasta=&amp;cuijDen=&amp;numeroDen=&amp;causas=0&amp;tituloBusqueda=Causas&amp;tipoBusqueda=CAU" TargetMode="External"/><Relationship Id="rId18" Type="http://schemas.openxmlformats.org/officeDocument/2006/relationships/hyperlink" Target="https://www.argentina.gob.ar/jefatura/innovacion-publica/innovacion-administrativa/tramites-distancia-tad" TargetMode="External"/><Relationship Id="rId26" Type="http://schemas.openxmlformats.org/officeDocument/2006/relationships/hyperlink" Target="https://www.argentina.gob.ar/sites/default/files/estado_de_situacion_de_las_personas_con_discapacidad_con_cud_en_la_pandemia_covid-19._andis.pdf" TargetMode="External"/><Relationship Id="rId39" Type="http://schemas.openxmlformats.org/officeDocument/2006/relationships/hyperlink" Target="http://acij.org.ar/wp-content/uploads/2022/11/Salud-Mental-_-Semana-_Presupuesto-y-Derechos_-2022-1.pdf" TargetMode="External"/><Relationship Id="rId21" Type="http://schemas.openxmlformats.org/officeDocument/2006/relationships/hyperlink" Target="https://docs.google.com/presentation/d/1pOtW482lk6UjC8AtyyuTvPZKtttwkOR_E4eJzmM_EZE/edit" TargetMode="External"/><Relationship Id="rId34" Type="http://schemas.openxmlformats.org/officeDocument/2006/relationships/hyperlink" Target="https://www.lavoz.com.ar/sucesos/ezequiel-castro-otra-muerte-tras-una-detencion-policial-que-investiga-la-justicia-de-cordoba/" TargetMode="External"/><Relationship Id="rId42" Type="http://schemas.openxmlformats.org/officeDocument/2006/relationships/hyperlink" Target="https://www.rumbos.org.ar/_files/ugd/fb505b_1fb5ca0aa49c4dadb6398927e461840a.pdf" TargetMode="External"/><Relationship Id="rId47" Type="http://schemas.openxmlformats.org/officeDocument/2006/relationships/hyperlink" Target="https://www.infofueguina.com/tu-ciudad/rio-grande/2019/7/20/le-quitaron-el-bebe-joven-con-retraso-madurativo-40311.html" TargetMode="External"/><Relationship Id="rId50" Type="http://schemas.openxmlformats.org/officeDocument/2006/relationships/hyperlink" Target="https://www.editorialteseo.com/archivos/18485/a-diez-anos-de-la-sancion-de-la-ley-nacional-de-salud-mental/" TargetMode="External"/><Relationship Id="rId55" Type="http://schemas.openxmlformats.org/officeDocument/2006/relationships/hyperlink" Target="https://tiflonexos.org/content/seguimos-adaptando-seguimos-educando" TargetMode="External"/><Relationship Id="rId63" Type="http://schemas.openxmlformats.org/officeDocument/2006/relationships/hyperlink" Target="https://www.argentina.gob.ar/economia/politicatributaria/covid19/ife" TargetMode="External"/><Relationship Id="rId68" Type="http://schemas.openxmlformats.org/officeDocument/2006/relationships/hyperlink" Target="https://www.gba.gob.ar/derechoshumanos/noticias/presentaci%C3%B3n_del_programa_de_accesibilidad_y_derechos_humanos" TargetMode="External"/><Relationship Id="rId7" Type="http://schemas.openxmlformats.org/officeDocument/2006/relationships/hyperlink" Target="http://servicios.infoleg.gob.ar/infolegInternet/verNorma.do;jsessionid=0D9AA8BB843853FDFC48897F0CFC2C32?id=356024" TargetMode="External"/><Relationship Id="rId71" Type="http://schemas.openxmlformats.org/officeDocument/2006/relationships/hyperlink" Target="file:///C:\Users\HP%20Envy\Documents\REDI\Informe%202022-2023\.%20%20https:\www.argentina.gob.ar\andis\estructura-andis\observatorio-de-la-discapacidad" TargetMode="External"/><Relationship Id="rId2" Type="http://schemas.openxmlformats.org/officeDocument/2006/relationships/hyperlink" Target="https://www.argentina.gob.ar/andis/estructura/comite-asesor" TargetMode="External"/><Relationship Id="rId16" Type="http://schemas.openxmlformats.org/officeDocument/2006/relationships/hyperlink" Target="https://www.facebook.com/watch/?v=1769518113427342" TargetMode="External"/><Relationship Id="rId29" Type="http://schemas.openxmlformats.org/officeDocument/2006/relationships/hyperlink" Target="http://servicios.infoleg.gob.ar/infolegInternet/anexos/235000239999/235975/norma.htm" TargetMode="External"/><Relationship Id="rId1" Type="http://schemas.openxmlformats.org/officeDocument/2006/relationships/hyperlink" Target="https://www4.hcdn.gob.ar/dependencias/dsecretaria/Periodo2022/PDF2022/TP2022/2062-D-2022.pdf" TargetMode="External"/><Relationship Id="rId6" Type="http://schemas.openxmlformats.org/officeDocument/2006/relationships/hyperlink" Target="http://mesadiscapacidadyddhh.ar/2022/09/01/%f0%9f%a4%94%f0%9f%92%a5-que-reclamamos-cuando-reclamamos/" TargetMode="External"/><Relationship Id="rId11" Type="http://schemas.openxmlformats.org/officeDocument/2006/relationships/hyperlink" Target="https://docs.google.com/document/d/1AWiRjdVFRdSt48FFQjCLGw96gZRR7fPx/edit?usp=share_link&amp;ouid=110571565973841532453&amp;rtpof=true&amp;sd=true" TargetMode="External"/><Relationship Id="rId24" Type="http://schemas.openxmlformats.org/officeDocument/2006/relationships/hyperlink" Target="https://elgritodelsur.com.ar/2021/07/el-nuevo-codigo-edificacion-de-larreta-discriminatorio-y-expulsivo.html" TargetMode="External"/><Relationship Id="rId32" Type="http://schemas.openxmlformats.org/officeDocument/2006/relationships/hyperlink" Target="http://www.saij.gob.ar/7690-local-salta-codigo-procesal-penal-provincia-salta-lpa0007690-2011-11-01/123456789-0abc-defg-096-7000avorpyel" TargetMode="External"/><Relationship Id="rId37" Type="http://schemas.openxmlformats.org/officeDocument/2006/relationships/hyperlink" Target="https://www.mpd.gov.ar/pdf/Res_SE_07_2022_Psicocirugia.pdf" TargetMode="External"/><Relationship Id="rId40" Type="http://schemas.openxmlformats.org/officeDocument/2006/relationships/hyperlink" Target="https://www.pagina12.com.ar/478256-es-ciega-fue-a-alquilar-un-departamento-y-le-rechazaron-el-c" TargetMode="External"/><Relationship Id="rId45" Type="http://schemas.openxmlformats.org/officeDocument/2006/relationships/hyperlink" Target="https://drive.google.com/drive/folders/1431HFw7zNC17j6qtfefYXBkNEfmVcE2y" TargetMode="External"/><Relationship Id="rId53" Type="http://schemas.openxmlformats.org/officeDocument/2006/relationships/hyperlink" Target="file:///C:\Users\HP%20Envy\Documents\REDI\Informe%202022-2023\.%20%20https:\www.argentina.gob.ar\educacion\evaluacion-informacion-educativa\anuarios" TargetMode="External"/><Relationship Id="rId58" Type="http://schemas.openxmlformats.org/officeDocument/2006/relationships/hyperlink" Target="https://docs.google.com/document/d/1pcZJ82Eow7tDYzUq4LHAhiFFIkxggUaB/edit" TargetMode="External"/><Relationship Id="rId66" Type="http://schemas.openxmlformats.org/officeDocument/2006/relationships/hyperlink" Target="https://www.electoral.gob.ar/nuevo_legislacion/pdf/ac27-15.pdf" TargetMode="External"/><Relationship Id="rId5" Type="http://schemas.openxmlformats.org/officeDocument/2006/relationships/hyperlink" Target="https://www.argentina.gob.ar/andis/estructura-andis/observatorio-de-la-discapacidad" TargetMode="External"/><Relationship Id="rId15" Type="http://schemas.openxmlformats.org/officeDocument/2006/relationships/hyperlink" Target="https://www.jujuyalmomento.com/malestar/malestar-y-quejas-largas-filas-y-atencion-lenta-hospital-nestor-sequeiros-n144887" TargetMode="External"/><Relationship Id="rId23" Type="http://schemas.openxmlformats.org/officeDocument/2006/relationships/hyperlink" Target="https://www.buenosaires.gob.ar/sites/gcaba/files/ce-_texto_ordenado_ley_6100ley_6438.pdf" TargetMode="External"/><Relationship Id="rId28" Type="http://schemas.openxmlformats.org/officeDocument/2006/relationships/hyperlink" Target="http://redi.org.ar/wp-content/uploads/informe-alternativo-argentina-2017_informe-alternativo-argentina.pdf" TargetMode="External"/><Relationship Id="rId36" Type="http://schemas.openxmlformats.org/officeDocument/2006/relationships/hyperlink" Target="http://servicios.infoleg.gob.ar/infolegInternet/anexos/215000-219999/216049/norma.htm" TargetMode="External"/><Relationship Id="rId49" Type="http://schemas.openxmlformats.org/officeDocument/2006/relationships/hyperlink" Target="http://biblioteca.clacso.edu.ar/clacso/se/20181102011124/Derechos_politicas_infancias.pdf" TargetMode="External"/><Relationship Id="rId57" Type="http://schemas.openxmlformats.org/officeDocument/2006/relationships/hyperlink" Target="http://www.cud.unlp.edu.ar/" TargetMode="External"/><Relationship Id="rId61" Type="http://schemas.openxmlformats.org/officeDocument/2006/relationships/hyperlink" Target="http://servicios.infoleg.gob.ar/infolegInternet/verNorma.do?id=341093" TargetMode="External"/><Relationship Id="rId10" Type="http://schemas.openxmlformats.org/officeDocument/2006/relationships/hyperlink" Target="https://www.rumbos.org.ar/post/nota-enviada-a-andis-reiteramos-el-planteo-de-hacer-publico-el-proyecto-de-ley-de-discapacidad" TargetMode="External"/><Relationship Id="rId19" Type="http://schemas.openxmlformats.org/officeDocument/2006/relationships/hyperlink" Target="https://www.boletinoficial.gob.ar/detalleAviso/primera/227116/20200324" TargetMode="External"/><Relationship Id="rId31" Type="http://schemas.openxmlformats.org/officeDocument/2006/relationships/hyperlink" Target="https://justicia.lapampa.gob.ar/images/Archivos/Leyes_Usuales/C%C3%93DIGO_PROCESAL_PENAL_DE_LA_PROVINCIA_DE_LA_PAMPA_2021.pdf" TargetMode="External"/><Relationship Id="rId44" Type="http://schemas.openxmlformats.org/officeDocument/2006/relationships/hyperlink" Target="https://drive.google.com/drive/folders/1NQLREYmdn0_8H4lsUehjhVJo1zsNFHrn" TargetMode="External"/><Relationship Id="rId52" Type="http://schemas.openxmlformats.org/officeDocument/2006/relationships/hyperlink" Target="https://www.argentina.gob.ar/educacion/evaluacion-informacion-educativa/anuarios" TargetMode="External"/><Relationship Id="rId60" Type="http://schemas.openxmlformats.org/officeDocument/2006/relationships/hyperlink" Target="https://www.jujuyalmomento.com/malestar/malestar-y-quejas-largas-filas-y-atencion-lenta-hospital-nestor-sequeiros-n144887" TargetMode="External"/><Relationship Id="rId65" Type="http://schemas.openxmlformats.org/officeDocument/2006/relationships/hyperlink" Target="http://servicios.infoleg.gob.ar/infolegInternet/anexos/20000-24999/23893/texact.htm" TargetMode="External"/><Relationship Id="rId4" Type="http://schemas.openxmlformats.org/officeDocument/2006/relationships/hyperlink" Target="https://www.argentina.gob.ar/andis/estructura/consejo-federal-de-discapacidad" TargetMode="External"/><Relationship Id="rId9" Type="http://schemas.openxmlformats.org/officeDocument/2006/relationships/hyperlink" Target="https://www.youtube.com/watch?v=nmra-a8BHLw" TargetMode="External"/><Relationship Id="rId14" Type="http://schemas.openxmlformats.org/officeDocument/2006/relationships/hyperlink" Target="https://www.argentina.gob.ar/inadi/mapa-nacional-de-la-discriminacion" TargetMode="External"/><Relationship Id="rId22" Type="http://schemas.openxmlformats.org/officeDocument/2006/relationships/hyperlink" Target="https://www.argentina.gob.ar/noticias/se-presentaron-los-ganadores-del-concurso-de-proyectos-habitacionales-casa-propia-procrear" TargetMode="External"/><Relationship Id="rId27" Type="http://schemas.openxmlformats.org/officeDocument/2006/relationships/hyperlink" Target="https://www.argentina.gob.ar/sites/default/files/protocolo_sistemas_de_apoyo.pdf" TargetMode="External"/><Relationship Id="rId30" Type="http://schemas.openxmlformats.org/officeDocument/2006/relationships/hyperlink" Target="https://normas.gba.gob.ar/documentos/V9OGJUPx.html" TargetMode="External"/><Relationship Id="rId35" Type="http://schemas.openxmlformats.org/officeDocument/2006/relationships/hyperlink" Target="https://latinta.com.ar/2022/07/violencia-policial-salud-mental/" TargetMode="External"/><Relationship Id="rId43" Type="http://schemas.openxmlformats.org/officeDocument/2006/relationships/hyperlink" Target="https://drive.google.com/file/d/1RGBHvlAaebnSUY0nbLSw6cf9NMlnq2Qf/view?usp=sharing" TargetMode="External"/><Relationship Id="rId48" Type="http://schemas.openxmlformats.org/officeDocument/2006/relationships/hyperlink" Target="https://www.eldiariodelapampa.com.ar/la-pampa/-29984/una-mujer-con-discapacidad-separada-de-su-hijo-hace-mas-de-2-meses--lo-alojaron-en-un-hotel" TargetMode="External"/><Relationship Id="rId56" Type="http://schemas.openxmlformats.org/officeDocument/2006/relationships/hyperlink" Target="https://blogs.ead.unlp.edu.ar/discapacidadunlp/" TargetMode="External"/><Relationship Id="rId64" Type="http://schemas.openxmlformats.org/officeDocument/2006/relationships/hyperlink" Target="http://servicios.infoleg.gob.ar/infolegInternet/anexos/15000-19999/19442/texact.htm" TargetMode="External"/><Relationship Id="rId69" Type="http://schemas.openxmlformats.org/officeDocument/2006/relationships/hyperlink" Target="https://www.anbariloche.com.ar/noticias/2022/08/27/86477-cerro-otto-no-dejaron-subir-a-una-pareja-con-discapacidad-visual-por-no-contar-con-acompanante" TargetMode="External"/><Relationship Id="rId8" Type="http://schemas.openxmlformats.org/officeDocument/2006/relationships/hyperlink" Target="https://www.youtube.com/watch?v=hioBwNxE-tg" TargetMode="External"/><Relationship Id="rId51" Type="http://schemas.openxmlformats.org/officeDocument/2006/relationships/hyperlink" Target="https://www.mpd.gov.ar/pdf/RESO10ORN.pdf" TargetMode="External"/><Relationship Id="rId72" Type="http://schemas.openxmlformats.org/officeDocument/2006/relationships/hyperlink" Target="http://redi.org.ar/wp-content/uploads/recomendaciones-para-un-observatorio-nacional-sobre-los-derechos-de-las-personas-con-discapacidad.pdf" TargetMode="External"/><Relationship Id="rId3" Type="http://schemas.openxmlformats.org/officeDocument/2006/relationships/hyperlink" Target="https://www.argentina.gob.ar/andis/estructura/Directorio-del-Sistema-de-Prestaciones-B%C3%A1sicas" TargetMode="External"/><Relationship Id="rId12" Type="http://schemas.openxmlformats.org/officeDocument/2006/relationships/hyperlink" Target="https://www.pagina12.com.ar/222874-la-garantia-del-debido-proceso" TargetMode="External"/><Relationship Id="rId17" Type="http://schemas.openxmlformats.org/officeDocument/2006/relationships/hyperlink" Target="https://www.argentina.gob.ar/noticias/ley-no-27610-acceso-la-interrupcion-voluntaria-del-embarazo-ive-obligatoriedad-de-brindar" TargetMode="External"/><Relationship Id="rId25" Type="http://schemas.openxmlformats.org/officeDocument/2006/relationships/hyperlink" Target="https://www.boletinoficial.gob.ar/detalleAviso/primera/227068/20200320" TargetMode="External"/><Relationship Id="rId33" Type="http://schemas.openxmlformats.org/officeDocument/2006/relationships/hyperlink" Target="https://www.cosecharoja.org/tan-bionicos-como-actua-la-policia-en-casos-de-salud-mental/" TargetMode="External"/><Relationship Id="rId38" Type="http://schemas.openxmlformats.org/officeDocument/2006/relationships/hyperlink" Target="https://bancos.salud.gob.ar/sites/default/files/2020-01/primer-censo-nacional-personas-internadas-por-motivos-de-salud-mental-2019.pdf" TargetMode="External"/><Relationship Id="rId46" Type="http://schemas.openxmlformats.org/officeDocument/2006/relationships/hyperlink" Target="https://www.bcra.gob.ar/Pdfs/Texord/t-pusf.pdf" TargetMode="External"/><Relationship Id="rId59" Type="http://schemas.openxmlformats.org/officeDocument/2006/relationships/hyperlink" Target="https://www.argentina.gob.ar/sites/default/files/ley_25929_parto_humanizado_decreto_web_0.pdf" TargetMode="External"/><Relationship Id="rId67" Type="http://schemas.openxmlformats.org/officeDocument/2006/relationships/hyperlink" Target="https://www.cultura.gob.ar/como-construimos-cultura-accesible_7761/" TargetMode="External"/><Relationship Id="rId20" Type="http://schemas.openxmlformats.org/officeDocument/2006/relationships/hyperlink" Target="https://www.argentina.gob.ar/obras-publicas/vialidad-nacional/licitaciones/pliegos-de-especificaciones-tecnicas" TargetMode="External"/><Relationship Id="rId41" Type="http://schemas.openxmlformats.org/officeDocument/2006/relationships/hyperlink" Target="https://docs.google.com/document/d/1QMBrRvIgGdiI3rFvUa5YYgZWphHBOV30/edit?usp=sharing&amp;ouid=105736202991338020491&amp;rtpof=true&amp;sd=true" TargetMode="External"/><Relationship Id="rId54" Type="http://schemas.openxmlformats.org/officeDocument/2006/relationships/hyperlink" Target="https://acij.org.ar/wp-content/uploads/2022/03/Apoyos-para-la-educacion-inclusiva_-datos-que-evidencian-barreras.pdf" TargetMode="External"/><Relationship Id="rId62" Type="http://schemas.openxmlformats.org/officeDocument/2006/relationships/hyperlink" Target="http://servicios.infoleg.gob.ar/infolegInternet/anexos/250000-254999/251275/norma.htm" TargetMode="External"/><Relationship Id="rId70" Type="http://schemas.openxmlformats.org/officeDocument/2006/relationships/hyperlink" Target="https://www.infobae.com/tendencias/2022/04/07/plazas-inclusivas-y-felices-espacios-que-suman-juegosdisenados-para-ninos-con-trastornos-del-espectroautist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Evaluation on Argentina – 2018-2023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42A8CBA-E22E-43EE-8EFF-626D4EE2E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30</Pages>
  <Words>10353</Words>
  <Characters>56943</Characters>
  <Application>Microsoft Office Word</Application>
  <DocSecurity>0</DocSecurity>
  <Lines>474</Lines>
  <Paragraphs>134</Paragraphs>
  <ScaleCrop>false</ScaleCrop>
  <HeadingPairs>
    <vt:vector size="6" baseType="variant">
      <vt:variant>
        <vt:lpstr>Título</vt:lpstr>
      </vt:variant>
      <vt:variant>
        <vt:i4>1</vt:i4>
      </vt:variant>
      <vt:variant>
        <vt:lpstr>Title</vt:lpstr>
      </vt:variant>
      <vt:variant>
        <vt:i4>1</vt:i4>
      </vt:variant>
      <vt:variant>
        <vt:lpstr>Headings</vt:lpstr>
      </vt:variant>
      <vt:variant>
        <vt:i4>5</vt:i4>
      </vt:variant>
    </vt:vector>
  </HeadingPairs>
  <TitlesOfParts>
    <vt:vector size="7" baseType="lpstr">
      <vt:lpstr>in Argentina</vt:lpstr>
      <vt:lpstr/>
      <vt:lpstr>Resumen Ejecutivo</vt:lpstr>
      <vt:lpstr>Situación de los derechos de las PCD según los artículos de la Convención</vt:lpstr>
      <vt:lpstr>        Accesibilidad web</vt:lpstr>
      <vt:lpstr>        Accesibilidad peatonal y movilidad</vt:lpstr>
      <vt:lpstr>        Accesibilidad edilicia </vt:lpstr>
    </vt:vector>
  </TitlesOfParts>
  <Company>BCCL</Company>
  <LinksUpToDate>false</LinksUpToDate>
  <CharactersWithSpaces>67162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Argentina</dc:title>
  <dc:subject>28 Period of Sessions. Committee on the rights of persons with disability </dc:subject>
  <dc:creator>Novillo-Funes,S (pgt)</dc:creator>
  <cp:lastModifiedBy>Betti , Marcelo Fernando</cp:lastModifiedBy>
  <cp:revision>14</cp:revision>
  <cp:lastPrinted>2023-01-24T17:40:00Z</cp:lastPrinted>
  <dcterms:created xsi:type="dcterms:W3CDTF">2023-02-02T13:55:00Z</dcterms:created>
  <dcterms:modified xsi:type="dcterms:W3CDTF">2023-02-03T18:07:00Z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ce9adf94-0f99-4bba-a816-d41b41affb11</vt:lpwstr>
  </property>
  <property fmtid="{D5CDD505-2E9C-101B-9397-08002B2CF9AE}" pid="3" name="_DocHome">
    <vt:i4>124005814</vt:i4>
  </property>
</Properties>
</file>