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B0667" w14:textId="7C8BA641" w:rsidR="002A383B" w:rsidRPr="006023FC" w:rsidRDefault="002A383B" w:rsidP="006023FC">
      <w:pPr>
        <w:jc w:val="center"/>
        <w:rPr>
          <w:b/>
          <w:bCs/>
          <w:sz w:val="24"/>
          <w:szCs w:val="24"/>
        </w:rPr>
      </w:pPr>
      <w:r w:rsidRPr="006023FC">
        <w:rPr>
          <w:b/>
          <w:bCs/>
          <w:sz w:val="24"/>
          <w:szCs w:val="24"/>
        </w:rPr>
        <w:t xml:space="preserve">Center for Defending Freedom of Journalists </w:t>
      </w:r>
      <w:r w:rsidR="006023FC">
        <w:rPr>
          <w:b/>
          <w:bCs/>
          <w:sz w:val="24"/>
          <w:szCs w:val="24"/>
        </w:rPr>
        <w:t xml:space="preserve">Contribution </w:t>
      </w:r>
      <w:r w:rsidRPr="006023FC">
        <w:rPr>
          <w:b/>
          <w:bCs/>
          <w:sz w:val="24"/>
          <w:szCs w:val="24"/>
        </w:rPr>
        <w:t>to the List of Issues Related to Jordan’s Sixth Periodic Report before the Human Rights Committee</w:t>
      </w:r>
    </w:p>
    <w:p w14:paraId="5E2C4C60" w14:textId="77777777" w:rsidR="006023FC" w:rsidRDefault="006023FC" w:rsidP="002A383B">
      <w:pPr>
        <w:jc w:val="both"/>
        <w:rPr>
          <w:sz w:val="24"/>
          <w:szCs w:val="24"/>
        </w:rPr>
      </w:pPr>
    </w:p>
    <w:p w14:paraId="0258F6CE" w14:textId="2663CFEC" w:rsidR="002A383B" w:rsidRPr="002A383B" w:rsidRDefault="002A383B" w:rsidP="002A383B">
      <w:pPr>
        <w:jc w:val="both"/>
        <w:rPr>
          <w:sz w:val="24"/>
          <w:szCs w:val="24"/>
        </w:rPr>
      </w:pPr>
      <w:r w:rsidRPr="002A383B">
        <w:rPr>
          <w:sz w:val="24"/>
          <w:szCs w:val="24"/>
        </w:rPr>
        <w:t>Freedom of expression and opinion is a cornerstone of human rights, guaranteed by international charters and treaties, as well as the Jordanian Constitution. However, freedom of expression faces legislative restrictions imposed by certain laws in force in Jordan, alongside policies and practices that shrink spaces for expression.</w:t>
      </w:r>
    </w:p>
    <w:p w14:paraId="7F35B412" w14:textId="66855040" w:rsidR="002A383B" w:rsidRPr="002A383B" w:rsidRDefault="002A383B" w:rsidP="002A383B">
      <w:pPr>
        <w:jc w:val="both"/>
        <w:rPr>
          <w:sz w:val="24"/>
          <w:szCs w:val="24"/>
        </w:rPr>
      </w:pPr>
      <w:r w:rsidRPr="002A383B">
        <w:rPr>
          <w:sz w:val="24"/>
          <w:szCs w:val="24"/>
        </w:rPr>
        <w:t>In recent years, particularly following the adoption of the Cybercrime Law No. 17 of 2023, the number of cases restricting journalists and activists for expressing their opinions has increased. Many have been referred to court under this law.</w:t>
      </w:r>
    </w:p>
    <w:p w14:paraId="19233415" w14:textId="23649A44" w:rsidR="002A383B" w:rsidRPr="002A383B" w:rsidRDefault="002A383B" w:rsidP="002A383B">
      <w:pPr>
        <w:jc w:val="both"/>
        <w:rPr>
          <w:sz w:val="24"/>
          <w:szCs w:val="24"/>
        </w:rPr>
      </w:pPr>
      <w:r w:rsidRPr="002A383B">
        <w:rPr>
          <w:sz w:val="24"/>
          <w:szCs w:val="24"/>
        </w:rPr>
        <w:t>The 2023 law expanded punitive measures, including imprisonment, and intensified financial penalties. Many human rights advocates and legal experts believe that the provisions of the law, particularly Articles (15, 16, 17, and 25), are used to criminalize and convict journalists and activists on social media platforms through vague and ambiguous terms such as “national security,” “social peace,” “character assassination,” “incitement to discord or sectarianism,” and “promotion of hatred,” which are inconsistent with Paragraph 3 of Article 19 of the International Covenant on Civil and Political Rights (ICCPR).</w:t>
      </w:r>
    </w:p>
    <w:p w14:paraId="4FF6A7A5" w14:textId="657EF592" w:rsidR="002A383B" w:rsidRPr="002A383B" w:rsidRDefault="002A383B" w:rsidP="002A383B">
      <w:pPr>
        <w:jc w:val="both"/>
        <w:rPr>
          <w:sz w:val="24"/>
          <w:szCs w:val="24"/>
        </w:rPr>
      </w:pPr>
      <w:r w:rsidRPr="002A383B">
        <w:rPr>
          <w:sz w:val="24"/>
          <w:szCs w:val="24"/>
        </w:rPr>
        <w:t>This law has restricted freedom of expression on the internet and social media platforms and reduced spaces for criticism in the media. Many media outlets have been forced to disable comments on their websites and social media pages. Moreover, the government has not disclosed any measures to ensure that the Cybercrime Law is not used as a tool to restrict the freedom of journalists, activists, or individuals.</w:t>
      </w:r>
    </w:p>
    <w:p w14:paraId="0658132D" w14:textId="529FDE32" w:rsidR="002A383B" w:rsidRPr="002A383B" w:rsidRDefault="002A383B" w:rsidP="002A383B">
      <w:pPr>
        <w:jc w:val="both"/>
        <w:rPr>
          <w:sz w:val="24"/>
          <w:szCs w:val="24"/>
        </w:rPr>
      </w:pPr>
      <w:r w:rsidRPr="002A383B">
        <w:rPr>
          <w:sz w:val="24"/>
          <w:szCs w:val="24"/>
        </w:rPr>
        <w:t>Additionally, the Anti-Terrorism Law continues to be used as a tool to intimidate and deter journalists and social media activists from expressing their opinions. This is particularly concerning due to the ambiguous definition of terrorist acts, as well as Paragraph (e) of Article 3 of the same law.</w:t>
      </w:r>
    </w:p>
    <w:p w14:paraId="0435D10D" w14:textId="2E09BEC9" w:rsidR="002A383B" w:rsidRPr="002A383B" w:rsidRDefault="002A383B" w:rsidP="002A383B">
      <w:pPr>
        <w:jc w:val="both"/>
        <w:rPr>
          <w:sz w:val="24"/>
          <w:szCs w:val="24"/>
        </w:rPr>
      </w:pPr>
      <w:r w:rsidRPr="002A383B">
        <w:rPr>
          <w:sz w:val="24"/>
          <w:szCs w:val="24"/>
        </w:rPr>
        <w:t>These laws have prevented the internet from being an open space for public discussion and increased the prevalence of self-censorship among journalists, activists, and individuals when expressing their opinions or publishing content online. According to</w:t>
      </w:r>
      <w:r w:rsidR="006023FC">
        <w:rPr>
          <w:sz w:val="24"/>
          <w:szCs w:val="24"/>
        </w:rPr>
        <w:t xml:space="preserve"> CDFJ’s </w:t>
      </w:r>
      <w:r w:rsidRPr="002A383B">
        <w:rPr>
          <w:sz w:val="24"/>
          <w:szCs w:val="24"/>
        </w:rPr>
        <w:t>2023 State of Media Report, 96.8% of journalists admitted to practicing self-censorship to a moderate or significant degree.</w:t>
      </w:r>
    </w:p>
    <w:p w14:paraId="1FA18603" w14:textId="2A696D60" w:rsidR="002A383B" w:rsidRPr="002A383B" w:rsidRDefault="002A383B" w:rsidP="002A383B">
      <w:pPr>
        <w:jc w:val="both"/>
        <w:rPr>
          <w:sz w:val="24"/>
          <w:szCs w:val="24"/>
        </w:rPr>
      </w:pPr>
      <w:r w:rsidRPr="002A383B">
        <w:rPr>
          <w:sz w:val="24"/>
          <w:szCs w:val="24"/>
        </w:rPr>
        <w:t xml:space="preserve">Based on this, </w:t>
      </w:r>
      <w:r w:rsidR="006023FC">
        <w:rPr>
          <w:sz w:val="24"/>
          <w:szCs w:val="24"/>
        </w:rPr>
        <w:t xml:space="preserve">CDFJ </w:t>
      </w:r>
      <w:r w:rsidRPr="002A383B">
        <w:rPr>
          <w:sz w:val="24"/>
          <w:szCs w:val="24"/>
        </w:rPr>
        <w:t>requests the Committee to address the following issues and questions in its discussion with the government delegation and its report:</w:t>
      </w:r>
    </w:p>
    <w:p w14:paraId="129EF3F7" w14:textId="7ECC9F74" w:rsidR="002A383B" w:rsidRDefault="002A383B" w:rsidP="002A383B">
      <w:pPr>
        <w:jc w:val="both"/>
        <w:rPr>
          <w:sz w:val="24"/>
          <w:szCs w:val="24"/>
        </w:rPr>
      </w:pPr>
    </w:p>
    <w:p w14:paraId="0B0E2BDE" w14:textId="77777777" w:rsidR="002A383B" w:rsidRPr="002A383B" w:rsidRDefault="002A383B" w:rsidP="002A383B">
      <w:pPr>
        <w:jc w:val="both"/>
        <w:rPr>
          <w:sz w:val="24"/>
          <w:szCs w:val="24"/>
        </w:rPr>
      </w:pPr>
    </w:p>
    <w:p w14:paraId="7701FA28" w14:textId="77777777" w:rsidR="002A383B" w:rsidRPr="002A383B" w:rsidRDefault="002A383B" w:rsidP="002A383B">
      <w:pPr>
        <w:jc w:val="both"/>
        <w:rPr>
          <w:b/>
          <w:bCs/>
          <w:sz w:val="24"/>
          <w:szCs w:val="24"/>
        </w:rPr>
      </w:pPr>
      <w:r w:rsidRPr="002A383B">
        <w:rPr>
          <w:b/>
          <w:bCs/>
          <w:sz w:val="24"/>
          <w:szCs w:val="24"/>
        </w:rPr>
        <w:lastRenderedPageBreak/>
        <w:t>Freedom of Expression and Opinion (Article 19)</w:t>
      </w:r>
    </w:p>
    <w:p w14:paraId="21E6CFE9" w14:textId="77777777" w:rsidR="002A383B" w:rsidRPr="002A383B" w:rsidRDefault="002A383B" w:rsidP="002A383B">
      <w:pPr>
        <w:jc w:val="both"/>
        <w:rPr>
          <w:b/>
          <w:bCs/>
          <w:sz w:val="24"/>
          <w:szCs w:val="24"/>
        </w:rPr>
      </w:pPr>
      <w:r w:rsidRPr="002A383B">
        <w:rPr>
          <w:b/>
          <w:bCs/>
          <w:sz w:val="24"/>
          <w:szCs w:val="24"/>
        </w:rPr>
        <w:tab/>
        <w:t>1.</w:t>
      </w:r>
      <w:r w:rsidRPr="002A383B">
        <w:rPr>
          <w:b/>
          <w:bCs/>
          <w:sz w:val="24"/>
          <w:szCs w:val="24"/>
        </w:rPr>
        <w:tab/>
        <w:t>Please provide information on the following:</w:t>
      </w:r>
    </w:p>
    <w:p w14:paraId="2EC2EF65" w14:textId="5BAA7A5C" w:rsidR="002A383B" w:rsidRPr="002A383B" w:rsidRDefault="002A383B" w:rsidP="002A383B">
      <w:pPr>
        <w:pStyle w:val="ListParagraph"/>
        <w:numPr>
          <w:ilvl w:val="0"/>
          <w:numId w:val="4"/>
        </w:numPr>
        <w:jc w:val="both"/>
        <w:rPr>
          <w:sz w:val="24"/>
          <w:szCs w:val="24"/>
        </w:rPr>
      </w:pPr>
      <w:r w:rsidRPr="002A383B">
        <w:rPr>
          <w:sz w:val="24"/>
          <w:szCs w:val="24"/>
        </w:rPr>
        <w:t>Measures taken to ensure that Cybercrime Law No. 17 of 2023 is not used to restrict freedom of expression and opinion in the online sphere and on social media platforms.</w:t>
      </w:r>
    </w:p>
    <w:p w14:paraId="0766AFB1" w14:textId="6F53051D" w:rsidR="002A383B" w:rsidRPr="002A383B" w:rsidRDefault="002A383B" w:rsidP="002A383B">
      <w:pPr>
        <w:pStyle w:val="ListParagraph"/>
        <w:numPr>
          <w:ilvl w:val="0"/>
          <w:numId w:val="4"/>
        </w:numPr>
        <w:jc w:val="both"/>
        <w:rPr>
          <w:sz w:val="24"/>
          <w:szCs w:val="24"/>
        </w:rPr>
      </w:pPr>
      <w:r w:rsidRPr="002A383B">
        <w:rPr>
          <w:sz w:val="24"/>
          <w:szCs w:val="24"/>
        </w:rPr>
        <w:t>Measures taken to regulate the interpretation of terms in Cybercrime Law No. 17 of 2023 that may be used to limit freedom of expression, such as “national security,” “social peace,” “character assassination,” “incitement to discord or sectarianism,” and “promotion of hatred.”</w:t>
      </w:r>
    </w:p>
    <w:p w14:paraId="096EBD0C" w14:textId="0E779458" w:rsidR="002A383B" w:rsidRPr="002A383B" w:rsidRDefault="002A383B" w:rsidP="002A383B">
      <w:pPr>
        <w:pStyle w:val="ListParagraph"/>
        <w:numPr>
          <w:ilvl w:val="0"/>
          <w:numId w:val="4"/>
        </w:numPr>
        <w:jc w:val="both"/>
        <w:rPr>
          <w:sz w:val="24"/>
          <w:szCs w:val="24"/>
        </w:rPr>
      </w:pPr>
      <w:r w:rsidRPr="002A383B">
        <w:rPr>
          <w:sz w:val="24"/>
          <w:szCs w:val="24"/>
        </w:rPr>
        <w:t>Measures taken to ensure that journalists, activists, and individuals can freely exercise their right to freedom of expression and share critical opinions without harassment, intimidation, arrest, or prosecution under Cybercrime Law No. 17 of 2023 or other laws.</w:t>
      </w:r>
    </w:p>
    <w:p w14:paraId="78571B1F" w14:textId="137B1381" w:rsidR="002A383B" w:rsidRPr="002A383B" w:rsidRDefault="002A383B" w:rsidP="002A383B">
      <w:pPr>
        <w:pStyle w:val="ListParagraph"/>
        <w:numPr>
          <w:ilvl w:val="0"/>
          <w:numId w:val="4"/>
        </w:numPr>
        <w:jc w:val="both"/>
        <w:rPr>
          <w:sz w:val="24"/>
          <w:szCs w:val="24"/>
        </w:rPr>
      </w:pPr>
      <w:r w:rsidRPr="002A383B">
        <w:rPr>
          <w:sz w:val="24"/>
          <w:szCs w:val="24"/>
        </w:rPr>
        <w:t>The number of cases in which journalists, bloggers, or social media users have been prosecuted for peacefully expressing their opinions on social media or in the media, the reasons for their prosecution, the judgments issued, and the laws under which they were prosecuted.</w:t>
      </w:r>
    </w:p>
    <w:p w14:paraId="40B86315" w14:textId="70690ADD" w:rsidR="002A383B" w:rsidRPr="002A383B" w:rsidRDefault="002A383B" w:rsidP="002A383B">
      <w:pPr>
        <w:pStyle w:val="ListParagraph"/>
        <w:numPr>
          <w:ilvl w:val="0"/>
          <w:numId w:val="4"/>
        </w:numPr>
        <w:jc w:val="both"/>
        <w:rPr>
          <w:sz w:val="24"/>
          <w:szCs w:val="24"/>
        </w:rPr>
      </w:pPr>
      <w:r w:rsidRPr="002A383B">
        <w:rPr>
          <w:sz w:val="24"/>
          <w:szCs w:val="24"/>
        </w:rPr>
        <w:t xml:space="preserve">Measures taken to ensure that provisions in the Penal Code related to “insulting the </w:t>
      </w:r>
      <w:r w:rsidR="006023FC">
        <w:rPr>
          <w:sz w:val="24"/>
          <w:szCs w:val="24"/>
        </w:rPr>
        <w:t>K</w:t>
      </w:r>
      <w:r w:rsidRPr="002A383B">
        <w:rPr>
          <w:sz w:val="24"/>
          <w:szCs w:val="24"/>
        </w:rPr>
        <w:t>ing” or “incitement to sectarianism” are not used to limit permissible criticism and to clarify their compatibility with Article 19 of the ICCPR.</w:t>
      </w:r>
    </w:p>
    <w:p w14:paraId="7CBDE8FA" w14:textId="1EAD2857" w:rsidR="002A383B" w:rsidRPr="002A383B" w:rsidRDefault="002A383B" w:rsidP="002A383B">
      <w:pPr>
        <w:pStyle w:val="ListParagraph"/>
        <w:numPr>
          <w:ilvl w:val="0"/>
          <w:numId w:val="4"/>
        </w:numPr>
        <w:jc w:val="both"/>
        <w:rPr>
          <w:sz w:val="24"/>
          <w:szCs w:val="24"/>
        </w:rPr>
      </w:pPr>
      <w:r w:rsidRPr="002A383B">
        <w:rPr>
          <w:sz w:val="24"/>
          <w:szCs w:val="24"/>
        </w:rPr>
        <w:t>Measures taken to address concerns about the misuse of vague definitions of terrorist acts in Anti-Terrorism Law No. 55 to arrest and prosecute journalists and bloggers before the State Security Court without procedural safeguards, leading to arbitrary detention and exposure to torture, particularly under Paragraph (e) of Article 3, which may be used against journalists.</w:t>
      </w:r>
    </w:p>
    <w:p w14:paraId="1C9FC28C" w14:textId="3A401396" w:rsidR="002A383B" w:rsidRPr="002A383B" w:rsidRDefault="002A383B" w:rsidP="002A383B">
      <w:pPr>
        <w:pStyle w:val="ListParagraph"/>
        <w:numPr>
          <w:ilvl w:val="0"/>
          <w:numId w:val="4"/>
        </w:numPr>
        <w:jc w:val="both"/>
        <w:rPr>
          <w:sz w:val="24"/>
          <w:szCs w:val="24"/>
        </w:rPr>
      </w:pPr>
      <w:r w:rsidRPr="002A383B">
        <w:rPr>
          <w:sz w:val="24"/>
          <w:szCs w:val="24"/>
        </w:rPr>
        <w:t>Restrictions imposed on journalistic activities and media outlets and clarification of their compliance with Paragraph 3 of Article 19 of the ICCPR.</w:t>
      </w:r>
    </w:p>
    <w:p w14:paraId="37F734ED" w14:textId="46F74688" w:rsidR="002A383B" w:rsidRPr="002A383B" w:rsidRDefault="002A383B" w:rsidP="002A383B">
      <w:pPr>
        <w:pStyle w:val="ListParagraph"/>
        <w:numPr>
          <w:ilvl w:val="0"/>
          <w:numId w:val="4"/>
        </w:numPr>
        <w:jc w:val="both"/>
        <w:rPr>
          <w:sz w:val="24"/>
          <w:szCs w:val="24"/>
        </w:rPr>
      </w:pPr>
      <w:r w:rsidRPr="002A383B">
        <w:rPr>
          <w:sz w:val="24"/>
          <w:szCs w:val="24"/>
        </w:rPr>
        <w:t>Measures taken to reduce exceptions imposed on access to information under the Access to Information Law.</w:t>
      </w:r>
    </w:p>
    <w:p w14:paraId="21B62731" w14:textId="77777777" w:rsidR="002A383B" w:rsidRPr="002A383B" w:rsidRDefault="002A383B" w:rsidP="002A383B">
      <w:pPr>
        <w:jc w:val="both"/>
        <w:rPr>
          <w:sz w:val="24"/>
          <w:szCs w:val="24"/>
        </w:rPr>
      </w:pPr>
    </w:p>
    <w:p w14:paraId="640A3407" w14:textId="77777777" w:rsidR="002A383B" w:rsidRPr="002A383B" w:rsidRDefault="002A383B" w:rsidP="002A383B">
      <w:pPr>
        <w:jc w:val="both"/>
        <w:rPr>
          <w:b/>
          <w:bCs/>
          <w:sz w:val="24"/>
          <w:szCs w:val="24"/>
        </w:rPr>
      </w:pPr>
      <w:r w:rsidRPr="002A383B">
        <w:rPr>
          <w:b/>
          <w:bCs/>
          <w:sz w:val="24"/>
          <w:szCs w:val="24"/>
        </w:rPr>
        <w:t>Recommendations</w:t>
      </w:r>
    </w:p>
    <w:p w14:paraId="767AD757" w14:textId="69EFE72A" w:rsidR="002A383B" w:rsidRPr="002A383B" w:rsidRDefault="002A383B" w:rsidP="002A383B">
      <w:pPr>
        <w:pStyle w:val="ListParagraph"/>
        <w:numPr>
          <w:ilvl w:val="0"/>
          <w:numId w:val="5"/>
        </w:numPr>
        <w:jc w:val="both"/>
        <w:rPr>
          <w:sz w:val="24"/>
          <w:szCs w:val="24"/>
        </w:rPr>
      </w:pPr>
      <w:r w:rsidRPr="002A383B">
        <w:rPr>
          <w:sz w:val="24"/>
          <w:szCs w:val="24"/>
        </w:rPr>
        <w:t>Amend the Cybercrime Law of 2023, eliminating custodial penalties and excessive financial fines.</w:t>
      </w:r>
    </w:p>
    <w:p w14:paraId="61A42CE6" w14:textId="0A280557" w:rsidR="002A383B" w:rsidRPr="002A383B" w:rsidRDefault="002A383B" w:rsidP="002A383B">
      <w:pPr>
        <w:pStyle w:val="ListParagraph"/>
        <w:numPr>
          <w:ilvl w:val="0"/>
          <w:numId w:val="5"/>
        </w:numPr>
        <w:jc w:val="both"/>
        <w:rPr>
          <w:sz w:val="24"/>
          <w:szCs w:val="24"/>
        </w:rPr>
      </w:pPr>
      <w:r w:rsidRPr="002A383B">
        <w:rPr>
          <w:sz w:val="24"/>
          <w:szCs w:val="24"/>
        </w:rPr>
        <w:t>Review the legal provisions (Articles 15, 16, 17, 20, 24, 25, 31, 32, and 37) that impose restrictions on freedom of expression and media.</w:t>
      </w:r>
    </w:p>
    <w:p w14:paraId="725B5CFA" w14:textId="141322EE" w:rsidR="002A383B" w:rsidRPr="002A383B" w:rsidRDefault="002A383B" w:rsidP="002A383B">
      <w:pPr>
        <w:pStyle w:val="ListParagraph"/>
        <w:numPr>
          <w:ilvl w:val="0"/>
          <w:numId w:val="5"/>
        </w:numPr>
        <w:jc w:val="both"/>
        <w:rPr>
          <w:sz w:val="24"/>
          <w:szCs w:val="24"/>
        </w:rPr>
      </w:pPr>
      <w:r w:rsidRPr="002A383B">
        <w:rPr>
          <w:sz w:val="24"/>
          <w:szCs w:val="24"/>
        </w:rPr>
        <w:t>Review the conditions and measures granted by the law for dealing with social media platforms.</w:t>
      </w:r>
    </w:p>
    <w:p w14:paraId="360AD277" w14:textId="77C16D73" w:rsidR="002A383B" w:rsidRPr="002A383B" w:rsidRDefault="002A383B" w:rsidP="002A383B">
      <w:pPr>
        <w:pStyle w:val="ListParagraph"/>
        <w:numPr>
          <w:ilvl w:val="0"/>
          <w:numId w:val="5"/>
        </w:numPr>
        <w:jc w:val="both"/>
        <w:rPr>
          <w:sz w:val="24"/>
          <w:szCs w:val="24"/>
        </w:rPr>
      </w:pPr>
      <w:r w:rsidRPr="002A383B">
        <w:rPr>
          <w:sz w:val="24"/>
          <w:szCs w:val="24"/>
        </w:rPr>
        <w:t xml:space="preserve">Amend and/or repeal legal provisions that hold media outlets, including their websites and social media pages, as well as social media users, legally responsible for content </w:t>
      </w:r>
      <w:r w:rsidRPr="002A383B">
        <w:rPr>
          <w:sz w:val="24"/>
          <w:szCs w:val="24"/>
        </w:rPr>
        <w:lastRenderedPageBreak/>
        <w:t>published on their pages without their consent, as they are not the entities that authorize or control publication.</w:t>
      </w:r>
    </w:p>
    <w:p w14:paraId="5838EB95" w14:textId="6F7E070B" w:rsidR="002A383B" w:rsidRPr="002A383B" w:rsidRDefault="002A383B" w:rsidP="002A383B">
      <w:pPr>
        <w:pStyle w:val="ListParagraph"/>
        <w:numPr>
          <w:ilvl w:val="0"/>
          <w:numId w:val="5"/>
        </w:numPr>
        <w:jc w:val="both"/>
        <w:rPr>
          <w:sz w:val="24"/>
          <w:szCs w:val="24"/>
        </w:rPr>
      </w:pPr>
      <w:r w:rsidRPr="002A383B">
        <w:rPr>
          <w:sz w:val="24"/>
          <w:szCs w:val="24"/>
        </w:rPr>
        <w:t>Amend vague and ambiguous terms in the law that allow for multiple interpretations that may restrict freedom of expression and media.</w:t>
      </w:r>
    </w:p>
    <w:p w14:paraId="1AB2907E" w14:textId="0525F522" w:rsidR="002A383B" w:rsidRPr="002A383B" w:rsidRDefault="002A383B" w:rsidP="002A383B">
      <w:pPr>
        <w:pStyle w:val="ListParagraph"/>
        <w:numPr>
          <w:ilvl w:val="0"/>
          <w:numId w:val="5"/>
        </w:numPr>
        <w:jc w:val="both"/>
        <w:rPr>
          <w:sz w:val="24"/>
          <w:szCs w:val="24"/>
        </w:rPr>
      </w:pPr>
      <w:r w:rsidRPr="002A383B">
        <w:rPr>
          <w:sz w:val="24"/>
          <w:szCs w:val="24"/>
        </w:rPr>
        <w:t>Review legal texts that allow for prosecution in defamation cases without requiring complaints or claims for personal rights.</w:t>
      </w:r>
    </w:p>
    <w:p w14:paraId="4F5DF1B0" w14:textId="21A8965C" w:rsidR="002A383B" w:rsidRPr="002A383B" w:rsidRDefault="002A383B" w:rsidP="002A383B">
      <w:pPr>
        <w:pStyle w:val="ListParagraph"/>
        <w:numPr>
          <w:ilvl w:val="0"/>
          <w:numId w:val="5"/>
        </w:numPr>
        <w:jc w:val="both"/>
        <w:rPr>
          <w:sz w:val="24"/>
          <w:szCs w:val="24"/>
        </w:rPr>
      </w:pPr>
      <w:r w:rsidRPr="002A383B">
        <w:rPr>
          <w:sz w:val="24"/>
          <w:szCs w:val="24"/>
        </w:rPr>
        <w:t>The government should adopt a strategy and plans to support freedom of expression and media, with measurable indicators and a defined timeframe.</w:t>
      </w:r>
    </w:p>
    <w:p w14:paraId="620DC474" w14:textId="7D037335" w:rsidR="002A383B" w:rsidRPr="002A383B" w:rsidRDefault="002A383B" w:rsidP="002A383B">
      <w:pPr>
        <w:pStyle w:val="ListParagraph"/>
        <w:numPr>
          <w:ilvl w:val="0"/>
          <w:numId w:val="5"/>
        </w:numPr>
        <w:jc w:val="both"/>
        <w:rPr>
          <w:sz w:val="24"/>
          <w:szCs w:val="24"/>
        </w:rPr>
      </w:pPr>
      <w:r w:rsidRPr="002A383B">
        <w:rPr>
          <w:sz w:val="24"/>
          <w:szCs w:val="24"/>
        </w:rPr>
        <w:t>Establish effective mechanisms to implement the Access to Information Law, with a focus on enforcement within public institutions and the establishment of oversight bodies to monitor implementation and accountability mechanisms.</w:t>
      </w:r>
    </w:p>
    <w:p w14:paraId="453675F9" w14:textId="4519C006" w:rsidR="002A383B" w:rsidRPr="002A383B" w:rsidRDefault="002A383B" w:rsidP="002A383B">
      <w:pPr>
        <w:pStyle w:val="ListParagraph"/>
        <w:numPr>
          <w:ilvl w:val="0"/>
          <w:numId w:val="5"/>
        </w:numPr>
        <w:jc w:val="both"/>
        <w:rPr>
          <w:sz w:val="24"/>
          <w:szCs w:val="24"/>
        </w:rPr>
      </w:pPr>
      <w:r w:rsidRPr="002A383B">
        <w:rPr>
          <w:sz w:val="24"/>
          <w:szCs w:val="24"/>
        </w:rPr>
        <w:t>Reduce exceptions imposed on access to information.</w:t>
      </w:r>
    </w:p>
    <w:p w14:paraId="5558B782" w14:textId="2A40817C" w:rsidR="002A383B" w:rsidRPr="002A383B" w:rsidRDefault="002A383B" w:rsidP="002A383B">
      <w:pPr>
        <w:pStyle w:val="ListParagraph"/>
        <w:numPr>
          <w:ilvl w:val="0"/>
          <w:numId w:val="5"/>
        </w:numPr>
        <w:jc w:val="both"/>
        <w:rPr>
          <w:sz w:val="24"/>
          <w:szCs w:val="24"/>
        </w:rPr>
      </w:pPr>
      <w:r w:rsidRPr="002A383B">
        <w:rPr>
          <w:sz w:val="24"/>
          <w:szCs w:val="24"/>
        </w:rPr>
        <w:t>Establish an observatory for violations against media and expression freedoms, particularly those occurring on social media platforms.</w:t>
      </w:r>
    </w:p>
    <w:p w14:paraId="4784DF33" w14:textId="44C0DD3D" w:rsidR="002A383B" w:rsidRPr="002A383B" w:rsidRDefault="002A383B" w:rsidP="002A383B">
      <w:pPr>
        <w:pStyle w:val="ListParagraph"/>
        <w:numPr>
          <w:ilvl w:val="0"/>
          <w:numId w:val="5"/>
        </w:numPr>
        <w:jc w:val="both"/>
        <w:rPr>
          <w:sz w:val="24"/>
          <w:szCs w:val="24"/>
        </w:rPr>
      </w:pPr>
      <w:r w:rsidRPr="002A383B">
        <w:rPr>
          <w:sz w:val="24"/>
          <w:szCs w:val="24"/>
        </w:rPr>
        <w:t>Increase attention to providing legal assistance and support to victims of violations among journalists, activists on social media platforms, and defenders of media and expression freedoms.</w:t>
      </w:r>
    </w:p>
    <w:p w14:paraId="4F7393B9" w14:textId="77777777" w:rsidR="002A383B" w:rsidRPr="002A383B" w:rsidRDefault="002A383B" w:rsidP="002A383B">
      <w:pPr>
        <w:jc w:val="both"/>
        <w:rPr>
          <w:sz w:val="24"/>
          <w:szCs w:val="24"/>
        </w:rPr>
      </w:pPr>
    </w:p>
    <w:p w14:paraId="1FF70523" w14:textId="77777777" w:rsidR="002A383B" w:rsidRPr="002A383B" w:rsidRDefault="002A383B" w:rsidP="002A383B">
      <w:pPr>
        <w:jc w:val="both"/>
        <w:rPr>
          <w:b/>
          <w:bCs/>
          <w:sz w:val="24"/>
          <w:szCs w:val="24"/>
        </w:rPr>
      </w:pPr>
      <w:r w:rsidRPr="002A383B">
        <w:rPr>
          <w:b/>
          <w:bCs/>
          <w:sz w:val="24"/>
          <w:szCs w:val="24"/>
        </w:rPr>
        <w:t>Center for Defending Freedom of Journalists (CDFJ)</w:t>
      </w:r>
    </w:p>
    <w:p w14:paraId="628CDCE4" w14:textId="77777777" w:rsidR="002A383B" w:rsidRPr="002A383B" w:rsidRDefault="002A383B" w:rsidP="002A383B">
      <w:pPr>
        <w:jc w:val="both"/>
        <w:rPr>
          <w:b/>
          <w:bCs/>
          <w:sz w:val="24"/>
          <w:szCs w:val="24"/>
        </w:rPr>
      </w:pPr>
      <w:r w:rsidRPr="002A383B">
        <w:rPr>
          <w:b/>
          <w:bCs/>
          <w:sz w:val="24"/>
          <w:szCs w:val="24"/>
        </w:rPr>
        <w:t>Address: Jordan - Amman,</w:t>
      </w:r>
    </w:p>
    <w:p w14:paraId="5102F41D" w14:textId="77777777" w:rsidR="002A383B" w:rsidRPr="002A383B" w:rsidRDefault="002A383B" w:rsidP="002A383B">
      <w:pPr>
        <w:jc w:val="both"/>
        <w:rPr>
          <w:b/>
          <w:bCs/>
          <w:sz w:val="24"/>
          <w:szCs w:val="24"/>
        </w:rPr>
      </w:pPr>
      <w:r w:rsidRPr="002A383B">
        <w:rPr>
          <w:b/>
          <w:bCs/>
          <w:sz w:val="24"/>
          <w:szCs w:val="24"/>
        </w:rPr>
        <w:t>Saad Al-Tamimi Street, Building No. 29</w:t>
      </w:r>
    </w:p>
    <w:p w14:paraId="795BDBD7" w14:textId="77777777" w:rsidR="002A383B" w:rsidRPr="002A383B" w:rsidRDefault="002A383B" w:rsidP="002A383B">
      <w:pPr>
        <w:jc w:val="both"/>
        <w:rPr>
          <w:b/>
          <w:bCs/>
          <w:sz w:val="24"/>
          <w:szCs w:val="24"/>
        </w:rPr>
      </w:pPr>
      <w:r w:rsidRPr="002A383B">
        <w:rPr>
          <w:b/>
          <w:bCs/>
          <w:sz w:val="24"/>
          <w:szCs w:val="24"/>
        </w:rPr>
        <w:t>Website: https://cdfj.org/</w:t>
      </w:r>
    </w:p>
    <w:p w14:paraId="540DC91B" w14:textId="77777777" w:rsidR="002A383B" w:rsidRPr="002A383B" w:rsidRDefault="002A383B" w:rsidP="002A383B">
      <w:pPr>
        <w:jc w:val="both"/>
        <w:rPr>
          <w:sz w:val="24"/>
          <w:szCs w:val="24"/>
        </w:rPr>
      </w:pPr>
    </w:p>
    <w:p w14:paraId="1B9F74F0" w14:textId="27B94BA8" w:rsidR="002A383B" w:rsidRPr="002A383B" w:rsidRDefault="002A383B" w:rsidP="002A383B">
      <w:pPr>
        <w:jc w:val="both"/>
        <w:rPr>
          <w:sz w:val="24"/>
          <w:szCs w:val="24"/>
        </w:rPr>
      </w:pPr>
      <w:r w:rsidRPr="002A383B">
        <w:rPr>
          <w:sz w:val="24"/>
          <w:szCs w:val="24"/>
        </w:rPr>
        <w:t>Let me know if you need further assistance</w:t>
      </w:r>
      <w:r>
        <w:rPr>
          <w:sz w:val="24"/>
          <w:szCs w:val="24"/>
        </w:rPr>
        <w:t>.</w:t>
      </w:r>
    </w:p>
    <w:sectPr w:rsidR="002A383B" w:rsidRPr="002A38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C453C"/>
    <w:multiLevelType w:val="hybridMultilevel"/>
    <w:tmpl w:val="860E32C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B5041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0857A4F"/>
    <w:multiLevelType w:val="multilevel"/>
    <w:tmpl w:val="FFB8F51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EB22A1D"/>
    <w:multiLevelType w:val="hybridMultilevel"/>
    <w:tmpl w:val="4FB2AF70"/>
    <w:lvl w:ilvl="0" w:tplc="1ECC029A">
      <w:numFmt w:val="bullet"/>
      <w:lvlText w:val="•"/>
      <w:lvlJc w:val="left"/>
      <w:pPr>
        <w:ind w:left="1440" w:hanging="72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93B2473"/>
    <w:multiLevelType w:val="multilevel"/>
    <w:tmpl w:val="F5B2330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num w:numId="1" w16cid:durableId="1070077710">
    <w:abstractNumId w:val="1"/>
  </w:num>
  <w:num w:numId="2" w16cid:durableId="1809202035">
    <w:abstractNumId w:val="3"/>
  </w:num>
  <w:num w:numId="3" w16cid:durableId="855839">
    <w:abstractNumId w:val="2"/>
  </w:num>
  <w:num w:numId="4" w16cid:durableId="1216233550">
    <w:abstractNumId w:val="4"/>
  </w:num>
  <w:num w:numId="5" w16cid:durableId="1877424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83B"/>
    <w:rsid w:val="002A383B"/>
    <w:rsid w:val="006023FC"/>
    <w:rsid w:val="00815A11"/>
    <w:rsid w:val="00A50D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F3412"/>
  <w15:chartTrackingRefBased/>
  <w15:docId w15:val="{E5DA8989-48A2-4A8E-809F-7B06D1B06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38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2025-01-07T13:42:28+00:00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6BF525-8D9D-4251-86A5-55978E17DB8D}"/>
</file>

<file path=customXml/itemProps2.xml><?xml version="1.0" encoding="utf-8"?>
<ds:datastoreItem xmlns:ds="http://schemas.openxmlformats.org/officeDocument/2006/customXml" ds:itemID="{9613A958-E57F-44DE-A6A1-EEC5BE02E0C9}">
  <ds:schemaRefs>
    <ds:schemaRef ds:uri="http://schemas.microsoft.com/office/2006/metadata/properties"/>
    <ds:schemaRef ds:uri="http://schemas.microsoft.com/office/infopath/2007/PartnerControls"/>
    <ds:schemaRef ds:uri="4e473a2b-7670-437e-9e38-9aa61580968a"/>
  </ds:schemaRefs>
</ds:datastoreItem>
</file>

<file path=customXml/itemProps3.xml><?xml version="1.0" encoding="utf-8"?>
<ds:datastoreItem xmlns:ds="http://schemas.openxmlformats.org/officeDocument/2006/customXml" ds:itemID="{80172B70-63A3-4039-8784-AAB160570C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952</Words>
  <Characters>5429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 Abdullah</dc:creator>
  <cp:keywords/>
  <dc:description/>
  <cp:lastModifiedBy>Basem Sbaih</cp:lastModifiedBy>
  <cp:revision>2</cp:revision>
  <dcterms:created xsi:type="dcterms:W3CDTF">2025-01-07T07:45:00Z</dcterms:created>
  <dcterms:modified xsi:type="dcterms:W3CDTF">2025-01-07T07:45:00Z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