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1C2B" w:rsidRPr="00A30A93" w:rsidRDefault="00A30A93" w:rsidP="00A30A93">
      <w:pPr>
        <w:jc w:val="center"/>
        <w:rPr>
          <w:b/>
        </w:rPr>
      </w:pPr>
      <w:bookmarkStart w:id="0" w:name="_GoBack"/>
      <w:bookmarkEnd w:id="0"/>
      <w:r w:rsidRPr="00A30A93">
        <w:rPr>
          <w:b/>
        </w:rPr>
        <w:t>REPÚBLICA DE COSTA RICA</w:t>
      </w:r>
    </w:p>
    <w:p w:rsidR="00A30A93" w:rsidRPr="00A30A93" w:rsidRDefault="00A30A93" w:rsidP="00A30A93">
      <w:pPr>
        <w:jc w:val="center"/>
        <w:rPr>
          <w:b/>
        </w:rPr>
      </w:pPr>
      <w:r w:rsidRPr="00A30A93">
        <w:rPr>
          <w:b/>
        </w:rPr>
        <w:t xml:space="preserve">DIÁLOGO CON EL COMITÉ </w:t>
      </w:r>
      <w:r>
        <w:rPr>
          <w:b/>
        </w:rPr>
        <w:t xml:space="preserve">DE EXPERTAS DE LA CONVENCIÓN </w:t>
      </w:r>
      <w:r w:rsidRPr="00A30A93">
        <w:rPr>
          <w:b/>
        </w:rPr>
        <w:t>CEDAW</w:t>
      </w:r>
    </w:p>
    <w:p w:rsidR="00A30A93" w:rsidRPr="00A30A93" w:rsidRDefault="00A30A93" w:rsidP="00A30A93">
      <w:pPr>
        <w:jc w:val="center"/>
        <w:rPr>
          <w:b/>
        </w:rPr>
      </w:pPr>
      <w:r w:rsidRPr="00A30A93">
        <w:rPr>
          <w:b/>
        </w:rPr>
        <w:t>20-21 DE FEBRERO DE 2023</w:t>
      </w:r>
    </w:p>
    <w:p w:rsidR="00A30A93" w:rsidRPr="00A30A93" w:rsidRDefault="00A30A93" w:rsidP="00A30A93">
      <w:pPr>
        <w:jc w:val="center"/>
        <w:rPr>
          <w:b/>
        </w:rPr>
      </w:pPr>
      <w:r w:rsidRPr="00A30A93">
        <w:rPr>
          <w:b/>
        </w:rPr>
        <w:t>RESPUESTAS SOLICITADAS POR ESCRITO</w:t>
      </w:r>
    </w:p>
    <w:p w:rsidR="00A30A93" w:rsidRDefault="00A30A93"/>
    <w:p w:rsidR="00A30A93" w:rsidRDefault="00A30A93"/>
    <w:p w:rsidR="00A30A93" w:rsidRPr="00A30A93" w:rsidRDefault="00A30A93">
      <w:pPr>
        <w:rPr>
          <w:b/>
          <w:i/>
        </w:rPr>
      </w:pPr>
      <w:r w:rsidRPr="00A30A93">
        <w:rPr>
          <w:b/>
          <w:i/>
        </w:rPr>
        <w:t>Sobre prácticas nocivas</w:t>
      </w:r>
    </w:p>
    <w:p w:rsidR="00A30A93" w:rsidRPr="00A30A93" w:rsidRDefault="00A30A93"/>
    <w:p w:rsidR="00A30A93" w:rsidRPr="00A30A93" w:rsidRDefault="00A30A93" w:rsidP="00A30A93">
      <w:pPr>
        <w:pStyle w:val="Default"/>
        <w:spacing w:after="13"/>
        <w:jc w:val="both"/>
        <w:rPr>
          <w:color w:val="232323"/>
          <w:sz w:val="23"/>
          <w:szCs w:val="23"/>
        </w:rPr>
      </w:pPr>
      <w:r w:rsidRPr="00A30A93">
        <w:rPr>
          <w:color w:val="232323"/>
          <w:sz w:val="23"/>
          <w:szCs w:val="23"/>
        </w:rPr>
        <w:t xml:space="preserve">En los </w:t>
      </w:r>
      <w:r w:rsidRPr="00A30A93">
        <w:rPr>
          <w:bCs/>
          <w:color w:val="232323"/>
          <w:sz w:val="23"/>
          <w:szCs w:val="23"/>
        </w:rPr>
        <w:t xml:space="preserve">Juzgados de Violencia Doméstica </w:t>
      </w:r>
      <w:r w:rsidRPr="00A30A93">
        <w:rPr>
          <w:color w:val="232323"/>
          <w:sz w:val="23"/>
          <w:szCs w:val="23"/>
        </w:rPr>
        <w:t xml:space="preserve">que aplican la Ley Contra la Violencia Doméstica para el otorgamiento de medidas de protección, existe prohibición expresa de conciliación y no constituye una práctica. En materia penal, ante los </w:t>
      </w:r>
      <w:r w:rsidRPr="00A30A93">
        <w:rPr>
          <w:bCs/>
          <w:color w:val="232323"/>
          <w:sz w:val="23"/>
          <w:szCs w:val="23"/>
        </w:rPr>
        <w:t>Juzgados y Tribunales Penales</w:t>
      </w:r>
      <w:r w:rsidRPr="00A30A93">
        <w:rPr>
          <w:color w:val="232323"/>
          <w:sz w:val="23"/>
          <w:szCs w:val="23"/>
        </w:rPr>
        <w:t xml:space="preserve">, especialmente en aplicación de la Ley de Penalización de Violencia Contra las Mujeres, </w:t>
      </w:r>
      <w:r w:rsidRPr="00A30A93">
        <w:rPr>
          <w:color w:val="232323"/>
          <w:sz w:val="23"/>
          <w:szCs w:val="23"/>
        </w:rPr>
        <w:t>la ley no tiene una prohibición expresa; sin embargo, la política pública que impulsa la institución está orientada a visibilizar que las mujeres víctimas de violencia no se encuentran en un plano de igualdad para conciliar estos procesos; de ahí que la política de persecución criminal aplicada por el Ministerio Público desde hace más de una década, ha sido emitir directrices a los y las Fiscalas para que se opongan a las conciliaciones en esta materia. También se trabaja a nivel de capacitación, por parte de la Escuela Judicial y la Secretaría Técnica de Género, para sensibilizar a Jueces y Juezas sobre esta situación, de manera que analicen a profundidad el ciclo de violencia y, de encontrar los elementos del mismo, denegar la conciliación por no encontrarse las partes en un plano de igualdad. Estimamos que estas estrategias y directrices han sido fructíferas, por cuanto de los 21 mil casos aproximadamente de delitos denunciados anualmente por Ley de Penalización de Violencia contra las Mujeres, menos de 25 finalizan por una conciliación.</w:t>
      </w:r>
    </w:p>
    <w:p w:rsidR="00A30A93" w:rsidRPr="00A30A93" w:rsidRDefault="00A30A93" w:rsidP="00A30A93">
      <w:pPr>
        <w:pStyle w:val="Default"/>
        <w:spacing w:after="13"/>
        <w:jc w:val="both"/>
        <w:rPr>
          <w:sz w:val="23"/>
          <w:szCs w:val="23"/>
        </w:rPr>
      </w:pPr>
    </w:p>
    <w:p w:rsidR="00A30A93" w:rsidRPr="00A30A93" w:rsidRDefault="00A30A93" w:rsidP="00A30A93">
      <w:pPr>
        <w:autoSpaceDE w:val="0"/>
        <w:autoSpaceDN w:val="0"/>
        <w:adjustRightInd w:val="0"/>
        <w:jc w:val="both"/>
        <w:rPr>
          <w:rFonts w:ascii="Calibri" w:hAnsi="Calibri" w:cs="Calibri"/>
          <w:color w:val="000000"/>
          <w:sz w:val="23"/>
          <w:szCs w:val="23"/>
        </w:rPr>
      </w:pPr>
      <w:r w:rsidRPr="00A30A93">
        <w:rPr>
          <w:rFonts w:ascii="Calibri" w:hAnsi="Calibri" w:cs="Calibri"/>
          <w:color w:val="232323"/>
          <w:sz w:val="23"/>
          <w:szCs w:val="23"/>
        </w:rPr>
        <w:t xml:space="preserve">En materia de </w:t>
      </w:r>
      <w:r w:rsidRPr="00A30A93">
        <w:rPr>
          <w:rFonts w:ascii="Calibri" w:hAnsi="Calibri" w:cs="Calibri"/>
          <w:bCs/>
          <w:color w:val="232323"/>
          <w:sz w:val="23"/>
          <w:szCs w:val="23"/>
        </w:rPr>
        <w:t>pensiones alimentarias</w:t>
      </w:r>
      <w:r w:rsidRPr="00A30A93">
        <w:rPr>
          <w:rFonts w:ascii="Calibri" w:hAnsi="Calibri" w:cs="Calibri"/>
          <w:color w:val="232323"/>
          <w:sz w:val="23"/>
          <w:szCs w:val="23"/>
        </w:rPr>
        <w:t xml:space="preserve">, las recomendaciones a Jueces y Juezas emanadas de la Comisión de la Jurisdicción de Familia y de la Comisión Interinstitucional de Seguimiento de la Ley Contra la Violencia Doméstica, es que no permitan que se den conciliaciones cuando de fondo y concomitante con el caso de pensiones existe una situación de violencia doméstica, por cuanto las partes no estarán en un plano de igualdad, que es requisito legal para que concilien. Así mismo, las capacitaciones también están dirigidas a este personal para incidir en la </w:t>
      </w:r>
      <w:proofErr w:type="spellStart"/>
      <w:r w:rsidRPr="00A30A93">
        <w:rPr>
          <w:rFonts w:ascii="Calibri" w:hAnsi="Calibri" w:cs="Calibri"/>
          <w:color w:val="232323"/>
          <w:sz w:val="23"/>
          <w:szCs w:val="23"/>
        </w:rPr>
        <w:t>visibilización</w:t>
      </w:r>
      <w:proofErr w:type="spellEnd"/>
      <w:r w:rsidRPr="00A30A93">
        <w:rPr>
          <w:rFonts w:ascii="Calibri" w:hAnsi="Calibri" w:cs="Calibri"/>
          <w:color w:val="232323"/>
          <w:sz w:val="23"/>
          <w:szCs w:val="23"/>
        </w:rPr>
        <w:t xml:space="preserve"> de la no procedencia de conciliaciones en estos casos, por las razones señaladas. </w:t>
      </w:r>
    </w:p>
    <w:p w:rsidR="00A30A93" w:rsidRDefault="00A30A93" w:rsidP="00A30A93">
      <w:pPr>
        <w:jc w:val="both"/>
      </w:pPr>
    </w:p>
    <w:p w:rsidR="007E5054" w:rsidRPr="007E5054" w:rsidRDefault="007E5054" w:rsidP="00D6584D">
      <w:pPr>
        <w:autoSpaceDE w:val="0"/>
        <w:autoSpaceDN w:val="0"/>
        <w:adjustRightInd w:val="0"/>
        <w:jc w:val="both"/>
        <w:rPr>
          <w:rFonts w:ascii="Calibri" w:hAnsi="Calibri" w:cs="Calibri"/>
          <w:color w:val="000000"/>
          <w:sz w:val="23"/>
          <w:szCs w:val="23"/>
        </w:rPr>
      </w:pPr>
      <w:r>
        <w:rPr>
          <w:rFonts w:ascii="Calibri" w:hAnsi="Calibri" w:cs="Calibri"/>
          <w:color w:val="232323"/>
          <w:sz w:val="23"/>
          <w:szCs w:val="23"/>
        </w:rPr>
        <w:t>En relación con esta última materia</w:t>
      </w:r>
      <w:r w:rsidR="00F04CA0">
        <w:rPr>
          <w:rFonts w:ascii="Calibri" w:hAnsi="Calibri" w:cs="Calibri"/>
          <w:color w:val="232323"/>
          <w:sz w:val="23"/>
          <w:szCs w:val="23"/>
        </w:rPr>
        <w:t xml:space="preserve"> y la consideración del Comité sobre la impunidad de las personas obligadas alimentarias, es importante señalar que las modificaciones al </w:t>
      </w:r>
      <w:r w:rsidRPr="007E5054">
        <w:rPr>
          <w:rFonts w:ascii="Calibri" w:hAnsi="Calibri" w:cs="Calibri"/>
          <w:color w:val="232323"/>
          <w:sz w:val="23"/>
          <w:szCs w:val="23"/>
        </w:rPr>
        <w:t>Código Procesal de Familia</w:t>
      </w:r>
      <w:r w:rsidR="00F04CA0">
        <w:rPr>
          <w:rFonts w:ascii="Calibri" w:hAnsi="Calibri" w:cs="Calibri"/>
          <w:color w:val="232323"/>
          <w:sz w:val="23"/>
          <w:szCs w:val="23"/>
        </w:rPr>
        <w:t xml:space="preserve"> (</w:t>
      </w:r>
      <w:r w:rsidRPr="007E5054">
        <w:rPr>
          <w:rFonts w:ascii="Calibri" w:hAnsi="Calibri" w:cs="Calibri"/>
          <w:color w:val="232323"/>
          <w:sz w:val="23"/>
          <w:szCs w:val="23"/>
        </w:rPr>
        <w:t>Ley No. 9747</w:t>
      </w:r>
      <w:r w:rsidR="00F04CA0">
        <w:rPr>
          <w:rFonts w:ascii="Calibri" w:hAnsi="Calibri" w:cs="Calibri"/>
          <w:color w:val="232323"/>
          <w:sz w:val="23"/>
          <w:szCs w:val="23"/>
        </w:rPr>
        <w:t>)</w:t>
      </w:r>
      <w:r w:rsidRPr="007E5054">
        <w:rPr>
          <w:rFonts w:ascii="Calibri" w:hAnsi="Calibri" w:cs="Calibri"/>
          <w:color w:val="232323"/>
          <w:sz w:val="23"/>
          <w:szCs w:val="23"/>
        </w:rPr>
        <w:t xml:space="preserve"> aún no ha</w:t>
      </w:r>
      <w:r w:rsidR="00F04CA0">
        <w:rPr>
          <w:rFonts w:ascii="Calibri" w:hAnsi="Calibri" w:cs="Calibri"/>
          <w:color w:val="232323"/>
          <w:sz w:val="23"/>
          <w:szCs w:val="23"/>
        </w:rPr>
        <w:t>n</w:t>
      </w:r>
      <w:r w:rsidRPr="007E5054">
        <w:rPr>
          <w:rFonts w:ascii="Calibri" w:hAnsi="Calibri" w:cs="Calibri"/>
          <w:color w:val="232323"/>
          <w:sz w:val="23"/>
          <w:szCs w:val="23"/>
        </w:rPr>
        <w:t xml:space="preserve"> entrado en vigencia, ya que recientemente fue aprobada una vacancia de ley, de manera que regirá a partir del mes de octubre del año 2024</w:t>
      </w:r>
      <w:r w:rsidR="00F04CA0">
        <w:rPr>
          <w:rFonts w:ascii="Calibri" w:hAnsi="Calibri" w:cs="Calibri"/>
          <w:color w:val="232323"/>
          <w:sz w:val="23"/>
          <w:szCs w:val="23"/>
        </w:rPr>
        <w:t xml:space="preserve">. Por </w:t>
      </w:r>
      <w:r w:rsidR="00F04CA0" w:rsidRPr="00D6584D">
        <w:rPr>
          <w:rFonts w:ascii="Calibri" w:hAnsi="Calibri" w:cs="Calibri"/>
          <w:color w:val="232323"/>
          <w:sz w:val="23"/>
          <w:szCs w:val="23"/>
        </w:rPr>
        <w:t xml:space="preserve">ello se desconoce </w:t>
      </w:r>
      <w:r w:rsidRPr="007E5054">
        <w:rPr>
          <w:rFonts w:ascii="Calibri" w:hAnsi="Calibri" w:cs="Calibri"/>
          <w:color w:val="232323"/>
          <w:sz w:val="23"/>
          <w:szCs w:val="23"/>
        </w:rPr>
        <w:t>cómo será</w:t>
      </w:r>
      <w:r w:rsidR="00F04CA0" w:rsidRPr="00D6584D">
        <w:rPr>
          <w:rFonts w:ascii="Calibri" w:hAnsi="Calibri" w:cs="Calibri"/>
          <w:color w:val="232323"/>
          <w:sz w:val="23"/>
          <w:szCs w:val="23"/>
        </w:rPr>
        <w:t>n</w:t>
      </w:r>
      <w:r w:rsidRPr="007E5054">
        <w:rPr>
          <w:rFonts w:ascii="Calibri" w:hAnsi="Calibri" w:cs="Calibri"/>
          <w:color w:val="232323"/>
          <w:sz w:val="23"/>
          <w:szCs w:val="23"/>
        </w:rPr>
        <w:t xml:space="preserve"> interpretado</w:t>
      </w:r>
      <w:r w:rsidR="00F04CA0" w:rsidRPr="00D6584D">
        <w:rPr>
          <w:rFonts w:ascii="Calibri" w:hAnsi="Calibri" w:cs="Calibri"/>
          <w:color w:val="232323"/>
          <w:sz w:val="23"/>
          <w:szCs w:val="23"/>
        </w:rPr>
        <w:t>s</w:t>
      </w:r>
      <w:r w:rsidRPr="007E5054">
        <w:rPr>
          <w:rFonts w:ascii="Calibri" w:hAnsi="Calibri" w:cs="Calibri"/>
          <w:color w:val="232323"/>
          <w:sz w:val="23"/>
          <w:szCs w:val="23"/>
        </w:rPr>
        <w:t xml:space="preserve"> jurisprudencialmente los artículos </w:t>
      </w:r>
      <w:r w:rsidR="00D6584D" w:rsidRPr="00D6584D">
        <w:rPr>
          <w:rFonts w:ascii="Calibri" w:hAnsi="Calibri" w:cs="Calibri"/>
          <w:color w:val="232323"/>
          <w:sz w:val="23"/>
          <w:szCs w:val="23"/>
        </w:rPr>
        <w:t>283, 284 y 287</w:t>
      </w:r>
      <w:r w:rsidR="00D6584D">
        <w:rPr>
          <w:rFonts w:ascii="Calibri" w:hAnsi="Calibri" w:cs="Calibri"/>
          <w:color w:val="232323"/>
          <w:sz w:val="23"/>
          <w:szCs w:val="23"/>
        </w:rPr>
        <w:t>;</w:t>
      </w:r>
      <w:r w:rsidRPr="007E5054">
        <w:rPr>
          <w:rFonts w:ascii="Calibri" w:hAnsi="Calibri" w:cs="Calibri"/>
          <w:color w:val="232323"/>
          <w:sz w:val="23"/>
          <w:szCs w:val="23"/>
        </w:rPr>
        <w:t xml:space="preserve"> no obstante</w:t>
      </w:r>
      <w:r w:rsidR="00D6584D">
        <w:rPr>
          <w:rFonts w:ascii="Calibri" w:hAnsi="Calibri" w:cs="Calibri"/>
          <w:color w:val="232323"/>
          <w:sz w:val="23"/>
          <w:szCs w:val="23"/>
        </w:rPr>
        <w:t>,</w:t>
      </w:r>
      <w:r w:rsidRPr="007E5054">
        <w:rPr>
          <w:rFonts w:ascii="Calibri" w:hAnsi="Calibri" w:cs="Calibri"/>
          <w:color w:val="232323"/>
          <w:sz w:val="23"/>
          <w:szCs w:val="23"/>
        </w:rPr>
        <w:t xml:space="preserve"> por ser una ley ordinaria cualquier modificación a la misma sería del reso</w:t>
      </w:r>
      <w:r w:rsidR="00D6584D">
        <w:rPr>
          <w:rFonts w:ascii="Calibri" w:hAnsi="Calibri" w:cs="Calibri"/>
          <w:color w:val="232323"/>
          <w:sz w:val="23"/>
          <w:szCs w:val="23"/>
        </w:rPr>
        <w:t>rte de la Asamblea Legislativa</w:t>
      </w:r>
      <w:r w:rsidR="00C628D7">
        <w:rPr>
          <w:rFonts w:ascii="Calibri" w:hAnsi="Calibri" w:cs="Calibri"/>
          <w:color w:val="232323"/>
          <w:sz w:val="23"/>
          <w:szCs w:val="23"/>
        </w:rPr>
        <w:t xml:space="preserve">. El país estará atento al funcionamiento de la ley </w:t>
      </w:r>
      <w:r w:rsidR="008E72E0">
        <w:rPr>
          <w:rFonts w:ascii="Calibri" w:hAnsi="Calibri" w:cs="Calibri"/>
          <w:color w:val="232323"/>
          <w:sz w:val="23"/>
          <w:szCs w:val="23"/>
        </w:rPr>
        <w:t>una vez que entre en vigencia para su seguimiento.</w:t>
      </w:r>
    </w:p>
    <w:p w:rsidR="00F04CA0" w:rsidRDefault="00F04CA0" w:rsidP="007E5054">
      <w:pPr>
        <w:autoSpaceDE w:val="0"/>
        <w:autoSpaceDN w:val="0"/>
        <w:adjustRightInd w:val="0"/>
        <w:rPr>
          <w:rFonts w:ascii="Calibri" w:hAnsi="Calibri" w:cs="Calibri"/>
          <w:color w:val="232323"/>
          <w:sz w:val="23"/>
          <w:szCs w:val="23"/>
        </w:rPr>
      </w:pPr>
    </w:p>
    <w:p w:rsidR="007E5054" w:rsidRPr="007E5054" w:rsidRDefault="00F04CA0" w:rsidP="00560C3F">
      <w:pPr>
        <w:autoSpaceDE w:val="0"/>
        <w:autoSpaceDN w:val="0"/>
        <w:adjustRightInd w:val="0"/>
        <w:jc w:val="both"/>
        <w:rPr>
          <w:rFonts w:ascii="Calibri" w:hAnsi="Calibri" w:cs="Calibri"/>
          <w:color w:val="000000"/>
          <w:sz w:val="23"/>
          <w:szCs w:val="23"/>
        </w:rPr>
      </w:pPr>
      <w:r>
        <w:rPr>
          <w:rFonts w:ascii="Calibri" w:hAnsi="Calibri" w:cs="Calibri"/>
          <w:color w:val="232323"/>
          <w:sz w:val="23"/>
          <w:szCs w:val="23"/>
        </w:rPr>
        <w:t>E</w:t>
      </w:r>
      <w:r w:rsidR="007E5054" w:rsidRPr="007E5054">
        <w:rPr>
          <w:rFonts w:ascii="Calibri" w:hAnsi="Calibri" w:cs="Calibri"/>
          <w:color w:val="232323"/>
          <w:sz w:val="23"/>
          <w:szCs w:val="23"/>
        </w:rPr>
        <w:t xml:space="preserve">n cuanto a </w:t>
      </w:r>
      <w:r>
        <w:rPr>
          <w:rFonts w:ascii="Calibri" w:hAnsi="Calibri" w:cs="Calibri"/>
          <w:color w:val="232323"/>
          <w:sz w:val="23"/>
          <w:szCs w:val="23"/>
        </w:rPr>
        <w:t xml:space="preserve">la afirmación de </w:t>
      </w:r>
      <w:r w:rsidR="007E5054" w:rsidRPr="007E5054">
        <w:rPr>
          <w:rFonts w:ascii="Calibri" w:hAnsi="Calibri" w:cs="Calibri"/>
          <w:color w:val="232323"/>
          <w:sz w:val="23"/>
          <w:szCs w:val="23"/>
        </w:rPr>
        <w:t>que las deudas resultan incobrables, efectivamente ello sucede en algunos casos</w:t>
      </w:r>
      <w:r w:rsidR="00DF5E0D">
        <w:rPr>
          <w:rFonts w:ascii="Calibri" w:hAnsi="Calibri" w:cs="Calibri"/>
          <w:color w:val="232323"/>
          <w:sz w:val="23"/>
          <w:szCs w:val="23"/>
        </w:rPr>
        <w:t>;</w:t>
      </w:r>
      <w:r w:rsidR="007E5054" w:rsidRPr="007E5054">
        <w:rPr>
          <w:rFonts w:ascii="Calibri" w:hAnsi="Calibri" w:cs="Calibri"/>
          <w:color w:val="232323"/>
          <w:sz w:val="23"/>
          <w:szCs w:val="23"/>
        </w:rPr>
        <w:t xml:space="preserve"> no obstante</w:t>
      </w:r>
      <w:r w:rsidR="00DF5E0D">
        <w:rPr>
          <w:rFonts w:ascii="Calibri" w:hAnsi="Calibri" w:cs="Calibri"/>
          <w:color w:val="232323"/>
          <w:sz w:val="23"/>
          <w:szCs w:val="23"/>
        </w:rPr>
        <w:t>,</w:t>
      </w:r>
      <w:r w:rsidR="007E5054" w:rsidRPr="007E5054">
        <w:rPr>
          <w:rFonts w:ascii="Calibri" w:hAnsi="Calibri" w:cs="Calibri"/>
          <w:color w:val="232323"/>
          <w:sz w:val="23"/>
          <w:szCs w:val="23"/>
        </w:rPr>
        <w:t xml:space="preserve"> la mayoría son efectivas en razón de que Costa Rica es uno de los pocos países a nivel mundial que establece la posibilidad del apremio corporal y prisión por incumplimiento de pensión alimentaria, incluso sin necesidad de un proceso penal, sino </w:t>
      </w:r>
      <w:r w:rsidR="007E5054" w:rsidRPr="007E5054">
        <w:rPr>
          <w:rFonts w:ascii="Calibri" w:hAnsi="Calibri" w:cs="Calibri"/>
          <w:color w:val="232323"/>
          <w:sz w:val="23"/>
          <w:szCs w:val="23"/>
        </w:rPr>
        <w:lastRenderedPageBreak/>
        <w:t xml:space="preserve">exclusivamente </w:t>
      </w:r>
      <w:r w:rsidR="00E55DD1">
        <w:rPr>
          <w:rFonts w:ascii="Calibri" w:hAnsi="Calibri" w:cs="Calibri"/>
          <w:color w:val="232323"/>
          <w:sz w:val="23"/>
          <w:szCs w:val="23"/>
        </w:rPr>
        <w:t xml:space="preserve">en el ámbito </w:t>
      </w:r>
      <w:r w:rsidR="007E5054" w:rsidRPr="007E5054">
        <w:rPr>
          <w:rFonts w:ascii="Calibri" w:hAnsi="Calibri" w:cs="Calibri"/>
          <w:color w:val="232323"/>
          <w:sz w:val="23"/>
          <w:szCs w:val="23"/>
        </w:rPr>
        <w:t>civil</w:t>
      </w:r>
      <w:r w:rsidR="00E55DD1">
        <w:rPr>
          <w:rFonts w:ascii="Calibri" w:hAnsi="Calibri" w:cs="Calibri"/>
          <w:color w:val="232323"/>
          <w:sz w:val="23"/>
          <w:szCs w:val="23"/>
        </w:rPr>
        <w:t xml:space="preserve"> y</w:t>
      </w:r>
      <w:r w:rsidR="007E5054" w:rsidRPr="007E5054">
        <w:rPr>
          <w:rFonts w:ascii="Calibri" w:hAnsi="Calibri" w:cs="Calibri"/>
          <w:color w:val="232323"/>
          <w:sz w:val="23"/>
          <w:szCs w:val="23"/>
        </w:rPr>
        <w:t xml:space="preserve"> en aplicación de la Ley de Pensiones Alimentarias</w:t>
      </w:r>
      <w:r w:rsidR="00E55DD1">
        <w:rPr>
          <w:rFonts w:ascii="Calibri" w:hAnsi="Calibri" w:cs="Calibri"/>
          <w:color w:val="232323"/>
          <w:sz w:val="23"/>
          <w:szCs w:val="23"/>
        </w:rPr>
        <w:t xml:space="preserve">. Esto constituye una </w:t>
      </w:r>
      <w:r w:rsidR="007E5054" w:rsidRPr="007E5054">
        <w:rPr>
          <w:rFonts w:ascii="Calibri" w:hAnsi="Calibri" w:cs="Calibri"/>
          <w:color w:val="232323"/>
          <w:sz w:val="23"/>
          <w:szCs w:val="23"/>
        </w:rPr>
        <w:t xml:space="preserve">excepción a la regla de la inexistencia de cárcel por deudas, debido a que la política pública costarricense privilegia el derecho de las personas menores de edad y de las mujeres a contar con los recursos necesarios para su subsistencia y desarrollo. </w:t>
      </w:r>
    </w:p>
    <w:p w:rsidR="0095138F" w:rsidRDefault="0095138F" w:rsidP="007E5054">
      <w:pPr>
        <w:jc w:val="both"/>
        <w:rPr>
          <w:rFonts w:ascii="Calibri" w:hAnsi="Calibri" w:cs="Calibri"/>
          <w:color w:val="232323"/>
          <w:sz w:val="23"/>
          <w:szCs w:val="23"/>
        </w:rPr>
      </w:pPr>
    </w:p>
    <w:p w:rsidR="00A30A93" w:rsidRDefault="00E55DD1" w:rsidP="007E5054">
      <w:pPr>
        <w:jc w:val="both"/>
        <w:rPr>
          <w:rFonts w:ascii="Calibri" w:hAnsi="Calibri" w:cs="Calibri"/>
          <w:color w:val="232323"/>
          <w:sz w:val="23"/>
          <w:szCs w:val="23"/>
        </w:rPr>
      </w:pPr>
      <w:r>
        <w:rPr>
          <w:rFonts w:ascii="Calibri" w:hAnsi="Calibri" w:cs="Calibri"/>
          <w:color w:val="232323"/>
          <w:sz w:val="23"/>
          <w:szCs w:val="23"/>
        </w:rPr>
        <w:t xml:space="preserve">Es por ello que </w:t>
      </w:r>
      <w:r w:rsidR="007E5054" w:rsidRPr="007E5054">
        <w:rPr>
          <w:rFonts w:ascii="Calibri" w:hAnsi="Calibri" w:cs="Calibri"/>
          <w:color w:val="232323"/>
          <w:sz w:val="23"/>
          <w:szCs w:val="23"/>
        </w:rPr>
        <w:t xml:space="preserve">la gran mayoría de deudores busca cumplir con la obligación alimentaria antes de </w:t>
      </w:r>
      <w:r>
        <w:rPr>
          <w:rFonts w:ascii="Calibri" w:hAnsi="Calibri" w:cs="Calibri"/>
          <w:color w:val="232323"/>
          <w:sz w:val="23"/>
          <w:szCs w:val="23"/>
        </w:rPr>
        <w:t xml:space="preserve">exponerse a </w:t>
      </w:r>
      <w:r w:rsidR="007E5054" w:rsidRPr="007E5054">
        <w:rPr>
          <w:rFonts w:ascii="Calibri" w:hAnsi="Calibri" w:cs="Calibri"/>
          <w:color w:val="232323"/>
          <w:sz w:val="23"/>
          <w:szCs w:val="23"/>
        </w:rPr>
        <w:t xml:space="preserve">ir a la cárcel. No obstante, </w:t>
      </w:r>
      <w:r>
        <w:rPr>
          <w:rFonts w:ascii="Calibri" w:hAnsi="Calibri" w:cs="Calibri"/>
          <w:color w:val="232323"/>
          <w:sz w:val="23"/>
          <w:szCs w:val="23"/>
        </w:rPr>
        <w:t xml:space="preserve">es verdad que </w:t>
      </w:r>
      <w:r w:rsidR="007E5054" w:rsidRPr="007E5054">
        <w:rPr>
          <w:rFonts w:ascii="Calibri" w:hAnsi="Calibri" w:cs="Calibri"/>
          <w:color w:val="232323"/>
          <w:sz w:val="23"/>
          <w:szCs w:val="23"/>
        </w:rPr>
        <w:t>en caso de que el obligado alimentario no cuente con salario embargable o bienes muebles e inmuebles</w:t>
      </w:r>
      <w:r>
        <w:rPr>
          <w:rFonts w:ascii="Calibri" w:hAnsi="Calibri" w:cs="Calibri"/>
          <w:color w:val="232323"/>
          <w:sz w:val="23"/>
          <w:szCs w:val="23"/>
        </w:rPr>
        <w:t xml:space="preserve"> le correspondería la pena de prisión, </w:t>
      </w:r>
      <w:r w:rsidR="007E5054" w:rsidRPr="007E5054">
        <w:rPr>
          <w:rFonts w:ascii="Calibri" w:hAnsi="Calibri" w:cs="Calibri"/>
          <w:color w:val="232323"/>
          <w:sz w:val="23"/>
          <w:szCs w:val="23"/>
        </w:rPr>
        <w:t xml:space="preserve">pero </w:t>
      </w:r>
      <w:r w:rsidRPr="007E5054">
        <w:rPr>
          <w:rFonts w:ascii="Calibri" w:hAnsi="Calibri" w:cs="Calibri"/>
          <w:color w:val="232323"/>
          <w:sz w:val="23"/>
          <w:szCs w:val="23"/>
        </w:rPr>
        <w:t>aun</w:t>
      </w:r>
      <w:r w:rsidR="007E5054" w:rsidRPr="007E5054">
        <w:rPr>
          <w:rFonts w:ascii="Calibri" w:hAnsi="Calibri" w:cs="Calibri"/>
          <w:color w:val="232323"/>
          <w:sz w:val="23"/>
          <w:szCs w:val="23"/>
        </w:rPr>
        <w:t xml:space="preserve"> así la deuda alimentaria sería incobrable</w:t>
      </w:r>
      <w:r>
        <w:rPr>
          <w:rFonts w:ascii="Calibri" w:hAnsi="Calibri" w:cs="Calibri"/>
          <w:color w:val="232323"/>
          <w:sz w:val="23"/>
          <w:szCs w:val="23"/>
        </w:rPr>
        <w:t xml:space="preserve"> </w:t>
      </w:r>
      <w:r w:rsidR="007E5054" w:rsidRPr="007E5054">
        <w:rPr>
          <w:rFonts w:ascii="Calibri" w:hAnsi="Calibri" w:cs="Calibri"/>
          <w:color w:val="232323"/>
          <w:sz w:val="23"/>
          <w:szCs w:val="23"/>
        </w:rPr>
        <w:t>en razón de que la regulación legal debe contar con recursos mínimos para pagar</w:t>
      </w:r>
      <w:r>
        <w:rPr>
          <w:rFonts w:ascii="Calibri" w:hAnsi="Calibri" w:cs="Calibri"/>
          <w:color w:val="232323"/>
          <w:sz w:val="23"/>
          <w:szCs w:val="23"/>
        </w:rPr>
        <w:t xml:space="preserve"> sus obligaciones alimentarias</w:t>
      </w:r>
      <w:r w:rsidR="007E5054" w:rsidRPr="007E5054">
        <w:rPr>
          <w:rFonts w:ascii="Calibri" w:hAnsi="Calibri" w:cs="Calibri"/>
          <w:color w:val="232323"/>
          <w:sz w:val="23"/>
          <w:szCs w:val="23"/>
        </w:rPr>
        <w:t>.</w:t>
      </w:r>
    </w:p>
    <w:p w:rsidR="00E55DD1" w:rsidRDefault="00E55DD1" w:rsidP="007E5054">
      <w:pPr>
        <w:jc w:val="both"/>
        <w:rPr>
          <w:rFonts w:ascii="Calibri" w:hAnsi="Calibri" w:cs="Calibri"/>
          <w:color w:val="232323"/>
          <w:sz w:val="23"/>
          <w:szCs w:val="23"/>
        </w:rPr>
      </w:pPr>
    </w:p>
    <w:p w:rsidR="00E55DD1" w:rsidRDefault="00E55DD1" w:rsidP="007E5054">
      <w:pPr>
        <w:jc w:val="both"/>
      </w:pPr>
    </w:p>
    <w:p w:rsidR="00795FEA" w:rsidRPr="00795FEA" w:rsidRDefault="00795FEA" w:rsidP="007E5054">
      <w:pPr>
        <w:jc w:val="both"/>
        <w:rPr>
          <w:b/>
          <w:i/>
        </w:rPr>
      </w:pPr>
      <w:r w:rsidRPr="00795FEA">
        <w:rPr>
          <w:b/>
          <w:i/>
        </w:rPr>
        <w:t>Sobre nacionalidad</w:t>
      </w:r>
    </w:p>
    <w:p w:rsidR="00795FEA" w:rsidRDefault="00795FEA" w:rsidP="007E5054">
      <w:pPr>
        <w:jc w:val="both"/>
      </w:pPr>
    </w:p>
    <w:p w:rsidR="008325AE" w:rsidRDefault="002235BF" w:rsidP="007720B6">
      <w:pPr>
        <w:jc w:val="both"/>
      </w:pPr>
      <w:r>
        <w:t xml:space="preserve">El Tratado </w:t>
      </w:r>
      <w:r w:rsidR="007720B6">
        <w:t>entre Costa Rica y Panamá con relación a la atención de personas indígenas transfronteriz</w:t>
      </w:r>
      <w:r>
        <w:t>as se dejó</w:t>
      </w:r>
      <w:r w:rsidR="007720B6">
        <w:t xml:space="preserve"> sin efecto al entrar en vigencia la Ley </w:t>
      </w:r>
      <w:r>
        <w:t xml:space="preserve">de </w:t>
      </w:r>
      <w:r w:rsidR="007720B6">
        <w:t>P</w:t>
      </w:r>
      <w:r>
        <w:t>rotección del Derecho a la nacionalidad costarricense de la persona indígena transfronteriza y garantía de integración de la persona indígena transfronteriza</w:t>
      </w:r>
      <w:r w:rsidR="008325AE">
        <w:rPr>
          <w:rStyle w:val="Refdenotaalpie"/>
        </w:rPr>
        <w:footnoteReference w:id="1"/>
      </w:r>
      <w:r>
        <w:t xml:space="preserve"> (</w:t>
      </w:r>
      <w:r w:rsidR="007720B6">
        <w:t xml:space="preserve">Ley N° 9710, aprobada el </w:t>
      </w:r>
      <w:r>
        <w:t xml:space="preserve">2 de julio de 2019 y publicada en La Gaceta el </w:t>
      </w:r>
      <w:r w:rsidR="007720B6">
        <w:t>10 de octubre de 2019</w:t>
      </w:r>
      <w:r>
        <w:t xml:space="preserve">), la cual tiene por objeto </w:t>
      </w:r>
      <w:r w:rsidRPr="002235BF">
        <w:t>crear y regular procedimientos especiales para dotar, a la persona indígena transfronteriza, de un acceso pleno a su derecho a la nacionalidad costarricense.</w:t>
      </w:r>
      <w:r>
        <w:t xml:space="preserve"> Estas personas podrán </w:t>
      </w:r>
      <w:r w:rsidRPr="002235BF">
        <w:t xml:space="preserve">solicitar su inscripción como costarricenses por nacimiento, siempre que cumplan con alguno de los requisitos señalados en el artículo 13 de la Constitución Política. Asimismo, los trámites de naturalización deberán incorporar el reconocimiento oficial de las lenguas indígenas e integrarse con el necesario respeto a la cultura de </w:t>
      </w:r>
      <w:r>
        <w:t>sus</w:t>
      </w:r>
      <w:r w:rsidRPr="002235BF">
        <w:t xml:space="preserve"> pueblos</w:t>
      </w:r>
      <w:r>
        <w:t xml:space="preserve">. </w:t>
      </w:r>
      <w:r w:rsidRPr="002235BF">
        <w:t>Todos los trámites de inscripción y expedición de cédula de identidad son gratuitos y deberán ajustarse a lo dispuesto en la Ley N.° 7316, Convenio N.° 169 sobre Pueblos Indígenas y Tribales en Países Independientes, de 3 de noviembre de 1992 y la Declaración de las Naciones Unidas sobre Derechos de los Pueblos Indígenas, de 13 de setiembre de 2007.</w:t>
      </w:r>
      <w:r w:rsidR="008325AE">
        <w:t xml:space="preserve"> Además, el Registro Civil está obligado a realizar giras al menos una vez al año </w:t>
      </w:r>
      <w:r w:rsidR="008325AE" w:rsidRPr="008325AE">
        <w:t xml:space="preserve">a las zonas del país donde habitan las personas indígenas, con el objetivo de inscribir nacimientos y tramitar las solicitudes de nacionalización y expedición de la cédula de identidad. </w:t>
      </w:r>
      <w:r w:rsidR="008325AE">
        <w:t>Esas giras deberán ser comunicadas al menos con un mes de anticipación en español y lengua nativa, y publicitar la hora, fecha y lugar mediante los medios idóneos que establezca esta instancia.</w:t>
      </w:r>
      <w:r w:rsidR="008325AE" w:rsidRPr="008325AE">
        <w:t xml:space="preserve"> En cada gira deberá contarse con al menos un</w:t>
      </w:r>
      <w:r w:rsidR="008325AE">
        <w:t xml:space="preserve"> traductor en la lengua nativa.</w:t>
      </w:r>
    </w:p>
    <w:p w:rsidR="002235BF" w:rsidRDefault="002235BF" w:rsidP="007720B6">
      <w:pPr>
        <w:jc w:val="both"/>
      </w:pPr>
    </w:p>
    <w:p w:rsidR="007720B6" w:rsidRDefault="002235BF" w:rsidP="007720B6">
      <w:pPr>
        <w:jc w:val="both"/>
      </w:pPr>
      <w:r>
        <w:t xml:space="preserve">El reglamento a esta ley fue </w:t>
      </w:r>
      <w:r w:rsidR="008325AE">
        <w:t xml:space="preserve">aprobado </w:t>
      </w:r>
      <w:r w:rsidR="007720B6">
        <w:t>mediante R</w:t>
      </w:r>
      <w:r>
        <w:t xml:space="preserve">esolución </w:t>
      </w:r>
      <w:r w:rsidR="007720B6">
        <w:t>N° DJUR-38-03-2021-ABM que vino a modificar el Reglamento de Extranjería para que se incluyeran los alcances de la Ley 9710, según el siguiente Decreto: “Procedimiento Especial Para Regular la Condición Migratoria de las Personas Indígenas Transfronterizas Establecidas En La Provincia de Limón al Amparo de la Ley N° 9710 y el Decreto Ejecutivo N° 42814</w:t>
      </w:r>
      <w:r>
        <w:t>”</w:t>
      </w:r>
      <w:r w:rsidR="008325AE">
        <w:rPr>
          <w:rStyle w:val="Refdenotaalpie"/>
        </w:rPr>
        <w:footnoteReference w:id="2"/>
      </w:r>
      <w:r w:rsidR="008325AE">
        <w:t>.</w:t>
      </w:r>
    </w:p>
    <w:p w:rsidR="008325AE" w:rsidRDefault="008325AE" w:rsidP="007E5054">
      <w:pPr>
        <w:jc w:val="both"/>
      </w:pPr>
    </w:p>
    <w:p w:rsidR="008325AE" w:rsidRDefault="008325AE" w:rsidP="008325AE">
      <w:pPr>
        <w:jc w:val="both"/>
      </w:pPr>
      <w:r>
        <w:t>Con respecto a</w:t>
      </w:r>
      <w:r w:rsidR="004B3B62">
        <w:t xml:space="preserve"> la facilitación d</w:t>
      </w:r>
      <w:r w:rsidR="004B3B62" w:rsidRPr="004B3B62">
        <w:t>el acceso a la documentación para mujeres migrantes para poder permanecer en el territorio</w:t>
      </w:r>
      <w:r w:rsidR="004B3B62">
        <w:t xml:space="preserve"> d</w:t>
      </w:r>
      <w:r>
        <w:t>entro de las med</w:t>
      </w:r>
      <w:r w:rsidR="004B3B62">
        <w:t>idas</w:t>
      </w:r>
      <w:r>
        <w:t xml:space="preserve"> </w:t>
      </w:r>
      <w:r w:rsidR="004B3B62">
        <w:t xml:space="preserve">en desarrollo se encuentra la </w:t>
      </w:r>
      <w:r>
        <w:t xml:space="preserve">concreción de un </w:t>
      </w:r>
      <w:r>
        <w:lastRenderedPageBreak/>
        <w:t xml:space="preserve">Plan Piloto (con un nivel de avance de 90%) </w:t>
      </w:r>
      <w:r w:rsidR="004B3B62">
        <w:t xml:space="preserve">para un </w:t>
      </w:r>
      <w:r>
        <w:t>“Fondo de Regularización Migratoria”</w:t>
      </w:r>
      <w:r w:rsidR="004B3B62">
        <w:t xml:space="preserve">, el cual funciona con recursos de la cooperación internacional. El mismo conlleva </w:t>
      </w:r>
      <w:r>
        <w:t>una estrategia de administra</w:t>
      </w:r>
      <w:r w:rsidR="004B3B62">
        <w:t xml:space="preserve">ción de recursos para el </w:t>
      </w:r>
      <w:r>
        <w:t>pago de los costos de la regularización migratoria de las personas que califiquen por su nivel de vulnerabilidad.</w:t>
      </w:r>
      <w:r w:rsidR="004B3B62">
        <w:t xml:space="preserve"> Ya existen acercamientos con futuros donantes para </w:t>
      </w:r>
      <w:r>
        <w:t xml:space="preserve">sostenibilidad y mayor cobertura </w:t>
      </w:r>
      <w:r w:rsidR="004B3B62">
        <w:t xml:space="preserve">a </w:t>
      </w:r>
      <w:r>
        <w:t xml:space="preserve">esta protección especial a personas en </w:t>
      </w:r>
      <w:r w:rsidR="004B3B62">
        <w:t xml:space="preserve">condición de </w:t>
      </w:r>
      <w:r>
        <w:t xml:space="preserve">vulnerabilidad, </w:t>
      </w:r>
      <w:r w:rsidR="004B3B62">
        <w:t xml:space="preserve">siendo </w:t>
      </w:r>
      <w:r>
        <w:t xml:space="preserve">las mujeres migrantes </w:t>
      </w:r>
      <w:r w:rsidR="004B3B62">
        <w:t>una población beneficiaria debido a las múltiples vulnerabilidades a las que se enfrentan.</w:t>
      </w:r>
    </w:p>
    <w:p w:rsidR="004B3B62" w:rsidRDefault="004B3B62" w:rsidP="008325AE">
      <w:pPr>
        <w:jc w:val="both"/>
      </w:pPr>
    </w:p>
    <w:p w:rsidR="00734FCC" w:rsidRDefault="00734FCC" w:rsidP="008325AE">
      <w:pPr>
        <w:jc w:val="both"/>
      </w:pPr>
    </w:p>
    <w:p w:rsidR="004B3B62" w:rsidRPr="00911E05" w:rsidRDefault="00911E05" w:rsidP="008325AE">
      <w:pPr>
        <w:jc w:val="both"/>
        <w:rPr>
          <w:b/>
          <w:i/>
        </w:rPr>
      </w:pPr>
      <w:r w:rsidRPr="00911E05">
        <w:rPr>
          <w:b/>
          <w:i/>
        </w:rPr>
        <w:t>Sobre cambio climático y reducción de desastres</w:t>
      </w:r>
    </w:p>
    <w:p w:rsidR="00911E05" w:rsidRDefault="00911E05" w:rsidP="00911E05">
      <w:pPr>
        <w:jc w:val="both"/>
      </w:pPr>
    </w:p>
    <w:p w:rsidR="00DD41DE" w:rsidRDefault="00DD41DE" w:rsidP="00DD41DE">
      <w:pPr>
        <w:jc w:val="both"/>
      </w:pPr>
      <w:r>
        <w:t xml:space="preserve">Costa Rica ha cumplido con los acuerdos internacionales, en especial aquellos emanados de la Convención Marco de las Naciones Unidas sobre el Cambio Climático (CMNUCC), que abogan por la incorporación de la perspectiva de género en las políticas, planes y proyectos vinculados con ambiente, biodiversidad y cambio climático, razón por la cual </w:t>
      </w:r>
      <w:r>
        <w:t xml:space="preserve">se encuentra </w:t>
      </w:r>
      <w:r>
        <w:t xml:space="preserve">esta perspectiva como un eje transversal en la Estrategia Nacional de Biodiversidad 2016-2025, la Política Nacional de Adaptación al Cambio Climático 2018-2030 y el Plan Nacional de </w:t>
      </w:r>
      <w:proofErr w:type="spellStart"/>
      <w:r>
        <w:t>Des</w:t>
      </w:r>
      <w:r>
        <w:t>carbonización</w:t>
      </w:r>
      <w:proofErr w:type="spellEnd"/>
      <w:r>
        <w:t xml:space="preserve"> 2018-2050.</w:t>
      </w:r>
    </w:p>
    <w:p w:rsidR="00DD41DE" w:rsidRDefault="00DD41DE" w:rsidP="00DD41DE">
      <w:pPr>
        <w:jc w:val="both"/>
      </w:pPr>
    </w:p>
    <w:p w:rsidR="00DD41DE" w:rsidRDefault="00DD41DE" w:rsidP="00DD41DE">
      <w:pPr>
        <w:jc w:val="both"/>
      </w:pPr>
      <w:r>
        <w:t>Uno de los principales logros país fue la consecución del Plan de Acción de Género de REDD+</w:t>
      </w:r>
      <w:r>
        <w:t>. E</w:t>
      </w:r>
      <w:r>
        <w:t xml:space="preserve">n el contexto de los esfuerzos nacionales por la protección de los bosques y la biodiversidad, se crean acciones afirmativas para la igualdad, el reconocimiento y el acceso a los servicios y beneficios del estado para las mujeres que realizan actividades de conservación, tal es el caso de la reforma al Reglamento a la Ley Forestal N°42344-MINAE, aprobada en mayo del 2020, que incluyó un criterio de priorización para los terrenos cuyas propietarias o copropietarias fueran mujeres en la calificación de solicitudes al Programa de </w:t>
      </w:r>
      <w:r>
        <w:t>Pago por Servicios Ambientales.</w:t>
      </w:r>
    </w:p>
    <w:p w:rsidR="00DD41DE" w:rsidRDefault="00DD41DE" w:rsidP="00DD41DE">
      <w:pPr>
        <w:jc w:val="both"/>
      </w:pPr>
    </w:p>
    <w:p w:rsidR="00DD41DE" w:rsidRDefault="00DD41DE" w:rsidP="00DD41DE">
      <w:pPr>
        <w:jc w:val="both"/>
      </w:pPr>
      <w:r>
        <w:t>El reto es continuar concretando acciones que avancen en el cierre de brechas de género en la acción climática y conservación de la biodiversidad y que fortalezcan el papel de las mujeres como agentes de conservación, resiliencia climática y gestoras de un modelo de economía verde sostenible. Es por esto que, en diciembre del 2020</w:t>
      </w:r>
      <w:r>
        <w:t>,</w:t>
      </w:r>
      <w:r>
        <w:t xml:space="preserve"> Costa Rica presenta su actualización de los Compromisos Nacionalmente Determinados-NDC ante el Acuerdo París y establece la elaboración de un plan nacional de género y cambio climático, cuyo objetivo general pretende contribuir a la articulación de acciones multisectoriales que promuevan la reducción de los impactos diferenciados de la crisis climática sobre las mujeres en su diversidad, especialmente de aquellas en mayores situaciones de vulnerabilidad, en sectores estratégicos mediante la empleabilidad y fortalecimiento de </w:t>
      </w:r>
      <w:r>
        <w:t xml:space="preserve">la </w:t>
      </w:r>
      <w:r>
        <w:t xml:space="preserve">autonomía económica, fortalecimiento de capacidades e innovación, gestión de riesgo, incorporación de la perspectiva </w:t>
      </w:r>
      <w:proofErr w:type="spellStart"/>
      <w:r>
        <w:t>interseccional</w:t>
      </w:r>
      <w:proofErr w:type="spellEnd"/>
      <w:r>
        <w:t xml:space="preserve"> de género en la acción climática, y producción de información desagregada.</w:t>
      </w:r>
    </w:p>
    <w:p w:rsidR="00DD41DE" w:rsidRDefault="00DD41DE" w:rsidP="00DD41DE">
      <w:pPr>
        <w:jc w:val="both"/>
      </w:pPr>
    </w:p>
    <w:p w:rsidR="00DD41DE" w:rsidRDefault="00DD41DE" w:rsidP="00DD41DE">
      <w:pPr>
        <w:jc w:val="both"/>
      </w:pPr>
      <w:r>
        <w:t xml:space="preserve">Este plan, ahora denominado Plan Nacional de Acción sobre Igualdad de Género en la Acción Climática, fue elaborado con el apoyo del NDC </w:t>
      </w:r>
      <w:proofErr w:type="spellStart"/>
      <w:r>
        <w:t>Support</w:t>
      </w:r>
      <w:proofErr w:type="spellEnd"/>
      <w:r>
        <w:t xml:space="preserve"> </w:t>
      </w:r>
      <w:proofErr w:type="spellStart"/>
      <w:r>
        <w:t>Programme</w:t>
      </w:r>
      <w:proofErr w:type="spellEnd"/>
      <w:r>
        <w:t xml:space="preserve"> del Programa de Naciones Unidas para el Desarrollo, con apoyo técnico y político del INAMU y el MINAE, y fue construido a partir de un análisis de brechas de género y cambio climático con personal de instituciones públicas, cooperación internacional y personas expertas de seis sectores priorizados: Agricultura, Forestal, Turismo, Movilidad y Transporte, Energía e Infraestructura. Asimismo, se realizaron diversos talleres, entrevistas y reuniones de consulta con mujeres y organizaciones de mujeres de las 6 regiones socioeconómicas del país, lo cual nos brindó una diversidad de perspectivas desde las vivencias, necesidades y aportes de las mujeres rurales, costeras, afrodescendientes, indígenas, con </w:t>
      </w:r>
      <w:r>
        <w:lastRenderedPageBreak/>
        <w:t>discapacidad, jóvenes, productoras, cooperativistas, de población LGBTI, entre otras. El plan también fue consultado y adaptado a las observaciones de las organizaciones del Foro de Mujeres del INAMU y de los Consejos Regionales de Desarrollo-COREDES.</w:t>
      </w:r>
    </w:p>
    <w:p w:rsidR="00DD41DE" w:rsidRDefault="00DD41DE" w:rsidP="00DD41DE">
      <w:pPr>
        <w:jc w:val="both"/>
      </w:pPr>
    </w:p>
    <w:p w:rsidR="00911E05" w:rsidRDefault="00DD41DE" w:rsidP="00DD41DE">
      <w:pPr>
        <w:jc w:val="both"/>
      </w:pPr>
      <w:r>
        <w:t>El Plan se pretende oficializar vía decreto ejecutivo el próximo 23 de marzo del 2023, en el marco de las conmemoraciones del día nacional e internacional de las mujeres, con una gobernanza compartida entre el INAMU y el MINAE.</w:t>
      </w:r>
    </w:p>
    <w:p w:rsidR="00DD41DE" w:rsidRDefault="00DD41DE" w:rsidP="00DD41DE">
      <w:pPr>
        <w:jc w:val="both"/>
      </w:pPr>
    </w:p>
    <w:p w:rsidR="0029506C" w:rsidRPr="0090186C" w:rsidRDefault="00A102A3" w:rsidP="0029506C">
      <w:pPr>
        <w:jc w:val="both"/>
      </w:pPr>
      <w:r w:rsidRPr="0090186C">
        <w:t xml:space="preserve">Finalmente, con respecto a los mecanismos existentes para responder a las </w:t>
      </w:r>
      <w:r w:rsidR="00B1336C" w:rsidRPr="0090186C">
        <w:t>continuas amenazas, ataques violentos y agresiones contra los derechos a la tierra de las mujeres indígenas y para proteger su a</w:t>
      </w:r>
      <w:r w:rsidRPr="0090186C">
        <w:t xml:space="preserve">cceso a las tierras ancestrales, el Estado reconoce la condición de vulnerabilidad y discriminaciones </w:t>
      </w:r>
      <w:proofErr w:type="spellStart"/>
      <w:r w:rsidRPr="0090186C">
        <w:t>interseccionales</w:t>
      </w:r>
      <w:proofErr w:type="spellEnd"/>
      <w:r w:rsidRPr="0090186C">
        <w:t xml:space="preserve"> que viven estas mujeres indígenas en cuanto al acceso a la justicia en medio de los procesos de restitución de sus tierras ancestrales. Reconoce también la necesidad de desarrollar acciones particulares para su protección y resguardo, más allá de los mecanismos de que disponen todas las personas en el país para acceder a la justicia</w:t>
      </w:r>
      <w:r w:rsidR="00F97D2E" w:rsidRPr="0090186C">
        <w:t xml:space="preserve">. Al respecto destaca la construcción de la </w:t>
      </w:r>
      <w:r w:rsidR="0029506C" w:rsidRPr="0090186C">
        <w:t xml:space="preserve">Política de Acceso a la Justicia de los </w:t>
      </w:r>
      <w:r w:rsidR="00F97D2E" w:rsidRPr="0090186C">
        <w:t>P</w:t>
      </w:r>
      <w:r w:rsidR="0029506C" w:rsidRPr="0090186C">
        <w:t xml:space="preserve">ueblos </w:t>
      </w:r>
      <w:r w:rsidR="00F97D2E" w:rsidRPr="0090186C">
        <w:t>I</w:t>
      </w:r>
      <w:r w:rsidR="0029506C" w:rsidRPr="0090186C">
        <w:t>ndígenas construida con persp</w:t>
      </w:r>
      <w:r w:rsidR="00F97D2E" w:rsidRPr="0090186C">
        <w:t>ectiva de género y de manera conjunto con personas de los territorios y pueblos indígenas para garantizar que su cosmovisión y necesidades queden incorporadas.</w:t>
      </w:r>
    </w:p>
    <w:p w:rsidR="00F97D2E" w:rsidRDefault="00F97D2E" w:rsidP="00F97D2E">
      <w:pPr>
        <w:jc w:val="both"/>
      </w:pPr>
    </w:p>
    <w:p w:rsidR="00F97D2E" w:rsidRDefault="00F97D2E" w:rsidP="00F97D2E">
      <w:pPr>
        <w:jc w:val="both"/>
      </w:pPr>
      <w:r>
        <w:t xml:space="preserve">Por otro lado, cabe recordar que Costa Rica </w:t>
      </w:r>
      <w:r>
        <w:t xml:space="preserve">ratificó el Consenso de Brasilia 2010, </w:t>
      </w:r>
      <w:r>
        <w:t xml:space="preserve">en el cual </w:t>
      </w:r>
      <w:r>
        <w:t>uno de sus objetivos es garantizar el acceso de las mujeres a activos productivos, incluidos la tierra y los recursos naturales</w:t>
      </w:r>
      <w:r>
        <w:t>;</w:t>
      </w:r>
      <w:r>
        <w:t xml:space="preserve"> el acceso al crédito productivo, tanto urbano como rural</w:t>
      </w:r>
      <w:r>
        <w:t>;</w:t>
      </w:r>
      <w:r>
        <w:t xml:space="preserve"> así como garantizar en las legislaciones y las políticas públicas el acceso a la tierra</w:t>
      </w:r>
      <w:r>
        <w:t>,</w:t>
      </w:r>
      <w:r>
        <w:t xml:space="preserve"> a los territorios (reconocimiento de derechos ancestrales, legalización y redistribución) y a los recursos naturales.</w:t>
      </w:r>
    </w:p>
    <w:p w:rsidR="00F97D2E" w:rsidRDefault="00F97D2E" w:rsidP="00F97D2E">
      <w:pPr>
        <w:jc w:val="both"/>
      </w:pPr>
    </w:p>
    <w:p w:rsidR="00F97D2E" w:rsidRDefault="00F97D2E" w:rsidP="00F97D2E">
      <w:pPr>
        <w:jc w:val="both"/>
      </w:pPr>
      <w:r>
        <w:t xml:space="preserve">Además, se realizó una reforma al </w:t>
      </w:r>
      <w:r>
        <w:t>Reglamento de la Ley 9036 del I</w:t>
      </w:r>
      <w:r>
        <w:t xml:space="preserve">nstituto de Desarrollo Rural, agregando un </w:t>
      </w:r>
      <w:r>
        <w:t xml:space="preserve">párrafo al </w:t>
      </w:r>
      <w:r>
        <w:t>a</w:t>
      </w:r>
      <w:r>
        <w:t>rtículo 116</w:t>
      </w:r>
      <w:r>
        <w:t xml:space="preserve"> para que, e</w:t>
      </w:r>
      <w:r>
        <w:t xml:space="preserve">n el caso de renuncias </w:t>
      </w:r>
      <w:r>
        <w:t xml:space="preserve">a tierras </w:t>
      </w:r>
      <w:r>
        <w:t>por parte de mujeres</w:t>
      </w:r>
      <w:r>
        <w:t xml:space="preserve">, se haga un </w:t>
      </w:r>
      <w:r>
        <w:t>análisis integral, en coordinación con la instancia competente, para que se descarten posibles situaciones de violencia de género que hayan influid</w:t>
      </w:r>
      <w:r>
        <w:t>o en la decisión de renuncia.</w:t>
      </w:r>
    </w:p>
    <w:p w:rsidR="00F97D2E" w:rsidRDefault="00F97D2E" w:rsidP="00F97D2E">
      <w:pPr>
        <w:jc w:val="both"/>
      </w:pPr>
    </w:p>
    <w:p w:rsidR="00F97D2E" w:rsidRDefault="0090186C" w:rsidP="0090186C">
      <w:pPr>
        <w:jc w:val="both"/>
      </w:pPr>
      <w:r>
        <w:t xml:space="preserve">Con la firma del Decreto </w:t>
      </w:r>
      <w:r w:rsidR="00F97D2E">
        <w:t>N° 43436-MAG-MCM de C</w:t>
      </w:r>
      <w:r>
        <w:t>reación y Declaración de Interés Público de la Comisión Interinstitucional para el Acceso, Uso y Administración de la Tierra para las Mujeres Rurales, se define como funciones de la Comisión</w:t>
      </w:r>
      <w:r w:rsidR="00F97D2E">
        <w:t>:</w:t>
      </w:r>
    </w:p>
    <w:p w:rsidR="00F97D2E" w:rsidRDefault="00F97D2E" w:rsidP="0090186C">
      <w:pPr>
        <w:pStyle w:val="Prrafodelista"/>
        <w:numPr>
          <w:ilvl w:val="0"/>
          <w:numId w:val="6"/>
        </w:numPr>
        <w:jc w:val="both"/>
      </w:pPr>
      <w:r>
        <w:t>Realizar el análisis permanente sobre el estado de acceso, uso y administración de la tierra por parte de las mujeres rurales que identifiquen las brechas de género existentes para la gestión de procesos tendientes a la disminución de las mismas e impulsen la autonomía económica de las mujeres, así como el desarrollo rural territorial.</w:t>
      </w:r>
    </w:p>
    <w:p w:rsidR="00F97D2E" w:rsidRDefault="00F97D2E" w:rsidP="0090186C">
      <w:pPr>
        <w:pStyle w:val="Prrafodelista"/>
        <w:numPr>
          <w:ilvl w:val="0"/>
          <w:numId w:val="6"/>
        </w:numPr>
        <w:jc w:val="both"/>
      </w:pPr>
      <w:r>
        <w:t>Coordinar el proceso de elaboración, validación e implementación de la Estrategia para el acceso, uso y administración de la tierra por parte de las mujeres rurales.</w:t>
      </w:r>
    </w:p>
    <w:p w:rsidR="00F97D2E" w:rsidRDefault="00F97D2E" w:rsidP="0090186C">
      <w:pPr>
        <w:pStyle w:val="Prrafodelista"/>
        <w:numPr>
          <w:ilvl w:val="0"/>
          <w:numId w:val="6"/>
        </w:numPr>
        <w:jc w:val="both"/>
      </w:pPr>
      <w:r>
        <w:t>Impulsar procesos de sensibilización a personas funcionarias de las instancias relacionadas con los servicios de acceso, uso y administración de la tierra para las mujeres rurales, sobre el enfoque de género en la prestación de servicios institucionales hacia las mujeres rurales.</w:t>
      </w:r>
    </w:p>
    <w:p w:rsidR="00F97D2E" w:rsidRDefault="00F97D2E" w:rsidP="0090186C">
      <w:pPr>
        <w:pStyle w:val="Prrafodelista"/>
        <w:numPr>
          <w:ilvl w:val="0"/>
          <w:numId w:val="6"/>
        </w:numPr>
        <w:jc w:val="both"/>
      </w:pPr>
      <w:r>
        <w:t>Generar un protocolo institucional para la priorización de proyectos liderados por mujeres rurales.</w:t>
      </w:r>
    </w:p>
    <w:p w:rsidR="00F97D2E" w:rsidRDefault="00F97D2E" w:rsidP="0090186C">
      <w:pPr>
        <w:pStyle w:val="Prrafodelista"/>
        <w:numPr>
          <w:ilvl w:val="0"/>
          <w:numId w:val="6"/>
        </w:numPr>
        <w:jc w:val="both"/>
      </w:pPr>
      <w:r>
        <w:t>Brindar, con apoyo del INAMU, asesoría en enfoque de género para la generación de protocolos, que permitan la identificación y el análisis de casos de posible violencia patrimonial contra las mujeres en los procesos de revocatorias y renuncias de predios presentados ante el INDER.</w:t>
      </w:r>
    </w:p>
    <w:p w:rsidR="0090186C" w:rsidRDefault="0090186C" w:rsidP="00F97D2E">
      <w:pPr>
        <w:jc w:val="both"/>
      </w:pPr>
    </w:p>
    <w:p w:rsidR="0090186C" w:rsidRDefault="0090186C" w:rsidP="0090186C">
      <w:pPr>
        <w:jc w:val="both"/>
      </w:pPr>
      <w:r>
        <w:t xml:space="preserve">Otro mecanismo de trabajo para el fortalecimiento de los procesos de recuperación de tierras por parte de las mujeres indígenas es el </w:t>
      </w:r>
      <w:r w:rsidR="00F97D2E">
        <w:t xml:space="preserve">Foro Nacional de Mujeres Rurales, </w:t>
      </w:r>
      <w:r>
        <w:t>en donde ellas tienen representación. El objetivo de este Foro es la c</w:t>
      </w:r>
      <w:r>
        <w:t>onstrucción de un espacio de intercambio y análisis de brechas para la elaboración de una estrategia por parte de las mujeres procedentes de todos los territorios rurales del país en torno a la defensa de sus derechos humanos y la incidencia en la generación de políticas públicas</w:t>
      </w:r>
      <w:r>
        <w:t xml:space="preserve">. En él están representados </w:t>
      </w:r>
      <w:r>
        <w:t>29 territorio</w:t>
      </w:r>
      <w:r>
        <w:t>s</w:t>
      </w:r>
      <w:r>
        <w:t xml:space="preserve"> rurales</w:t>
      </w:r>
      <w:r>
        <w:t>, incluidos los territorios indígenas</w:t>
      </w:r>
      <w:r>
        <w:t>.</w:t>
      </w:r>
      <w:r>
        <w:t xml:space="preserve"> </w:t>
      </w:r>
      <w:r>
        <w:t>Ya se superaron las etapas de conformación, oficialización</w:t>
      </w:r>
      <w:r>
        <w:t xml:space="preserve"> y </w:t>
      </w:r>
      <w:r>
        <w:t>establecimiento de reglas de funcionamiento del Foro</w:t>
      </w:r>
      <w:r>
        <w:t>. A</w:t>
      </w:r>
      <w:r>
        <w:t xml:space="preserve">ctualmente se está en la etapa de elaboración de </w:t>
      </w:r>
      <w:r>
        <w:t xml:space="preserve">un </w:t>
      </w:r>
      <w:r>
        <w:t>borrador de la Agenda de Mujeres Rurales para su posterior oficialización y seguimiento.</w:t>
      </w:r>
      <w:r>
        <w:t xml:space="preserve"> Uno de los temas de esta Agenda es la tenencia de tierra.</w:t>
      </w:r>
    </w:p>
    <w:p w:rsidR="0090186C" w:rsidRDefault="0090186C" w:rsidP="00F97D2E">
      <w:pPr>
        <w:jc w:val="both"/>
      </w:pPr>
    </w:p>
    <w:sectPr w:rsidR="0090186C">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432E" w:rsidRDefault="0051432E" w:rsidP="008325AE">
      <w:r>
        <w:separator/>
      </w:r>
    </w:p>
  </w:endnote>
  <w:endnote w:type="continuationSeparator" w:id="0">
    <w:p w:rsidR="0051432E" w:rsidRDefault="0051432E" w:rsidP="008325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432E" w:rsidRDefault="0051432E" w:rsidP="008325AE">
      <w:r>
        <w:separator/>
      </w:r>
    </w:p>
  </w:footnote>
  <w:footnote w:type="continuationSeparator" w:id="0">
    <w:p w:rsidR="0051432E" w:rsidRDefault="0051432E" w:rsidP="008325AE">
      <w:r>
        <w:continuationSeparator/>
      </w:r>
    </w:p>
  </w:footnote>
  <w:footnote w:id="1">
    <w:p w:rsidR="008325AE" w:rsidRDefault="008325AE">
      <w:pPr>
        <w:pStyle w:val="Textonotapie"/>
      </w:pPr>
      <w:r>
        <w:rPr>
          <w:rStyle w:val="Refdenotaalpie"/>
        </w:rPr>
        <w:footnoteRef/>
      </w:r>
      <w:r>
        <w:t xml:space="preserve"> Ver </w:t>
      </w:r>
      <w:hyperlink r:id="rId1" w:history="1">
        <w:r w:rsidRPr="008937C8">
          <w:rPr>
            <w:rStyle w:val="Hipervnculo"/>
          </w:rPr>
          <w:t>https://faolex.fao.org/docs/pdf/cos191518.pdf</w:t>
        </w:r>
      </w:hyperlink>
      <w:r>
        <w:t xml:space="preserve"> </w:t>
      </w:r>
    </w:p>
  </w:footnote>
  <w:footnote w:id="2">
    <w:p w:rsidR="008325AE" w:rsidRDefault="008325AE">
      <w:pPr>
        <w:pStyle w:val="Textonotapie"/>
      </w:pPr>
      <w:r>
        <w:rPr>
          <w:rStyle w:val="Refdenotaalpie"/>
        </w:rPr>
        <w:footnoteRef/>
      </w:r>
      <w:r>
        <w:t xml:space="preserve"> Ver </w:t>
      </w:r>
      <w:hyperlink r:id="rId2" w:history="1">
        <w:r w:rsidRPr="008937C8">
          <w:rPr>
            <w:rStyle w:val="Hipervnculo"/>
          </w:rPr>
          <w:t>http://www.pgrweb.go.cr/scij/Busqueda/Normativa/Normas/nrm_texto_completo.aspx?param1=NRTC&amp;nValor1=1&amp;nValor2=93873&amp;nValor3=124766&amp;strTipM=TC</w:t>
        </w:r>
      </w:hyperlink>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8498A15A"/>
    <w:multiLevelType w:val="hybridMultilevel"/>
    <w:tmpl w:val="5FC37FAA"/>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D7F4FF5"/>
    <w:multiLevelType w:val="hybridMultilevel"/>
    <w:tmpl w:val="3BDD8D8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7E2752D"/>
    <w:multiLevelType w:val="hybridMultilevel"/>
    <w:tmpl w:val="2FD416B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A3C2DE9"/>
    <w:multiLevelType w:val="hybridMultilevel"/>
    <w:tmpl w:val="C85AADC6"/>
    <w:lvl w:ilvl="0" w:tplc="BA4EFAE4">
      <w:start w:val="1"/>
      <w:numFmt w:val="lowerLetter"/>
      <w:lvlText w:val="%1)"/>
      <w:lvlJc w:val="left"/>
      <w:pPr>
        <w:ind w:left="1065" w:hanging="705"/>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4" w15:restartNumberingAfterBreak="0">
    <w:nsid w:val="279708EC"/>
    <w:multiLevelType w:val="hybridMultilevel"/>
    <w:tmpl w:val="0158C9AA"/>
    <w:lvl w:ilvl="0" w:tplc="BA4EFAE4">
      <w:start w:val="1"/>
      <w:numFmt w:val="lowerLetter"/>
      <w:lvlText w:val="%1)"/>
      <w:lvlJc w:val="left"/>
      <w:pPr>
        <w:ind w:left="720" w:hanging="360"/>
      </w:pPr>
      <w:rPr>
        <w:rFonts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5" w15:restartNumberingAfterBreak="0">
    <w:nsid w:val="5ACA40FA"/>
    <w:multiLevelType w:val="hybridMultilevel"/>
    <w:tmpl w:val="F96A1022"/>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0A93"/>
    <w:rsid w:val="00056CEC"/>
    <w:rsid w:val="002235BF"/>
    <w:rsid w:val="0029506C"/>
    <w:rsid w:val="004B3B62"/>
    <w:rsid w:val="0051432E"/>
    <w:rsid w:val="00560C3F"/>
    <w:rsid w:val="00734FCC"/>
    <w:rsid w:val="007720B6"/>
    <w:rsid w:val="00795FEA"/>
    <w:rsid w:val="007E5054"/>
    <w:rsid w:val="008325AE"/>
    <w:rsid w:val="008E72E0"/>
    <w:rsid w:val="0090186C"/>
    <w:rsid w:val="00911E05"/>
    <w:rsid w:val="0095138F"/>
    <w:rsid w:val="00A102A3"/>
    <w:rsid w:val="00A30A93"/>
    <w:rsid w:val="00B1336C"/>
    <w:rsid w:val="00B43757"/>
    <w:rsid w:val="00C628D7"/>
    <w:rsid w:val="00CC4F64"/>
    <w:rsid w:val="00D6584D"/>
    <w:rsid w:val="00DD41DE"/>
    <w:rsid w:val="00DF5E0D"/>
    <w:rsid w:val="00E55DD1"/>
    <w:rsid w:val="00E717AC"/>
    <w:rsid w:val="00F04CA0"/>
    <w:rsid w:val="00F97D2E"/>
  </w:rsids>
  <m:mathPr>
    <m:mathFont m:val="Cambria Math"/>
    <m:brkBin m:val="before"/>
    <m:brkBinSub m:val="--"/>
    <m:smallFrac m:val="0"/>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910678-D743-4D62-A679-1B1DF81E3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0A93"/>
    <w:pPr>
      <w:spacing w:after="0" w:line="240"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A30A93"/>
    <w:pPr>
      <w:autoSpaceDE w:val="0"/>
      <w:autoSpaceDN w:val="0"/>
      <w:adjustRightInd w:val="0"/>
      <w:spacing w:after="0" w:line="240" w:lineRule="auto"/>
    </w:pPr>
    <w:rPr>
      <w:rFonts w:ascii="Calibri" w:hAnsi="Calibri" w:cs="Calibri"/>
      <w:color w:val="000000"/>
      <w:sz w:val="24"/>
      <w:szCs w:val="24"/>
    </w:rPr>
  </w:style>
  <w:style w:type="paragraph" w:styleId="Textonotapie">
    <w:name w:val="footnote text"/>
    <w:basedOn w:val="Normal"/>
    <w:link w:val="TextonotapieCar"/>
    <w:uiPriority w:val="99"/>
    <w:semiHidden/>
    <w:unhideWhenUsed/>
    <w:rsid w:val="008325AE"/>
    <w:rPr>
      <w:sz w:val="20"/>
      <w:szCs w:val="20"/>
    </w:rPr>
  </w:style>
  <w:style w:type="character" w:customStyle="1" w:styleId="TextonotapieCar">
    <w:name w:val="Texto nota pie Car"/>
    <w:basedOn w:val="Fuentedeprrafopredeter"/>
    <w:link w:val="Textonotapie"/>
    <w:uiPriority w:val="99"/>
    <w:semiHidden/>
    <w:rsid w:val="008325AE"/>
    <w:rPr>
      <w:sz w:val="20"/>
      <w:szCs w:val="20"/>
    </w:rPr>
  </w:style>
  <w:style w:type="character" w:styleId="Refdenotaalpie">
    <w:name w:val="footnote reference"/>
    <w:basedOn w:val="Fuentedeprrafopredeter"/>
    <w:uiPriority w:val="99"/>
    <w:semiHidden/>
    <w:unhideWhenUsed/>
    <w:rsid w:val="008325AE"/>
    <w:rPr>
      <w:vertAlign w:val="superscript"/>
    </w:rPr>
  </w:style>
  <w:style w:type="character" w:styleId="Hipervnculo">
    <w:name w:val="Hyperlink"/>
    <w:basedOn w:val="Fuentedeprrafopredeter"/>
    <w:uiPriority w:val="99"/>
    <w:unhideWhenUsed/>
    <w:rsid w:val="008325AE"/>
    <w:rPr>
      <w:color w:val="0563C1" w:themeColor="hyperlink"/>
      <w:u w:val="single"/>
    </w:rPr>
  </w:style>
  <w:style w:type="paragraph" w:styleId="Prrafodelista">
    <w:name w:val="List Paragraph"/>
    <w:basedOn w:val="Normal"/>
    <w:uiPriority w:val="34"/>
    <w:qFormat/>
    <w:rsid w:val="009018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www.pgrweb.go.cr/scij/Busqueda/Normativa/Normas/nrm_texto_completo.aspx?param1=NRTC&amp;nValor1=1&amp;nValor2=93873&amp;nValor3=124766&amp;strTipM=TC" TargetMode="External"/><Relationship Id="rId1" Type="http://schemas.openxmlformats.org/officeDocument/2006/relationships/hyperlink" Target="https://faolex.fao.org/docs/pdf/cos191518.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5B26A1-D7DE-43B3-9332-06F3E2836C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5</Pages>
  <Words>2313</Words>
  <Characters>12724</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Saskia Salas Calderon</dc:creator>
  <cp:keywords/>
  <dc:description/>
  <cp:lastModifiedBy>Saskia Salas Calderon</cp:lastModifiedBy>
  <cp:revision>11</cp:revision>
  <dcterms:created xsi:type="dcterms:W3CDTF">2023-02-22T06:45:00Z</dcterms:created>
  <dcterms:modified xsi:type="dcterms:W3CDTF">2023-02-22T14:18:00Z</dcterms:modified>
</cp:coreProperties>
</file>