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78B" w:rsidRDefault="0056678B" w:rsidP="0056678B">
      <w:pPr>
        <w:jc w:val="center"/>
      </w:pPr>
      <w:bookmarkStart w:id="0" w:name="_GoBack"/>
      <w:r>
        <w:rPr>
          <w:noProof/>
          <w:lang w:val="es-PE"/>
        </w:rPr>
        <w:drawing>
          <wp:inline distT="0" distB="0" distL="0" distR="0" wp14:anchorId="3A091041" wp14:editId="08C171B9">
            <wp:extent cx="1304925" cy="12382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238250"/>
                    </a:xfrm>
                    <a:prstGeom prst="rect">
                      <a:avLst/>
                    </a:prstGeom>
                    <a:noFill/>
                  </pic:spPr>
                </pic:pic>
              </a:graphicData>
            </a:graphic>
          </wp:inline>
        </w:drawing>
      </w:r>
    </w:p>
    <w:bookmarkEnd w:id="0"/>
    <w:p w:rsidR="0056678B" w:rsidRDefault="0056678B" w:rsidP="00942281"/>
    <w:p w:rsidR="0056678B" w:rsidRDefault="0056678B" w:rsidP="00942281"/>
    <w:p w:rsidR="00942281" w:rsidRDefault="00942281" w:rsidP="00942281">
      <w:r w:rsidRPr="00B30B08">
        <w:t>La Mesa de Discapacidad y Derechos de la Coordinadora Nacional de Derechos Humanos, un espacio conformado por dieciséis organizaciones de personas con discapacidad e instituciones que trabajan a favor de los derechos de dicho colectivo</w:t>
      </w:r>
      <w:r w:rsidRPr="00A22E05">
        <w:rPr>
          <w:rStyle w:val="Refdenotaalpie"/>
        </w:rPr>
        <w:footnoteReference w:id="1"/>
      </w:r>
      <w:r w:rsidRPr="00B30B08">
        <w:t xml:space="preserve"> y en el que se debaten y articulan acciones de incidencia sobre la temática de discapacidad con los diversos sectores del Estado Peruano.</w:t>
      </w:r>
    </w:p>
    <w:p w:rsidR="00A06ACD" w:rsidRDefault="00A06ACD">
      <w:pPr>
        <w:spacing w:after="0" w:line="240" w:lineRule="auto"/>
        <w:rPr>
          <w:rFonts w:ascii="Arial" w:eastAsia="Arial" w:hAnsi="Arial" w:cs="Arial"/>
          <w:b/>
        </w:rPr>
      </w:pPr>
    </w:p>
    <w:p w:rsidR="00A06ACD" w:rsidRDefault="00347649">
      <w:pPr>
        <w:spacing w:after="0" w:line="240" w:lineRule="auto"/>
        <w:ind w:firstLine="720"/>
        <w:rPr>
          <w:rFonts w:ascii="Arial" w:eastAsia="Arial" w:hAnsi="Arial" w:cs="Arial"/>
          <w:b/>
        </w:rPr>
      </w:pPr>
      <w:r>
        <w:rPr>
          <w:rFonts w:ascii="Arial" w:eastAsia="Arial" w:hAnsi="Arial" w:cs="Arial"/>
          <w:b/>
        </w:rPr>
        <w:t>DISCAPACIDAD Y SALUD MENTAL</w:t>
      </w:r>
    </w:p>
    <w:p w:rsidR="00A06ACD" w:rsidRDefault="00A06ACD">
      <w:pPr>
        <w:spacing w:line="240" w:lineRule="auto"/>
        <w:ind w:firstLine="720"/>
        <w:jc w:val="both"/>
        <w:rPr>
          <w:rFonts w:ascii="Arial" w:eastAsia="Arial" w:hAnsi="Arial" w:cs="Arial"/>
        </w:rPr>
      </w:pPr>
    </w:p>
    <w:p w:rsidR="00A06ACD" w:rsidRDefault="00347649">
      <w:pPr>
        <w:spacing w:line="240" w:lineRule="auto"/>
        <w:ind w:firstLine="720"/>
        <w:jc w:val="both"/>
        <w:rPr>
          <w:rFonts w:ascii="Arial" w:eastAsia="Arial" w:hAnsi="Arial" w:cs="Arial"/>
        </w:rPr>
      </w:pPr>
      <w:r>
        <w:rPr>
          <w:rFonts w:ascii="Arial" w:eastAsia="Arial" w:hAnsi="Arial" w:cs="Arial"/>
        </w:rPr>
        <w:t xml:space="preserve">Las personas con discapacidad siguen enfrentando una serie de prácticas que pueden catalogarse como tortura, tratos inhumanos, crueles y degradantes. Dada su situación de vulnerabilidad — especialmente en los casos de personas con discapacidad intelectual </w:t>
      </w:r>
      <w:r>
        <w:rPr>
          <w:rFonts w:ascii="Arial" w:eastAsia="Arial" w:hAnsi="Arial" w:cs="Arial"/>
        </w:rPr>
        <w:t xml:space="preserve">y psicosocial— enfrentan una serie de barreras y/o situaciones que potencian un contexto en que son constantes víctimas de vulneraciones de derechos humanos. Al respecto, se registran como prácticas constantes que enfrenta este colectivo, el internamiento </w:t>
      </w:r>
      <w:r>
        <w:rPr>
          <w:rFonts w:ascii="Arial" w:eastAsia="Arial" w:hAnsi="Arial" w:cs="Arial"/>
        </w:rPr>
        <w:t xml:space="preserve">y/o tratamiento forzoso sobre la base de su sustitución de voluntad, la declaración de inimputabilidad penal que deviene en la aplicación de medidas se seguridad y situaciones de graves vulneraciones a los Derechos Humanos.  </w:t>
      </w:r>
    </w:p>
    <w:p w:rsidR="00A06ACD" w:rsidRDefault="00A06ACD">
      <w:pPr>
        <w:pStyle w:val="Ttulo3"/>
        <w:rPr>
          <w:rFonts w:ascii="Arial" w:eastAsia="Arial" w:hAnsi="Arial" w:cs="Arial"/>
          <w:sz w:val="22"/>
          <w:szCs w:val="22"/>
        </w:rPr>
      </w:pPr>
      <w:bookmarkStart w:id="1" w:name="_qcwltwybdvnt" w:colFirst="0" w:colLast="0"/>
      <w:bookmarkEnd w:id="1"/>
    </w:p>
    <w:p w:rsidR="00A06ACD" w:rsidRDefault="00347649">
      <w:pPr>
        <w:spacing w:after="0" w:line="240" w:lineRule="auto"/>
        <w:ind w:left="100" w:firstLine="620"/>
        <w:jc w:val="both"/>
        <w:rPr>
          <w:rFonts w:ascii="Arial" w:eastAsia="Arial" w:hAnsi="Arial" w:cs="Arial"/>
        </w:rPr>
      </w:pPr>
      <w:r>
        <w:rPr>
          <w:rFonts w:ascii="Arial" w:eastAsia="Arial" w:hAnsi="Arial" w:cs="Arial"/>
          <w:b/>
          <w:u w:val="single"/>
        </w:rPr>
        <w:t xml:space="preserve">Internamiento involuntario y </w:t>
      </w:r>
      <w:r>
        <w:rPr>
          <w:rFonts w:ascii="Arial" w:eastAsia="Arial" w:hAnsi="Arial" w:cs="Arial"/>
          <w:b/>
          <w:u w:val="single"/>
        </w:rPr>
        <w:t>tratamiento forzoso de personas con discapacidad</w:t>
      </w: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lastRenderedPageBreak/>
        <w:t>No obstante, la promulgación de la Ley General de Personas con Discapacidad (Ley N° 29973) y la Ley de Derechos de las Personas con Problemas de Salud Mental (Ley N° 29889) en el año 2012; el colectivo de pe</w:t>
      </w:r>
      <w:r>
        <w:rPr>
          <w:rFonts w:ascii="Arial" w:eastAsia="Arial" w:hAnsi="Arial" w:cs="Arial"/>
        </w:rPr>
        <w:t xml:space="preserve">rsonas con discapacidad — particularmente, las personas con discapacidad intelectual y psicosocial— siguen enfrentando una serie de barreras que restringen especialmente sus derechos a la libertad e integridad. </w:t>
      </w:r>
    </w:p>
    <w:p w:rsidR="00A06ACD" w:rsidRDefault="00A06ACD">
      <w:pPr>
        <w:spacing w:after="0" w:line="240" w:lineRule="auto"/>
        <w:ind w:left="100" w:right="120"/>
        <w:jc w:val="both"/>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En ese contexto, la Ley General de Salud (L</w:t>
      </w:r>
      <w:r>
        <w:rPr>
          <w:rFonts w:ascii="Arial" w:eastAsia="Arial" w:hAnsi="Arial" w:cs="Arial"/>
        </w:rPr>
        <w:t>ey Nº 26842), modificada por la Ley N° 29889, establece que no se requiere de consentimiento informado en el caso de personas con adicciones “cuando su capacidad de juicio esté afectada”, procediendo esta medida, a pedido de la familia con la evaluación de</w:t>
      </w:r>
      <w:r>
        <w:rPr>
          <w:rFonts w:ascii="Arial" w:eastAsia="Arial" w:hAnsi="Arial" w:cs="Arial"/>
        </w:rPr>
        <w:t xml:space="preserve"> una junta médica</w:t>
      </w:r>
      <w:r>
        <w:rPr>
          <w:rFonts w:ascii="Arial" w:eastAsia="Arial" w:hAnsi="Arial" w:cs="Arial"/>
          <w:vertAlign w:val="superscript"/>
        </w:rPr>
        <w:footnoteReference w:id="2"/>
      </w:r>
      <w:r>
        <w:rPr>
          <w:rFonts w:ascii="Arial" w:eastAsia="Arial" w:hAnsi="Arial" w:cs="Arial"/>
        </w:rPr>
        <w:t xml:space="preserve">. </w:t>
      </w:r>
    </w:p>
    <w:p w:rsidR="00A06ACD" w:rsidRDefault="00A06ACD">
      <w:pPr>
        <w:spacing w:after="0" w:line="240" w:lineRule="auto"/>
        <w:ind w:left="100" w:right="120" w:firstLine="620"/>
        <w:jc w:val="both"/>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Por otro lado, pese a que la Ley N° 29889 tuvo como objetivo eliminar el internamiento y la detención involuntaria de personas “con problemas de salud mental”; su reglamento</w:t>
      </w:r>
      <w:r>
        <w:rPr>
          <w:rFonts w:ascii="Arial" w:eastAsia="Arial" w:hAnsi="Arial" w:cs="Arial"/>
          <w:vertAlign w:val="superscript"/>
        </w:rPr>
        <w:footnoteReference w:id="3"/>
      </w:r>
      <w:r>
        <w:rPr>
          <w:rFonts w:ascii="Arial" w:eastAsia="Arial" w:hAnsi="Arial" w:cs="Arial"/>
        </w:rPr>
        <w:t xml:space="preserve">, desnaturaliza las previsiones de la ley al admitir que el </w:t>
      </w:r>
      <w:r>
        <w:rPr>
          <w:rFonts w:ascii="Arial" w:eastAsia="Arial" w:hAnsi="Arial" w:cs="Arial"/>
        </w:rPr>
        <w:t>representante legal puede brindar consentimiento para internar a una persona con problemas de salud mental</w:t>
      </w:r>
      <w:r>
        <w:rPr>
          <w:rFonts w:ascii="Arial" w:eastAsia="Arial" w:hAnsi="Arial" w:cs="Arial"/>
          <w:vertAlign w:val="superscript"/>
        </w:rPr>
        <w:footnoteReference w:id="4"/>
      </w:r>
      <w:r>
        <w:rPr>
          <w:rFonts w:ascii="Arial" w:eastAsia="Arial" w:hAnsi="Arial" w:cs="Arial"/>
        </w:rPr>
        <w:t>. Asimismo, establece que un familiar directo puede autorizar el internamiento en caso de una “emergencia psiquiátrica”, siendo esta categoría totalm</w:t>
      </w:r>
      <w:r>
        <w:rPr>
          <w:rFonts w:ascii="Arial" w:eastAsia="Arial" w:hAnsi="Arial" w:cs="Arial"/>
        </w:rPr>
        <w:t>ente arbitraria y discrecional</w:t>
      </w:r>
      <w:r>
        <w:rPr>
          <w:rFonts w:ascii="Arial" w:eastAsia="Arial" w:hAnsi="Arial" w:cs="Arial"/>
          <w:vertAlign w:val="superscript"/>
        </w:rPr>
        <w:footnoteReference w:id="5"/>
      </w:r>
      <w:r>
        <w:rPr>
          <w:rFonts w:ascii="Arial" w:eastAsia="Arial" w:hAnsi="Arial" w:cs="Arial"/>
        </w:rPr>
        <w:t>. Adicionalmente, establece que en el caso de personas con adicciones cuya capacidad de juicio esté afectada (personas con discapacidad percibida) su tratamiento involuntario procederá previa evaluación de la capacidad de jui</w:t>
      </w:r>
      <w:r>
        <w:rPr>
          <w:rFonts w:ascii="Arial" w:eastAsia="Arial" w:hAnsi="Arial" w:cs="Arial"/>
        </w:rPr>
        <w:t>cio por la junta  médica</w:t>
      </w:r>
      <w:r>
        <w:rPr>
          <w:rFonts w:ascii="Arial" w:eastAsia="Arial" w:hAnsi="Arial" w:cs="Arial"/>
          <w:vertAlign w:val="superscript"/>
        </w:rPr>
        <w:footnoteReference w:id="6"/>
      </w:r>
      <w:r>
        <w:rPr>
          <w:rFonts w:ascii="Arial" w:eastAsia="Arial" w:hAnsi="Arial" w:cs="Arial"/>
        </w:rPr>
        <w:t xml:space="preserve">. </w:t>
      </w:r>
    </w:p>
    <w:p w:rsidR="00A06ACD" w:rsidRDefault="00A06ACD">
      <w:pPr>
        <w:spacing w:after="0" w:line="240" w:lineRule="auto"/>
        <w:ind w:left="100" w:right="120" w:firstLine="620"/>
        <w:jc w:val="both"/>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Dado que las privaciones de libertad descritas encuentran sustento en la discapacidad: psicosocial, intelectual o discapacidad percibida, estas constituyen detenciones arbitrarias que transgreden el derecho de vivir libre de to</w:t>
      </w:r>
      <w:r>
        <w:rPr>
          <w:rFonts w:ascii="Arial" w:eastAsia="Arial" w:hAnsi="Arial" w:cs="Arial"/>
        </w:rPr>
        <w:t xml:space="preserve">rtura y cualquier otro trato inhumano o degradante. </w:t>
      </w:r>
    </w:p>
    <w:p w:rsidR="00A06ACD" w:rsidRDefault="00A06ACD">
      <w:pPr>
        <w:spacing w:line="240" w:lineRule="auto"/>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b/>
          <w:u w:val="single"/>
        </w:rPr>
        <w:t>Situación de las personas con discapacidad declaradas inimputables penalmente.</w:t>
      </w: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La situación de las personas con discapacidad que han sido declaradas judicialmente como inimputables, especialmente, aquel</w:t>
      </w:r>
      <w:r>
        <w:rPr>
          <w:rFonts w:ascii="Arial" w:eastAsia="Arial" w:hAnsi="Arial" w:cs="Arial"/>
        </w:rPr>
        <w:t xml:space="preserve">las con discapacidades intelectuales y psicosociales, es un asunto particularmente cuestionable. </w:t>
      </w:r>
    </w:p>
    <w:p w:rsidR="00A06ACD" w:rsidRDefault="00347649">
      <w:pPr>
        <w:spacing w:after="0" w:line="240" w:lineRule="auto"/>
        <w:ind w:left="100" w:right="120"/>
        <w:jc w:val="both"/>
        <w:rPr>
          <w:rFonts w:ascii="Arial" w:eastAsia="Arial" w:hAnsi="Arial" w:cs="Arial"/>
        </w:rPr>
      </w:pPr>
      <w:r>
        <w:rPr>
          <w:rFonts w:ascii="Arial" w:eastAsia="Arial" w:hAnsi="Arial" w:cs="Arial"/>
        </w:rPr>
        <w:tab/>
      </w: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El Código Penal Peruano cataloga a personas con discapacidades intelectuales y/o psicosociales como “inimputables”, es decir, que se asume que no pueden afr</w:t>
      </w:r>
      <w:r>
        <w:rPr>
          <w:rFonts w:ascii="Arial" w:eastAsia="Arial" w:hAnsi="Arial" w:cs="Arial"/>
        </w:rPr>
        <w:t>ontar procesos penales</w:t>
      </w:r>
      <w:r>
        <w:rPr>
          <w:rFonts w:ascii="Arial" w:eastAsia="Arial" w:hAnsi="Arial" w:cs="Arial"/>
          <w:vertAlign w:val="superscript"/>
        </w:rPr>
        <w:footnoteReference w:id="7"/>
      </w:r>
      <w:r>
        <w:rPr>
          <w:rFonts w:ascii="Arial" w:eastAsia="Arial" w:hAnsi="Arial" w:cs="Arial"/>
        </w:rPr>
        <w:t xml:space="preserve">. En estos casos, son excluidos del proceso penal regular, no se le aplican penas a ser cumplidas en prisiones comunes; por el contrario, se le aplican “medidas de seguridad” que consisten en tratamiento y/o medicación involuntarias </w:t>
      </w:r>
      <w:r>
        <w:rPr>
          <w:rFonts w:ascii="Arial" w:eastAsia="Arial" w:hAnsi="Arial" w:cs="Arial"/>
        </w:rPr>
        <w:t xml:space="preserve">en instituciones de salud mental con el fin de ser “rehabilitados”. </w:t>
      </w:r>
    </w:p>
    <w:p w:rsidR="00A06ACD" w:rsidRDefault="00A06ACD">
      <w:pPr>
        <w:spacing w:after="0" w:line="240" w:lineRule="auto"/>
        <w:ind w:left="100" w:right="120"/>
        <w:jc w:val="both"/>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 xml:space="preserve">Debido a la falta de camas en instituciones psiquiátricas, estas personas, por lo general, se mantienen detenidas en prisiones comunes sin la provisión adecuada de </w:t>
      </w:r>
      <w:r>
        <w:rPr>
          <w:rFonts w:ascii="Arial" w:eastAsia="Arial" w:hAnsi="Arial" w:cs="Arial"/>
        </w:rPr>
        <w:lastRenderedPageBreak/>
        <w:t>apoyos y ajustes razonables</w:t>
      </w:r>
      <w:r>
        <w:rPr>
          <w:rFonts w:ascii="Arial" w:eastAsia="Arial" w:hAnsi="Arial" w:cs="Arial"/>
          <w:vertAlign w:val="superscript"/>
        </w:rPr>
        <w:footnoteReference w:id="8"/>
      </w:r>
      <w:r>
        <w:rPr>
          <w:rFonts w:ascii="Arial" w:eastAsia="Arial" w:hAnsi="Arial" w:cs="Arial"/>
        </w:rPr>
        <w:t>. Además, debido a la demora del poder judicial en la revisión d</w:t>
      </w:r>
      <w:r>
        <w:rPr>
          <w:rFonts w:ascii="Arial" w:eastAsia="Arial" w:hAnsi="Arial" w:cs="Arial"/>
        </w:rPr>
        <w:t>e los informes médicos que recomiendan el cese de ambas situaciones, estas personas son innecesariamente detenidas por períodos de tiempo extendidos tanto en instituciones de salud mental como en prisiones</w:t>
      </w:r>
      <w:r>
        <w:rPr>
          <w:rFonts w:ascii="Arial" w:eastAsia="Arial" w:hAnsi="Arial" w:cs="Arial"/>
          <w:vertAlign w:val="superscript"/>
        </w:rPr>
        <w:footnoteReference w:id="9"/>
      </w:r>
      <w:r>
        <w:rPr>
          <w:rFonts w:ascii="Arial" w:eastAsia="Arial" w:hAnsi="Arial" w:cs="Arial"/>
        </w:rPr>
        <w:t xml:space="preserve">. Esta situación ha sido declarada como un estado </w:t>
      </w:r>
      <w:r>
        <w:rPr>
          <w:rFonts w:ascii="Arial" w:eastAsia="Arial" w:hAnsi="Arial" w:cs="Arial"/>
        </w:rPr>
        <w:t>de cosas inconstitucional por el Tribunal Constitucional Peruano</w:t>
      </w:r>
      <w:r>
        <w:rPr>
          <w:rFonts w:ascii="Arial" w:eastAsia="Arial" w:hAnsi="Arial" w:cs="Arial"/>
          <w:vertAlign w:val="superscript"/>
        </w:rPr>
        <w:footnoteReference w:id="10"/>
      </w:r>
      <w:r>
        <w:rPr>
          <w:rFonts w:ascii="Arial" w:eastAsia="Arial" w:hAnsi="Arial" w:cs="Arial"/>
        </w:rPr>
        <w:t xml:space="preserve">. </w:t>
      </w:r>
    </w:p>
    <w:p w:rsidR="00A06ACD" w:rsidRDefault="00A06ACD">
      <w:pPr>
        <w:spacing w:after="0" w:line="240" w:lineRule="auto"/>
        <w:ind w:left="100" w:right="120"/>
        <w:jc w:val="both"/>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b/>
          <w:u w:val="single"/>
        </w:rPr>
        <w:t xml:space="preserve">Situaciones de tortura y tratamiento inhumano en instituciones. </w:t>
      </w: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La Defensoría del Pueblo del Perú ha venido documentando una serie de situaciones de flagrante violación de los derechos a</w:t>
      </w:r>
      <w:r>
        <w:rPr>
          <w:rFonts w:ascii="Arial" w:eastAsia="Arial" w:hAnsi="Arial" w:cs="Arial"/>
        </w:rPr>
        <w:t xml:space="preserve"> la libertad personal, integridad, privacidad, entre otros</w:t>
      </w:r>
      <w:r>
        <w:rPr>
          <w:rFonts w:ascii="Arial" w:eastAsia="Arial" w:hAnsi="Arial" w:cs="Arial"/>
          <w:vertAlign w:val="superscript"/>
        </w:rPr>
        <w:footnoteReference w:id="11"/>
      </w:r>
      <w:r>
        <w:rPr>
          <w:rFonts w:ascii="Arial" w:eastAsia="Arial" w:hAnsi="Arial" w:cs="Arial"/>
        </w:rPr>
        <w:t>, en instituciones de salud mental. Pese a las recomendaciones de esta entidad, el Estado Peruano no ha tomado medida alguna para prevenir, fiscalizar investigar o — de ser necesario—  sancionar lo</w:t>
      </w:r>
      <w:r>
        <w:rPr>
          <w:rFonts w:ascii="Arial" w:eastAsia="Arial" w:hAnsi="Arial" w:cs="Arial"/>
        </w:rPr>
        <w:t xml:space="preserve">s actos de tortura y otros tratos inhumanos cometidos en contra de las personas con discapacidad. </w:t>
      </w:r>
    </w:p>
    <w:p w:rsidR="00A06ACD" w:rsidRDefault="00A06ACD">
      <w:pPr>
        <w:spacing w:after="0" w:line="240" w:lineRule="auto"/>
        <w:ind w:left="100" w:right="120"/>
        <w:jc w:val="both"/>
        <w:rPr>
          <w:rFonts w:ascii="Arial" w:eastAsia="Arial" w:hAnsi="Arial" w:cs="Arial"/>
        </w:rPr>
      </w:pPr>
    </w:p>
    <w:p w:rsidR="00A06ACD" w:rsidRDefault="00347649">
      <w:pPr>
        <w:spacing w:after="0" w:line="240" w:lineRule="auto"/>
        <w:ind w:left="100" w:right="120" w:firstLine="620"/>
        <w:jc w:val="both"/>
        <w:rPr>
          <w:rFonts w:ascii="Arial" w:eastAsia="Arial" w:hAnsi="Arial" w:cs="Arial"/>
        </w:rPr>
      </w:pPr>
      <w:r>
        <w:rPr>
          <w:rFonts w:ascii="Arial" w:eastAsia="Arial" w:hAnsi="Arial" w:cs="Arial"/>
        </w:rPr>
        <w:t xml:space="preserve">Desde el año 2002 se vienen reportando en los informes arriba mencionados el uso continuo e involuntario de medicación e instrumentos de dudosa procedencia </w:t>
      </w:r>
      <w:r>
        <w:rPr>
          <w:rFonts w:ascii="Arial" w:eastAsia="Arial" w:hAnsi="Arial" w:cs="Arial"/>
        </w:rPr>
        <w:t>y fabricación en instituciones psiquiátricas. Recientemente — y en el marco de una supervisión nacional de los servicios públicos de salud mental con el fin de evaluar el estado de implementación de la política en salud mental comunitaria diseñada por el M</w:t>
      </w:r>
      <w:r>
        <w:rPr>
          <w:rFonts w:ascii="Arial" w:eastAsia="Arial" w:hAnsi="Arial" w:cs="Arial"/>
        </w:rPr>
        <w:t xml:space="preserve">inisterio de Salud— la Defensoría del Pueblo realizó una supervisión el día 4 de julio de 2018 en el Hospital </w:t>
      </w:r>
      <w:proofErr w:type="spellStart"/>
      <w:r>
        <w:rPr>
          <w:rFonts w:ascii="Arial" w:eastAsia="Arial" w:hAnsi="Arial" w:cs="Arial"/>
        </w:rPr>
        <w:t>Hermilio</w:t>
      </w:r>
      <w:proofErr w:type="spellEnd"/>
      <w:r>
        <w:rPr>
          <w:rFonts w:ascii="Arial" w:eastAsia="Arial" w:hAnsi="Arial" w:cs="Arial"/>
        </w:rPr>
        <w:t xml:space="preserve"> </w:t>
      </w:r>
      <w:proofErr w:type="spellStart"/>
      <w:r>
        <w:rPr>
          <w:rFonts w:ascii="Arial" w:eastAsia="Arial" w:hAnsi="Arial" w:cs="Arial"/>
        </w:rPr>
        <w:t>Valdizán</w:t>
      </w:r>
      <w:proofErr w:type="spellEnd"/>
      <w:r>
        <w:rPr>
          <w:rFonts w:ascii="Arial" w:eastAsia="Arial" w:hAnsi="Arial" w:cs="Arial"/>
        </w:rPr>
        <w:t xml:space="preserve">, constatando que: a) Se venía aplicando terapia </w:t>
      </w:r>
      <w:proofErr w:type="spellStart"/>
      <w:r>
        <w:rPr>
          <w:rFonts w:ascii="Arial" w:eastAsia="Arial" w:hAnsi="Arial" w:cs="Arial"/>
        </w:rPr>
        <w:t>electroconvulsiva</w:t>
      </w:r>
      <w:proofErr w:type="spellEnd"/>
      <w:r>
        <w:rPr>
          <w:rFonts w:ascii="Arial" w:eastAsia="Arial" w:hAnsi="Arial" w:cs="Arial"/>
        </w:rPr>
        <w:t xml:space="preserve"> con una máquina de 1997 cuya última fecha de mantenimiento se </w:t>
      </w:r>
      <w:r>
        <w:rPr>
          <w:rFonts w:ascii="Arial" w:eastAsia="Arial" w:hAnsi="Arial" w:cs="Arial"/>
        </w:rPr>
        <w:t>había realizado en el año 2014 b) Que este tratamiento era administrado únicamente con anestesia general y no se incluían relajantes musculares; inclusive el personal del propio hospital había informado que esto podría causar lesiones a los pacientes. c) Q</w:t>
      </w:r>
      <w:r>
        <w:rPr>
          <w:rFonts w:ascii="Arial" w:eastAsia="Arial" w:hAnsi="Arial" w:cs="Arial"/>
        </w:rPr>
        <w:t>ue eran los familiares quienes venían prestando consentimiento para la aplicación de la terapia d) Los formatos de consentimiento informado no cumplían en señalar todos los efectos secundarios que el tratamiento podría causar en pacientes que se sometían a</w:t>
      </w:r>
      <w:r>
        <w:rPr>
          <w:rFonts w:ascii="Arial" w:eastAsia="Arial" w:hAnsi="Arial" w:cs="Arial"/>
        </w:rPr>
        <w:t xml:space="preserve"> él</w:t>
      </w:r>
      <w:r>
        <w:rPr>
          <w:rFonts w:ascii="Arial" w:eastAsia="Arial" w:hAnsi="Arial" w:cs="Arial"/>
          <w:vertAlign w:val="superscript"/>
        </w:rPr>
        <w:footnoteReference w:id="12"/>
      </w:r>
      <w:r>
        <w:rPr>
          <w:rFonts w:ascii="Arial" w:eastAsia="Arial" w:hAnsi="Arial" w:cs="Arial"/>
        </w:rPr>
        <w:t xml:space="preserve">.   </w:t>
      </w:r>
    </w:p>
    <w:p w:rsidR="00A06ACD" w:rsidRDefault="00A06ACD">
      <w:pPr>
        <w:jc w:val="both"/>
        <w:rPr>
          <w:rFonts w:ascii="Arial" w:eastAsia="Arial" w:hAnsi="Arial" w:cs="Arial"/>
          <w:b/>
        </w:rPr>
      </w:pPr>
    </w:p>
    <w:p w:rsidR="00A06ACD" w:rsidRDefault="00347649">
      <w:pPr>
        <w:spacing w:after="0" w:line="240" w:lineRule="auto"/>
        <w:jc w:val="both"/>
        <w:rPr>
          <w:rFonts w:ascii="Arial" w:eastAsia="Arial" w:hAnsi="Arial" w:cs="Arial"/>
          <w:b/>
        </w:rPr>
      </w:pPr>
      <w:r>
        <w:rPr>
          <w:rFonts w:ascii="Arial" w:eastAsia="Arial" w:hAnsi="Arial" w:cs="Arial"/>
          <w:b/>
        </w:rPr>
        <w:t>Con respecto a la lista de cuestiones planteadas por el Comité:</w:t>
      </w:r>
    </w:p>
    <w:p w:rsidR="00A06ACD" w:rsidRDefault="00A06ACD">
      <w:pPr>
        <w:spacing w:after="0" w:line="240" w:lineRule="auto"/>
        <w:jc w:val="both"/>
        <w:rPr>
          <w:rFonts w:ascii="Arial" w:eastAsia="Arial" w:hAnsi="Arial" w:cs="Arial"/>
        </w:rPr>
      </w:pPr>
    </w:p>
    <w:p w:rsidR="00A06ACD" w:rsidRDefault="00347649">
      <w:pPr>
        <w:spacing w:after="0" w:line="240" w:lineRule="auto"/>
        <w:jc w:val="both"/>
        <w:rPr>
          <w:rFonts w:ascii="Arial" w:eastAsia="Arial" w:hAnsi="Arial" w:cs="Arial"/>
        </w:rPr>
      </w:pPr>
      <w:r>
        <w:rPr>
          <w:rFonts w:ascii="Arial" w:eastAsia="Arial" w:hAnsi="Arial" w:cs="Arial"/>
        </w:rPr>
        <w:t xml:space="preserve">Artículo 2. </w:t>
      </w:r>
    </w:p>
    <w:p w:rsidR="00A06ACD" w:rsidRDefault="00347649">
      <w:pPr>
        <w:spacing w:after="0" w:line="240" w:lineRule="auto"/>
        <w:jc w:val="both"/>
        <w:rPr>
          <w:rFonts w:ascii="Arial" w:eastAsia="Arial" w:hAnsi="Arial" w:cs="Arial"/>
        </w:rPr>
      </w:pPr>
      <w:r>
        <w:rPr>
          <w:rFonts w:ascii="Arial" w:eastAsia="Arial" w:hAnsi="Arial" w:cs="Arial"/>
        </w:rPr>
        <w:t xml:space="preserve">2. Con respecto a las medidas y procedimientos para velar por que las personas privadas de libertad tengan garantizados sus derechos a ser informados sobre los motivos </w:t>
      </w:r>
      <w:r>
        <w:rPr>
          <w:rFonts w:ascii="Arial" w:eastAsia="Arial" w:hAnsi="Arial" w:cs="Arial"/>
        </w:rPr>
        <w:t>de su detención y cargos que se le imputan. Consideramos que debe tenerse en cuenta la situación particular de las personas con discapacidad con el fin de que puedan ser informados a través de formatos accesibles, se empleen métodos alternativos de comunic</w:t>
      </w:r>
      <w:r>
        <w:rPr>
          <w:rFonts w:ascii="Arial" w:eastAsia="Arial" w:hAnsi="Arial" w:cs="Arial"/>
        </w:rPr>
        <w:t xml:space="preserve">ación y se brinden los ajustes y apoyos necesarios para asegurar que no se vulneren sus derechos a ser informados en estas circunstancias. </w:t>
      </w:r>
    </w:p>
    <w:p w:rsidR="00A06ACD" w:rsidRDefault="00A06ACD">
      <w:pPr>
        <w:spacing w:after="0" w:line="240" w:lineRule="auto"/>
        <w:jc w:val="both"/>
        <w:rPr>
          <w:rFonts w:ascii="Arial" w:eastAsia="Arial" w:hAnsi="Arial" w:cs="Arial"/>
        </w:rPr>
      </w:pPr>
    </w:p>
    <w:p w:rsidR="00A06ACD" w:rsidRDefault="00347649">
      <w:pPr>
        <w:spacing w:after="0" w:line="240" w:lineRule="auto"/>
        <w:jc w:val="both"/>
        <w:rPr>
          <w:rFonts w:ascii="Arial" w:eastAsia="Arial" w:hAnsi="Arial" w:cs="Arial"/>
        </w:rPr>
      </w:pPr>
      <w:r>
        <w:rPr>
          <w:rFonts w:ascii="Arial" w:eastAsia="Arial" w:hAnsi="Arial" w:cs="Arial"/>
        </w:rPr>
        <w:t xml:space="preserve">Artículo 2. </w:t>
      </w:r>
    </w:p>
    <w:p w:rsidR="00A06ACD" w:rsidRDefault="00347649">
      <w:pPr>
        <w:spacing w:after="0" w:line="240" w:lineRule="auto"/>
        <w:jc w:val="both"/>
        <w:rPr>
          <w:rFonts w:ascii="Arial" w:eastAsia="Arial" w:hAnsi="Arial" w:cs="Arial"/>
        </w:rPr>
      </w:pPr>
      <w:r>
        <w:rPr>
          <w:rFonts w:ascii="Arial" w:eastAsia="Arial" w:hAnsi="Arial" w:cs="Arial"/>
        </w:rPr>
        <w:lastRenderedPageBreak/>
        <w:t xml:space="preserve">Puntos 6 y 7; artículos 12 y 13, punto 21. </w:t>
      </w:r>
    </w:p>
    <w:p w:rsidR="00A06ACD" w:rsidRDefault="00347649">
      <w:pPr>
        <w:spacing w:after="0" w:line="240" w:lineRule="auto"/>
        <w:jc w:val="both"/>
        <w:rPr>
          <w:rFonts w:ascii="Arial" w:eastAsia="Arial" w:hAnsi="Arial" w:cs="Arial"/>
        </w:rPr>
      </w:pPr>
      <w:r>
        <w:rPr>
          <w:rFonts w:ascii="Arial" w:eastAsia="Arial" w:hAnsi="Arial" w:cs="Arial"/>
        </w:rPr>
        <w:t xml:space="preserve">Sobre </w:t>
      </w:r>
      <w:r w:rsidR="0056678B">
        <w:rPr>
          <w:rFonts w:ascii="Arial" w:eastAsia="Arial" w:hAnsi="Arial" w:cs="Arial"/>
        </w:rPr>
        <w:t>las</w:t>
      </w:r>
      <w:r>
        <w:rPr>
          <w:rFonts w:ascii="Arial" w:eastAsia="Arial" w:hAnsi="Arial" w:cs="Arial"/>
        </w:rPr>
        <w:t xml:space="preserve"> preguntas relacionadas con datos estadísticos, c</w:t>
      </w:r>
      <w:r>
        <w:rPr>
          <w:rFonts w:ascii="Arial" w:eastAsia="Arial" w:hAnsi="Arial" w:cs="Arial"/>
        </w:rPr>
        <w:t xml:space="preserve">onsideramos que se debe enfatizar — de acuerdo al caso— en la falta de data desglosada por discapacidad en los registros estadísticos de las diferentes entidades. </w:t>
      </w:r>
    </w:p>
    <w:p w:rsidR="00A06ACD" w:rsidRDefault="00A06ACD">
      <w:pPr>
        <w:spacing w:after="0" w:line="240" w:lineRule="auto"/>
        <w:rPr>
          <w:rFonts w:ascii="Arial" w:eastAsia="Arial" w:hAnsi="Arial" w:cs="Arial"/>
        </w:rPr>
      </w:pPr>
    </w:p>
    <w:p w:rsidR="00A06ACD" w:rsidRDefault="00A06ACD">
      <w:pPr>
        <w:rPr>
          <w:rFonts w:ascii="Arial" w:eastAsia="Arial" w:hAnsi="Arial" w:cs="Arial"/>
          <w:b/>
        </w:rPr>
      </w:pPr>
    </w:p>
    <w:sectPr w:rsidR="00A06ACD">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649" w:rsidRDefault="00347649">
      <w:pPr>
        <w:spacing w:after="0" w:line="240" w:lineRule="auto"/>
      </w:pPr>
      <w:r>
        <w:separator/>
      </w:r>
    </w:p>
  </w:endnote>
  <w:endnote w:type="continuationSeparator" w:id="0">
    <w:p w:rsidR="00347649" w:rsidRDefault="00347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649" w:rsidRDefault="00347649">
      <w:pPr>
        <w:spacing w:after="0" w:line="240" w:lineRule="auto"/>
      </w:pPr>
      <w:r>
        <w:separator/>
      </w:r>
    </w:p>
  </w:footnote>
  <w:footnote w:type="continuationSeparator" w:id="0">
    <w:p w:rsidR="00347649" w:rsidRDefault="00347649">
      <w:pPr>
        <w:spacing w:after="0" w:line="240" w:lineRule="auto"/>
      </w:pPr>
      <w:r>
        <w:continuationSeparator/>
      </w:r>
    </w:p>
  </w:footnote>
  <w:footnote w:id="1">
    <w:p w:rsidR="00942281" w:rsidRPr="0091702A" w:rsidRDefault="00942281" w:rsidP="00942281">
      <w:pPr>
        <w:pStyle w:val="Textonotapie"/>
        <w:spacing w:after="0"/>
        <w:rPr>
          <w:rFonts w:ascii="Arial Narrow" w:hAnsi="Arial Narrow"/>
          <w:sz w:val="20"/>
          <w:szCs w:val="20"/>
        </w:rPr>
      </w:pPr>
      <w:r w:rsidRPr="00A3622E">
        <w:rPr>
          <w:rStyle w:val="Refdenotaalpie"/>
          <w:rFonts w:ascii="Arial Narrow" w:hAnsi="Arial Narrow"/>
          <w:sz w:val="20"/>
          <w:szCs w:val="20"/>
        </w:rPr>
        <w:footnoteRef/>
      </w:r>
      <w:r w:rsidRPr="0091702A">
        <w:rPr>
          <w:rFonts w:ascii="Arial Narrow" w:hAnsi="Arial Narrow"/>
          <w:sz w:val="20"/>
          <w:szCs w:val="20"/>
        </w:rPr>
        <w:t xml:space="preserve">Andares,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2.Asociación de Abogados con Discapacidad visual</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3.Autismo Perú,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4.Aynimundo,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5.Centro de Empoderamiento de Personas con Discapacidad – CEMPDIS,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6.Clínica Jurídica de Discapacidad y Derechos Humanos de la PUCP,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7.Comisión de Damas Invidentes del Perú – CODIP,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8. Colectivo 21,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9.Federación Nacional de Mujeres con Discapacidad del Perú – FENAMUDIP,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10.Fraternidad Cristiana de Personas con Discapacidad - FRATER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11.Musas Inspiradoras de Cambios,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12.Paz y Esperanza,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13.Perú Equidad,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 xml:space="preserve">14.Sociedad y Discapacidad – SODIS , </w:t>
      </w:r>
    </w:p>
    <w:p w:rsidR="00942281" w:rsidRPr="0091702A" w:rsidRDefault="00942281" w:rsidP="00942281">
      <w:pPr>
        <w:pStyle w:val="Textonotapie"/>
        <w:spacing w:after="0"/>
        <w:rPr>
          <w:rFonts w:ascii="Arial Narrow" w:hAnsi="Arial Narrow"/>
          <w:sz w:val="20"/>
          <w:szCs w:val="20"/>
        </w:rPr>
      </w:pPr>
      <w:r w:rsidRPr="0091702A">
        <w:rPr>
          <w:rFonts w:ascii="Arial Narrow" w:hAnsi="Arial Narrow"/>
          <w:sz w:val="20"/>
          <w:szCs w:val="20"/>
        </w:rPr>
        <w:t>15. Sociedad Peruana de Síndrome Down – SPSD y la</w:t>
      </w:r>
    </w:p>
    <w:p w:rsidR="00942281" w:rsidRPr="00A3622E" w:rsidRDefault="00942281" w:rsidP="00942281">
      <w:pPr>
        <w:pStyle w:val="Textonotapie"/>
        <w:spacing w:after="0"/>
        <w:rPr>
          <w:rFonts w:ascii="Arial Narrow" w:hAnsi="Arial Narrow"/>
          <w:sz w:val="20"/>
          <w:szCs w:val="20"/>
        </w:rPr>
      </w:pPr>
      <w:r w:rsidRPr="0091702A">
        <w:rPr>
          <w:rFonts w:ascii="Arial Narrow" w:hAnsi="Arial Narrow"/>
          <w:sz w:val="20"/>
          <w:szCs w:val="20"/>
        </w:rPr>
        <w:t>16. Unión Nacional de Ciegos del Perú</w:t>
      </w:r>
    </w:p>
  </w:footnote>
  <w:footnote w:id="2">
    <w:p w:rsidR="00A06ACD" w:rsidRDefault="00347649">
      <w:pPr>
        <w:spacing w:after="0"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Ley General de salud Ley Nº 26842, artículo 11, literal g. </w:t>
      </w:r>
    </w:p>
  </w:footnote>
  <w:footnote w:id="3">
    <w:p w:rsidR="00A06ACD" w:rsidRDefault="00347649">
      <w:pPr>
        <w:spacing w:after="0"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Aprobado mediante Decreto Supremo Nº 033-2015-SA</w:t>
      </w:r>
    </w:p>
  </w:footnote>
  <w:footnote w:id="4">
    <w:p w:rsidR="00A06ACD" w:rsidRDefault="00347649">
      <w:pPr>
        <w:pBdr>
          <w:top w:val="nil"/>
          <w:left w:val="nil"/>
          <w:bottom w:val="nil"/>
          <w:right w:val="nil"/>
          <w:between w:val="nil"/>
        </w:pBdr>
        <w:spacing w:after="0" w:line="240" w:lineRule="auto"/>
        <w:rPr>
          <w:sz w:val="20"/>
          <w:szCs w:val="20"/>
        </w:rPr>
      </w:pPr>
      <w:r>
        <w:rPr>
          <w:vertAlign w:val="superscript"/>
        </w:rPr>
        <w:footnoteRef/>
      </w:r>
      <w:r>
        <w:rPr>
          <w:sz w:val="20"/>
          <w:szCs w:val="20"/>
        </w:rPr>
        <w:t xml:space="preserve"> </w:t>
      </w:r>
      <w:r>
        <w:rPr>
          <w:rFonts w:ascii="Arial" w:eastAsia="Arial" w:hAnsi="Arial" w:cs="Arial"/>
          <w:sz w:val="18"/>
          <w:szCs w:val="18"/>
        </w:rPr>
        <w:t>Reglamento de la Ley Nº 29889, artículo 15º, literal b</w:t>
      </w:r>
      <w:r>
        <w:rPr>
          <w:rFonts w:ascii="Arial" w:eastAsia="Arial" w:hAnsi="Arial" w:cs="Arial"/>
        </w:rPr>
        <w:t>.</w:t>
      </w:r>
    </w:p>
  </w:footnote>
  <w:footnote w:id="5">
    <w:p w:rsidR="00A06ACD" w:rsidRDefault="00347649">
      <w:pPr>
        <w:spacing w:after="0" w:line="240" w:lineRule="auto"/>
        <w:rPr>
          <w:sz w:val="20"/>
          <w:szCs w:val="20"/>
        </w:rPr>
      </w:pPr>
      <w:r>
        <w:rPr>
          <w:vertAlign w:val="superscript"/>
        </w:rPr>
        <w:footnoteRef/>
      </w:r>
      <w:r>
        <w:rPr>
          <w:sz w:val="20"/>
          <w:szCs w:val="20"/>
        </w:rPr>
        <w:t xml:space="preserve"> </w:t>
      </w:r>
      <w:r>
        <w:rPr>
          <w:rFonts w:ascii="Arial" w:eastAsia="Arial" w:hAnsi="Arial" w:cs="Arial"/>
          <w:sz w:val="18"/>
          <w:szCs w:val="18"/>
        </w:rPr>
        <w:t>Reglamento de la Ley Nº 29889, artículo 16º, literal b.</w:t>
      </w:r>
    </w:p>
  </w:footnote>
  <w:footnote w:id="6">
    <w:p w:rsidR="00A06ACD" w:rsidRDefault="00347649">
      <w:pPr>
        <w:spacing w:after="0" w:line="240" w:lineRule="auto"/>
        <w:rPr>
          <w:sz w:val="20"/>
          <w:szCs w:val="20"/>
        </w:rPr>
      </w:pPr>
      <w:r>
        <w:rPr>
          <w:vertAlign w:val="superscript"/>
        </w:rPr>
        <w:footnoteRef/>
      </w:r>
      <w:r>
        <w:rPr>
          <w:sz w:val="20"/>
          <w:szCs w:val="20"/>
        </w:rPr>
        <w:t xml:space="preserve"> </w:t>
      </w:r>
      <w:r>
        <w:rPr>
          <w:rFonts w:ascii="Arial" w:eastAsia="Arial" w:hAnsi="Arial" w:cs="Arial"/>
          <w:sz w:val="18"/>
          <w:szCs w:val="18"/>
        </w:rPr>
        <w:t>Reglamento de la Ley Nº 29889, artículo 16º, literal e.</w:t>
      </w:r>
    </w:p>
  </w:footnote>
  <w:footnote w:id="7">
    <w:p w:rsidR="00A06ACD" w:rsidRDefault="00347649">
      <w:pPr>
        <w:spacing w:after="0" w:line="240" w:lineRule="auto"/>
        <w:rPr>
          <w:sz w:val="20"/>
          <w:szCs w:val="20"/>
        </w:rPr>
      </w:pPr>
      <w:r>
        <w:rPr>
          <w:vertAlign w:val="superscript"/>
        </w:rPr>
        <w:footnoteRef/>
      </w:r>
      <w:r>
        <w:rPr>
          <w:sz w:val="20"/>
          <w:szCs w:val="20"/>
        </w:rPr>
        <w:t xml:space="preserve"> Código Penal Peruano, artículo 20. </w:t>
      </w:r>
    </w:p>
  </w:footnote>
  <w:footnote w:id="8">
    <w:p w:rsidR="00A06ACD" w:rsidRDefault="00347649">
      <w:pPr>
        <w:spacing w:after="0" w:line="240" w:lineRule="auto"/>
        <w:rPr>
          <w:sz w:val="20"/>
          <w:szCs w:val="20"/>
        </w:rPr>
      </w:pPr>
      <w:r>
        <w:rPr>
          <w:vertAlign w:val="superscript"/>
        </w:rPr>
        <w:footnoteRef/>
      </w:r>
      <w:r>
        <w:rPr>
          <w:sz w:val="20"/>
          <w:szCs w:val="20"/>
        </w:rPr>
        <w:t xml:space="preserve"> Tribunal Constitucional Peruano, </w:t>
      </w:r>
      <w:r>
        <w:rPr>
          <w:rFonts w:ascii="Arial" w:eastAsia="Arial" w:hAnsi="Arial" w:cs="Arial"/>
          <w:sz w:val="20"/>
          <w:szCs w:val="20"/>
        </w:rPr>
        <w:t>Caso 03426-2008-PHC/TC.</w:t>
      </w:r>
    </w:p>
  </w:footnote>
  <w:footnote w:id="9">
    <w:p w:rsidR="00A06ACD" w:rsidRDefault="00347649">
      <w:pPr>
        <w:spacing w:after="0" w:line="240" w:lineRule="auto"/>
        <w:rPr>
          <w:sz w:val="20"/>
          <w:szCs w:val="20"/>
        </w:rPr>
      </w:pPr>
      <w:r>
        <w:rPr>
          <w:vertAlign w:val="superscript"/>
        </w:rPr>
        <w:footnoteRef/>
      </w:r>
      <w:r>
        <w:rPr>
          <w:sz w:val="20"/>
          <w:szCs w:val="20"/>
        </w:rPr>
        <w:t xml:space="preserve"> </w:t>
      </w:r>
      <w:proofErr w:type="spellStart"/>
      <w:r>
        <w:rPr>
          <w:sz w:val="20"/>
          <w:szCs w:val="20"/>
        </w:rPr>
        <w:t>Ibid</w:t>
      </w:r>
      <w:proofErr w:type="spellEnd"/>
      <w:r>
        <w:rPr>
          <w:sz w:val="20"/>
          <w:szCs w:val="20"/>
        </w:rPr>
        <w:t xml:space="preserve">. </w:t>
      </w:r>
    </w:p>
  </w:footnote>
  <w:footnote w:id="10">
    <w:p w:rsidR="00A06ACD" w:rsidRDefault="00347649">
      <w:pPr>
        <w:spacing w:after="0" w:line="240" w:lineRule="auto"/>
        <w:rPr>
          <w:sz w:val="20"/>
          <w:szCs w:val="20"/>
        </w:rPr>
      </w:pPr>
      <w:r>
        <w:rPr>
          <w:vertAlign w:val="superscript"/>
        </w:rPr>
        <w:footnoteRef/>
      </w:r>
      <w:r>
        <w:rPr>
          <w:sz w:val="20"/>
          <w:szCs w:val="20"/>
        </w:rPr>
        <w:t xml:space="preserve"> </w:t>
      </w:r>
      <w:proofErr w:type="spellStart"/>
      <w:r>
        <w:rPr>
          <w:sz w:val="20"/>
          <w:szCs w:val="20"/>
        </w:rPr>
        <w:t>Ibid</w:t>
      </w:r>
      <w:proofErr w:type="spellEnd"/>
      <w:r>
        <w:rPr>
          <w:sz w:val="20"/>
          <w:szCs w:val="20"/>
        </w:rPr>
        <w:t xml:space="preserve">. </w:t>
      </w:r>
    </w:p>
  </w:footnote>
  <w:footnote w:id="11">
    <w:p w:rsidR="00A06ACD" w:rsidRDefault="00347649">
      <w:pPr>
        <w:spacing w:after="0" w:line="240" w:lineRule="auto"/>
        <w:rPr>
          <w:sz w:val="20"/>
          <w:szCs w:val="20"/>
        </w:rPr>
      </w:pPr>
      <w:r>
        <w:rPr>
          <w:vertAlign w:val="superscript"/>
        </w:rPr>
        <w:footnoteRef/>
      </w:r>
      <w:r>
        <w:rPr>
          <w:sz w:val="20"/>
          <w:szCs w:val="20"/>
        </w:rPr>
        <w:t xml:space="preserve"> Defensoría del Pueblo, Perú. Informes 102 y 140, Salud Mental y Derechos Humanos. </w:t>
      </w:r>
    </w:p>
  </w:footnote>
  <w:footnote w:id="12">
    <w:p w:rsidR="00A06ACD" w:rsidRDefault="00347649">
      <w:pPr>
        <w:spacing w:after="0" w:line="240" w:lineRule="auto"/>
        <w:rPr>
          <w:sz w:val="20"/>
          <w:szCs w:val="20"/>
        </w:rPr>
      </w:pPr>
      <w:r>
        <w:rPr>
          <w:vertAlign w:val="superscript"/>
        </w:rPr>
        <w:footnoteRef/>
      </w:r>
      <w:r>
        <w:rPr>
          <w:sz w:val="20"/>
          <w:szCs w:val="20"/>
        </w:rPr>
        <w:t xml:space="preserve"> Véase: </w:t>
      </w:r>
      <w:hyperlink r:id="rId1">
        <w:r>
          <w:rPr>
            <w:color w:val="1155CC"/>
            <w:sz w:val="20"/>
            <w:szCs w:val="20"/>
            <w:u w:val="single"/>
          </w:rPr>
          <w:t>http://www.defensoria.gob.pe/demandamos-suspender-uso-de-terapia-electroconvulsiva-en-hospital-hermilio-valdizan/</w:t>
        </w:r>
      </w:hyperlink>
    </w:p>
    <w:p w:rsidR="00A06ACD" w:rsidRDefault="00A06ACD">
      <w:pPr>
        <w:spacing w:after="0"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ACD"/>
    <w:rsid w:val="00347649"/>
    <w:rsid w:val="0056678B"/>
    <w:rsid w:val="00942281"/>
    <w:rsid w:val="00A06AC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A4AB56-F2A0-488B-9A73-8EFC9F07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spacing w:before="100" w:after="100" w:line="240" w:lineRule="auto"/>
      <w:outlineLvl w:val="2"/>
    </w:pPr>
    <w:rPr>
      <w:rFonts w:ascii="Times New Roman" w:eastAsia="Times New Roman" w:hAnsi="Times New Roman" w:cs="Times New Roman"/>
      <w:b/>
      <w:sz w:val="27"/>
      <w:szCs w:val="27"/>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FA Fu?notente,Ca,C"/>
    <w:basedOn w:val="Normal"/>
    <w:link w:val="TextonotapieCar"/>
    <w:unhideWhenUsed/>
    <w:qFormat/>
    <w:rsid w:val="00942281"/>
    <w:pPr>
      <w:spacing w:after="200" w:line="240" w:lineRule="auto"/>
      <w:jc w:val="both"/>
    </w:pPr>
    <w:rPr>
      <w:rFonts w:asciiTheme="minorHAnsi" w:eastAsiaTheme="minorHAnsi" w:hAnsiTheme="minorHAnsi" w:cstheme="minorBidi"/>
      <w:sz w:val="24"/>
      <w:szCs w:val="24"/>
      <w:lang w:val="es-PE"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C Car"/>
    <w:basedOn w:val="Fuentedeprrafopredeter"/>
    <w:link w:val="Textonotapie"/>
    <w:rsid w:val="00942281"/>
    <w:rPr>
      <w:rFonts w:asciiTheme="minorHAnsi" w:eastAsiaTheme="minorHAnsi" w:hAnsiTheme="minorHAnsi" w:cstheme="minorBidi"/>
      <w:sz w:val="24"/>
      <w:szCs w:val="24"/>
      <w:lang w:val="es-PE" w:eastAsia="en-US"/>
    </w:rPr>
  </w:style>
  <w:style w:type="character" w:styleId="Refdenotaalpie">
    <w:name w:val="footnote reference"/>
    <w:aliases w:val="Texto de nota al pie,Appel note de bas de page,Footnotes refss,Footnote number,referencia nota al pie,BVI fnr,f,Ref. de nota al pie.,4_G,16 Point,Superscript 6 Point,Texto nota al pie,Footnote Reference Char3,Ref,de nota al pie"/>
    <w:basedOn w:val="Fuentedeprrafopredeter"/>
    <w:uiPriority w:val="99"/>
    <w:unhideWhenUsed/>
    <w:rsid w:val="009422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www.defensoria.gob.pe/demandamos-suspender-uso-de-terapia-electroconvulsiva-en-hospital-hermilio-valdiz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D7D119-2C28-41EF-A540-1F13F269B00E}"/>
</file>

<file path=customXml/itemProps2.xml><?xml version="1.0" encoding="utf-8"?>
<ds:datastoreItem xmlns:ds="http://schemas.openxmlformats.org/officeDocument/2006/customXml" ds:itemID="{A50C2321-575B-45CF-A2B4-D21F73513EF7}"/>
</file>

<file path=customXml/itemProps3.xml><?xml version="1.0" encoding="utf-8"?>
<ds:datastoreItem xmlns:ds="http://schemas.openxmlformats.org/officeDocument/2006/customXml" ds:itemID="{6C58D6BC-1D42-4E46-A2F9-66ED81666119}"/>
</file>

<file path=docProps/app.xml><?xml version="1.0" encoding="utf-8"?>
<Properties xmlns="http://schemas.openxmlformats.org/officeDocument/2006/extended-properties" xmlns:vt="http://schemas.openxmlformats.org/officeDocument/2006/docPropsVTypes">
  <Template>Normal</Template>
  <TotalTime>0</TotalTime>
  <Pages>4</Pages>
  <Words>1083</Words>
  <Characters>5962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msovero</dc:creator>
  <cp:lastModifiedBy>Milagros Sovero</cp:lastModifiedBy>
  <cp:revision>2</cp:revision>
  <dcterms:created xsi:type="dcterms:W3CDTF">2018-10-11T20:36:00Z</dcterms:created>
  <dcterms:modified xsi:type="dcterms:W3CDTF">2018-10-11T20:36:00Z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