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AD3800" w14:textId="77777777" w:rsidR="00B6429B" w:rsidRDefault="00000000">
      <w:r>
        <w:rPr>
          <w:noProof/>
        </w:rPr>
        <w:drawing>
          <wp:anchor distT="0" distB="0" distL="114300" distR="114300" simplePos="0" relativeHeight="251658240" behindDoc="0" locked="0" layoutInCell="1" hidden="0" allowOverlap="1" wp14:anchorId="6EAD38A4" wp14:editId="6EAD38A5">
            <wp:simplePos x="0" y="0"/>
            <wp:positionH relativeFrom="page">
              <wp:posOffset>4362450</wp:posOffset>
            </wp:positionH>
            <wp:positionV relativeFrom="page">
              <wp:posOffset>542925</wp:posOffset>
            </wp:positionV>
            <wp:extent cx="1737895" cy="495300"/>
            <wp:effectExtent l="0" t="0" r="0" b="0"/>
            <wp:wrapSquare wrapText="bothSides" distT="0" distB="0" distL="114300" distR="114300"/>
            <wp:docPr id="1132347530" name="image4.png" descr="A black and white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4.png" descr="A black and white logo&#10;&#10;Description automatically generated"/>
                    <pic:cNvPicPr preferRelativeResize="0"/>
                  </pic:nvPicPr>
                  <pic:blipFill>
                    <a:blip r:embed="rId9"/>
                    <a:srcRect/>
                    <a:stretch>
                      <a:fillRect/>
                    </a:stretch>
                  </pic:blipFill>
                  <pic:spPr>
                    <a:xfrm>
                      <a:off x="0" y="0"/>
                      <a:ext cx="1737895" cy="495300"/>
                    </a:xfrm>
                    <a:prstGeom prst="rect">
                      <a:avLst/>
                    </a:prstGeom>
                    <a:ln/>
                  </pic:spPr>
                </pic:pic>
              </a:graphicData>
            </a:graphic>
          </wp:anchor>
        </w:drawing>
      </w:r>
      <w:r>
        <w:rPr>
          <w:noProof/>
        </w:rPr>
        <w:drawing>
          <wp:anchor distT="0" distB="0" distL="0" distR="0" simplePos="0" relativeHeight="251659264" behindDoc="1" locked="0" layoutInCell="1" hidden="0" allowOverlap="1" wp14:anchorId="6EAD38A6" wp14:editId="6EAD38A7">
            <wp:simplePos x="0" y="0"/>
            <wp:positionH relativeFrom="page">
              <wp:posOffset>914400</wp:posOffset>
            </wp:positionH>
            <wp:positionV relativeFrom="page">
              <wp:posOffset>504825</wp:posOffset>
            </wp:positionV>
            <wp:extent cx="2517622" cy="566738"/>
            <wp:effectExtent l="0" t="0" r="0" b="0"/>
            <wp:wrapNone/>
            <wp:docPr id="113234752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2517622" cy="566738"/>
                    </a:xfrm>
                    <a:prstGeom prst="rect">
                      <a:avLst/>
                    </a:prstGeom>
                    <a:ln/>
                  </pic:spPr>
                </pic:pic>
              </a:graphicData>
            </a:graphic>
          </wp:anchor>
        </w:drawing>
      </w:r>
      <w:r>
        <w:t xml:space="preserve">          </w:t>
      </w:r>
    </w:p>
    <w:p w14:paraId="6EAD3801" w14:textId="7DDC2979" w:rsidR="00B6429B" w:rsidRDefault="00000000">
      <w:pPr>
        <w:pBdr>
          <w:top w:val="single" w:sz="4" w:space="1" w:color="000000"/>
          <w:left w:val="single" w:sz="4" w:space="4" w:color="000000"/>
          <w:bottom w:val="single" w:sz="4" w:space="1" w:color="000000"/>
          <w:right w:val="single" w:sz="4" w:space="4" w:color="000000"/>
        </w:pBdr>
        <w:shd w:val="clear" w:color="auto" w:fill="E7E6E6"/>
        <w:spacing w:after="0"/>
        <w:jc w:val="center"/>
        <w:rPr>
          <w:b/>
          <w:sz w:val="28"/>
          <w:szCs w:val="28"/>
        </w:rPr>
      </w:pPr>
      <w:r>
        <w:rPr>
          <w:b/>
          <w:noProof/>
          <w:sz w:val="28"/>
          <w:szCs w:val="28"/>
        </w:rPr>
        <w:drawing>
          <wp:anchor distT="114300" distB="114300" distL="114300" distR="114300" simplePos="0" relativeHeight="251660288" behindDoc="0" locked="0" layoutInCell="1" hidden="0" allowOverlap="1" wp14:anchorId="6EAD38A8" wp14:editId="59464902">
            <wp:simplePos x="0" y="0"/>
            <wp:positionH relativeFrom="page">
              <wp:posOffset>914400</wp:posOffset>
            </wp:positionH>
            <wp:positionV relativeFrom="page">
              <wp:posOffset>1319213</wp:posOffset>
            </wp:positionV>
            <wp:extent cx="2686050" cy="407271"/>
            <wp:effectExtent l="0" t="0" r="0" b="0"/>
            <wp:wrapTopAndBottom distT="114300" distB="114300"/>
            <wp:docPr id="113234753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extLst>
                        <a:ext uri="{BEBA8EAE-BF5A-486C-A8C5-ECC9F3942E4B}">
                          <a14:imgProps xmlns:a14="http://schemas.microsoft.com/office/drawing/2010/main">
                            <a14:imgLayer r:embed="rId12">
                              <a14:imgEffect>
                                <a14:saturation sat="0"/>
                              </a14:imgEffect>
                            </a14:imgLayer>
                          </a14:imgProps>
                        </a:ext>
                      </a:extLst>
                    </a:blip>
                    <a:srcRect/>
                    <a:stretch>
                      <a:fillRect/>
                    </a:stretch>
                  </pic:blipFill>
                  <pic:spPr>
                    <a:xfrm>
                      <a:off x="0" y="0"/>
                      <a:ext cx="2686050" cy="407271"/>
                    </a:xfrm>
                    <a:prstGeom prst="rect">
                      <a:avLst/>
                    </a:prstGeom>
                    <a:ln/>
                  </pic:spPr>
                </pic:pic>
              </a:graphicData>
            </a:graphic>
          </wp:anchor>
        </w:drawing>
      </w:r>
      <w:r>
        <w:rPr>
          <w:b/>
          <w:noProof/>
          <w:sz w:val="28"/>
          <w:szCs w:val="28"/>
        </w:rPr>
        <w:drawing>
          <wp:anchor distT="0" distB="0" distL="114300" distR="114300" simplePos="0" relativeHeight="251661312" behindDoc="0" locked="0" layoutInCell="1" hidden="0" allowOverlap="1" wp14:anchorId="6EAD38AA" wp14:editId="6EAD38AB">
            <wp:simplePos x="0" y="0"/>
            <wp:positionH relativeFrom="page">
              <wp:posOffset>4029075</wp:posOffset>
            </wp:positionH>
            <wp:positionV relativeFrom="page">
              <wp:posOffset>1238250</wp:posOffset>
            </wp:positionV>
            <wp:extent cx="2403662" cy="571500"/>
            <wp:effectExtent l="0" t="0" r="0" b="0"/>
            <wp:wrapSquare wrapText="bothSides" distT="0" distB="0" distL="114300" distR="114300"/>
            <wp:docPr id="1132347529" name="image2.jpg" descr="A black arrows in a circ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jpg" descr="A black arrows in a circle&#10;&#10;Description automatically generated"/>
                    <pic:cNvPicPr preferRelativeResize="0"/>
                  </pic:nvPicPr>
                  <pic:blipFill>
                    <a:blip r:embed="rId13"/>
                    <a:srcRect/>
                    <a:stretch>
                      <a:fillRect/>
                    </a:stretch>
                  </pic:blipFill>
                  <pic:spPr>
                    <a:xfrm>
                      <a:off x="0" y="0"/>
                      <a:ext cx="2403662" cy="571500"/>
                    </a:xfrm>
                    <a:prstGeom prst="rect">
                      <a:avLst/>
                    </a:prstGeom>
                    <a:ln/>
                  </pic:spPr>
                </pic:pic>
              </a:graphicData>
            </a:graphic>
          </wp:anchor>
        </w:drawing>
      </w:r>
      <w:r w:rsidR="00843077">
        <w:rPr>
          <w:b/>
          <w:sz w:val="28"/>
          <w:szCs w:val="28"/>
        </w:rPr>
        <w:t>Parallel</w:t>
      </w:r>
      <w:r>
        <w:rPr>
          <w:b/>
          <w:sz w:val="28"/>
          <w:szCs w:val="28"/>
        </w:rPr>
        <w:t xml:space="preserve"> Report on the United Kingdom </w:t>
      </w:r>
    </w:p>
    <w:p w14:paraId="6EAD3802" w14:textId="77777777" w:rsidR="00B6429B" w:rsidRDefault="00000000">
      <w:pPr>
        <w:pBdr>
          <w:top w:val="single" w:sz="4" w:space="1" w:color="000000"/>
          <w:left w:val="single" w:sz="4" w:space="4" w:color="000000"/>
          <w:bottom w:val="single" w:sz="4" w:space="1" w:color="000000"/>
          <w:right w:val="single" w:sz="4" w:space="4" w:color="000000"/>
        </w:pBdr>
        <w:shd w:val="clear" w:color="auto" w:fill="E7E6E6"/>
        <w:jc w:val="center"/>
        <w:rPr>
          <w:b/>
          <w:sz w:val="28"/>
          <w:szCs w:val="28"/>
        </w:rPr>
      </w:pPr>
      <w:r>
        <w:rPr>
          <w:b/>
          <w:sz w:val="28"/>
          <w:szCs w:val="28"/>
        </w:rPr>
        <w:t>for the Committee</w:t>
      </w:r>
      <w:r>
        <w:rPr>
          <w:sz w:val="28"/>
          <w:szCs w:val="28"/>
        </w:rPr>
        <w:t xml:space="preserve"> </w:t>
      </w:r>
      <w:r>
        <w:rPr>
          <w:b/>
          <w:sz w:val="28"/>
          <w:szCs w:val="28"/>
        </w:rPr>
        <w:t xml:space="preserve">on Economic, Social and Cultural Rights 77th Session </w:t>
      </w:r>
    </w:p>
    <w:p w14:paraId="6EAD3803" w14:textId="77777777" w:rsidR="00B6429B" w:rsidRDefault="00000000">
      <w:pPr>
        <w:pBdr>
          <w:top w:val="single" w:sz="4" w:space="1" w:color="000000"/>
          <w:left w:val="single" w:sz="4" w:space="4" w:color="000000"/>
          <w:bottom w:val="single" w:sz="4" w:space="1" w:color="000000"/>
          <w:right w:val="single" w:sz="4" w:space="4" w:color="000000"/>
        </w:pBdr>
        <w:shd w:val="clear" w:color="auto" w:fill="E7E6E6"/>
        <w:spacing w:line="240" w:lineRule="auto"/>
        <w:jc w:val="center"/>
        <w:rPr>
          <w:sz w:val="24"/>
          <w:szCs w:val="24"/>
        </w:rPr>
      </w:pPr>
      <w:r>
        <w:rPr>
          <w:sz w:val="24"/>
          <w:szCs w:val="24"/>
        </w:rPr>
        <w:t>Transnational Law Institute, King’s College London</w:t>
      </w:r>
    </w:p>
    <w:p w14:paraId="6EAD3804" w14:textId="77777777" w:rsidR="00B6429B" w:rsidRDefault="00000000">
      <w:pPr>
        <w:pBdr>
          <w:top w:val="single" w:sz="4" w:space="1" w:color="000000"/>
          <w:left w:val="single" w:sz="4" w:space="4" w:color="000000"/>
          <w:bottom w:val="single" w:sz="4" w:space="1" w:color="000000"/>
          <w:right w:val="single" w:sz="4" w:space="4" w:color="000000"/>
        </w:pBdr>
        <w:shd w:val="clear" w:color="auto" w:fill="E7E6E6"/>
        <w:spacing w:line="240" w:lineRule="auto"/>
        <w:jc w:val="center"/>
        <w:rPr>
          <w:sz w:val="24"/>
          <w:szCs w:val="24"/>
        </w:rPr>
      </w:pPr>
      <w:r>
        <w:rPr>
          <w:sz w:val="24"/>
          <w:szCs w:val="24"/>
        </w:rPr>
        <w:t>Leigh Day</w:t>
      </w:r>
    </w:p>
    <w:p w14:paraId="6EAD3805" w14:textId="77777777" w:rsidR="00B6429B" w:rsidRDefault="00000000">
      <w:pPr>
        <w:pBdr>
          <w:top w:val="single" w:sz="4" w:space="1" w:color="000000"/>
          <w:left w:val="single" w:sz="4" w:space="4" w:color="000000"/>
          <w:bottom w:val="single" w:sz="4" w:space="1" w:color="000000"/>
          <w:right w:val="single" w:sz="4" w:space="4" w:color="000000"/>
        </w:pBdr>
        <w:shd w:val="clear" w:color="auto" w:fill="E7E6E6"/>
        <w:spacing w:line="240" w:lineRule="auto"/>
        <w:jc w:val="center"/>
        <w:rPr>
          <w:sz w:val="24"/>
          <w:szCs w:val="24"/>
        </w:rPr>
      </w:pPr>
      <w:r>
        <w:rPr>
          <w:sz w:val="24"/>
          <w:szCs w:val="24"/>
        </w:rPr>
        <w:t>Rights and Accountability in Development (RAID)</w:t>
      </w:r>
    </w:p>
    <w:p w14:paraId="6EAD3806" w14:textId="74046EA6" w:rsidR="005319DD" w:rsidRDefault="00000000">
      <w:pPr>
        <w:pBdr>
          <w:top w:val="single" w:sz="4" w:space="1" w:color="000000"/>
          <w:left w:val="single" w:sz="4" w:space="4" w:color="000000"/>
          <w:bottom w:val="single" w:sz="4" w:space="1" w:color="000000"/>
          <w:right w:val="single" w:sz="4" w:space="4" w:color="000000"/>
        </w:pBdr>
        <w:shd w:val="clear" w:color="auto" w:fill="E7E6E6"/>
        <w:spacing w:line="240" w:lineRule="auto"/>
        <w:jc w:val="center"/>
        <w:rPr>
          <w:sz w:val="24"/>
          <w:szCs w:val="24"/>
        </w:rPr>
      </w:pPr>
      <w:r>
        <w:rPr>
          <w:sz w:val="24"/>
          <w:szCs w:val="24"/>
        </w:rPr>
        <w:t>Clean Trade</w:t>
      </w:r>
      <w:r w:rsidR="005319DD">
        <w:rPr>
          <w:sz w:val="24"/>
          <w:szCs w:val="24"/>
          <w:vertAlign w:val="superscript"/>
        </w:rPr>
        <w:endnoteReference w:id="1"/>
      </w:r>
    </w:p>
    <w:p w14:paraId="6EAD3808" w14:textId="3DC55422" w:rsidR="005319DD" w:rsidRPr="00920E2C" w:rsidRDefault="005319DD" w:rsidP="00920E2C">
      <w:pPr>
        <w:pBdr>
          <w:top w:val="single" w:sz="4" w:space="1" w:color="000000"/>
          <w:left w:val="single" w:sz="4" w:space="4" w:color="000000"/>
          <w:bottom w:val="single" w:sz="4" w:space="1" w:color="000000"/>
          <w:right w:val="single" w:sz="4" w:space="4" w:color="000000"/>
        </w:pBdr>
        <w:shd w:val="clear" w:color="auto" w:fill="E7E6E6"/>
        <w:jc w:val="center"/>
        <w:rPr>
          <w:vertAlign w:val="superscript"/>
        </w:rPr>
      </w:pPr>
      <w:r>
        <w:t xml:space="preserve">January 2025 </w:t>
      </w:r>
    </w:p>
    <w:p w14:paraId="6EAD3809" w14:textId="77777777" w:rsidR="005319DD" w:rsidRDefault="005319DD">
      <w:pPr>
        <w:rPr>
          <w:b/>
        </w:rPr>
      </w:pPr>
      <w:r>
        <w:rPr>
          <w:b/>
        </w:rPr>
        <w:t>I. Executive Summary</w:t>
      </w:r>
    </w:p>
    <w:p w14:paraId="6EAD380A" w14:textId="77777777" w:rsidR="005319DD" w:rsidRDefault="005319DD">
      <w:r>
        <w:t>We are grateful to the Committee on Economic, Social and Cultural Rights for this opportunity to address them on fundamental issues within the ICESCR. We aim to show that the ICESCR imposes on the UK the obligation to promote and respect the natural resource rights of all peoples, and that the UK government can significantly discharge this obligation by creating greater oversight for specific entities based within its own jurisdiction. Showing this for the UK will emphasize unused strengths of the ICESCR, especially regarding Article 1, that the Committee may find useful in its future work.</w:t>
      </w:r>
    </w:p>
    <w:p w14:paraId="6EAD380B" w14:textId="65219149" w:rsidR="005319DD" w:rsidRDefault="005319DD">
      <w:pPr>
        <w:rPr>
          <w:b/>
        </w:rPr>
      </w:pPr>
      <w:r>
        <w:rPr>
          <w:b/>
        </w:rPr>
        <w:t>We respectfully recommend that the Committee</w:t>
      </w:r>
    </w:p>
    <w:p w14:paraId="6EAD380C" w14:textId="77777777" w:rsidR="005319DD" w:rsidRDefault="005319DD">
      <w:pPr>
        <w:numPr>
          <w:ilvl w:val="0"/>
          <w:numId w:val="1"/>
        </w:numPr>
        <w:spacing w:before="120" w:after="0"/>
        <w:rPr>
          <w:b/>
        </w:rPr>
      </w:pPr>
      <w:r>
        <w:rPr>
          <w:b/>
        </w:rPr>
        <w:t>Robustly affirm the natural resource rights of all peoples: both the rights of indigenous peoples and of national peoples.</w:t>
      </w:r>
    </w:p>
    <w:p w14:paraId="6EAD380D" w14:textId="77777777" w:rsidR="005319DD" w:rsidRDefault="005319DD">
      <w:pPr>
        <w:numPr>
          <w:ilvl w:val="0"/>
          <w:numId w:val="1"/>
        </w:numPr>
        <w:spacing w:after="0"/>
        <w:rPr>
          <w:b/>
        </w:rPr>
      </w:pPr>
      <w:r>
        <w:rPr>
          <w:b/>
        </w:rPr>
        <w:t>Urge the UK government not to waver in its commitment to fully respect resource rights, and to resist the pressures to adopt policies that are detrimental to these rights.</w:t>
      </w:r>
    </w:p>
    <w:p w14:paraId="6EAD380E" w14:textId="77777777" w:rsidR="005319DD" w:rsidRDefault="005319DD">
      <w:pPr>
        <w:numPr>
          <w:ilvl w:val="0"/>
          <w:numId w:val="1"/>
        </w:numPr>
        <w:spacing w:after="0"/>
        <w:rPr>
          <w:b/>
        </w:rPr>
      </w:pPr>
      <w:r>
        <w:rPr>
          <w:b/>
        </w:rPr>
        <w:t xml:space="preserve">Urge the government to pass robust legislation and regulations imposing due diligence duties on its transnational corporations to prevent abuses of the right to natural resources and other human rights. Specifically, the UK government should pass legislation at least as strong as Europe’s </w:t>
      </w:r>
      <w:r>
        <w:rPr>
          <w:b/>
          <w:i/>
        </w:rPr>
        <w:t>Directive on Corporate Sustainability Due Diligence</w:t>
      </w:r>
      <w:r>
        <w:rPr>
          <w:b/>
        </w:rPr>
        <w:t>,</w:t>
      </w:r>
      <w:r>
        <w:rPr>
          <w:b/>
          <w:i/>
        </w:rPr>
        <w:t xml:space="preserve"> Critical Raw Materials Act</w:t>
      </w:r>
      <w:r>
        <w:rPr>
          <w:b/>
        </w:rPr>
        <w:t xml:space="preserve">, and </w:t>
      </w:r>
      <w:r>
        <w:rPr>
          <w:b/>
          <w:i/>
        </w:rPr>
        <w:t>EU Regulation on Deforestation-Free Product</w:t>
      </w:r>
      <w:r>
        <w:rPr>
          <w:b/>
        </w:rPr>
        <w:t>s.</w:t>
      </w:r>
    </w:p>
    <w:p w14:paraId="6EAD380F" w14:textId="77777777" w:rsidR="005319DD" w:rsidRDefault="005319DD">
      <w:pPr>
        <w:numPr>
          <w:ilvl w:val="0"/>
          <w:numId w:val="1"/>
        </w:numPr>
        <w:spacing w:after="0"/>
        <w:rPr>
          <w:b/>
        </w:rPr>
      </w:pPr>
      <w:r>
        <w:rPr>
          <w:b/>
        </w:rPr>
        <w:t>Urge the UK government to pass legislation to impose clear duties and sanctions on regulatory and certification bodies to prevent them from enabling environmental harm and human rights abuses from taking place abroad.</w:t>
      </w:r>
    </w:p>
    <w:p w14:paraId="6EAD3810" w14:textId="77777777" w:rsidR="005319DD" w:rsidRDefault="005319DD">
      <w:pPr>
        <w:numPr>
          <w:ilvl w:val="0"/>
          <w:numId w:val="1"/>
        </w:numPr>
        <w:spacing w:after="0" w:line="240" w:lineRule="auto"/>
        <w:jc w:val="both"/>
        <w:rPr>
          <w:b/>
        </w:rPr>
      </w:pPr>
      <w:r>
        <w:rPr>
          <w:b/>
        </w:rPr>
        <w:t>Urge the UK government to support all of these progressive reforms to the current system of investment arbitration: (i) The Hague Rules on Business and Human Rights Arbitration; (ii) UNCITRAL’s Multilateral Advisory Center, Multilateral Permanent Investment Court, and Appellate Mechanism; (iii) UNIDROIT’s model anti-corruption clause; (iv) The Columbia – Georgetown Framework Convention.</w:t>
      </w:r>
    </w:p>
    <w:p w14:paraId="6EAD3811" w14:textId="77777777" w:rsidR="005319DD" w:rsidRDefault="005319DD">
      <w:pPr>
        <w:numPr>
          <w:ilvl w:val="0"/>
          <w:numId w:val="1"/>
        </w:numPr>
        <w:spacing w:after="240"/>
        <w:rPr>
          <w:b/>
        </w:rPr>
      </w:pPr>
      <w:r>
        <w:rPr>
          <w:b/>
        </w:rPr>
        <w:t>Urge the UK government to support the international efforts aimed at a binding treaty to give stronger effect to the UN Guiding Principles on Business and Human Rights.</w:t>
      </w:r>
    </w:p>
    <w:p w14:paraId="6EAD3813" w14:textId="77777777" w:rsidR="005319DD" w:rsidRDefault="005319DD">
      <w:pPr>
        <w:spacing w:before="240" w:after="240"/>
        <w:rPr>
          <w:b/>
        </w:rPr>
      </w:pPr>
      <w:r>
        <w:rPr>
          <w:b/>
        </w:rPr>
        <w:lastRenderedPageBreak/>
        <w:t>II. Introduction</w:t>
      </w:r>
    </w:p>
    <w:p w14:paraId="6EAD3814" w14:textId="7629BE9F" w:rsidR="005319DD" w:rsidRDefault="005319DD">
      <w:pPr>
        <w:spacing w:before="240" w:after="240"/>
      </w:pPr>
      <w:r>
        <w:t xml:space="preserve">This </w:t>
      </w:r>
      <w:r w:rsidR="00843077">
        <w:t>Parallel</w:t>
      </w:r>
      <w:r>
        <w:t xml:space="preserve"> report is a collaboration between the Transnational Law Institute of King’s College London, Leigh Day, RAID, and Clean Trade—four organisations committed to the full and effective implementation of the natural resource rights of all peoples.</w:t>
      </w:r>
    </w:p>
    <w:p w14:paraId="6EAD3815" w14:textId="77777777" w:rsidR="005319DD" w:rsidRDefault="005319DD">
      <w:pPr>
        <w:spacing w:before="240" w:after="240"/>
      </w:pPr>
      <w:r>
        <w:t>The focus of our report is the rights of peoples over natural resources, a major dimension of the rights of these peoples to self-determination and the subject of Article 1 and Article 25 of the ICESCR. Our report has five main aims:</w:t>
      </w:r>
    </w:p>
    <w:p w14:paraId="6EAD3816" w14:textId="65414E03" w:rsidR="005319DD" w:rsidRDefault="005319DD">
      <w:pPr>
        <w:spacing w:before="240" w:after="240"/>
        <w:ind w:left="720"/>
      </w:pPr>
      <w:r>
        <w:t>1. To provide the Committee with background useful for its review of the UK’s official report;</w:t>
      </w:r>
    </w:p>
    <w:p w14:paraId="6EAD3817" w14:textId="77777777" w:rsidR="005319DD" w:rsidRDefault="005319DD">
      <w:pPr>
        <w:spacing w:before="240" w:after="240"/>
        <w:ind w:left="720"/>
        <w:rPr>
          <w:i/>
        </w:rPr>
      </w:pPr>
      <w:r>
        <w:t xml:space="preserve">2. To apply the Committee's familiar interpretations of Article 1.2 rights to the British context; </w:t>
      </w:r>
    </w:p>
    <w:p w14:paraId="6EAD3818" w14:textId="77777777" w:rsidR="005319DD" w:rsidRDefault="005319DD">
      <w:pPr>
        <w:spacing w:before="240" w:after="240"/>
        <w:ind w:left="720"/>
      </w:pPr>
      <w:r>
        <w:t>3. To encourage the Committee explicitly to affirm the interpretations of Article 1.2 rights that the Committee and other authoritative sources have already implicitly affirmed;</w:t>
      </w:r>
    </w:p>
    <w:p w14:paraId="6EAD3819" w14:textId="77777777" w:rsidR="005319DD" w:rsidRDefault="005319DD">
      <w:pPr>
        <w:spacing w:before="240" w:after="240"/>
        <w:ind w:left="720"/>
      </w:pPr>
      <w:r>
        <w:t>4. To show that Article 1.3 imposes on states especially strong extraterritorial obligations regarding peoples’ resource rights; and</w:t>
      </w:r>
    </w:p>
    <w:p w14:paraId="6EAD381A" w14:textId="77777777" w:rsidR="005319DD" w:rsidRDefault="005319DD">
      <w:pPr>
        <w:spacing w:before="240" w:after="240"/>
        <w:ind w:left="720"/>
        <w:rPr>
          <w:i/>
        </w:rPr>
      </w:pPr>
      <w:r>
        <w:t>5. To encourage the Committee to advise the UK government to take very specific measures within its own jurisdiction to discharge certain of these extraterritorial obligations.</w:t>
      </w:r>
    </w:p>
    <w:p w14:paraId="6EAD381B" w14:textId="6E33E600" w:rsidR="005319DD" w:rsidRDefault="005319DD">
      <w:pPr>
        <w:spacing w:before="240" w:after="240"/>
      </w:pPr>
      <w:r>
        <w:t xml:space="preserve">As our report will emphasize, this is a crucial moment for the Committee </w:t>
      </w:r>
      <w:r>
        <w:rPr>
          <w:b/>
        </w:rPr>
        <w:t>robustly to affirm the resource rights of all peoples: both of indigenous peoples and of the national peoples that are all the citizens of a state</w:t>
      </w:r>
      <w:r>
        <w:t xml:space="preserve">. Abuses of resource rights are rising across the globe. Such abuses are of intrinsic </w:t>
      </w:r>
      <w:r w:rsidR="00B17C41">
        <w:t>concern and</w:t>
      </w:r>
      <w:r>
        <w:t xml:space="preserve"> are also often closely connected with </w:t>
      </w:r>
      <w:r>
        <w:rPr>
          <w:b/>
        </w:rPr>
        <w:t>abuses of other fundamental human rights</w:t>
      </w:r>
      <w:r>
        <w:t xml:space="preserve"> including </w:t>
      </w:r>
      <w:r>
        <w:rPr>
          <w:b/>
        </w:rPr>
        <w:t xml:space="preserve">life, physical integrity, and political participation, </w:t>
      </w:r>
      <w:r>
        <w:t xml:space="preserve">as well as </w:t>
      </w:r>
      <w:r>
        <w:rPr>
          <w:b/>
        </w:rPr>
        <w:t>subsistence and other socio-economic rights</w:t>
      </w:r>
      <w:r>
        <w:t xml:space="preserve"> of peoples. Moreover, when natural resource rights are transgressed, environmental degradation is much more likely to take place.</w:t>
      </w:r>
      <w:r>
        <w:rPr>
          <w:vertAlign w:val="superscript"/>
        </w:rPr>
        <w:endnoteReference w:id="2"/>
      </w:r>
      <w:r>
        <w:t xml:space="preserve"> An abuse of natural resource rights therefore also undermines</w:t>
      </w:r>
      <w:r>
        <w:rPr>
          <w:b/>
        </w:rPr>
        <w:t xml:space="preserve"> the right to a clean, healthy and sustainable environment recognized by the United Nations </w:t>
      </w:r>
      <w:r w:rsidRPr="00F62D40">
        <w:rPr>
          <w:bCs/>
        </w:rPr>
        <w:t>(Resolution 76/300</w:t>
      </w:r>
      <w:r w:rsidR="00217D19" w:rsidRPr="00F62D40">
        <w:rPr>
          <w:bCs/>
        </w:rPr>
        <w:t>)</w:t>
      </w:r>
      <w:r w:rsidRPr="00F62D40">
        <w:rPr>
          <w:bCs/>
        </w:rPr>
        <w:t>.</w:t>
      </w:r>
    </w:p>
    <w:p w14:paraId="6EAD381C" w14:textId="77777777" w:rsidR="005319DD" w:rsidRDefault="005319DD">
      <w:pPr>
        <w:spacing w:before="240" w:after="240"/>
      </w:pPr>
      <w:r>
        <w:t xml:space="preserve">For all these reasons, the protection of resource rights recognized in Article 1 of the ICESCR has never been more critical. We therefore respectfully urge the Committee to consider </w:t>
      </w:r>
      <w:r>
        <w:rPr>
          <w:b/>
        </w:rPr>
        <w:t>strengthening its statements regarding the resource rights recognized in Article 1</w:t>
      </w:r>
      <w:r>
        <w:t xml:space="preserve">, not only in terms of substantive language but also symbolically by placing resource rights at the start of its ‘List of Issues.’ We also ask the Committee to </w:t>
      </w:r>
      <w:r>
        <w:rPr>
          <w:b/>
        </w:rPr>
        <w:t>emphasize the resource rights not only of indigenous peoples but of the national peoples that are the citizens of states</w:t>
      </w:r>
      <w:r>
        <w:t>.</w:t>
      </w:r>
    </w:p>
    <w:p w14:paraId="6EAD381D" w14:textId="77777777" w:rsidR="005319DD" w:rsidRDefault="005319DD"/>
    <w:p w14:paraId="6EAD381E" w14:textId="77777777" w:rsidR="005319DD" w:rsidRDefault="005319DD">
      <w:pPr>
        <w:rPr>
          <w:b/>
        </w:rPr>
      </w:pPr>
      <w:r>
        <w:rPr>
          <w:b/>
        </w:rPr>
        <w:t>III. The Rights of Peoples to Their Resources in Article 1.2</w:t>
      </w:r>
    </w:p>
    <w:p w14:paraId="6EAD381F" w14:textId="77777777" w:rsidR="005319DD" w:rsidRDefault="005319DD">
      <w:r>
        <w:t>As we have highlighted in earlier reports to the CESCR and HRC, both of the human rights Covenants robustly declare the rights of peoples over the resources of their territory.</w:t>
      </w:r>
      <w:r>
        <w:rPr>
          <w:vertAlign w:val="superscript"/>
        </w:rPr>
        <w:endnoteReference w:id="3"/>
      </w:r>
      <w:r>
        <w:t xml:space="preserve"> Common Article 1.2 of the Covenants states that</w:t>
      </w:r>
    </w:p>
    <w:p w14:paraId="6EAD3820" w14:textId="77777777" w:rsidR="005319DD" w:rsidRDefault="005319DD">
      <w:pPr>
        <w:ind w:left="720"/>
        <w:rPr>
          <w:vertAlign w:val="superscript"/>
        </w:rPr>
      </w:pPr>
      <w:r>
        <w:lastRenderedPageBreak/>
        <w:t>All peoples may, for their own ends, freely dispose of their natural wealth and resources . . . In no case may a people be deprived of its own means of subsistence.</w:t>
      </w:r>
      <w:r>
        <w:rPr>
          <w:vertAlign w:val="superscript"/>
        </w:rPr>
        <w:endnoteReference w:id="4"/>
      </w:r>
    </w:p>
    <w:p w14:paraId="6EAD3821" w14:textId="77777777" w:rsidR="005319DD" w:rsidRDefault="005319DD">
      <w:r>
        <w:t>Moreover, both Covenants also reaffirm this right in their last substantive article:</w:t>
      </w:r>
    </w:p>
    <w:p w14:paraId="6EAD3822" w14:textId="77777777" w:rsidR="005319DD" w:rsidRDefault="005319DD">
      <w:pPr>
        <w:ind w:left="720"/>
        <w:rPr>
          <w:vertAlign w:val="superscript"/>
        </w:rPr>
      </w:pPr>
      <w:r>
        <w:t>Nothing in the present Covenant shall be interpreted as impairing the inherent right of all peoples to enjoy and utilize fully and freely their natural wealth and resources.</w:t>
      </w:r>
      <w:r>
        <w:rPr>
          <w:vertAlign w:val="superscript"/>
        </w:rPr>
        <w:endnoteReference w:id="5"/>
      </w:r>
    </w:p>
    <w:p w14:paraId="6EAD3823" w14:textId="77777777" w:rsidR="005319DD" w:rsidRDefault="005319DD">
      <w:pPr>
        <w:rPr>
          <w:vertAlign w:val="superscript"/>
        </w:rPr>
      </w:pPr>
      <w:r>
        <w:t xml:space="preserve">Significantly, </w:t>
      </w:r>
      <w:r>
        <w:rPr>
          <w:b/>
        </w:rPr>
        <w:t>this is the only human right that is stated twice in both Covenants</w:t>
      </w:r>
      <w:r>
        <w:t>; no other Covenant right is reemphasized in this way. The Covenants are, in turn, accepted by the preponderance of states. Ninety-eight percent of the world’s population lives in a state that is party to at least one of these treaties.</w:t>
      </w:r>
      <w:r>
        <w:rPr>
          <w:vertAlign w:val="superscript"/>
        </w:rPr>
        <w:endnoteReference w:id="6"/>
      </w:r>
    </w:p>
    <w:p w14:paraId="6EAD3824" w14:textId="77777777" w:rsidR="005319DD" w:rsidRDefault="005319DD">
      <w:r>
        <w:t xml:space="preserve">The Covenants ascribe resource rights to ‘all peoples.’ The Committee’s jurisprudence has highlighted the resource rights of </w:t>
      </w:r>
      <w:r>
        <w:rPr>
          <w:i/>
        </w:rPr>
        <w:t>indigenous peoples</w:t>
      </w:r>
      <w:r>
        <w:t xml:space="preserve"> (e.g., the Yanomami, the Munduruku, the Kayapo in Brazil) as well as the </w:t>
      </w:r>
      <w:r>
        <w:rPr>
          <w:i/>
        </w:rPr>
        <w:t>national peoples</w:t>
      </w:r>
      <w:r>
        <w:t xml:space="preserve"> that are constituted by all the citizens of an independent state (e.g., the people of Brazil). </w:t>
      </w:r>
    </w:p>
    <w:p w14:paraId="6EAD3825" w14:textId="77777777" w:rsidR="005319DD" w:rsidRDefault="005319DD">
      <w:r>
        <w:t xml:space="preserve">It is well established in CESCR jurisprudence that both </w:t>
      </w:r>
      <w:r>
        <w:rPr>
          <w:b/>
        </w:rPr>
        <w:t>indigenous and national peoples</w:t>
      </w:r>
      <w:r>
        <w:t xml:space="preserve"> have the right to self-determination, including in the context of article 1.2 of the ICESCR. For example, in its Concluding Observations regarding Paraguay, the Committee expressed its concerns ‘about the fact that the State party has not yet legally recognized the right of indigenous peoples to dispose freely of their natural wealth and resources or put in place an effective mechanism to enable them to claim their ancestral lands (art. 1).’</w:t>
      </w:r>
      <w:r>
        <w:rPr>
          <w:vertAlign w:val="superscript"/>
        </w:rPr>
        <w:endnoteReference w:id="7"/>
      </w:r>
      <w:r>
        <w:t xml:space="preserve"> The UN Human Rights Committee has also highlighted that Article 1.2. supports the right to free, prior and informed consent, as affirmed in the UN Declaration on the Rights of Indigenous Peoples.</w:t>
      </w:r>
      <w:r>
        <w:rPr>
          <w:vertAlign w:val="superscript"/>
        </w:rPr>
        <w:endnoteReference w:id="8"/>
      </w:r>
      <w:r>
        <w:t xml:space="preserve"> The HRC also referred to indigenous peoples’ right to self-determination in several of its Concluding Observations since 1999.</w:t>
      </w:r>
      <w:r>
        <w:rPr>
          <w:vertAlign w:val="superscript"/>
        </w:rPr>
        <w:endnoteReference w:id="9"/>
      </w:r>
      <w:r>
        <w:t xml:space="preserve"> </w:t>
      </w:r>
    </w:p>
    <w:p w14:paraId="6EAD3826" w14:textId="77777777" w:rsidR="005319DD" w:rsidRDefault="005319DD">
      <w:r>
        <w:t xml:space="preserve">The CESCR also often refers to ‘people’ in the sense of ‘all citizens of a state’: indeed, the CESCR has helped to establish </w:t>
      </w:r>
      <w:r>
        <w:rPr>
          <w:b/>
        </w:rPr>
        <w:t>national peoples</w:t>
      </w:r>
      <w:r>
        <w:t xml:space="preserve"> as a focal sense of ‘people’ by ‘insisting that states are procedurally accountable to the ‘general public,’ as the relevant ‘people,’ in their dealings with the state’s natural resources.’</w:t>
      </w:r>
      <w:r>
        <w:rPr>
          <w:vertAlign w:val="superscript"/>
        </w:rPr>
        <w:endnoteReference w:id="10"/>
      </w:r>
      <w:r>
        <w:t xml:space="preserve"> </w:t>
      </w:r>
    </w:p>
    <w:p w14:paraId="6EAD3827" w14:textId="77777777" w:rsidR="005319DD" w:rsidRDefault="005319DD">
      <w:r>
        <w:t>For example, in its 1997 Concluding Observations for Azerbaijan, the CESCR ‘calls attention to [A]rticle 1 on the right of self-determination,’ stresses that the state must manage the privatization of the country’s oil resources in a way that is ‘sufficiently transparent to ensure fairness and accountability,’ and regrets that it is not able to assess the extent that ‘the general public is able to participate’ in this privatization.</w:t>
      </w:r>
      <w:r>
        <w:rPr>
          <w:vertAlign w:val="superscript"/>
        </w:rPr>
        <w:endnoteReference w:id="11"/>
      </w:r>
      <w:r>
        <w:t xml:space="preserve"> Similarly, in its 2009 Concluding Observations on the Democratic Republic of Congo (DRC), the CESCR uses the ‘all citizens’ sense of ‘people’ when calling on the DRC government to ‘review without delay the mining contracts in a transparent and participatory way’ and to ‘repeal all contracts which are detrimental to the Congolese people.’</w:t>
      </w:r>
      <w:r>
        <w:rPr>
          <w:vertAlign w:val="superscript"/>
        </w:rPr>
        <w:endnoteReference w:id="12"/>
      </w:r>
      <w:r>
        <w:t xml:space="preserve"> Again, in its 2009 Concluding Observations on Cambodia, the CESCR focuses on the people of Cambodia as a whole when it strongly recommends that the ‘granting of economic concessions take into account the need for sustainable development and for all Cambodians to share in the benefits of progress.’</w:t>
      </w:r>
      <w:r>
        <w:rPr>
          <w:vertAlign w:val="superscript"/>
        </w:rPr>
        <w:endnoteReference w:id="13"/>
      </w:r>
      <w:r>
        <w:t xml:space="preserve"> The HRC has also confirmed that Article 1.2 of the ICCPR applies to the peoples of independent states, and not only to peoples living under foreign domination.</w:t>
      </w:r>
      <w:r>
        <w:rPr>
          <w:vertAlign w:val="superscript"/>
        </w:rPr>
        <w:endnoteReference w:id="14"/>
      </w:r>
      <w:r>
        <w:t xml:space="preserve"> </w:t>
      </w:r>
    </w:p>
    <w:p w14:paraId="6EAD3828" w14:textId="77777777" w:rsidR="005319DD" w:rsidRDefault="005319DD">
      <w:r>
        <w:lastRenderedPageBreak/>
        <w:t>The resource rights of both indigenous peoples and national peoples</w:t>
      </w:r>
      <w:r>
        <w:rPr>
          <w:b/>
        </w:rPr>
        <w:t xml:space="preserve"> </w:t>
      </w:r>
      <w:r>
        <w:t>fall within three categories:</w:t>
      </w:r>
      <w:r>
        <w:rPr>
          <w:vertAlign w:val="superscript"/>
        </w:rPr>
        <w:endnoteReference w:id="15"/>
      </w:r>
    </w:p>
    <w:p w14:paraId="6EAD3829" w14:textId="77777777" w:rsidR="005319DD" w:rsidRDefault="005319DD">
      <w:r>
        <w:t xml:space="preserve">(1) </w:t>
      </w:r>
      <w:r>
        <w:rPr>
          <w:b/>
          <w:i/>
        </w:rPr>
        <w:t>Procedural rights</w:t>
      </w:r>
      <w:r>
        <w:rPr>
          <w:b/>
        </w:rPr>
        <w:t xml:space="preserve"> </w:t>
      </w:r>
      <w:r>
        <w:t xml:space="preserve">require states to provide </w:t>
      </w:r>
      <w:r>
        <w:rPr>
          <w:b/>
        </w:rPr>
        <w:t>public information</w:t>
      </w:r>
      <w:r>
        <w:t xml:space="preserve"> regarding resource management, to </w:t>
      </w:r>
      <w:r>
        <w:rPr>
          <w:b/>
        </w:rPr>
        <w:t>act transparently</w:t>
      </w:r>
      <w:r>
        <w:t xml:space="preserve">, and to </w:t>
      </w:r>
      <w:r>
        <w:rPr>
          <w:b/>
        </w:rPr>
        <w:t>ensure participatory decision-making by the people</w:t>
      </w:r>
      <w:r>
        <w:t>;</w:t>
      </w:r>
    </w:p>
    <w:p w14:paraId="6EAD382A" w14:textId="77777777" w:rsidR="005319DD" w:rsidRDefault="005319DD">
      <w:r>
        <w:t xml:space="preserve">(2) </w:t>
      </w:r>
      <w:r>
        <w:rPr>
          <w:b/>
          <w:i/>
        </w:rPr>
        <w:t>Substantive rights</w:t>
      </w:r>
      <w:r>
        <w:t xml:space="preserve"> require states to use natural resources in ways that </w:t>
      </w:r>
      <w:r>
        <w:rPr>
          <w:b/>
        </w:rPr>
        <w:t>benefit the people</w:t>
      </w:r>
      <w:r>
        <w:t>, along two dimensions:</w:t>
      </w:r>
    </w:p>
    <w:p w14:paraId="6EAD382B" w14:textId="77777777" w:rsidR="005319DD" w:rsidRDefault="005319DD">
      <w:pPr>
        <w:ind w:left="720"/>
      </w:pPr>
      <w:r>
        <w:t xml:space="preserve">(a) the ‘floor’: the benefits of resource exploitation must first be used to </w:t>
      </w:r>
      <w:r>
        <w:rPr>
          <w:b/>
        </w:rPr>
        <w:t>provide the people with</w:t>
      </w:r>
      <w:r>
        <w:t xml:space="preserve"> </w:t>
      </w:r>
      <w:r>
        <w:rPr>
          <w:b/>
        </w:rPr>
        <w:t>means of subsistence</w:t>
      </w:r>
      <w:r>
        <w:t>;</w:t>
      </w:r>
    </w:p>
    <w:p w14:paraId="6EAD382C" w14:textId="77777777" w:rsidR="005319DD" w:rsidRDefault="005319DD">
      <w:pPr>
        <w:ind w:left="720"/>
      </w:pPr>
      <w:r>
        <w:t xml:space="preserve">(b) the ‘wall’: all the proceeds of resource exploitation must </w:t>
      </w:r>
      <w:r>
        <w:rPr>
          <w:b/>
        </w:rPr>
        <w:t>benefit only the people, not other parties (e.g., corrupt officials)</w:t>
      </w:r>
      <w:r>
        <w:t>;</w:t>
      </w:r>
    </w:p>
    <w:p w14:paraId="6EAD382D" w14:textId="77777777" w:rsidR="005319DD" w:rsidRDefault="005319DD">
      <w:r>
        <w:t xml:space="preserve">(3) </w:t>
      </w:r>
      <w:r>
        <w:rPr>
          <w:b/>
          <w:i/>
        </w:rPr>
        <w:t>Remedial rights</w:t>
      </w:r>
      <w:r>
        <w:t xml:space="preserve"> require the state to pursue </w:t>
      </w:r>
      <w:r>
        <w:rPr>
          <w:b/>
        </w:rPr>
        <w:t>asset recovery or environmental restoration</w:t>
      </w:r>
      <w:r>
        <w:t xml:space="preserve"> in cases where resources belonging to the people have been wrongfully expropriated or damaged.</w:t>
      </w:r>
    </w:p>
    <w:p w14:paraId="6EAD382E" w14:textId="77777777" w:rsidR="005319DD" w:rsidRDefault="005319DD">
      <w:r>
        <w:t>We invite the Committee to review the UK’s obligations under Article 1.2 in light of these rights. As has yet to be fully appreciated, the ICESCR imposes strong obligations on states to respect these resources rights not only domestically, but extraterritorially.</w:t>
      </w:r>
    </w:p>
    <w:p w14:paraId="6EAD382F" w14:textId="77777777" w:rsidR="005319DD" w:rsidRDefault="005319DD"/>
    <w:p w14:paraId="6EAD3830" w14:textId="77777777" w:rsidR="005319DD" w:rsidRDefault="005319DD">
      <w:pPr>
        <w:rPr>
          <w:b/>
        </w:rPr>
      </w:pPr>
      <w:r>
        <w:rPr>
          <w:b/>
        </w:rPr>
        <w:t>IV. Extraterritorial Obligations to Promote and Respect Resource Rights in the ICESCR</w:t>
      </w:r>
    </w:p>
    <w:p w14:paraId="6EAD3831" w14:textId="77777777" w:rsidR="005319DD" w:rsidRDefault="005319DD">
      <w:r>
        <w:t>It is sometimes thought that the ICESCR is a ‘weaker’ treaty, because of the aspirational language in Article 2 requiring each state party to ‘undertake to take steps… to the maximum of its available resources, with a view to achieving progressively the full realization of the rights recognized’ in the Covenant.</w:t>
      </w:r>
    </w:p>
    <w:p w14:paraId="6EAD3832" w14:textId="77777777" w:rsidR="005319DD" w:rsidRDefault="005319DD">
      <w:r>
        <w:t>Whether or not that is correct, this cannot be said of the rights of self-determination in Article 1 of the ICESCR, which unquestionably impose demanding obligations on states. Article 1.3 declares that</w:t>
      </w:r>
    </w:p>
    <w:p w14:paraId="6EAD3833" w14:textId="77777777" w:rsidR="005319DD" w:rsidRDefault="005319DD">
      <w:pPr>
        <w:ind w:left="720"/>
      </w:pPr>
      <w:r>
        <w:t xml:space="preserve">The States Parties to the present Covenant… shall </w:t>
      </w:r>
      <w:r>
        <w:rPr>
          <w:b/>
        </w:rPr>
        <w:t>promote</w:t>
      </w:r>
      <w:r>
        <w:t xml:space="preserve"> the realization of the right of self-determination, and shall </w:t>
      </w:r>
      <w:r>
        <w:rPr>
          <w:b/>
        </w:rPr>
        <w:t>respect</w:t>
      </w:r>
      <w:r>
        <w:t xml:space="preserve"> that right, in conformity with the provisions of the Charter of the United Nations.</w:t>
      </w:r>
    </w:p>
    <w:p w14:paraId="6EAD3834" w14:textId="77777777" w:rsidR="005319DD" w:rsidRDefault="005319DD">
      <w:r>
        <w:t>Respect for self-determination is one of the founding purposes of the United Nations under Article 1(2) of the UN Charter, and it has been central to the UN’s efforts to end colonial rule, to counter threats to international peace and security, and to prohibit the threat or use of force across borders.</w:t>
      </w:r>
      <w:r>
        <w:rPr>
          <w:vertAlign w:val="superscript"/>
        </w:rPr>
        <w:endnoteReference w:id="16"/>
      </w:r>
      <w:r>
        <w:t xml:space="preserve"> Under the Charter, each state must promote and respect the right of self-determination of every people, not only its own people. The right of self-determination thus imposes omnilateral and extraterritorial obligations: obligations binding each state to promote and respect the self-determination of </w:t>
      </w:r>
      <w:r>
        <w:rPr>
          <w:i/>
        </w:rPr>
        <w:t>all</w:t>
      </w:r>
      <w:r>
        <w:t xml:space="preserve"> peoples.</w:t>
      </w:r>
    </w:p>
    <w:p w14:paraId="6EAD3835" w14:textId="77777777" w:rsidR="005319DD" w:rsidRDefault="005319DD">
      <w:r>
        <w:t xml:space="preserve">Since a people’s resource rights are among the most significant aspects of its right to self-determination, this implies that </w:t>
      </w:r>
      <w:r>
        <w:rPr>
          <w:b/>
        </w:rPr>
        <w:t>under ICESCR Article 1.3 each state must promote and respect all peoples’ resource rights</w:t>
      </w:r>
      <w:r>
        <w:t>. These Article 1.3 obligations are an under-appreciated strength of the ICESCR, which the Committee may wish to exercise in its efforts to secure human rights worldwide.</w:t>
      </w:r>
    </w:p>
    <w:p w14:paraId="6EAD3836" w14:textId="77777777" w:rsidR="005319DD" w:rsidRDefault="005319DD"/>
    <w:p w14:paraId="6EAD3837" w14:textId="77777777" w:rsidR="005319DD" w:rsidRDefault="005319DD">
      <w:pPr>
        <w:keepNext/>
        <w:rPr>
          <w:b/>
        </w:rPr>
      </w:pPr>
      <w:r>
        <w:rPr>
          <w:b/>
        </w:rPr>
        <w:lastRenderedPageBreak/>
        <w:t>V. Extraterritorial Human Rights Obligations and the UK</w:t>
      </w:r>
    </w:p>
    <w:p w14:paraId="6EAD3838" w14:textId="00044C77" w:rsidR="005319DD" w:rsidRDefault="005319DD">
      <w:r>
        <w:t>Extraterritorial human rights obligations are integral to the ICESCR, which requires each state party to engage in international assistance and cooperation, with a view to realizing the Covenant’s rights.</w:t>
      </w:r>
      <w:r>
        <w:rPr>
          <w:vertAlign w:val="superscript"/>
        </w:rPr>
        <w:endnoteReference w:id="17"/>
      </w:r>
      <w:r>
        <w:t xml:space="preserve"> Since the Covenant entered into force, the burgeoning field of extraterritorial human rights obligations (ETOs) has grown from an appreciation of </w:t>
      </w:r>
      <w:r w:rsidR="006A0F06">
        <w:t>the seriousness of</w:t>
      </w:r>
      <w:r>
        <w:t xml:space="preserve"> the human rights impacts of cross-border actions. As a recent major edited volume on ETOs says,</w:t>
      </w:r>
    </w:p>
    <w:p w14:paraId="6EAD3839" w14:textId="77777777" w:rsidR="005319DD" w:rsidRDefault="005319DD">
      <w:pPr>
        <w:ind w:left="720"/>
      </w:pPr>
      <w:r>
        <w:t>The ability of states and other actors to impact human rights far from home—both positively and negatively—has never been clearer. Perhaps the most direct means by which states act extraterritorially is by placing their own troops on the ground in another state, especially in a conflict situation. Likewise, states may use surveillance beyond their borders. States may intercept migrants in international waters before these migrants arrive at their borders. States may pollute the land, water, or air with cross-boundary impacts or contribute to climate change through high levels of carbon emissions. In addition, the regulatory role of states may be invoked when businesses domiciled in their territory undertake transnational operations or when states need to take measures to fight and prevent corruption and bribery.</w:t>
      </w:r>
      <w:r>
        <w:rPr>
          <w:vertAlign w:val="superscript"/>
        </w:rPr>
        <w:endnoteReference w:id="18"/>
      </w:r>
    </w:p>
    <w:p w14:paraId="6EAD383A" w14:textId="77777777" w:rsidR="005319DD" w:rsidRDefault="005319DD">
      <w:r>
        <w:t>A landmark in ETOs was the CESCR’s ‘Statement on the obligations of States parties regarding the corporate sector’ (2011), which underlined the importance of states acting to prevent human rights abuses abroad by corporations headquartered in their jurisdictions.</w:t>
      </w:r>
      <w:r>
        <w:rPr>
          <w:vertAlign w:val="superscript"/>
        </w:rPr>
        <w:endnoteReference w:id="19"/>
      </w:r>
      <w:r>
        <w:t xml:space="preserve"> The Maastricht Principles on the Extraterritorial Obligations of States in the Area of Economic, Social, and Cultural Rights built on the bold declarations of the Committee.</w:t>
      </w:r>
      <w:r>
        <w:rPr>
          <w:vertAlign w:val="superscript"/>
        </w:rPr>
        <w:endnoteReference w:id="20"/>
      </w:r>
      <w:r>
        <w:t xml:space="preserve"> The Maastricht Principles do not claim to create any new obligations, but instead to clarify the obligations States have already accepted under international law especially regarding the regulation of transnational corporations, the accountability of international financial institutions, the structure of trade and investment rules, and the provision of development assistance.</w:t>
      </w:r>
    </w:p>
    <w:p w14:paraId="6EAD383B" w14:textId="77777777" w:rsidR="005319DD" w:rsidRDefault="005319DD">
      <w:r>
        <w:t>The UK has enacted several pieces of legislation that bear on its human rights obligations beyond its borders, for example the Modern Slavery Act 2015, the Bribery Act 2010, the Proceeds of Crime Act 2002 (POCA) and the Economic Crime and Corporate Transparency Act 2023. The Human Rights Act 1998 aligns with and extends the HRC’s insistence that state parties owe human rights duties to those within their power or effective control.  It is the primary legislation that details the human rights obligations of UK public authorities to protect against human rights violations, but it does not apply horizontally to private entities and only applies to violations that are perpetrated in the UK and territories under the effective control of the UK.</w:t>
      </w:r>
      <w:r>
        <w:rPr>
          <w:vertAlign w:val="superscript"/>
        </w:rPr>
        <w:endnoteReference w:id="21"/>
      </w:r>
    </w:p>
    <w:p w14:paraId="6EAD383C" w14:textId="4EC6C0A9" w:rsidR="005319DD" w:rsidRDefault="00B17C41">
      <w:r>
        <w:t>However</w:t>
      </w:r>
      <w:r w:rsidR="005319DD">
        <w:t>, Leigh Day has in recent years won major victories before the UK Supreme Court establishing that parent companies can be held legally responsible for the human rights and environmental harms arising from the operations of their foreign subsidiaries.</w:t>
      </w:r>
      <w:r w:rsidR="005319DD">
        <w:rPr>
          <w:vertAlign w:val="superscript"/>
        </w:rPr>
        <w:endnoteReference w:id="22"/>
      </w:r>
      <w:r w:rsidR="005319DD">
        <w:t xml:space="preserve"> </w:t>
      </w:r>
    </w:p>
    <w:p w14:paraId="6EAD383D" w14:textId="77777777" w:rsidR="005319DD" w:rsidRDefault="005319DD">
      <w:r>
        <w:t xml:space="preserve">In </w:t>
      </w:r>
      <w:r>
        <w:rPr>
          <w:i/>
        </w:rPr>
        <w:t>Vedanta Resources PLC and another v Lungowe and others</w:t>
      </w:r>
      <w:r>
        <w:t xml:space="preserve"> (2019) the UK Supreme Court ruled that parent companies can owe a duty of care to individuals harmed by the actions of their subsidiaries, even if those actions occur overseas. This duty of care can arise if the parent company intervenes in or exercises a sufficient degree of control over the subsidiary’s operations or if it holds itself out publicly as responsible for those operations.</w:t>
      </w:r>
    </w:p>
    <w:p w14:paraId="6EAD383E" w14:textId="17521F79" w:rsidR="005319DD" w:rsidRDefault="005319DD">
      <w:r>
        <w:lastRenderedPageBreak/>
        <w:t xml:space="preserve">In </w:t>
      </w:r>
      <w:r>
        <w:rPr>
          <w:i/>
        </w:rPr>
        <w:t>Okpabi and others v Royal Dutch Shell Plc and Shell Petroleum Development Company of Nigeria Ltd</w:t>
      </w:r>
      <w:r>
        <w:t xml:space="preserve"> (2021) the Supreme Court upheld and reinforced the principles established in </w:t>
      </w:r>
      <w:r>
        <w:rPr>
          <w:i/>
        </w:rPr>
        <w:t>Vedanta</w:t>
      </w:r>
      <w:r>
        <w:t xml:space="preserve">, confirming that parent companies can be held liable for the actions of their subsidiaries. The court emphasized that the existence of a duty of care depends on the specific facts of each case, such as the parent company's control over the subsidiary, its public statements, and its involvement in the subsidiary's </w:t>
      </w:r>
      <w:r w:rsidR="00BE41F4">
        <w:t>operations.</w:t>
      </w:r>
    </w:p>
    <w:p w14:paraId="6EAD383F" w14:textId="77777777" w:rsidR="005319DD" w:rsidRDefault="005319DD">
      <w:r>
        <w:t>These are major steps toward ending the impunity of private actors based in the UK whose actions contribute to human rights abuses abroad, but they need to be extended and reinforced.</w:t>
      </w:r>
    </w:p>
    <w:p w14:paraId="6EAD3840" w14:textId="77777777" w:rsidR="005319DD" w:rsidRDefault="005319DD"/>
    <w:p w14:paraId="6EAD3841" w14:textId="77777777" w:rsidR="005319DD" w:rsidRDefault="005319DD">
      <w:pPr>
        <w:rPr>
          <w:b/>
        </w:rPr>
      </w:pPr>
      <w:r>
        <w:rPr>
          <w:b/>
        </w:rPr>
        <w:t xml:space="preserve">VI. Improving UK Regulation of its Transnational Corporations and Imports </w:t>
      </w:r>
    </w:p>
    <w:p w14:paraId="6EAD3842" w14:textId="77777777" w:rsidR="005319DD" w:rsidRDefault="005319DD">
      <w:r>
        <w:t xml:space="preserve">In its General Comment 24 on state obligations in the context of business activities, the CESCR asserted that </w:t>
      </w:r>
    </w:p>
    <w:p w14:paraId="6EAD3843" w14:textId="77777777" w:rsidR="005319DD" w:rsidRDefault="005319DD">
      <w:pPr>
        <w:ind w:left="720"/>
      </w:pPr>
      <w:r>
        <w:t>Extraterritorial obligations arise when a state party may influence situations located outside its territory, consistent with the limits imposed by international law, by controlling the activities of corporations domiciled in its territory and/or jurisdiction, and thus may contribute to the effective enjoyment of economic, social, and cultural rights outside its national territory.’</w:t>
      </w:r>
      <w:r>
        <w:rPr>
          <w:vertAlign w:val="superscript"/>
        </w:rPr>
        <w:endnoteReference w:id="23"/>
      </w:r>
      <w:r>
        <w:t xml:space="preserve"> </w:t>
      </w:r>
    </w:p>
    <w:p w14:paraId="6EAD3844" w14:textId="77777777" w:rsidR="005319DD" w:rsidRDefault="005319DD">
      <w:r>
        <w:t>In particular, the Committee noted that such corporations ‘should be required to act with due diligence to identify, prevent, and address abuses of Covenant rights by subsidiaries and business partners, wherever they may be located, and that states must remove barriers to remedies faced by victims of such corporations, for example by ‘establishing parent company or group liability regimes.’</w:t>
      </w:r>
      <w:r>
        <w:rPr>
          <w:vertAlign w:val="superscript"/>
        </w:rPr>
        <w:endnoteReference w:id="24"/>
      </w:r>
      <w:r>
        <w:t xml:space="preserve"> The UK is lagging behind other states in fulfilling its Covenant obligations in this regard.</w:t>
      </w:r>
    </w:p>
    <w:p w14:paraId="6EAD3845" w14:textId="77777777" w:rsidR="005319DD" w:rsidRDefault="005319DD">
      <w:r>
        <w:t xml:space="preserve">The Italian </w:t>
      </w:r>
      <w:r>
        <w:rPr>
          <w:i/>
        </w:rPr>
        <w:t>Legislative Decree no. 231/01</w:t>
      </w:r>
      <w:r>
        <w:t xml:space="preserve"> (2001) provides for fines for companies whose employees or related third parties commit human rights abuses or environmental offences.</w:t>
      </w:r>
      <w:r>
        <w:rPr>
          <w:vertAlign w:val="superscript"/>
        </w:rPr>
        <w:endnoteReference w:id="25"/>
      </w:r>
      <w:r>
        <w:t xml:space="preserve"> France passed its </w:t>
      </w:r>
      <w:r>
        <w:rPr>
          <w:i/>
        </w:rPr>
        <w:t>Duty of Vigilance Law</w:t>
      </w:r>
      <w:r>
        <w:t xml:space="preserve"> in 2017.</w:t>
      </w:r>
      <w:r>
        <w:rPr>
          <w:vertAlign w:val="superscript"/>
        </w:rPr>
        <w:endnoteReference w:id="26"/>
      </w:r>
      <w:r>
        <w:t xml:space="preserve"> The Netherlands enacted the </w:t>
      </w:r>
      <w:r>
        <w:rPr>
          <w:i/>
        </w:rPr>
        <w:t>Child Labour Due Diligence Law in 2019</w:t>
      </w:r>
      <w:r>
        <w:t>.</w:t>
      </w:r>
      <w:r>
        <w:rPr>
          <w:vertAlign w:val="superscript"/>
        </w:rPr>
        <w:endnoteReference w:id="27"/>
      </w:r>
      <w:r>
        <w:t xml:space="preserve"> Norway’s</w:t>
      </w:r>
      <w:r>
        <w:rPr>
          <w:i/>
        </w:rPr>
        <w:t xml:space="preserve"> Transparency Act </w:t>
      </w:r>
      <w:r>
        <w:t>from 2022 requires companies to exercise due diligence with regard to human rights and labour conditions along the entire value chain.</w:t>
      </w:r>
      <w:r>
        <w:rPr>
          <w:vertAlign w:val="superscript"/>
        </w:rPr>
        <w:endnoteReference w:id="28"/>
      </w:r>
      <w:r>
        <w:t xml:space="preserve"> Germany followed suit in 2023 by passing the </w:t>
      </w:r>
      <w:r>
        <w:rPr>
          <w:i/>
        </w:rPr>
        <w:t>Act on Corporate Due Diligence Obligations in Supply Chains</w:t>
      </w:r>
      <w:r>
        <w:t>.</w:t>
      </w:r>
      <w:r>
        <w:rPr>
          <w:vertAlign w:val="superscript"/>
        </w:rPr>
        <w:endnoteReference w:id="29"/>
      </w:r>
      <w:r>
        <w:t xml:space="preserve"> </w:t>
      </w:r>
    </w:p>
    <w:p w14:paraId="6EAD3846" w14:textId="77777777" w:rsidR="005319DD" w:rsidRDefault="005319DD">
      <w:r>
        <w:t xml:space="preserve">On 25 July 2024 the </w:t>
      </w:r>
      <w:r>
        <w:rPr>
          <w:i/>
        </w:rPr>
        <w:t>Directive on Corporate Sustainability Due Diligence (CS3D)</w:t>
      </w:r>
      <w:r>
        <w:t xml:space="preserve"> entered into force in the EU/EEA.</w:t>
      </w:r>
      <w:r>
        <w:rPr>
          <w:vertAlign w:val="superscript"/>
        </w:rPr>
        <w:endnoteReference w:id="30"/>
      </w:r>
      <w:r>
        <w:t xml:space="preserve"> It is based on the French and German laws above and on the </w:t>
      </w:r>
      <w:r>
        <w:rPr>
          <w:i/>
        </w:rPr>
        <w:t>OECD Guidelines for Multinational Enterprises</w:t>
      </w:r>
      <w:r>
        <w:t xml:space="preserve"> (MNE Guidelines) and the </w:t>
      </w:r>
      <w:r>
        <w:rPr>
          <w:i/>
        </w:rPr>
        <w:t>United Nations Guiding Principles on Business and Human Rights</w:t>
      </w:r>
      <w:r>
        <w:t xml:space="preserve"> (UNGPs). </w:t>
      </w:r>
    </w:p>
    <w:p w14:paraId="6EAD3847" w14:textId="77777777" w:rsidR="005319DD" w:rsidRDefault="005319DD">
      <w:r>
        <w:t xml:space="preserve">The scope of application of the CS3D is significantly broader than that of the French and German laws above. For example, the German law applies only to companies with more than 1,000 Employees in Germany, while the French law applies only to stock companies with more than 5,000 employees in France or 10,000 employees worldwide. The CS3D applies to companies or parent companies of companies with more than 1,000 employees on average and a worldwide turnover of more than 450,000,000 EUR. Furthermore, franchise models are also covered by the CS3D, and in an effort to provide EU companies a fair competitive environment, the CS3D also applies to non-EU companies and their parent companies that generate an annual turnover of more than 450,000,000 EUR in the EU. </w:t>
      </w:r>
    </w:p>
    <w:p w14:paraId="6EAD3848" w14:textId="77777777" w:rsidR="005319DD" w:rsidRDefault="005319DD">
      <w:pPr>
        <w:rPr>
          <w:color w:val="000000"/>
        </w:rPr>
      </w:pPr>
      <w:r>
        <w:rPr>
          <w:color w:val="000000"/>
        </w:rPr>
        <w:lastRenderedPageBreak/>
        <w:t>The core obligation imposed on the companies concerned by the CS3D is risk-based due diligence in the areas of human rights and the environment.</w:t>
      </w:r>
      <w:r>
        <w:rPr>
          <w:color w:val="000000"/>
          <w:vertAlign w:val="superscript"/>
        </w:rPr>
        <w:endnoteReference w:id="31"/>
      </w:r>
      <w:r>
        <w:rPr>
          <w:color w:val="000000"/>
        </w:rPr>
        <w:t xml:space="preserve"> Risk-based due diligence means that the companies concerned must first identify the potential and actual impacts of their activities and in a subsequent step, they must tackle the most serious and probable negative impacts first and then the less probable and serious ones. This means that a company is not obliged to consider all possible human rights </w:t>
      </w:r>
      <w:r>
        <w:t xml:space="preserve">abuses </w:t>
      </w:r>
      <w:r>
        <w:rPr>
          <w:color w:val="000000"/>
        </w:rPr>
        <w:t>and environmental risks.</w:t>
      </w:r>
      <w:r>
        <w:rPr>
          <w:color w:val="000000"/>
          <w:vertAlign w:val="superscript"/>
        </w:rPr>
        <w:endnoteReference w:id="32"/>
      </w:r>
      <w:r>
        <w:rPr>
          <w:color w:val="000000"/>
        </w:rPr>
        <w:t xml:space="preserve"> The due diligence duty extends not only to the company itself, but also to its subsidiaries as well as to upstream business partners relating to the company’s production of goods or provision of services and downstream business partners relating to the distribution, storage and transport of the company’s products.</w:t>
      </w:r>
    </w:p>
    <w:p w14:paraId="6EAD3849" w14:textId="77777777" w:rsidR="005319DD" w:rsidRDefault="005319DD">
      <w:pPr>
        <w:rPr>
          <w:color w:val="000000"/>
        </w:rPr>
      </w:pPr>
      <w:r>
        <w:rPr>
          <w:color w:val="000000"/>
        </w:rPr>
        <w:t>Under the CS3D, EU member states are obliged to appoint a supervisory authority to supervise compliance with the Directive. These supervisory authorities are authorized to demand information from and to conduct investigations against companies. If the supervisory authority discovers a violation, it may order a company to cease an infringement or not to repeat it; impose penalties (particularly pecuniary penalties), or to adopt interim measures in the event of an imminent risk of severe and irreparable harm.</w:t>
      </w:r>
      <w:r>
        <w:rPr>
          <w:color w:val="000000"/>
          <w:vertAlign w:val="superscript"/>
        </w:rPr>
        <w:endnoteReference w:id="33"/>
      </w:r>
    </w:p>
    <w:p w14:paraId="6EAD384A" w14:textId="77777777" w:rsidR="005319DD" w:rsidRDefault="005319DD">
      <w:pPr>
        <w:rPr>
          <w:b/>
        </w:rPr>
      </w:pPr>
      <w:r>
        <w:rPr>
          <w:color w:val="000000"/>
        </w:rPr>
        <w:t>Victims of corporate action in violation of the CS3D are entitled to full compensation for damage suffered. In order to obtain damages, the claimants must prove a negligent or intentional failure to end or prevent an adverse impact, damage, and causation between the failure and the damage. The CS3D obliges the member states to introduce mechanisms to disclose evidence that is under the company's control to the courts.</w:t>
      </w:r>
    </w:p>
    <w:p w14:paraId="6EAD384B" w14:textId="452AD5EE" w:rsidR="005319DD" w:rsidRDefault="005319DD">
      <w:r>
        <w:t>The CS3D is joined by other recent EU legislation that protects the resource rights of peoples. The Critical Raw Materials Act (CRMA) of 2024 requires companies to identify and address potential human rights abuses in their operations and supply chains, using the UNGPs and the OECD Due Diligence Guidance for Responsible Supply Chains of Minerals from Conflict Affected and High-Risk Areas.</w:t>
      </w:r>
      <w:r>
        <w:rPr>
          <w:vertAlign w:val="superscript"/>
        </w:rPr>
        <w:endnoteReference w:id="34"/>
      </w:r>
      <w:r>
        <w:t xml:space="preserve"> The EU Regulation on Deforestation-Free Products (EUDR) of 2023 requires that importers of commodities like cattle, wood, cocoa, soy, and palm oil prove that these products have not originated from recently deforested land or contributed to forest degradation.</w:t>
      </w:r>
      <w:r>
        <w:rPr>
          <w:vertAlign w:val="superscript"/>
        </w:rPr>
        <w:endnoteReference w:id="35"/>
      </w:r>
      <w:r>
        <w:t xml:space="preserve"> This law should protect indigenous forest communities from assaults on their traditional lands in places like the Amazon (on which see our 2023 </w:t>
      </w:r>
      <w:r w:rsidR="00843077">
        <w:t>Parallel</w:t>
      </w:r>
      <w:r>
        <w:t xml:space="preserve"> Report to the CESCR on Brazil).</w:t>
      </w:r>
      <w:r>
        <w:rPr>
          <w:vertAlign w:val="superscript"/>
        </w:rPr>
        <w:endnoteReference w:id="36"/>
      </w:r>
      <w:r>
        <w:t xml:space="preserve"> </w:t>
      </w:r>
    </w:p>
    <w:p w14:paraId="6EAD384C" w14:textId="77777777" w:rsidR="005319DD" w:rsidRDefault="005319DD">
      <w:r>
        <w:t>The CS3D, the CRMA, and the EUDR are not perfect, and have attracted criticism.</w:t>
      </w:r>
      <w:r>
        <w:rPr>
          <w:vertAlign w:val="superscript"/>
        </w:rPr>
        <w:endnoteReference w:id="37"/>
      </w:r>
      <w:r>
        <w:t xml:space="preserve"> In particular, the CS3D is disappointing in its omission of the UN Declaration on Rights of Indigenous Peoples and its attenuated discussion of FPIC.</w:t>
      </w:r>
      <w:r>
        <w:rPr>
          <w:vertAlign w:val="superscript"/>
        </w:rPr>
        <w:endnoteReference w:id="38"/>
      </w:r>
      <w:r>
        <w:t xml:space="preserve"> However, the CS3D is admirable in expressly including the resource rights of peoples as found in Article 1 of the ICESCR in its Annex I, and especially in reaffirming the ‘floor’ of these rights: </w:t>
      </w:r>
    </w:p>
    <w:p w14:paraId="6EAD384D" w14:textId="77777777" w:rsidR="005319DD" w:rsidRDefault="005319DD">
      <w:pPr>
        <w:ind w:left="720"/>
        <w:rPr>
          <w:b/>
        </w:rPr>
      </w:pPr>
      <w:r>
        <w:rPr>
          <w:color w:val="000000"/>
          <w:highlight w:val="white"/>
        </w:rPr>
        <w:t>The right of individuals, groupings and communities to lands and resources and the right not to be deprived of means of subsistence, which entails the prohibition to unlawfully evict or take land, forests and waters when acquiring, or otherwise using land, forests and waters, including by deforestation, the use of which secures the livelihood of a person.</w:t>
      </w:r>
      <w:r>
        <w:rPr>
          <w:color w:val="000000"/>
          <w:highlight w:val="white"/>
          <w:vertAlign w:val="superscript"/>
        </w:rPr>
        <w:endnoteReference w:id="39"/>
      </w:r>
    </w:p>
    <w:p w14:paraId="6EAD384E" w14:textId="04946C2A" w:rsidR="005319DD" w:rsidRDefault="005319DD">
      <w:pPr>
        <w:rPr>
          <w:color w:val="000000"/>
        </w:rPr>
      </w:pPr>
      <w:r>
        <w:t xml:space="preserve">The recent European laws are the most progressive large-scale regulations of transnational corporations and supply chains to date. The UK is lagging well behind in satisfying the Committee’s urging that all </w:t>
      </w:r>
      <w:r>
        <w:lastRenderedPageBreak/>
        <w:t>states satisfy their extraterritorial obligations. While the UK’s Environment Act 2021 is a weaker version of the EU’s EUDR, no UK legislation parallel to the CS3D or the CRMA yet exists. Proposed legislation in this area, the</w:t>
      </w:r>
      <w:r>
        <w:rPr>
          <w:color w:val="000000"/>
        </w:rPr>
        <w:t xml:space="preserve"> Commercial Organisations and Public Authorities Duty (Human Rights and Environment) Bill, appears to have stalled in Parliament.</w:t>
      </w:r>
    </w:p>
    <w:p w14:paraId="6EAD384F" w14:textId="77777777" w:rsidR="005319DD" w:rsidRDefault="005319DD">
      <w:pPr>
        <w:rPr>
          <w:vertAlign w:val="superscript"/>
        </w:rPr>
      </w:pPr>
      <w:r>
        <w:rPr>
          <w:color w:val="000000"/>
        </w:rPr>
        <w:t>Forty-one British MPs and over 100,000 people have recently called for stronger UK regulations.</w:t>
      </w:r>
      <w:r>
        <w:rPr>
          <w:color w:val="000000"/>
          <w:vertAlign w:val="superscript"/>
        </w:rPr>
        <w:endnoteReference w:id="40"/>
      </w:r>
      <w:r>
        <w:rPr>
          <w:color w:val="000000"/>
        </w:rPr>
        <w:t xml:space="preserve"> Moreover, major global companies such as Microsoft, Unilever and Nestlé, as well as large UK corporations like Tesco, Twinings, and Primark as well as investors like Aviva have also issued a statement calling on the UK to enact new legislation on human rights and environmental due diligence.</w:t>
      </w:r>
      <w:r>
        <w:rPr>
          <w:color w:val="000000"/>
          <w:vertAlign w:val="superscript"/>
        </w:rPr>
        <w:endnoteReference w:id="41"/>
      </w:r>
    </w:p>
    <w:p w14:paraId="6EAD3850" w14:textId="77777777" w:rsidR="005319DD" w:rsidRDefault="005319DD">
      <w:bookmarkStart w:id="0" w:name="_heading=h.96r1bcjeqrof" w:colFirst="0" w:colLast="0"/>
      <w:bookmarkEnd w:id="0"/>
      <w:r>
        <w:t xml:space="preserve">In addition, the UK government can reverse a backward step on protecting the resource rights of peoples since Brexit by passing legislation like CS3D. When the UK departed from the Brussels mechanism, </w:t>
      </w:r>
      <w:r>
        <w:rPr>
          <w:i/>
        </w:rPr>
        <w:t>forum non conveniens</w:t>
      </w:r>
      <w:r>
        <w:t xml:space="preserve"> was reintroduced into UK law and has adversely affected access to remedy for foreign victims of corporate human rights abuses. For example, Brazil Iron recently made a </w:t>
      </w:r>
      <w:r>
        <w:rPr>
          <w:i/>
        </w:rPr>
        <w:t>forum non conveniens</w:t>
      </w:r>
      <w:r>
        <w:t xml:space="preserve"> challenge to the claims of the </w:t>
      </w:r>
      <w:r>
        <w:rPr>
          <w:i/>
        </w:rPr>
        <w:t xml:space="preserve">quilombola </w:t>
      </w:r>
      <w:r>
        <w:t xml:space="preserve">communities (descendants of Afro-Brazilian slaves) whose history and socio-economic status entitle them to legal protections that are comparable to those of indigenous communities.  </w:t>
      </w:r>
    </w:p>
    <w:p w14:paraId="6EAD3851" w14:textId="76CB817B" w:rsidR="005319DD" w:rsidRDefault="005319DD">
      <w:bookmarkStart w:id="1" w:name="_heading=h.suoovlvi03kv" w:colFirst="0" w:colLast="0"/>
      <w:bookmarkEnd w:id="1"/>
      <w:r>
        <w:t xml:space="preserve">The recent decision in </w:t>
      </w:r>
      <w:r>
        <w:rPr>
          <w:i/>
        </w:rPr>
        <w:t>Limbu v Dyson</w:t>
      </w:r>
      <w:r>
        <w:t xml:space="preserve"> shows the urgency of the UK abolishing </w:t>
      </w:r>
      <w:r>
        <w:rPr>
          <w:i/>
        </w:rPr>
        <w:t>forum non conveniens</w:t>
      </w:r>
      <w:r>
        <w:t>.</w:t>
      </w:r>
      <w:r w:rsidR="00592B41">
        <w:rPr>
          <w:rStyle w:val="EndnoteReference"/>
        </w:rPr>
        <w:endnoteReference w:id="42"/>
      </w:r>
      <w:r>
        <w:t xml:space="preserve"> In December 2024, the Court of Appeal overturned the first instance </w:t>
      </w:r>
      <w:r>
        <w:rPr>
          <w:i/>
        </w:rPr>
        <w:t>forum non conveniens</w:t>
      </w:r>
      <w:r>
        <w:t xml:space="preserve"> finding that the claimants could get substantive justice if their case was heard in Malaysia. The claims will now proceed in the English court, but at a cost of approximately three years of litigation and huge expenditure on both sides. The UK will successfully reinstate its pre-Brexit legal position on </w:t>
      </w:r>
      <w:r>
        <w:rPr>
          <w:i/>
        </w:rPr>
        <w:t xml:space="preserve">forum non conveniens </w:t>
      </w:r>
      <w:r>
        <w:t xml:space="preserve">if and when it can rejoin the Lugano mechanism. Instead of waiting, however, the same should be accomplished by passing legislation at least as robust as Europe’s CS3D, or by entering a </w:t>
      </w:r>
      <w:r>
        <w:rPr>
          <w:color w:val="000000"/>
        </w:rPr>
        <w:t>binding treaty to give stronger effect to the U</w:t>
      </w:r>
      <w:r>
        <w:t>N Guiding Principles on Business and Human Rights.</w:t>
      </w:r>
    </w:p>
    <w:p w14:paraId="6EAD3852" w14:textId="77777777" w:rsidR="005319DD" w:rsidRDefault="005319DD">
      <w:pPr>
        <w:rPr>
          <w:b/>
          <w:color w:val="000000"/>
        </w:rPr>
      </w:pPr>
      <w:r>
        <w:rPr>
          <w:b/>
          <w:color w:val="000000"/>
        </w:rPr>
        <w:t>We respectfully recommend the Committee to urge the UK Government to pass robust regulations regarding its transnational corporations and deforestation-risk imports</w:t>
      </w:r>
      <w:r>
        <w:rPr>
          <w:b/>
        </w:rPr>
        <w:t xml:space="preserve">, which </w:t>
      </w:r>
      <w:r>
        <w:rPr>
          <w:b/>
          <w:color w:val="000000"/>
        </w:rPr>
        <w:t xml:space="preserve">promote and respect the natural resource rights of all peoples as required by ICESCR Article 1. </w:t>
      </w:r>
    </w:p>
    <w:p w14:paraId="6EAD3853" w14:textId="77777777" w:rsidR="005319DD" w:rsidRDefault="005319DD">
      <w:pPr>
        <w:rPr>
          <w:b/>
        </w:rPr>
      </w:pPr>
      <w:r>
        <w:rPr>
          <w:b/>
          <w:color w:val="000000"/>
        </w:rPr>
        <w:t>Specifically</w:t>
      </w:r>
      <w:r>
        <w:rPr>
          <w:b/>
        </w:rPr>
        <w:t xml:space="preserve">, the UK government should pass legislation at least as strong as Europe’s </w:t>
      </w:r>
      <w:r>
        <w:rPr>
          <w:b/>
          <w:i/>
        </w:rPr>
        <w:t>Directive on Corporate Sustainability Due Diligence</w:t>
      </w:r>
      <w:r>
        <w:rPr>
          <w:b/>
        </w:rPr>
        <w:t>,</w:t>
      </w:r>
      <w:r>
        <w:rPr>
          <w:b/>
          <w:i/>
        </w:rPr>
        <w:t xml:space="preserve"> Critical Raw Materials Act</w:t>
      </w:r>
      <w:r>
        <w:rPr>
          <w:b/>
        </w:rPr>
        <w:t xml:space="preserve">, and </w:t>
      </w:r>
      <w:r>
        <w:rPr>
          <w:b/>
          <w:i/>
        </w:rPr>
        <w:t>EU Regulation on Deforestation-Free Product</w:t>
      </w:r>
      <w:r>
        <w:rPr>
          <w:b/>
        </w:rPr>
        <w:t>s.</w:t>
      </w:r>
    </w:p>
    <w:p w14:paraId="6EAD3854" w14:textId="77777777" w:rsidR="005319DD" w:rsidRDefault="005319DD">
      <w:pPr>
        <w:rPr>
          <w:b/>
        </w:rPr>
      </w:pPr>
    </w:p>
    <w:p w14:paraId="6EAD3855" w14:textId="77777777" w:rsidR="005319DD" w:rsidRDefault="005319DD">
      <w:pPr>
        <w:rPr>
          <w:b/>
        </w:rPr>
      </w:pPr>
      <w:r>
        <w:rPr>
          <w:b/>
        </w:rPr>
        <w:t>VII. Improving UK Oversight of its Mineral Exchanges</w:t>
      </w:r>
    </w:p>
    <w:p w14:paraId="6EAD3856" w14:textId="77777777" w:rsidR="005319DD" w:rsidRDefault="005319DD">
      <w:r>
        <w:t>The UK can substantially improve the human rights situation abroad with better oversight of entities operating entirely within the United Kingdom. We refer here especially to two powerful mineral exchanges located in London, whose decisions on mineral certification carry momentous consequences for the well-being of peoples worldwide.</w:t>
      </w:r>
    </w:p>
    <w:p w14:paraId="6EAD3858" w14:textId="70ECCB06" w:rsidR="005319DD" w:rsidRDefault="005319DD">
      <w:r>
        <w:t xml:space="preserve">The </w:t>
      </w:r>
      <w:r>
        <w:rPr>
          <w:b/>
        </w:rPr>
        <w:t>London Bullion Market Association (LBMA)</w:t>
      </w:r>
      <w:r>
        <w:t xml:space="preserve"> is the leading international trade association for the global over-the-counter precious metals market, with a primary focus on gold and silver. The London bullion market, overseen by the LBMA, is now the largest and oldest financial market for precious metals </w:t>
      </w:r>
      <w:r>
        <w:lastRenderedPageBreak/>
        <w:t>globally.</w:t>
      </w:r>
      <w:r>
        <w:rPr>
          <w:vertAlign w:val="superscript"/>
        </w:rPr>
        <w:endnoteReference w:id="43"/>
      </w:r>
      <w:r>
        <w:t xml:space="preserve"> The LBMA comprises approximately 145-150 member companies from across Europe, Asia, North America, and Africa, including major international banks, bullion dealers, refiners, and mining companies. It facilitates approximately 75% of the world's gold trading, around US$275 billion of trades each week, primarily through transactions among its members and clients, which include central banks, mining companies, and private banks.</w:t>
      </w:r>
      <w:r>
        <w:rPr>
          <w:vertAlign w:val="superscript"/>
        </w:rPr>
        <w:endnoteReference w:id="44"/>
      </w:r>
      <w:r>
        <w:t xml:space="preserve"> </w:t>
      </w:r>
    </w:p>
    <w:p w14:paraId="6EAD3859" w14:textId="77777777" w:rsidR="005319DD" w:rsidRDefault="005319DD">
      <w:r>
        <w:t>The LBMA claims to secure human rights in the gold supply chain through its Responsible Sourcing Programme.</w:t>
      </w:r>
      <w:r>
        <w:rPr>
          <w:vertAlign w:val="superscript"/>
        </w:rPr>
        <w:endnoteReference w:id="45"/>
      </w:r>
      <w:r>
        <w:t xml:space="preserve"> Its Responsible Gold Guidance requires refiners to establish strong company management systems for supply chain due diligence, assess human rights risks in the gold supply chain, to implement strategies to respond to those risks, to obtain independent third-party audits of their due diligence practices, and to report publicly on their supply chain due diligence annually.</w:t>
      </w:r>
    </w:p>
    <w:p w14:paraId="6EAD385A" w14:textId="2390CB04" w:rsidR="005319DD" w:rsidRDefault="005319DD">
      <w:r>
        <w:t>The LBMA’s guidance explicitly requires refiners to assess risks related to widespread human rights abuses, the worst forms of child labor, forced labor, torture, and other gross human rights abuses, as well as direct or indirect support to armed groups that commit human rights abuses. For high-risk supply chains, refiners must conduct enhanced due diligence, including investigating mines and suppliers on-site, assessing militarization of mine sites and transportation routes, and collecting evidence of any serious human rights abuses. The guidance requires refiners to undergo annual independent third-party audits, and failure to adhere to the guidance can result in removal from the LBMA Good Delivery List.</w:t>
      </w:r>
    </w:p>
    <w:p w14:paraId="6EAD385B" w14:textId="77777777" w:rsidR="005319DD" w:rsidRDefault="005319DD">
      <w:r>
        <w:t>Despite the high quality of its paper guidance, Leigh Day has shown in detail that the LBMA’s certification process is in fact deeply flawed.</w:t>
      </w:r>
      <w:r>
        <w:rPr>
          <w:vertAlign w:val="superscript"/>
        </w:rPr>
        <w:endnoteReference w:id="46"/>
      </w:r>
      <w:r>
        <w:t xml:space="preserve"> This legal action follows years of investigations by civil society organizations such as RAID, Global Witness, and SWISSAID detailing how the LBMA’s Responsible Sourcing Program can act as a cover for serious human rights abuses, including against many indigenous peoples are adversely affected by LBMA-certified refiners.</w:t>
      </w:r>
      <w:r>
        <w:rPr>
          <w:vertAlign w:val="superscript"/>
        </w:rPr>
        <w:endnoteReference w:id="47"/>
      </w:r>
      <w:r>
        <w:t xml:space="preserve"> </w:t>
      </w:r>
    </w:p>
    <w:p w14:paraId="6EAD385C" w14:textId="0AF198F1" w:rsidR="005319DD" w:rsidRDefault="005319DD">
      <w:r>
        <w:t>Leigh Day has filed a claim in the High Court in London on behalf of two 23-year</w:t>
      </w:r>
      <w:r w:rsidR="00A7606A">
        <w:t>-</w:t>
      </w:r>
      <w:r>
        <w:t>old artisanal miners killed in 2019 while prospecting for gold at the North Mara Mine in Tanzania. The North Mara Mine has a long history of allegations of systemic human rights abuses. Civil society organisations have reported over 100 killings or incidents of serious violence like torture around the mine between 2009 and 2022,</w:t>
      </w:r>
      <w:r>
        <w:rPr>
          <w:vertAlign w:val="superscript"/>
        </w:rPr>
        <w:endnoteReference w:id="48"/>
      </w:r>
      <w:r>
        <w:t xml:space="preserve"> as well as numerous other allegations of police abuse around the mine.</w:t>
      </w:r>
      <w:r>
        <w:rPr>
          <w:vertAlign w:val="superscript"/>
        </w:rPr>
        <w:endnoteReference w:id="49"/>
      </w:r>
      <w:r>
        <w:t xml:space="preserve"> In April 2024, the United Nations Human Rights Council (UNHRC) Special Procedures Branch sent a Joint Communication to Barrick Gold and a number of its investors, raising concerns about alleged human rights abuses at the North Mara Mine.</w:t>
      </w:r>
      <w:r>
        <w:rPr>
          <w:vertAlign w:val="superscript"/>
        </w:rPr>
        <w:endnoteReference w:id="50"/>
      </w:r>
      <w:r>
        <w:t xml:space="preserve"> Barrick refuted the allegations.</w:t>
      </w:r>
      <w:r>
        <w:rPr>
          <w:vertAlign w:val="superscript"/>
        </w:rPr>
        <w:endnoteReference w:id="51"/>
      </w:r>
      <w:r>
        <w:t xml:space="preserve"> Barrick Gold and its subsidiaries have also been subject to three legal actions filed by Tanzanians since 2013 relating to alleged deaths and injuries at North Mara, including one by members of the indigenous Kurya community, alleging systemic killings and torture.</w:t>
      </w:r>
      <w:r>
        <w:rPr>
          <w:vertAlign w:val="superscript"/>
        </w:rPr>
        <w:endnoteReference w:id="52"/>
      </w:r>
    </w:p>
    <w:p w14:paraId="6EAD385D" w14:textId="77777777" w:rsidR="005319DD" w:rsidRDefault="005319DD">
      <w:r>
        <w:t>The first artisanal miner in the Leigh Day lawsuit was killed after entering the mine to prospect for gold. His family allege he was violently assaulted by security guards and/or Tanzanian police officers assigned to provide security at the mine. He suffered a gunshot wound and died from a loss of blood. The family of the second artisanal miner alleges that he had been prospecting for gold at a tailings site before Tanzanian police officers arrived and opened fire with live ammunition and tear gas. He was shot in the back and died from his wounds.</w:t>
      </w:r>
      <w:r>
        <w:rPr>
          <w:vertAlign w:val="superscript"/>
        </w:rPr>
        <w:endnoteReference w:id="53"/>
      </w:r>
    </w:p>
    <w:p w14:paraId="6EAD385E" w14:textId="77777777" w:rsidR="005319DD" w:rsidRDefault="005319DD">
      <w:r>
        <w:lastRenderedPageBreak/>
        <w:t>Despite the troubled history of allegations and these specific violent deaths at North Mara, the LBMA issued a Responsible Gold certificate to gold refined from the mine, thereby (it is alleged) publicly asserting that this gold was responsibly sourced. The families of the victims argue that the LBMA should have withdrawn its certification from the refiner before 2019, amidst all the credible reports of systemic abuses at the mine. This would have forced the mine to change its harmful practices, and the families believe that their family members would still be alive today.</w:t>
      </w:r>
      <w:r>
        <w:rPr>
          <w:vertAlign w:val="superscript"/>
        </w:rPr>
        <w:endnoteReference w:id="54"/>
      </w:r>
      <w:r>
        <w:t xml:space="preserve"> Decisions taken, or precisely not taken, in an elegant London office can result in continuation of violent human rights abuses thousands of miles away.</w:t>
      </w:r>
    </w:p>
    <w:p w14:paraId="6EAD385F" w14:textId="3FF9FFEA" w:rsidR="005319DD" w:rsidRDefault="005319DD">
      <w:pPr>
        <w:rPr>
          <w:highlight w:val="white"/>
        </w:rPr>
      </w:pPr>
      <w:r>
        <w:t xml:space="preserve">The UNHRC’s Special Procedures Branch in its April 2024 Joint Communication highlighting concerns about abuses at the North Mara Mine also wrote to the UK government requesting information </w:t>
      </w:r>
      <w:r>
        <w:rPr>
          <w:highlight w:val="white"/>
        </w:rPr>
        <w:t xml:space="preserve">about its oversight of the LBMA. In its reply, the UK government said it </w:t>
      </w:r>
      <w:r w:rsidRPr="008B1797">
        <w:rPr>
          <w:highlight w:val="white"/>
        </w:rPr>
        <w:t xml:space="preserve">‘expects all UK businesses, including those trading in gold, and/or certifying gold as responsibly sourced, to respect human rights throughout their operations, in line with the UNGPs,’ and </w:t>
      </w:r>
      <w:r w:rsidR="00424361" w:rsidRPr="008B1797">
        <w:rPr>
          <w:highlight w:val="white"/>
        </w:rPr>
        <w:t>that ‘</w:t>
      </w:r>
      <w:r w:rsidRPr="008B1797">
        <w:rPr>
          <w:highlight w:val="white"/>
        </w:rPr>
        <w:t>[UK] officials will be meeting with [the LBMA] in due course to discuss the human rights abuses alleged.’</w:t>
      </w:r>
      <w:r w:rsidRPr="008B1797">
        <w:rPr>
          <w:iCs/>
          <w:highlight w:val="white"/>
          <w:vertAlign w:val="superscript"/>
        </w:rPr>
        <w:endnoteReference w:id="55"/>
      </w:r>
    </w:p>
    <w:p w14:paraId="6EAD3860" w14:textId="77777777" w:rsidR="005319DD" w:rsidRDefault="005319DD">
      <w:r>
        <w:t>The</w:t>
      </w:r>
      <w:r>
        <w:rPr>
          <w:b/>
        </w:rPr>
        <w:t xml:space="preserve"> London Metals Exchange (LME)</w:t>
      </w:r>
      <w:r>
        <w:t xml:space="preserve"> is the world’s largest market for trading industrial metals like aluminium, copper, tin, nickel, zinc, lead, cobalt, and molybdenum. With a history going back to the Royal Exchange during the Elizabethan period, the LME is now owned by Hong Kong Exchanges and Clearing.</w:t>
      </w:r>
      <w:r>
        <w:rPr>
          <w:vertAlign w:val="superscript"/>
        </w:rPr>
        <w:endnoteReference w:id="56"/>
      </w:r>
      <w:r>
        <w:t xml:space="preserve"> The LME handles approximately $15 trillion in futures and options trades annually, an amount 40 times larger than global metal production.</w:t>
      </w:r>
      <w:r>
        <w:rPr>
          <w:vertAlign w:val="superscript"/>
        </w:rPr>
        <w:endnoteReference w:id="57"/>
      </w:r>
      <w:r>
        <w:t xml:space="preserve"> </w:t>
      </w:r>
    </w:p>
    <w:p w14:paraId="6EAD3861" w14:textId="77777777" w:rsidR="005319DD" w:rsidRDefault="005319DD">
      <w:pPr>
        <w:rPr>
          <w:color w:val="000000"/>
        </w:rPr>
      </w:pPr>
      <w:r>
        <w:t xml:space="preserve">The </w:t>
      </w:r>
      <w:r w:rsidRPr="001E3FEB">
        <w:rPr>
          <w:b/>
          <w:bCs/>
        </w:rPr>
        <w:t>London Mining Network</w:t>
      </w:r>
      <w:r>
        <w:t xml:space="preserve"> (</w:t>
      </w:r>
      <w:r>
        <w:rPr>
          <w:b/>
        </w:rPr>
        <w:t>LMN</w:t>
      </w:r>
      <w:r>
        <w:t xml:space="preserve">), supported by the </w:t>
      </w:r>
      <w:r w:rsidRPr="001E3FEB">
        <w:rPr>
          <w:b/>
          <w:bCs/>
        </w:rPr>
        <w:t>Global Legal Action Network</w:t>
      </w:r>
      <w:r>
        <w:t xml:space="preserve"> (</w:t>
      </w:r>
      <w:r>
        <w:rPr>
          <w:b/>
        </w:rPr>
        <w:t>GLAN</w:t>
      </w:r>
      <w:r>
        <w:t xml:space="preserve">), </w:t>
      </w:r>
      <w:r>
        <w:rPr>
          <w:color w:val="000000"/>
        </w:rPr>
        <w:t>have filed a legal action against the London Metal Exchange for enabling the global sale of ‘dirty metals’ extracted in West Papua, Guinea, Brazil and elsewhere.</w:t>
      </w:r>
      <w:r>
        <w:rPr>
          <w:color w:val="000000"/>
          <w:vertAlign w:val="superscript"/>
        </w:rPr>
        <w:endnoteReference w:id="58"/>
      </w:r>
      <w:r>
        <w:rPr>
          <w:color w:val="000000"/>
        </w:rPr>
        <w:t xml:space="preserve"> LMN and GLAN argue that the LME is in violation of the Proceeds of Crime Act 2002 by allowing metals tainted by human rights abuses to enter into the UK’s jurisdiction.</w:t>
      </w:r>
    </w:p>
    <w:p w14:paraId="6EAD3862" w14:textId="77777777" w:rsidR="005319DD" w:rsidRDefault="005319DD">
      <w:r>
        <w:t>Indigenous peoples in West Papua have been long suffering the effects of mining waste pollution from the Grasberg mine, which is operated by Rio Tinto and Freeport.</w:t>
      </w:r>
      <w:r>
        <w:rPr>
          <w:vertAlign w:val="superscript"/>
        </w:rPr>
        <w:endnoteReference w:id="59"/>
      </w:r>
      <w:r>
        <w:t xml:space="preserve"> Mining tailings are dumped into the water sources that they rely on for basic needs like drinking, cooking and bathing: over 200,000 tonnes of toxic mining waste are thrown into local rivers every day. Dumping tailings is considered so harmful to the environment that it is banned almost everywhere worldwide. West Papua remains an exception, at the cost to the indigenous peoples who live near the mine.</w:t>
      </w:r>
    </w:p>
    <w:p w14:paraId="6EAD3863" w14:textId="77777777" w:rsidR="005319DD" w:rsidRDefault="005319DD">
      <w:r>
        <w:t>Skin diseases and other health conditions from the heavy metal pollution in the water are afflicting West Papuan indigenous communities, with children and the elderly most at risk. West Papuans have seen rivers disappear that they have traditionally used for fishing and navigating, and are central to their way of life. Indigenous communities have also seen West Papua’s forests—a crucial means of their subsistence—gradually disappear under mounds of mining waste.</w:t>
      </w:r>
      <w:r>
        <w:rPr>
          <w:vertAlign w:val="superscript"/>
        </w:rPr>
        <w:endnoteReference w:id="60"/>
      </w:r>
    </w:p>
    <w:p w14:paraId="6EAD3864" w14:textId="77777777" w:rsidR="005319DD" w:rsidRDefault="005319DD">
      <w:r>
        <w:t>These abuses of the resource rights of West Papuan indigenous peoples are symptomatic of larger and systemic problems across the globe. GLAN has identified similar abuses of resource rights mining companies operating in Brazil, Peru, Guinea and the Russian Federation.</w:t>
      </w:r>
      <w:r>
        <w:rPr>
          <w:vertAlign w:val="superscript"/>
        </w:rPr>
        <w:endnoteReference w:id="61"/>
      </w:r>
      <w:r>
        <w:t xml:space="preserve"> All of these companies are trading their tainted metals through the LME.</w:t>
      </w:r>
    </w:p>
    <w:p w14:paraId="6EAD3865" w14:textId="77777777" w:rsidR="005319DD" w:rsidRDefault="005319DD">
      <w:r>
        <w:lastRenderedPageBreak/>
        <w:t>The LBMA and the LME are facilitating massive abuses of natural resource rights around the world. The cases brought by Leigh Day, LMN, and GLAN may force some changes to the operation of these powerful metal exchanges. Yet oversight of these exchanges is clearly the responsibility of the UK government. The LME is under the regulatory ambit of the Financial Conduct Authority and the Financial Services Authority. The LBMA falls directly within no government regulatory framework at all.</w:t>
      </w:r>
    </w:p>
    <w:p w14:paraId="6EAD3866" w14:textId="77777777" w:rsidR="005319DD" w:rsidRDefault="005319DD">
      <w:pPr>
        <w:rPr>
          <w:b/>
        </w:rPr>
      </w:pPr>
      <w:r>
        <w:t xml:space="preserve">We respectfully ask the Committee to </w:t>
      </w:r>
      <w:r>
        <w:rPr>
          <w:b/>
        </w:rPr>
        <w:t>urge the UK government to pass legislation to impose clear duties and sanctions on regulatory and certification bodies to prevent them from enabling environmental harm and human rights abuses from taking place abroad.</w:t>
      </w:r>
    </w:p>
    <w:p w14:paraId="6EAD3867" w14:textId="77777777" w:rsidR="005319DD" w:rsidRDefault="005319DD">
      <w:pPr>
        <w:rPr>
          <w:b/>
        </w:rPr>
      </w:pPr>
    </w:p>
    <w:p w14:paraId="6EAD3868" w14:textId="173B965D" w:rsidR="005319DD" w:rsidRDefault="005319DD">
      <w:pPr>
        <w:rPr>
          <w:b/>
        </w:rPr>
      </w:pPr>
      <w:r>
        <w:rPr>
          <w:b/>
        </w:rPr>
        <w:t>VIII. UK Support for Improvement of Transnational Arbitration</w:t>
      </w:r>
    </w:p>
    <w:p w14:paraId="6EAD3869" w14:textId="77777777" w:rsidR="005319DD" w:rsidRDefault="005319DD">
      <w:r>
        <w:t>No location is more popular than London as a seat of transnational investment arbitration.</w:t>
      </w:r>
      <w:r>
        <w:rPr>
          <w:vertAlign w:val="superscript"/>
        </w:rPr>
        <w:endnoteReference w:id="62"/>
      </w:r>
      <w:r>
        <w:t xml:space="preserve"> London’s popularity as a ‘safe seat’ for arbitration derives from the perceived impartiality and skill of its judges, and the judges’ familiarity with English law which governs 40% of all global corporate arbitrations.</w:t>
      </w:r>
      <w:r>
        <w:rPr>
          <w:vertAlign w:val="superscript"/>
        </w:rPr>
        <w:endnoteReference w:id="63"/>
      </w:r>
    </w:p>
    <w:p w14:paraId="6EAD386A" w14:textId="77777777" w:rsidR="005319DD" w:rsidRDefault="005319DD">
      <w:r>
        <w:t>However, there is a growing awareness in the British arbitration community that all is not well regarding Investor-State Dispute Settlements (ISDS), particularly in cases involving the resource rights of national and indigenous peoples.</w:t>
      </w:r>
    </w:p>
    <w:p w14:paraId="6EAD386B" w14:textId="719372C5" w:rsidR="005319DD" w:rsidRDefault="005319DD">
      <w:pPr>
        <w:pBdr>
          <w:top w:val="nil"/>
          <w:left w:val="nil"/>
          <w:bottom w:val="nil"/>
          <w:right w:val="nil"/>
          <w:between w:val="nil"/>
        </w:pBdr>
        <w:spacing w:before="280" w:after="0" w:line="240" w:lineRule="auto"/>
        <w:jc w:val="both"/>
      </w:pPr>
      <w:r>
        <w:rPr>
          <w:color w:val="000000"/>
        </w:rPr>
        <w:t xml:space="preserve">For example, in a recent decision by the English High Court of Justice, the integrity of such arbitration was an issue of concern to </w:t>
      </w:r>
      <w:r w:rsidR="00424361">
        <w:rPr>
          <w:color w:val="000000"/>
        </w:rPr>
        <w:t>Mr.</w:t>
      </w:r>
      <w:r>
        <w:rPr>
          <w:color w:val="000000"/>
        </w:rPr>
        <w:t xml:space="preserve"> Justice Robin Knowles. Arbitration of the case at hand, Nigeria v. P&amp;ID, resulted in the award of US$11 billion against Nigeria for failing to perform its obligations in accordance with an agreement signed by the Nigerian Ministry of Petroleum Resources and Process &amp; Industrial Developments Ltd (P&amp;ID) to process Nigeria’s natural gas. However, the English High Court put aside the award after the discovery of objectionable conduct on the side of P&amp;ID, including the presentation of false evidence, the bribing of a Nigerian official, and the unlawful obtaining of legal documents internal to Nigeria’s decision-making process.</w:t>
      </w:r>
      <w:r>
        <w:rPr>
          <w:color w:val="000000"/>
          <w:vertAlign w:val="superscript"/>
        </w:rPr>
        <w:endnoteReference w:id="64"/>
      </w:r>
      <w:r>
        <w:rPr>
          <w:color w:val="000000"/>
        </w:rPr>
        <w:t xml:space="preserve"> Justice Knowles put aside the award on the grounds of public policy and declared it fraudulent.</w:t>
      </w:r>
      <w:r>
        <w:rPr>
          <w:color w:val="000000"/>
          <w:vertAlign w:val="superscript"/>
        </w:rPr>
        <w:endnoteReference w:id="65"/>
      </w:r>
    </w:p>
    <w:p w14:paraId="6EAD386C" w14:textId="6F72D1E6" w:rsidR="005319DD" w:rsidRDefault="005319DD">
      <w:pPr>
        <w:pBdr>
          <w:top w:val="nil"/>
          <w:left w:val="nil"/>
          <w:bottom w:val="nil"/>
          <w:right w:val="nil"/>
          <w:between w:val="nil"/>
        </w:pBdr>
        <w:spacing w:before="280" w:after="0" w:line="240" w:lineRule="auto"/>
        <w:jc w:val="both"/>
      </w:pPr>
      <w:r>
        <w:rPr>
          <w:color w:val="000000"/>
        </w:rPr>
        <w:t xml:space="preserve">Against the backdrop of these facts of the case, </w:t>
      </w:r>
      <w:r w:rsidR="00424361">
        <w:rPr>
          <w:color w:val="000000"/>
        </w:rPr>
        <w:t>Mr.</w:t>
      </w:r>
      <w:r>
        <w:rPr>
          <w:color w:val="000000"/>
        </w:rPr>
        <w:t xml:space="preserve"> Justice Knowles expressed concern for the integrity of the arbitration process: ‘The facts and circumstances of this case, which are remarkable but very real, provide an opportunity to consider whether the arbitration process, which is of outstanding importance and value in the world, needs further attention where the value involved is so large and where a state is involved.’</w:t>
      </w:r>
      <w:r>
        <w:rPr>
          <w:color w:val="000000"/>
          <w:vertAlign w:val="superscript"/>
        </w:rPr>
        <w:endnoteReference w:id="66"/>
      </w:r>
    </w:p>
    <w:p w14:paraId="6EAD386D" w14:textId="77777777" w:rsidR="005319DD" w:rsidRDefault="005319DD">
      <w:pPr>
        <w:pBdr>
          <w:top w:val="nil"/>
          <w:left w:val="nil"/>
          <w:bottom w:val="nil"/>
          <w:right w:val="nil"/>
          <w:between w:val="nil"/>
        </w:pBdr>
        <w:spacing w:before="280" w:after="0" w:line="240" w:lineRule="auto"/>
        <w:jc w:val="both"/>
        <w:rPr>
          <w:color w:val="000000"/>
        </w:rPr>
      </w:pPr>
      <w:r>
        <w:rPr>
          <w:color w:val="000000"/>
        </w:rPr>
        <w:t>Noting the imbalance between the parties due to bribery and corruption, and acknowledging other cases where similar imbalances arise due to experience, expertise and resources, Justice Knowles reflected upon the consequences of such imbalance upon the conduct and process of the Tribunal itself.</w:t>
      </w:r>
      <w:r>
        <w:rPr>
          <w:color w:val="000000"/>
          <w:vertAlign w:val="superscript"/>
        </w:rPr>
        <w:endnoteReference w:id="67"/>
      </w:r>
      <w:r>
        <w:rPr>
          <w:color w:val="000000"/>
        </w:rPr>
        <w:t xml:space="preserve"> Of particular relevance are the considerations regarding the extent to which an arbitration tribunal can and should intervene, in order to ensure a more fair arbitration process, and the consequences of the lack of an open process in arbitration proceedings, which denies critical engagement from the public in cases where their interests may be directly affected.</w:t>
      </w:r>
      <w:r>
        <w:rPr>
          <w:color w:val="000000"/>
          <w:vertAlign w:val="superscript"/>
        </w:rPr>
        <w:endnoteReference w:id="68"/>
      </w:r>
    </w:p>
    <w:p w14:paraId="6EAD386E" w14:textId="77777777" w:rsidR="005319DD" w:rsidRDefault="005319DD">
      <w:pPr>
        <w:pBdr>
          <w:top w:val="nil"/>
          <w:left w:val="nil"/>
          <w:bottom w:val="nil"/>
          <w:right w:val="nil"/>
          <w:between w:val="nil"/>
        </w:pBdr>
        <w:spacing w:before="280" w:after="0" w:line="240" w:lineRule="auto"/>
        <w:jc w:val="both"/>
        <w:rPr>
          <w:color w:val="000000"/>
        </w:rPr>
      </w:pPr>
      <w:r>
        <w:lastRenderedPageBreak/>
        <w:t>As the PID contract for Nigeria’s natural gas was obtained by corrupt means, it directly broke through the ‘wall’ of the Nigerian people’s substantive resource rights under Article 1 of the ICESCR. The Nigerian people cannot ‘freely dispose’ of its natural wealth and resources when its officials are making fraudulent deals with foreigners. Nevertheless, the investment tribunal in London awarded those foreigners a victory and $11 billion—an amount that</w:t>
      </w:r>
      <w:r>
        <w:rPr>
          <w:color w:val="000000"/>
        </w:rPr>
        <w:t xml:space="preserve"> is approximately half of Nigeria’s entire annual state budget.</w:t>
      </w:r>
      <w:r>
        <w:rPr>
          <w:color w:val="000000"/>
          <w:vertAlign w:val="superscript"/>
        </w:rPr>
        <w:endnoteReference w:id="69"/>
      </w:r>
    </w:p>
    <w:p w14:paraId="6EAD386F" w14:textId="77777777" w:rsidR="005319DD" w:rsidRDefault="005319DD">
      <w:pPr>
        <w:pBdr>
          <w:top w:val="nil"/>
          <w:left w:val="nil"/>
          <w:bottom w:val="nil"/>
          <w:right w:val="nil"/>
          <w:between w:val="nil"/>
        </w:pBdr>
        <w:spacing w:before="280" w:after="0" w:line="240" w:lineRule="auto"/>
        <w:jc w:val="both"/>
      </w:pPr>
      <w:r>
        <w:t>A series of recent arbitrations regarding indigenous peoples’ resource rights proceeded from a dissent of a British judge, Philippe Sands QC. The case, Bear Creek v. Peru, concerned Bear Creek Mining Corporation’s (Bear Creek) development of the Santa Ana mine, and the concession and later retraction of mining rights issued by the State of Peru, because of concerns of the local Indigenous communities that the mining activity would have a negative impact on their land as well as their cultural identity.</w:t>
      </w:r>
      <w:r>
        <w:rPr>
          <w:vertAlign w:val="superscript"/>
        </w:rPr>
        <w:endnoteReference w:id="70"/>
      </w:r>
    </w:p>
    <w:p w14:paraId="6EAD3870" w14:textId="77777777" w:rsidR="005319DD" w:rsidRDefault="005319DD">
      <w:pPr>
        <w:pBdr>
          <w:top w:val="nil"/>
          <w:left w:val="nil"/>
          <w:bottom w:val="nil"/>
          <w:right w:val="nil"/>
          <w:between w:val="nil"/>
        </w:pBdr>
        <w:spacing w:before="280" w:after="0" w:line="240" w:lineRule="auto"/>
        <w:jc w:val="both"/>
      </w:pPr>
      <w:r>
        <w:t>While the Tribunal upheld the investor’s claims of compensation for unlawful expropriation of its investment by the State, the issue of contributory fault of the investor and subsequent impact on the reduction of compensation caused disagreement among the members of the Tribunal. Professor Sands agreed to the State’s claims of contributory fault of the investor, and referred to Bear failure to engage with and address the concerns of all affected indigenous communities, which led to their protests and ultimately the retraction of the mining rights.</w:t>
      </w:r>
      <w:r>
        <w:rPr>
          <w:vertAlign w:val="superscript"/>
        </w:rPr>
        <w:endnoteReference w:id="71"/>
      </w:r>
      <w:r>
        <w:t xml:space="preserve"> Sands based his dissenting opinion on the International Labour Organization’s Indigenous and Tribal Peoples Convention (ILO Convention 169), which primarily obliges states, and argued that ‘[…] the fact that the Convention may not impose obligations directly on a private foreign investor as such does not, however, mean that it is without significance or legal effects for them.’</w:t>
      </w:r>
      <w:r>
        <w:rPr>
          <w:vertAlign w:val="superscript"/>
        </w:rPr>
        <w:endnoteReference w:id="72"/>
      </w:r>
    </w:p>
    <w:p w14:paraId="6EAD3871" w14:textId="77777777" w:rsidR="005319DD" w:rsidRDefault="005319DD">
      <w:pPr>
        <w:pBdr>
          <w:top w:val="nil"/>
          <w:left w:val="nil"/>
          <w:bottom w:val="nil"/>
          <w:right w:val="nil"/>
          <w:between w:val="nil"/>
        </w:pBdr>
        <w:spacing w:before="280" w:after="0" w:line="240" w:lineRule="auto"/>
        <w:jc w:val="both"/>
      </w:pPr>
      <w:r>
        <w:t>In the aftermath of Bear Creek v. Peru, the International Centre for Settlement of Investment Disputes has hosted other disputes over the resource rights of indigenous communities. The case of Álvarez y Marín Corporación S.A. and others v. Panama concerned foreign investors’ claim against Panama for the expropriation of their investment, an eco-tourism project within a protected indigenous reserve owned by the indigenous communities in common. The Tribunal concluded that the acquisition of land for the project was in breach of the domestic legal regime requiring respect for Indigenous Peoples’ rights. The Tribunal affirmed a duty of due diligence for the investors specifically to respect the rights of the local indigenous peoples in their lands.</w:t>
      </w:r>
      <w:r>
        <w:rPr>
          <w:vertAlign w:val="superscript"/>
        </w:rPr>
        <w:endnoteReference w:id="73"/>
      </w:r>
    </w:p>
    <w:p w14:paraId="6EAD3872" w14:textId="77777777" w:rsidR="005319DD" w:rsidRDefault="005319DD">
      <w:pPr>
        <w:pBdr>
          <w:top w:val="nil"/>
          <w:left w:val="nil"/>
          <w:bottom w:val="nil"/>
          <w:right w:val="nil"/>
          <w:between w:val="nil"/>
        </w:pBdr>
        <w:spacing w:before="280" w:after="0" w:line="240" w:lineRule="auto"/>
        <w:jc w:val="both"/>
      </w:pPr>
      <w:r>
        <w:t>Another case concerning Indigenous communities’ resource rights is South American Silver Limited v. Bolivia.</w:t>
      </w:r>
      <w:r>
        <w:rPr>
          <w:vertAlign w:val="superscript"/>
        </w:rPr>
        <w:endnoteReference w:id="74"/>
      </w:r>
      <w:r>
        <w:t xml:space="preserve"> Members of indigenous communities accused the company owning mining concessions of polluting sacred spaces as well as deceiving and threatening community members. Violent clashes ensued, after which the Bolivian government took away the concessions, leading to the company’s claim of wrong expropriation. The tribunal found that the company ‘had serious failures in its community relations from the outset which remained uncorrected in spite of [the Bolivian government’s] warnings,’ and that the government’s protection of its citizens human rights in the circumstance of violent conflict was a legitimate public purpose. While awarding the company some compensation for the expropriation, the tribunal suggested a requirement for companies to engage in sufficient consultation with indigenous peoples before and during their concessionary period.</w:t>
      </w:r>
      <w:r>
        <w:rPr>
          <w:vertAlign w:val="superscript"/>
        </w:rPr>
        <w:endnoteReference w:id="75"/>
      </w:r>
    </w:p>
    <w:p w14:paraId="6EAD3873" w14:textId="77777777" w:rsidR="005319DD" w:rsidRDefault="005319DD">
      <w:pPr>
        <w:pBdr>
          <w:top w:val="nil"/>
          <w:left w:val="nil"/>
          <w:bottom w:val="nil"/>
          <w:right w:val="nil"/>
          <w:between w:val="nil"/>
        </w:pBdr>
        <w:spacing w:before="280" w:after="0" w:line="240" w:lineRule="auto"/>
        <w:jc w:val="both"/>
      </w:pPr>
      <w:r>
        <w:t xml:space="preserve">Cases like these have helped to convince some that the ISDS process is broken beyond repair and should be abandoned altogether. The Biden administration excluded ISDS from new US trade deals, and dozens of congresspeople, prominent American professors of law and of economics, and over 200 civil society </w:t>
      </w:r>
      <w:r>
        <w:lastRenderedPageBreak/>
        <w:t>organisations have urged the US to remove ISDS from existing trade agreements.</w:t>
      </w:r>
      <w:r>
        <w:rPr>
          <w:vertAlign w:val="superscript"/>
        </w:rPr>
        <w:endnoteReference w:id="76"/>
      </w:r>
      <w:r>
        <w:t xml:space="preserve"> Others have recommended that FPIC become an explicit part of International Investment Agreements (IIAs) and investor-state contracts.</w:t>
      </w:r>
      <w:r>
        <w:rPr>
          <w:vertAlign w:val="superscript"/>
        </w:rPr>
        <w:endnoteReference w:id="77"/>
      </w:r>
      <w:r>
        <w:t xml:space="preserve"> Indigenous resource rights can also be explicitly protected by international investment agreements, as for example in the Canada-Peru Free Trade Agreement and in the Canada-Senegal Bilateral Investment Treaty.</w:t>
      </w:r>
    </w:p>
    <w:p w14:paraId="6EAD3874" w14:textId="77777777" w:rsidR="005319DD" w:rsidRDefault="005319DD">
      <w:pPr>
        <w:pBdr>
          <w:top w:val="nil"/>
          <w:left w:val="nil"/>
          <w:bottom w:val="nil"/>
          <w:right w:val="nil"/>
          <w:between w:val="nil"/>
        </w:pBdr>
        <w:spacing w:before="280" w:after="0" w:line="240" w:lineRule="auto"/>
        <w:jc w:val="both"/>
      </w:pPr>
      <w:r>
        <w:t xml:space="preserve">These kinds of reforms may go beyond what is feasible for the UK at this moment. Yet this does not rule out meaningful, and indeed substantial reforms, to protect the resource rights of peoples. We highlight four reforms in particular: </w:t>
      </w:r>
      <w:r w:rsidRPr="004F6DEF">
        <w:rPr>
          <w:b/>
          <w:bCs/>
        </w:rPr>
        <w:t>1) The Hague Rules on Business and Human Rights Arbitration; 2) UNCITRAL’s Multilateral Advisory Center, Multilateral Permanent Investment Court, and Appellate Mechanism; 3) UNIDROIT’s model anti-corruption clause; 4) The Columbia – Georgetown Framework Convention.</w:t>
      </w:r>
      <w:r>
        <w:t xml:space="preserve"> </w:t>
      </w:r>
    </w:p>
    <w:p w14:paraId="6EAD3875" w14:textId="77777777" w:rsidR="005319DD" w:rsidRDefault="005319DD">
      <w:pPr>
        <w:spacing w:after="0" w:line="240" w:lineRule="auto"/>
        <w:jc w:val="both"/>
      </w:pPr>
    </w:p>
    <w:p w14:paraId="6EAD3876" w14:textId="77777777" w:rsidR="005319DD" w:rsidRDefault="005319DD">
      <w:pPr>
        <w:spacing w:after="0" w:line="240" w:lineRule="auto"/>
        <w:jc w:val="both"/>
        <w:rPr>
          <w:b/>
          <w:i/>
        </w:rPr>
      </w:pPr>
      <w:r>
        <w:rPr>
          <w:b/>
        </w:rPr>
        <w:t xml:space="preserve">1. </w:t>
      </w:r>
      <w:r>
        <w:rPr>
          <w:b/>
          <w:i/>
        </w:rPr>
        <w:t>The Hague Rules on Business and Human Rights Arbitration</w:t>
      </w:r>
    </w:p>
    <w:p w14:paraId="6EAD3877" w14:textId="77777777" w:rsidR="005319DD" w:rsidRDefault="005319DD">
      <w:pPr>
        <w:spacing w:after="0" w:line="240" w:lineRule="auto"/>
        <w:jc w:val="both"/>
      </w:pPr>
    </w:p>
    <w:p w14:paraId="6EAD3878" w14:textId="77777777" w:rsidR="005319DD" w:rsidRDefault="005319DD">
      <w:r>
        <w:t>The Hague Rules on Business and Human Rights Arbitration</w:t>
      </w:r>
      <w:r>
        <w:rPr>
          <w:vertAlign w:val="superscript"/>
        </w:rPr>
        <w:endnoteReference w:id="78"/>
      </w:r>
      <w:r>
        <w:t xml:space="preserve"> offer a specialized framework for disputes over the impact of business activities on human rights. Essentially, they adapt standard arbitration rules to bolster the implementation of the UN Guiding Principles on Business and Human Rights. A key goal of the Hague Rules is to improve access to justice for victims of corporate human rights abuses, particularly in situations where relying on national courts might be impractical or ineffective.</w:t>
      </w:r>
    </w:p>
    <w:p w14:paraId="6EAD3879" w14:textId="77777777" w:rsidR="005319DD" w:rsidRDefault="005319DD">
      <w:pPr>
        <w:spacing w:before="240" w:after="240"/>
      </w:pPr>
      <w:r>
        <w:t>The Hague Rules, which have been adopted by the Permanent Court of Arbitration, are designed to be flexible, allowing parties to tailor certain provisions to their specific circumstances. They also acknowledge the need for diverse remedies in these situations, permitting arbitrators to award not only financial compensation but also remedies like formal apologies or mandates for companies to alter harmful practices.</w:t>
      </w:r>
    </w:p>
    <w:p w14:paraId="6EAD387A" w14:textId="77777777" w:rsidR="005319DD" w:rsidRDefault="005319DD">
      <w:r>
        <w:t>There are two routes by which the Hague Rules might come to be utilised by parties to a dispute. The first is by agreement. The second route, which is more pertinent in the present context, is by states or lenders stipulating that any licence to operate is conditional on the investor agreeing to arbitrate under the Hague Rules (or a bespoke variation of them). So, for example, the UK government might require any UK multinational corporation operating in an area impacting the natural resources of an indigenous community to arbitrate human rights disputes publicly and on the basis that the costs of arbitration are borne by the corporation.</w:t>
      </w:r>
    </w:p>
    <w:p w14:paraId="6EAD387B" w14:textId="77777777" w:rsidR="005319DD" w:rsidRDefault="005319DD">
      <w:r>
        <w:t>We strongly recommend that the UK government support such uses of the Hague Rules to protect the resource rights of peoples.</w:t>
      </w:r>
    </w:p>
    <w:p w14:paraId="6EAD387C" w14:textId="77777777" w:rsidR="005319DD" w:rsidRDefault="005319DD">
      <w:pPr>
        <w:spacing w:after="0" w:line="240" w:lineRule="auto"/>
        <w:jc w:val="both"/>
        <w:rPr>
          <w:b/>
          <w:i/>
        </w:rPr>
      </w:pPr>
      <w:r>
        <w:rPr>
          <w:b/>
        </w:rPr>
        <w:t xml:space="preserve">2. </w:t>
      </w:r>
      <w:r>
        <w:rPr>
          <w:b/>
          <w:i/>
        </w:rPr>
        <w:t>UNCITRAL Reforms</w:t>
      </w:r>
    </w:p>
    <w:p w14:paraId="6EAD387D" w14:textId="77777777" w:rsidR="005319DD" w:rsidRDefault="005319DD">
      <w:pPr>
        <w:spacing w:after="0" w:line="240" w:lineRule="auto"/>
        <w:ind w:left="450"/>
        <w:jc w:val="both"/>
      </w:pPr>
    </w:p>
    <w:p w14:paraId="6EAD387E" w14:textId="77777777" w:rsidR="005319DD" w:rsidRDefault="005319DD">
      <w:pPr>
        <w:spacing w:after="0" w:line="240" w:lineRule="auto"/>
        <w:jc w:val="both"/>
      </w:pPr>
      <w:r>
        <w:t>The differing outcomes of these cases demonstrate one among several criticisms raised against the treaty-based system of investor-state dispute settlements (ISDS). Over the past two decades, concerns relating to the current system of dispute settlement of international investment agreements have accumulated, and in 2017 this culminated in the establishment of Working Group III of the United Nations Commission on International Trade Law (UNCITRAL) to work on possible investor-state dispute settlement reform.</w:t>
      </w:r>
      <w:r>
        <w:rPr>
          <w:vertAlign w:val="superscript"/>
        </w:rPr>
        <w:endnoteReference w:id="79"/>
      </w:r>
    </w:p>
    <w:p w14:paraId="6EAD387F" w14:textId="77777777" w:rsidR="005319DD" w:rsidRDefault="005319DD">
      <w:pPr>
        <w:spacing w:after="0" w:line="240" w:lineRule="auto"/>
        <w:jc w:val="both"/>
      </w:pPr>
    </w:p>
    <w:p w14:paraId="6EAD3880" w14:textId="77777777" w:rsidR="005319DD" w:rsidRDefault="005319DD">
      <w:pPr>
        <w:spacing w:after="0" w:line="240" w:lineRule="auto"/>
        <w:jc w:val="both"/>
      </w:pPr>
      <w:bookmarkStart w:id="2" w:name="_heading=h.gjdgxs" w:colFirst="0" w:colLast="0"/>
      <w:bookmarkEnd w:id="2"/>
      <w:r>
        <w:lastRenderedPageBreak/>
        <w:t>Working Group III identified concerns relating to a lack of consistency and predictability in outcome of international investment dispute settlements,</w:t>
      </w:r>
      <w:r>
        <w:rPr>
          <w:vertAlign w:val="superscript"/>
        </w:rPr>
        <w:endnoteReference w:id="80"/>
      </w:r>
      <w:r>
        <w:t xml:space="preserve"> as well as concerns relating to arbitrators and decision makers and the lack of transparency with arbitral panels. The criticism that ISDS decisions contributed to the undermining of host states’ right to legitimate economic regulation has also been raised, particularly in context of international investment agreement (IIA) obligations.</w:t>
      </w:r>
    </w:p>
    <w:p w14:paraId="6EAD3881" w14:textId="77777777" w:rsidR="005319DD" w:rsidRDefault="005319DD">
      <w:pPr>
        <w:spacing w:after="0" w:line="240" w:lineRule="auto"/>
        <w:jc w:val="both"/>
      </w:pPr>
    </w:p>
    <w:p w14:paraId="6EAD3882" w14:textId="77777777" w:rsidR="005319DD" w:rsidRDefault="005319DD">
      <w:pPr>
        <w:spacing w:after="280" w:line="240" w:lineRule="auto"/>
        <w:jc w:val="both"/>
      </w:pPr>
      <w:r>
        <w:t>Since 2017, negotiations and discussions in the UNCITRAL Working Group III regarding ISDS reform have been ongoing. Their proposed institutional reforms that we believe are especially deserving of UK support are a Multilateral Advisory Centre, a Multilateral Permanent Investment Court, and an Appellate Mechanism.</w:t>
      </w:r>
      <w:r>
        <w:rPr>
          <w:vertAlign w:val="superscript"/>
        </w:rPr>
        <w:endnoteReference w:id="81"/>
      </w:r>
    </w:p>
    <w:p w14:paraId="6EAD3883" w14:textId="77777777" w:rsidR="005319DD" w:rsidRDefault="005319DD">
      <w:pPr>
        <w:pStyle w:val="Heading5"/>
        <w:spacing w:before="80" w:after="280" w:line="240" w:lineRule="auto"/>
        <w:jc w:val="both"/>
        <w:rPr>
          <w:b w:val="0"/>
          <w:i/>
        </w:rPr>
      </w:pPr>
      <w:bookmarkStart w:id="3" w:name="_heading=h.30j0zll" w:colFirst="0" w:colLast="0"/>
      <w:bookmarkEnd w:id="3"/>
      <w:r>
        <w:rPr>
          <w:b w:val="0"/>
          <w:i/>
        </w:rPr>
        <w:t>Multilateral Advisory Centre</w:t>
      </w:r>
    </w:p>
    <w:p w14:paraId="6EAD3884" w14:textId="77777777" w:rsidR="005319DD" w:rsidRDefault="005319DD">
      <w:pPr>
        <w:spacing w:after="280" w:line="240" w:lineRule="auto"/>
        <w:jc w:val="both"/>
      </w:pPr>
      <w:r>
        <w:t>The establishment of a Multilateral Advisory Centre for the purpose of providing training, education and capacity building-activities for its Member States, with a particular focus on ‘least developed countries and developing countries,’ is significant for the progress towards ISDS reform.</w:t>
      </w:r>
      <w:r>
        <w:rPr>
          <w:vertAlign w:val="superscript"/>
        </w:rPr>
        <w:endnoteReference w:id="82"/>
      </w:r>
    </w:p>
    <w:p w14:paraId="6EAD3885" w14:textId="77777777" w:rsidR="005319DD" w:rsidRDefault="005319DD">
      <w:pPr>
        <w:spacing w:after="280" w:line="240" w:lineRule="auto"/>
        <w:jc w:val="both"/>
      </w:pPr>
      <w:r>
        <w:t>In 2024, ICSID adopted in principle the Statute of the Advisory Centre on International Investment Dispute Resolution, its provisions detailing the negotiated foundational principles upon which the Advisory Centre aims to function. Article 6 of the Statute describes technical assistance and capacity-building, including assistance to States relating to dispute prevention as well as dispute resolution, and the sharing of information and best practices.</w:t>
      </w:r>
      <w:r>
        <w:rPr>
          <w:vertAlign w:val="superscript"/>
        </w:rPr>
        <w:endnoteReference w:id="83"/>
      </w:r>
      <w:r>
        <w:t xml:space="preserve"> Article 7 affirms that the Advisory Centre will provide legal assistance and support regarding international investment dispute proceedings. This includes assessment of different means for dispute resolution, assistance in selection of adjudicators and experts, and support for various aspects of the proceedings like the preparation of statements.</w:t>
      </w:r>
      <w:r>
        <w:rPr>
          <w:vertAlign w:val="superscript"/>
        </w:rPr>
        <w:endnoteReference w:id="84"/>
      </w:r>
    </w:p>
    <w:p w14:paraId="6EAD3886" w14:textId="77777777" w:rsidR="005319DD" w:rsidRDefault="005319DD">
      <w:pPr>
        <w:pStyle w:val="Heading5"/>
        <w:spacing w:before="80" w:after="280" w:line="240" w:lineRule="auto"/>
        <w:jc w:val="both"/>
        <w:rPr>
          <w:b w:val="0"/>
          <w:i/>
        </w:rPr>
      </w:pPr>
      <w:bookmarkStart w:id="4" w:name="_heading=h.1fob9te" w:colFirst="0" w:colLast="0"/>
      <w:bookmarkEnd w:id="4"/>
      <w:r>
        <w:rPr>
          <w:b w:val="0"/>
          <w:i/>
        </w:rPr>
        <w:t>Multilateral Permanent Investment Court</w:t>
      </w:r>
    </w:p>
    <w:p w14:paraId="6EAD3887" w14:textId="77777777" w:rsidR="005319DD" w:rsidRDefault="005319DD">
      <w:pPr>
        <w:spacing w:after="280" w:line="240" w:lineRule="auto"/>
        <w:jc w:val="both"/>
      </w:pPr>
      <w:r>
        <w:t>The European Union has argued that a Multilateral Investment Court with permanent adjudicators employed on a full-time basis could contribute to the predictability and consistency of decisions made in investor-state disputes.</w:t>
      </w:r>
      <w:r>
        <w:rPr>
          <w:vertAlign w:val="superscript"/>
        </w:rPr>
        <w:endnoteReference w:id="85"/>
      </w:r>
      <w:r>
        <w:t xml:space="preserve"> The first instance of this tribunal would engage in fact finding and application of the relevant law to these facts, while a second body would conduct appeals.</w:t>
      </w:r>
      <w:r>
        <w:rPr>
          <w:vertAlign w:val="superscript"/>
        </w:rPr>
        <w:endnoteReference w:id="86"/>
      </w:r>
      <w:r>
        <w:t xml:space="preserve"> As of December 2024, the negotiations regarding possible reform of investor-state dispute settlement through the establishment of a multilateral tribunal mechanism have progressed to considerations of procedure and requirements for the selection and appointment of tribunal members.</w:t>
      </w:r>
      <w:r>
        <w:rPr>
          <w:vertAlign w:val="superscript"/>
        </w:rPr>
        <w:endnoteReference w:id="87"/>
      </w:r>
    </w:p>
    <w:p w14:paraId="6EAD3888" w14:textId="77777777" w:rsidR="005319DD" w:rsidRDefault="005319DD">
      <w:pPr>
        <w:pStyle w:val="Heading5"/>
        <w:spacing w:before="80" w:after="280" w:line="240" w:lineRule="auto"/>
        <w:jc w:val="both"/>
        <w:rPr>
          <w:b w:val="0"/>
          <w:i/>
        </w:rPr>
      </w:pPr>
      <w:bookmarkStart w:id="5" w:name="_heading=h.3znysh7" w:colFirst="0" w:colLast="0"/>
      <w:bookmarkEnd w:id="5"/>
      <w:r>
        <w:rPr>
          <w:b w:val="0"/>
          <w:i/>
        </w:rPr>
        <w:t>Appellate Mechanism</w:t>
      </w:r>
    </w:p>
    <w:p w14:paraId="6EAD3889" w14:textId="77777777" w:rsidR="005319DD" w:rsidRDefault="005319DD">
      <w:pPr>
        <w:spacing w:after="280" w:line="240" w:lineRule="auto"/>
        <w:jc w:val="both"/>
      </w:pPr>
      <w:r>
        <w:t>Negotiations concerning the establishment of an Appellate Mechanism have been separate to the discussions relating to a Multilateral Permanent Investment Court.</w:t>
      </w:r>
      <w:r>
        <w:rPr>
          <w:vertAlign w:val="superscript"/>
        </w:rPr>
        <w:endnoteReference w:id="88"/>
      </w:r>
      <w:r>
        <w:t xml:space="preserve"> During the 38th session of the UNCITRAL WGIII, it was noted in a Submission to the Secretariat that</w:t>
      </w:r>
    </w:p>
    <w:p w14:paraId="6EAD388A" w14:textId="77777777" w:rsidR="005319DD" w:rsidRDefault="005319DD">
      <w:pPr>
        <w:spacing w:after="280" w:line="240" w:lineRule="auto"/>
        <w:ind w:left="720"/>
        <w:jc w:val="both"/>
      </w:pPr>
      <w:r>
        <w:t xml:space="preserve">‘[...] an appellate mechanism would make it possible for decisions by ISDS tribunals to be reviewed and corrected, thereby providing parties with a coherent and fair decision. It is further indicated that, given the increased number of ISDS cases, an appellate mechanism would serve to improve consistency, coherence and predictability in ISDS decisions. The objective would be that, over </w:t>
      </w:r>
      <w:r>
        <w:lastRenderedPageBreak/>
        <w:t>time, the dispute settlement process would be more accountable, and a body of legally authoritative general principles and interpretations could be developed so as to increase the coherence and predictability of the investment regime.’</w:t>
      </w:r>
      <w:r>
        <w:rPr>
          <w:vertAlign w:val="superscript"/>
        </w:rPr>
        <w:endnoteReference w:id="89"/>
      </w:r>
    </w:p>
    <w:p w14:paraId="6EAD388B" w14:textId="77777777" w:rsidR="005319DD" w:rsidRDefault="005319DD">
      <w:pPr>
        <w:spacing w:after="280" w:line="240" w:lineRule="auto"/>
        <w:jc w:val="both"/>
      </w:pPr>
      <w:r>
        <w:t>The final form of an Appellate Mechanism remains undecided. Whether it takes the form of an ad hoc appeal mechanism, a permanent stand-alone appellate body, or an appeal mechanism as the second tier of an adjudication mechanism, its functions would still include the reviewing of decisions made by arbitral tribunals, including awards in the context of the ICSID Convention.</w:t>
      </w:r>
      <w:r>
        <w:rPr>
          <w:vertAlign w:val="superscript"/>
        </w:rPr>
        <w:endnoteReference w:id="90"/>
      </w:r>
    </w:p>
    <w:p w14:paraId="6EAD388C" w14:textId="77777777" w:rsidR="005319DD" w:rsidRDefault="005319DD">
      <w:pPr>
        <w:spacing w:after="280" w:line="240" w:lineRule="auto"/>
        <w:jc w:val="both"/>
        <w:rPr>
          <w:b/>
          <w:i/>
        </w:rPr>
      </w:pPr>
      <w:r>
        <w:rPr>
          <w:b/>
        </w:rPr>
        <w:t xml:space="preserve">3. </w:t>
      </w:r>
      <w:r>
        <w:rPr>
          <w:b/>
          <w:i/>
        </w:rPr>
        <w:t>UNIDROIT Reforms</w:t>
      </w:r>
    </w:p>
    <w:p w14:paraId="6EAD388D" w14:textId="77777777" w:rsidR="005319DD" w:rsidRDefault="005319DD">
      <w:pPr>
        <w:spacing w:after="280" w:line="240" w:lineRule="auto"/>
        <w:jc w:val="both"/>
      </w:pPr>
      <w:r>
        <w:t>The International Institute for the Unification of Private Law (UNIDROIT) in collaboration with the International Chamber of Commerce (ICC), and the Institute of World Business Law (ICC-IWBL) in a Working Group on International Investment Contracts, with the goal of modernising and standardising international investment contracts with a legally guiding instrument.</w:t>
      </w:r>
      <w:r>
        <w:rPr>
          <w:vertAlign w:val="superscript"/>
        </w:rPr>
        <w:endnoteReference w:id="91"/>
      </w:r>
    </w:p>
    <w:p w14:paraId="6EAD388E" w14:textId="77777777" w:rsidR="005319DD" w:rsidRDefault="005319DD">
      <w:pPr>
        <w:spacing w:after="280" w:line="240" w:lineRule="auto"/>
        <w:jc w:val="both"/>
      </w:pPr>
      <w:r>
        <w:t>One aim of this joint project is to standardize IICs to incorporate recent trends of incorporating public policy goals such as human rights into international investment agreements.</w:t>
      </w:r>
      <w:r>
        <w:rPr>
          <w:vertAlign w:val="superscript"/>
        </w:rPr>
        <w:endnoteReference w:id="92"/>
      </w:r>
      <w:r>
        <w:t xml:space="preserve"> Regarding the interpretation of human rights, the Working Group has suggested balancing ‘the need for being as specific and concrete as possible’ with the application of so-called ‘open textured language’ when drafting the model clauses, which would allow the contracting parties to determine the contents of their contracts based upon the relevance of these clauses to the specific circumstances.</w:t>
      </w:r>
    </w:p>
    <w:p w14:paraId="6EAD388F" w14:textId="77777777" w:rsidR="005319DD" w:rsidRDefault="005319DD">
      <w:pPr>
        <w:spacing w:after="280" w:line="240" w:lineRule="auto"/>
        <w:jc w:val="both"/>
      </w:pPr>
      <w:r>
        <w:t>The Working Group also references UNIDROITs Legal Guide on Agricultural Land Investment Contracts, and the principles of public policy outlined in this guide, including expectations of due diligence by the investor.</w:t>
      </w:r>
      <w:r>
        <w:rPr>
          <w:vertAlign w:val="superscript"/>
        </w:rPr>
        <w:endnoteReference w:id="93"/>
      </w:r>
      <w:r>
        <w:t xml:space="preserve"> The Working Group states:</w:t>
      </w:r>
    </w:p>
    <w:p w14:paraId="6EAD3890" w14:textId="77777777" w:rsidR="005319DD" w:rsidRDefault="005319DD">
      <w:pPr>
        <w:spacing w:after="280" w:line="240" w:lineRule="auto"/>
        <w:ind w:left="720"/>
        <w:jc w:val="both"/>
      </w:pPr>
      <w:r>
        <w:t>When investors act through local companies or in a joint venture with the host State and domestic law is less advanced, contracts could impose a minimum standard obligation, also on the part of the State, regarding the respect for internationally recognised human rights [...]. On the side of the investors, respect for international standards may be achieved by imposing (via contract or a code of conduct) liability on the parent company for breaches of ESG [Environmental, Social, and Governance] obligations by a local company.</w:t>
      </w:r>
      <w:r>
        <w:rPr>
          <w:vertAlign w:val="superscript"/>
        </w:rPr>
        <w:endnoteReference w:id="94"/>
      </w:r>
    </w:p>
    <w:p w14:paraId="6EAD3891" w14:textId="77777777" w:rsidR="005319DD" w:rsidRDefault="005319DD">
      <w:pPr>
        <w:spacing w:after="280" w:line="240" w:lineRule="auto"/>
        <w:jc w:val="both"/>
      </w:pPr>
      <w:r>
        <w:t>Of particular interest is the Working Group’s deliberations regarding a model anti-corruption clause. As the goal of the Working Group is to create a binding instrument that will function as a legal guide not restricted to a specific jurisdiction, but to ‘be applied and reflect any legal system or culture,’</w:t>
      </w:r>
      <w:r>
        <w:rPr>
          <w:vertAlign w:val="superscript"/>
        </w:rPr>
        <w:endnoteReference w:id="95"/>
      </w:r>
      <w:r>
        <w:t xml:space="preserve"> such an anti-corruption clause could provide a universal means of protecting the ‘wall’ of peoples’ resource rights against corrupt resource deals.</w:t>
      </w:r>
      <w:r>
        <w:rPr>
          <w:vertAlign w:val="superscript"/>
        </w:rPr>
        <w:endnoteReference w:id="96"/>
      </w:r>
    </w:p>
    <w:p w14:paraId="6EAD3892" w14:textId="77777777" w:rsidR="005319DD" w:rsidRDefault="005319DD">
      <w:pPr>
        <w:spacing w:after="280" w:line="240" w:lineRule="auto"/>
        <w:jc w:val="both"/>
        <w:rPr>
          <w:b/>
          <w:i/>
        </w:rPr>
      </w:pPr>
      <w:r>
        <w:rPr>
          <w:b/>
        </w:rPr>
        <w:t xml:space="preserve">4. </w:t>
      </w:r>
      <w:r>
        <w:rPr>
          <w:b/>
          <w:i/>
        </w:rPr>
        <w:t>The Columbia – Georgetown Framework Convention</w:t>
      </w:r>
    </w:p>
    <w:p w14:paraId="6EAD3893" w14:textId="77777777" w:rsidR="005319DD" w:rsidRDefault="005319DD">
      <w:pPr>
        <w:spacing w:after="280" w:line="240" w:lineRule="auto"/>
        <w:jc w:val="both"/>
      </w:pPr>
      <w:r>
        <w:t xml:space="preserve">Within the context of UNCITRAL’s work concerning ISDS reform, the Columbia Center on Sustainable Development and the Harrison Institute for Public Law along with the Center for the Advancement of the Rule of Law in the Americas at Georgetown Law are working toward a reform of international investment law in a broader sense, and have proposed: ‘Reforming the International Investment Regime through a </w:t>
      </w:r>
      <w:r>
        <w:lastRenderedPageBreak/>
        <w:t>Framework Convention on Investment and Sustainable Development.’</w:t>
      </w:r>
      <w:r>
        <w:rPr>
          <w:vertAlign w:val="superscript"/>
        </w:rPr>
        <w:endnoteReference w:id="97"/>
      </w:r>
      <w:r>
        <w:t xml:space="preserve"> The proposal emphasises the need for a more comprehensive rethinking of international investment agreements.</w:t>
      </w:r>
    </w:p>
    <w:p w14:paraId="6EAD3894" w14:textId="77777777" w:rsidR="005319DD" w:rsidRDefault="005319DD">
      <w:pPr>
        <w:spacing w:after="280" w:line="240" w:lineRule="auto"/>
        <w:jc w:val="both"/>
      </w:pPr>
      <w:r>
        <w:t>This proposal for a new Framework Convention recognises not only the concerns with ISDS, but additionally with the wider system of international investment law (IIL), stating that the system as it is gives preference to foreign investors’ interests.</w:t>
      </w:r>
      <w:r>
        <w:rPr>
          <w:vertAlign w:val="superscript"/>
        </w:rPr>
        <w:endnoteReference w:id="98"/>
      </w:r>
      <w:r>
        <w:t>. This is achieved through the implicit signals given by investor-state dispute settlement cases, in which the balance discrepancy between foreign investors’ concerns and their capital is over-prioritised, to the detriment of other stakeholders’ concerns and interests.</w:t>
      </w:r>
      <w:r>
        <w:rPr>
          <w:vertAlign w:val="superscript"/>
        </w:rPr>
        <w:endnoteReference w:id="99"/>
      </w:r>
      <w:r>
        <w:t xml:space="preserve"> Additionally, the current IIL-system undermines States’ regulatory powers and duties, which has been acknowledged by UNCITRAL as an issue of so-called ‘regulatory chill’,</w:t>
      </w:r>
      <w:r>
        <w:rPr>
          <w:vertAlign w:val="superscript"/>
        </w:rPr>
        <w:endnoteReference w:id="100"/>
      </w:r>
      <w:r>
        <w:t xml:space="preserve"> as well as contributing to political and economic inequality. Above all, the Framework is intended to recognise and solve the current tension between international foreign investment legal systems and the need to promote sustainable development.</w:t>
      </w:r>
      <w:r>
        <w:rPr>
          <w:vertAlign w:val="superscript"/>
        </w:rPr>
        <w:endnoteReference w:id="101"/>
      </w:r>
    </w:p>
    <w:p w14:paraId="6EAD3895" w14:textId="77777777" w:rsidR="005319DD" w:rsidRDefault="005319DD">
      <w:pPr>
        <w:spacing w:after="280" w:line="240" w:lineRule="auto"/>
        <w:jc w:val="both"/>
      </w:pPr>
      <w:r>
        <w:t>Through this Framework, IIAs can advance sustainable development governance by supporting ‘purposeful engagement that helps ensure investment contributes to addressing, and not magnifying, the economic, social, and environmental challenges felt within and across countries.’</w:t>
      </w:r>
      <w:r>
        <w:rPr>
          <w:vertAlign w:val="superscript"/>
        </w:rPr>
        <w:endnoteReference w:id="102"/>
      </w:r>
      <w:r>
        <w:t xml:space="preserve"> This is provided as a counteraction to foreign investments’ financing of projects that negatively impact local communities and cause significant environmental harm.</w:t>
      </w:r>
    </w:p>
    <w:p w14:paraId="6EAD3896" w14:textId="77777777" w:rsidR="005319DD" w:rsidRDefault="005319DD">
      <w:pPr>
        <w:spacing w:after="280" w:line="240" w:lineRule="auto"/>
        <w:jc w:val="both"/>
      </w:pPr>
      <w:r>
        <w:t>Furthermore, by reinstating a balanced prioritisation of foreign investors’ interests and other stakeholders’ interests, this framework can protect the policy space and thus counteract the issue of ‘regulatory chill’. The proposal acknowledges that the protection of policy space requires ‘both substantive and procedural reforms to IIAs’.</w:t>
      </w:r>
      <w:r>
        <w:rPr>
          <w:vertAlign w:val="superscript"/>
        </w:rPr>
        <w:endnoteReference w:id="103"/>
      </w:r>
      <w:r>
        <w:t xml:space="preserve"> </w:t>
      </w:r>
    </w:p>
    <w:p w14:paraId="6EAD3897" w14:textId="77777777" w:rsidR="005319DD" w:rsidRDefault="005319DD">
      <w:pPr>
        <w:spacing w:after="280" w:line="240" w:lineRule="auto"/>
        <w:jc w:val="both"/>
      </w:pPr>
      <w:r>
        <w:t>The proposal further suggests the establishment of an advisory center as an accessory mechanism to the Framework Convention. This center will aim to assist governments and their stakeholders in assessing environmental impacts of various investor projects, allowing the aforementioned actors to make better, more informed decisions.</w:t>
      </w:r>
      <w:r>
        <w:rPr>
          <w:vertAlign w:val="superscript"/>
        </w:rPr>
        <w:endnoteReference w:id="104"/>
      </w:r>
    </w:p>
    <w:p w14:paraId="6EAD3898" w14:textId="77777777" w:rsidR="00B6429B" w:rsidRDefault="00000000">
      <w:pPr>
        <w:spacing w:after="280" w:line="240" w:lineRule="auto"/>
        <w:jc w:val="both"/>
        <w:rPr>
          <w:b/>
        </w:rPr>
      </w:pPr>
      <w:r>
        <w:t>These four complementary reforms to different aspects of the current system of international investment will repair many of the defects seen in recent investment arbitration decisions and strengthen the resource rights of peoples everywhere.</w:t>
      </w:r>
    </w:p>
    <w:p w14:paraId="6EAD3899" w14:textId="77777777" w:rsidR="00B6429B" w:rsidRDefault="00000000">
      <w:pPr>
        <w:rPr>
          <w:b/>
        </w:rPr>
      </w:pPr>
      <w:r>
        <w:rPr>
          <w:b/>
        </w:rPr>
        <w:t>IX.  Conclusion</w:t>
      </w:r>
    </w:p>
    <w:p w14:paraId="6EAD389A" w14:textId="09B69B30" w:rsidR="00B6429B" w:rsidRDefault="00000000">
      <w:r>
        <w:t xml:space="preserve">We are grateful to the Committee for accepting our </w:t>
      </w:r>
      <w:r w:rsidR="00843077">
        <w:t>Parallel</w:t>
      </w:r>
      <w:r>
        <w:t xml:space="preserve"> report. Our focus is the resource rights of peoples, as affirmed by Article 1 and Article 25 of the ICESCR. As the report makes clear, the resource rights of peoples are currently under significant pressure from entities based in the UK. </w:t>
      </w:r>
    </w:p>
    <w:p w14:paraId="6EAD389B" w14:textId="77777777" w:rsidR="00B6429B" w:rsidRDefault="00000000">
      <w:r>
        <w:t xml:space="preserve">This is therefore a crucial moment for the Committee </w:t>
      </w:r>
      <w:r>
        <w:rPr>
          <w:b/>
        </w:rPr>
        <w:t>robustly to affirm the resource rights of all peoples: both of indigenous peoples and of the national peoples that are the citizens of an independent state</w:t>
      </w:r>
      <w:r>
        <w:t xml:space="preserve">. The protection of resource rights, which Article 1 of the ICESCR requires to be promoted and respected, has never been more critical. </w:t>
      </w:r>
    </w:p>
    <w:p w14:paraId="44CB4834" w14:textId="77777777" w:rsidR="0096581E" w:rsidRDefault="00000000">
      <w:r>
        <w:t xml:space="preserve"> </w:t>
      </w:r>
    </w:p>
    <w:p w14:paraId="6EAD389C" w14:textId="4FBE8AE2" w:rsidR="00B6429B" w:rsidRDefault="00000000">
      <w:pPr>
        <w:rPr>
          <w:b/>
        </w:rPr>
      </w:pPr>
      <w:r>
        <w:rPr>
          <w:b/>
        </w:rPr>
        <w:lastRenderedPageBreak/>
        <w:t>We respectfully recommend that the Committee</w:t>
      </w:r>
    </w:p>
    <w:p w14:paraId="6EAD389D" w14:textId="77777777" w:rsidR="00B6429B" w:rsidRDefault="00000000">
      <w:pPr>
        <w:numPr>
          <w:ilvl w:val="0"/>
          <w:numId w:val="2"/>
        </w:numPr>
        <w:spacing w:before="120" w:after="0"/>
        <w:rPr>
          <w:b/>
        </w:rPr>
      </w:pPr>
      <w:r>
        <w:rPr>
          <w:b/>
        </w:rPr>
        <w:t>Robustly affirm the natural resource rights of all peoples: both the rights of indigenous peoples and of national peoples.</w:t>
      </w:r>
    </w:p>
    <w:p w14:paraId="6EAD389E" w14:textId="77777777" w:rsidR="00B6429B" w:rsidRDefault="00000000">
      <w:pPr>
        <w:numPr>
          <w:ilvl w:val="0"/>
          <w:numId w:val="2"/>
        </w:numPr>
        <w:spacing w:after="0"/>
        <w:rPr>
          <w:b/>
        </w:rPr>
      </w:pPr>
      <w:r>
        <w:rPr>
          <w:b/>
        </w:rPr>
        <w:t>Urge the UK government not to waver in its commitment to fully respect resource rights, and to resist the pressures to adopt policies that are detrimental to these rights.</w:t>
      </w:r>
    </w:p>
    <w:p w14:paraId="6EAD389F" w14:textId="77777777" w:rsidR="00B6429B" w:rsidRDefault="00000000">
      <w:pPr>
        <w:numPr>
          <w:ilvl w:val="0"/>
          <w:numId w:val="2"/>
        </w:numPr>
        <w:spacing w:after="0"/>
        <w:rPr>
          <w:b/>
        </w:rPr>
      </w:pPr>
      <w:r>
        <w:rPr>
          <w:b/>
        </w:rPr>
        <w:t xml:space="preserve">Urge the government to pass robust legislation and regulations imposing due diligence duties on its transnational corporations to prevent abuses of the right to natural resources and other human rights. Specifically, the UK government should pass legislation at least as strong as Europe’s </w:t>
      </w:r>
      <w:r>
        <w:rPr>
          <w:b/>
          <w:i/>
        </w:rPr>
        <w:t>Directive on Corporate Sustainability Due Diligence</w:t>
      </w:r>
      <w:r>
        <w:rPr>
          <w:b/>
        </w:rPr>
        <w:t>,</w:t>
      </w:r>
      <w:r>
        <w:rPr>
          <w:b/>
          <w:i/>
        </w:rPr>
        <w:t xml:space="preserve"> Critical Raw Materials Act</w:t>
      </w:r>
      <w:r>
        <w:rPr>
          <w:b/>
        </w:rPr>
        <w:t xml:space="preserve">, and </w:t>
      </w:r>
      <w:r>
        <w:rPr>
          <w:b/>
          <w:i/>
        </w:rPr>
        <w:t>EU Regulation on Deforestation-Free Product</w:t>
      </w:r>
      <w:r>
        <w:rPr>
          <w:b/>
        </w:rPr>
        <w:t>s.</w:t>
      </w:r>
    </w:p>
    <w:p w14:paraId="6EAD38A0" w14:textId="77777777" w:rsidR="00B6429B" w:rsidRDefault="00000000">
      <w:pPr>
        <w:numPr>
          <w:ilvl w:val="0"/>
          <w:numId w:val="2"/>
        </w:numPr>
        <w:spacing w:after="0"/>
        <w:rPr>
          <w:b/>
        </w:rPr>
      </w:pPr>
      <w:r>
        <w:rPr>
          <w:b/>
        </w:rPr>
        <w:t>Urge the UK government to pass legislation to impose clear duties and sanctions on regulatory and certification bodies to prevent them from enabling environmental harm and human rights abuses from taking place abroad.</w:t>
      </w:r>
    </w:p>
    <w:p w14:paraId="6EAD38A1" w14:textId="77777777" w:rsidR="00B6429B" w:rsidRDefault="00000000">
      <w:pPr>
        <w:numPr>
          <w:ilvl w:val="0"/>
          <w:numId w:val="2"/>
        </w:numPr>
        <w:spacing w:after="0" w:line="240" w:lineRule="auto"/>
        <w:jc w:val="both"/>
        <w:rPr>
          <w:b/>
        </w:rPr>
      </w:pPr>
      <w:r>
        <w:rPr>
          <w:b/>
        </w:rPr>
        <w:t>Urge the UK government to support all of these progressive reforms to the current system of investment arbitration: (i) The Hague Rules on Business and Human Rights Arbitration; (ii) UNCITRAL’s Multilateral Advisory Center, Multilateral Permanent Investment Court, and Appellate Mechanism; (iii) UNIDROIT’s model anti-corruption clause; (iv) The Columbia – Georgetown Framework Convention.</w:t>
      </w:r>
    </w:p>
    <w:p w14:paraId="6EAD38A3" w14:textId="459DBF3E" w:rsidR="00B6429B" w:rsidRPr="000806F4" w:rsidRDefault="00000000" w:rsidP="000806F4">
      <w:pPr>
        <w:numPr>
          <w:ilvl w:val="0"/>
          <w:numId w:val="2"/>
        </w:numPr>
        <w:spacing w:after="240"/>
        <w:rPr>
          <w:b/>
        </w:rPr>
      </w:pPr>
      <w:r>
        <w:rPr>
          <w:b/>
        </w:rPr>
        <w:t>Urge the UK government to support the international efforts aimed at a binding treaty to give stronger effect to the UN Guiding Principles on Business and Human Rights.</w:t>
      </w:r>
    </w:p>
    <w:sectPr w:rsidR="00B6429B" w:rsidRPr="000806F4">
      <w:headerReference w:type="default" r:id="rId14"/>
      <w:footerReference w:type="even" r:id="rId15"/>
      <w:footerReference w:type="default" r:id="rId16"/>
      <w:endnotePr>
        <w:numFmt w:val="decimal"/>
      </w:endnotePr>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CCFC2E" w14:textId="77777777" w:rsidR="001362EE" w:rsidRDefault="001362EE">
      <w:pPr>
        <w:spacing w:after="0" w:line="240" w:lineRule="auto"/>
      </w:pPr>
      <w:r>
        <w:separator/>
      </w:r>
    </w:p>
  </w:endnote>
  <w:endnote w:type="continuationSeparator" w:id="0">
    <w:p w14:paraId="04887483" w14:textId="77777777" w:rsidR="001362EE" w:rsidRDefault="001362EE">
      <w:pPr>
        <w:spacing w:after="0" w:line="240" w:lineRule="auto"/>
      </w:pPr>
      <w:r>
        <w:continuationSeparator/>
      </w:r>
    </w:p>
  </w:endnote>
  <w:endnote w:id="1">
    <w:p w14:paraId="1471B9D4" w14:textId="77777777" w:rsidR="00D479CC" w:rsidRDefault="005319DD">
      <w:pPr>
        <w:spacing w:after="0" w:line="240" w:lineRule="auto"/>
        <w:rPr>
          <w:sz w:val="18"/>
          <w:szCs w:val="18"/>
        </w:rPr>
      </w:pPr>
      <w:r>
        <w:rPr>
          <w:rStyle w:val="EndnoteReference"/>
        </w:rPr>
        <w:endnoteRef/>
      </w:r>
      <w:r>
        <w:rPr>
          <w:sz w:val="18"/>
          <w:szCs w:val="18"/>
        </w:rPr>
        <w:t xml:space="preserve"> The </w:t>
      </w:r>
      <w:hyperlink r:id="rId1">
        <w:r>
          <w:rPr>
            <w:color w:val="1155CC"/>
            <w:sz w:val="18"/>
            <w:szCs w:val="18"/>
          </w:rPr>
          <w:t>Transnational Law Institute</w:t>
        </w:r>
      </w:hyperlink>
      <w:r>
        <w:rPr>
          <w:sz w:val="18"/>
          <w:szCs w:val="18"/>
        </w:rPr>
        <w:t xml:space="preserve"> of the School of Law, King’s College London is globally recognized as a leading centre for transnational legal scholarship. </w:t>
      </w:r>
      <w:hyperlink r:id="rId2">
        <w:r>
          <w:rPr>
            <w:color w:val="1155CC"/>
            <w:sz w:val="18"/>
            <w:szCs w:val="18"/>
          </w:rPr>
          <w:t>Leigh Day</w:t>
        </w:r>
      </w:hyperlink>
      <w:r>
        <w:rPr>
          <w:sz w:val="18"/>
          <w:szCs w:val="18"/>
        </w:rPr>
        <w:t xml:space="preserve"> is a leading UK-based law firm renowned for its commitment to human rights and access to justice. </w:t>
      </w:r>
      <w:hyperlink r:id="rId3">
        <w:r>
          <w:rPr>
            <w:color w:val="0563C1"/>
            <w:sz w:val="18"/>
            <w:szCs w:val="18"/>
          </w:rPr>
          <w:t>RAID</w:t>
        </w:r>
      </w:hyperlink>
      <w:r>
        <w:rPr>
          <w:sz w:val="18"/>
          <w:szCs w:val="18"/>
        </w:rPr>
        <w:t xml:space="preserve"> is an innovative UK-based NGO with a small team of committed activist lawyers and legal researchers who expose corporate wrongdoing, environmental harm and human rights abuses. </w:t>
      </w:r>
      <w:hyperlink r:id="rId4">
        <w:r>
          <w:rPr>
            <w:color w:val="1155CC"/>
            <w:sz w:val="18"/>
            <w:szCs w:val="18"/>
          </w:rPr>
          <w:t>Clean Trade</w:t>
        </w:r>
      </w:hyperlink>
      <w:r>
        <w:rPr>
          <w:sz w:val="18"/>
          <w:szCs w:val="18"/>
        </w:rPr>
        <w:t xml:space="preserve"> is a British human rights organisation founded in 2018, devoted to securing the natural resource rights of all peoples. </w:t>
      </w:r>
    </w:p>
    <w:p w14:paraId="6EAD38B5" w14:textId="7FF27B50" w:rsidR="005319DD" w:rsidRDefault="005319DD">
      <w:pPr>
        <w:spacing w:after="0" w:line="240" w:lineRule="auto"/>
        <w:rPr>
          <w:sz w:val="18"/>
          <w:szCs w:val="18"/>
        </w:rPr>
      </w:pPr>
      <w:r>
        <w:rPr>
          <w:sz w:val="18"/>
          <w:szCs w:val="18"/>
        </w:rPr>
        <w:t>This report has benefited significantly from research and drafting assistance by the following students of King’s College London and Stanford University: Lisa Fehrenkoetter, Jasmine Betancourt, Clara Beer, Clemence Naux, Victoria Osanyinpeju, Leon De Gottardi, Luca Mauro, Nissim Roffe Piket, Saria Hasan and Sui Hang Hui. We are also grateful to Shaw Drake for his coordination of the Stanford students.</w:t>
      </w:r>
    </w:p>
  </w:endnote>
  <w:endnote w:id="2">
    <w:p w14:paraId="6EAD38B6" w14:textId="77777777" w:rsidR="005319DD" w:rsidRDefault="005319DD">
      <w:pPr>
        <w:pBdr>
          <w:top w:val="nil"/>
          <w:left w:val="nil"/>
          <w:bottom w:val="nil"/>
          <w:right w:val="nil"/>
          <w:between w:val="nil"/>
        </w:pBdr>
        <w:spacing w:after="0" w:line="240" w:lineRule="auto"/>
        <w:rPr>
          <w:color w:val="000000"/>
          <w:sz w:val="18"/>
          <w:szCs w:val="18"/>
        </w:rPr>
      </w:pPr>
      <w:r>
        <w:rPr>
          <w:rStyle w:val="EndnoteReference"/>
        </w:rPr>
        <w:endnoteRef/>
      </w:r>
      <w:r>
        <w:rPr>
          <w:color w:val="000000"/>
          <w:sz w:val="18"/>
          <w:szCs w:val="18"/>
        </w:rPr>
        <w:t xml:space="preserve"> See Luis Patriani, </w:t>
      </w:r>
      <w:hyperlink r:id="rId5">
        <w:r>
          <w:rPr>
            <w:color w:val="0563C1"/>
            <w:sz w:val="18"/>
            <w:szCs w:val="18"/>
          </w:rPr>
          <w:t>‘Where Indigenous Land Rights Prevail in Brazil, So Does Nature, Study Finds’</w:t>
        </w:r>
      </w:hyperlink>
      <w:r>
        <w:rPr>
          <w:color w:val="000000"/>
          <w:sz w:val="18"/>
          <w:szCs w:val="18"/>
        </w:rPr>
        <w:t xml:space="preserve">, Mongabay, 6 April 2023; Report of the Special Rapporteur on the rights of indigenous peoples, UN Doc. A/77/238 (19 July 2022); UNEP: </w:t>
      </w:r>
      <w:r>
        <w:rPr>
          <w:i/>
          <w:color w:val="000000"/>
          <w:sz w:val="18"/>
          <w:szCs w:val="18"/>
        </w:rPr>
        <w:t>Land Restoration for Achieving the Sustainable Development Goals (</w:t>
      </w:r>
      <w:r>
        <w:rPr>
          <w:color w:val="000000"/>
          <w:sz w:val="18"/>
          <w:szCs w:val="18"/>
        </w:rPr>
        <w:t>UNEP, 2019); FAO &amp; FILAC (2021) </w:t>
      </w:r>
      <w:r>
        <w:rPr>
          <w:i/>
          <w:color w:val="000000"/>
          <w:sz w:val="18"/>
          <w:szCs w:val="18"/>
        </w:rPr>
        <w:t>Forest Governance by Indigenous and Tribal Peoples: An Opportunity for Climate Action in Latin America and the Caribbean</w:t>
      </w:r>
      <w:r>
        <w:rPr>
          <w:color w:val="000000"/>
          <w:sz w:val="18"/>
          <w:szCs w:val="18"/>
        </w:rPr>
        <w:t>; IUCN (2016) </w:t>
      </w:r>
      <w:r>
        <w:rPr>
          <w:i/>
          <w:color w:val="000000"/>
          <w:sz w:val="18"/>
          <w:szCs w:val="18"/>
        </w:rPr>
        <w:t>IUCN’s Rights-Based Approach: A Systematization of the Union’s Policy Instruments, Standards and Guidelines</w:t>
      </w:r>
      <w:r>
        <w:rPr>
          <w:color w:val="000000"/>
          <w:sz w:val="18"/>
          <w:szCs w:val="18"/>
        </w:rPr>
        <w:t>.</w:t>
      </w:r>
    </w:p>
  </w:endnote>
  <w:endnote w:id="3">
    <w:p w14:paraId="6EAD38B7" w14:textId="77777777" w:rsidR="005319DD" w:rsidRDefault="005319DD">
      <w:pPr>
        <w:spacing w:after="0" w:line="240" w:lineRule="auto"/>
        <w:rPr>
          <w:sz w:val="20"/>
          <w:szCs w:val="20"/>
          <w:vertAlign w:val="superscript"/>
        </w:rPr>
      </w:pPr>
      <w:r>
        <w:rPr>
          <w:rStyle w:val="EndnoteReference"/>
        </w:rPr>
        <w:endnoteRef/>
      </w:r>
      <w:r>
        <w:rPr>
          <w:sz w:val="18"/>
          <w:szCs w:val="18"/>
        </w:rPr>
        <w:t xml:space="preserve"> Terra de Direitos, Transnational Law Institute, King’s College London and Clean Trade, </w:t>
      </w:r>
      <w:hyperlink r:id="rId6">
        <w:r>
          <w:rPr>
            <w:color w:val="1155CC"/>
            <w:sz w:val="18"/>
            <w:szCs w:val="18"/>
          </w:rPr>
          <w:t xml:space="preserve">‘Shadow Report on Brazil for the CESCR 138th Session’ </w:t>
        </w:r>
      </w:hyperlink>
      <w:r>
        <w:rPr>
          <w:sz w:val="18"/>
          <w:szCs w:val="18"/>
        </w:rPr>
        <w:t xml:space="preserve">(29 May 2023); and for the </w:t>
      </w:r>
      <w:hyperlink r:id="rId7">
        <w:r>
          <w:rPr>
            <w:color w:val="1155CC"/>
            <w:sz w:val="18"/>
            <w:szCs w:val="18"/>
          </w:rPr>
          <w:t xml:space="preserve">HRC </w:t>
        </w:r>
      </w:hyperlink>
      <w:r>
        <w:rPr>
          <w:sz w:val="18"/>
          <w:szCs w:val="18"/>
        </w:rPr>
        <w:t xml:space="preserve"> (30 July 2023).</w:t>
      </w:r>
    </w:p>
  </w:endnote>
  <w:endnote w:id="4">
    <w:p w14:paraId="6EAD38B8" w14:textId="77777777" w:rsidR="005319DD" w:rsidRDefault="005319DD">
      <w:pPr>
        <w:spacing w:after="0" w:line="240" w:lineRule="auto"/>
        <w:rPr>
          <w:sz w:val="18"/>
          <w:szCs w:val="18"/>
        </w:rPr>
      </w:pPr>
      <w:r>
        <w:rPr>
          <w:rStyle w:val="EndnoteReference"/>
        </w:rPr>
        <w:endnoteRef/>
      </w:r>
      <w:r>
        <w:rPr>
          <w:sz w:val="18"/>
          <w:szCs w:val="18"/>
        </w:rPr>
        <w:t xml:space="preserve"> G.A. Res. 2200A (XXI), International Covenant on Economic, Social and Cultural Rights, Article 1 (16 December 1966) [hereinafter ICESCR]; G.A. Res. 2200A (XXI), International Covenant on Civil and Political Rights, Article 1 (16 December 1966) [hereinafter ICCPR], together referred to as the ‘Covenants’.</w:t>
      </w:r>
    </w:p>
  </w:endnote>
  <w:endnote w:id="5">
    <w:p w14:paraId="6EAD38B9" w14:textId="3124ACDC" w:rsidR="005319DD" w:rsidRDefault="005319DD">
      <w:pPr>
        <w:spacing w:after="0" w:line="240" w:lineRule="auto"/>
        <w:rPr>
          <w:sz w:val="18"/>
          <w:szCs w:val="18"/>
        </w:rPr>
      </w:pPr>
      <w:r>
        <w:rPr>
          <w:rStyle w:val="EndnoteReference"/>
        </w:rPr>
        <w:endnoteRef/>
      </w:r>
      <w:r>
        <w:rPr>
          <w:sz w:val="18"/>
          <w:szCs w:val="18"/>
        </w:rPr>
        <w:t xml:space="preserve"> ICESCR (n 4) </w:t>
      </w:r>
      <w:r w:rsidR="004E38A0">
        <w:rPr>
          <w:sz w:val="18"/>
          <w:szCs w:val="18"/>
        </w:rPr>
        <w:t>Article 25</w:t>
      </w:r>
      <w:r>
        <w:rPr>
          <w:sz w:val="18"/>
          <w:szCs w:val="18"/>
        </w:rPr>
        <w:t xml:space="preserve">; ICCPR (n 4) </w:t>
      </w:r>
      <w:r w:rsidR="00483764">
        <w:rPr>
          <w:sz w:val="18"/>
          <w:szCs w:val="18"/>
        </w:rPr>
        <w:t>Article 47</w:t>
      </w:r>
      <w:r>
        <w:rPr>
          <w:sz w:val="18"/>
          <w:szCs w:val="18"/>
        </w:rPr>
        <w:t>.</w:t>
      </w:r>
    </w:p>
  </w:endnote>
  <w:endnote w:id="6">
    <w:p w14:paraId="6EAD38BA" w14:textId="77777777" w:rsidR="005319DD" w:rsidRDefault="005319DD">
      <w:pPr>
        <w:spacing w:after="0" w:line="240" w:lineRule="auto"/>
        <w:rPr>
          <w:sz w:val="18"/>
          <w:szCs w:val="18"/>
        </w:rPr>
      </w:pPr>
      <w:r>
        <w:rPr>
          <w:rStyle w:val="EndnoteReference"/>
        </w:rPr>
        <w:endnoteRef/>
      </w:r>
      <w:r>
        <w:rPr>
          <w:sz w:val="18"/>
          <w:szCs w:val="18"/>
        </w:rPr>
        <w:t xml:space="preserve"> ibid.</w:t>
      </w:r>
    </w:p>
  </w:endnote>
  <w:endnote w:id="7">
    <w:p w14:paraId="6EAD38BB" w14:textId="77777777" w:rsidR="005319DD" w:rsidRDefault="005319DD">
      <w:pPr>
        <w:pBdr>
          <w:top w:val="nil"/>
          <w:left w:val="nil"/>
          <w:bottom w:val="nil"/>
          <w:right w:val="nil"/>
          <w:between w:val="nil"/>
        </w:pBdr>
        <w:spacing w:after="0" w:line="240" w:lineRule="auto"/>
        <w:rPr>
          <w:color w:val="000000"/>
          <w:sz w:val="18"/>
          <w:szCs w:val="18"/>
        </w:rPr>
      </w:pPr>
      <w:r>
        <w:rPr>
          <w:rStyle w:val="EndnoteReference"/>
        </w:rPr>
        <w:endnoteRef/>
      </w:r>
      <w:r>
        <w:rPr>
          <w:color w:val="000000"/>
          <w:sz w:val="18"/>
          <w:szCs w:val="18"/>
        </w:rPr>
        <w:t xml:space="preserve"> CESCR, </w:t>
      </w:r>
      <w:r>
        <w:rPr>
          <w:i/>
          <w:color w:val="000000"/>
          <w:sz w:val="18"/>
          <w:szCs w:val="18"/>
        </w:rPr>
        <w:t>Concluding Observations: Paraguay</w:t>
      </w:r>
      <w:r>
        <w:rPr>
          <w:color w:val="000000"/>
          <w:sz w:val="18"/>
          <w:szCs w:val="18"/>
        </w:rPr>
        <w:t>, UN Doc. E/C.12/PRY/CO/4 (</w:t>
      </w:r>
      <w:r>
        <w:rPr>
          <w:sz w:val="18"/>
          <w:szCs w:val="18"/>
        </w:rPr>
        <w:t xml:space="preserve">20 March </w:t>
      </w:r>
      <w:r>
        <w:rPr>
          <w:color w:val="000000"/>
          <w:sz w:val="18"/>
          <w:szCs w:val="18"/>
        </w:rPr>
        <w:t xml:space="preserve">2015).  </w:t>
      </w:r>
    </w:p>
  </w:endnote>
  <w:endnote w:id="8">
    <w:p w14:paraId="6EAD38BC" w14:textId="77777777" w:rsidR="005319DD" w:rsidRDefault="005319DD">
      <w:pPr>
        <w:pBdr>
          <w:top w:val="nil"/>
          <w:left w:val="nil"/>
          <w:bottom w:val="nil"/>
          <w:right w:val="nil"/>
          <w:between w:val="nil"/>
        </w:pBdr>
        <w:spacing w:after="0" w:line="240" w:lineRule="auto"/>
        <w:rPr>
          <w:sz w:val="18"/>
          <w:szCs w:val="18"/>
        </w:rPr>
      </w:pPr>
      <w:r>
        <w:rPr>
          <w:rStyle w:val="EndnoteReference"/>
        </w:rPr>
        <w:endnoteRef/>
      </w:r>
      <w:r>
        <w:rPr>
          <w:color w:val="000000"/>
          <w:sz w:val="18"/>
          <w:szCs w:val="18"/>
        </w:rPr>
        <w:t xml:space="preserve"> </w:t>
      </w:r>
      <w:r>
        <w:rPr>
          <w:sz w:val="18"/>
          <w:szCs w:val="18"/>
        </w:rPr>
        <w:t xml:space="preserve">See HRC, Concluding Observations: United States, UN Doc. </w:t>
      </w:r>
      <w:r w:rsidRPr="00084455">
        <w:rPr>
          <w:sz w:val="18"/>
          <w:szCs w:val="18"/>
          <w:lang w:val="es-ES"/>
        </w:rPr>
        <w:t xml:space="preserve">CCPR/C/USA/CO/4, para. </w:t>
      </w:r>
      <w:r>
        <w:rPr>
          <w:sz w:val="18"/>
          <w:szCs w:val="18"/>
        </w:rPr>
        <w:t>25 (23 April 2014).</w:t>
      </w:r>
    </w:p>
  </w:endnote>
  <w:endnote w:id="9">
    <w:p w14:paraId="6EAD38BD" w14:textId="77777777" w:rsidR="005319DD" w:rsidRDefault="005319DD">
      <w:pPr>
        <w:spacing w:after="0" w:line="240" w:lineRule="auto"/>
        <w:rPr>
          <w:sz w:val="18"/>
          <w:szCs w:val="18"/>
        </w:rPr>
      </w:pPr>
      <w:r>
        <w:rPr>
          <w:rStyle w:val="EndnoteReference"/>
        </w:rPr>
        <w:endnoteRef/>
      </w:r>
      <w:r>
        <w:rPr>
          <w:sz w:val="18"/>
          <w:szCs w:val="18"/>
        </w:rPr>
        <w:t xml:space="preserve">  HRC, </w:t>
      </w:r>
      <w:r>
        <w:rPr>
          <w:i/>
          <w:sz w:val="18"/>
          <w:szCs w:val="18"/>
        </w:rPr>
        <w:t>Concluding Observations: Canada</w:t>
      </w:r>
      <w:r>
        <w:rPr>
          <w:sz w:val="18"/>
          <w:szCs w:val="18"/>
        </w:rPr>
        <w:t xml:space="preserve">, UN Doc. CCPR/C/79/Add.105, para. 8 (7 April 1999); HRC, </w:t>
      </w:r>
      <w:r>
        <w:rPr>
          <w:i/>
          <w:sz w:val="18"/>
          <w:szCs w:val="18"/>
        </w:rPr>
        <w:t>Concluding Observations: Norway</w:t>
      </w:r>
      <w:r>
        <w:rPr>
          <w:sz w:val="18"/>
          <w:szCs w:val="18"/>
        </w:rPr>
        <w:t>, UN Doc. CCPR/C/79/Add.112, para. 17 (26 October 1999); HRC, Concluding Observations: Mexico, UN Doc. CCPR/C/MEX/CO/5 (26 March 2010); HRC, Concluding Observations: Panama, UN Doc. CCPR/C/PAN/CO/3 (4 April 2008); HRC, Concluding Observations: Australia, UN Doc. CCPR/C/AUS/CO/5 (2 April 2009); HRC, Concluding Observations: Denmark, UN Doc. CCPR/C/DNK/CO/5 (13 October 2008); HRC, Concluding Observations: Sweden, UN Doc. CCPR/CO/74/SWE (24 April 2002).</w:t>
      </w:r>
    </w:p>
  </w:endnote>
  <w:endnote w:id="10">
    <w:p w14:paraId="6EAD38BE" w14:textId="36D372A8" w:rsidR="005319DD" w:rsidRDefault="005319DD">
      <w:pPr>
        <w:pBdr>
          <w:top w:val="nil"/>
          <w:left w:val="nil"/>
          <w:bottom w:val="nil"/>
          <w:right w:val="nil"/>
          <w:between w:val="nil"/>
        </w:pBdr>
        <w:spacing w:after="0" w:line="240" w:lineRule="auto"/>
        <w:rPr>
          <w:color w:val="000000"/>
          <w:sz w:val="18"/>
          <w:szCs w:val="18"/>
        </w:rPr>
      </w:pPr>
      <w:r>
        <w:rPr>
          <w:rStyle w:val="EndnoteReference"/>
        </w:rPr>
        <w:endnoteRef/>
      </w:r>
      <w:r>
        <w:rPr>
          <w:color w:val="000000"/>
          <w:sz w:val="20"/>
          <w:szCs w:val="20"/>
        </w:rPr>
        <w:t xml:space="preserve"> </w:t>
      </w:r>
      <w:r>
        <w:rPr>
          <w:color w:val="000000"/>
          <w:sz w:val="18"/>
          <w:szCs w:val="18"/>
        </w:rPr>
        <w:t>B</w:t>
      </w:r>
      <w:r>
        <w:rPr>
          <w:sz w:val="18"/>
          <w:szCs w:val="18"/>
        </w:rPr>
        <w:t>en</w:t>
      </w:r>
      <w:r>
        <w:rPr>
          <w:color w:val="000000"/>
          <w:sz w:val="18"/>
          <w:szCs w:val="18"/>
        </w:rPr>
        <w:t xml:space="preserve"> S</w:t>
      </w:r>
      <w:r>
        <w:rPr>
          <w:sz w:val="18"/>
          <w:szCs w:val="18"/>
        </w:rPr>
        <w:t>aul</w:t>
      </w:r>
      <w:r>
        <w:rPr>
          <w:color w:val="000000"/>
          <w:sz w:val="18"/>
          <w:szCs w:val="18"/>
        </w:rPr>
        <w:t>, D</w:t>
      </w:r>
      <w:r>
        <w:rPr>
          <w:sz w:val="18"/>
          <w:szCs w:val="18"/>
        </w:rPr>
        <w:t>avid</w:t>
      </w:r>
      <w:r>
        <w:rPr>
          <w:color w:val="000000"/>
          <w:sz w:val="18"/>
          <w:szCs w:val="18"/>
        </w:rPr>
        <w:t xml:space="preserve"> K</w:t>
      </w:r>
      <w:r>
        <w:rPr>
          <w:sz w:val="18"/>
          <w:szCs w:val="18"/>
        </w:rPr>
        <w:t>inley</w:t>
      </w:r>
      <w:r>
        <w:rPr>
          <w:color w:val="000000"/>
          <w:sz w:val="18"/>
          <w:szCs w:val="18"/>
        </w:rPr>
        <w:t>, &amp; J</w:t>
      </w:r>
      <w:r>
        <w:rPr>
          <w:sz w:val="18"/>
          <w:szCs w:val="18"/>
        </w:rPr>
        <w:t>acqueline</w:t>
      </w:r>
      <w:r>
        <w:rPr>
          <w:color w:val="000000"/>
          <w:sz w:val="18"/>
          <w:szCs w:val="18"/>
        </w:rPr>
        <w:t xml:space="preserve"> M</w:t>
      </w:r>
      <w:r>
        <w:rPr>
          <w:sz w:val="18"/>
          <w:szCs w:val="18"/>
        </w:rPr>
        <w:t>owbray</w:t>
      </w:r>
      <w:r>
        <w:rPr>
          <w:color w:val="000000"/>
          <w:sz w:val="18"/>
          <w:szCs w:val="18"/>
        </w:rPr>
        <w:t>, T</w:t>
      </w:r>
      <w:r>
        <w:rPr>
          <w:sz w:val="18"/>
          <w:szCs w:val="18"/>
        </w:rPr>
        <w:t>he</w:t>
      </w:r>
      <w:r>
        <w:rPr>
          <w:color w:val="000000"/>
          <w:sz w:val="18"/>
          <w:szCs w:val="18"/>
        </w:rPr>
        <w:t xml:space="preserve"> </w:t>
      </w:r>
      <w:r w:rsidR="004E38A0">
        <w:rPr>
          <w:color w:val="000000"/>
          <w:sz w:val="18"/>
          <w:szCs w:val="18"/>
        </w:rPr>
        <w:t>I</w:t>
      </w:r>
      <w:r w:rsidR="004E38A0">
        <w:rPr>
          <w:sz w:val="18"/>
          <w:szCs w:val="18"/>
        </w:rPr>
        <w:t xml:space="preserve">nternational </w:t>
      </w:r>
      <w:r w:rsidR="004E38A0">
        <w:rPr>
          <w:color w:val="000000"/>
          <w:sz w:val="18"/>
          <w:szCs w:val="18"/>
        </w:rPr>
        <w:t>Covenant</w:t>
      </w:r>
      <w:r>
        <w:rPr>
          <w:color w:val="000000"/>
          <w:sz w:val="18"/>
          <w:szCs w:val="18"/>
        </w:rPr>
        <w:t xml:space="preserve"> </w:t>
      </w:r>
      <w:r>
        <w:rPr>
          <w:sz w:val="18"/>
          <w:szCs w:val="18"/>
        </w:rPr>
        <w:t>on</w:t>
      </w:r>
      <w:r>
        <w:rPr>
          <w:color w:val="000000"/>
          <w:sz w:val="18"/>
          <w:szCs w:val="18"/>
        </w:rPr>
        <w:t xml:space="preserve"> E</w:t>
      </w:r>
      <w:r>
        <w:rPr>
          <w:sz w:val="18"/>
          <w:szCs w:val="18"/>
        </w:rPr>
        <w:t>conomic</w:t>
      </w:r>
      <w:r>
        <w:rPr>
          <w:color w:val="000000"/>
          <w:sz w:val="18"/>
          <w:szCs w:val="18"/>
        </w:rPr>
        <w:t xml:space="preserve">, </w:t>
      </w:r>
      <w:r>
        <w:rPr>
          <w:sz w:val="18"/>
          <w:szCs w:val="18"/>
        </w:rPr>
        <w:t>Social</w:t>
      </w:r>
      <w:r>
        <w:rPr>
          <w:color w:val="000000"/>
          <w:sz w:val="18"/>
          <w:szCs w:val="18"/>
        </w:rPr>
        <w:t xml:space="preserve"> </w:t>
      </w:r>
      <w:r>
        <w:rPr>
          <w:sz w:val="18"/>
          <w:szCs w:val="18"/>
        </w:rPr>
        <w:t>and</w:t>
      </w:r>
      <w:r>
        <w:rPr>
          <w:color w:val="000000"/>
          <w:sz w:val="18"/>
          <w:szCs w:val="18"/>
        </w:rPr>
        <w:t xml:space="preserve"> C</w:t>
      </w:r>
      <w:r>
        <w:rPr>
          <w:sz w:val="18"/>
          <w:szCs w:val="18"/>
        </w:rPr>
        <w:t>ultural</w:t>
      </w:r>
      <w:r>
        <w:rPr>
          <w:color w:val="000000"/>
          <w:sz w:val="18"/>
          <w:szCs w:val="18"/>
        </w:rPr>
        <w:t xml:space="preserve"> R</w:t>
      </w:r>
      <w:r>
        <w:rPr>
          <w:sz w:val="18"/>
          <w:szCs w:val="18"/>
        </w:rPr>
        <w:t>ights</w:t>
      </w:r>
      <w:r>
        <w:rPr>
          <w:color w:val="000000"/>
          <w:sz w:val="18"/>
          <w:szCs w:val="18"/>
        </w:rPr>
        <w:t>: C</w:t>
      </w:r>
      <w:r>
        <w:rPr>
          <w:sz w:val="18"/>
          <w:szCs w:val="18"/>
        </w:rPr>
        <w:t>ommentary</w:t>
      </w:r>
      <w:r>
        <w:rPr>
          <w:color w:val="000000"/>
          <w:sz w:val="18"/>
          <w:szCs w:val="18"/>
        </w:rPr>
        <w:t>, C</w:t>
      </w:r>
      <w:r>
        <w:rPr>
          <w:sz w:val="18"/>
          <w:szCs w:val="18"/>
        </w:rPr>
        <w:t>ases</w:t>
      </w:r>
      <w:r>
        <w:rPr>
          <w:color w:val="000000"/>
          <w:sz w:val="18"/>
          <w:szCs w:val="18"/>
        </w:rPr>
        <w:t xml:space="preserve">, </w:t>
      </w:r>
      <w:r>
        <w:rPr>
          <w:sz w:val="18"/>
          <w:szCs w:val="18"/>
        </w:rPr>
        <w:t>and</w:t>
      </w:r>
      <w:r>
        <w:rPr>
          <w:color w:val="000000"/>
          <w:sz w:val="18"/>
          <w:szCs w:val="18"/>
        </w:rPr>
        <w:t xml:space="preserve"> </w:t>
      </w:r>
      <w:r w:rsidR="00483764">
        <w:rPr>
          <w:color w:val="000000"/>
          <w:sz w:val="18"/>
          <w:szCs w:val="18"/>
        </w:rPr>
        <w:t>M</w:t>
      </w:r>
      <w:r w:rsidR="00483764">
        <w:rPr>
          <w:sz w:val="18"/>
          <w:szCs w:val="18"/>
        </w:rPr>
        <w:t xml:space="preserve">aterials </w:t>
      </w:r>
      <w:r>
        <w:rPr>
          <w:color w:val="000000"/>
          <w:sz w:val="18"/>
          <w:szCs w:val="18"/>
        </w:rPr>
        <w:t>1st ed</w:t>
      </w:r>
      <w:r w:rsidR="00D8025C">
        <w:rPr>
          <w:color w:val="000000"/>
          <w:sz w:val="18"/>
          <w:szCs w:val="18"/>
        </w:rPr>
        <w:t>ition</w:t>
      </w:r>
      <w:r>
        <w:rPr>
          <w:color w:val="000000"/>
          <w:sz w:val="18"/>
          <w:szCs w:val="18"/>
        </w:rPr>
        <w:t xml:space="preserve"> </w:t>
      </w:r>
      <w:r w:rsidR="00D8025C">
        <w:rPr>
          <w:color w:val="000000"/>
          <w:sz w:val="18"/>
          <w:szCs w:val="18"/>
        </w:rPr>
        <w:t>(</w:t>
      </w:r>
      <w:r>
        <w:rPr>
          <w:color w:val="000000"/>
          <w:sz w:val="18"/>
          <w:szCs w:val="18"/>
        </w:rPr>
        <w:t xml:space="preserve">OUP </w:t>
      </w:r>
      <w:r>
        <w:rPr>
          <w:sz w:val="18"/>
          <w:szCs w:val="18"/>
        </w:rPr>
        <w:t xml:space="preserve">2014) </w:t>
      </w:r>
      <w:r>
        <w:rPr>
          <w:color w:val="000000"/>
          <w:sz w:val="18"/>
          <w:szCs w:val="18"/>
        </w:rPr>
        <w:t xml:space="preserve">25–27.  </w:t>
      </w:r>
    </w:p>
  </w:endnote>
  <w:endnote w:id="11">
    <w:p w14:paraId="6EAD38BF" w14:textId="2B9601A2" w:rsidR="005319DD" w:rsidRDefault="005319DD">
      <w:pPr>
        <w:pBdr>
          <w:top w:val="nil"/>
          <w:left w:val="nil"/>
          <w:bottom w:val="nil"/>
          <w:right w:val="nil"/>
          <w:between w:val="nil"/>
        </w:pBdr>
        <w:spacing w:after="0" w:line="240" w:lineRule="auto"/>
        <w:rPr>
          <w:sz w:val="18"/>
          <w:szCs w:val="18"/>
        </w:rPr>
      </w:pPr>
      <w:r>
        <w:rPr>
          <w:rStyle w:val="EndnoteReference"/>
        </w:rPr>
        <w:endnoteRef/>
      </w:r>
      <w:r>
        <w:rPr>
          <w:sz w:val="18"/>
          <w:szCs w:val="18"/>
        </w:rPr>
        <w:t xml:space="preserve"> CESCR, </w:t>
      </w:r>
      <w:r>
        <w:rPr>
          <w:i/>
          <w:sz w:val="18"/>
          <w:szCs w:val="18"/>
        </w:rPr>
        <w:t>Concluding Observations: Azerbaijan</w:t>
      </w:r>
      <w:r>
        <w:rPr>
          <w:sz w:val="18"/>
          <w:szCs w:val="18"/>
        </w:rPr>
        <w:t xml:space="preserve">, E/C.12/1/Add.20, para. 16 (22 </w:t>
      </w:r>
      <w:r w:rsidR="004E38A0">
        <w:rPr>
          <w:sz w:val="18"/>
          <w:szCs w:val="18"/>
        </w:rPr>
        <w:t>December</w:t>
      </w:r>
      <w:r>
        <w:rPr>
          <w:sz w:val="18"/>
          <w:szCs w:val="18"/>
        </w:rPr>
        <w:t xml:space="preserve"> 1997). </w:t>
      </w:r>
    </w:p>
  </w:endnote>
  <w:endnote w:id="12">
    <w:p w14:paraId="6EAD38C0" w14:textId="77777777" w:rsidR="005319DD" w:rsidRDefault="005319DD">
      <w:pPr>
        <w:pBdr>
          <w:top w:val="nil"/>
          <w:left w:val="nil"/>
          <w:bottom w:val="nil"/>
          <w:right w:val="nil"/>
          <w:between w:val="nil"/>
        </w:pBdr>
        <w:spacing w:after="0" w:line="240" w:lineRule="auto"/>
        <w:rPr>
          <w:sz w:val="18"/>
          <w:szCs w:val="18"/>
        </w:rPr>
      </w:pPr>
      <w:r>
        <w:rPr>
          <w:rStyle w:val="EndnoteReference"/>
        </w:rPr>
        <w:endnoteRef/>
      </w:r>
      <w:r>
        <w:rPr>
          <w:color w:val="000000"/>
          <w:sz w:val="18"/>
          <w:szCs w:val="18"/>
        </w:rPr>
        <w:t xml:space="preserve"> </w:t>
      </w:r>
      <w:r>
        <w:rPr>
          <w:sz w:val="18"/>
          <w:szCs w:val="18"/>
        </w:rPr>
        <w:t xml:space="preserve">CESCR, </w:t>
      </w:r>
      <w:r>
        <w:rPr>
          <w:i/>
          <w:sz w:val="18"/>
          <w:szCs w:val="18"/>
        </w:rPr>
        <w:t>Concluding Observations: Democratic Republic of Congo</w:t>
      </w:r>
      <w:r>
        <w:rPr>
          <w:sz w:val="18"/>
          <w:szCs w:val="18"/>
        </w:rPr>
        <w:t xml:space="preserve">, E/C.12/COD/CO/4, para. 13 (16 December 2009).  </w:t>
      </w:r>
    </w:p>
  </w:endnote>
  <w:endnote w:id="13">
    <w:p w14:paraId="6EAD38C1" w14:textId="77777777" w:rsidR="005319DD" w:rsidRDefault="005319DD">
      <w:pPr>
        <w:pBdr>
          <w:top w:val="nil"/>
          <w:left w:val="nil"/>
          <w:bottom w:val="nil"/>
          <w:right w:val="nil"/>
          <w:between w:val="nil"/>
        </w:pBdr>
        <w:spacing w:after="0" w:line="240" w:lineRule="auto"/>
        <w:rPr>
          <w:color w:val="000000"/>
          <w:sz w:val="18"/>
          <w:szCs w:val="18"/>
        </w:rPr>
      </w:pPr>
      <w:r>
        <w:rPr>
          <w:rStyle w:val="EndnoteReference"/>
        </w:rPr>
        <w:endnoteRef/>
      </w:r>
      <w:r>
        <w:rPr>
          <w:color w:val="000000"/>
          <w:sz w:val="18"/>
          <w:szCs w:val="18"/>
        </w:rPr>
        <w:t xml:space="preserve"> </w:t>
      </w:r>
      <w:r>
        <w:rPr>
          <w:sz w:val="18"/>
          <w:szCs w:val="18"/>
        </w:rPr>
        <w:t xml:space="preserve">CESCR, </w:t>
      </w:r>
      <w:r>
        <w:rPr>
          <w:i/>
          <w:sz w:val="18"/>
          <w:szCs w:val="18"/>
        </w:rPr>
        <w:t>Concluding Observations: Cambodia</w:t>
      </w:r>
      <w:r>
        <w:rPr>
          <w:sz w:val="18"/>
          <w:szCs w:val="18"/>
        </w:rPr>
        <w:t>, E/C.12/KHM/CO/1, para. 15 (12 June 2009).</w:t>
      </w:r>
      <w:r>
        <w:rPr>
          <w:color w:val="000000"/>
          <w:sz w:val="18"/>
          <w:szCs w:val="18"/>
        </w:rPr>
        <w:t xml:space="preserve">  </w:t>
      </w:r>
    </w:p>
  </w:endnote>
  <w:endnote w:id="14">
    <w:p w14:paraId="6EAD38C2" w14:textId="77777777" w:rsidR="005319DD" w:rsidRDefault="005319DD">
      <w:pPr>
        <w:pBdr>
          <w:top w:val="nil"/>
          <w:left w:val="nil"/>
          <w:bottom w:val="nil"/>
          <w:right w:val="nil"/>
          <w:between w:val="nil"/>
        </w:pBdr>
        <w:spacing w:after="0" w:line="240" w:lineRule="auto"/>
        <w:rPr>
          <w:color w:val="000000"/>
          <w:sz w:val="18"/>
          <w:szCs w:val="18"/>
        </w:rPr>
      </w:pPr>
      <w:r>
        <w:rPr>
          <w:rStyle w:val="EndnoteReference"/>
        </w:rPr>
        <w:endnoteRef/>
      </w:r>
      <w:r>
        <w:rPr>
          <w:color w:val="000000"/>
          <w:sz w:val="18"/>
          <w:szCs w:val="18"/>
        </w:rPr>
        <w:t xml:space="preserve"> HRC, </w:t>
      </w:r>
      <w:r>
        <w:rPr>
          <w:i/>
          <w:color w:val="000000"/>
          <w:sz w:val="18"/>
          <w:szCs w:val="18"/>
        </w:rPr>
        <w:t>Consideration of Reports Submitted by State Parties Under Article 40 of the Covenant: Comments of the Human Rights Committee</w:t>
      </w:r>
      <w:r>
        <w:rPr>
          <w:color w:val="000000"/>
          <w:sz w:val="18"/>
          <w:szCs w:val="18"/>
        </w:rPr>
        <w:t xml:space="preserve"> UN. Doc. CCPR/C/79/Add.38</w:t>
      </w:r>
      <w:r>
        <w:rPr>
          <w:color w:val="980000"/>
          <w:sz w:val="18"/>
          <w:szCs w:val="18"/>
        </w:rPr>
        <w:t xml:space="preserve"> </w:t>
      </w:r>
      <w:r>
        <w:rPr>
          <w:sz w:val="18"/>
          <w:szCs w:val="18"/>
        </w:rPr>
        <w:t>para</w:t>
      </w:r>
      <w:r>
        <w:rPr>
          <w:color w:val="000000"/>
          <w:sz w:val="18"/>
          <w:szCs w:val="18"/>
        </w:rPr>
        <w:t>. 6 (</w:t>
      </w:r>
      <w:r>
        <w:rPr>
          <w:sz w:val="18"/>
          <w:szCs w:val="18"/>
        </w:rPr>
        <w:t>3 August</w:t>
      </w:r>
      <w:r>
        <w:rPr>
          <w:color w:val="000000"/>
          <w:sz w:val="18"/>
          <w:szCs w:val="18"/>
        </w:rPr>
        <w:t xml:space="preserve"> 1994) (in 1994 the HRC criticized Azerbaijan’s narrow view of self-determination and declared that ‘under Article 1 of the Covenant, that principle applies to all peoples, and not merely colonized peoples.’).</w:t>
      </w:r>
    </w:p>
  </w:endnote>
  <w:endnote w:id="15">
    <w:p w14:paraId="6EAD38C3" w14:textId="45915755" w:rsidR="005319DD" w:rsidRDefault="005319DD">
      <w:pPr>
        <w:pBdr>
          <w:top w:val="nil"/>
          <w:left w:val="nil"/>
          <w:bottom w:val="nil"/>
          <w:right w:val="nil"/>
          <w:between w:val="nil"/>
        </w:pBdr>
        <w:spacing w:after="0" w:line="240" w:lineRule="auto"/>
        <w:rPr>
          <w:color w:val="980000"/>
          <w:sz w:val="18"/>
          <w:szCs w:val="18"/>
        </w:rPr>
      </w:pPr>
      <w:r>
        <w:rPr>
          <w:rStyle w:val="EndnoteReference"/>
        </w:rPr>
        <w:endnoteRef/>
      </w:r>
      <w:r>
        <w:rPr>
          <w:color w:val="000000"/>
          <w:sz w:val="18"/>
          <w:szCs w:val="18"/>
        </w:rPr>
        <w:t xml:space="preserve"> This section draws on the research of Leif Wenar (Stanford University, USA) and Jeremie Gilbert (University of Southampton, UK), both members of Clean Trade. See </w:t>
      </w:r>
      <w:hyperlink r:id="rId8" w:history="1">
        <w:r w:rsidRPr="00D5018E">
          <w:rPr>
            <w:rStyle w:val="Hyperlink"/>
            <w:sz w:val="18"/>
            <w:szCs w:val="18"/>
            <w:u w:val="none"/>
          </w:rPr>
          <w:t>‘Fighting the Resource Curse: The Rights of Citizens Over Natural Resources,’</w:t>
        </w:r>
      </w:hyperlink>
      <w:r>
        <w:rPr>
          <w:color w:val="000000"/>
          <w:sz w:val="18"/>
          <w:szCs w:val="18"/>
        </w:rPr>
        <w:t xml:space="preserve"> 19 NW. J. HUM. RTS. 30 (2020)</w:t>
      </w:r>
      <w:r>
        <w:rPr>
          <w:sz w:val="18"/>
          <w:szCs w:val="18"/>
        </w:rPr>
        <w:t>.</w:t>
      </w:r>
    </w:p>
  </w:endnote>
  <w:endnote w:id="16">
    <w:p w14:paraId="6EAD38C4" w14:textId="77777777" w:rsidR="005319DD" w:rsidRDefault="005319DD">
      <w:pPr>
        <w:pBdr>
          <w:top w:val="nil"/>
          <w:left w:val="nil"/>
          <w:bottom w:val="nil"/>
          <w:right w:val="nil"/>
          <w:between w:val="nil"/>
        </w:pBdr>
        <w:spacing w:after="0" w:line="240" w:lineRule="auto"/>
        <w:rPr>
          <w:color w:val="980000"/>
          <w:sz w:val="18"/>
          <w:szCs w:val="18"/>
        </w:rPr>
      </w:pPr>
      <w:r>
        <w:rPr>
          <w:rStyle w:val="EndnoteReference"/>
        </w:rPr>
        <w:endnoteRef/>
      </w:r>
      <w:r>
        <w:rPr>
          <w:color w:val="000000"/>
          <w:sz w:val="18"/>
          <w:szCs w:val="18"/>
        </w:rPr>
        <w:t xml:space="preserve"> See, e.g., UN Security Council,</w:t>
      </w:r>
      <w:r>
        <w:rPr>
          <w:color w:val="1155CC"/>
          <w:sz w:val="18"/>
          <w:szCs w:val="18"/>
        </w:rPr>
        <w:t xml:space="preserve"> </w:t>
      </w:r>
      <w:r>
        <w:rPr>
          <w:color w:val="000000"/>
          <w:sz w:val="18"/>
          <w:szCs w:val="18"/>
        </w:rPr>
        <w:t>Purposes and Principles of the Charter of the United Nations, 26</w:t>
      </w:r>
      <w:r>
        <w:rPr>
          <w:color w:val="000000"/>
          <w:sz w:val="18"/>
          <w:szCs w:val="18"/>
          <w:vertAlign w:val="superscript"/>
        </w:rPr>
        <w:t>th</w:t>
      </w:r>
      <w:r>
        <w:rPr>
          <w:color w:val="000000"/>
          <w:sz w:val="18"/>
          <w:szCs w:val="18"/>
        </w:rPr>
        <w:t xml:space="preserve"> Supplement, 2023.</w:t>
      </w:r>
    </w:p>
  </w:endnote>
  <w:endnote w:id="17">
    <w:p w14:paraId="6EAD38C5" w14:textId="77777777" w:rsidR="005319DD" w:rsidRDefault="005319DD">
      <w:pPr>
        <w:pBdr>
          <w:top w:val="nil"/>
          <w:left w:val="nil"/>
          <w:bottom w:val="nil"/>
          <w:right w:val="nil"/>
          <w:between w:val="nil"/>
        </w:pBdr>
        <w:spacing w:after="0" w:line="240" w:lineRule="auto"/>
        <w:rPr>
          <w:color w:val="000000"/>
          <w:sz w:val="20"/>
          <w:szCs w:val="20"/>
        </w:rPr>
      </w:pPr>
      <w:r>
        <w:rPr>
          <w:rStyle w:val="EndnoteReference"/>
        </w:rPr>
        <w:endnoteRef/>
      </w:r>
      <w:r>
        <w:rPr>
          <w:color w:val="000000"/>
          <w:sz w:val="20"/>
          <w:szCs w:val="20"/>
        </w:rPr>
        <w:t xml:space="preserve"> </w:t>
      </w:r>
      <w:r>
        <w:rPr>
          <w:color w:val="000000"/>
          <w:sz w:val="18"/>
          <w:szCs w:val="18"/>
        </w:rPr>
        <w:t>ICESCR</w:t>
      </w:r>
      <w:r>
        <w:rPr>
          <w:sz w:val="18"/>
          <w:szCs w:val="18"/>
        </w:rPr>
        <w:t xml:space="preserve"> (n 4) Article </w:t>
      </w:r>
      <w:r>
        <w:rPr>
          <w:color w:val="000000"/>
          <w:sz w:val="18"/>
          <w:szCs w:val="18"/>
        </w:rPr>
        <w:t>2(1).</w:t>
      </w:r>
    </w:p>
  </w:endnote>
  <w:endnote w:id="18">
    <w:p w14:paraId="6EAD38C6" w14:textId="77777777" w:rsidR="005319DD" w:rsidRDefault="005319DD">
      <w:pPr>
        <w:pBdr>
          <w:top w:val="nil"/>
          <w:left w:val="nil"/>
          <w:bottom w:val="nil"/>
          <w:right w:val="nil"/>
          <w:between w:val="nil"/>
        </w:pBdr>
        <w:spacing w:after="0" w:line="240" w:lineRule="auto"/>
        <w:rPr>
          <w:color w:val="000000"/>
          <w:sz w:val="18"/>
          <w:szCs w:val="18"/>
        </w:rPr>
      </w:pPr>
      <w:r>
        <w:rPr>
          <w:rStyle w:val="EndnoteReference"/>
        </w:rPr>
        <w:endnoteRef/>
      </w:r>
      <w:r>
        <w:rPr>
          <w:color w:val="000000"/>
          <w:sz w:val="18"/>
          <w:szCs w:val="18"/>
        </w:rPr>
        <w:t xml:space="preserve"> Mark Gibne</w:t>
      </w:r>
      <w:r>
        <w:rPr>
          <w:sz w:val="18"/>
          <w:szCs w:val="18"/>
        </w:rPr>
        <w:t xml:space="preserve">y, Gamze Erdem Türkelli, Markus Krajewski, Wouter Vandenhole, </w:t>
      </w:r>
      <w:r>
        <w:rPr>
          <w:i/>
          <w:sz w:val="18"/>
          <w:szCs w:val="18"/>
        </w:rPr>
        <w:t>The Routledge Handbook on Extraterritorial Human Rights Obligations</w:t>
      </w:r>
      <w:r>
        <w:rPr>
          <w:sz w:val="18"/>
          <w:szCs w:val="18"/>
        </w:rPr>
        <w:t xml:space="preserve"> 1st ed. (2022).</w:t>
      </w:r>
    </w:p>
  </w:endnote>
  <w:endnote w:id="19">
    <w:p w14:paraId="6EAD38C7" w14:textId="77777777" w:rsidR="005319DD" w:rsidRDefault="005319DD">
      <w:pPr>
        <w:pBdr>
          <w:top w:val="nil"/>
          <w:left w:val="nil"/>
          <w:bottom w:val="nil"/>
          <w:right w:val="nil"/>
          <w:between w:val="nil"/>
        </w:pBdr>
        <w:spacing w:after="0" w:line="240" w:lineRule="auto"/>
        <w:rPr>
          <w:color w:val="000000"/>
          <w:sz w:val="18"/>
          <w:szCs w:val="18"/>
        </w:rPr>
      </w:pPr>
      <w:r>
        <w:rPr>
          <w:rStyle w:val="EndnoteReference"/>
        </w:rPr>
        <w:endnoteRef/>
      </w:r>
      <w:r>
        <w:rPr>
          <w:color w:val="000000"/>
          <w:sz w:val="18"/>
          <w:szCs w:val="18"/>
        </w:rPr>
        <w:t xml:space="preserve"> CE</w:t>
      </w:r>
      <w:r>
        <w:rPr>
          <w:sz w:val="18"/>
          <w:szCs w:val="18"/>
        </w:rPr>
        <w:t xml:space="preserve">SCR, </w:t>
      </w:r>
      <w:r>
        <w:rPr>
          <w:i/>
          <w:sz w:val="18"/>
          <w:szCs w:val="18"/>
        </w:rPr>
        <w:t xml:space="preserve">Report on the Forty-sixth and Forty-seventh Sessions </w:t>
      </w:r>
      <w:r>
        <w:rPr>
          <w:color w:val="000000"/>
          <w:sz w:val="18"/>
          <w:szCs w:val="18"/>
        </w:rPr>
        <w:t xml:space="preserve">E/2012/22 E/C.12/2011/3, Annex VI at </w:t>
      </w:r>
      <w:r>
        <w:rPr>
          <w:sz w:val="18"/>
          <w:szCs w:val="18"/>
        </w:rPr>
        <w:t>para</w:t>
      </w:r>
      <w:r>
        <w:rPr>
          <w:color w:val="980000"/>
          <w:sz w:val="18"/>
          <w:szCs w:val="18"/>
        </w:rPr>
        <w:t>.</w:t>
      </w:r>
      <w:r>
        <w:rPr>
          <w:color w:val="000000"/>
          <w:sz w:val="18"/>
          <w:szCs w:val="18"/>
        </w:rPr>
        <w:t>5.</w:t>
      </w:r>
    </w:p>
  </w:endnote>
  <w:endnote w:id="20">
    <w:p w14:paraId="6EAD38C8" w14:textId="77777777" w:rsidR="005319DD" w:rsidRDefault="005319DD">
      <w:pPr>
        <w:pBdr>
          <w:top w:val="nil"/>
          <w:left w:val="nil"/>
          <w:bottom w:val="nil"/>
          <w:right w:val="nil"/>
          <w:between w:val="nil"/>
        </w:pBdr>
        <w:spacing w:after="0" w:line="240" w:lineRule="auto"/>
        <w:rPr>
          <w:color w:val="000000"/>
          <w:sz w:val="18"/>
          <w:szCs w:val="18"/>
        </w:rPr>
      </w:pPr>
      <w:r>
        <w:rPr>
          <w:rStyle w:val="EndnoteReference"/>
        </w:rPr>
        <w:endnoteRef/>
      </w:r>
      <w:r>
        <w:rPr>
          <w:color w:val="000000"/>
          <w:sz w:val="18"/>
          <w:szCs w:val="18"/>
        </w:rPr>
        <w:t xml:space="preserve"> ETO Consortium, ‘</w:t>
      </w:r>
      <w:r>
        <w:rPr>
          <w:i/>
          <w:color w:val="000000"/>
          <w:sz w:val="18"/>
          <w:szCs w:val="18"/>
        </w:rPr>
        <w:t>Maastricht Principles on Extraterritorial Obligations of States in the Area of Economic, Social and Cultural Rights’</w:t>
      </w:r>
      <w:r>
        <w:rPr>
          <w:color w:val="000000"/>
          <w:sz w:val="18"/>
          <w:szCs w:val="18"/>
        </w:rPr>
        <w:t xml:space="preserve"> (2011).</w:t>
      </w:r>
    </w:p>
  </w:endnote>
  <w:endnote w:id="21">
    <w:p w14:paraId="6EAD38C9" w14:textId="77777777" w:rsidR="005319DD" w:rsidRDefault="005319DD">
      <w:pPr>
        <w:pBdr>
          <w:top w:val="nil"/>
          <w:left w:val="nil"/>
          <w:bottom w:val="nil"/>
          <w:right w:val="nil"/>
          <w:between w:val="nil"/>
        </w:pBdr>
        <w:spacing w:after="0" w:line="240" w:lineRule="auto"/>
        <w:rPr>
          <w:b/>
          <w:color w:val="000000"/>
          <w:sz w:val="18"/>
          <w:szCs w:val="18"/>
        </w:rPr>
      </w:pPr>
      <w:r>
        <w:rPr>
          <w:rStyle w:val="EndnoteReference"/>
        </w:rPr>
        <w:endnoteRef/>
      </w:r>
      <w:r>
        <w:rPr>
          <w:color w:val="000000"/>
          <w:sz w:val="18"/>
          <w:szCs w:val="18"/>
        </w:rPr>
        <w:t xml:space="preserve"> HRC, </w:t>
      </w:r>
      <w:r>
        <w:rPr>
          <w:i/>
          <w:color w:val="000000"/>
          <w:sz w:val="18"/>
          <w:szCs w:val="18"/>
        </w:rPr>
        <w:t xml:space="preserve">General </w:t>
      </w:r>
      <w:r>
        <w:rPr>
          <w:i/>
          <w:sz w:val="18"/>
          <w:szCs w:val="18"/>
        </w:rPr>
        <w:t>C</w:t>
      </w:r>
      <w:r>
        <w:rPr>
          <w:i/>
          <w:color w:val="000000"/>
          <w:sz w:val="18"/>
          <w:szCs w:val="18"/>
        </w:rPr>
        <w:t>omment no. 31 [80],</w:t>
      </w:r>
      <w:r>
        <w:rPr>
          <w:color w:val="000000"/>
          <w:sz w:val="18"/>
          <w:szCs w:val="18"/>
        </w:rPr>
        <w:t xml:space="preserve"> </w:t>
      </w:r>
      <w:r>
        <w:rPr>
          <w:i/>
          <w:color w:val="000000"/>
          <w:sz w:val="18"/>
          <w:szCs w:val="18"/>
        </w:rPr>
        <w:t xml:space="preserve">The </w:t>
      </w:r>
      <w:r>
        <w:rPr>
          <w:i/>
          <w:sz w:val="18"/>
          <w:szCs w:val="18"/>
        </w:rPr>
        <w:t>N</w:t>
      </w:r>
      <w:r>
        <w:rPr>
          <w:i/>
          <w:color w:val="000000"/>
          <w:sz w:val="18"/>
          <w:szCs w:val="18"/>
        </w:rPr>
        <w:t xml:space="preserve">ature of the </w:t>
      </w:r>
      <w:r>
        <w:rPr>
          <w:i/>
          <w:sz w:val="18"/>
          <w:szCs w:val="18"/>
        </w:rPr>
        <w:t>G</w:t>
      </w:r>
      <w:r>
        <w:rPr>
          <w:i/>
          <w:color w:val="000000"/>
          <w:sz w:val="18"/>
          <w:szCs w:val="18"/>
        </w:rPr>
        <w:t xml:space="preserve">eneral </w:t>
      </w:r>
      <w:r>
        <w:rPr>
          <w:i/>
          <w:sz w:val="18"/>
          <w:szCs w:val="18"/>
        </w:rPr>
        <w:t>L</w:t>
      </w:r>
      <w:r>
        <w:rPr>
          <w:i/>
          <w:color w:val="000000"/>
          <w:sz w:val="18"/>
          <w:szCs w:val="18"/>
        </w:rPr>
        <w:t xml:space="preserve">egal </w:t>
      </w:r>
      <w:r>
        <w:rPr>
          <w:i/>
          <w:sz w:val="18"/>
          <w:szCs w:val="18"/>
        </w:rPr>
        <w:t>Obligation</w:t>
      </w:r>
      <w:r>
        <w:rPr>
          <w:i/>
          <w:color w:val="000000"/>
          <w:sz w:val="18"/>
          <w:szCs w:val="18"/>
        </w:rPr>
        <w:t xml:space="preserve"> </w:t>
      </w:r>
      <w:r>
        <w:rPr>
          <w:i/>
          <w:sz w:val="18"/>
          <w:szCs w:val="18"/>
        </w:rPr>
        <w:t>I</w:t>
      </w:r>
      <w:r>
        <w:rPr>
          <w:i/>
          <w:color w:val="000000"/>
          <w:sz w:val="18"/>
          <w:szCs w:val="18"/>
        </w:rPr>
        <w:t>mposed on States Parties to the Covenant</w:t>
      </w:r>
      <w:r>
        <w:rPr>
          <w:color w:val="000000"/>
          <w:sz w:val="18"/>
          <w:szCs w:val="18"/>
        </w:rPr>
        <w:t xml:space="preserve">, </w:t>
      </w:r>
      <w:r>
        <w:rPr>
          <w:sz w:val="18"/>
          <w:szCs w:val="18"/>
        </w:rPr>
        <w:t xml:space="preserve">para. </w:t>
      </w:r>
      <w:r>
        <w:rPr>
          <w:color w:val="000000"/>
          <w:sz w:val="18"/>
          <w:szCs w:val="18"/>
        </w:rPr>
        <w:t>10 (26 May 2004).</w:t>
      </w:r>
    </w:p>
  </w:endnote>
  <w:endnote w:id="22">
    <w:p w14:paraId="6EAD38CA" w14:textId="77777777" w:rsidR="005319DD" w:rsidRDefault="005319DD">
      <w:pPr>
        <w:pBdr>
          <w:top w:val="nil"/>
          <w:left w:val="nil"/>
          <w:bottom w:val="nil"/>
          <w:right w:val="nil"/>
          <w:between w:val="nil"/>
        </w:pBdr>
        <w:spacing w:after="0" w:line="240" w:lineRule="auto"/>
        <w:rPr>
          <w:color w:val="000000"/>
          <w:sz w:val="18"/>
          <w:szCs w:val="18"/>
        </w:rPr>
      </w:pPr>
      <w:r>
        <w:rPr>
          <w:rStyle w:val="EndnoteReference"/>
        </w:rPr>
        <w:endnoteRef/>
      </w:r>
      <w:r>
        <w:rPr>
          <w:color w:val="000000"/>
          <w:sz w:val="18"/>
          <w:szCs w:val="18"/>
        </w:rPr>
        <w:t xml:space="preserve"> </w:t>
      </w:r>
      <w:r>
        <w:rPr>
          <w:sz w:val="18"/>
          <w:szCs w:val="18"/>
        </w:rPr>
        <w:t xml:space="preserve"> It is important to note that under the Rome II Regulation, the applicable law is generally that of the place where the harm occurs. Thus, these UK law developments are only relevant to harm arising in former UK colonies that apply English law.</w:t>
      </w:r>
    </w:p>
  </w:endnote>
  <w:endnote w:id="23">
    <w:p w14:paraId="6EAD38CB" w14:textId="77777777" w:rsidR="005319DD" w:rsidRPr="00084455" w:rsidRDefault="005319DD">
      <w:pPr>
        <w:pBdr>
          <w:top w:val="nil"/>
          <w:left w:val="nil"/>
          <w:bottom w:val="nil"/>
          <w:right w:val="nil"/>
          <w:between w:val="nil"/>
        </w:pBdr>
        <w:spacing w:after="0" w:line="240" w:lineRule="auto"/>
        <w:rPr>
          <w:sz w:val="18"/>
          <w:szCs w:val="18"/>
          <w:lang w:val="it-IT"/>
        </w:rPr>
      </w:pPr>
      <w:r>
        <w:rPr>
          <w:rStyle w:val="EndnoteReference"/>
        </w:rPr>
        <w:endnoteRef/>
      </w:r>
      <w:r>
        <w:rPr>
          <w:color w:val="000000"/>
          <w:sz w:val="18"/>
          <w:szCs w:val="18"/>
        </w:rPr>
        <w:t xml:space="preserve"> </w:t>
      </w:r>
      <w:r>
        <w:rPr>
          <w:sz w:val="18"/>
          <w:szCs w:val="18"/>
        </w:rPr>
        <w:t xml:space="preserve">CESCR, </w:t>
      </w:r>
      <w:hyperlink r:id="rId9">
        <w:r>
          <w:rPr>
            <w:i/>
            <w:sz w:val="18"/>
            <w:szCs w:val="18"/>
          </w:rPr>
          <w:t>General Comment No. 24 (2017) on State Obligations in the Context of Business Activities</w:t>
        </w:r>
      </w:hyperlink>
      <w:hyperlink r:id="rId10">
        <w:r>
          <w:rPr>
            <w:i/>
            <w:color w:val="1155CC"/>
            <w:sz w:val="18"/>
            <w:szCs w:val="18"/>
          </w:rPr>
          <w:t>.</w:t>
        </w:r>
      </w:hyperlink>
      <w:hyperlink r:id="rId11">
        <w:r>
          <w:rPr>
            <w:color w:val="1155CC"/>
            <w:sz w:val="18"/>
            <w:szCs w:val="18"/>
          </w:rPr>
          <w:t xml:space="preserve"> </w:t>
        </w:r>
      </w:hyperlink>
      <w:r w:rsidRPr="00084455">
        <w:rPr>
          <w:sz w:val="18"/>
          <w:szCs w:val="18"/>
          <w:lang w:val="it-IT"/>
        </w:rPr>
        <w:t>E/C.12/GC/24 (23 June 2017) 28.</w:t>
      </w:r>
    </w:p>
  </w:endnote>
  <w:endnote w:id="24">
    <w:p w14:paraId="6EAD38CC" w14:textId="77777777" w:rsidR="005319DD" w:rsidRPr="00084455" w:rsidRDefault="005319DD">
      <w:pPr>
        <w:pBdr>
          <w:top w:val="nil"/>
          <w:left w:val="nil"/>
          <w:bottom w:val="nil"/>
          <w:right w:val="nil"/>
          <w:between w:val="nil"/>
        </w:pBdr>
        <w:spacing w:after="0" w:line="240" w:lineRule="auto"/>
        <w:rPr>
          <w:color w:val="000000"/>
          <w:sz w:val="18"/>
          <w:szCs w:val="18"/>
          <w:lang w:val="it-IT"/>
        </w:rPr>
      </w:pPr>
      <w:r>
        <w:rPr>
          <w:rStyle w:val="EndnoteReference"/>
        </w:rPr>
        <w:endnoteRef/>
      </w:r>
      <w:r w:rsidRPr="00084455">
        <w:rPr>
          <w:color w:val="000000"/>
          <w:sz w:val="18"/>
          <w:szCs w:val="18"/>
          <w:lang w:val="it-IT"/>
        </w:rPr>
        <w:t xml:space="preserve"> Ibid, 33, 44.</w:t>
      </w:r>
      <w:r w:rsidRPr="00084455">
        <w:rPr>
          <w:color w:val="FF0000"/>
          <w:sz w:val="18"/>
          <w:szCs w:val="18"/>
          <w:lang w:val="it-IT"/>
        </w:rPr>
        <w:t xml:space="preserve"> </w:t>
      </w:r>
    </w:p>
  </w:endnote>
  <w:endnote w:id="25">
    <w:p w14:paraId="6EAD38CD" w14:textId="77777777" w:rsidR="005319DD" w:rsidRPr="00084455" w:rsidRDefault="005319DD">
      <w:pPr>
        <w:pBdr>
          <w:top w:val="nil"/>
          <w:left w:val="nil"/>
          <w:bottom w:val="nil"/>
          <w:right w:val="nil"/>
          <w:between w:val="nil"/>
        </w:pBdr>
        <w:spacing w:after="0" w:line="240" w:lineRule="auto"/>
        <w:rPr>
          <w:color w:val="000000"/>
          <w:sz w:val="18"/>
          <w:szCs w:val="18"/>
          <w:lang w:val="it-IT"/>
        </w:rPr>
      </w:pPr>
      <w:r>
        <w:rPr>
          <w:rStyle w:val="EndnoteReference"/>
        </w:rPr>
        <w:endnoteRef/>
      </w:r>
      <w:r w:rsidRPr="00084455">
        <w:rPr>
          <w:color w:val="000000"/>
          <w:sz w:val="18"/>
          <w:szCs w:val="18"/>
          <w:lang w:val="it-IT"/>
        </w:rPr>
        <w:t xml:space="preserve"> </w:t>
      </w:r>
      <w:r w:rsidRPr="00084455">
        <w:rPr>
          <w:i/>
          <w:color w:val="000000"/>
          <w:sz w:val="18"/>
          <w:szCs w:val="18"/>
          <w:lang w:val="it-IT"/>
        </w:rPr>
        <w:t>D</w:t>
      </w:r>
      <w:r w:rsidRPr="00084455">
        <w:rPr>
          <w:i/>
          <w:sz w:val="18"/>
          <w:szCs w:val="18"/>
          <w:lang w:val="it-IT"/>
        </w:rPr>
        <w:t>ecreto legislativo</w:t>
      </w:r>
      <w:r w:rsidRPr="00084455">
        <w:rPr>
          <w:i/>
          <w:color w:val="000000"/>
          <w:sz w:val="18"/>
          <w:szCs w:val="18"/>
          <w:lang w:val="it-IT"/>
        </w:rPr>
        <w:t xml:space="preserve"> 8 giugno 2001, n. 231, Disciplina della responsabilità amministrativa delle persone giuridiche, delle società e delle associazioni anche prive di personalità giuridica, a norma dell’articolo 11 della legge 29 settembre 2000, n. 300</w:t>
      </w:r>
      <w:r w:rsidRPr="00084455">
        <w:rPr>
          <w:sz w:val="18"/>
          <w:szCs w:val="18"/>
          <w:lang w:val="it-IT"/>
        </w:rPr>
        <w:t xml:space="preserve">. </w:t>
      </w:r>
    </w:p>
  </w:endnote>
  <w:endnote w:id="26">
    <w:p w14:paraId="6EAD38CE" w14:textId="77777777" w:rsidR="005319DD" w:rsidRPr="00084455" w:rsidRDefault="005319DD">
      <w:pPr>
        <w:pBdr>
          <w:top w:val="nil"/>
          <w:left w:val="nil"/>
          <w:bottom w:val="nil"/>
          <w:right w:val="nil"/>
          <w:between w:val="nil"/>
        </w:pBdr>
        <w:spacing w:after="0" w:line="240" w:lineRule="auto"/>
        <w:rPr>
          <w:color w:val="000000"/>
          <w:sz w:val="18"/>
          <w:szCs w:val="18"/>
          <w:lang w:val="fr-FR"/>
        </w:rPr>
      </w:pPr>
      <w:r>
        <w:rPr>
          <w:rStyle w:val="EndnoteReference"/>
        </w:rPr>
        <w:endnoteRef/>
      </w:r>
      <w:r w:rsidRPr="00084455">
        <w:rPr>
          <w:color w:val="000000"/>
          <w:sz w:val="18"/>
          <w:szCs w:val="18"/>
          <w:lang w:val="fr-FR"/>
        </w:rPr>
        <w:t xml:space="preserve"> </w:t>
      </w:r>
      <w:r w:rsidRPr="00084455">
        <w:rPr>
          <w:i/>
          <w:color w:val="000000"/>
          <w:sz w:val="18"/>
          <w:szCs w:val="18"/>
          <w:lang w:val="fr-FR"/>
        </w:rPr>
        <w:t>LOI n° 2017-399 du 27 mars 2017 relative au devoir de vigilance des sociétés mères et des entreprises donneuses d’ordre</w:t>
      </w:r>
      <w:r w:rsidRPr="00084455">
        <w:rPr>
          <w:sz w:val="18"/>
          <w:szCs w:val="18"/>
          <w:lang w:val="fr-FR"/>
        </w:rPr>
        <w:t xml:space="preserve">. </w:t>
      </w:r>
    </w:p>
  </w:endnote>
  <w:endnote w:id="27">
    <w:p w14:paraId="6EAD38CF" w14:textId="77777777" w:rsidR="005319DD" w:rsidRPr="00084455" w:rsidRDefault="005319DD">
      <w:pPr>
        <w:pBdr>
          <w:top w:val="nil"/>
          <w:left w:val="nil"/>
          <w:bottom w:val="nil"/>
          <w:right w:val="nil"/>
          <w:between w:val="nil"/>
        </w:pBdr>
        <w:spacing w:after="0" w:line="240" w:lineRule="auto"/>
        <w:rPr>
          <w:color w:val="000000"/>
          <w:sz w:val="18"/>
          <w:szCs w:val="18"/>
          <w:lang w:val="nl-NL"/>
        </w:rPr>
      </w:pPr>
      <w:r>
        <w:rPr>
          <w:rStyle w:val="EndnoteReference"/>
        </w:rPr>
        <w:endnoteRef/>
      </w:r>
      <w:r w:rsidRPr="00084455">
        <w:rPr>
          <w:color w:val="000000"/>
          <w:sz w:val="18"/>
          <w:szCs w:val="18"/>
          <w:lang w:val="nl-NL"/>
        </w:rPr>
        <w:t xml:space="preserve"> </w:t>
      </w:r>
      <w:r w:rsidRPr="00084455">
        <w:rPr>
          <w:i/>
          <w:color w:val="000000"/>
          <w:sz w:val="18"/>
          <w:szCs w:val="18"/>
          <w:lang w:val="nl-NL"/>
        </w:rPr>
        <w:t>Wet van 24 oktober 2019 houdende de invoering van een zorgplicht ter voorkoming van de levering van goederen en diensten die met behulp van kinderarbeid tot stand zijn gekomen (Wet zorgplicht kinderarbeid)</w:t>
      </w:r>
      <w:r w:rsidRPr="00084455">
        <w:rPr>
          <w:sz w:val="18"/>
          <w:szCs w:val="18"/>
          <w:lang w:val="nl-NL"/>
        </w:rPr>
        <w:t xml:space="preserve">. </w:t>
      </w:r>
    </w:p>
  </w:endnote>
  <w:endnote w:id="28">
    <w:p w14:paraId="6EAD38D0" w14:textId="77777777" w:rsidR="005319DD" w:rsidRPr="00084455" w:rsidRDefault="005319DD">
      <w:pPr>
        <w:pBdr>
          <w:top w:val="nil"/>
          <w:left w:val="nil"/>
          <w:bottom w:val="nil"/>
          <w:right w:val="nil"/>
          <w:between w:val="nil"/>
        </w:pBdr>
        <w:spacing w:after="0" w:line="240" w:lineRule="auto"/>
        <w:rPr>
          <w:i/>
          <w:color w:val="000000"/>
          <w:sz w:val="18"/>
          <w:szCs w:val="18"/>
          <w:lang w:val="nb-NO"/>
        </w:rPr>
      </w:pPr>
      <w:r>
        <w:rPr>
          <w:rStyle w:val="EndnoteReference"/>
        </w:rPr>
        <w:endnoteRef/>
      </w:r>
      <w:r w:rsidRPr="00084455">
        <w:rPr>
          <w:color w:val="000000"/>
          <w:sz w:val="18"/>
          <w:szCs w:val="18"/>
          <w:lang w:val="nb-NO"/>
        </w:rPr>
        <w:t xml:space="preserve"> </w:t>
      </w:r>
      <w:r w:rsidRPr="00084455">
        <w:rPr>
          <w:i/>
          <w:color w:val="000000"/>
          <w:sz w:val="18"/>
          <w:szCs w:val="18"/>
          <w:lang w:val="nb-NO"/>
        </w:rPr>
        <w:t>Lov om virksomheters åpenhet og arbeid med grunnleggende menneskerettigheter og anstendige arbeidsforhold (åpenhetsloven)</w:t>
      </w:r>
      <w:r w:rsidRPr="00084455">
        <w:rPr>
          <w:i/>
          <w:sz w:val="18"/>
          <w:szCs w:val="18"/>
          <w:lang w:val="nb-NO"/>
        </w:rPr>
        <w:t xml:space="preserve">. </w:t>
      </w:r>
    </w:p>
  </w:endnote>
  <w:endnote w:id="29">
    <w:p w14:paraId="6EAD38D1" w14:textId="77777777" w:rsidR="005319DD" w:rsidRDefault="005319DD">
      <w:pPr>
        <w:pBdr>
          <w:top w:val="nil"/>
          <w:left w:val="nil"/>
          <w:bottom w:val="nil"/>
          <w:right w:val="nil"/>
          <w:between w:val="nil"/>
        </w:pBdr>
        <w:spacing w:after="0" w:line="240" w:lineRule="auto"/>
        <w:rPr>
          <w:i/>
          <w:color w:val="000000"/>
          <w:sz w:val="18"/>
          <w:szCs w:val="18"/>
        </w:rPr>
      </w:pPr>
      <w:r>
        <w:rPr>
          <w:rStyle w:val="EndnoteReference"/>
        </w:rPr>
        <w:endnoteRef/>
      </w:r>
      <w:r w:rsidRPr="00084455">
        <w:rPr>
          <w:color w:val="000000"/>
          <w:sz w:val="18"/>
          <w:szCs w:val="18"/>
          <w:lang w:val="de-DE"/>
        </w:rPr>
        <w:t xml:space="preserve"> </w:t>
      </w:r>
      <w:r w:rsidRPr="00084455">
        <w:rPr>
          <w:i/>
          <w:color w:val="000000"/>
          <w:sz w:val="18"/>
          <w:szCs w:val="18"/>
          <w:lang w:val="de-DE"/>
        </w:rPr>
        <w:t>Gesetz über die unternehmerischen Sorgfaltspflichten in Lieferketten</w:t>
      </w:r>
      <w:r w:rsidRPr="00084455">
        <w:rPr>
          <w:i/>
          <w:sz w:val="18"/>
          <w:szCs w:val="18"/>
          <w:lang w:val="de-DE"/>
        </w:rPr>
        <w:t xml:space="preserve"> vom 16. </w:t>
      </w:r>
      <w:r>
        <w:rPr>
          <w:i/>
          <w:sz w:val="18"/>
          <w:szCs w:val="18"/>
        </w:rPr>
        <w:t xml:space="preserve">Juli 2021. </w:t>
      </w:r>
    </w:p>
  </w:endnote>
  <w:endnote w:id="30">
    <w:p w14:paraId="6EAD38D2" w14:textId="77777777" w:rsidR="005319DD" w:rsidRDefault="005319DD">
      <w:pPr>
        <w:pBdr>
          <w:top w:val="nil"/>
          <w:left w:val="nil"/>
          <w:bottom w:val="nil"/>
          <w:right w:val="nil"/>
          <w:between w:val="nil"/>
        </w:pBdr>
        <w:spacing w:after="0" w:line="240" w:lineRule="auto"/>
        <w:rPr>
          <w:color w:val="000000"/>
          <w:sz w:val="18"/>
          <w:szCs w:val="18"/>
        </w:rPr>
      </w:pPr>
      <w:r>
        <w:rPr>
          <w:rStyle w:val="EndnoteReference"/>
        </w:rPr>
        <w:endnoteRef/>
      </w:r>
      <w:r>
        <w:rPr>
          <w:color w:val="000000"/>
          <w:sz w:val="18"/>
          <w:szCs w:val="18"/>
        </w:rPr>
        <w:t xml:space="preserve"> </w:t>
      </w:r>
      <w:r>
        <w:rPr>
          <w:sz w:val="18"/>
          <w:szCs w:val="18"/>
        </w:rPr>
        <w:t>Directive (EU) 2024/1760 of the European Parliament and of the Council of 13 June 2024 on Corporate Sustainability Due Diligence and Amending Directive (EU) 2019/1937 and Regulation (EU) 2023/2859 [2024] OJ L 210/1.</w:t>
      </w:r>
    </w:p>
  </w:endnote>
  <w:endnote w:id="31">
    <w:p w14:paraId="6EAD38D3" w14:textId="77777777" w:rsidR="005319DD" w:rsidRDefault="005319DD">
      <w:pPr>
        <w:pBdr>
          <w:top w:val="nil"/>
          <w:left w:val="nil"/>
          <w:bottom w:val="nil"/>
          <w:right w:val="nil"/>
          <w:between w:val="nil"/>
        </w:pBdr>
        <w:spacing w:after="0" w:line="240" w:lineRule="auto"/>
        <w:rPr>
          <w:color w:val="000000"/>
          <w:sz w:val="18"/>
          <w:szCs w:val="18"/>
        </w:rPr>
      </w:pPr>
      <w:r>
        <w:rPr>
          <w:rStyle w:val="EndnoteReference"/>
        </w:rPr>
        <w:endnoteRef/>
      </w:r>
      <w:r>
        <w:rPr>
          <w:color w:val="000000"/>
          <w:sz w:val="18"/>
          <w:szCs w:val="18"/>
        </w:rPr>
        <w:t xml:space="preserve"> </w:t>
      </w:r>
      <w:r>
        <w:rPr>
          <w:sz w:val="18"/>
          <w:szCs w:val="18"/>
        </w:rPr>
        <w:t>Julia Sinnig and Dirk Andreas Zetzsche,</w:t>
      </w:r>
      <w:hyperlink r:id="rId12">
        <w:r>
          <w:rPr>
            <w:color w:val="1155CC"/>
            <w:sz w:val="18"/>
            <w:szCs w:val="18"/>
          </w:rPr>
          <w:t xml:space="preserve"> ‘The EU’s Corporate Sustainability Due Diligence Directive: From Disclosure to Prevention of Adverse Sustainability Impacts in Supply Chains’</w:t>
        </w:r>
      </w:hyperlink>
      <w:r>
        <w:rPr>
          <w:sz w:val="18"/>
          <w:szCs w:val="18"/>
        </w:rPr>
        <w:t xml:space="preserve"> (14 June 2024).</w:t>
      </w:r>
    </w:p>
  </w:endnote>
  <w:endnote w:id="32">
    <w:p w14:paraId="6EAD38D4" w14:textId="77777777" w:rsidR="005319DD" w:rsidRDefault="005319DD">
      <w:pPr>
        <w:pBdr>
          <w:top w:val="nil"/>
          <w:left w:val="nil"/>
          <w:bottom w:val="nil"/>
          <w:right w:val="nil"/>
          <w:between w:val="nil"/>
        </w:pBdr>
        <w:spacing w:after="0" w:line="240" w:lineRule="auto"/>
        <w:rPr>
          <w:color w:val="000000"/>
          <w:sz w:val="18"/>
          <w:szCs w:val="18"/>
        </w:rPr>
      </w:pPr>
      <w:r>
        <w:rPr>
          <w:rStyle w:val="EndnoteReference"/>
        </w:rPr>
        <w:endnoteRef/>
      </w:r>
      <w:r>
        <w:rPr>
          <w:color w:val="000000"/>
          <w:sz w:val="18"/>
          <w:szCs w:val="18"/>
        </w:rPr>
        <w:t xml:space="preserve"> Ibid</w:t>
      </w:r>
      <w:r>
        <w:rPr>
          <w:sz w:val="18"/>
          <w:szCs w:val="18"/>
        </w:rPr>
        <w:t xml:space="preserve">, </w:t>
      </w:r>
      <w:r>
        <w:rPr>
          <w:color w:val="000000"/>
          <w:sz w:val="18"/>
          <w:szCs w:val="18"/>
        </w:rPr>
        <w:t>18.</w:t>
      </w:r>
    </w:p>
  </w:endnote>
  <w:endnote w:id="33">
    <w:p w14:paraId="6EAD38D5" w14:textId="77777777" w:rsidR="005319DD" w:rsidRDefault="005319DD">
      <w:pPr>
        <w:pBdr>
          <w:top w:val="nil"/>
          <w:left w:val="nil"/>
          <w:bottom w:val="nil"/>
          <w:right w:val="nil"/>
          <w:between w:val="nil"/>
        </w:pBdr>
        <w:spacing w:after="0" w:line="240" w:lineRule="auto"/>
        <w:rPr>
          <w:color w:val="000000"/>
          <w:sz w:val="18"/>
          <w:szCs w:val="18"/>
        </w:rPr>
      </w:pPr>
      <w:r>
        <w:rPr>
          <w:rStyle w:val="EndnoteReference"/>
        </w:rPr>
        <w:endnoteRef/>
      </w:r>
      <w:r>
        <w:rPr>
          <w:color w:val="000000"/>
          <w:sz w:val="18"/>
          <w:szCs w:val="18"/>
        </w:rPr>
        <w:t xml:space="preserve"> Article 24 – 28 CS3D; Nicolas Bueno and others, ‘The EU Directive on Corporate Sustainability Due Diligence (CSDDD): The Final Political Compromise’ (2024) 9 Business and Human Rights Journal 294</w:t>
      </w:r>
      <w:r>
        <w:rPr>
          <w:sz w:val="18"/>
          <w:szCs w:val="18"/>
        </w:rPr>
        <w:t xml:space="preserve">, 297-298. </w:t>
      </w:r>
    </w:p>
  </w:endnote>
  <w:endnote w:id="34">
    <w:p w14:paraId="6EAD38D6" w14:textId="77777777" w:rsidR="005319DD" w:rsidRDefault="005319DD">
      <w:pPr>
        <w:pBdr>
          <w:top w:val="nil"/>
          <w:left w:val="nil"/>
          <w:bottom w:val="nil"/>
          <w:right w:val="nil"/>
          <w:between w:val="nil"/>
        </w:pBdr>
        <w:spacing w:after="0" w:line="240" w:lineRule="auto"/>
        <w:rPr>
          <w:color w:val="000000"/>
          <w:sz w:val="18"/>
          <w:szCs w:val="18"/>
        </w:rPr>
      </w:pPr>
      <w:r>
        <w:rPr>
          <w:rStyle w:val="EndnoteReference"/>
        </w:rPr>
        <w:endnoteRef/>
      </w:r>
      <w:r>
        <w:rPr>
          <w:color w:val="000000"/>
          <w:sz w:val="18"/>
          <w:szCs w:val="18"/>
        </w:rPr>
        <w:t xml:space="preserve"> </w:t>
      </w:r>
      <w:r>
        <w:rPr>
          <w:sz w:val="18"/>
          <w:szCs w:val="18"/>
        </w:rPr>
        <w:t xml:space="preserve">Regulation (EU) 2024/1252 of the European Parliament and of the Council of 11 April 2024 establishing a framework for ensuring a secure and sustainable supply of critical raw materials and amending Regulations (EU) No 168/2013, (EU) 2018/858, (EU) 2018/1724 and (EU) 2019/1020 [2024] OJ L 185/1. </w:t>
      </w:r>
    </w:p>
  </w:endnote>
  <w:endnote w:id="35">
    <w:p w14:paraId="6EAD38D7" w14:textId="77777777" w:rsidR="005319DD" w:rsidRDefault="005319DD">
      <w:pPr>
        <w:pBdr>
          <w:top w:val="nil"/>
          <w:left w:val="nil"/>
          <w:bottom w:val="nil"/>
          <w:right w:val="nil"/>
          <w:between w:val="nil"/>
        </w:pBdr>
        <w:spacing w:after="0" w:line="240" w:lineRule="auto"/>
        <w:rPr>
          <w:color w:val="000000"/>
          <w:sz w:val="18"/>
          <w:szCs w:val="18"/>
        </w:rPr>
      </w:pPr>
      <w:r>
        <w:rPr>
          <w:rStyle w:val="EndnoteReference"/>
        </w:rPr>
        <w:endnoteRef/>
      </w:r>
      <w:r>
        <w:rPr>
          <w:color w:val="000000"/>
          <w:sz w:val="18"/>
          <w:szCs w:val="18"/>
        </w:rPr>
        <w:t xml:space="preserve"> </w:t>
      </w:r>
      <w:r>
        <w:rPr>
          <w:sz w:val="18"/>
          <w:szCs w:val="18"/>
        </w:rPr>
        <w:t>Regulation (EU) 2023/1115 of the European Parliament and of the Council of 31 May 2023 on the making available on the Union market and the export from the Union of certain commodities and products associated with deforestation and forest degradation and repealing Regulation (EU) No 995/2010 [2023] OJ L 175/1.</w:t>
      </w:r>
    </w:p>
  </w:endnote>
  <w:endnote w:id="36">
    <w:p w14:paraId="6EAD38D8" w14:textId="77777777" w:rsidR="005319DD" w:rsidRDefault="005319DD">
      <w:pPr>
        <w:pBdr>
          <w:top w:val="nil"/>
          <w:left w:val="nil"/>
          <w:bottom w:val="nil"/>
          <w:right w:val="nil"/>
          <w:between w:val="nil"/>
        </w:pBdr>
        <w:spacing w:after="0" w:line="240" w:lineRule="auto"/>
        <w:rPr>
          <w:color w:val="000000"/>
          <w:sz w:val="18"/>
          <w:szCs w:val="18"/>
        </w:rPr>
      </w:pPr>
      <w:r>
        <w:rPr>
          <w:rStyle w:val="EndnoteReference"/>
        </w:rPr>
        <w:endnoteRef/>
      </w:r>
      <w:r>
        <w:rPr>
          <w:color w:val="000000"/>
          <w:sz w:val="18"/>
          <w:szCs w:val="18"/>
        </w:rPr>
        <w:t xml:space="preserve"> </w:t>
      </w:r>
      <w:r>
        <w:rPr>
          <w:sz w:val="18"/>
          <w:szCs w:val="18"/>
        </w:rPr>
        <w:t xml:space="preserve">Terra de Direitos, Transnational Law Institute, King’s College London and Clean Trade, </w:t>
      </w:r>
      <w:hyperlink r:id="rId13">
        <w:r>
          <w:rPr>
            <w:color w:val="1155CC"/>
            <w:sz w:val="18"/>
            <w:szCs w:val="18"/>
          </w:rPr>
          <w:t xml:space="preserve">‘Shadow Report on Brazil for the CESCR 138th Session’ </w:t>
        </w:r>
      </w:hyperlink>
      <w:r>
        <w:rPr>
          <w:sz w:val="18"/>
          <w:szCs w:val="18"/>
        </w:rPr>
        <w:t xml:space="preserve">(29 May 2023). </w:t>
      </w:r>
    </w:p>
  </w:endnote>
  <w:endnote w:id="37">
    <w:p w14:paraId="6EAD38D9" w14:textId="6F177BCD" w:rsidR="005319DD" w:rsidRDefault="005319DD">
      <w:pPr>
        <w:pBdr>
          <w:top w:val="nil"/>
          <w:left w:val="nil"/>
          <w:bottom w:val="nil"/>
          <w:right w:val="nil"/>
          <w:between w:val="nil"/>
        </w:pBdr>
        <w:spacing w:after="0" w:line="240" w:lineRule="auto"/>
        <w:rPr>
          <w:color w:val="000000"/>
          <w:sz w:val="18"/>
          <w:szCs w:val="18"/>
        </w:rPr>
      </w:pPr>
      <w:r>
        <w:rPr>
          <w:rStyle w:val="EndnoteReference"/>
        </w:rPr>
        <w:endnoteRef/>
      </w:r>
      <w:r>
        <w:rPr>
          <w:color w:val="000000"/>
          <w:sz w:val="18"/>
          <w:szCs w:val="18"/>
        </w:rPr>
        <w:t xml:space="preserve"> Amnesty International, </w:t>
      </w:r>
      <w:hyperlink r:id="rId14">
        <w:r>
          <w:rPr>
            <w:color w:val="1155CC"/>
            <w:sz w:val="18"/>
            <w:szCs w:val="18"/>
          </w:rPr>
          <w:t>‘EU: Germany’s Failure to Support New EU Business Legislation Undermines Human Rights’</w:t>
        </w:r>
      </w:hyperlink>
      <w:r>
        <w:rPr>
          <w:color w:val="000000"/>
          <w:sz w:val="18"/>
          <w:szCs w:val="18"/>
        </w:rPr>
        <w:t xml:space="preserve"> (7 Febru</w:t>
      </w:r>
      <w:r>
        <w:rPr>
          <w:sz w:val="18"/>
          <w:szCs w:val="18"/>
        </w:rPr>
        <w:t>ary</w:t>
      </w:r>
      <w:r>
        <w:rPr>
          <w:color w:val="000000"/>
          <w:sz w:val="18"/>
          <w:szCs w:val="18"/>
        </w:rPr>
        <w:t xml:space="preserve"> 2024</w:t>
      </w:r>
      <w:r>
        <w:rPr>
          <w:sz w:val="18"/>
          <w:szCs w:val="18"/>
        </w:rPr>
        <w:t xml:space="preserve">); </w:t>
      </w:r>
      <w:r>
        <w:rPr>
          <w:color w:val="000000"/>
          <w:sz w:val="18"/>
          <w:szCs w:val="18"/>
        </w:rPr>
        <w:t xml:space="preserve">Human Rights Watch, </w:t>
      </w:r>
      <w:hyperlink r:id="rId15">
        <w:r>
          <w:rPr>
            <w:color w:val="1155CC"/>
            <w:sz w:val="18"/>
            <w:szCs w:val="18"/>
          </w:rPr>
          <w:t>‘EU’s Flawed Reliance on Audits, Certifications for Raw Materials Rules,’</w:t>
        </w:r>
      </w:hyperlink>
      <w:r>
        <w:rPr>
          <w:color w:val="000000"/>
          <w:sz w:val="18"/>
          <w:szCs w:val="18"/>
        </w:rPr>
        <w:t xml:space="preserve"> (24 March 2023</w:t>
      </w:r>
      <w:r>
        <w:rPr>
          <w:sz w:val="18"/>
          <w:szCs w:val="18"/>
        </w:rPr>
        <w:t>)</w:t>
      </w:r>
      <w:r>
        <w:rPr>
          <w:color w:val="000000"/>
          <w:sz w:val="18"/>
          <w:szCs w:val="18"/>
        </w:rPr>
        <w:t xml:space="preserve">; Global Witness, </w:t>
      </w:r>
      <w:hyperlink r:id="rId16">
        <w:r>
          <w:rPr>
            <w:color w:val="1155CC"/>
            <w:sz w:val="18"/>
            <w:szCs w:val="18"/>
          </w:rPr>
          <w:t>‘EU Parliament ‘</w:t>
        </w:r>
        <w:r w:rsidR="00F602FE">
          <w:rPr>
            <w:color w:val="1155CC"/>
            <w:sz w:val="18"/>
            <w:szCs w:val="18"/>
          </w:rPr>
          <w:t>T</w:t>
        </w:r>
        <w:r>
          <w:rPr>
            <w:color w:val="1155CC"/>
            <w:sz w:val="18"/>
            <w:szCs w:val="18"/>
          </w:rPr>
          <w:t xml:space="preserve">akes a </w:t>
        </w:r>
        <w:r w:rsidR="00F602FE">
          <w:rPr>
            <w:color w:val="1155CC"/>
            <w:sz w:val="18"/>
            <w:szCs w:val="18"/>
          </w:rPr>
          <w:t>C</w:t>
        </w:r>
        <w:r>
          <w:rPr>
            <w:color w:val="1155CC"/>
            <w:sz w:val="18"/>
            <w:szCs w:val="18"/>
          </w:rPr>
          <w:t xml:space="preserve">hainsaw to </w:t>
        </w:r>
        <w:r w:rsidR="00F602FE">
          <w:rPr>
            <w:color w:val="1155CC"/>
            <w:sz w:val="18"/>
            <w:szCs w:val="18"/>
          </w:rPr>
          <w:t>A</w:t>
        </w:r>
        <w:r>
          <w:rPr>
            <w:color w:val="1155CC"/>
            <w:sz w:val="18"/>
            <w:szCs w:val="18"/>
          </w:rPr>
          <w:t>nti-</w:t>
        </w:r>
        <w:r w:rsidR="00AE6EE9">
          <w:rPr>
            <w:color w:val="1155CC"/>
            <w:sz w:val="18"/>
            <w:szCs w:val="18"/>
          </w:rPr>
          <w:t>D</w:t>
        </w:r>
        <w:r>
          <w:rPr>
            <w:color w:val="1155CC"/>
            <w:sz w:val="18"/>
            <w:szCs w:val="18"/>
          </w:rPr>
          <w:t xml:space="preserve">eforestation </w:t>
        </w:r>
        <w:r w:rsidR="00AE6EE9">
          <w:rPr>
            <w:color w:val="1155CC"/>
            <w:sz w:val="18"/>
            <w:szCs w:val="18"/>
          </w:rPr>
          <w:t>L</w:t>
        </w:r>
        <w:r>
          <w:rPr>
            <w:color w:val="1155CC"/>
            <w:sz w:val="18"/>
            <w:szCs w:val="18"/>
          </w:rPr>
          <w:t>aw’’</w:t>
        </w:r>
      </w:hyperlink>
      <w:r>
        <w:rPr>
          <w:sz w:val="18"/>
          <w:szCs w:val="18"/>
        </w:rPr>
        <w:t xml:space="preserve"> (</w:t>
      </w:r>
      <w:r>
        <w:rPr>
          <w:color w:val="000000"/>
          <w:sz w:val="18"/>
          <w:szCs w:val="18"/>
        </w:rPr>
        <w:t>14 November 2024</w:t>
      </w:r>
      <w:r>
        <w:rPr>
          <w:sz w:val="18"/>
          <w:szCs w:val="18"/>
        </w:rPr>
        <w:t>).</w:t>
      </w:r>
    </w:p>
  </w:endnote>
  <w:endnote w:id="38">
    <w:p w14:paraId="6EAD38DA" w14:textId="77777777" w:rsidR="005319DD" w:rsidRDefault="005319DD">
      <w:pPr>
        <w:pBdr>
          <w:top w:val="nil"/>
          <w:left w:val="nil"/>
          <w:bottom w:val="nil"/>
          <w:right w:val="nil"/>
          <w:between w:val="nil"/>
        </w:pBdr>
        <w:spacing w:after="0" w:line="240" w:lineRule="auto"/>
        <w:rPr>
          <w:color w:val="000000"/>
          <w:sz w:val="18"/>
          <w:szCs w:val="18"/>
        </w:rPr>
      </w:pPr>
      <w:r>
        <w:rPr>
          <w:rStyle w:val="EndnoteReference"/>
        </w:rPr>
        <w:endnoteRef/>
      </w:r>
      <w:r>
        <w:rPr>
          <w:color w:val="000000"/>
          <w:sz w:val="18"/>
          <w:szCs w:val="18"/>
        </w:rPr>
        <w:t xml:space="preserve"> CS3D, Preamble (16), Annex 1.2</w:t>
      </w:r>
      <w:r>
        <w:rPr>
          <w:sz w:val="18"/>
          <w:szCs w:val="18"/>
        </w:rPr>
        <w:t>;</w:t>
      </w:r>
      <w:r>
        <w:rPr>
          <w:color w:val="000000"/>
          <w:sz w:val="18"/>
          <w:szCs w:val="18"/>
        </w:rPr>
        <w:t xml:space="preserve"> European Coalition for Corporate Justice, </w:t>
      </w:r>
      <w:hyperlink r:id="rId17">
        <w:r>
          <w:rPr>
            <w:color w:val="1155CC"/>
            <w:sz w:val="18"/>
            <w:szCs w:val="18"/>
          </w:rPr>
          <w:t>‘Uphold Our Internationally Recognised Rights in the CSDDD’</w:t>
        </w:r>
      </w:hyperlink>
      <w:r>
        <w:rPr>
          <w:sz w:val="18"/>
          <w:szCs w:val="18"/>
        </w:rPr>
        <w:t xml:space="preserve"> (</w:t>
      </w:r>
      <w:r>
        <w:rPr>
          <w:color w:val="000000"/>
          <w:sz w:val="18"/>
          <w:szCs w:val="18"/>
        </w:rPr>
        <w:t>October 2023</w:t>
      </w:r>
      <w:r>
        <w:rPr>
          <w:sz w:val="18"/>
          <w:szCs w:val="18"/>
        </w:rPr>
        <w:t xml:space="preserve">). </w:t>
      </w:r>
    </w:p>
  </w:endnote>
  <w:endnote w:id="39">
    <w:p w14:paraId="6EAD38DB" w14:textId="77777777" w:rsidR="005319DD" w:rsidRDefault="005319DD">
      <w:pPr>
        <w:pBdr>
          <w:top w:val="nil"/>
          <w:left w:val="nil"/>
          <w:bottom w:val="nil"/>
          <w:right w:val="nil"/>
          <w:between w:val="nil"/>
        </w:pBdr>
        <w:spacing w:after="0" w:line="240" w:lineRule="auto"/>
        <w:rPr>
          <w:color w:val="000000"/>
          <w:sz w:val="18"/>
          <w:szCs w:val="18"/>
        </w:rPr>
      </w:pPr>
      <w:r>
        <w:rPr>
          <w:rStyle w:val="EndnoteReference"/>
        </w:rPr>
        <w:endnoteRef/>
      </w:r>
      <w:r>
        <w:rPr>
          <w:color w:val="000000"/>
          <w:sz w:val="18"/>
          <w:szCs w:val="18"/>
        </w:rPr>
        <w:t xml:space="preserve"> CS3D, Annex I, 1., 1., 16</w:t>
      </w:r>
      <w:r>
        <w:rPr>
          <w:sz w:val="18"/>
          <w:szCs w:val="18"/>
        </w:rPr>
        <w:t xml:space="preserve">. </w:t>
      </w:r>
    </w:p>
  </w:endnote>
  <w:endnote w:id="40">
    <w:p w14:paraId="6EAD38DD" w14:textId="77777777" w:rsidR="005319DD" w:rsidRDefault="005319DD">
      <w:pPr>
        <w:pBdr>
          <w:top w:val="nil"/>
          <w:left w:val="nil"/>
          <w:bottom w:val="nil"/>
          <w:right w:val="nil"/>
          <w:between w:val="nil"/>
        </w:pBdr>
        <w:spacing w:after="0" w:line="240" w:lineRule="auto"/>
        <w:rPr>
          <w:color w:val="000000"/>
          <w:sz w:val="18"/>
          <w:szCs w:val="18"/>
        </w:rPr>
      </w:pPr>
      <w:r>
        <w:rPr>
          <w:rStyle w:val="EndnoteReference"/>
        </w:rPr>
        <w:endnoteRef/>
      </w:r>
      <w:r>
        <w:rPr>
          <w:color w:val="000000"/>
          <w:sz w:val="18"/>
          <w:szCs w:val="18"/>
        </w:rPr>
        <w:t xml:space="preserve"> Early Day Motions, </w:t>
      </w:r>
      <w:hyperlink r:id="rId18">
        <w:r>
          <w:rPr>
            <w:color w:val="1155CC"/>
            <w:sz w:val="18"/>
            <w:szCs w:val="18"/>
          </w:rPr>
          <w:t>‘Potential Merits of New Legislation on Mandatory Corporate Due Diligence’</w:t>
        </w:r>
      </w:hyperlink>
      <w:r>
        <w:rPr>
          <w:color w:val="000000"/>
          <w:sz w:val="18"/>
          <w:szCs w:val="18"/>
        </w:rPr>
        <w:t xml:space="preserve"> (16 May 2023)</w:t>
      </w:r>
      <w:r>
        <w:rPr>
          <w:sz w:val="18"/>
          <w:szCs w:val="18"/>
        </w:rPr>
        <w:t>.</w:t>
      </w:r>
    </w:p>
  </w:endnote>
  <w:endnote w:id="41">
    <w:p w14:paraId="6EAD38DE" w14:textId="77777777" w:rsidR="005319DD" w:rsidRDefault="005319DD">
      <w:pPr>
        <w:pBdr>
          <w:top w:val="nil"/>
          <w:left w:val="nil"/>
          <w:bottom w:val="nil"/>
          <w:right w:val="nil"/>
          <w:between w:val="nil"/>
        </w:pBdr>
        <w:spacing w:after="0" w:line="240" w:lineRule="auto"/>
        <w:rPr>
          <w:color w:val="000000"/>
          <w:sz w:val="18"/>
          <w:szCs w:val="18"/>
        </w:rPr>
      </w:pPr>
      <w:r>
        <w:rPr>
          <w:rStyle w:val="EndnoteReference"/>
        </w:rPr>
        <w:endnoteRef/>
      </w:r>
      <w:r>
        <w:rPr>
          <w:color w:val="000000"/>
          <w:sz w:val="18"/>
          <w:szCs w:val="18"/>
        </w:rPr>
        <w:t xml:space="preserve"> </w:t>
      </w:r>
      <w:r>
        <w:rPr>
          <w:sz w:val="18"/>
          <w:szCs w:val="18"/>
        </w:rPr>
        <w:t xml:space="preserve">Investors for Human Rights, </w:t>
      </w:r>
      <w:hyperlink r:id="rId19" w:anchor=":~:text=The%20statement%20calls%20on%20the,rights%20and%20environmental%20due%20diligence">
        <w:r>
          <w:rPr>
            <w:color w:val="1155CC"/>
            <w:sz w:val="18"/>
            <w:szCs w:val="18"/>
          </w:rPr>
          <w:t>‘April 2024 BHR-EA Business Statement on UK Human Rights Due Diligence’</w:t>
        </w:r>
      </w:hyperlink>
      <w:r>
        <w:rPr>
          <w:sz w:val="18"/>
          <w:szCs w:val="18"/>
        </w:rPr>
        <w:t xml:space="preserve"> (April 2024).</w:t>
      </w:r>
    </w:p>
  </w:endnote>
  <w:endnote w:id="42">
    <w:p w14:paraId="78333ED8" w14:textId="1340EE0D" w:rsidR="00592B41" w:rsidRDefault="00592B41">
      <w:pPr>
        <w:pStyle w:val="EndnoteText"/>
      </w:pPr>
      <w:r>
        <w:rPr>
          <w:rStyle w:val="EndnoteReference"/>
        </w:rPr>
        <w:endnoteRef/>
      </w:r>
      <w:r>
        <w:t xml:space="preserve"> </w:t>
      </w:r>
      <w:r w:rsidR="00DD5EE4" w:rsidRPr="00781634">
        <w:rPr>
          <w:sz w:val="18"/>
          <w:szCs w:val="18"/>
        </w:rPr>
        <w:t xml:space="preserve">Leigh Day, </w:t>
      </w:r>
      <w:hyperlink r:id="rId20" w:history="1">
        <w:r w:rsidR="00DD5EE4" w:rsidRPr="00781634">
          <w:rPr>
            <w:rStyle w:val="Hyperlink"/>
            <w:sz w:val="18"/>
            <w:szCs w:val="18"/>
            <w:u w:val="none"/>
          </w:rPr>
          <w:t>‘Court of Appeal Confirms Allegations of Forced Labour and Dangerous Conditions at Malaysian Factories Making Products for Dyson Can Be Heard in UK,’</w:t>
        </w:r>
      </w:hyperlink>
      <w:r w:rsidR="00DD5EE4" w:rsidRPr="00781634">
        <w:rPr>
          <w:sz w:val="18"/>
          <w:szCs w:val="18"/>
        </w:rPr>
        <w:t xml:space="preserve"> (13 December 2024).</w:t>
      </w:r>
    </w:p>
  </w:endnote>
  <w:endnote w:id="43">
    <w:p w14:paraId="6EAD38E0" w14:textId="5D3DD5DE" w:rsidR="005319DD" w:rsidRDefault="005319DD">
      <w:pPr>
        <w:pBdr>
          <w:top w:val="nil"/>
          <w:left w:val="nil"/>
          <w:bottom w:val="nil"/>
          <w:right w:val="nil"/>
          <w:between w:val="nil"/>
        </w:pBdr>
        <w:spacing w:after="0" w:line="240" w:lineRule="auto"/>
        <w:rPr>
          <w:color w:val="000000"/>
          <w:sz w:val="18"/>
          <w:szCs w:val="18"/>
        </w:rPr>
      </w:pPr>
      <w:r>
        <w:rPr>
          <w:rStyle w:val="EndnoteReference"/>
        </w:rPr>
        <w:endnoteRef/>
      </w:r>
      <w:r>
        <w:rPr>
          <w:color w:val="000000"/>
          <w:sz w:val="18"/>
          <w:szCs w:val="18"/>
        </w:rPr>
        <w:t xml:space="preserve"> LBMA, </w:t>
      </w:r>
      <w:r w:rsidR="00405516">
        <w:rPr>
          <w:color w:val="000000"/>
          <w:sz w:val="18"/>
          <w:szCs w:val="18"/>
        </w:rPr>
        <w:t>‘</w:t>
      </w:r>
      <w:hyperlink r:id="rId21">
        <w:r>
          <w:rPr>
            <w:color w:val="1155CC"/>
            <w:sz w:val="18"/>
            <w:szCs w:val="18"/>
          </w:rPr>
          <w:t>Independent Authority</w:t>
        </w:r>
      </w:hyperlink>
      <w:r>
        <w:rPr>
          <w:color w:val="000000"/>
          <w:sz w:val="18"/>
          <w:szCs w:val="18"/>
        </w:rPr>
        <w:t>.</w:t>
      </w:r>
      <w:r w:rsidR="00405516">
        <w:rPr>
          <w:color w:val="000000"/>
          <w:sz w:val="18"/>
          <w:szCs w:val="18"/>
        </w:rPr>
        <w:t>’</w:t>
      </w:r>
    </w:p>
  </w:endnote>
  <w:endnote w:id="44">
    <w:p w14:paraId="6EAD38E1" w14:textId="1B6177ED" w:rsidR="005319DD" w:rsidRDefault="005319DD">
      <w:pPr>
        <w:pBdr>
          <w:top w:val="nil"/>
          <w:left w:val="nil"/>
          <w:bottom w:val="nil"/>
          <w:right w:val="nil"/>
          <w:between w:val="nil"/>
        </w:pBdr>
        <w:spacing w:after="0" w:line="240" w:lineRule="auto"/>
        <w:rPr>
          <w:color w:val="FF0000"/>
          <w:sz w:val="18"/>
          <w:szCs w:val="18"/>
        </w:rPr>
      </w:pPr>
      <w:r>
        <w:rPr>
          <w:rStyle w:val="EndnoteReference"/>
        </w:rPr>
        <w:endnoteRef/>
      </w:r>
      <w:r>
        <w:rPr>
          <w:color w:val="000000"/>
          <w:sz w:val="18"/>
          <w:szCs w:val="18"/>
        </w:rPr>
        <w:t xml:space="preserve"> GoldBroker, </w:t>
      </w:r>
      <w:r w:rsidR="00405516">
        <w:rPr>
          <w:color w:val="000000"/>
          <w:sz w:val="18"/>
          <w:szCs w:val="18"/>
        </w:rPr>
        <w:t>‘</w:t>
      </w:r>
      <w:hyperlink r:id="rId22">
        <w:r>
          <w:rPr>
            <w:color w:val="0563C1"/>
            <w:sz w:val="18"/>
            <w:szCs w:val="18"/>
          </w:rPr>
          <w:t>London Bullion Market Association</w:t>
        </w:r>
      </w:hyperlink>
      <w:r>
        <w:rPr>
          <w:color w:val="000000"/>
          <w:sz w:val="18"/>
          <w:szCs w:val="18"/>
        </w:rPr>
        <w:t>.</w:t>
      </w:r>
      <w:r w:rsidR="00176F32">
        <w:rPr>
          <w:color w:val="000000"/>
          <w:sz w:val="18"/>
          <w:szCs w:val="18"/>
        </w:rPr>
        <w:t>’</w:t>
      </w:r>
    </w:p>
  </w:endnote>
  <w:endnote w:id="45">
    <w:p w14:paraId="6EAD38E2" w14:textId="2682596F" w:rsidR="005319DD" w:rsidRDefault="005319DD">
      <w:pPr>
        <w:pBdr>
          <w:top w:val="nil"/>
          <w:left w:val="nil"/>
          <w:bottom w:val="nil"/>
          <w:right w:val="nil"/>
          <w:between w:val="nil"/>
        </w:pBdr>
        <w:spacing w:after="0" w:line="240" w:lineRule="auto"/>
        <w:rPr>
          <w:color w:val="000000"/>
          <w:sz w:val="18"/>
          <w:szCs w:val="18"/>
        </w:rPr>
      </w:pPr>
      <w:r>
        <w:rPr>
          <w:rStyle w:val="EndnoteReference"/>
        </w:rPr>
        <w:endnoteRef/>
      </w:r>
      <w:r>
        <w:rPr>
          <w:color w:val="000000"/>
          <w:sz w:val="18"/>
          <w:szCs w:val="18"/>
        </w:rPr>
        <w:t xml:space="preserve"> </w:t>
      </w:r>
      <w:r>
        <w:rPr>
          <w:sz w:val="18"/>
          <w:szCs w:val="18"/>
        </w:rPr>
        <w:t xml:space="preserve">LBMA, </w:t>
      </w:r>
      <w:hyperlink r:id="rId23">
        <w:r>
          <w:rPr>
            <w:color w:val="0563C1"/>
            <w:sz w:val="18"/>
            <w:szCs w:val="18"/>
          </w:rPr>
          <w:t>‘Responsible Gold Guidance’</w:t>
        </w:r>
      </w:hyperlink>
      <w:r>
        <w:rPr>
          <w:sz w:val="18"/>
          <w:szCs w:val="18"/>
        </w:rPr>
        <w:t xml:space="preserve"> (2021) </w:t>
      </w:r>
      <w:r>
        <w:rPr>
          <w:color w:val="000000"/>
          <w:sz w:val="18"/>
          <w:szCs w:val="18"/>
        </w:rPr>
        <w:t>Version 9</w:t>
      </w:r>
      <w:r>
        <w:rPr>
          <w:sz w:val="18"/>
          <w:szCs w:val="18"/>
        </w:rPr>
        <w:t xml:space="preserve">. </w:t>
      </w:r>
    </w:p>
  </w:endnote>
  <w:endnote w:id="46">
    <w:p w14:paraId="6EAD38E3" w14:textId="77777777" w:rsidR="005319DD" w:rsidRDefault="005319DD">
      <w:pPr>
        <w:pBdr>
          <w:top w:val="nil"/>
          <w:left w:val="nil"/>
          <w:bottom w:val="nil"/>
          <w:right w:val="nil"/>
          <w:between w:val="nil"/>
        </w:pBdr>
        <w:spacing w:after="0" w:line="240" w:lineRule="auto"/>
        <w:rPr>
          <w:color w:val="000000"/>
          <w:sz w:val="18"/>
          <w:szCs w:val="18"/>
        </w:rPr>
      </w:pPr>
      <w:r>
        <w:rPr>
          <w:rStyle w:val="EndnoteReference"/>
        </w:rPr>
        <w:endnoteRef/>
      </w:r>
      <w:r>
        <w:rPr>
          <w:color w:val="000000"/>
          <w:sz w:val="18"/>
          <w:szCs w:val="18"/>
        </w:rPr>
        <w:t xml:space="preserve"> Leigh Day, ‘</w:t>
      </w:r>
      <w:hyperlink r:id="rId24">
        <w:r>
          <w:rPr>
            <w:color w:val="1155CC"/>
            <w:sz w:val="18"/>
            <w:szCs w:val="18"/>
          </w:rPr>
          <w:t>Overview of Claims against the London Bullion Market Association</w:t>
        </w:r>
      </w:hyperlink>
      <w:r>
        <w:rPr>
          <w:sz w:val="18"/>
          <w:szCs w:val="18"/>
        </w:rPr>
        <w:t xml:space="preserve">.’ </w:t>
      </w:r>
      <w:r>
        <w:rPr>
          <w:color w:val="000000"/>
          <w:sz w:val="18"/>
          <w:szCs w:val="18"/>
        </w:rPr>
        <w:t xml:space="preserve"> </w:t>
      </w:r>
    </w:p>
  </w:endnote>
  <w:endnote w:id="47">
    <w:p w14:paraId="6EAD38E4" w14:textId="77777777" w:rsidR="005319DD" w:rsidRDefault="005319DD">
      <w:pPr>
        <w:pBdr>
          <w:top w:val="nil"/>
          <w:left w:val="nil"/>
          <w:bottom w:val="nil"/>
          <w:right w:val="nil"/>
          <w:between w:val="nil"/>
        </w:pBdr>
        <w:spacing w:after="0" w:line="240" w:lineRule="auto"/>
        <w:rPr>
          <w:color w:val="000000"/>
          <w:sz w:val="18"/>
          <w:szCs w:val="18"/>
        </w:rPr>
      </w:pPr>
      <w:r>
        <w:rPr>
          <w:rStyle w:val="EndnoteReference"/>
        </w:rPr>
        <w:endnoteRef/>
      </w:r>
      <w:r>
        <w:rPr>
          <w:color w:val="000000"/>
          <w:sz w:val="18"/>
          <w:szCs w:val="18"/>
        </w:rPr>
        <w:t xml:space="preserve"> RAID,</w:t>
      </w:r>
      <w:r>
        <w:rPr>
          <w:sz w:val="18"/>
          <w:szCs w:val="18"/>
        </w:rPr>
        <w:t xml:space="preserve"> ‘</w:t>
      </w:r>
      <w:hyperlink r:id="rId25">
        <w:r>
          <w:rPr>
            <w:color w:val="1155CC"/>
            <w:sz w:val="18"/>
            <w:szCs w:val="18"/>
          </w:rPr>
          <w:t>Group Letter to the LBMA: Concerns that LBMA’s Responsible Sourcing Programme Fails to Curtail Human Rights abuse,’ (March 9, 2021)</w:t>
        </w:r>
      </w:hyperlink>
      <w:r>
        <w:rPr>
          <w:sz w:val="18"/>
          <w:szCs w:val="18"/>
        </w:rPr>
        <w:t>.</w:t>
      </w:r>
    </w:p>
  </w:endnote>
  <w:endnote w:id="48">
    <w:p w14:paraId="6EAD38E5" w14:textId="2902EA14" w:rsidR="005319DD" w:rsidRDefault="005319DD">
      <w:pPr>
        <w:pBdr>
          <w:top w:val="nil"/>
          <w:left w:val="nil"/>
          <w:bottom w:val="nil"/>
          <w:right w:val="nil"/>
          <w:between w:val="nil"/>
        </w:pBdr>
        <w:spacing w:after="0" w:line="240" w:lineRule="auto"/>
        <w:rPr>
          <w:color w:val="000000"/>
          <w:sz w:val="18"/>
          <w:szCs w:val="18"/>
        </w:rPr>
      </w:pPr>
      <w:r>
        <w:rPr>
          <w:rStyle w:val="EndnoteReference"/>
        </w:rPr>
        <w:endnoteRef/>
      </w:r>
      <w:r>
        <w:rPr>
          <w:color w:val="000000"/>
          <w:sz w:val="18"/>
          <w:szCs w:val="18"/>
        </w:rPr>
        <w:t xml:space="preserve">  </w:t>
      </w:r>
      <w:r>
        <w:rPr>
          <w:sz w:val="18"/>
          <w:szCs w:val="18"/>
        </w:rPr>
        <w:t>RAID</w:t>
      </w:r>
      <w:r>
        <w:rPr>
          <w:color w:val="000000"/>
          <w:sz w:val="18"/>
          <w:szCs w:val="18"/>
        </w:rPr>
        <w:t>,</w:t>
      </w:r>
      <w:r>
        <w:rPr>
          <w:sz w:val="18"/>
          <w:szCs w:val="18"/>
        </w:rPr>
        <w:t xml:space="preserve"> </w:t>
      </w:r>
      <w:hyperlink r:id="rId26">
        <w:r>
          <w:rPr>
            <w:color w:val="0563C1"/>
            <w:sz w:val="18"/>
            <w:szCs w:val="18"/>
          </w:rPr>
          <w:t>‘Barrick’s Tanzania Gold Mine One of the Deadliest in Africa,’</w:t>
        </w:r>
      </w:hyperlink>
      <w:r>
        <w:rPr>
          <w:color w:val="000000"/>
          <w:sz w:val="18"/>
          <w:szCs w:val="18"/>
        </w:rPr>
        <w:t xml:space="preserve"> (</w:t>
      </w:r>
      <w:r>
        <w:rPr>
          <w:sz w:val="18"/>
          <w:szCs w:val="18"/>
        </w:rPr>
        <w:t>1</w:t>
      </w:r>
      <w:r>
        <w:rPr>
          <w:color w:val="000000"/>
          <w:sz w:val="18"/>
          <w:szCs w:val="18"/>
        </w:rPr>
        <w:t xml:space="preserve">1 </w:t>
      </w:r>
      <w:r>
        <w:rPr>
          <w:sz w:val="18"/>
          <w:szCs w:val="18"/>
        </w:rPr>
        <w:t>November 2022</w:t>
      </w:r>
      <w:r>
        <w:rPr>
          <w:color w:val="000000"/>
          <w:sz w:val="18"/>
          <w:szCs w:val="18"/>
        </w:rPr>
        <w:t>)</w:t>
      </w:r>
      <w:r>
        <w:rPr>
          <w:sz w:val="18"/>
          <w:szCs w:val="18"/>
        </w:rPr>
        <w:t xml:space="preserve">. </w:t>
      </w:r>
    </w:p>
  </w:endnote>
  <w:endnote w:id="49">
    <w:p w14:paraId="6EAD38E6" w14:textId="77777777" w:rsidR="005319DD" w:rsidRDefault="005319DD">
      <w:pPr>
        <w:pBdr>
          <w:top w:val="nil"/>
          <w:left w:val="nil"/>
          <w:bottom w:val="nil"/>
          <w:right w:val="nil"/>
          <w:between w:val="nil"/>
        </w:pBdr>
        <w:spacing w:after="0" w:line="240" w:lineRule="auto"/>
        <w:rPr>
          <w:color w:val="000000"/>
          <w:sz w:val="18"/>
          <w:szCs w:val="18"/>
        </w:rPr>
      </w:pPr>
      <w:r>
        <w:rPr>
          <w:rStyle w:val="EndnoteReference"/>
        </w:rPr>
        <w:endnoteRef/>
      </w:r>
      <w:r>
        <w:rPr>
          <w:color w:val="000000"/>
          <w:sz w:val="18"/>
          <w:szCs w:val="18"/>
        </w:rPr>
        <w:t xml:space="preserve"> RAID,</w:t>
      </w:r>
      <w:r>
        <w:rPr>
          <w:sz w:val="18"/>
          <w:szCs w:val="18"/>
        </w:rPr>
        <w:t xml:space="preserve"> </w:t>
      </w:r>
      <w:hyperlink r:id="rId27">
        <w:r>
          <w:rPr>
            <w:color w:val="0563C1"/>
            <w:sz w:val="18"/>
            <w:szCs w:val="18"/>
          </w:rPr>
          <w:t>‘New Killings and Assaults at Barrick Gold’s Tanzania Mine Shatter Company’s Radical Improvement Claims,’</w:t>
        </w:r>
      </w:hyperlink>
      <w:r>
        <w:rPr>
          <w:sz w:val="18"/>
          <w:szCs w:val="18"/>
        </w:rPr>
        <w:t xml:space="preserve"> (14 March 2022). </w:t>
      </w:r>
    </w:p>
  </w:endnote>
  <w:endnote w:id="50">
    <w:p w14:paraId="6EAD38E7" w14:textId="77777777" w:rsidR="005319DD" w:rsidRDefault="005319DD">
      <w:pPr>
        <w:spacing w:after="0" w:line="240" w:lineRule="auto"/>
        <w:rPr>
          <w:sz w:val="18"/>
          <w:szCs w:val="18"/>
        </w:rPr>
      </w:pPr>
      <w:r>
        <w:rPr>
          <w:rStyle w:val="EndnoteReference"/>
        </w:rPr>
        <w:endnoteRef/>
      </w:r>
      <w:r>
        <w:rPr>
          <w:sz w:val="18"/>
          <w:szCs w:val="18"/>
        </w:rPr>
        <w:t xml:space="preserve"> UNHRC Special Procedures, </w:t>
      </w:r>
      <w:hyperlink r:id="rId28">
        <w:r>
          <w:rPr>
            <w:color w:val="0563C1"/>
            <w:sz w:val="18"/>
            <w:szCs w:val="18"/>
          </w:rPr>
          <w:t>‘</w:t>
        </w:r>
      </w:hyperlink>
      <w:hyperlink r:id="rId29">
        <w:r>
          <w:rPr>
            <w:color w:val="0563C1"/>
            <w:sz w:val="18"/>
            <w:szCs w:val="18"/>
            <w:highlight w:val="white"/>
          </w:rPr>
          <w:t>Letter to Barrick Gold,’</w:t>
        </w:r>
      </w:hyperlink>
      <w:r>
        <w:rPr>
          <w:color w:val="000000"/>
          <w:sz w:val="18"/>
          <w:szCs w:val="18"/>
          <w:highlight w:val="white"/>
        </w:rPr>
        <w:t xml:space="preserve"> (22 April 2024)</w:t>
      </w:r>
      <w:r>
        <w:rPr>
          <w:color w:val="000000"/>
          <w:sz w:val="18"/>
          <w:szCs w:val="18"/>
        </w:rPr>
        <w:t xml:space="preserve">. </w:t>
      </w:r>
    </w:p>
  </w:endnote>
  <w:endnote w:id="51">
    <w:p w14:paraId="6EAD38E8" w14:textId="07F4ADBC" w:rsidR="005319DD" w:rsidRDefault="005319DD">
      <w:pPr>
        <w:spacing w:after="0" w:line="240" w:lineRule="auto"/>
        <w:rPr>
          <w:color w:val="1155CC"/>
          <w:sz w:val="18"/>
          <w:szCs w:val="18"/>
        </w:rPr>
      </w:pPr>
      <w:r>
        <w:rPr>
          <w:rStyle w:val="EndnoteReference"/>
        </w:rPr>
        <w:endnoteRef/>
      </w:r>
      <w:r>
        <w:rPr>
          <w:sz w:val="18"/>
          <w:szCs w:val="18"/>
        </w:rPr>
        <w:t xml:space="preserve"> Barrick Gold, </w:t>
      </w:r>
      <w:hyperlink r:id="rId30" w:history="1">
        <w:r w:rsidRPr="00D5018E">
          <w:rPr>
            <w:rStyle w:val="Hyperlink"/>
            <w:sz w:val="18"/>
            <w:szCs w:val="18"/>
            <w:u w:val="none"/>
          </w:rPr>
          <w:t>‘</w:t>
        </w:r>
        <w:r w:rsidR="00EB6E3A" w:rsidRPr="00D5018E">
          <w:rPr>
            <w:rStyle w:val="Hyperlink"/>
            <w:sz w:val="18"/>
            <w:szCs w:val="18"/>
            <w:u w:val="none"/>
          </w:rPr>
          <w:t>Ba</w:t>
        </w:r>
        <w:r w:rsidR="001A7183" w:rsidRPr="00D5018E">
          <w:rPr>
            <w:rStyle w:val="Hyperlink"/>
            <w:sz w:val="18"/>
            <w:szCs w:val="18"/>
            <w:u w:val="none"/>
          </w:rPr>
          <w:t xml:space="preserve">rrick Provides Detailed Response to Unsubstantiated </w:t>
        </w:r>
        <w:r w:rsidR="001C4E19" w:rsidRPr="00D5018E">
          <w:rPr>
            <w:rStyle w:val="Hyperlink"/>
            <w:sz w:val="18"/>
            <w:szCs w:val="18"/>
            <w:u w:val="none"/>
          </w:rPr>
          <w:t>UN Human Right Allegations</w:t>
        </w:r>
        <w:r w:rsidRPr="00D5018E">
          <w:rPr>
            <w:rStyle w:val="Hyperlink"/>
            <w:sz w:val="18"/>
            <w:szCs w:val="18"/>
            <w:u w:val="none"/>
          </w:rPr>
          <w:t>,’</w:t>
        </w:r>
      </w:hyperlink>
      <w:r>
        <w:rPr>
          <w:color w:val="1155CC"/>
          <w:sz w:val="18"/>
          <w:szCs w:val="18"/>
        </w:rPr>
        <w:t xml:space="preserve"> </w:t>
      </w:r>
      <w:r>
        <w:rPr>
          <w:color w:val="000000"/>
          <w:sz w:val="18"/>
          <w:szCs w:val="18"/>
        </w:rPr>
        <w:t xml:space="preserve">(20 June 2024).  </w:t>
      </w:r>
    </w:p>
  </w:endnote>
  <w:endnote w:id="52">
    <w:p w14:paraId="6EAD38E9" w14:textId="77777777" w:rsidR="005319DD" w:rsidRDefault="005319DD">
      <w:pPr>
        <w:pBdr>
          <w:top w:val="nil"/>
          <w:left w:val="nil"/>
          <w:bottom w:val="nil"/>
          <w:right w:val="nil"/>
          <w:between w:val="nil"/>
        </w:pBdr>
        <w:spacing w:after="0" w:line="240" w:lineRule="auto"/>
        <w:rPr>
          <w:color w:val="000000"/>
          <w:sz w:val="18"/>
          <w:szCs w:val="18"/>
        </w:rPr>
      </w:pPr>
      <w:r>
        <w:rPr>
          <w:rStyle w:val="EndnoteReference"/>
        </w:rPr>
        <w:endnoteRef/>
      </w:r>
      <w:r>
        <w:rPr>
          <w:color w:val="000000"/>
          <w:sz w:val="18"/>
          <w:szCs w:val="18"/>
        </w:rPr>
        <w:t xml:space="preserve"> Leigh Day, </w:t>
      </w:r>
      <w:hyperlink r:id="rId31">
        <w:r>
          <w:rPr>
            <w:color w:val="1155CC"/>
            <w:sz w:val="18"/>
            <w:szCs w:val="18"/>
          </w:rPr>
          <w:t>‘Barrick Gold</w:t>
        </w:r>
      </w:hyperlink>
      <w:r>
        <w:rPr>
          <w:color w:val="1155CC"/>
          <w:sz w:val="18"/>
          <w:szCs w:val="18"/>
        </w:rPr>
        <w:t>.’</w:t>
      </w:r>
      <w:r>
        <w:rPr>
          <w:sz w:val="18"/>
          <w:szCs w:val="18"/>
        </w:rPr>
        <w:t xml:space="preserve"> This case was resolved with no admission of liability</w:t>
      </w:r>
      <w:r>
        <w:rPr>
          <w:color w:val="000000"/>
          <w:sz w:val="18"/>
          <w:szCs w:val="18"/>
        </w:rPr>
        <w:t xml:space="preserve">; Al Jazeera, </w:t>
      </w:r>
      <w:hyperlink r:id="rId32">
        <w:r>
          <w:rPr>
            <w:color w:val="0563C1"/>
            <w:sz w:val="18"/>
            <w:szCs w:val="18"/>
          </w:rPr>
          <w:t>‘Tanzanians Sue Canada’s Barrick Gold over Alleged Abuses at Mine,’</w:t>
        </w:r>
      </w:hyperlink>
      <w:r>
        <w:rPr>
          <w:color w:val="000000"/>
          <w:sz w:val="18"/>
          <w:szCs w:val="18"/>
        </w:rPr>
        <w:t xml:space="preserve"> (23 November 2022). The case is ongoing. </w:t>
      </w:r>
    </w:p>
  </w:endnote>
  <w:endnote w:id="53">
    <w:p w14:paraId="6EAD38EA" w14:textId="77777777" w:rsidR="005319DD" w:rsidRDefault="005319DD">
      <w:pPr>
        <w:pBdr>
          <w:top w:val="nil"/>
          <w:left w:val="nil"/>
          <w:bottom w:val="nil"/>
          <w:right w:val="nil"/>
          <w:between w:val="nil"/>
        </w:pBdr>
        <w:spacing w:after="0" w:line="240" w:lineRule="auto"/>
        <w:rPr>
          <w:color w:val="000000"/>
          <w:sz w:val="18"/>
          <w:szCs w:val="18"/>
        </w:rPr>
      </w:pPr>
      <w:r>
        <w:rPr>
          <w:rStyle w:val="EndnoteReference"/>
        </w:rPr>
        <w:endnoteRef/>
      </w:r>
      <w:r>
        <w:rPr>
          <w:color w:val="000000"/>
          <w:sz w:val="18"/>
          <w:szCs w:val="18"/>
        </w:rPr>
        <w:t xml:space="preserve"> Leigh Day, ‘</w:t>
      </w:r>
      <w:hyperlink r:id="rId33">
        <w:r>
          <w:rPr>
            <w:color w:val="1155CC"/>
            <w:sz w:val="18"/>
            <w:szCs w:val="18"/>
          </w:rPr>
          <w:t>Legal Action Served against London Bullion Market Association Following Alleged Human Rights Abuses at Tanzanian Gold Mine</w:t>
        </w:r>
      </w:hyperlink>
      <w:r>
        <w:rPr>
          <w:color w:val="1155CC"/>
          <w:sz w:val="18"/>
          <w:szCs w:val="18"/>
        </w:rPr>
        <w:t>,’</w:t>
      </w:r>
      <w:r>
        <w:rPr>
          <w:sz w:val="18"/>
          <w:szCs w:val="18"/>
        </w:rPr>
        <w:t xml:space="preserve"> (15 August 2023)</w:t>
      </w:r>
      <w:r>
        <w:rPr>
          <w:color w:val="000000"/>
          <w:sz w:val="18"/>
          <w:szCs w:val="18"/>
        </w:rPr>
        <w:t xml:space="preserve">. The LBMA has denied all allegations. </w:t>
      </w:r>
    </w:p>
  </w:endnote>
  <w:endnote w:id="54">
    <w:p w14:paraId="6EAD38EB" w14:textId="77777777" w:rsidR="005319DD" w:rsidRDefault="005319DD">
      <w:pPr>
        <w:pBdr>
          <w:top w:val="nil"/>
          <w:left w:val="nil"/>
          <w:bottom w:val="nil"/>
          <w:right w:val="nil"/>
          <w:between w:val="nil"/>
        </w:pBdr>
        <w:spacing w:after="0" w:line="240" w:lineRule="auto"/>
        <w:rPr>
          <w:color w:val="000000"/>
          <w:sz w:val="18"/>
          <w:szCs w:val="18"/>
        </w:rPr>
      </w:pPr>
      <w:r>
        <w:rPr>
          <w:rStyle w:val="EndnoteReference"/>
        </w:rPr>
        <w:endnoteRef/>
      </w:r>
      <w:r>
        <w:rPr>
          <w:color w:val="000000"/>
          <w:sz w:val="18"/>
          <w:szCs w:val="18"/>
        </w:rPr>
        <w:t xml:space="preserve"> Ibid.</w:t>
      </w:r>
    </w:p>
  </w:endnote>
  <w:endnote w:id="55">
    <w:p w14:paraId="6EAD38EC" w14:textId="77777777" w:rsidR="005319DD" w:rsidRDefault="005319DD">
      <w:pPr>
        <w:spacing w:after="0" w:line="240" w:lineRule="auto"/>
        <w:rPr>
          <w:sz w:val="18"/>
          <w:szCs w:val="18"/>
        </w:rPr>
      </w:pPr>
      <w:r>
        <w:rPr>
          <w:rStyle w:val="EndnoteReference"/>
        </w:rPr>
        <w:endnoteRef/>
      </w:r>
      <w:r>
        <w:rPr>
          <w:sz w:val="18"/>
          <w:szCs w:val="18"/>
        </w:rPr>
        <w:t xml:space="preserve"> UNHRC Special Procedures, </w:t>
      </w:r>
      <w:hyperlink r:id="rId34">
        <w:r>
          <w:rPr>
            <w:color w:val="0563C1"/>
            <w:sz w:val="18"/>
            <w:szCs w:val="18"/>
          </w:rPr>
          <w:t>‘</w:t>
        </w:r>
      </w:hyperlink>
      <w:hyperlink r:id="rId35">
        <w:r>
          <w:rPr>
            <w:color w:val="0563C1"/>
            <w:sz w:val="18"/>
            <w:szCs w:val="18"/>
            <w:highlight w:val="white"/>
          </w:rPr>
          <w:t>Letter to the UK Government,’</w:t>
        </w:r>
      </w:hyperlink>
      <w:r>
        <w:rPr>
          <w:color w:val="1155CC"/>
          <w:sz w:val="18"/>
          <w:szCs w:val="18"/>
          <w:highlight w:val="white"/>
        </w:rPr>
        <w:t xml:space="preserve"> </w:t>
      </w:r>
      <w:r>
        <w:rPr>
          <w:color w:val="000000"/>
          <w:sz w:val="18"/>
          <w:szCs w:val="18"/>
          <w:highlight w:val="white"/>
        </w:rPr>
        <w:t>(22 April 2024)</w:t>
      </w:r>
      <w:r>
        <w:rPr>
          <w:color w:val="000000"/>
          <w:sz w:val="18"/>
          <w:szCs w:val="18"/>
        </w:rPr>
        <w:t xml:space="preserve">. </w:t>
      </w:r>
    </w:p>
  </w:endnote>
  <w:endnote w:id="56">
    <w:p w14:paraId="6EAD38ED" w14:textId="77777777" w:rsidR="005319DD" w:rsidRDefault="005319DD">
      <w:pPr>
        <w:pBdr>
          <w:top w:val="nil"/>
          <w:left w:val="nil"/>
          <w:bottom w:val="nil"/>
          <w:right w:val="nil"/>
          <w:between w:val="nil"/>
        </w:pBdr>
        <w:spacing w:after="0" w:line="240" w:lineRule="auto"/>
        <w:rPr>
          <w:sz w:val="18"/>
          <w:szCs w:val="18"/>
        </w:rPr>
      </w:pPr>
      <w:r>
        <w:rPr>
          <w:rStyle w:val="EndnoteReference"/>
        </w:rPr>
        <w:endnoteRef/>
      </w:r>
      <w:r>
        <w:rPr>
          <w:color w:val="000000"/>
          <w:sz w:val="18"/>
          <w:szCs w:val="18"/>
        </w:rPr>
        <w:t xml:space="preserve">  </w:t>
      </w:r>
      <w:r>
        <w:rPr>
          <w:sz w:val="18"/>
          <w:szCs w:val="18"/>
        </w:rPr>
        <w:t>Lawrence Pines</w:t>
      </w:r>
      <w:r>
        <w:rPr>
          <w:color w:val="000000"/>
          <w:sz w:val="18"/>
          <w:szCs w:val="18"/>
        </w:rPr>
        <w:t xml:space="preserve">, </w:t>
      </w:r>
      <w:hyperlink r:id="rId36">
        <w:r>
          <w:rPr>
            <w:color w:val="0563C1"/>
            <w:sz w:val="18"/>
            <w:szCs w:val="18"/>
          </w:rPr>
          <w:t>‘London Metal Exchange [LME] – How The World’s Largest Base Metal Marketplace Works’</w:t>
        </w:r>
      </w:hyperlink>
      <w:r>
        <w:rPr>
          <w:color w:val="000000"/>
          <w:sz w:val="18"/>
          <w:szCs w:val="18"/>
        </w:rPr>
        <w:t xml:space="preserve"> (</w:t>
      </w:r>
      <w:r>
        <w:rPr>
          <w:sz w:val="18"/>
          <w:szCs w:val="18"/>
        </w:rPr>
        <w:t>17 July 2024</w:t>
      </w:r>
      <w:r>
        <w:rPr>
          <w:color w:val="000000"/>
          <w:sz w:val="18"/>
          <w:szCs w:val="18"/>
        </w:rPr>
        <w:t>).</w:t>
      </w:r>
      <w:r>
        <w:rPr>
          <w:sz w:val="18"/>
          <w:szCs w:val="18"/>
        </w:rPr>
        <w:t xml:space="preserve"> </w:t>
      </w:r>
    </w:p>
  </w:endnote>
  <w:endnote w:id="57">
    <w:p w14:paraId="6EAD38EE" w14:textId="0DB90EC9" w:rsidR="005319DD" w:rsidRDefault="005319DD">
      <w:pPr>
        <w:pBdr>
          <w:top w:val="nil"/>
          <w:left w:val="nil"/>
          <w:bottom w:val="nil"/>
          <w:right w:val="nil"/>
          <w:between w:val="nil"/>
        </w:pBdr>
        <w:spacing w:after="0" w:line="240" w:lineRule="auto"/>
        <w:rPr>
          <w:color w:val="000000"/>
          <w:sz w:val="18"/>
          <w:szCs w:val="18"/>
        </w:rPr>
      </w:pPr>
      <w:r>
        <w:rPr>
          <w:rStyle w:val="EndnoteReference"/>
        </w:rPr>
        <w:endnoteRef/>
      </w:r>
      <w:r>
        <w:rPr>
          <w:color w:val="000000"/>
          <w:sz w:val="18"/>
          <w:szCs w:val="18"/>
        </w:rPr>
        <w:t xml:space="preserve"> LME, ‘</w:t>
      </w:r>
      <w:hyperlink r:id="rId37" w:history="1">
        <w:r w:rsidRPr="00D5018E">
          <w:rPr>
            <w:rStyle w:val="Hyperlink"/>
            <w:sz w:val="18"/>
            <w:szCs w:val="18"/>
            <w:u w:val="none"/>
          </w:rPr>
          <w:t>Setting the Global Standard.’</w:t>
        </w:r>
      </w:hyperlink>
      <w:r>
        <w:rPr>
          <w:color w:val="000000"/>
          <w:sz w:val="18"/>
          <w:szCs w:val="18"/>
        </w:rPr>
        <w:t xml:space="preserve"> </w:t>
      </w:r>
    </w:p>
  </w:endnote>
  <w:endnote w:id="58">
    <w:p w14:paraId="6EAD38EF" w14:textId="77777777" w:rsidR="005319DD" w:rsidRDefault="005319DD">
      <w:pPr>
        <w:pBdr>
          <w:top w:val="nil"/>
          <w:left w:val="nil"/>
          <w:bottom w:val="nil"/>
          <w:right w:val="nil"/>
          <w:between w:val="nil"/>
        </w:pBdr>
        <w:spacing w:after="0" w:line="240" w:lineRule="auto"/>
        <w:rPr>
          <w:color w:val="000000"/>
          <w:sz w:val="18"/>
          <w:szCs w:val="18"/>
        </w:rPr>
      </w:pPr>
      <w:r>
        <w:rPr>
          <w:rStyle w:val="EndnoteReference"/>
        </w:rPr>
        <w:endnoteRef/>
      </w:r>
      <w:r>
        <w:rPr>
          <w:color w:val="000000"/>
          <w:sz w:val="18"/>
          <w:szCs w:val="18"/>
        </w:rPr>
        <w:t xml:space="preserve"> London Mining Network, </w:t>
      </w:r>
      <w:hyperlink r:id="rId38">
        <w:r>
          <w:rPr>
            <w:color w:val="1155CC"/>
            <w:sz w:val="18"/>
            <w:szCs w:val="18"/>
          </w:rPr>
          <w:t>‘We’re Taking London Metal Exchange to Court</w:t>
        </w:r>
      </w:hyperlink>
      <w:r>
        <w:rPr>
          <w:color w:val="1155CC"/>
          <w:sz w:val="18"/>
          <w:szCs w:val="18"/>
        </w:rPr>
        <w:t>,’</w:t>
      </w:r>
      <w:r>
        <w:rPr>
          <w:sz w:val="18"/>
          <w:szCs w:val="18"/>
        </w:rPr>
        <w:t xml:space="preserve"> (12 February 2024).</w:t>
      </w:r>
    </w:p>
  </w:endnote>
  <w:endnote w:id="59">
    <w:p w14:paraId="6EAD38F0" w14:textId="77777777" w:rsidR="005319DD" w:rsidRDefault="005319DD">
      <w:pPr>
        <w:pBdr>
          <w:top w:val="nil"/>
          <w:left w:val="nil"/>
          <w:bottom w:val="nil"/>
          <w:right w:val="nil"/>
          <w:between w:val="nil"/>
        </w:pBdr>
        <w:spacing w:after="0" w:line="240" w:lineRule="auto"/>
        <w:rPr>
          <w:color w:val="000000"/>
          <w:sz w:val="18"/>
          <w:szCs w:val="18"/>
        </w:rPr>
      </w:pPr>
      <w:r>
        <w:rPr>
          <w:rStyle w:val="EndnoteReference"/>
        </w:rPr>
        <w:endnoteRef/>
      </w:r>
      <w:r>
        <w:rPr>
          <w:color w:val="000000"/>
          <w:sz w:val="18"/>
          <w:szCs w:val="18"/>
        </w:rPr>
        <w:t xml:space="preserve"> Action for Ec</w:t>
      </w:r>
      <w:r>
        <w:rPr>
          <w:sz w:val="18"/>
          <w:szCs w:val="18"/>
        </w:rPr>
        <w:t>ology and Emancipation, Pusaka Foundation, Indonesian Traditional Fisherpeople United</w:t>
      </w:r>
      <w:hyperlink r:id="rId39">
        <w:r>
          <w:rPr>
            <w:color w:val="0563C1"/>
            <w:sz w:val="18"/>
            <w:szCs w:val="18"/>
          </w:rPr>
          <w:t>, ‘Mimika’s Coastal Dystopia: Besieged by Freeport Indonesia’s Mine Tailings Slurry’</w:t>
        </w:r>
      </w:hyperlink>
      <w:r>
        <w:rPr>
          <w:color w:val="000000"/>
          <w:sz w:val="18"/>
          <w:szCs w:val="18"/>
        </w:rPr>
        <w:t xml:space="preserve"> (</w:t>
      </w:r>
      <w:r>
        <w:rPr>
          <w:sz w:val="18"/>
          <w:szCs w:val="18"/>
        </w:rPr>
        <w:t>February 2018)</w:t>
      </w:r>
      <w:r>
        <w:rPr>
          <w:color w:val="000000"/>
          <w:sz w:val="18"/>
          <w:szCs w:val="18"/>
        </w:rPr>
        <w:t>.</w:t>
      </w:r>
    </w:p>
  </w:endnote>
  <w:endnote w:id="60">
    <w:p w14:paraId="6EAD38F1" w14:textId="77777777" w:rsidR="005319DD" w:rsidRDefault="005319DD">
      <w:pPr>
        <w:pBdr>
          <w:top w:val="nil"/>
          <w:left w:val="nil"/>
          <w:bottom w:val="nil"/>
          <w:right w:val="nil"/>
          <w:between w:val="nil"/>
        </w:pBdr>
        <w:spacing w:after="0" w:line="240" w:lineRule="auto"/>
        <w:rPr>
          <w:color w:val="000000"/>
          <w:sz w:val="18"/>
          <w:szCs w:val="18"/>
        </w:rPr>
      </w:pPr>
      <w:r>
        <w:rPr>
          <w:rStyle w:val="EndnoteReference"/>
        </w:rPr>
        <w:endnoteRef/>
      </w:r>
      <w:r>
        <w:rPr>
          <w:color w:val="000000"/>
          <w:sz w:val="18"/>
          <w:szCs w:val="18"/>
        </w:rPr>
        <w:t xml:space="preserve"> </w:t>
      </w:r>
      <w:r>
        <w:rPr>
          <w:sz w:val="18"/>
          <w:szCs w:val="18"/>
        </w:rPr>
        <w:t xml:space="preserve">London Mining Network, </w:t>
      </w:r>
      <w:hyperlink r:id="rId40">
        <w:r>
          <w:rPr>
            <w:color w:val="1155CC"/>
            <w:sz w:val="18"/>
            <w:szCs w:val="18"/>
          </w:rPr>
          <w:t>‘We’re Taking London Metal Exchange to Court</w:t>
        </w:r>
      </w:hyperlink>
      <w:r>
        <w:rPr>
          <w:color w:val="1155CC"/>
          <w:sz w:val="18"/>
          <w:szCs w:val="18"/>
        </w:rPr>
        <w:t>,’</w:t>
      </w:r>
      <w:r>
        <w:rPr>
          <w:sz w:val="18"/>
          <w:szCs w:val="18"/>
        </w:rPr>
        <w:t xml:space="preserve"> (12 February 2024).</w:t>
      </w:r>
    </w:p>
  </w:endnote>
  <w:endnote w:id="61">
    <w:p w14:paraId="6EAD38F2" w14:textId="77777777" w:rsidR="005319DD" w:rsidRDefault="005319DD">
      <w:pPr>
        <w:pBdr>
          <w:top w:val="nil"/>
          <w:left w:val="nil"/>
          <w:bottom w:val="nil"/>
          <w:right w:val="nil"/>
          <w:between w:val="nil"/>
        </w:pBdr>
        <w:spacing w:after="0" w:line="240" w:lineRule="auto"/>
        <w:rPr>
          <w:color w:val="000000"/>
          <w:sz w:val="18"/>
          <w:szCs w:val="18"/>
        </w:rPr>
      </w:pPr>
      <w:r>
        <w:rPr>
          <w:rStyle w:val="EndnoteReference"/>
        </w:rPr>
        <w:endnoteRef/>
      </w:r>
      <w:r>
        <w:rPr>
          <w:color w:val="000000"/>
          <w:sz w:val="18"/>
          <w:szCs w:val="18"/>
        </w:rPr>
        <w:t xml:space="preserve"> Ibid. </w:t>
      </w:r>
    </w:p>
  </w:endnote>
  <w:endnote w:id="62">
    <w:p w14:paraId="6EAD38F3" w14:textId="77777777" w:rsidR="005319DD" w:rsidRDefault="005319DD">
      <w:pPr>
        <w:pBdr>
          <w:top w:val="nil"/>
          <w:left w:val="nil"/>
          <w:bottom w:val="nil"/>
          <w:right w:val="nil"/>
          <w:between w:val="nil"/>
        </w:pBdr>
        <w:spacing w:after="0" w:line="240" w:lineRule="auto"/>
        <w:rPr>
          <w:color w:val="000000"/>
          <w:sz w:val="18"/>
          <w:szCs w:val="18"/>
        </w:rPr>
      </w:pPr>
      <w:r>
        <w:rPr>
          <w:rStyle w:val="EndnoteReference"/>
        </w:rPr>
        <w:endnoteRef/>
      </w:r>
      <w:r>
        <w:rPr>
          <w:color w:val="000000"/>
          <w:sz w:val="18"/>
          <w:szCs w:val="18"/>
        </w:rPr>
        <w:t xml:space="preserve"> </w:t>
      </w:r>
      <w:r>
        <w:rPr>
          <w:sz w:val="18"/>
          <w:szCs w:val="18"/>
        </w:rPr>
        <w:t xml:space="preserve">Queen Mary University of London, School of International Arbitration, </w:t>
      </w:r>
      <w:hyperlink r:id="rId41">
        <w:r>
          <w:rPr>
            <w:color w:val="1155CC"/>
            <w:sz w:val="18"/>
            <w:szCs w:val="18"/>
          </w:rPr>
          <w:t>‘2021 International Arbitration Survey’</w:t>
        </w:r>
      </w:hyperlink>
      <w:r>
        <w:rPr>
          <w:color w:val="000000"/>
          <w:sz w:val="18"/>
          <w:szCs w:val="18"/>
        </w:rPr>
        <w:t xml:space="preserve"> 6.</w:t>
      </w:r>
    </w:p>
  </w:endnote>
  <w:endnote w:id="63">
    <w:p w14:paraId="6EAD38F4" w14:textId="77777777" w:rsidR="005319DD" w:rsidRDefault="005319DD">
      <w:pPr>
        <w:pBdr>
          <w:top w:val="nil"/>
          <w:left w:val="nil"/>
          <w:bottom w:val="nil"/>
          <w:right w:val="nil"/>
          <w:between w:val="nil"/>
        </w:pBdr>
        <w:spacing w:after="0" w:line="240" w:lineRule="auto"/>
        <w:rPr>
          <w:color w:val="000000"/>
          <w:sz w:val="18"/>
          <w:szCs w:val="18"/>
        </w:rPr>
      </w:pPr>
      <w:r>
        <w:rPr>
          <w:rStyle w:val="EndnoteReference"/>
        </w:rPr>
        <w:endnoteRef/>
      </w:r>
      <w:r>
        <w:rPr>
          <w:color w:val="000000"/>
          <w:sz w:val="18"/>
          <w:szCs w:val="18"/>
        </w:rPr>
        <w:t xml:space="preserve"> Courts and Tribunals Judiciary,</w:t>
      </w:r>
      <w:r>
        <w:t xml:space="preserve"> </w:t>
      </w:r>
      <w:hyperlink r:id="rId42">
        <w:r>
          <w:rPr>
            <w:color w:val="1155CC"/>
            <w:sz w:val="18"/>
            <w:szCs w:val="18"/>
          </w:rPr>
          <w:t>‘The Commercial Court and Arbitration.’</w:t>
        </w:r>
      </w:hyperlink>
      <w:r>
        <w:rPr>
          <w:color w:val="FF0000"/>
          <w:sz w:val="18"/>
          <w:szCs w:val="18"/>
        </w:rPr>
        <w:t xml:space="preserve"> </w:t>
      </w:r>
    </w:p>
  </w:endnote>
  <w:endnote w:id="64">
    <w:p w14:paraId="6EAD38F5" w14:textId="203A1CB2" w:rsidR="005319DD" w:rsidRDefault="005319DD">
      <w:pPr>
        <w:spacing w:after="0" w:line="240" w:lineRule="auto"/>
        <w:rPr>
          <w:sz w:val="18"/>
          <w:szCs w:val="18"/>
        </w:rPr>
      </w:pPr>
      <w:r>
        <w:rPr>
          <w:rStyle w:val="EndnoteReference"/>
        </w:rPr>
        <w:endnoteRef/>
      </w:r>
      <w:r>
        <w:rPr>
          <w:sz w:val="18"/>
          <w:szCs w:val="18"/>
        </w:rPr>
        <w:t xml:space="preserve"> Maciej Jamka, </w:t>
      </w:r>
      <w:hyperlink r:id="rId43" w:history="1">
        <w:r w:rsidRPr="00D5018E">
          <w:rPr>
            <w:rStyle w:val="Hyperlink"/>
            <w:sz w:val="18"/>
            <w:szCs w:val="18"/>
            <w:u w:val="none"/>
          </w:rPr>
          <w:t>‘Is the Conclusion ‘The Tribunal Did What it Did with What it Had’ Enough? Comments on Nigeria v P&amp;ID’ (</w:t>
        </w:r>
      </w:hyperlink>
      <w:r>
        <w:rPr>
          <w:sz w:val="18"/>
          <w:szCs w:val="18"/>
        </w:rPr>
        <w:t>22 December 2023).</w:t>
      </w:r>
    </w:p>
  </w:endnote>
  <w:endnote w:id="65">
    <w:p w14:paraId="6EAD38F6" w14:textId="77777777" w:rsidR="005319DD" w:rsidRDefault="005319DD">
      <w:pPr>
        <w:pBdr>
          <w:top w:val="nil"/>
          <w:left w:val="nil"/>
          <w:bottom w:val="nil"/>
          <w:right w:val="nil"/>
          <w:between w:val="nil"/>
        </w:pBdr>
        <w:spacing w:after="0" w:line="240" w:lineRule="auto"/>
        <w:rPr>
          <w:color w:val="000000"/>
          <w:sz w:val="18"/>
          <w:szCs w:val="18"/>
        </w:rPr>
      </w:pPr>
      <w:r>
        <w:rPr>
          <w:rStyle w:val="EndnoteReference"/>
        </w:rPr>
        <w:endnoteRef/>
      </w:r>
      <w:r>
        <w:rPr>
          <w:color w:val="000000"/>
          <w:sz w:val="18"/>
          <w:szCs w:val="18"/>
        </w:rPr>
        <w:t xml:space="preserve"> </w:t>
      </w:r>
      <w:r>
        <w:rPr>
          <w:i/>
          <w:color w:val="000000"/>
          <w:sz w:val="18"/>
          <w:szCs w:val="18"/>
        </w:rPr>
        <w:t>T</w:t>
      </w:r>
      <w:r>
        <w:rPr>
          <w:i/>
          <w:sz w:val="18"/>
          <w:szCs w:val="18"/>
        </w:rPr>
        <w:t xml:space="preserve">he Federal Republic of </w:t>
      </w:r>
      <w:r>
        <w:rPr>
          <w:i/>
          <w:color w:val="000000"/>
          <w:sz w:val="18"/>
          <w:szCs w:val="18"/>
        </w:rPr>
        <w:t xml:space="preserve">Nigeria v Process </w:t>
      </w:r>
      <w:r>
        <w:rPr>
          <w:i/>
          <w:sz w:val="18"/>
          <w:szCs w:val="18"/>
        </w:rPr>
        <w:t xml:space="preserve">and </w:t>
      </w:r>
      <w:r>
        <w:rPr>
          <w:i/>
          <w:color w:val="000000"/>
          <w:sz w:val="18"/>
          <w:szCs w:val="18"/>
        </w:rPr>
        <w:t>Industrial Developments Limited (Ni</w:t>
      </w:r>
      <w:r>
        <w:rPr>
          <w:i/>
          <w:sz w:val="18"/>
          <w:szCs w:val="18"/>
        </w:rPr>
        <w:t>geria v P&amp;ID)</w:t>
      </w:r>
      <w:r>
        <w:rPr>
          <w:sz w:val="18"/>
          <w:szCs w:val="18"/>
        </w:rPr>
        <w:t xml:space="preserve"> [2023] EWHC 2638 (Comm) [2023], [</w:t>
      </w:r>
      <w:r>
        <w:rPr>
          <w:color w:val="000000"/>
          <w:sz w:val="18"/>
          <w:szCs w:val="18"/>
        </w:rPr>
        <w:t>574</w:t>
      </w:r>
      <w:r>
        <w:rPr>
          <w:sz w:val="18"/>
          <w:szCs w:val="18"/>
        </w:rPr>
        <w:t>].</w:t>
      </w:r>
    </w:p>
  </w:endnote>
  <w:endnote w:id="66">
    <w:p w14:paraId="6EAD38F7" w14:textId="77777777" w:rsidR="005319DD" w:rsidRDefault="005319DD">
      <w:pPr>
        <w:spacing w:after="0" w:line="240" w:lineRule="auto"/>
        <w:rPr>
          <w:sz w:val="18"/>
          <w:szCs w:val="18"/>
        </w:rPr>
      </w:pPr>
      <w:r>
        <w:rPr>
          <w:rStyle w:val="EndnoteReference"/>
        </w:rPr>
        <w:endnoteRef/>
      </w:r>
      <w:r>
        <w:rPr>
          <w:sz w:val="18"/>
          <w:szCs w:val="18"/>
        </w:rPr>
        <w:t xml:space="preserve"> Ibid [582].</w:t>
      </w:r>
    </w:p>
  </w:endnote>
  <w:endnote w:id="67">
    <w:p w14:paraId="6EAD38F8" w14:textId="77777777" w:rsidR="005319DD" w:rsidRDefault="005319DD">
      <w:pPr>
        <w:spacing w:after="0" w:line="240" w:lineRule="auto"/>
        <w:rPr>
          <w:sz w:val="18"/>
          <w:szCs w:val="18"/>
        </w:rPr>
      </w:pPr>
      <w:r>
        <w:rPr>
          <w:rStyle w:val="EndnoteReference"/>
        </w:rPr>
        <w:endnoteRef/>
      </w:r>
      <w:r>
        <w:rPr>
          <w:sz w:val="18"/>
          <w:szCs w:val="18"/>
        </w:rPr>
        <w:t xml:space="preserve"> Ibid</w:t>
      </w:r>
      <w:r>
        <w:rPr>
          <w:i/>
          <w:sz w:val="18"/>
          <w:szCs w:val="18"/>
        </w:rPr>
        <w:t xml:space="preserve"> </w:t>
      </w:r>
      <w:r>
        <w:rPr>
          <w:sz w:val="18"/>
          <w:szCs w:val="18"/>
        </w:rPr>
        <w:t>[n 64], [585]-[587].</w:t>
      </w:r>
    </w:p>
  </w:endnote>
  <w:endnote w:id="68">
    <w:p w14:paraId="6EAD38F9" w14:textId="77777777" w:rsidR="005319DD" w:rsidRDefault="005319DD">
      <w:pPr>
        <w:spacing w:after="0" w:line="240" w:lineRule="auto"/>
        <w:rPr>
          <w:sz w:val="18"/>
          <w:szCs w:val="18"/>
        </w:rPr>
      </w:pPr>
      <w:r>
        <w:rPr>
          <w:rStyle w:val="EndnoteReference"/>
        </w:rPr>
        <w:endnoteRef/>
      </w:r>
      <w:r>
        <w:rPr>
          <w:sz w:val="18"/>
          <w:szCs w:val="18"/>
        </w:rPr>
        <w:t xml:space="preserve"> Ibid [588]-[589].</w:t>
      </w:r>
    </w:p>
  </w:endnote>
  <w:endnote w:id="69">
    <w:p w14:paraId="6EAD38FA" w14:textId="12B10CFC" w:rsidR="005319DD" w:rsidRDefault="005319DD">
      <w:pPr>
        <w:pBdr>
          <w:top w:val="nil"/>
          <w:left w:val="nil"/>
          <w:bottom w:val="nil"/>
          <w:right w:val="nil"/>
          <w:between w:val="nil"/>
        </w:pBdr>
        <w:spacing w:after="0" w:line="240" w:lineRule="auto"/>
        <w:rPr>
          <w:color w:val="000000"/>
          <w:sz w:val="18"/>
          <w:szCs w:val="18"/>
        </w:rPr>
      </w:pPr>
      <w:r>
        <w:rPr>
          <w:rStyle w:val="EndnoteReference"/>
        </w:rPr>
        <w:endnoteRef/>
      </w:r>
      <w:r>
        <w:rPr>
          <w:color w:val="000000"/>
          <w:sz w:val="18"/>
          <w:szCs w:val="18"/>
        </w:rPr>
        <w:t xml:space="preserve"> </w:t>
      </w:r>
      <w:r>
        <w:rPr>
          <w:sz w:val="18"/>
          <w:szCs w:val="18"/>
        </w:rPr>
        <w:t>Dataphyte,</w:t>
      </w:r>
      <w:r>
        <w:t xml:space="preserve"> </w:t>
      </w:r>
      <w:hyperlink r:id="rId44">
        <w:r>
          <w:rPr>
            <w:color w:val="1155CC"/>
            <w:sz w:val="18"/>
            <w:szCs w:val="18"/>
          </w:rPr>
          <w:t>‘2023 Budget: 10 Ministries Share 29.6 Percent of the Total Expenditure</w:t>
        </w:r>
        <w:r w:rsidR="00C01B83">
          <w:rPr>
            <w:color w:val="1155CC"/>
            <w:sz w:val="18"/>
            <w:szCs w:val="18"/>
          </w:rPr>
          <w:t>,</w:t>
        </w:r>
        <w:r>
          <w:rPr>
            <w:color w:val="1155CC"/>
            <w:sz w:val="18"/>
            <w:szCs w:val="18"/>
          </w:rPr>
          <w:t>’</w:t>
        </w:r>
      </w:hyperlink>
      <w:r w:rsidR="00C01B83">
        <w:rPr>
          <w:color w:val="1155CC"/>
          <w:sz w:val="18"/>
          <w:szCs w:val="18"/>
        </w:rPr>
        <w:t xml:space="preserve"> </w:t>
      </w:r>
      <w:r w:rsidR="00C01B83" w:rsidRPr="00C01B83">
        <w:rPr>
          <w:sz w:val="18"/>
          <w:szCs w:val="18"/>
        </w:rPr>
        <w:t>(20 January 2023).</w:t>
      </w:r>
    </w:p>
  </w:endnote>
  <w:endnote w:id="70">
    <w:p w14:paraId="6EAD38FB" w14:textId="77777777" w:rsidR="005319DD" w:rsidRDefault="005319DD">
      <w:pPr>
        <w:spacing w:after="0" w:line="240" w:lineRule="auto"/>
        <w:rPr>
          <w:sz w:val="18"/>
          <w:szCs w:val="18"/>
        </w:rPr>
      </w:pPr>
      <w:r>
        <w:rPr>
          <w:rStyle w:val="EndnoteReference"/>
        </w:rPr>
        <w:endnoteRef/>
      </w:r>
      <w:r>
        <w:rPr>
          <w:sz w:val="18"/>
          <w:szCs w:val="18"/>
        </w:rPr>
        <w:t xml:space="preserve"> International Institute for Sustainable Development</w:t>
      </w:r>
      <w:r>
        <w:t xml:space="preserve">, </w:t>
      </w:r>
      <w:hyperlink r:id="rId45">
        <w:r>
          <w:rPr>
            <w:color w:val="1155CC"/>
            <w:sz w:val="18"/>
            <w:szCs w:val="18"/>
          </w:rPr>
          <w:t>‘Bear Creek v. Peru.’</w:t>
        </w:r>
      </w:hyperlink>
      <w:r>
        <w:rPr>
          <w:sz w:val="18"/>
          <w:szCs w:val="18"/>
        </w:rPr>
        <w:t xml:space="preserve"> </w:t>
      </w:r>
    </w:p>
  </w:endnote>
  <w:endnote w:id="71">
    <w:p w14:paraId="6EAD38FC" w14:textId="77777777" w:rsidR="005319DD" w:rsidRDefault="005319DD">
      <w:pPr>
        <w:spacing w:after="0" w:line="240" w:lineRule="auto"/>
        <w:rPr>
          <w:sz w:val="18"/>
          <w:szCs w:val="18"/>
        </w:rPr>
      </w:pPr>
      <w:r>
        <w:rPr>
          <w:rStyle w:val="EndnoteReference"/>
        </w:rPr>
        <w:endnoteRef/>
      </w:r>
      <w:r>
        <w:rPr>
          <w:sz w:val="18"/>
          <w:szCs w:val="18"/>
        </w:rPr>
        <w:t xml:space="preserve"> </w:t>
      </w:r>
      <w:r>
        <w:rPr>
          <w:i/>
          <w:sz w:val="18"/>
          <w:szCs w:val="18"/>
        </w:rPr>
        <w:t>Bear Creek Mining Corporation v Republic of Peru</w:t>
      </w:r>
      <w:r>
        <w:rPr>
          <w:sz w:val="18"/>
          <w:szCs w:val="18"/>
        </w:rPr>
        <w:t>, ICSID Case No ARB/14/21, Award (30 November 2017) [19].</w:t>
      </w:r>
    </w:p>
  </w:endnote>
  <w:endnote w:id="72">
    <w:p w14:paraId="6EAD38FD" w14:textId="77777777" w:rsidR="005319DD" w:rsidRDefault="005319DD">
      <w:pPr>
        <w:spacing w:after="0" w:line="240" w:lineRule="auto"/>
        <w:rPr>
          <w:sz w:val="18"/>
          <w:szCs w:val="18"/>
        </w:rPr>
      </w:pPr>
      <w:r>
        <w:rPr>
          <w:rStyle w:val="EndnoteReference"/>
        </w:rPr>
        <w:endnoteRef/>
      </w:r>
      <w:r>
        <w:rPr>
          <w:sz w:val="18"/>
          <w:szCs w:val="18"/>
        </w:rPr>
        <w:t xml:space="preserve"> </w:t>
      </w:r>
      <w:r>
        <w:rPr>
          <w:i/>
          <w:sz w:val="18"/>
          <w:szCs w:val="18"/>
        </w:rPr>
        <w:t>Bear Creek Mining Corporation v Republic of Peru</w:t>
      </w:r>
      <w:r>
        <w:rPr>
          <w:sz w:val="18"/>
          <w:szCs w:val="18"/>
        </w:rPr>
        <w:t>, ICSID Case No ARB/14/21 Partial Dissenting Opinion of Professor Philippe Sands, Award (30 November 2017) [10]; See also ‘Bear Creek v. Peru’ [n 69].</w:t>
      </w:r>
    </w:p>
  </w:endnote>
  <w:endnote w:id="73">
    <w:p w14:paraId="6EAD38FE" w14:textId="6A92865C" w:rsidR="005319DD" w:rsidRDefault="005319DD">
      <w:pPr>
        <w:spacing w:after="0" w:line="240" w:lineRule="auto"/>
        <w:rPr>
          <w:sz w:val="18"/>
          <w:szCs w:val="18"/>
        </w:rPr>
      </w:pPr>
      <w:r>
        <w:rPr>
          <w:rStyle w:val="EndnoteReference"/>
        </w:rPr>
        <w:endnoteRef/>
      </w:r>
      <w:r>
        <w:rPr>
          <w:sz w:val="18"/>
          <w:szCs w:val="18"/>
        </w:rPr>
        <w:t xml:space="preserve"> International Institute for Sustainable Development</w:t>
      </w:r>
      <w:r>
        <w:t xml:space="preserve">, </w:t>
      </w:r>
      <w:hyperlink r:id="rId46">
        <w:r>
          <w:rPr>
            <w:color w:val="1155CC"/>
            <w:sz w:val="18"/>
            <w:szCs w:val="18"/>
          </w:rPr>
          <w:t>‘ICSID Tribunal Upholds Panama’s Plea of Illegality in the Making of an Investment in a Tourism Project Located in an Indigenous Area.’</w:t>
        </w:r>
      </w:hyperlink>
      <w:r>
        <w:rPr>
          <w:sz w:val="18"/>
          <w:szCs w:val="18"/>
        </w:rPr>
        <w:t xml:space="preserve"> </w:t>
      </w:r>
      <w:r w:rsidR="003E3277">
        <w:rPr>
          <w:sz w:val="18"/>
          <w:szCs w:val="18"/>
        </w:rPr>
        <w:t>(27 June 2019)</w:t>
      </w:r>
    </w:p>
  </w:endnote>
  <w:endnote w:id="74">
    <w:p w14:paraId="6EAD38FF" w14:textId="5F88C8AB" w:rsidR="005319DD" w:rsidRDefault="005319DD">
      <w:pPr>
        <w:spacing w:after="0" w:line="240" w:lineRule="auto"/>
        <w:rPr>
          <w:sz w:val="18"/>
          <w:szCs w:val="18"/>
        </w:rPr>
      </w:pPr>
      <w:r>
        <w:rPr>
          <w:rStyle w:val="EndnoteReference"/>
        </w:rPr>
        <w:endnoteRef/>
      </w:r>
      <w:r>
        <w:rPr>
          <w:sz w:val="18"/>
          <w:szCs w:val="18"/>
        </w:rPr>
        <w:t xml:space="preserve"> International Institute for Sustainable Development</w:t>
      </w:r>
      <w:r>
        <w:t xml:space="preserve">, </w:t>
      </w:r>
      <w:hyperlink r:id="rId47">
        <w:r>
          <w:rPr>
            <w:color w:val="1155CC"/>
            <w:sz w:val="18"/>
            <w:szCs w:val="18"/>
          </w:rPr>
          <w:t>‘Tribunal Finds Expropriation of Investment by Bolivia Due to Non-Payment of Compensation but Awards only Sunk Costs to British Investor</w:t>
        </w:r>
      </w:hyperlink>
      <w:r>
        <w:rPr>
          <w:color w:val="1155CC"/>
          <w:sz w:val="18"/>
          <w:szCs w:val="18"/>
        </w:rPr>
        <w:t xml:space="preserve">.’ </w:t>
      </w:r>
      <w:r w:rsidR="00723B45" w:rsidRPr="00723B45">
        <w:rPr>
          <w:sz w:val="18"/>
          <w:szCs w:val="18"/>
        </w:rPr>
        <w:t>(23 April 2019)</w:t>
      </w:r>
    </w:p>
  </w:endnote>
  <w:endnote w:id="75">
    <w:p w14:paraId="6EAD3900" w14:textId="77777777" w:rsidR="005319DD" w:rsidRDefault="005319DD">
      <w:pPr>
        <w:pBdr>
          <w:top w:val="nil"/>
          <w:left w:val="nil"/>
          <w:bottom w:val="nil"/>
          <w:right w:val="nil"/>
          <w:between w:val="nil"/>
        </w:pBdr>
        <w:spacing w:after="0" w:line="240" w:lineRule="auto"/>
        <w:rPr>
          <w:sz w:val="18"/>
          <w:szCs w:val="18"/>
        </w:rPr>
      </w:pPr>
      <w:r>
        <w:rPr>
          <w:rStyle w:val="EndnoteReference"/>
        </w:rPr>
        <w:endnoteRef/>
      </w:r>
      <w:r>
        <w:rPr>
          <w:sz w:val="18"/>
          <w:szCs w:val="18"/>
        </w:rPr>
        <w:t xml:space="preserve"> </w:t>
      </w:r>
      <w:r>
        <w:rPr>
          <w:i/>
          <w:sz w:val="18"/>
          <w:szCs w:val="18"/>
        </w:rPr>
        <w:t>South American Silver Limited v. Bolivia</w:t>
      </w:r>
      <w:r>
        <w:rPr>
          <w:sz w:val="18"/>
          <w:szCs w:val="18"/>
        </w:rPr>
        <w:t>, para. 656-657.</w:t>
      </w:r>
    </w:p>
  </w:endnote>
  <w:endnote w:id="76">
    <w:p w14:paraId="6EAD3901" w14:textId="74D06163" w:rsidR="005319DD" w:rsidRDefault="005319DD">
      <w:pPr>
        <w:spacing w:after="0" w:line="240" w:lineRule="auto"/>
        <w:rPr>
          <w:sz w:val="18"/>
          <w:szCs w:val="18"/>
        </w:rPr>
      </w:pPr>
      <w:r>
        <w:rPr>
          <w:rStyle w:val="EndnoteReference"/>
        </w:rPr>
        <w:endnoteRef/>
      </w:r>
      <w:r>
        <w:rPr>
          <w:sz w:val="18"/>
          <w:szCs w:val="18"/>
        </w:rPr>
        <w:t xml:space="preserve"> Public Citizen,</w:t>
      </w:r>
      <w:r>
        <w:t xml:space="preserve"> </w:t>
      </w:r>
      <w:hyperlink r:id="rId48">
        <w:r>
          <w:rPr>
            <w:color w:val="1155CC"/>
            <w:sz w:val="18"/>
            <w:szCs w:val="18"/>
          </w:rPr>
          <w:t>‘300+ Professors of Law, Economics Urge Biden to Eliminate ISDS in US Trade Agreements.’</w:t>
        </w:r>
      </w:hyperlink>
      <w:r>
        <w:rPr>
          <w:sz w:val="18"/>
          <w:szCs w:val="18"/>
        </w:rPr>
        <w:t xml:space="preserve"> </w:t>
      </w:r>
      <w:r w:rsidR="00723B45">
        <w:rPr>
          <w:sz w:val="18"/>
          <w:szCs w:val="18"/>
        </w:rPr>
        <w:t>(15 April 2024)</w:t>
      </w:r>
    </w:p>
  </w:endnote>
  <w:endnote w:id="77">
    <w:p w14:paraId="6EAD3902" w14:textId="77777777" w:rsidR="005319DD" w:rsidRDefault="005319DD">
      <w:pPr>
        <w:spacing w:after="0" w:line="240" w:lineRule="auto"/>
        <w:rPr>
          <w:sz w:val="18"/>
          <w:szCs w:val="18"/>
        </w:rPr>
      </w:pPr>
      <w:r>
        <w:rPr>
          <w:rStyle w:val="EndnoteReference"/>
        </w:rPr>
        <w:endnoteRef/>
      </w:r>
      <w:r>
        <w:rPr>
          <w:sz w:val="18"/>
          <w:szCs w:val="18"/>
        </w:rPr>
        <w:t xml:space="preserve"> Chao Wang, Jing Ning, and Xiaohan Zhang, ‘International Investment and Indigenous Peoples’ Environment: A Survey of ISDS Cases from 2000 to 2020’ (2021) 18 Int J Environ Res Public Health 15, 10-11.</w:t>
      </w:r>
    </w:p>
  </w:endnote>
  <w:endnote w:id="78">
    <w:p w14:paraId="6EAD3903" w14:textId="77777777" w:rsidR="005319DD" w:rsidRDefault="005319DD">
      <w:pPr>
        <w:spacing w:after="0" w:line="240" w:lineRule="auto"/>
        <w:rPr>
          <w:sz w:val="18"/>
          <w:szCs w:val="18"/>
        </w:rPr>
      </w:pPr>
      <w:r>
        <w:rPr>
          <w:rStyle w:val="EndnoteReference"/>
        </w:rPr>
        <w:endnoteRef/>
      </w:r>
      <w:r>
        <w:rPr>
          <w:sz w:val="18"/>
          <w:szCs w:val="18"/>
        </w:rPr>
        <w:t xml:space="preserve"> The Hague and Center for International Legal Cooperation,</w:t>
      </w:r>
      <w:r>
        <w:t xml:space="preserve"> </w:t>
      </w:r>
      <w:hyperlink r:id="rId49">
        <w:r>
          <w:rPr>
            <w:color w:val="1155CC"/>
            <w:sz w:val="18"/>
            <w:szCs w:val="18"/>
          </w:rPr>
          <w:t>‘The Hague Rules on Business and Human Rights Arbitration,’</w:t>
        </w:r>
      </w:hyperlink>
      <w:r>
        <w:rPr>
          <w:sz w:val="18"/>
          <w:szCs w:val="18"/>
        </w:rPr>
        <w:t xml:space="preserve"> (December 2019).</w:t>
      </w:r>
    </w:p>
  </w:endnote>
  <w:endnote w:id="79">
    <w:p w14:paraId="6EAD3904" w14:textId="77777777" w:rsidR="005319DD" w:rsidRDefault="005319DD">
      <w:pPr>
        <w:spacing w:after="0" w:line="240" w:lineRule="auto"/>
        <w:rPr>
          <w:sz w:val="18"/>
          <w:szCs w:val="18"/>
        </w:rPr>
      </w:pPr>
      <w:r>
        <w:rPr>
          <w:rStyle w:val="EndnoteReference"/>
        </w:rPr>
        <w:endnoteRef/>
      </w:r>
      <w:r>
        <w:rPr>
          <w:sz w:val="18"/>
          <w:szCs w:val="18"/>
        </w:rPr>
        <w:t xml:space="preserve"> Georgetown Law Library,</w:t>
      </w:r>
      <w:r>
        <w:t xml:space="preserve"> </w:t>
      </w:r>
      <w:hyperlink r:id="rId50">
        <w:r>
          <w:rPr>
            <w:color w:val="1155CC"/>
            <w:sz w:val="18"/>
            <w:szCs w:val="18"/>
          </w:rPr>
          <w:t>‘International Investment Law Research Guide.’</w:t>
        </w:r>
      </w:hyperlink>
    </w:p>
  </w:endnote>
  <w:endnote w:id="80">
    <w:p w14:paraId="6EAD3905" w14:textId="77777777" w:rsidR="005319DD" w:rsidRDefault="005319DD">
      <w:pPr>
        <w:spacing w:after="0" w:line="240" w:lineRule="auto"/>
        <w:rPr>
          <w:sz w:val="18"/>
          <w:szCs w:val="18"/>
        </w:rPr>
      </w:pPr>
      <w:r>
        <w:rPr>
          <w:rStyle w:val="EndnoteReference"/>
        </w:rPr>
        <w:endnoteRef/>
      </w:r>
      <w:r>
        <w:rPr>
          <w:sz w:val="18"/>
          <w:szCs w:val="18"/>
        </w:rPr>
        <w:t xml:space="preserve"> Columbia Center on Sustainable Investment</w:t>
      </w:r>
      <w:r>
        <w:t xml:space="preserve">, </w:t>
      </w:r>
      <w:hyperlink r:id="rId51">
        <w:r>
          <w:rPr>
            <w:color w:val="1155CC"/>
            <w:sz w:val="18"/>
            <w:szCs w:val="18"/>
          </w:rPr>
          <w:t>‘CCSI and UNCITRAL’s Working Group III on Investor-State Dispute Settlement Reform’</w:t>
        </w:r>
      </w:hyperlink>
      <w:r>
        <w:rPr>
          <w:sz w:val="18"/>
          <w:szCs w:val="18"/>
        </w:rPr>
        <w:t>; See also UNGA UNCITRAL, ‘Report of Working Group III (Investor-State Dispute Settlement Reform) on the work of its thirty-fourth session (Vienna, 27 November-1 December 2017)’ (26 February 2018) A/CN.9/930/Add.1/Rev.1, 3-6.</w:t>
      </w:r>
    </w:p>
  </w:endnote>
  <w:endnote w:id="81">
    <w:p w14:paraId="6EAD3906" w14:textId="77777777" w:rsidR="005319DD" w:rsidRDefault="005319DD">
      <w:pPr>
        <w:spacing w:after="0" w:line="240" w:lineRule="auto"/>
        <w:rPr>
          <w:sz w:val="18"/>
          <w:szCs w:val="18"/>
        </w:rPr>
      </w:pPr>
      <w:r>
        <w:rPr>
          <w:rStyle w:val="EndnoteReference"/>
        </w:rPr>
        <w:endnoteRef/>
      </w:r>
      <w:r>
        <w:rPr>
          <w:sz w:val="18"/>
          <w:szCs w:val="18"/>
        </w:rPr>
        <w:t xml:space="preserve"> WGIII is also discussing an Investment Mediation and Dispute Prevention Policy, a reform of Procedural Rules, the drafting of Codes of Conduct, and the establishment of a Multilateral Instrument to Implement Reforms, see UNCITRAL, </w:t>
      </w:r>
      <w:hyperlink r:id="rId52">
        <w:r>
          <w:rPr>
            <w:color w:val="1155CC"/>
            <w:sz w:val="18"/>
            <w:szCs w:val="18"/>
          </w:rPr>
          <w:t>‘Appellate Mechanism.’</w:t>
        </w:r>
      </w:hyperlink>
    </w:p>
  </w:endnote>
  <w:endnote w:id="82">
    <w:p w14:paraId="6EAD3907" w14:textId="77777777" w:rsidR="005319DD" w:rsidRDefault="005319DD">
      <w:pPr>
        <w:spacing w:after="0" w:line="240" w:lineRule="auto"/>
        <w:rPr>
          <w:sz w:val="18"/>
          <w:szCs w:val="18"/>
        </w:rPr>
      </w:pPr>
      <w:r>
        <w:rPr>
          <w:rStyle w:val="EndnoteReference"/>
        </w:rPr>
        <w:endnoteRef/>
      </w:r>
      <w:r>
        <w:rPr>
          <w:sz w:val="18"/>
          <w:szCs w:val="18"/>
        </w:rPr>
        <w:t xml:space="preserve"> UNCITRAL, ‘</w:t>
      </w:r>
      <w:hyperlink r:id="rId53">
        <w:r>
          <w:rPr>
            <w:color w:val="1155CC"/>
            <w:sz w:val="18"/>
            <w:szCs w:val="18"/>
          </w:rPr>
          <w:t>Statute of the Advisory Centre on International Investment Dispute Resolution</w:t>
        </w:r>
      </w:hyperlink>
      <w:r>
        <w:rPr>
          <w:sz w:val="18"/>
          <w:szCs w:val="18"/>
        </w:rPr>
        <w:t>‘ (2024) Art. 6(1)(a), (b), (d).</w:t>
      </w:r>
    </w:p>
  </w:endnote>
  <w:endnote w:id="83">
    <w:p w14:paraId="6EAD3908" w14:textId="77777777" w:rsidR="005319DD" w:rsidRDefault="005319DD">
      <w:pPr>
        <w:spacing w:after="0" w:line="240" w:lineRule="auto"/>
        <w:rPr>
          <w:sz w:val="18"/>
          <w:szCs w:val="18"/>
        </w:rPr>
      </w:pPr>
      <w:r>
        <w:rPr>
          <w:rStyle w:val="EndnoteReference"/>
        </w:rPr>
        <w:endnoteRef/>
      </w:r>
      <w:r>
        <w:rPr>
          <w:sz w:val="18"/>
          <w:szCs w:val="18"/>
        </w:rPr>
        <w:t xml:space="preserve"> Ibid.</w:t>
      </w:r>
    </w:p>
  </w:endnote>
  <w:endnote w:id="84">
    <w:p w14:paraId="6EAD3909" w14:textId="77777777" w:rsidR="005319DD" w:rsidRDefault="005319DD">
      <w:pPr>
        <w:spacing w:after="0" w:line="240" w:lineRule="auto"/>
        <w:rPr>
          <w:sz w:val="18"/>
          <w:szCs w:val="18"/>
        </w:rPr>
      </w:pPr>
      <w:r>
        <w:rPr>
          <w:rStyle w:val="EndnoteReference"/>
        </w:rPr>
        <w:endnoteRef/>
      </w:r>
      <w:r>
        <w:rPr>
          <w:sz w:val="18"/>
          <w:szCs w:val="18"/>
        </w:rPr>
        <w:t xml:space="preserve"> ibid, Art. 7(1)(a), (b), and (c); See also Anna Chiara Amato, </w:t>
      </w:r>
      <w:hyperlink r:id="rId54">
        <w:r>
          <w:rPr>
            <w:color w:val="0563C1"/>
            <w:sz w:val="18"/>
            <w:szCs w:val="18"/>
          </w:rPr>
          <w:t>‘The Advisory Centre on International Investment Dispute Resolution, ICSID and PCA: Advisable Co-Existence or Risky Fragmentation?’</w:t>
        </w:r>
      </w:hyperlink>
      <w:r>
        <w:rPr>
          <w:sz w:val="18"/>
          <w:szCs w:val="18"/>
        </w:rPr>
        <w:t xml:space="preserve"> (8 July 2024).</w:t>
      </w:r>
    </w:p>
  </w:endnote>
  <w:endnote w:id="85">
    <w:p w14:paraId="6EAD390A" w14:textId="77777777" w:rsidR="005319DD" w:rsidRDefault="005319DD">
      <w:pPr>
        <w:spacing w:after="0" w:line="240" w:lineRule="auto"/>
        <w:rPr>
          <w:sz w:val="18"/>
          <w:szCs w:val="18"/>
        </w:rPr>
      </w:pPr>
      <w:r>
        <w:rPr>
          <w:rStyle w:val="EndnoteReference"/>
        </w:rPr>
        <w:endnoteRef/>
      </w:r>
      <w:r>
        <w:rPr>
          <w:sz w:val="18"/>
          <w:szCs w:val="18"/>
        </w:rPr>
        <w:t xml:space="preserve"> UNCITRAL, </w:t>
      </w:r>
      <w:hyperlink r:id="rId55">
        <w:r>
          <w:rPr>
            <w:color w:val="0563C1"/>
            <w:sz w:val="18"/>
            <w:szCs w:val="18"/>
          </w:rPr>
          <w:t>‘Multilateral Permanent Investment Court’</w:t>
        </w:r>
      </w:hyperlink>
      <w:r>
        <w:rPr>
          <w:sz w:val="18"/>
          <w:szCs w:val="18"/>
        </w:rPr>
        <w:t>; see J Feldman, D Allman, and A d Rochefort-Reynolds, ‘Would Energy Investor-State Disputes Benefit from a Multilateral Investment Court?’ (2023) International Arbitration Report, Issue 20, 32.</w:t>
      </w:r>
    </w:p>
  </w:endnote>
  <w:endnote w:id="86">
    <w:p w14:paraId="6EAD390B" w14:textId="77777777" w:rsidR="005319DD" w:rsidRDefault="005319DD">
      <w:pPr>
        <w:spacing w:after="0" w:line="240" w:lineRule="auto"/>
        <w:rPr>
          <w:sz w:val="18"/>
          <w:szCs w:val="18"/>
        </w:rPr>
      </w:pPr>
      <w:r>
        <w:rPr>
          <w:rStyle w:val="EndnoteReference"/>
        </w:rPr>
        <w:endnoteRef/>
      </w:r>
      <w:r>
        <w:rPr>
          <w:sz w:val="18"/>
          <w:szCs w:val="18"/>
        </w:rPr>
        <w:t xml:space="preserve"> UNCITRAL, ‘Possible Reform of Investor-State Dispute Settlement (ISDS): Appellate and Multilateral Court Mechanisms’ (29 November 2019) A/CN.9/WG.III/WP.185, para. 62.</w:t>
      </w:r>
    </w:p>
  </w:endnote>
  <w:endnote w:id="87">
    <w:p w14:paraId="6EAD390C" w14:textId="77777777" w:rsidR="005319DD" w:rsidRDefault="005319DD">
      <w:pPr>
        <w:spacing w:after="0" w:line="240" w:lineRule="auto"/>
        <w:rPr>
          <w:sz w:val="18"/>
          <w:szCs w:val="18"/>
        </w:rPr>
      </w:pPr>
      <w:r>
        <w:rPr>
          <w:rStyle w:val="EndnoteReference"/>
        </w:rPr>
        <w:endnoteRef/>
      </w:r>
      <w:r>
        <w:rPr>
          <w:sz w:val="18"/>
          <w:szCs w:val="18"/>
        </w:rPr>
        <w:t xml:space="preserve"> UNCITRAL, ‘Possible Reform of Investor-State Dispute Settlement (ISDS): Standing Multilateral Mechanism: Selection and Appointment of ISDS Tribunal Members and Related Matters’ (8 December 2021) A/CN.9/WG.III/WP.213.</w:t>
      </w:r>
    </w:p>
  </w:endnote>
  <w:endnote w:id="88">
    <w:p w14:paraId="6EAD390D" w14:textId="77777777" w:rsidR="005319DD" w:rsidRDefault="005319DD">
      <w:pPr>
        <w:spacing w:after="0" w:line="240" w:lineRule="auto"/>
        <w:rPr>
          <w:sz w:val="18"/>
          <w:szCs w:val="18"/>
        </w:rPr>
      </w:pPr>
      <w:r>
        <w:rPr>
          <w:rStyle w:val="EndnoteReference"/>
        </w:rPr>
        <w:endnoteRef/>
      </w:r>
      <w:r>
        <w:rPr>
          <w:sz w:val="18"/>
          <w:szCs w:val="18"/>
        </w:rPr>
        <w:t xml:space="preserve"> UNCITRAL (n 88) 3.</w:t>
      </w:r>
    </w:p>
  </w:endnote>
  <w:endnote w:id="89">
    <w:p w14:paraId="6EAD390E" w14:textId="77777777" w:rsidR="005319DD" w:rsidRDefault="005319DD">
      <w:pPr>
        <w:spacing w:after="0" w:line="240" w:lineRule="auto"/>
        <w:rPr>
          <w:sz w:val="18"/>
          <w:szCs w:val="18"/>
        </w:rPr>
      </w:pPr>
      <w:r>
        <w:rPr>
          <w:rStyle w:val="EndnoteReference"/>
        </w:rPr>
        <w:endnoteRef/>
      </w:r>
      <w:r>
        <w:rPr>
          <w:sz w:val="18"/>
          <w:szCs w:val="18"/>
        </w:rPr>
        <w:t xml:space="preserve"> ibid, para. 7.</w:t>
      </w:r>
    </w:p>
  </w:endnote>
  <w:endnote w:id="90">
    <w:p w14:paraId="6EAD390F" w14:textId="77777777" w:rsidR="005319DD" w:rsidRDefault="005319DD">
      <w:pPr>
        <w:spacing w:after="0" w:line="240" w:lineRule="auto"/>
        <w:rPr>
          <w:sz w:val="18"/>
          <w:szCs w:val="18"/>
        </w:rPr>
      </w:pPr>
      <w:r>
        <w:rPr>
          <w:rStyle w:val="EndnoteReference"/>
        </w:rPr>
        <w:endnoteRef/>
      </w:r>
      <w:r>
        <w:rPr>
          <w:sz w:val="18"/>
          <w:szCs w:val="18"/>
        </w:rPr>
        <w:t xml:space="preserve"> UNCITRAL, ‘Possible Reform of Investor-State Dispute Settlement (ISDS): Appellate Mechanism’ (17 November 2022) A/CN.9/WG.III/WP.224, para. 2-3.</w:t>
      </w:r>
    </w:p>
  </w:endnote>
  <w:endnote w:id="91">
    <w:p w14:paraId="6EAD3911" w14:textId="55E57A60" w:rsidR="005319DD" w:rsidRDefault="005319DD" w:rsidP="006C5025">
      <w:pPr>
        <w:spacing w:after="0" w:line="240" w:lineRule="auto"/>
        <w:ind w:hanging="15"/>
        <w:rPr>
          <w:sz w:val="18"/>
          <w:szCs w:val="18"/>
        </w:rPr>
      </w:pPr>
      <w:r>
        <w:rPr>
          <w:rStyle w:val="EndnoteReference"/>
        </w:rPr>
        <w:endnoteRef/>
      </w:r>
      <w:r>
        <w:rPr>
          <w:sz w:val="18"/>
          <w:szCs w:val="18"/>
        </w:rPr>
        <w:t xml:space="preserve"> UNIDROIT, 3rd Working Group on International Investment Contracts, </w:t>
      </w:r>
      <w:hyperlink r:id="rId56">
        <w:r>
          <w:rPr>
            <w:color w:val="1155CC"/>
            <w:sz w:val="18"/>
            <w:szCs w:val="18"/>
          </w:rPr>
          <w:t xml:space="preserve">‘Revised Issues Paper’ </w:t>
        </w:r>
        <w:r w:rsidRPr="00324761">
          <w:rPr>
            <w:sz w:val="18"/>
            <w:szCs w:val="18"/>
          </w:rPr>
          <w:t>(May 2024)</w:t>
        </w:r>
      </w:hyperlink>
      <w:r>
        <w:rPr>
          <w:sz w:val="18"/>
          <w:szCs w:val="18"/>
        </w:rPr>
        <w:t>; IISD, ‘</w:t>
      </w:r>
      <w:hyperlink r:id="rId57">
        <w:r>
          <w:rPr>
            <w:color w:val="1155CC"/>
            <w:sz w:val="18"/>
            <w:szCs w:val="18"/>
          </w:rPr>
          <w:t>UNIDROIT and ICC are Working on Investment Contract Harmonisation,’</w:t>
        </w:r>
      </w:hyperlink>
      <w:r>
        <w:rPr>
          <w:sz w:val="18"/>
          <w:szCs w:val="18"/>
        </w:rPr>
        <w:t xml:space="preserve"> (2 April 2024).</w:t>
      </w:r>
    </w:p>
  </w:endnote>
  <w:endnote w:id="92">
    <w:p w14:paraId="6EAD3912" w14:textId="77777777" w:rsidR="005319DD" w:rsidRDefault="005319DD">
      <w:pPr>
        <w:spacing w:after="0" w:line="240" w:lineRule="auto"/>
        <w:ind w:left="720" w:hanging="720"/>
        <w:rPr>
          <w:sz w:val="18"/>
          <w:szCs w:val="18"/>
        </w:rPr>
      </w:pPr>
      <w:r>
        <w:rPr>
          <w:rStyle w:val="EndnoteReference"/>
        </w:rPr>
        <w:endnoteRef/>
      </w:r>
      <w:r>
        <w:rPr>
          <w:sz w:val="18"/>
          <w:szCs w:val="18"/>
        </w:rPr>
        <w:t xml:space="preserve"> UNIDROIT 3rd Working Group on International Investment Contracts (n 93), [1] 3.</w:t>
      </w:r>
    </w:p>
  </w:endnote>
  <w:endnote w:id="93">
    <w:p w14:paraId="6EAD3913" w14:textId="77777777" w:rsidR="005319DD" w:rsidRDefault="005319DD">
      <w:pPr>
        <w:spacing w:after="0" w:line="240" w:lineRule="auto"/>
        <w:ind w:left="1440" w:hanging="1440"/>
        <w:rPr>
          <w:sz w:val="18"/>
          <w:szCs w:val="18"/>
        </w:rPr>
      </w:pPr>
      <w:r>
        <w:rPr>
          <w:rStyle w:val="EndnoteReference"/>
        </w:rPr>
        <w:endnoteRef/>
      </w:r>
      <w:r>
        <w:rPr>
          <w:sz w:val="18"/>
          <w:szCs w:val="18"/>
        </w:rPr>
        <w:t xml:space="preserve"> UNIDROIT/IFAD, ‘Legal Guide on Agricultural Land Investment Contracts’ (2021), [1.1] 16.</w:t>
      </w:r>
    </w:p>
  </w:endnote>
  <w:endnote w:id="94">
    <w:p w14:paraId="6EAD3914" w14:textId="77777777" w:rsidR="005319DD" w:rsidRDefault="005319DD">
      <w:pPr>
        <w:spacing w:after="0" w:line="240" w:lineRule="auto"/>
        <w:ind w:left="720" w:hanging="720"/>
        <w:rPr>
          <w:sz w:val="18"/>
          <w:szCs w:val="18"/>
        </w:rPr>
      </w:pPr>
      <w:r>
        <w:rPr>
          <w:rStyle w:val="EndnoteReference"/>
        </w:rPr>
        <w:endnoteRef/>
      </w:r>
      <w:r>
        <w:rPr>
          <w:sz w:val="18"/>
          <w:szCs w:val="18"/>
        </w:rPr>
        <w:t xml:space="preserve"> UNIDROIT, 3rd Working Group on International Investment Contracts (n 93), [88] 21.</w:t>
      </w:r>
    </w:p>
  </w:endnote>
  <w:endnote w:id="95">
    <w:p w14:paraId="6EAD3915" w14:textId="77777777" w:rsidR="005319DD" w:rsidRDefault="005319DD">
      <w:pPr>
        <w:spacing w:after="0" w:line="240" w:lineRule="auto"/>
        <w:ind w:left="1440" w:hanging="1440"/>
        <w:rPr>
          <w:sz w:val="18"/>
          <w:szCs w:val="18"/>
        </w:rPr>
      </w:pPr>
      <w:r>
        <w:rPr>
          <w:rStyle w:val="EndnoteReference"/>
        </w:rPr>
        <w:endnoteRef/>
      </w:r>
      <w:r>
        <w:rPr>
          <w:sz w:val="18"/>
          <w:szCs w:val="18"/>
        </w:rPr>
        <w:t xml:space="preserve"> UNIDROIT, 3rd Working Group on International Investment Contracts (n 93), [5]-[6], [9], 3.</w:t>
      </w:r>
    </w:p>
  </w:endnote>
  <w:endnote w:id="96">
    <w:p w14:paraId="6EAD3916" w14:textId="77777777" w:rsidR="005319DD" w:rsidRDefault="005319DD">
      <w:pPr>
        <w:spacing w:after="0" w:line="240" w:lineRule="auto"/>
        <w:jc w:val="both"/>
        <w:rPr>
          <w:sz w:val="18"/>
          <w:szCs w:val="18"/>
        </w:rPr>
      </w:pPr>
      <w:r>
        <w:rPr>
          <w:rStyle w:val="EndnoteReference"/>
        </w:rPr>
        <w:endnoteRef/>
      </w:r>
      <w:r>
        <w:rPr>
          <w:sz w:val="18"/>
          <w:szCs w:val="18"/>
        </w:rPr>
        <w:t xml:space="preserve"> UNIDROIT, 3rd Working Group on International Investment Contracts (n 93), [83]-[85], 20; As of December 2024, consideration of the model anti-corruption clause is ongoing. </w:t>
      </w:r>
    </w:p>
  </w:endnote>
  <w:endnote w:id="97">
    <w:p w14:paraId="6EAD3917" w14:textId="77777777" w:rsidR="005319DD" w:rsidRDefault="005319DD">
      <w:pPr>
        <w:spacing w:after="0" w:line="240" w:lineRule="auto"/>
        <w:rPr>
          <w:sz w:val="18"/>
          <w:szCs w:val="18"/>
        </w:rPr>
      </w:pPr>
      <w:r>
        <w:rPr>
          <w:rStyle w:val="EndnoteReference"/>
        </w:rPr>
        <w:endnoteRef/>
      </w:r>
      <w:r>
        <w:rPr>
          <w:sz w:val="18"/>
          <w:szCs w:val="18"/>
        </w:rPr>
        <w:t xml:space="preserve"> Columbia Center on Sustainable Investment, </w:t>
      </w:r>
      <w:hyperlink r:id="rId58">
        <w:r>
          <w:rPr>
            <w:color w:val="1155CC"/>
            <w:sz w:val="18"/>
            <w:szCs w:val="18"/>
          </w:rPr>
          <w:t>‘CCSI Submissions to UNCITRAL ISDS Reform Process.’</w:t>
        </w:r>
      </w:hyperlink>
    </w:p>
  </w:endnote>
  <w:endnote w:id="98">
    <w:p w14:paraId="6EAD3918" w14:textId="77777777" w:rsidR="005319DD" w:rsidRDefault="005319DD">
      <w:pPr>
        <w:spacing w:after="0" w:line="240" w:lineRule="auto"/>
        <w:rPr>
          <w:sz w:val="18"/>
          <w:szCs w:val="18"/>
        </w:rPr>
      </w:pPr>
      <w:r>
        <w:rPr>
          <w:rStyle w:val="EndnoteReference"/>
        </w:rPr>
        <w:endnoteRef/>
      </w:r>
      <w:r>
        <w:rPr>
          <w:sz w:val="18"/>
          <w:szCs w:val="18"/>
        </w:rPr>
        <w:t xml:space="preserve"> Columbia Center on Sustainable Investment and Georgetown Law Center for the Advancement of the Rule of Law in the Americas, </w:t>
      </w:r>
      <w:hyperlink r:id="rId59">
        <w:r>
          <w:rPr>
            <w:color w:val="0563C1"/>
            <w:sz w:val="18"/>
            <w:szCs w:val="18"/>
          </w:rPr>
          <w:t>‘Reforming the International Investment Regime through a Framework Convention on Investment and Sustainable Development,’</w:t>
        </w:r>
      </w:hyperlink>
      <w:r>
        <w:rPr>
          <w:sz w:val="18"/>
          <w:szCs w:val="18"/>
        </w:rPr>
        <w:t xml:space="preserve"> (6 October 2020), 3, 8.</w:t>
      </w:r>
    </w:p>
  </w:endnote>
  <w:endnote w:id="99">
    <w:p w14:paraId="6EAD3919" w14:textId="77777777" w:rsidR="005319DD" w:rsidRDefault="005319DD">
      <w:pPr>
        <w:spacing w:after="0" w:line="240" w:lineRule="auto"/>
        <w:rPr>
          <w:sz w:val="18"/>
          <w:szCs w:val="18"/>
        </w:rPr>
      </w:pPr>
      <w:r>
        <w:rPr>
          <w:rStyle w:val="EndnoteReference"/>
        </w:rPr>
        <w:endnoteRef/>
      </w:r>
      <w:r>
        <w:rPr>
          <w:sz w:val="18"/>
          <w:szCs w:val="18"/>
        </w:rPr>
        <w:t xml:space="preserve"> Ibid. 8-9.</w:t>
      </w:r>
    </w:p>
  </w:endnote>
  <w:endnote w:id="100">
    <w:p w14:paraId="6EAD391A" w14:textId="77777777" w:rsidR="005319DD" w:rsidRDefault="005319DD">
      <w:pPr>
        <w:spacing w:after="0" w:line="240" w:lineRule="auto"/>
        <w:rPr>
          <w:sz w:val="18"/>
          <w:szCs w:val="18"/>
        </w:rPr>
      </w:pPr>
      <w:r>
        <w:rPr>
          <w:rStyle w:val="EndnoteReference"/>
        </w:rPr>
        <w:endnoteRef/>
      </w:r>
      <w:r>
        <w:rPr>
          <w:sz w:val="18"/>
          <w:szCs w:val="18"/>
        </w:rPr>
        <w:t xml:space="preserve"> Ibid</w:t>
      </w:r>
      <w:r>
        <w:rPr>
          <w:i/>
          <w:sz w:val="18"/>
          <w:szCs w:val="18"/>
        </w:rPr>
        <w:t xml:space="preserve">. </w:t>
      </w:r>
      <w:r>
        <w:rPr>
          <w:sz w:val="18"/>
          <w:szCs w:val="18"/>
        </w:rPr>
        <w:t>9.</w:t>
      </w:r>
    </w:p>
  </w:endnote>
  <w:endnote w:id="101">
    <w:p w14:paraId="6EAD391B" w14:textId="77777777" w:rsidR="005319DD" w:rsidRDefault="005319DD">
      <w:pPr>
        <w:spacing w:after="0" w:line="240" w:lineRule="auto"/>
        <w:rPr>
          <w:sz w:val="18"/>
          <w:szCs w:val="18"/>
        </w:rPr>
      </w:pPr>
      <w:r>
        <w:rPr>
          <w:rStyle w:val="EndnoteReference"/>
        </w:rPr>
        <w:endnoteRef/>
      </w:r>
      <w:r>
        <w:rPr>
          <w:sz w:val="18"/>
          <w:szCs w:val="18"/>
        </w:rPr>
        <w:t xml:space="preserve"> Ibid</w:t>
      </w:r>
      <w:r>
        <w:rPr>
          <w:i/>
          <w:sz w:val="18"/>
          <w:szCs w:val="18"/>
        </w:rPr>
        <w:t xml:space="preserve">. </w:t>
      </w:r>
      <w:r>
        <w:rPr>
          <w:sz w:val="18"/>
          <w:szCs w:val="18"/>
        </w:rPr>
        <w:t>3.</w:t>
      </w:r>
    </w:p>
  </w:endnote>
  <w:endnote w:id="102">
    <w:p w14:paraId="6EAD391C" w14:textId="77777777" w:rsidR="005319DD" w:rsidRDefault="005319DD">
      <w:pPr>
        <w:spacing w:after="0" w:line="240" w:lineRule="auto"/>
        <w:rPr>
          <w:sz w:val="18"/>
          <w:szCs w:val="18"/>
        </w:rPr>
      </w:pPr>
      <w:r>
        <w:rPr>
          <w:rStyle w:val="EndnoteReference"/>
        </w:rPr>
        <w:endnoteRef/>
      </w:r>
      <w:r>
        <w:rPr>
          <w:sz w:val="18"/>
          <w:szCs w:val="18"/>
        </w:rPr>
        <w:t xml:space="preserve"> Ibid</w:t>
      </w:r>
      <w:r>
        <w:rPr>
          <w:i/>
          <w:sz w:val="18"/>
          <w:szCs w:val="18"/>
        </w:rPr>
        <w:t>.</w:t>
      </w:r>
      <w:r>
        <w:rPr>
          <w:sz w:val="18"/>
          <w:szCs w:val="18"/>
        </w:rPr>
        <w:t xml:space="preserve"> 11.</w:t>
      </w:r>
    </w:p>
  </w:endnote>
  <w:endnote w:id="103">
    <w:p w14:paraId="6EAD391D" w14:textId="77777777" w:rsidR="005319DD" w:rsidRDefault="005319DD">
      <w:pPr>
        <w:spacing w:after="0" w:line="240" w:lineRule="auto"/>
        <w:rPr>
          <w:sz w:val="18"/>
          <w:szCs w:val="18"/>
        </w:rPr>
      </w:pPr>
      <w:r>
        <w:rPr>
          <w:rStyle w:val="EndnoteReference"/>
        </w:rPr>
        <w:endnoteRef/>
      </w:r>
      <w:r>
        <w:rPr>
          <w:sz w:val="18"/>
          <w:szCs w:val="18"/>
        </w:rPr>
        <w:t xml:space="preserve"> Ibid</w:t>
      </w:r>
      <w:r>
        <w:rPr>
          <w:i/>
          <w:sz w:val="18"/>
          <w:szCs w:val="18"/>
        </w:rPr>
        <w:t>.</w:t>
      </w:r>
      <w:r>
        <w:rPr>
          <w:sz w:val="18"/>
          <w:szCs w:val="18"/>
        </w:rPr>
        <w:t xml:space="preserve"> 9-10.</w:t>
      </w:r>
    </w:p>
  </w:endnote>
  <w:endnote w:id="104">
    <w:p w14:paraId="6EAD391E" w14:textId="77777777" w:rsidR="005319DD" w:rsidRDefault="005319DD">
      <w:pPr>
        <w:spacing w:after="0" w:line="240" w:lineRule="auto"/>
        <w:ind w:firstLine="7"/>
        <w:rPr>
          <w:sz w:val="18"/>
          <w:szCs w:val="18"/>
        </w:rPr>
      </w:pPr>
      <w:r>
        <w:rPr>
          <w:rStyle w:val="EndnoteReference"/>
        </w:rPr>
        <w:endnoteRef/>
      </w:r>
      <w:r>
        <w:rPr>
          <w:sz w:val="18"/>
          <w:szCs w:val="18"/>
        </w:rPr>
        <w:t xml:space="preserve"> Ibid</w:t>
      </w:r>
      <w:r>
        <w:rPr>
          <w:i/>
          <w:sz w:val="18"/>
          <w:szCs w:val="18"/>
        </w:rPr>
        <w:t xml:space="preserve">. </w:t>
      </w:r>
      <w:r>
        <w:rPr>
          <w:sz w:val="18"/>
          <w:szCs w:val="18"/>
        </w:rPr>
        <w:t>12.</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AD38AE" w14:textId="77777777" w:rsidR="00B6429B" w:rsidRDefault="00000000">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6EAD38AF" w14:textId="77777777" w:rsidR="00B6429B" w:rsidRDefault="00B6429B">
    <w:pPr>
      <w:pBdr>
        <w:top w:val="nil"/>
        <w:left w:val="nil"/>
        <w:bottom w:val="nil"/>
        <w:right w:val="nil"/>
        <w:between w:val="nil"/>
      </w:pBdr>
      <w:tabs>
        <w:tab w:val="center" w:pos="4513"/>
        <w:tab w:val="right" w:pos="9026"/>
      </w:tabs>
      <w:spacing w:after="0" w:line="240" w:lineRule="auto"/>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AD38B0" w14:textId="77777777" w:rsidR="00B6429B" w:rsidRDefault="00B6429B">
    <w:pPr>
      <w:pBdr>
        <w:top w:val="nil"/>
        <w:left w:val="nil"/>
        <w:bottom w:val="nil"/>
        <w:right w:val="nil"/>
        <w:between w:val="nil"/>
      </w:pBdr>
      <w:tabs>
        <w:tab w:val="center" w:pos="4513"/>
        <w:tab w:val="right" w:pos="9026"/>
      </w:tabs>
      <w:spacing w:after="0" w:line="240" w:lineRule="auto"/>
      <w:jc w:val="right"/>
      <w:rPr>
        <w:color w:val="000000"/>
      </w:rPr>
    </w:pPr>
  </w:p>
  <w:p w14:paraId="6EAD38B1" w14:textId="6A6CE9EC" w:rsidR="00B6429B" w:rsidRDefault="00843077">
    <w:pPr>
      <w:pBdr>
        <w:top w:val="nil"/>
        <w:left w:val="nil"/>
        <w:bottom w:val="nil"/>
        <w:right w:val="nil"/>
        <w:between w:val="nil"/>
      </w:pBdr>
      <w:tabs>
        <w:tab w:val="center" w:pos="4513"/>
        <w:tab w:val="right" w:pos="9026"/>
      </w:tabs>
      <w:spacing w:after="0" w:line="240" w:lineRule="auto"/>
      <w:jc w:val="center"/>
      <w:rPr>
        <w:color w:val="7F7F7F"/>
        <w:sz w:val="20"/>
        <w:szCs w:val="20"/>
      </w:rPr>
    </w:pPr>
    <w:r>
      <w:rPr>
        <w:color w:val="7F7F7F"/>
        <w:sz w:val="20"/>
        <w:szCs w:val="20"/>
      </w:rPr>
      <w:t xml:space="preserve">Parallel Report on the United Kingdom for the </w:t>
    </w:r>
    <w:r w:rsidR="00FD0523">
      <w:rPr>
        <w:color w:val="7F7F7F"/>
        <w:sz w:val="20"/>
        <w:szCs w:val="20"/>
      </w:rPr>
      <w:t>CESCR</w:t>
    </w:r>
    <w:r>
      <w:rPr>
        <w:color w:val="7F7F7F"/>
        <w:sz w:val="20"/>
        <w:szCs w:val="20"/>
      </w:rPr>
      <w:t xml:space="preserve"> 77</w:t>
    </w:r>
    <w:r>
      <w:rPr>
        <w:color w:val="7F7F7F"/>
        <w:sz w:val="20"/>
        <w:szCs w:val="20"/>
        <w:vertAlign w:val="superscript"/>
      </w:rPr>
      <w:t>th</w:t>
    </w:r>
    <w:r>
      <w:rPr>
        <w:color w:val="7F7F7F"/>
        <w:sz w:val="20"/>
        <w:szCs w:val="20"/>
      </w:rPr>
      <w:t xml:space="preserve"> Session</w:t>
    </w:r>
  </w:p>
  <w:p w14:paraId="6EAD38B2" w14:textId="77777777" w:rsidR="00B6429B" w:rsidRDefault="00000000">
    <w:pPr>
      <w:pBdr>
        <w:top w:val="nil"/>
        <w:left w:val="nil"/>
        <w:bottom w:val="nil"/>
        <w:right w:val="nil"/>
        <w:between w:val="nil"/>
      </w:pBdr>
      <w:tabs>
        <w:tab w:val="center" w:pos="4513"/>
        <w:tab w:val="right" w:pos="9026"/>
      </w:tabs>
      <w:spacing w:after="0" w:line="240" w:lineRule="auto"/>
      <w:ind w:right="360"/>
      <w:jc w:val="center"/>
      <w:rPr>
        <w:color w:val="7F7F7F"/>
        <w:sz w:val="20"/>
        <w:szCs w:val="20"/>
      </w:rPr>
    </w:pPr>
    <w:r>
      <w:rPr>
        <w:color w:val="7F7F7F"/>
        <w:sz w:val="20"/>
        <w:szCs w:val="20"/>
      </w:rPr>
      <w:t>Transnational Law Institute, Leigh Day, RAID, Clean Trade</w:t>
    </w:r>
  </w:p>
  <w:p w14:paraId="6EAD38B3" w14:textId="77777777" w:rsidR="00B6429B" w:rsidRDefault="00B6429B">
    <w:pPr>
      <w:pBdr>
        <w:top w:val="nil"/>
        <w:left w:val="nil"/>
        <w:bottom w:val="nil"/>
        <w:right w:val="nil"/>
        <w:between w:val="nil"/>
      </w:pBdr>
      <w:tabs>
        <w:tab w:val="center" w:pos="4513"/>
        <w:tab w:val="right" w:pos="9026"/>
      </w:tabs>
      <w:spacing w:after="0" w:line="240" w:lineRule="auto"/>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CD575C" w14:textId="77777777" w:rsidR="001362EE" w:rsidRDefault="001362EE">
      <w:pPr>
        <w:spacing w:after="0" w:line="240" w:lineRule="auto"/>
      </w:pPr>
      <w:r>
        <w:separator/>
      </w:r>
    </w:p>
  </w:footnote>
  <w:footnote w:type="continuationSeparator" w:id="0">
    <w:p w14:paraId="5D65D2D7" w14:textId="77777777" w:rsidR="001362EE" w:rsidRDefault="001362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AD38AC" w14:textId="62FDF1EB" w:rsidR="00B6429B"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5319DD">
      <w:rPr>
        <w:noProof/>
        <w:color w:val="000000"/>
      </w:rPr>
      <w:t>2</w:t>
    </w:r>
    <w:r>
      <w:rPr>
        <w:color w:val="000000"/>
      </w:rPr>
      <w:fldChar w:fldCharType="end"/>
    </w:r>
  </w:p>
  <w:p w14:paraId="6EAD38AD" w14:textId="77777777" w:rsidR="00B6429B" w:rsidRDefault="00B6429B">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4A6BF5"/>
    <w:multiLevelType w:val="multilevel"/>
    <w:tmpl w:val="A5F07C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59223DB"/>
    <w:multiLevelType w:val="multilevel"/>
    <w:tmpl w:val="6C5A35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0010020">
    <w:abstractNumId w:val="0"/>
  </w:num>
  <w:num w:numId="2" w16cid:durableId="5891198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writeProtection w:recommended="1"/>
  <w:zoom w:percent="152"/>
  <w:hideSpellingErrors/>
  <w:hideGrammaticalErrors/>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429B"/>
    <w:rsid w:val="000061C1"/>
    <w:rsid w:val="000806F4"/>
    <w:rsid w:val="00084455"/>
    <w:rsid w:val="0010385C"/>
    <w:rsid w:val="001362EE"/>
    <w:rsid w:val="00176F32"/>
    <w:rsid w:val="001A7183"/>
    <w:rsid w:val="001C4E19"/>
    <w:rsid w:val="001E3FEB"/>
    <w:rsid w:val="001F69B5"/>
    <w:rsid w:val="00217D19"/>
    <w:rsid w:val="00233D0F"/>
    <w:rsid w:val="002E7136"/>
    <w:rsid w:val="00324761"/>
    <w:rsid w:val="003E3277"/>
    <w:rsid w:val="0040541B"/>
    <w:rsid w:val="00405516"/>
    <w:rsid w:val="00422691"/>
    <w:rsid w:val="00424361"/>
    <w:rsid w:val="00483764"/>
    <w:rsid w:val="004E38A0"/>
    <w:rsid w:val="004F6DEF"/>
    <w:rsid w:val="00502033"/>
    <w:rsid w:val="005319DD"/>
    <w:rsid w:val="0054796D"/>
    <w:rsid w:val="00592B41"/>
    <w:rsid w:val="005A3398"/>
    <w:rsid w:val="005F276B"/>
    <w:rsid w:val="006A0F06"/>
    <w:rsid w:val="006C5025"/>
    <w:rsid w:val="00723B45"/>
    <w:rsid w:val="00781634"/>
    <w:rsid w:val="007E3A01"/>
    <w:rsid w:val="00843077"/>
    <w:rsid w:val="00843BA7"/>
    <w:rsid w:val="008B1797"/>
    <w:rsid w:val="00920E2C"/>
    <w:rsid w:val="00950A96"/>
    <w:rsid w:val="0096581E"/>
    <w:rsid w:val="009708A8"/>
    <w:rsid w:val="009A555E"/>
    <w:rsid w:val="009C583C"/>
    <w:rsid w:val="009E7E9B"/>
    <w:rsid w:val="00A01778"/>
    <w:rsid w:val="00A4216B"/>
    <w:rsid w:val="00A7606A"/>
    <w:rsid w:val="00AA48E6"/>
    <w:rsid w:val="00AD7BB7"/>
    <w:rsid w:val="00AE6EE9"/>
    <w:rsid w:val="00B17C41"/>
    <w:rsid w:val="00B23D46"/>
    <w:rsid w:val="00B6429B"/>
    <w:rsid w:val="00BE41F4"/>
    <w:rsid w:val="00C01B83"/>
    <w:rsid w:val="00C15F77"/>
    <w:rsid w:val="00C44F94"/>
    <w:rsid w:val="00C6327E"/>
    <w:rsid w:val="00CE32F4"/>
    <w:rsid w:val="00D34F58"/>
    <w:rsid w:val="00D479CC"/>
    <w:rsid w:val="00D5018E"/>
    <w:rsid w:val="00D8025C"/>
    <w:rsid w:val="00DB1D5F"/>
    <w:rsid w:val="00DC1F6C"/>
    <w:rsid w:val="00DD5EE4"/>
    <w:rsid w:val="00DE3C66"/>
    <w:rsid w:val="00E00455"/>
    <w:rsid w:val="00E46AD5"/>
    <w:rsid w:val="00E63518"/>
    <w:rsid w:val="00EB6E3A"/>
    <w:rsid w:val="00F602FE"/>
    <w:rsid w:val="00F62D40"/>
    <w:rsid w:val="00FD052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D3800"/>
  <w15:docId w15:val="{16C89417-2739-42BC-A40D-F84B36871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2B58"/>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FootnoteText">
    <w:name w:val="footnote text"/>
    <w:aliases w:val="5_G"/>
    <w:basedOn w:val="Normal"/>
    <w:link w:val="FootnoteTextChar"/>
    <w:unhideWhenUsed/>
    <w:rsid w:val="009B6F48"/>
    <w:pPr>
      <w:spacing w:after="0" w:line="240" w:lineRule="auto"/>
    </w:pPr>
    <w:rPr>
      <w:sz w:val="20"/>
      <w:szCs w:val="20"/>
    </w:rPr>
  </w:style>
  <w:style w:type="character" w:customStyle="1" w:styleId="FootnoteTextChar">
    <w:name w:val="Footnote Text Char"/>
    <w:aliases w:val="5_G Char"/>
    <w:basedOn w:val="DefaultParagraphFont"/>
    <w:link w:val="FootnoteText"/>
    <w:rsid w:val="009B6F48"/>
    <w:rPr>
      <w:sz w:val="20"/>
      <w:szCs w:val="20"/>
    </w:rPr>
  </w:style>
  <w:style w:type="character" w:styleId="FootnoteReference">
    <w:name w:val="footnote reference"/>
    <w:aliases w:val="4_G"/>
    <w:basedOn w:val="DefaultParagraphFont"/>
    <w:unhideWhenUsed/>
    <w:rsid w:val="009B6F48"/>
    <w:rPr>
      <w:vertAlign w:val="superscript"/>
    </w:rPr>
  </w:style>
  <w:style w:type="character" w:styleId="Hyperlink">
    <w:name w:val="Hyperlink"/>
    <w:basedOn w:val="DefaultParagraphFont"/>
    <w:uiPriority w:val="99"/>
    <w:unhideWhenUsed/>
    <w:rsid w:val="00151C0F"/>
    <w:rPr>
      <w:color w:val="0563C1" w:themeColor="hyperlink"/>
      <w:u w:val="single"/>
    </w:rPr>
  </w:style>
  <w:style w:type="character" w:customStyle="1" w:styleId="UnresolvedMention1">
    <w:name w:val="Unresolved Mention1"/>
    <w:basedOn w:val="DefaultParagraphFont"/>
    <w:uiPriority w:val="99"/>
    <w:semiHidden/>
    <w:unhideWhenUsed/>
    <w:rsid w:val="00151C0F"/>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887303"/>
    <w:rPr>
      <w:b/>
      <w:bCs/>
    </w:rPr>
  </w:style>
  <w:style w:type="character" w:customStyle="1" w:styleId="CommentSubjectChar">
    <w:name w:val="Comment Subject Char"/>
    <w:basedOn w:val="CommentTextChar"/>
    <w:link w:val="CommentSubject"/>
    <w:uiPriority w:val="99"/>
    <w:semiHidden/>
    <w:rsid w:val="00887303"/>
    <w:rPr>
      <w:b/>
      <w:bCs/>
      <w:sz w:val="20"/>
      <w:szCs w:val="20"/>
    </w:rPr>
  </w:style>
  <w:style w:type="table" w:styleId="TableGrid">
    <w:name w:val="Table Grid"/>
    <w:basedOn w:val="TableNormal"/>
    <w:uiPriority w:val="39"/>
    <w:rsid w:val="00CA74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94BB7"/>
    <w:rPr>
      <w:rFonts w:ascii="Times New Roman" w:hAnsi="Times New Roman" w:cs="Times New Roman"/>
      <w:sz w:val="24"/>
      <w:szCs w:val="24"/>
    </w:rPr>
  </w:style>
  <w:style w:type="paragraph" w:styleId="Footer">
    <w:name w:val="footer"/>
    <w:basedOn w:val="Normal"/>
    <w:link w:val="FooterChar"/>
    <w:uiPriority w:val="99"/>
    <w:unhideWhenUsed/>
    <w:rsid w:val="004479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796B"/>
  </w:style>
  <w:style w:type="character" w:styleId="PageNumber">
    <w:name w:val="page number"/>
    <w:basedOn w:val="DefaultParagraphFont"/>
    <w:uiPriority w:val="99"/>
    <w:semiHidden/>
    <w:unhideWhenUsed/>
    <w:rsid w:val="0044796B"/>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apple-converted-space">
    <w:name w:val="apple-converted-space"/>
    <w:basedOn w:val="DefaultParagraphFont"/>
    <w:rsid w:val="00FD60F4"/>
  </w:style>
  <w:style w:type="paragraph" w:customStyle="1" w:styleId="H23G">
    <w:name w:val="_ H_2/3_G"/>
    <w:basedOn w:val="Normal"/>
    <w:next w:val="Normal"/>
    <w:link w:val="H23GChar"/>
    <w:qFormat/>
    <w:rsid w:val="00096B45"/>
    <w:pPr>
      <w:keepNext/>
      <w:keepLines/>
      <w:tabs>
        <w:tab w:val="right" w:pos="851"/>
      </w:tabs>
      <w:suppressAutoHyphens/>
      <w:spacing w:before="240" w:after="120" w:line="240" w:lineRule="exact"/>
      <w:ind w:left="1134" w:right="1134" w:hanging="1134"/>
      <w:outlineLvl w:val="3"/>
    </w:pPr>
    <w:rPr>
      <w:rFonts w:ascii="Times New Roman" w:eastAsia="SimSun" w:hAnsi="Times New Roman" w:cs="Times New Roman"/>
      <w:b/>
      <w:sz w:val="20"/>
      <w:szCs w:val="20"/>
      <w:lang w:val="en-GB" w:eastAsia="zh-CN"/>
    </w:rPr>
  </w:style>
  <w:style w:type="paragraph" w:customStyle="1" w:styleId="SingleTxtG">
    <w:name w:val="_ Single Txt_G"/>
    <w:basedOn w:val="Normal"/>
    <w:link w:val="SingleTxtGChar"/>
    <w:rsid w:val="00096B45"/>
    <w:pPr>
      <w:tabs>
        <w:tab w:val="left" w:pos="1701"/>
        <w:tab w:val="left" w:pos="2268"/>
      </w:tabs>
      <w:suppressAutoHyphens/>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link w:val="SingleTxtG"/>
    <w:locked/>
    <w:rsid w:val="00096B45"/>
    <w:rPr>
      <w:rFonts w:ascii="Times New Roman" w:eastAsia="SimSun" w:hAnsi="Times New Roman" w:cs="Times New Roman"/>
      <w:sz w:val="20"/>
      <w:szCs w:val="20"/>
      <w:lang w:val="en-GB" w:eastAsia="zh-CN"/>
    </w:rPr>
  </w:style>
  <w:style w:type="character" w:customStyle="1" w:styleId="H23GChar">
    <w:name w:val="_ H_2/3_G Char"/>
    <w:link w:val="H23G"/>
    <w:rsid w:val="00096B45"/>
    <w:rPr>
      <w:rFonts w:ascii="Times New Roman" w:eastAsia="SimSun" w:hAnsi="Times New Roman" w:cs="Times New Roman"/>
      <w:b/>
      <w:sz w:val="20"/>
      <w:szCs w:val="20"/>
      <w:lang w:val="en-GB" w:eastAsia="zh-CN"/>
    </w:rPr>
  </w:style>
  <w:style w:type="paragraph" w:styleId="BalloonText">
    <w:name w:val="Balloon Text"/>
    <w:basedOn w:val="Normal"/>
    <w:link w:val="BalloonTextChar"/>
    <w:uiPriority w:val="99"/>
    <w:semiHidden/>
    <w:unhideWhenUsed/>
    <w:rsid w:val="0098568E"/>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8568E"/>
    <w:rPr>
      <w:rFonts w:ascii="Times New Roman" w:hAnsi="Times New Roman" w:cs="Times New Roman"/>
      <w:sz w:val="18"/>
      <w:szCs w:val="18"/>
    </w:rPr>
  </w:style>
  <w:style w:type="character" w:styleId="UnresolvedMention">
    <w:name w:val="Unresolved Mention"/>
    <w:basedOn w:val="DefaultParagraphFont"/>
    <w:uiPriority w:val="99"/>
    <w:unhideWhenUsed/>
    <w:rsid w:val="00E51C22"/>
    <w:rPr>
      <w:color w:val="605E5C"/>
      <w:shd w:val="clear" w:color="auto" w:fill="E1DFDD"/>
    </w:rPr>
  </w:style>
  <w:style w:type="paragraph" w:styleId="Revision">
    <w:name w:val="Revision"/>
    <w:hidden/>
    <w:uiPriority w:val="99"/>
    <w:semiHidden/>
    <w:rsid w:val="00FA7AC8"/>
    <w:pPr>
      <w:spacing w:after="0" w:line="240" w:lineRule="auto"/>
    </w:pPr>
  </w:style>
  <w:style w:type="paragraph" w:styleId="ListParagraph">
    <w:name w:val="List Paragraph"/>
    <w:basedOn w:val="Normal"/>
    <w:uiPriority w:val="34"/>
    <w:qFormat/>
    <w:rsid w:val="000816CB"/>
    <w:pPr>
      <w:ind w:left="720"/>
      <w:contextualSpacing/>
    </w:pPr>
  </w:style>
  <w:style w:type="character" w:styleId="FollowedHyperlink">
    <w:name w:val="FollowedHyperlink"/>
    <w:basedOn w:val="DefaultParagraphFont"/>
    <w:uiPriority w:val="99"/>
    <w:semiHidden/>
    <w:unhideWhenUsed/>
    <w:rsid w:val="00A23738"/>
    <w:rPr>
      <w:color w:val="954F72" w:themeColor="followedHyperlink"/>
      <w:u w:val="single"/>
    </w:rPr>
  </w:style>
  <w:style w:type="paragraph" w:styleId="EndnoteText">
    <w:name w:val="endnote text"/>
    <w:basedOn w:val="Normal"/>
    <w:link w:val="EndnoteTextChar"/>
    <w:uiPriority w:val="99"/>
    <w:semiHidden/>
    <w:unhideWhenUsed/>
    <w:rsid w:val="005319D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319DD"/>
    <w:rPr>
      <w:sz w:val="20"/>
      <w:szCs w:val="20"/>
    </w:rPr>
  </w:style>
  <w:style w:type="character" w:styleId="EndnoteReference">
    <w:name w:val="endnote reference"/>
    <w:basedOn w:val="DefaultParagraphFont"/>
    <w:uiPriority w:val="99"/>
    <w:semiHidden/>
    <w:unhideWhenUsed/>
    <w:rsid w:val="005319D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07/relationships/hdphoto" Target="media/hdphoto1.wdp"/><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_rels/endnotes.xml.rels><?xml version="1.0" encoding="UTF-8" standalone="yes"?>
<Relationships xmlns="http://schemas.openxmlformats.org/package/2006/relationships"><Relationship Id="rId13" Type="http://schemas.openxmlformats.org/officeDocument/2006/relationships/hyperlink" Target="https://tbinternet.ohchr.org/_layouts/15/TreatyBodyExternal/DownloadDraft.aspx?key=af6flM/DbBqPE2/waqXlpJ/H6sqMTP4Dqn/WY/9UgNr2ns4Kte5bmAR0DGTAp+XA/n0in8th0w56u3MV2XgYIQ==" TargetMode="External"/><Relationship Id="rId18" Type="http://schemas.openxmlformats.org/officeDocument/2006/relationships/hyperlink" Target="https://edm.parliament.uk/early-day-motion/60909/potential-merits-of-new-legislation-on-mandatory-corporate-due-diligence%20accessed" TargetMode="External"/><Relationship Id="rId26" Type="http://schemas.openxmlformats.org/officeDocument/2006/relationships/hyperlink" Target="https://raid-uk.org/barricks-tanzania-gold-mine-one-of-the-deadliest-in-africa/%20Tanzania%20gold%20mine%20one%20of%20the%20deadliest%20in%20Africa" TargetMode="External"/><Relationship Id="rId39" Type="http://schemas.openxmlformats.org/officeDocument/2006/relationships/hyperlink" Target="https://londonminingnetwork.org/project/mimikas-coastal-dystopia-besieged-by-freeport-indonesias-mine-tailings-slurry-2018" TargetMode="External"/><Relationship Id="rId21" Type="http://schemas.openxmlformats.org/officeDocument/2006/relationships/hyperlink" Target="https://www.lbma.org.uk/about-us/about-the-lbma" TargetMode="External"/><Relationship Id="rId34" Type="http://schemas.openxmlformats.org/officeDocument/2006/relationships/hyperlink" Target="https://spcommreports.ohchr.org/TMResultsBase/DownLoadPublicCommunicationFile?gId=28912" TargetMode="External"/><Relationship Id="rId42" Type="http://schemas.openxmlformats.org/officeDocument/2006/relationships/hyperlink" Target="https://www.judiciary.uk/courts-and-tribunals/business-and-property-courts/commercial-court/the-work-of-the-commercial-court/the-commercial-court-and-arbitration/" TargetMode="External"/><Relationship Id="rId47" Type="http://schemas.openxmlformats.org/officeDocument/2006/relationships/hyperlink" Target="https://www.iisd.org/itn/en/2019/04/23/tribunal-finds-expropriation-of-investment-by-bolivia-due-to-non-payment-of-compensation-but-awards-only-sunk-costs-to-british-investor-trishna-menon/" TargetMode="External"/><Relationship Id="rId50" Type="http://schemas.openxmlformats.org/officeDocument/2006/relationships/hyperlink" Target="https://guides.ll.georgetown.edu/c.php?g=371540&amp;p=8766057" TargetMode="External"/><Relationship Id="rId55" Type="http://schemas.openxmlformats.org/officeDocument/2006/relationships/hyperlink" Target="https://uncitral.un.org/en/multilateralpermanentinvestmentcourt" TargetMode="External"/><Relationship Id="rId7" Type="http://schemas.openxmlformats.org/officeDocument/2006/relationships/hyperlink" Target="https://www.cleantrade.org/s/TD-TLI-CT-Brazil-Shadow-Report-Final-2952023-k625.pdf" TargetMode="External"/><Relationship Id="rId2" Type="http://schemas.openxmlformats.org/officeDocument/2006/relationships/hyperlink" Target="https://www.leighday.co.uk/" TargetMode="External"/><Relationship Id="rId16" Type="http://schemas.openxmlformats.org/officeDocument/2006/relationships/hyperlink" Target="https://www.globalwitness.org/en/press-releases/eu-parliament-takes-a-chainsaw-to-anti-deforestation-law/" TargetMode="External"/><Relationship Id="rId29" Type="http://schemas.openxmlformats.org/officeDocument/2006/relationships/hyperlink" Target="https://spcommreports.ohchr.org/TMResultsBase/DownLoadPublicCommunicationFile?gId=28915" TargetMode="External"/><Relationship Id="rId11" Type="http://schemas.openxmlformats.org/officeDocument/2006/relationships/hyperlink" Target="https://www.ohchr.org/en/documents/general-comments-and-recommendations/general-comment-no-24-2017-state-obligations-context" TargetMode="External"/><Relationship Id="rId24" Type="http://schemas.openxmlformats.org/officeDocument/2006/relationships/hyperlink" Target="http://www.leighday.co.uk/media/vqzhao1s/lbma-legal-briefing-final-13-dec.pdf" TargetMode="External"/><Relationship Id="rId32" Type="http://schemas.openxmlformats.org/officeDocument/2006/relationships/hyperlink" Target="https://www.aljazeera.com/news/2022/11/23/tanzanians-sue-barrick-gold-in-canada-over-alleged-mine-abuses" TargetMode="External"/><Relationship Id="rId37" Type="http://schemas.openxmlformats.org/officeDocument/2006/relationships/hyperlink" Target="https://www.scribd.com/document/368519581/A-Guide-to-the-LME" TargetMode="External"/><Relationship Id="rId40" Type="http://schemas.openxmlformats.org/officeDocument/2006/relationships/hyperlink" Target="https://londonminingnetwork.org/2024/02/london-metal-exchange-court-case/" TargetMode="External"/><Relationship Id="rId45" Type="http://schemas.openxmlformats.org/officeDocument/2006/relationships/hyperlink" Target="https://www.iisd.org/itn/en/2018/10/18/bear-creek-v-peru/" TargetMode="External"/><Relationship Id="rId53" Type="http://schemas.openxmlformats.org/officeDocument/2006/relationships/hyperlink" Target="https://uncitral.un.org/en/multilateraladvisorycentre" TargetMode="External"/><Relationship Id="rId58" Type="http://schemas.openxmlformats.org/officeDocument/2006/relationships/hyperlink" Target="https://ccsi.columbia.edu/content/ccsi-submissions-uncitral-isds-reform-process" TargetMode="External"/><Relationship Id="rId5" Type="http://schemas.openxmlformats.org/officeDocument/2006/relationships/hyperlink" Target="https://news.mongabay.com/2023/04/where-indigenous-land-rights-prevail-in-brazil-so-does-nature-study-finds/" TargetMode="External"/><Relationship Id="rId19" Type="http://schemas.openxmlformats.org/officeDocument/2006/relationships/hyperlink" Target="https://investorsforhumanrights.org/april-2024-bhrea-business-statement-uk-human-rights-due-diligence" TargetMode="External"/><Relationship Id="rId4" Type="http://schemas.openxmlformats.org/officeDocument/2006/relationships/hyperlink" Target="http://www.cleantrade.org/" TargetMode="External"/><Relationship Id="rId9" Type="http://schemas.openxmlformats.org/officeDocument/2006/relationships/hyperlink" Target="https://www.ohchr.org/en/documents/general-comments-and-recommendations/general-comment-no-24-2017-state-obligations-context" TargetMode="External"/><Relationship Id="rId14" Type="http://schemas.openxmlformats.org/officeDocument/2006/relationships/hyperlink" Target="https://www.amnesty.org/en/latest/news/2024/02/eu-germanys-failure-to-support-new-eu-business-legislation-undermines-human-rights/" TargetMode="External"/><Relationship Id="rId22" Type="http://schemas.openxmlformats.org/officeDocument/2006/relationships/hyperlink" Target="https://goldbroker.com/investing-guide/london-bullion-market-association" TargetMode="External"/><Relationship Id="rId27" Type="http://schemas.openxmlformats.org/officeDocument/2006/relationships/hyperlink" Target="https://raid-uk.org/new-killings-and-assaults-at-barrick-golds-tanzania-mine-shatter-companys-radical-improvement-claims/" TargetMode="External"/><Relationship Id="rId30" Type="http://schemas.openxmlformats.org/officeDocument/2006/relationships/hyperlink" Target="https://www.barrick.com/English/news/news-details/2024/barrick-UN-human-rights-response/default.aspx" TargetMode="External"/><Relationship Id="rId35" Type="http://schemas.openxmlformats.org/officeDocument/2006/relationships/hyperlink" Target="https://spcommreports.ohchr.org/TMResultsBase/DownLoadPublicCommunicationFile?gId=28912" TargetMode="External"/><Relationship Id="rId43" Type="http://schemas.openxmlformats.org/officeDocument/2006/relationships/hyperlink" Target="https://arbitrationblog.kluwerarbitration.com/2023/12/22/is-the-conclusion-the-tribunal-did-what-it-did-with-what-it-had-enough-comments-on-nigeria-v-pid/" TargetMode="External"/><Relationship Id="rId48" Type="http://schemas.openxmlformats.org/officeDocument/2006/relationships/hyperlink" Target="https://www.citizen.org/news/300-professors-of-law-economics-urge-biden-to-eliminate-isds-in-us-trade-agreements/" TargetMode="External"/><Relationship Id="rId56" Type="http://schemas.openxmlformats.org/officeDocument/2006/relationships/hyperlink" Target="https://www.unidroit.org/wp-content/uploads/2024/06/Study-50-IIC-W.G.-3-Doc.-2-Revised-Issues-Paper.pdf" TargetMode="External"/><Relationship Id="rId8" Type="http://schemas.openxmlformats.org/officeDocument/2006/relationships/hyperlink" Target="https://scholarlycommons.law.northwestern.edu/njihr/vol19/iss2/2/" TargetMode="External"/><Relationship Id="rId51" Type="http://schemas.openxmlformats.org/officeDocument/2006/relationships/hyperlink" Target="https://ccsi.columbia.edu/content/ccsi-and-uncitrals-working-group-iii-investor-state-dispute-settlement-reform" TargetMode="External"/><Relationship Id="rId3" Type="http://schemas.openxmlformats.org/officeDocument/2006/relationships/hyperlink" Target="https://www.raid-uk.org/" TargetMode="External"/><Relationship Id="rId12" Type="http://schemas.openxmlformats.org/officeDocument/2006/relationships/hyperlink" Target="https://ssrn.com/abstract=4865488" TargetMode="External"/><Relationship Id="rId17" Type="http://schemas.openxmlformats.org/officeDocument/2006/relationships/hyperlink" Target="https://corporatejustice.org/wp-content/uploads/2023/10/Letter-Uphold-our-internationally-October-2023.pdf" TargetMode="External"/><Relationship Id="rId25" Type="http://schemas.openxmlformats.org/officeDocument/2006/relationships/hyperlink" Target="https://raid-uk.org/post-library/joint-lbma-letter-march-2021" TargetMode="External"/><Relationship Id="rId33" Type="http://schemas.openxmlformats.org/officeDocument/2006/relationships/hyperlink" Target="https://www.leighday.co.uk/news/news/2023-news/legal-action-served-against-lbma-following-alleged-human-rights-abuses-at-tanzanian-gold-mine/" TargetMode="External"/><Relationship Id="rId38" Type="http://schemas.openxmlformats.org/officeDocument/2006/relationships/hyperlink" Target="https://londonminingnetwork.org/2024/02/london-metal-exchange-court-case/" TargetMode="External"/><Relationship Id="rId46" Type="http://schemas.openxmlformats.org/officeDocument/2006/relationships/hyperlink" Target="https://www.iisd.org/itn/en/2019/06/27/icsid-tribunal-upholds-panamas-plea-of-illegality-in-the-making-of-an-investment-in-a-tourism-project-located-in-an-indigenous-area-juan-carlos-herrera-quenguan/" TargetMode="External"/><Relationship Id="rId59" Type="http://schemas.openxmlformats.org/officeDocument/2006/relationships/hyperlink" Target="https://uncitral.un.org/sites/uncitral.un.org/files/media-documents/uncitral/en/a_framework_convention_on_investment.pdf" TargetMode="External"/><Relationship Id="rId20" Type="http://schemas.openxmlformats.org/officeDocument/2006/relationships/hyperlink" Target="https://www.leighday.co.uk/news/news/2024-news/court-of-appeal-confirms-allegations-of-forced-labour-and-dangerous-conditions-at-malaysian-factories-making-products-for-dyson-can-be-heard-in-uk/" TargetMode="External"/><Relationship Id="rId41" Type="http://schemas.openxmlformats.org/officeDocument/2006/relationships/hyperlink" Target="https://www.qmul.ac.uk/arbitration/media/arbitration/docs/LON0320037-QMUL-International-Arbitration-Survey-2021_19_WEB.pdf" TargetMode="External"/><Relationship Id="rId54" Type="http://schemas.openxmlformats.org/officeDocument/2006/relationships/hyperlink" Target="https://arbitrationblog.kluwerarbitration.com/2024/07/08/the-advisory-centre-on-international-investment-dispute-resolution-icsid-and-pca-advisable-co-existence-or-risky-fragmentation/" TargetMode="External"/><Relationship Id="rId1" Type="http://schemas.openxmlformats.org/officeDocument/2006/relationships/hyperlink" Target="https://www.kcl.ac.uk/tli" TargetMode="External"/><Relationship Id="rId6" Type="http://schemas.openxmlformats.org/officeDocument/2006/relationships/hyperlink" Target="https://tbinternet.ohchr.org/_layouts/15/TreatyBodyExternal/DownloadDraft.aspx?key=af6flM/DbBqPE2/waqXlpJ/H6sqMTP4Dqn/WY/9UgNr2ns4Kte5bmAR0DGTAp+XA/n0in8th0w56u3MV2XgYIQ==" TargetMode="External"/><Relationship Id="rId15" Type="http://schemas.openxmlformats.org/officeDocument/2006/relationships/hyperlink" Target="https://www.hrw.org/news/2023/05/24/eus-flawed-reliance-audits-certifications-raw-materials-rules" TargetMode="External"/><Relationship Id="rId23" Type="http://schemas.openxmlformats.org/officeDocument/2006/relationships/hyperlink" Target="https://www.lbma.org.uk/publications/responsible-gold-guidance-v9" TargetMode="External"/><Relationship Id="rId28" Type="http://schemas.openxmlformats.org/officeDocument/2006/relationships/hyperlink" Target="https://spcommreports.ohchr.org/TMResultsBase/DownLoadPublicCommunicationFile?gId=28915" TargetMode="External"/><Relationship Id="rId36" Type="http://schemas.openxmlformats.org/officeDocument/2006/relationships/hyperlink" Target="https://commodity.com/trading/exchanges/london-metal/%3e%E2%80%98." TargetMode="External"/><Relationship Id="rId49" Type="http://schemas.openxmlformats.org/officeDocument/2006/relationships/hyperlink" Target="https://www.cilc.nl/cms/wp-content/uploads/2019/12/The-Hague-Rules-on-Business-and-Human-Rights-Arbitration_CILC-digital-version.pdf" TargetMode="External"/><Relationship Id="rId57" Type="http://schemas.openxmlformats.org/officeDocument/2006/relationships/hyperlink" Target="https://www.iisd.org/itn/en/2024/04/02/unidroit-and-icc-are-working-on-investment-contract-harmonisation" TargetMode="External"/><Relationship Id="rId10" Type="http://schemas.openxmlformats.org/officeDocument/2006/relationships/hyperlink" Target="https://www.ohchr.org/en/documents/general-comments-and-recommendations/general-comment-no-24-2017-state-obligations-context" TargetMode="External"/><Relationship Id="rId31" Type="http://schemas.openxmlformats.org/officeDocument/2006/relationships/hyperlink" Target="http://www.leighday.co.uk/news/cases-and-testimonials/cases/barrick-gold/" TargetMode="External"/><Relationship Id="rId44" Type="http://schemas.openxmlformats.org/officeDocument/2006/relationships/hyperlink" Target="https://dataphyte.com/latest-reports/2023-budget-10-ministries-share-29-6-percent-of-the-total-expenditure/" TargetMode="External"/><Relationship Id="rId52" Type="http://schemas.openxmlformats.org/officeDocument/2006/relationships/hyperlink" Target="https://uncitral.un.org/en/appellatemechanis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iEg+aDB7UKsrRrQJj0T7IyzA6Q==">CgMxLjAyDmguOTZyMWJjamVxcm9mMg5oLnN1b292bHZpMDNrdjIIaC5namRneHMyCWguMzBqMHpsbDIJaC4xZm9iOXRlMgloLjN6bnlzaDc4AHIhMThoRG84NDVlME1IRDA4WlFUTGJXSjFkdUZQNEV3eXZs</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4BDCFAF-C0F7-41BC-B060-178890A36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20</Pages>
  <Words>8169</Words>
  <Characters>46566</Characters>
  <Application>Microsoft Office Word</Application>
  <DocSecurity>2</DocSecurity>
  <Lines>388</Lines>
  <Paragraphs>109</Paragraphs>
  <ScaleCrop>false</ScaleCrop>
  <Company/>
  <LinksUpToDate>false</LinksUpToDate>
  <CharactersWithSpaces>54626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Leif Wenar</dc:creator>
  <cp:lastModifiedBy>Liz Gilmore</cp:lastModifiedBy>
  <cp:revision>3</cp:revision>
  <cp:lastPrinted>2025-01-12T17:39:00Z</cp:lastPrinted>
  <dcterms:created xsi:type="dcterms:W3CDTF">2025-01-12T17:52:00Z</dcterms:created>
  <dcterms:modified xsi:type="dcterms:W3CDTF">2025-01-12T17:54:00Z</dcterms:modified>
</cp:coreProperties>
</file>