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6D4F994F" w:rsidR="00C60456" w:rsidRDefault="00C60456">
      <w:pPr>
        <w:spacing w:after="200" w:line="360" w:lineRule="auto"/>
        <w:ind w:left="720"/>
        <w:jc w:val="center"/>
        <w:rPr>
          <w:b/>
          <w:color w:val="0B5394"/>
          <w:sz w:val="36"/>
          <w:szCs w:val="36"/>
        </w:rPr>
      </w:pPr>
    </w:p>
    <w:p w14:paraId="00000002" w14:textId="2DABB64F" w:rsidR="00C60456" w:rsidRDefault="00C60456">
      <w:pPr>
        <w:spacing w:after="200" w:line="360" w:lineRule="auto"/>
        <w:ind w:left="720"/>
        <w:jc w:val="center"/>
        <w:rPr>
          <w:b/>
          <w:color w:val="0B5394"/>
          <w:sz w:val="36"/>
          <w:szCs w:val="36"/>
        </w:rPr>
      </w:pPr>
    </w:p>
    <w:p w14:paraId="00000003" w14:textId="7447F704" w:rsidR="00C60456" w:rsidRDefault="00C60456">
      <w:pPr>
        <w:spacing w:after="200" w:line="360" w:lineRule="auto"/>
        <w:ind w:left="720"/>
        <w:jc w:val="center"/>
        <w:rPr>
          <w:b/>
          <w:color w:val="0B5394"/>
          <w:sz w:val="36"/>
          <w:szCs w:val="36"/>
        </w:rPr>
      </w:pPr>
    </w:p>
    <w:p w14:paraId="00000004" w14:textId="0FEA33DA" w:rsidR="00C60456" w:rsidRPr="000231F9" w:rsidRDefault="0007730F">
      <w:pPr>
        <w:spacing w:after="200" w:line="360" w:lineRule="auto"/>
        <w:ind w:left="720"/>
        <w:jc w:val="center"/>
        <w:rPr>
          <w:b/>
          <w:color w:val="0B5394"/>
          <w:sz w:val="36"/>
          <w:szCs w:val="36"/>
          <w:lang w:val="es-AR"/>
        </w:rPr>
      </w:pPr>
      <w:r w:rsidRPr="000231F9">
        <w:rPr>
          <w:b/>
          <w:color w:val="0B5394"/>
          <w:sz w:val="36"/>
          <w:szCs w:val="36"/>
          <w:lang w:val="es-AR"/>
        </w:rPr>
        <w:t>INFORME ALTERNO PREPARADO POR ORGANIZACIONES DE LA SOCIEDAD CIVIL ANTE EL COMITÉ DE LOS DERECHOS DEL NIÑO DE LAS NACIONES UNIDAS</w:t>
      </w:r>
    </w:p>
    <w:p w14:paraId="00000005" w14:textId="77777777" w:rsidR="00C60456" w:rsidRPr="00C76D00" w:rsidRDefault="0007730F">
      <w:pPr>
        <w:spacing w:after="200" w:line="360" w:lineRule="auto"/>
        <w:ind w:left="720"/>
        <w:jc w:val="center"/>
        <w:rPr>
          <w:b/>
          <w:color w:val="0B5394"/>
          <w:sz w:val="36"/>
          <w:szCs w:val="36"/>
          <w:lang w:val="es-AR"/>
        </w:rPr>
      </w:pPr>
      <w:r w:rsidRPr="00C76D00">
        <w:rPr>
          <w:b/>
          <w:color w:val="0B5394"/>
          <w:sz w:val="36"/>
          <w:szCs w:val="36"/>
          <w:lang w:val="es-AR"/>
        </w:rPr>
        <w:t>2024</w:t>
      </w:r>
    </w:p>
    <w:p w14:paraId="00000006" w14:textId="77777777" w:rsidR="00C60456" w:rsidRPr="00C76D00" w:rsidRDefault="00C60456">
      <w:pPr>
        <w:spacing w:after="200" w:line="360" w:lineRule="auto"/>
        <w:ind w:left="720"/>
        <w:jc w:val="center"/>
        <w:rPr>
          <w:b/>
          <w:color w:val="0B5394"/>
          <w:sz w:val="36"/>
          <w:szCs w:val="36"/>
          <w:lang w:val="es-AR"/>
        </w:rPr>
      </w:pPr>
    </w:p>
    <w:p w14:paraId="00000007" w14:textId="3865DB5F" w:rsidR="00C60456" w:rsidRPr="000231F9" w:rsidRDefault="0007730F">
      <w:pPr>
        <w:spacing w:after="200" w:line="360" w:lineRule="auto"/>
        <w:ind w:left="720"/>
        <w:jc w:val="both"/>
        <w:rPr>
          <w:rFonts w:ascii="Roboto" w:eastAsia="Roboto" w:hAnsi="Roboto" w:cs="Roboto"/>
          <w:color w:val="0D0D0D"/>
          <w:sz w:val="24"/>
          <w:szCs w:val="24"/>
          <w:lang w:val="es-AR"/>
        </w:rPr>
      </w:pPr>
      <w:r w:rsidRPr="000231F9">
        <w:rPr>
          <w:b/>
          <w:sz w:val="24"/>
          <w:szCs w:val="24"/>
          <w:lang w:val="es-AR"/>
        </w:rPr>
        <w:t xml:space="preserve">Presentado por: </w:t>
      </w:r>
      <w:r w:rsidRPr="000231F9">
        <w:rPr>
          <w:rFonts w:ascii="Roboto" w:eastAsia="Roboto" w:hAnsi="Roboto" w:cs="Roboto"/>
          <w:color w:val="0D0D0D"/>
          <w:sz w:val="24"/>
          <w:szCs w:val="24"/>
          <w:lang w:val="es-AR"/>
        </w:rPr>
        <w:t>Asociación Santa Rita para la Educación y Promoción (FUNSAREP), Centro Cultural las Colinas (CECUCOL), Corporación Convivamos, Fundación Creciendo Unidos, FIAN Colombia, Humanidad Vigente Corporación Jurídica (HVCJ), PAS (Pensamiento y Acción Social), Plataforma Colombiana por el Protagonismo de Niñas, Niños y Jóvenes, Terre des Hommes Alemania (TDHA), Terre des Hommes Suiza (TDHS).</w:t>
      </w:r>
    </w:p>
    <w:p w14:paraId="43DAAFD4" w14:textId="108FB932" w:rsidR="001077BB" w:rsidRDefault="0007730F" w:rsidP="001077BB">
      <w:pPr>
        <w:pStyle w:val="NormalWeb"/>
      </w:pPr>
      <w:r>
        <w:rPr>
          <w:noProof/>
        </w:rPr>
        <w:drawing>
          <wp:anchor distT="0" distB="0" distL="114300" distR="114300" simplePos="0" relativeHeight="251660288" behindDoc="0" locked="0" layoutInCell="1" allowOverlap="1" wp14:anchorId="1DC9053D" wp14:editId="5E193204">
            <wp:simplePos x="0" y="0"/>
            <wp:positionH relativeFrom="margin">
              <wp:posOffset>2265901</wp:posOffset>
            </wp:positionH>
            <wp:positionV relativeFrom="paragraph">
              <wp:posOffset>276998</wp:posOffset>
            </wp:positionV>
            <wp:extent cx="1581785" cy="98869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81785" cy="988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494C">
        <w:rPr>
          <w:noProof/>
        </w:rPr>
        <w:drawing>
          <wp:anchor distT="0" distB="0" distL="114300" distR="114300" simplePos="0" relativeHeight="251658240" behindDoc="0" locked="0" layoutInCell="1" allowOverlap="1" wp14:anchorId="7CE48C11" wp14:editId="3D5FA978">
            <wp:simplePos x="0" y="0"/>
            <wp:positionH relativeFrom="margin">
              <wp:posOffset>-29182</wp:posOffset>
            </wp:positionH>
            <wp:positionV relativeFrom="paragraph">
              <wp:posOffset>245137</wp:posOffset>
            </wp:positionV>
            <wp:extent cx="581025" cy="762635"/>
            <wp:effectExtent l="0" t="0" r="952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1025" cy="762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5F496E" w14:textId="79D6556B" w:rsidR="000D1300" w:rsidRDefault="00EF494C" w:rsidP="000D1300">
      <w:pPr>
        <w:pStyle w:val="NormalWeb"/>
      </w:pPr>
      <w:r>
        <w:rPr>
          <w:noProof/>
        </w:rPr>
        <w:drawing>
          <wp:anchor distT="0" distB="0" distL="114300" distR="114300" simplePos="0" relativeHeight="251659264" behindDoc="0" locked="0" layoutInCell="1" allowOverlap="1" wp14:anchorId="11EAAA12" wp14:editId="38349B03">
            <wp:simplePos x="0" y="0"/>
            <wp:positionH relativeFrom="column">
              <wp:posOffset>765810</wp:posOffset>
            </wp:positionH>
            <wp:positionV relativeFrom="paragraph">
              <wp:posOffset>81915</wp:posOffset>
            </wp:positionV>
            <wp:extent cx="1503045" cy="480695"/>
            <wp:effectExtent l="0" t="0" r="1905"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03045" cy="480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F7869">
        <w:rPr>
          <w:noProof/>
        </w:rPr>
        <w:drawing>
          <wp:anchor distT="0" distB="0" distL="114300" distR="114300" simplePos="0" relativeHeight="251661312" behindDoc="0" locked="0" layoutInCell="1" allowOverlap="1" wp14:anchorId="64B9DBAD" wp14:editId="5F020516">
            <wp:simplePos x="0" y="0"/>
            <wp:positionH relativeFrom="column">
              <wp:posOffset>5119978</wp:posOffset>
            </wp:positionH>
            <wp:positionV relativeFrom="paragraph">
              <wp:posOffset>219269</wp:posOffset>
            </wp:positionV>
            <wp:extent cx="1502875" cy="663128"/>
            <wp:effectExtent l="0" t="0" r="2540" b="381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02875" cy="663128"/>
                    </a:xfrm>
                    <a:prstGeom prst="rect">
                      <a:avLst/>
                    </a:prstGeom>
                  </pic:spPr>
                </pic:pic>
              </a:graphicData>
            </a:graphic>
          </wp:anchor>
        </w:drawing>
      </w:r>
      <w:r>
        <w:rPr>
          <w:noProof/>
        </w:rPr>
        <w:drawing>
          <wp:anchor distT="0" distB="0" distL="114300" distR="114300" simplePos="0" relativeHeight="251662336" behindDoc="0" locked="0" layoutInCell="1" allowOverlap="1" wp14:anchorId="464E3A3B" wp14:editId="2AB1363A">
            <wp:simplePos x="0" y="0"/>
            <wp:positionH relativeFrom="column">
              <wp:posOffset>3939982</wp:posOffset>
            </wp:positionH>
            <wp:positionV relativeFrom="paragraph">
              <wp:posOffset>183239</wp:posOffset>
            </wp:positionV>
            <wp:extent cx="1078230" cy="606425"/>
            <wp:effectExtent l="0" t="0" r="7620" b="3175"/>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8230" cy="606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1CB509" w14:textId="760B0701" w:rsidR="00D2780D" w:rsidRDefault="00D2780D" w:rsidP="00D2780D">
      <w:pPr>
        <w:pStyle w:val="NormalWeb"/>
      </w:pPr>
    </w:p>
    <w:p w14:paraId="5E1D5D0C" w14:textId="132E5F37" w:rsidR="00B238E6" w:rsidRDefault="00EF494C" w:rsidP="00B238E6">
      <w:pPr>
        <w:pStyle w:val="NormalWeb"/>
      </w:pPr>
      <w:r>
        <w:rPr>
          <w:noProof/>
        </w:rPr>
        <w:drawing>
          <wp:anchor distT="0" distB="0" distL="114300" distR="114300" simplePos="0" relativeHeight="251665408" behindDoc="0" locked="0" layoutInCell="1" allowOverlap="1" wp14:anchorId="3C5873CD" wp14:editId="54C8F622">
            <wp:simplePos x="0" y="0"/>
            <wp:positionH relativeFrom="column">
              <wp:posOffset>5247005</wp:posOffset>
            </wp:positionH>
            <wp:positionV relativeFrom="paragraph">
              <wp:posOffset>161290</wp:posOffset>
            </wp:positionV>
            <wp:extent cx="1350645" cy="512445"/>
            <wp:effectExtent l="0" t="0" r="1905"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0645" cy="512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51215">
        <w:rPr>
          <w:noProof/>
        </w:rPr>
        <w:drawing>
          <wp:anchor distT="0" distB="0" distL="114300" distR="114300" simplePos="0" relativeHeight="251667456" behindDoc="0" locked="0" layoutInCell="1" allowOverlap="1" wp14:anchorId="1D3CDD84" wp14:editId="00701BB8">
            <wp:simplePos x="0" y="0"/>
            <wp:positionH relativeFrom="column">
              <wp:posOffset>3676516</wp:posOffset>
            </wp:positionH>
            <wp:positionV relativeFrom="paragraph">
              <wp:posOffset>280835</wp:posOffset>
            </wp:positionV>
            <wp:extent cx="1516953" cy="256343"/>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t="2062"/>
                    <a:stretch/>
                  </pic:blipFill>
                  <pic:spPr bwMode="auto">
                    <a:xfrm>
                      <a:off x="0" y="0"/>
                      <a:ext cx="1516953" cy="256343"/>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64384" behindDoc="0" locked="0" layoutInCell="1" allowOverlap="1" wp14:anchorId="629AB356" wp14:editId="3A650DB6">
            <wp:simplePos x="0" y="0"/>
            <wp:positionH relativeFrom="column">
              <wp:posOffset>1020445</wp:posOffset>
            </wp:positionH>
            <wp:positionV relativeFrom="paragraph">
              <wp:posOffset>8835</wp:posOffset>
            </wp:positionV>
            <wp:extent cx="628650" cy="666799"/>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8650" cy="666799"/>
                    </a:xfrm>
                    <a:prstGeom prst="rect">
                      <a:avLst/>
                    </a:prstGeom>
                    <a:noFill/>
                    <a:ln>
                      <a:noFill/>
                    </a:ln>
                  </pic:spPr>
                </pic:pic>
              </a:graphicData>
            </a:graphic>
          </wp:anchor>
        </w:drawing>
      </w:r>
      <w:r>
        <w:rPr>
          <w:noProof/>
        </w:rPr>
        <w:drawing>
          <wp:anchor distT="0" distB="0" distL="114300" distR="114300" simplePos="0" relativeHeight="251663360" behindDoc="0" locked="0" layoutInCell="1" allowOverlap="1" wp14:anchorId="5898FC27" wp14:editId="4D28FB11">
            <wp:simplePos x="0" y="0"/>
            <wp:positionH relativeFrom="margin">
              <wp:posOffset>-398477</wp:posOffset>
            </wp:positionH>
            <wp:positionV relativeFrom="paragraph">
              <wp:posOffset>157867</wp:posOffset>
            </wp:positionV>
            <wp:extent cx="1270000" cy="422910"/>
            <wp:effectExtent l="0" t="0" r="635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70000" cy="422910"/>
                    </a:xfrm>
                    <a:prstGeom prst="rect">
                      <a:avLst/>
                    </a:prstGeom>
                    <a:noFill/>
                    <a:ln>
                      <a:noFill/>
                    </a:ln>
                  </pic:spPr>
                </pic:pic>
              </a:graphicData>
            </a:graphic>
          </wp:anchor>
        </w:drawing>
      </w:r>
      <w:r>
        <w:rPr>
          <w:noProof/>
        </w:rPr>
        <w:drawing>
          <wp:anchor distT="0" distB="0" distL="114300" distR="114300" simplePos="0" relativeHeight="251666432" behindDoc="0" locked="0" layoutInCell="1" allowOverlap="1" wp14:anchorId="152C4345" wp14:editId="07C0A2F7">
            <wp:simplePos x="0" y="0"/>
            <wp:positionH relativeFrom="margin">
              <wp:posOffset>1679575</wp:posOffset>
            </wp:positionH>
            <wp:positionV relativeFrom="paragraph">
              <wp:posOffset>10160</wp:posOffset>
            </wp:positionV>
            <wp:extent cx="1897380" cy="803275"/>
            <wp:effectExtent l="0" t="0" r="762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97380" cy="803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1DC15B" w14:textId="5A7C60DC" w:rsidR="00924EFA" w:rsidRPr="00C76D00" w:rsidRDefault="00924EFA">
      <w:pPr>
        <w:rPr>
          <w:lang w:val="es-AR"/>
        </w:rPr>
      </w:pPr>
    </w:p>
    <w:sdt>
      <w:sdtPr>
        <w:rPr>
          <w:rFonts w:ascii="Arial" w:eastAsia="Arial" w:hAnsi="Arial" w:cs="Arial"/>
          <w:b w:val="0"/>
          <w:color w:val="auto"/>
          <w:sz w:val="22"/>
          <w:szCs w:val="22"/>
          <w:lang w:val="en" w:eastAsia="en-GB"/>
        </w:rPr>
        <w:id w:val="273059362"/>
        <w:docPartObj>
          <w:docPartGallery w:val="Table of Contents"/>
          <w:docPartUnique/>
        </w:docPartObj>
      </w:sdtPr>
      <w:sdtEndPr>
        <w:rPr>
          <w:bCs/>
          <w:noProof/>
        </w:rPr>
      </w:sdtEndPr>
      <w:sdtContent>
        <w:p w14:paraId="059FF806" w14:textId="6EC1493A" w:rsidR="00C76D00" w:rsidRPr="00C76D00" w:rsidRDefault="00C76D00">
          <w:pPr>
            <w:pStyle w:val="TOCHeading"/>
            <w:rPr>
              <w:rFonts w:asciiTheme="minorBidi" w:hAnsiTheme="minorBidi" w:cstheme="minorBidi"/>
              <w:sz w:val="22"/>
              <w:szCs w:val="22"/>
            </w:rPr>
          </w:pPr>
          <w:r w:rsidRPr="00C76D00">
            <w:rPr>
              <w:rFonts w:asciiTheme="minorBidi" w:hAnsiTheme="minorBidi" w:cstheme="minorBidi"/>
              <w:sz w:val="22"/>
              <w:szCs w:val="22"/>
            </w:rPr>
            <w:t>Contents</w:t>
          </w:r>
        </w:p>
        <w:p w14:paraId="44E7BDE4" w14:textId="6E9CD751" w:rsidR="00C76D00" w:rsidRPr="00C76D00" w:rsidRDefault="00C76D00">
          <w:pPr>
            <w:pStyle w:val="TOC1"/>
            <w:tabs>
              <w:tab w:val="right" w:leader="dot" w:pos="9350"/>
            </w:tabs>
            <w:rPr>
              <w:rFonts w:asciiTheme="minorBidi" w:hAnsiTheme="minorBidi" w:cstheme="minorBidi"/>
              <w:noProof/>
              <w:kern w:val="2"/>
              <w:lang w:val="en-GB" w:eastAsia="en-GB"/>
              <w14:ligatures w14:val="standardContextual"/>
            </w:rPr>
          </w:pPr>
          <w:r w:rsidRPr="00C76D00">
            <w:rPr>
              <w:rFonts w:asciiTheme="minorBidi" w:hAnsiTheme="minorBidi" w:cstheme="minorBidi"/>
            </w:rPr>
            <w:fldChar w:fldCharType="begin"/>
          </w:r>
          <w:r w:rsidRPr="00C76D00">
            <w:rPr>
              <w:rFonts w:asciiTheme="minorBidi" w:hAnsiTheme="minorBidi" w:cstheme="minorBidi"/>
            </w:rPr>
            <w:instrText xml:space="preserve"> TOC \o "1-3" \h \z \u </w:instrText>
          </w:r>
          <w:r w:rsidRPr="00C76D00">
            <w:rPr>
              <w:rFonts w:asciiTheme="minorBidi" w:hAnsiTheme="minorBidi" w:cstheme="minorBidi"/>
            </w:rPr>
            <w:fldChar w:fldCharType="separate"/>
          </w:r>
          <w:hyperlink w:anchor="_Toc181286223" w:history="1">
            <w:r w:rsidRPr="00C76D00">
              <w:rPr>
                <w:rStyle w:val="Hyperlink"/>
                <w:rFonts w:asciiTheme="minorBidi" w:hAnsiTheme="minorBidi" w:cstheme="minorBidi"/>
                <w:noProof/>
              </w:rPr>
              <w:t>INTRODUCCIÓN</w:t>
            </w:r>
            <w:r w:rsidRPr="00C76D00">
              <w:rPr>
                <w:rFonts w:asciiTheme="minorBidi" w:hAnsiTheme="minorBidi" w:cstheme="minorBidi"/>
                <w:noProof/>
                <w:webHidden/>
              </w:rPr>
              <w:tab/>
            </w:r>
            <w:r w:rsidRPr="00C76D00">
              <w:rPr>
                <w:rFonts w:asciiTheme="minorBidi" w:hAnsiTheme="minorBidi" w:cstheme="minorBidi"/>
                <w:noProof/>
                <w:webHidden/>
              </w:rPr>
              <w:fldChar w:fldCharType="begin"/>
            </w:r>
            <w:r w:rsidRPr="00C76D00">
              <w:rPr>
                <w:rFonts w:asciiTheme="minorBidi" w:hAnsiTheme="minorBidi" w:cstheme="minorBidi"/>
                <w:noProof/>
                <w:webHidden/>
              </w:rPr>
              <w:instrText xml:space="preserve"> PAGEREF _Toc181286223 \h </w:instrText>
            </w:r>
            <w:r w:rsidRPr="00C76D00">
              <w:rPr>
                <w:rFonts w:asciiTheme="minorBidi" w:hAnsiTheme="minorBidi" w:cstheme="minorBidi"/>
                <w:noProof/>
                <w:webHidden/>
              </w:rPr>
            </w:r>
            <w:r w:rsidRPr="00C76D00">
              <w:rPr>
                <w:rFonts w:asciiTheme="minorBidi" w:hAnsiTheme="minorBidi" w:cstheme="minorBidi"/>
                <w:noProof/>
                <w:webHidden/>
              </w:rPr>
              <w:fldChar w:fldCharType="separate"/>
            </w:r>
            <w:r w:rsidRPr="00C76D00">
              <w:rPr>
                <w:rFonts w:asciiTheme="minorBidi" w:hAnsiTheme="minorBidi" w:cstheme="minorBidi"/>
                <w:noProof/>
                <w:webHidden/>
              </w:rPr>
              <w:t>2</w:t>
            </w:r>
            <w:r w:rsidRPr="00C76D00">
              <w:rPr>
                <w:rFonts w:asciiTheme="minorBidi" w:hAnsiTheme="minorBidi" w:cstheme="minorBidi"/>
                <w:noProof/>
                <w:webHidden/>
              </w:rPr>
              <w:fldChar w:fldCharType="end"/>
            </w:r>
          </w:hyperlink>
        </w:p>
        <w:p w14:paraId="096C9D1D" w14:textId="28F68121" w:rsidR="00C76D00" w:rsidRPr="00C76D00" w:rsidRDefault="007E6225">
          <w:pPr>
            <w:pStyle w:val="TOC2"/>
            <w:tabs>
              <w:tab w:val="right" w:leader="dot" w:pos="9350"/>
            </w:tabs>
            <w:rPr>
              <w:rFonts w:asciiTheme="minorBidi" w:hAnsiTheme="minorBidi" w:cstheme="minorBidi"/>
              <w:noProof/>
              <w:kern w:val="2"/>
              <w:lang w:val="en-GB" w:eastAsia="en-GB"/>
              <w14:ligatures w14:val="standardContextual"/>
            </w:rPr>
          </w:pPr>
          <w:hyperlink w:anchor="_Toc181286224" w:history="1">
            <w:r w:rsidR="00C76D00" w:rsidRPr="00C76D00">
              <w:rPr>
                <w:rStyle w:val="Hyperlink"/>
                <w:rFonts w:asciiTheme="minorBidi" w:hAnsiTheme="minorBidi" w:cstheme="minorBidi"/>
                <w:noProof/>
              </w:rPr>
              <w:t>Presentación</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_Toc181286224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2</w:t>
            </w:r>
            <w:r w:rsidR="00C76D00" w:rsidRPr="00C76D00">
              <w:rPr>
                <w:rFonts w:asciiTheme="minorBidi" w:hAnsiTheme="minorBidi" w:cstheme="minorBidi"/>
                <w:noProof/>
                <w:webHidden/>
              </w:rPr>
              <w:fldChar w:fldCharType="end"/>
            </w:r>
          </w:hyperlink>
        </w:p>
        <w:p w14:paraId="26D40760" w14:textId="696469D9" w:rsidR="00C76D00" w:rsidRPr="00C76D00" w:rsidRDefault="007E6225">
          <w:pPr>
            <w:pStyle w:val="TOC1"/>
            <w:tabs>
              <w:tab w:val="right" w:leader="dot" w:pos="9350"/>
            </w:tabs>
            <w:rPr>
              <w:rFonts w:asciiTheme="minorBidi" w:hAnsiTheme="minorBidi" w:cstheme="minorBidi"/>
              <w:noProof/>
              <w:kern w:val="2"/>
              <w:lang w:val="en-GB" w:eastAsia="en-GB"/>
              <w14:ligatures w14:val="standardContextual"/>
            </w:rPr>
          </w:pPr>
          <w:hyperlink w:anchor="_Toc181286225" w:history="1">
            <w:r w:rsidR="00C76D00" w:rsidRPr="00C76D00">
              <w:rPr>
                <w:rStyle w:val="Hyperlink"/>
                <w:rFonts w:asciiTheme="minorBidi" w:hAnsiTheme="minorBidi" w:cstheme="minorBidi"/>
                <w:noProof/>
                <w:lang w:val="es-AR"/>
              </w:rPr>
              <w:t>CAPÍTULO 1. VIOLENCIAS CONTRA NNA EN EL MARCO DEL CONFLICTO ARMADO</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_Toc181286225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4</w:t>
            </w:r>
            <w:r w:rsidR="00C76D00" w:rsidRPr="00C76D00">
              <w:rPr>
                <w:rFonts w:asciiTheme="minorBidi" w:hAnsiTheme="minorBidi" w:cstheme="minorBidi"/>
                <w:noProof/>
                <w:webHidden/>
              </w:rPr>
              <w:fldChar w:fldCharType="end"/>
            </w:r>
          </w:hyperlink>
        </w:p>
        <w:p w14:paraId="2F2BBD4D" w14:textId="567C846F" w:rsidR="00C76D00" w:rsidRPr="00C76D00" w:rsidRDefault="007E6225">
          <w:pPr>
            <w:pStyle w:val="TOC2"/>
            <w:tabs>
              <w:tab w:val="right" w:leader="dot" w:pos="9350"/>
            </w:tabs>
            <w:rPr>
              <w:rFonts w:asciiTheme="minorBidi" w:hAnsiTheme="minorBidi" w:cstheme="minorBidi"/>
              <w:noProof/>
              <w:kern w:val="2"/>
              <w:lang w:val="en-GB" w:eastAsia="en-GB"/>
              <w14:ligatures w14:val="standardContextual"/>
            </w:rPr>
          </w:pPr>
          <w:hyperlink w:anchor="_Toc181286226" w:history="1">
            <w:r w:rsidR="00C76D00" w:rsidRPr="00C76D00">
              <w:rPr>
                <w:rStyle w:val="Hyperlink"/>
                <w:rFonts w:asciiTheme="minorBidi" w:hAnsiTheme="minorBidi" w:cstheme="minorBidi"/>
                <w:noProof/>
                <w:lang w:val="es-AR"/>
              </w:rPr>
              <w:t>1.1. Información general</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_Toc181286226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4</w:t>
            </w:r>
            <w:r w:rsidR="00C76D00" w:rsidRPr="00C76D00">
              <w:rPr>
                <w:rFonts w:asciiTheme="minorBidi" w:hAnsiTheme="minorBidi" w:cstheme="minorBidi"/>
                <w:noProof/>
                <w:webHidden/>
              </w:rPr>
              <w:fldChar w:fldCharType="end"/>
            </w:r>
          </w:hyperlink>
        </w:p>
        <w:p w14:paraId="3C09FB21" w14:textId="44CB9433" w:rsidR="00C76D00" w:rsidRPr="00C76D00" w:rsidRDefault="007E6225">
          <w:pPr>
            <w:pStyle w:val="TOC2"/>
            <w:tabs>
              <w:tab w:val="right" w:leader="dot" w:pos="9350"/>
            </w:tabs>
            <w:rPr>
              <w:rFonts w:asciiTheme="minorBidi" w:hAnsiTheme="minorBidi" w:cstheme="minorBidi"/>
              <w:noProof/>
              <w:kern w:val="2"/>
              <w:lang w:val="en-GB" w:eastAsia="en-GB"/>
              <w14:ligatures w14:val="standardContextual"/>
            </w:rPr>
          </w:pPr>
          <w:hyperlink w:anchor="_Toc181286227" w:history="1">
            <w:r w:rsidR="00C76D00" w:rsidRPr="00C76D00">
              <w:rPr>
                <w:rStyle w:val="Hyperlink"/>
                <w:rFonts w:asciiTheme="minorBidi" w:hAnsiTheme="minorBidi" w:cstheme="minorBidi"/>
                <w:noProof/>
                <w:lang w:val="es-AR"/>
              </w:rPr>
              <w:t>1.2. El Estado colombiano no adopta medidas efectivas para prevenir el reclutamiento de NNA</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_Toc181286227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5</w:t>
            </w:r>
            <w:r w:rsidR="00C76D00" w:rsidRPr="00C76D00">
              <w:rPr>
                <w:rFonts w:asciiTheme="minorBidi" w:hAnsiTheme="minorBidi" w:cstheme="minorBidi"/>
                <w:noProof/>
                <w:webHidden/>
              </w:rPr>
              <w:fldChar w:fldCharType="end"/>
            </w:r>
          </w:hyperlink>
        </w:p>
        <w:p w14:paraId="65F3F7C1" w14:textId="6932EBC5" w:rsidR="00C76D00" w:rsidRPr="00C76D00" w:rsidRDefault="007E6225">
          <w:pPr>
            <w:pStyle w:val="TOC2"/>
            <w:tabs>
              <w:tab w:val="left" w:pos="960"/>
              <w:tab w:val="right" w:leader="dot" w:pos="9350"/>
            </w:tabs>
            <w:rPr>
              <w:rFonts w:asciiTheme="minorBidi" w:hAnsiTheme="minorBidi" w:cstheme="minorBidi"/>
              <w:noProof/>
              <w:kern w:val="2"/>
              <w:lang w:val="en-GB" w:eastAsia="en-GB"/>
              <w14:ligatures w14:val="standardContextual"/>
            </w:rPr>
          </w:pPr>
          <w:hyperlink w:anchor="_Toc181286228" w:history="1">
            <w:r w:rsidR="00C76D00" w:rsidRPr="00C76D00">
              <w:rPr>
                <w:rStyle w:val="Hyperlink"/>
                <w:rFonts w:asciiTheme="minorBidi" w:hAnsiTheme="minorBidi" w:cstheme="minorBidi"/>
                <w:noProof/>
                <w:lang w:val="es-AR"/>
              </w:rPr>
              <w:t>1.3.</w:t>
            </w:r>
            <w:r w:rsidR="00C76D00" w:rsidRPr="00C76D00">
              <w:rPr>
                <w:rFonts w:asciiTheme="minorBidi" w:hAnsiTheme="minorBidi" w:cstheme="minorBidi"/>
                <w:noProof/>
                <w:kern w:val="2"/>
                <w:lang w:val="en-GB" w:eastAsia="en-GB"/>
                <w14:ligatures w14:val="standardContextual"/>
              </w:rPr>
              <w:tab/>
            </w:r>
            <w:r w:rsidR="00C76D00" w:rsidRPr="00C76D00">
              <w:rPr>
                <w:rStyle w:val="Hyperlink"/>
                <w:rFonts w:asciiTheme="minorBidi" w:hAnsiTheme="minorBidi" w:cstheme="minorBidi"/>
                <w:noProof/>
                <w:lang w:val="es-AR"/>
              </w:rPr>
              <w:t>El Estado atacó indiscriminadamente a NNA reclutados y les revictimizó</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_Toc181286228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9</w:t>
            </w:r>
            <w:r w:rsidR="00C76D00" w:rsidRPr="00C76D00">
              <w:rPr>
                <w:rFonts w:asciiTheme="minorBidi" w:hAnsiTheme="minorBidi" w:cstheme="minorBidi"/>
                <w:noProof/>
                <w:webHidden/>
              </w:rPr>
              <w:fldChar w:fldCharType="end"/>
            </w:r>
          </w:hyperlink>
        </w:p>
        <w:p w14:paraId="5B748DFD" w14:textId="6E28D0F6" w:rsidR="00C76D00" w:rsidRPr="00C76D00" w:rsidRDefault="007E6225">
          <w:pPr>
            <w:pStyle w:val="TOC2"/>
            <w:tabs>
              <w:tab w:val="right" w:leader="dot" w:pos="9350"/>
            </w:tabs>
            <w:rPr>
              <w:rFonts w:asciiTheme="minorBidi" w:hAnsiTheme="minorBidi" w:cstheme="minorBidi"/>
              <w:noProof/>
              <w:kern w:val="2"/>
              <w:lang w:val="en-GB" w:eastAsia="en-GB"/>
              <w14:ligatures w14:val="standardContextual"/>
            </w:rPr>
          </w:pPr>
          <w:hyperlink w:anchor="_Toc181286229" w:history="1">
            <w:r w:rsidR="00C76D00" w:rsidRPr="00C76D00">
              <w:rPr>
                <w:rStyle w:val="Hyperlink"/>
                <w:rFonts w:asciiTheme="minorBidi" w:hAnsiTheme="minorBidi" w:cstheme="minorBidi"/>
                <w:noProof/>
                <w:lang w:val="es-AR"/>
              </w:rPr>
              <w:t>1.4. Sufrimiento transgeneracional en el conflicto armado</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_Toc181286229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12</w:t>
            </w:r>
            <w:r w:rsidR="00C76D00" w:rsidRPr="00C76D00">
              <w:rPr>
                <w:rFonts w:asciiTheme="minorBidi" w:hAnsiTheme="minorBidi" w:cstheme="minorBidi"/>
                <w:noProof/>
                <w:webHidden/>
              </w:rPr>
              <w:fldChar w:fldCharType="end"/>
            </w:r>
          </w:hyperlink>
        </w:p>
        <w:p w14:paraId="21780BD0" w14:textId="70E4B76E" w:rsidR="00C76D00" w:rsidRPr="00C76D00" w:rsidRDefault="007E6225">
          <w:pPr>
            <w:pStyle w:val="TOC1"/>
            <w:tabs>
              <w:tab w:val="right" w:leader="dot" w:pos="9350"/>
            </w:tabs>
            <w:rPr>
              <w:rFonts w:asciiTheme="minorBidi" w:hAnsiTheme="minorBidi" w:cstheme="minorBidi"/>
              <w:noProof/>
              <w:kern w:val="2"/>
              <w:lang w:val="en-GB" w:eastAsia="en-GB"/>
              <w14:ligatures w14:val="standardContextual"/>
            </w:rPr>
          </w:pPr>
          <w:hyperlink w:anchor="_Toc181286230" w:history="1">
            <w:r w:rsidR="00C76D00" w:rsidRPr="00C76D00">
              <w:rPr>
                <w:rStyle w:val="Hyperlink"/>
                <w:rFonts w:asciiTheme="minorBidi" w:hAnsiTheme="minorBidi" w:cstheme="minorBidi"/>
                <w:noProof/>
                <w:lang w:val="es-AR"/>
              </w:rPr>
              <w:t>CAPÍTULO 2. VIOLENCIAS CONTRA NN NO NECESARIAMENTE LIGADAS AL CONFLICTO ARMADO</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_Toc181286230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13</w:t>
            </w:r>
            <w:r w:rsidR="00C76D00" w:rsidRPr="00C76D00">
              <w:rPr>
                <w:rFonts w:asciiTheme="minorBidi" w:hAnsiTheme="minorBidi" w:cstheme="minorBidi"/>
                <w:noProof/>
                <w:webHidden/>
              </w:rPr>
              <w:fldChar w:fldCharType="end"/>
            </w:r>
          </w:hyperlink>
        </w:p>
        <w:p w14:paraId="1569E96E" w14:textId="37C88F01" w:rsidR="00C76D00" w:rsidRPr="00C76D00" w:rsidRDefault="007E6225">
          <w:pPr>
            <w:pStyle w:val="TOC2"/>
            <w:tabs>
              <w:tab w:val="right" w:leader="dot" w:pos="9350"/>
            </w:tabs>
            <w:rPr>
              <w:rFonts w:asciiTheme="minorBidi" w:hAnsiTheme="minorBidi" w:cstheme="minorBidi"/>
              <w:noProof/>
              <w:kern w:val="2"/>
              <w:lang w:val="en-GB" w:eastAsia="en-GB"/>
              <w14:ligatures w14:val="standardContextual"/>
            </w:rPr>
          </w:pPr>
          <w:hyperlink w:anchor="_Toc181286231" w:history="1">
            <w:r w:rsidR="00C76D00" w:rsidRPr="00C76D00">
              <w:rPr>
                <w:rStyle w:val="Hyperlink"/>
                <w:rFonts w:asciiTheme="minorBidi" w:hAnsiTheme="minorBidi" w:cstheme="minorBidi"/>
                <w:noProof/>
                <w:lang w:val="es-AR"/>
              </w:rPr>
              <w:t>2.1.  Falta de debida diligencia frente a la investigación y juzgamiento de delitos en perjuicio de NN</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_Toc181286231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13</w:t>
            </w:r>
            <w:r w:rsidR="00C76D00" w:rsidRPr="00C76D00">
              <w:rPr>
                <w:rFonts w:asciiTheme="minorBidi" w:hAnsiTheme="minorBidi" w:cstheme="minorBidi"/>
                <w:noProof/>
                <w:webHidden/>
              </w:rPr>
              <w:fldChar w:fldCharType="end"/>
            </w:r>
          </w:hyperlink>
        </w:p>
        <w:p w14:paraId="1B2CE3A6" w14:textId="3F9E5913" w:rsidR="00C76D00" w:rsidRPr="00C76D00" w:rsidRDefault="007E6225">
          <w:pPr>
            <w:pStyle w:val="TOC2"/>
            <w:tabs>
              <w:tab w:val="right" w:leader="dot" w:pos="9350"/>
            </w:tabs>
            <w:rPr>
              <w:rFonts w:asciiTheme="minorBidi" w:hAnsiTheme="minorBidi" w:cstheme="minorBidi"/>
              <w:noProof/>
              <w:kern w:val="2"/>
              <w:lang w:val="en-GB" w:eastAsia="en-GB"/>
              <w14:ligatures w14:val="standardContextual"/>
            </w:rPr>
          </w:pPr>
          <w:hyperlink w:anchor="_Toc181286232" w:history="1">
            <w:r w:rsidR="00C76D00" w:rsidRPr="00C76D00">
              <w:rPr>
                <w:rStyle w:val="Hyperlink"/>
                <w:rFonts w:asciiTheme="minorBidi" w:hAnsiTheme="minorBidi" w:cstheme="minorBidi"/>
                <w:noProof/>
                <w:lang w:val="es-AR"/>
              </w:rPr>
              <w:t>2.2. Explotación sexual comercial contra niñas, niños y adolescentes ESCNNA</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_Toc181286232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15</w:t>
            </w:r>
            <w:r w:rsidR="00C76D00" w:rsidRPr="00C76D00">
              <w:rPr>
                <w:rFonts w:asciiTheme="minorBidi" w:hAnsiTheme="minorBidi" w:cstheme="minorBidi"/>
                <w:noProof/>
                <w:webHidden/>
              </w:rPr>
              <w:fldChar w:fldCharType="end"/>
            </w:r>
          </w:hyperlink>
        </w:p>
        <w:p w14:paraId="2426241C" w14:textId="1BF541C8" w:rsidR="00C76D00" w:rsidRPr="00C76D00" w:rsidRDefault="007E6225">
          <w:pPr>
            <w:pStyle w:val="TOC2"/>
            <w:tabs>
              <w:tab w:val="right" w:leader="dot" w:pos="9350"/>
            </w:tabs>
            <w:rPr>
              <w:rFonts w:asciiTheme="minorBidi" w:hAnsiTheme="minorBidi" w:cstheme="minorBidi"/>
              <w:noProof/>
              <w:kern w:val="2"/>
              <w:lang w:val="en-GB" w:eastAsia="en-GB"/>
              <w14:ligatures w14:val="standardContextual"/>
            </w:rPr>
          </w:pPr>
          <w:hyperlink w:anchor="_Toc181286233" w:history="1">
            <w:r w:rsidR="00C76D00" w:rsidRPr="00C76D00">
              <w:rPr>
                <w:rStyle w:val="Hyperlink"/>
                <w:rFonts w:asciiTheme="minorBidi" w:hAnsiTheme="minorBidi" w:cstheme="minorBidi"/>
                <w:noProof/>
                <w:lang w:val="es-AR"/>
              </w:rPr>
              <w:t>2.3. Tráfico y porte de Armas</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_Toc181286233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17</w:t>
            </w:r>
            <w:r w:rsidR="00C76D00" w:rsidRPr="00C76D00">
              <w:rPr>
                <w:rFonts w:asciiTheme="minorBidi" w:hAnsiTheme="minorBidi" w:cstheme="minorBidi"/>
                <w:noProof/>
                <w:webHidden/>
              </w:rPr>
              <w:fldChar w:fldCharType="end"/>
            </w:r>
          </w:hyperlink>
        </w:p>
        <w:p w14:paraId="6644009D" w14:textId="782FF31E" w:rsidR="00C76D00" w:rsidRPr="00C76D00" w:rsidRDefault="007E6225">
          <w:pPr>
            <w:pStyle w:val="TOC2"/>
            <w:tabs>
              <w:tab w:val="right" w:leader="dot" w:pos="9350"/>
            </w:tabs>
            <w:rPr>
              <w:rFonts w:asciiTheme="minorBidi" w:hAnsiTheme="minorBidi" w:cstheme="minorBidi"/>
              <w:noProof/>
              <w:kern w:val="2"/>
              <w:lang w:val="en-GB" w:eastAsia="en-GB"/>
              <w14:ligatures w14:val="standardContextual"/>
            </w:rPr>
          </w:pPr>
          <w:hyperlink w:anchor="_Toc181286234" w:history="1">
            <w:r w:rsidR="00C76D00" w:rsidRPr="00C76D00">
              <w:rPr>
                <w:rStyle w:val="Hyperlink"/>
                <w:rFonts w:asciiTheme="minorBidi" w:hAnsiTheme="minorBidi" w:cstheme="minorBidi"/>
                <w:noProof/>
                <w:lang w:val="es-AR"/>
              </w:rPr>
              <w:t>2.4. Violencias y participación de NN defensores de derechos humanos</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_Toc181286234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19</w:t>
            </w:r>
            <w:r w:rsidR="00C76D00" w:rsidRPr="00C76D00">
              <w:rPr>
                <w:rFonts w:asciiTheme="minorBidi" w:hAnsiTheme="minorBidi" w:cstheme="minorBidi"/>
                <w:noProof/>
                <w:webHidden/>
              </w:rPr>
              <w:fldChar w:fldCharType="end"/>
            </w:r>
          </w:hyperlink>
        </w:p>
        <w:p w14:paraId="59D87AF3" w14:textId="094AA6D9" w:rsidR="00C76D00" w:rsidRPr="00C76D00" w:rsidRDefault="007E6225">
          <w:pPr>
            <w:pStyle w:val="TOC2"/>
            <w:tabs>
              <w:tab w:val="right" w:leader="dot" w:pos="9350"/>
            </w:tabs>
            <w:rPr>
              <w:rFonts w:asciiTheme="minorBidi" w:hAnsiTheme="minorBidi" w:cstheme="minorBidi"/>
              <w:noProof/>
              <w:kern w:val="2"/>
              <w:lang w:val="en-GB" w:eastAsia="en-GB"/>
              <w14:ligatures w14:val="standardContextual"/>
            </w:rPr>
          </w:pPr>
          <w:hyperlink w:anchor="_Toc181286235" w:history="1">
            <w:r w:rsidR="00C76D00" w:rsidRPr="00C76D00">
              <w:rPr>
                <w:rStyle w:val="Hyperlink"/>
                <w:rFonts w:asciiTheme="minorBidi" w:hAnsiTheme="minorBidi" w:cstheme="minorBidi"/>
                <w:noProof/>
                <w:lang w:val="es-AR"/>
              </w:rPr>
              <w:t>2.5.  Violencia contra NNA por actividades de protestas</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_Toc181286235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21</w:t>
            </w:r>
            <w:r w:rsidR="00C76D00" w:rsidRPr="00C76D00">
              <w:rPr>
                <w:rFonts w:asciiTheme="minorBidi" w:hAnsiTheme="minorBidi" w:cstheme="minorBidi"/>
                <w:noProof/>
                <w:webHidden/>
              </w:rPr>
              <w:fldChar w:fldCharType="end"/>
            </w:r>
          </w:hyperlink>
        </w:p>
        <w:p w14:paraId="60F1960A" w14:textId="068BB350" w:rsidR="00C76D00" w:rsidRPr="00C76D00" w:rsidRDefault="007E6225">
          <w:pPr>
            <w:pStyle w:val="TOC1"/>
            <w:tabs>
              <w:tab w:val="right" w:leader="dot" w:pos="9350"/>
            </w:tabs>
            <w:rPr>
              <w:rFonts w:asciiTheme="minorBidi" w:hAnsiTheme="minorBidi" w:cstheme="minorBidi"/>
              <w:noProof/>
              <w:kern w:val="2"/>
              <w:lang w:val="en-GB" w:eastAsia="en-GB"/>
              <w14:ligatures w14:val="standardContextual"/>
            </w:rPr>
          </w:pPr>
          <w:hyperlink w:anchor="_Toc181286236" w:history="1">
            <w:r w:rsidR="00C76D00" w:rsidRPr="00C76D00">
              <w:rPr>
                <w:rStyle w:val="Hyperlink"/>
                <w:rFonts w:asciiTheme="minorBidi" w:hAnsiTheme="minorBidi" w:cstheme="minorBidi"/>
                <w:noProof/>
                <w:lang w:val="es-AR"/>
              </w:rPr>
              <w:t>CAPÍTULO 3. DERECHOS ECONÓMICOS, SOCIALES Y CULTURALES</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_Toc181286236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24</w:t>
            </w:r>
            <w:r w:rsidR="00C76D00" w:rsidRPr="00C76D00">
              <w:rPr>
                <w:rFonts w:asciiTheme="minorBidi" w:hAnsiTheme="minorBidi" w:cstheme="minorBidi"/>
                <w:noProof/>
                <w:webHidden/>
              </w:rPr>
              <w:fldChar w:fldCharType="end"/>
            </w:r>
          </w:hyperlink>
        </w:p>
        <w:p w14:paraId="2F15EEB3" w14:textId="2C7CB41B" w:rsidR="00C76D00" w:rsidRPr="00C76D00" w:rsidRDefault="007E6225">
          <w:pPr>
            <w:pStyle w:val="TOC2"/>
            <w:tabs>
              <w:tab w:val="right" w:leader="dot" w:pos="9350"/>
            </w:tabs>
            <w:rPr>
              <w:rFonts w:asciiTheme="minorBidi" w:hAnsiTheme="minorBidi" w:cstheme="minorBidi"/>
              <w:noProof/>
              <w:kern w:val="2"/>
              <w:lang w:val="en-GB" w:eastAsia="en-GB"/>
              <w14:ligatures w14:val="standardContextual"/>
            </w:rPr>
          </w:pPr>
          <w:hyperlink w:anchor="_Toc181286237" w:history="1">
            <w:r w:rsidR="00C76D00" w:rsidRPr="00C76D00">
              <w:rPr>
                <w:rStyle w:val="Hyperlink"/>
                <w:rFonts w:asciiTheme="minorBidi" w:hAnsiTheme="minorBidi" w:cstheme="minorBidi"/>
                <w:noProof/>
                <w:lang w:val="es-AR"/>
              </w:rPr>
              <w:t>3.1. El Estado no garantiza el derecho humano a alimentación y nutrición adecuadas (DHANA)</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_Toc181286237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24</w:t>
            </w:r>
            <w:r w:rsidR="00C76D00" w:rsidRPr="00C76D00">
              <w:rPr>
                <w:rFonts w:asciiTheme="minorBidi" w:hAnsiTheme="minorBidi" w:cstheme="minorBidi"/>
                <w:noProof/>
                <w:webHidden/>
              </w:rPr>
              <w:fldChar w:fldCharType="end"/>
            </w:r>
          </w:hyperlink>
        </w:p>
        <w:p w14:paraId="77732689" w14:textId="0562446B" w:rsidR="00C76D00" w:rsidRPr="00C76D00" w:rsidRDefault="007E6225">
          <w:pPr>
            <w:pStyle w:val="TOC3"/>
            <w:tabs>
              <w:tab w:val="right" w:leader="dot" w:pos="9350"/>
            </w:tabs>
            <w:rPr>
              <w:rFonts w:asciiTheme="minorBidi" w:hAnsiTheme="minorBidi" w:cstheme="minorBidi"/>
              <w:noProof/>
              <w:kern w:val="2"/>
              <w:lang w:val="en-GB" w:eastAsia="en-GB"/>
              <w14:ligatures w14:val="standardContextual"/>
            </w:rPr>
          </w:pPr>
          <w:hyperlink w:anchor="_Toc181286238" w:history="1">
            <w:r w:rsidR="00C76D00" w:rsidRPr="00C76D00">
              <w:rPr>
                <w:rStyle w:val="Hyperlink"/>
                <w:rFonts w:asciiTheme="minorBidi" w:hAnsiTheme="minorBidi" w:cstheme="minorBidi"/>
                <w:noProof/>
              </w:rPr>
              <w:t>3.1.1. El Estado no cuenta con un sistema de monitoreo periódico para hacer seguimiento a la situación alimentaria</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_Toc181286238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26</w:t>
            </w:r>
            <w:r w:rsidR="00C76D00" w:rsidRPr="00C76D00">
              <w:rPr>
                <w:rFonts w:asciiTheme="minorBidi" w:hAnsiTheme="minorBidi" w:cstheme="minorBidi"/>
                <w:noProof/>
                <w:webHidden/>
              </w:rPr>
              <w:fldChar w:fldCharType="end"/>
            </w:r>
          </w:hyperlink>
        </w:p>
        <w:p w14:paraId="179A49FC" w14:textId="15B729CD" w:rsidR="00C76D00" w:rsidRPr="00C76D00" w:rsidRDefault="007E6225">
          <w:pPr>
            <w:pStyle w:val="TOC3"/>
            <w:tabs>
              <w:tab w:val="right" w:leader="dot" w:pos="9350"/>
            </w:tabs>
            <w:rPr>
              <w:rFonts w:asciiTheme="minorBidi" w:hAnsiTheme="minorBidi" w:cstheme="minorBidi"/>
              <w:noProof/>
              <w:kern w:val="2"/>
              <w:lang w:val="en-GB" w:eastAsia="en-GB"/>
              <w14:ligatures w14:val="standardContextual"/>
            </w:rPr>
          </w:pPr>
          <w:hyperlink w:anchor="_Toc181286239" w:history="1">
            <w:r w:rsidR="00C76D00" w:rsidRPr="00C76D00">
              <w:rPr>
                <w:rStyle w:val="Hyperlink"/>
                <w:rFonts w:asciiTheme="minorBidi" w:hAnsiTheme="minorBidi" w:cstheme="minorBidi"/>
                <w:noProof/>
              </w:rPr>
              <w:t>3.1.2.  Inseguridad alimentaria</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_Toc181286239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26</w:t>
            </w:r>
            <w:r w:rsidR="00C76D00" w:rsidRPr="00C76D00">
              <w:rPr>
                <w:rFonts w:asciiTheme="minorBidi" w:hAnsiTheme="minorBidi" w:cstheme="minorBidi"/>
                <w:noProof/>
                <w:webHidden/>
              </w:rPr>
              <w:fldChar w:fldCharType="end"/>
            </w:r>
          </w:hyperlink>
        </w:p>
        <w:p w14:paraId="151517E6" w14:textId="69D6A7DC" w:rsidR="00C76D00" w:rsidRPr="00C76D00" w:rsidRDefault="007E6225">
          <w:pPr>
            <w:pStyle w:val="TOC3"/>
            <w:tabs>
              <w:tab w:val="right" w:leader="dot" w:pos="9350"/>
            </w:tabs>
            <w:rPr>
              <w:rFonts w:asciiTheme="minorBidi" w:hAnsiTheme="minorBidi" w:cstheme="minorBidi"/>
              <w:noProof/>
              <w:kern w:val="2"/>
              <w:lang w:val="en-GB" w:eastAsia="en-GB"/>
              <w14:ligatures w14:val="standardContextual"/>
            </w:rPr>
          </w:pPr>
          <w:hyperlink w:anchor="_Toc181286240" w:history="1">
            <w:r w:rsidR="00C76D00" w:rsidRPr="00C76D00">
              <w:rPr>
                <w:rStyle w:val="Hyperlink"/>
                <w:rFonts w:asciiTheme="minorBidi" w:hAnsiTheme="minorBidi" w:cstheme="minorBidi"/>
                <w:noProof/>
              </w:rPr>
              <w:t>3.1.3. Malnutrición</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_Toc181286240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28</w:t>
            </w:r>
            <w:r w:rsidR="00C76D00" w:rsidRPr="00C76D00">
              <w:rPr>
                <w:rFonts w:asciiTheme="minorBidi" w:hAnsiTheme="minorBidi" w:cstheme="minorBidi"/>
                <w:noProof/>
                <w:webHidden/>
              </w:rPr>
              <w:fldChar w:fldCharType="end"/>
            </w:r>
          </w:hyperlink>
        </w:p>
        <w:p w14:paraId="654293BE" w14:textId="5BE74DF3" w:rsidR="00C76D00" w:rsidRPr="00C76D00" w:rsidRDefault="007E6225">
          <w:pPr>
            <w:pStyle w:val="TOC3"/>
            <w:tabs>
              <w:tab w:val="right" w:leader="dot" w:pos="9350"/>
            </w:tabs>
            <w:rPr>
              <w:rFonts w:asciiTheme="minorBidi" w:hAnsiTheme="minorBidi" w:cstheme="minorBidi"/>
              <w:noProof/>
              <w:kern w:val="2"/>
              <w:lang w:val="en-GB" w:eastAsia="en-GB"/>
              <w14:ligatures w14:val="standardContextual"/>
            </w:rPr>
          </w:pPr>
          <w:hyperlink w:anchor="_Toc181286241" w:history="1">
            <w:r w:rsidR="00C76D00" w:rsidRPr="00C76D00">
              <w:rPr>
                <w:rStyle w:val="Hyperlink"/>
                <w:rFonts w:asciiTheme="minorBidi" w:hAnsiTheme="minorBidi" w:cstheme="minorBidi"/>
                <w:noProof/>
              </w:rPr>
              <w:t>3.1.4.  Lactancia materna</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_Toc181286241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29</w:t>
            </w:r>
            <w:r w:rsidR="00C76D00" w:rsidRPr="00C76D00">
              <w:rPr>
                <w:rFonts w:asciiTheme="minorBidi" w:hAnsiTheme="minorBidi" w:cstheme="minorBidi"/>
                <w:noProof/>
                <w:webHidden/>
              </w:rPr>
              <w:fldChar w:fldCharType="end"/>
            </w:r>
          </w:hyperlink>
        </w:p>
        <w:p w14:paraId="462ABAE9" w14:textId="49ADD491" w:rsidR="00C76D00" w:rsidRPr="00C76D00" w:rsidRDefault="007E6225">
          <w:pPr>
            <w:pStyle w:val="TOC2"/>
            <w:tabs>
              <w:tab w:val="right" w:leader="dot" w:pos="9350"/>
            </w:tabs>
            <w:rPr>
              <w:rFonts w:asciiTheme="minorBidi" w:hAnsiTheme="minorBidi" w:cstheme="minorBidi"/>
              <w:noProof/>
              <w:kern w:val="2"/>
              <w:lang w:val="en-GB" w:eastAsia="en-GB"/>
              <w14:ligatures w14:val="standardContextual"/>
            </w:rPr>
          </w:pPr>
          <w:hyperlink w:anchor="_Toc181286242" w:history="1">
            <w:r w:rsidR="00C76D00" w:rsidRPr="00C76D00">
              <w:rPr>
                <w:rStyle w:val="Hyperlink"/>
                <w:rFonts w:asciiTheme="minorBidi" w:hAnsiTheme="minorBidi" w:cstheme="minorBidi"/>
                <w:noProof/>
                <w:highlight w:val="white"/>
                <w:lang w:val="es-AR"/>
              </w:rPr>
              <w:t>3.2. Derecho a la educación</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_Toc181286242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31</w:t>
            </w:r>
            <w:r w:rsidR="00C76D00" w:rsidRPr="00C76D00">
              <w:rPr>
                <w:rFonts w:asciiTheme="minorBidi" w:hAnsiTheme="minorBidi" w:cstheme="minorBidi"/>
                <w:noProof/>
                <w:webHidden/>
              </w:rPr>
              <w:fldChar w:fldCharType="end"/>
            </w:r>
          </w:hyperlink>
        </w:p>
        <w:p w14:paraId="70516325" w14:textId="681F051A" w:rsidR="00C76D00" w:rsidRPr="00C76D00" w:rsidRDefault="007E6225">
          <w:pPr>
            <w:pStyle w:val="TOC3"/>
            <w:tabs>
              <w:tab w:val="right" w:leader="dot" w:pos="9350"/>
            </w:tabs>
            <w:rPr>
              <w:rFonts w:asciiTheme="minorBidi" w:hAnsiTheme="minorBidi" w:cstheme="minorBidi"/>
              <w:noProof/>
              <w:kern w:val="2"/>
              <w:lang w:val="en-GB" w:eastAsia="en-GB"/>
              <w14:ligatures w14:val="standardContextual"/>
            </w:rPr>
          </w:pPr>
          <w:hyperlink w:anchor="_Toc181286243" w:history="1">
            <w:r w:rsidR="00C76D00" w:rsidRPr="00C76D00">
              <w:rPr>
                <w:rStyle w:val="Hyperlink"/>
                <w:rFonts w:asciiTheme="minorBidi" w:hAnsiTheme="minorBidi" w:cstheme="minorBidi"/>
                <w:noProof/>
              </w:rPr>
              <w:t>3.2.1. Comentarios generales sobre el derecho a la educación de NNA</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_Toc181286243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32</w:t>
            </w:r>
            <w:r w:rsidR="00C76D00" w:rsidRPr="00C76D00">
              <w:rPr>
                <w:rFonts w:asciiTheme="minorBidi" w:hAnsiTheme="minorBidi" w:cstheme="minorBidi"/>
                <w:noProof/>
                <w:webHidden/>
              </w:rPr>
              <w:fldChar w:fldCharType="end"/>
            </w:r>
          </w:hyperlink>
        </w:p>
        <w:p w14:paraId="7D556EDC" w14:textId="596338D2" w:rsidR="00C76D00" w:rsidRPr="00C76D00" w:rsidRDefault="007E6225">
          <w:pPr>
            <w:pStyle w:val="TOC3"/>
            <w:tabs>
              <w:tab w:val="right" w:leader="dot" w:pos="9350"/>
            </w:tabs>
            <w:rPr>
              <w:rFonts w:asciiTheme="minorBidi" w:hAnsiTheme="minorBidi" w:cstheme="minorBidi"/>
              <w:noProof/>
              <w:kern w:val="2"/>
              <w:lang w:val="en-GB" w:eastAsia="en-GB"/>
              <w14:ligatures w14:val="standardContextual"/>
            </w:rPr>
          </w:pPr>
          <w:hyperlink w:anchor="_Toc181286244" w:history="1">
            <w:r w:rsidR="00C76D00" w:rsidRPr="00C76D00">
              <w:rPr>
                <w:rStyle w:val="Hyperlink"/>
                <w:rFonts w:asciiTheme="minorBidi" w:hAnsiTheme="minorBidi" w:cstheme="minorBidi"/>
                <w:noProof/>
              </w:rPr>
              <w:t>3.2.2. Falta de capacidades para garantizar el derecho a la educación en emergencia</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_Toc181286244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32</w:t>
            </w:r>
            <w:r w:rsidR="00C76D00" w:rsidRPr="00C76D00">
              <w:rPr>
                <w:rFonts w:asciiTheme="minorBidi" w:hAnsiTheme="minorBidi" w:cstheme="minorBidi"/>
                <w:noProof/>
                <w:webHidden/>
              </w:rPr>
              <w:fldChar w:fldCharType="end"/>
            </w:r>
          </w:hyperlink>
        </w:p>
        <w:p w14:paraId="518AE7D4" w14:textId="40280CDE" w:rsidR="00C76D00" w:rsidRPr="00C76D00" w:rsidRDefault="007E6225">
          <w:pPr>
            <w:pStyle w:val="TOC3"/>
            <w:tabs>
              <w:tab w:val="right" w:leader="dot" w:pos="9350"/>
            </w:tabs>
            <w:rPr>
              <w:rFonts w:asciiTheme="minorBidi" w:hAnsiTheme="minorBidi" w:cstheme="minorBidi"/>
              <w:noProof/>
              <w:kern w:val="2"/>
              <w:lang w:val="en-GB" w:eastAsia="en-GB"/>
              <w14:ligatures w14:val="standardContextual"/>
            </w:rPr>
          </w:pPr>
          <w:hyperlink w:anchor="_Toc181286245" w:history="1">
            <w:r w:rsidR="00C76D00" w:rsidRPr="00C76D00">
              <w:rPr>
                <w:rStyle w:val="Hyperlink"/>
                <w:rFonts w:asciiTheme="minorBidi" w:hAnsiTheme="minorBidi" w:cstheme="minorBidi"/>
                <w:noProof/>
              </w:rPr>
              <w:t>3.2.3. Sobre las brechas en educación</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_Toc181286245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33</w:t>
            </w:r>
            <w:r w:rsidR="00C76D00" w:rsidRPr="00C76D00">
              <w:rPr>
                <w:rFonts w:asciiTheme="minorBidi" w:hAnsiTheme="minorBidi" w:cstheme="minorBidi"/>
                <w:noProof/>
                <w:webHidden/>
              </w:rPr>
              <w:fldChar w:fldCharType="end"/>
            </w:r>
          </w:hyperlink>
        </w:p>
        <w:p w14:paraId="58EC9E3C" w14:textId="226DE85F" w:rsidR="00C76D00" w:rsidRPr="00C76D00" w:rsidRDefault="007E6225">
          <w:pPr>
            <w:pStyle w:val="TOC3"/>
            <w:tabs>
              <w:tab w:val="right" w:leader="dot" w:pos="9350"/>
            </w:tabs>
            <w:rPr>
              <w:rFonts w:asciiTheme="minorBidi" w:hAnsiTheme="minorBidi" w:cstheme="minorBidi"/>
              <w:noProof/>
              <w:kern w:val="2"/>
              <w:lang w:val="en-GB" w:eastAsia="en-GB"/>
              <w14:ligatures w14:val="standardContextual"/>
            </w:rPr>
          </w:pPr>
          <w:hyperlink w:anchor="_Toc181286246" w:history="1">
            <w:r w:rsidR="00C76D00" w:rsidRPr="00C76D00">
              <w:rPr>
                <w:rStyle w:val="Hyperlink"/>
                <w:rFonts w:asciiTheme="minorBidi" w:hAnsiTheme="minorBidi" w:cstheme="minorBidi"/>
                <w:noProof/>
                <w:lang w:val="es-AR"/>
              </w:rPr>
              <w:t>3.3. Situación del Hatillo (Presentación de caso emblemático)</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_Toc181286246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35</w:t>
            </w:r>
            <w:r w:rsidR="00C76D00" w:rsidRPr="00C76D00">
              <w:rPr>
                <w:rFonts w:asciiTheme="minorBidi" w:hAnsiTheme="minorBidi" w:cstheme="minorBidi"/>
                <w:noProof/>
                <w:webHidden/>
              </w:rPr>
              <w:fldChar w:fldCharType="end"/>
            </w:r>
          </w:hyperlink>
        </w:p>
        <w:p w14:paraId="087F450F" w14:textId="6428E647" w:rsidR="00C76D00" w:rsidRPr="00C76D00" w:rsidRDefault="007E6225">
          <w:pPr>
            <w:pStyle w:val="TOC3"/>
            <w:tabs>
              <w:tab w:val="right" w:leader="dot" w:pos="9350"/>
            </w:tabs>
            <w:rPr>
              <w:rFonts w:asciiTheme="minorBidi" w:hAnsiTheme="minorBidi" w:cstheme="minorBidi"/>
              <w:noProof/>
              <w:kern w:val="2"/>
              <w:lang w:val="en-GB" w:eastAsia="en-GB"/>
              <w14:ligatures w14:val="standardContextual"/>
            </w:rPr>
          </w:pPr>
          <w:hyperlink w:anchor="_Toc181286247" w:history="1">
            <w:r w:rsidR="00C76D00" w:rsidRPr="00C76D00">
              <w:rPr>
                <w:rStyle w:val="Hyperlink"/>
                <w:rFonts w:asciiTheme="minorBidi" w:hAnsiTheme="minorBidi" w:cstheme="minorBidi"/>
                <w:noProof/>
              </w:rPr>
              <w:t>3.3.1. Situación de vulnerabilidad actual</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_Toc181286247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36</w:t>
            </w:r>
            <w:r w:rsidR="00C76D00" w:rsidRPr="00C76D00">
              <w:rPr>
                <w:rFonts w:asciiTheme="minorBidi" w:hAnsiTheme="minorBidi" w:cstheme="minorBidi"/>
                <w:noProof/>
                <w:webHidden/>
              </w:rPr>
              <w:fldChar w:fldCharType="end"/>
            </w:r>
          </w:hyperlink>
        </w:p>
        <w:p w14:paraId="1588FB16" w14:textId="260E5136" w:rsidR="00C76D00" w:rsidRPr="00C76D00" w:rsidRDefault="007E6225">
          <w:pPr>
            <w:pStyle w:val="TOC2"/>
            <w:tabs>
              <w:tab w:val="right" w:leader="dot" w:pos="9350"/>
            </w:tabs>
            <w:rPr>
              <w:rFonts w:asciiTheme="minorBidi" w:hAnsiTheme="minorBidi" w:cstheme="minorBidi"/>
              <w:noProof/>
              <w:kern w:val="2"/>
              <w:lang w:val="en-GB" w:eastAsia="en-GB"/>
              <w14:ligatures w14:val="standardContextual"/>
            </w:rPr>
          </w:pPr>
          <w:hyperlink w:anchor="_Toc181286248" w:history="1">
            <w:r w:rsidR="00C76D00" w:rsidRPr="00C76D00">
              <w:rPr>
                <w:rStyle w:val="Hyperlink"/>
                <w:rFonts w:asciiTheme="minorBidi" w:hAnsiTheme="minorBidi" w:cstheme="minorBidi"/>
                <w:noProof/>
                <w:lang w:val="es-AR"/>
              </w:rPr>
              <w:t>Anexos:</w:t>
            </w:r>
            <w:r w:rsidR="00C76D00" w:rsidRPr="00C76D00">
              <w:rPr>
                <w:rFonts w:asciiTheme="minorBidi" w:hAnsiTheme="minorBidi" w:cstheme="minorBidi"/>
                <w:noProof/>
                <w:webHidden/>
              </w:rPr>
              <w:tab/>
            </w:r>
            <w:r w:rsidR="00C76D00" w:rsidRPr="00C76D00">
              <w:rPr>
                <w:rFonts w:asciiTheme="minorBidi" w:hAnsiTheme="minorBidi" w:cstheme="minorBidi"/>
                <w:noProof/>
                <w:webHidden/>
              </w:rPr>
              <w:fldChar w:fldCharType="begin"/>
            </w:r>
            <w:r w:rsidR="00C76D00" w:rsidRPr="00C76D00">
              <w:rPr>
                <w:rFonts w:asciiTheme="minorBidi" w:hAnsiTheme="minorBidi" w:cstheme="minorBidi"/>
                <w:noProof/>
                <w:webHidden/>
              </w:rPr>
              <w:instrText xml:space="preserve"> PAGEREF _Toc181286248 \h </w:instrText>
            </w:r>
            <w:r w:rsidR="00C76D00" w:rsidRPr="00C76D00">
              <w:rPr>
                <w:rFonts w:asciiTheme="minorBidi" w:hAnsiTheme="minorBidi" w:cstheme="minorBidi"/>
                <w:noProof/>
                <w:webHidden/>
              </w:rPr>
            </w:r>
            <w:r w:rsidR="00C76D00" w:rsidRPr="00C76D00">
              <w:rPr>
                <w:rFonts w:asciiTheme="minorBidi" w:hAnsiTheme="minorBidi" w:cstheme="minorBidi"/>
                <w:noProof/>
                <w:webHidden/>
              </w:rPr>
              <w:fldChar w:fldCharType="separate"/>
            </w:r>
            <w:r w:rsidR="00C76D00" w:rsidRPr="00C76D00">
              <w:rPr>
                <w:rFonts w:asciiTheme="minorBidi" w:hAnsiTheme="minorBidi" w:cstheme="minorBidi"/>
                <w:noProof/>
                <w:webHidden/>
              </w:rPr>
              <w:t>38</w:t>
            </w:r>
            <w:r w:rsidR="00C76D00" w:rsidRPr="00C76D00">
              <w:rPr>
                <w:rFonts w:asciiTheme="minorBidi" w:hAnsiTheme="minorBidi" w:cstheme="minorBidi"/>
                <w:noProof/>
                <w:webHidden/>
              </w:rPr>
              <w:fldChar w:fldCharType="end"/>
            </w:r>
          </w:hyperlink>
        </w:p>
        <w:p w14:paraId="16B2D1D1" w14:textId="22054B43" w:rsidR="00924EFA" w:rsidRDefault="00C76D00" w:rsidP="006A5420">
          <w:r w:rsidRPr="00C76D00">
            <w:rPr>
              <w:rFonts w:asciiTheme="minorBidi" w:hAnsiTheme="minorBidi" w:cstheme="minorBidi"/>
              <w:b/>
              <w:bCs/>
              <w:noProof/>
            </w:rPr>
            <w:fldChar w:fldCharType="end"/>
          </w:r>
        </w:p>
      </w:sdtContent>
    </w:sdt>
    <w:p w14:paraId="0000000C" w14:textId="1B048018" w:rsidR="00C60456" w:rsidRPr="00535C03" w:rsidRDefault="0007730F" w:rsidP="00924EFA">
      <w:pPr>
        <w:pStyle w:val="Heading1"/>
        <w:rPr>
          <w:lang w:val="es-CO"/>
        </w:rPr>
      </w:pPr>
      <w:bookmarkStart w:id="0" w:name="_Toc181285155"/>
      <w:bookmarkStart w:id="1" w:name="_Toc181286223"/>
      <w:r w:rsidRPr="00535C03">
        <w:rPr>
          <w:lang w:val="es-CO"/>
        </w:rPr>
        <w:lastRenderedPageBreak/>
        <w:t>INTRODUCCIÓN</w:t>
      </w:r>
      <w:bookmarkEnd w:id="0"/>
      <w:bookmarkEnd w:id="1"/>
    </w:p>
    <w:p w14:paraId="0000000D" w14:textId="086CF68F" w:rsidR="00C60456" w:rsidRPr="00535C03" w:rsidRDefault="000231F9" w:rsidP="00924EFA">
      <w:pPr>
        <w:pStyle w:val="Heading2"/>
        <w:rPr>
          <w:lang w:val="es-CO"/>
        </w:rPr>
      </w:pPr>
      <w:r w:rsidRPr="00535C03">
        <w:rPr>
          <w:lang w:val="es-CO"/>
        </w:rPr>
        <w:t xml:space="preserve"> </w:t>
      </w:r>
      <w:bookmarkStart w:id="2" w:name="_Toc181285156"/>
      <w:bookmarkStart w:id="3" w:name="_Toc181286224"/>
      <w:r w:rsidRPr="00535C03">
        <w:rPr>
          <w:lang w:val="es-CO"/>
        </w:rPr>
        <w:t>Presentación</w:t>
      </w:r>
      <w:bookmarkEnd w:id="2"/>
      <w:bookmarkEnd w:id="3"/>
    </w:p>
    <w:p w14:paraId="0000000E" w14:textId="65F5503E" w:rsidR="00C60456" w:rsidRPr="000231F9" w:rsidRDefault="0007730F">
      <w:pPr>
        <w:spacing w:after="200" w:line="360" w:lineRule="auto"/>
        <w:jc w:val="both"/>
        <w:rPr>
          <w:sz w:val="24"/>
          <w:szCs w:val="24"/>
          <w:lang w:val="es-AR"/>
        </w:rPr>
      </w:pPr>
      <w:r w:rsidRPr="000231F9">
        <w:rPr>
          <w:sz w:val="24"/>
          <w:szCs w:val="24"/>
          <w:lang w:val="es-AR"/>
        </w:rPr>
        <w:t xml:space="preserve">El presente informe es el resultado del trabajo de articulación de organizaciones sociales que, durante años, han adelantado procesos relacionados con la protección, exigibilidad y defensa de los derechos de las niñas y niños (NNA) en diferentes ámbitos y territorios en el país. La información se deriva de actividades investigativas locales, regionales y nacionales que incluyen recolección de datos, realización de encuestas, talleres con grupos focales, estudios de casos, entre otros, que dan cuenta de la situación de los derechos de la niñez de los últimos siete años. En su mayoría, estos procesos de </w:t>
      </w:r>
      <w:r w:rsidR="006A5420" w:rsidRPr="000231F9">
        <w:rPr>
          <w:sz w:val="24"/>
          <w:szCs w:val="24"/>
          <w:lang w:val="es-AR"/>
        </w:rPr>
        <w:t>recolección</w:t>
      </w:r>
      <w:r w:rsidRPr="000231F9">
        <w:rPr>
          <w:sz w:val="24"/>
          <w:szCs w:val="24"/>
          <w:lang w:val="es-AR"/>
        </w:rPr>
        <w:t xml:space="preserve"> contaron con la participación de NNA de diferentes partes del país.</w:t>
      </w:r>
    </w:p>
    <w:p w14:paraId="0000000F" w14:textId="77777777" w:rsidR="00C60456" w:rsidRPr="000231F9" w:rsidRDefault="0007730F">
      <w:pPr>
        <w:spacing w:after="200" w:line="360" w:lineRule="auto"/>
        <w:jc w:val="both"/>
        <w:rPr>
          <w:sz w:val="24"/>
          <w:szCs w:val="24"/>
          <w:lang w:val="es-AR"/>
        </w:rPr>
      </w:pPr>
      <w:r w:rsidRPr="000231F9">
        <w:rPr>
          <w:sz w:val="24"/>
          <w:szCs w:val="24"/>
          <w:lang w:val="es-AR"/>
        </w:rPr>
        <w:t>Durante el proceso de recolección de información, diálogos entre actores y elaboración del documento, se identificó que las situaciones descritas en el informe alterno se enmarcan en tres ejes que deben ser analizadas a la luz de las obligaciones internacionales adquiridas en relación con los derechos de las NNA.</w:t>
      </w:r>
    </w:p>
    <w:p w14:paraId="00000010" w14:textId="77777777" w:rsidR="00C60456" w:rsidRPr="000231F9" w:rsidRDefault="0007730F">
      <w:pPr>
        <w:spacing w:after="200" w:line="360" w:lineRule="auto"/>
        <w:jc w:val="both"/>
        <w:rPr>
          <w:sz w:val="24"/>
          <w:szCs w:val="24"/>
          <w:lang w:val="es-AR"/>
        </w:rPr>
      </w:pPr>
      <w:r w:rsidRPr="000231F9">
        <w:rPr>
          <w:sz w:val="24"/>
          <w:szCs w:val="24"/>
          <w:lang w:val="es-AR"/>
        </w:rPr>
        <w:t>El primer eje hace referencia a la</w:t>
      </w:r>
      <w:r w:rsidRPr="000231F9">
        <w:rPr>
          <w:b/>
          <w:sz w:val="24"/>
          <w:szCs w:val="24"/>
          <w:lang w:val="es-AR"/>
        </w:rPr>
        <w:t xml:space="preserve"> inercia estatal</w:t>
      </w:r>
      <w:r w:rsidRPr="000231F9">
        <w:rPr>
          <w:sz w:val="24"/>
          <w:szCs w:val="24"/>
          <w:lang w:val="es-AR"/>
        </w:rPr>
        <w:t xml:space="preserve"> para adoptar medidas para la protección de los derechos de las NNA. Entendemos por inercia estatal la omisión del Estado para atender situaciones de derechos humanos. Para el caso de este informe, este concepto es utilizado para enmarcar la falta de medidas con enfoque de niñez adoptadas por el Estado colombiano para situaciones estructurales, incluyendo la falta de adopción de medidas efectivas para proteger a la niñez en condición de vulnerabilidad en escenarios de violencia armada, la falta de atención respecto a las brechas para acceder a la educación en perjuicio de población rural y en condición de pobreza, entre otras.</w:t>
      </w:r>
    </w:p>
    <w:p w14:paraId="00000011" w14:textId="77777777" w:rsidR="00C60456" w:rsidRPr="000231F9" w:rsidRDefault="0007730F">
      <w:pPr>
        <w:spacing w:after="200" w:line="360" w:lineRule="auto"/>
        <w:jc w:val="both"/>
        <w:rPr>
          <w:sz w:val="24"/>
          <w:szCs w:val="24"/>
          <w:lang w:val="es-AR"/>
        </w:rPr>
      </w:pPr>
      <w:r w:rsidRPr="000231F9">
        <w:rPr>
          <w:sz w:val="24"/>
          <w:szCs w:val="24"/>
          <w:lang w:val="es-AR"/>
        </w:rPr>
        <w:t>El segundo eje está relacionado con la</w:t>
      </w:r>
      <w:r w:rsidRPr="000231F9">
        <w:rPr>
          <w:b/>
          <w:sz w:val="24"/>
          <w:szCs w:val="24"/>
          <w:lang w:val="es-AR"/>
        </w:rPr>
        <w:t xml:space="preserve"> perpetración de la violencia por parte del Estado </w:t>
      </w:r>
      <w:r w:rsidRPr="000231F9">
        <w:rPr>
          <w:sz w:val="24"/>
          <w:szCs w:val="24"/>
          <w:lang w:val="es-AR"/>
        </w:rPr>
        <w:t xml:space="preserve">en perjuicio de NNA. Este eje identifica que durante el periodo de estudio (2016-2024), el Estado, a través del actuar de sus agentes, ejerció diferentes formas de violencia en contra de NNA, por ejemplo, en el marco del conflicto armado a través de bombardeos y en los hechos de protesta social con privaciones arbitrarias de la libertad, asesinatos, tortura y otros tipos de agresiones. </w:t>
      </w:r>
    </w:p>
    <w:p w14:paraId="00000012" w14:textId="77777777" w:rsidR="00C60456" w:rsidRPr="000231F9" w:rsidRDefault="0007730F">
      <w:pPr>
        <w:spacing w:after="200" w:line="360" w:lineRule="auto"/>
        <w:jc w:val="both"/>
        <w:rPr>
          <w:sz w:val="24"/>
          <w:szCs w:val="24"/>
          <w:lang w:val="es-AR"/>
        </w:rPr>
      </w:pPr>
      <w:r w:rsidRPr="000231F9">
        <w:rPr>
          <w:sz w:val="24"/>
          <w:szCs w:val="24"/>
          <w:lang w:val="es-AR"/>
        </w:rPr>
        <w:lastRenderedPageBreak/>
        <w:t xml:space="preserve">Finalmente, el tercer eje está ligado a la </w:t>
      </w:r>
      <w:r w:rsidRPr="000231F9">
        <w:rPr>
          <w:b/>
          <w:sz w:val="24"/>
          <w:szCs w:val="24"/>
          <w:lang w:val="es-AR"/>
        </w:rPr>
        <w:t>captura corporativa</w:t>
      </w:r>
      <w:r w:rsidRPr="000231F9">
        <w:rPr>
          <w:sz w:val="24"/>
          <w:szCs w:val="24"/>
          <w:lang w:val="es-AR"/>
        </w:rPr>
        <w:t xml:space="preserve"> en la toma de decisiones públicas. Este concepto hace referencia a la influencia de actores privados con poderes económicos significativos como las empresas en la adopción de decisiones públicas. En este informe se identificaron acciones de captura corporativa en la regulación en el consumo de productos comestibles que ocasionan daños a la salud y en la regulación del uso y tráfico de armas. </w:t>
      </w:r>
    </w:p>
    <w:p w14:paraId="00000013" w14:textId="77777777" w:rsidR="00C60456" w:rsidRPr="000231F9" w:rsidRDefault="0007730F">
      <w:pPr>
        <w:spacing w:after="200" w:line="360" w:lineRule="auto"/>
        <w:jc w:val="both"/>
        <w:rPr>
          <w:sz w:val="24"/>
          <w:szCs w:val="24"/>
          <w:lang w:val="es-AR"/>
        </w:rPr>
      </w:pPr>
      <w:r w:rsidRPr="000231F9">
        <w:rPr>
          <w:sz w:val="24"/>
          <w:szCs w:val="24"/>
          <w:lang w:val="es-AR"/>
        </w:rPr>
        <w:t>El informe está dividido en tres capítulos. El primero señala formas de violencia sufridas por las NNA en el marco del conflicto armado tras la firma de los acuerdos de paz cometidas tanto por agentes de las fuerzas militares y por otros actores, sin que el Estado protegiera a la niñez y adolescencia. El segundo hace referencia a otras formas de violencia que no están necesariamente ligadas al conflicto armado y que han sido perpetradas o desatendidas por el Estado. Finalmente, el tercer capítulo involucra la violación de ciertos derechos económicos, sociales y culturales vulnerados, incluyendo el análisis de un caso de estudio.</w:t>
      </w:r>
    </w:p>
    <w:p w14:paraId="00000014" w14:textId="77777777" w:rsidR="00C60456" w:rsidRPr="000231F9" w:rsidRDefault="00C60456">
      <w:pPr>
        <w:spacing w:after="200" w:line="360" w:lineRule="auto"/>
        <w:jc w:val="both"/>
        <w:rPr>
          <w:sz w:val="24"/>
          <w:szCs w:val="24"/>
          <w:lang w:val="es-AR"/>
        </w:rPr>
      </w:pPr>
    </w:p>
    <w:p w14:paraId="00000015" w14:textId="77777777" w:rsidR="00C60456" w:rsidRPr="000231F9" w:rsidRDefault="00C60456">
      <w:pPr>
        <w:spacing w:after="200" w:line="360" w:lineRule="auto"/>
        <w:jc w:val="both"/>
        <w:rPr>
          <w:sz w:val="24"/>
          <w:szCs w:val="24"/>
          <w:lang w:val="es-AR"/>
        </w:rPr>
      </w:pPr>
    </w:p>
    <w:p w14:paraId="00000016" w14:textId="77777777" w:rsidR="00C60456" w:rsidRPr="000231F9" w:rsidRDefault="00C60456">
      <w:pPr>
        <w:spacing w:after="200" w:line="360" w:lineRule="auto"/>
        <w:jc w:val="both"/>
        <w:rPr>
          <w:sz w:val="24"/>
          <w:szCs w:val="24"/>
          <w:lang w:val="es-AR"/>
        </w:rPr>
      </w:pPr>
    </w:p>
    <w:p w14:paraId="00000017" w14:textId="77777777" w:rsidR="00C60456" w:rsidRPr="000231F9" w:rsidRDefault="00C60456">
      <w:pPr>
        <w:spacing w:after="200" w:line="360" w:lineRule="auto"/>
        <w:jc w:val="both"/>
        <w:rPr>
          <w:sz w:val="24"/>
          <w:szCs w:val="24"/>
          <w:lang w:val="es-AR"/>
        </w:rPr>
      </w:pPr>
    </w:p>
    <w:p w14:paraId="00000018" w14:textId="77777777" w:rsidR="00C60456" w:rsidRPr="000231F9" w:rsidRDefault="00C60456">
      <w:pPr>
        <w:spacing w:after="200" w:line="360" w:lineRule="auto"/>
        <w:jc w:val="both"/>
        <w:rPr>
          <w:sz w:val="24"/>
          <w:szCs w:val="24"/>
          <w:lang w:val="es-AR"/>
        </w:rPr>
      </w:pPr>
    </w:p>
    <w:p w14:paraId="00000019" w14:textId="77777777" w:rsidR="00C60456" w:rsidRPr="000231F9" w:rsidRDefault="00C60456">
      <w:pPr>
        <w:spacing w:after="200" w:line="360" w:lineRule="auto"/>
        <w:jc w:val="both"/>
        <w:rPr>
          <w:sz w:val="24"/>
          <w:szCs w:val="24"/>
          <w:lang w:val="es-AR"/>
        </w:rPr>
      </w:pPr>
    </w:p>
    <w:p w14:paraId="0000001A" w14:textId="77777777" w:rsidR="00C60456" w:rsidRPr="000231F9" w:rsidRDefault="00C60456">
      <w:pPr>
        <w:spacing w:after="200" w:line="360" w:lineRule="auto"/>
        <w:jc w:val="both"/>
        <w:rPr>
          <w:sz w:val="24"/>
          <w:szCs w:val="24"/>
          <w:lang w:val="es-AR"/>
        </w:rPr>
      </w:pPr>
    </w:p>
    <w:p w14:paraId="0000001B" w14:textId="77777777" w:rsidR="00C60456" w:rsidRPr="000231F9" w:rsidRDefault="00C60456">
      <w:pPr>
        <w:spacing w:after="200" w:line="360" w:lineRule="auto"/>
        <w:jc w:val="both"/>
        <w:rPr>
          <w:sz w:val="24"/>
          <w:szCs w:val="24"/>
          <w:lang w:val="es-AR"/>
        </w:rPr>
      </w:pPr>
    </w:p>
    <w:p w14:paraId="0000001E" w14:textId="77777777" w:rsidR="00C60456" w:rsidRPr="000231F9" w:rsidRDefault="00C60456">
      <w:pPr>
        <w:spacing w:after="200" w:line="360" w:lineRule="auto"/>
        <w:jc w:val="both"/>
        <w:rPr>
          <w:sz w:val="24"/>
          <w:szCs w:val="24"/>
          <w:lang w:val="es-AR"/>
        </w:rPr>
      </w:pPr>
    </w:p>
    <w:p w14:paraId="0000001F" w14:textId="77777777" w:rsidR="00C60456" w:rsidRPr="000231F9" w:rsidRDefault="0007730F" w:rsidP="00924EFA">
      <w:pPr>
        <w:pStyle w:val="Heading1"/>
        <w:rPr>
          <w:szCs w:val="24"/>
          <w:lang w:val="es-AR"/>
        </w:rPr>
      </w:pPr>
      <w:bookmarkStart w:id="4" w:name="_Toc181285157"/>
      <w:bookmarkStart w:id="5" w:name="_Toc181286225"/>
      <w:r w:rsidRPr="000231F9">
        <w:rPr>
          <w:lang w:val="es-AR"/>
        </w:rPr>
        <w:lastRenderedPageBreak/>
        <w:t>CAPÍTULO 1. VIOLENCIAS CONTRA NNA EN EL MARCO DEL CONFLICTO ARMADO</w:t>
      </w:r>
      <w:bookmarkEnd w:id="4"/>
      <w:bookmarkEnd w:id="5"/>
    </w:p>
    <w:p w14:paraId="00000020" w14:textId="77777777" w:rsidR="00C60456" w:rsidRPr="000231F9" w:rsidRDefault="0007730F" w:rsidP="00924EFA">
      <w:pPr>
        <w:pStyle w:val="Heading2"/>
        <w:rPr>
          <w:lang w:val="es-AR"/>
        </w:rPr>
      </w:pPr>
      <w:bookmarkStart w:id="6" w:name="_Toc181285158"/>
      <w:bookmarkStart w:id="7" w:name="_Toc181286226"/>
      <w:r w:rsidRPr="000231F9">
        <w:rPr>
          <w:lang w:val="es-AR"/>
        </w:rPr>
        <w:t>1.1. Información general</w:t>
      </w:r>
      <w:bookmarkEnd w:id="6"/>
      <w:bookmarkEnd w:id="7"/>
    </w:p>
    <w:p w14:paraId="00000021" w14:textId="25D7186D" w:rsidR="00C60456" w:rsidRPr="000231F9" w:rsidRDefault="0007730F">
      <w:pPr>
        <w:spacing w:after="200" w:line="360" w:lineRule="auto"/>
        <w:jc w:val="both"/>
        <w:rPr>
          <w:b/>
          <w:color w:val="0B5394"/>
          <w:sz w:val="24"/>
          <w:szCs w:val="24"/>
          <w:lang w:val="es-AR"/>
        </w:rPr>
      </w:pPr>
      <w:r w:rsidRPr="000231F9">
        <w:rPr>
          <w:sz w:val="24"/>
          <w:szCs w:val="24"/>
          <w:lang w:val="es-AR"/>
        </w:rPr>
        <w:t>El periodo que le corresponde evaluar (2016-2024) al CDN coincide con la implementación de los acuerdos de paz, la cual ha sido calificada como insuficiente por parte de diferentes organismos internacionales en el periodo de gobierno anterior</w:t>
      </w:r>
      <w:r>
        <w:rPr>
          <w:sz w:val="26"/>
          <w:szCs w:val="26"/>
          <w:vertAlign w:val="superscript"/>
        </w:rPr>
        <w:footnoteReference w:id="1"/>
      </w:r>
      <w:r w:rsidR="000231F9">
        <w:rPr>
          <w:sz w:val="24"/>
          <w:szCs w:val="24"/>
          <w:lang w:val="es-AR"/>
        </w:rPr>
        <w:t>.</w:t>
      </w:r>
      <w:r w:rsidRPr="000231F9">
        <w:rPr>
          <w:sz w:val="26"/>
          <w:szCs w:val="26"/>
          <w:vertAlign w:val="superscript"/>
          <w:lang w:val="es-AR"/>
        </w:rPr>
        <w:t xml:space="preserve"> </w:t>
      </w:r>
    </w:p>
    <w:p w14:paraId="00000022" w14:textId="77777777" w:rsidR="00C60456" w:rsidRPr="000231F9" w:rsidRDefault="0007730F">
      <w:pPr>
        <w:spacing w:after="200" w:line="360" w:lineRule="auto"/>
        <w:jc w:val="both"/>
        <w:rPr>
          <w:sz w:val="24"/>
          <w:szCs w:val="24"/>
          <w:lang w:val="es-AR"/>
        </w:rPr>
      </w:pPr>
      <w:r w:rsidRPr="000231F9">
        <w:rPr>
          <w:sz w:val="24"/>
          <w:szCs w:val="24"/>
          <w:lang w:val="es-AR"/>
        </w:rPr>
        <w:t>Debido a la ausencia efectiva de la implementación del acuerdo de paz con las Fuerzas Armadas Revolucionarios de Colombia (FARC) firmado en 2016, la Oficina del Alto Comisionado de las Naciones Unidas para los Derechos Humanos (OACNUDH) ha reconocido que el conflicto armado en el país se ha reconfigurado con graves consecuencias en los derechos humanos,</w:t>
      </w:r>
      <w:r>
        <w:rPr>
          <w:sz w:val="24"/>
          <w:szCs w:val="24"/>
          <w:vertAlign w:val="superscript"/>
        </w:rPr>
        <w:footnoteReference w:id="2"/>
      </w:r>
      <w:r w:rsidRPr="000231F9">
        <w:rPr>
          <w:sz w:val="24"/>
          <w:szCs w:val="24"/>
          <w:lang w:val="es-AR"/>
        </w:rPr>
        <w:t xml:space="preserve"> siendo las NNA uno de los grupos más afectados por las dinámicas de la guerra.</w:t>
      </w:r>
      <w:r>
        <w:rPr>
          <w:sz w:val="24"/>
          <w:szCs w:val="24"/>
          <w:vertAlign w:val="superscript"/>
        </w:rPr>
        <w:footnoteReference w:id="3"/>
      </w:r>
      <w:r w:rsidRPr="000231F9">
        <w:rPr>
          <w:sz w:val="24"/>
          <w:szCs w:val="24"/>
          <w:lang w:val="es-AR"/>
        </w:rPr>
        <w:t xml:space="preserve"> Reconocemos la posición del actual gobierno de implementar el  acuerdo de paz, sin embargo, la situación sigue siendo preocupante. De hecho, según lo registrado por el Secretario General de las Naciones Unidas (SGNU), a pesar de la disminución de los enfrentamientos armados entre el Gobierno y otros grupos, disidencias de las FARC, el ELN y grupos paramilitares se han fortalecido y expandido su territorio en las zonas con menor presencia estatal</w:t>
      </w:r>
      <w:r>
        <w:rPr>
          <w:sz w:val="24"/>
          <w:szCs w:val="24"/>
          <w:vertAlign w:val="superscript"/>
        </w:rPr>
        <w:footnoteReference w:id="4"/>
      </w:r>
      <w:r w:rsidRPr="000231F9">
        <w:rPr>
          <w:sz w:val="24"/>
          <w:szCs w:val="24"/>
          <w:lang w:val="es-AR"/>
        </w:rPr>
        <w:t>.</w:t>
      </w:r>
    </w:p>
    <w:p w14:paraId="00000023" w14:textId="1CB71D07" w:rsidR="00C60456" w:rsidRPr="000231F9" w:rsidRDefault="0007730F">
      <w:pPr>
        <w:spacing w:after="200" w:line="360" w:lineRule="auto"/>
        <w:jc w:val="both"/>
        <w:rPr>
          <w:sz w:val="24"/>
          <w:szCs w:val="24"/>
          <w:lang w:val="es-AR"/>
        </w:rPr>
      </w:pPr>
      <w:r w:rsidRPr="000231F9">
        <w:rPr>
          <w:sz w:val="24"/>
          <w:szCs w:val="24"/>
          <w:lang w:val="es-AR"/>
        </w:rPr>
        <w:t xml:space="preserve">En este sentido, se ha presentado reincidencia en el reclutamiento, bombardeos de las fuerzas militares contra campamentos de grupos armados con presencia de NNA, </w:t>
      </w:r>
      <w:r w:rsidRPr="000231F9">
        <w:rPr>
          <w:sz w:val="24"/>
          <w:szCs w:val="24"/>
          <w:lang w:val="es-AR"/>
        </w:rPr>
        <w:lastRenderedPageBreak/>
        <w:t>realización de acciones cívico-militares, incremento alarmante del asesinato de personas defensoras de derechos humanos, (incluyendo NNA defensores del territorio y ambiente), entre otras</w:t>
      </w:r>
      <w:r>
        <w:rPr>
          <w:sz w:val="24"/>
          <w:szCs w:val="24"/>
          <w:vertAlign w:val="superscript"/>
        </w:rPr>
        <w:footnoteReference w:id="5"/>
      </w:r>
      <w:r w:rsidR="000231F9">
        <w:rPr>
          <w:sz w:val="24"/>
          <w:szCs w:val="24"/>
          <w:lang w:val="es-AR"/>
        </w:rPr>
        <w:t>.</w:t>
      </w:r>
      <w:r w:rsidRPr="000231F9">
        <w:rPr>
          <w:sz w:val="24"/>
          <w:szCs w:val="24"/>
          <w:lang w:val="es-AR"/>
        </w:rPr>
        <w:t xml:space="preserve"> A pesar de la voluntad política del actual gobierno de implementar el acuerdo de paz, mecanismos de las Naciones Unidas (ONU) han hecho un llamado de que esta acción sea parte de una política de Estado a nivel nacional y local</w:t>
      </w:r>
      <w:r>
        <w:rPr>
          <w:sz w:val="24"/>
          <w:szCs w:val="24"/>
          <w:vertAlign w:val="superscript"/>
        </w:rPr>
        <w:footnoteReference w:id="6"/>
      </w:r>
      <w:r w:rsidR="000231F9">
        <w:rPr>
          <w:sz w:val="24"/>
          <w:szCs w:val="24"/>
          <w:lang w:val="es-AR"/>
        </w:rPr>
        <w:t>.</w:t>
      </w:r>
    </w:p>
    <w:p w14:paraId="00000024" w14:textId="77777777" w:rsidR="00C60456" w:rsidRPr="000231F9" w:rsidRDefault="0007730F" w:rsidP="00924EFA">
      <w:pPr>
        <w:pStyle w:val="Heading2"/>
        <w:rPr>
          <w:lang w:val="es-AR"/>
        </w:rPr>
      </w:pPr>
      <w:bookmarkStart w:id="8" w:name="_Toc181285159"/>
      <w:bookmarkStart w:id="9" w:name="_Toc181286227"/>
      <w:r w:rsidRPr="000231F9">
        <w:rPr>
          <w:lang w:val="es-AR"/>
        </w:rPr>
        <w:t>1.2. El Estado colombiano no adopta medidas efectivas para prevenir el reclutamiento de NNA</w:t>
      </w:r>
      <w:bookmarkEnd w:id="8"/>
      <w:bookmarkEnd w:id="9"/>
    </w:p>
    <w:p w14:paraId="00000025" w14:textId="3223DA6E" w:rsidR="00C60456" w:rsidRPr="000231F9" w:rsidRDefault="0007730F">
      <w:pPr>
        <w:spacing w:after="200" w:line="360" w:lineRule="auto"/>
        <w:jc w:val="both"/>
        <w:rPr>
          <w:sz w:val="24"/>
          <w:szCs w:val="24"/>
          <w:lang w:val="es-AR"/>
        </w:rPr>
      </w:pPr>
      <w:r w:rsidRPr="000231F9">
        <w:rPr>
          <w:sz w:val="24"/>
          <w:szCs w:val="24"/>
          <w:lang w:val="es-AR"/>
        </w:rPr>
        <w:t>El Comité recomendó al Estado, a la luz del protocolo facultativo (art. 4.2.), que se adoptaran medidas suficientes para prevenir el reclutamiento forzado de NNA, incluyendo el fortalecimiento de las alertas tempranas, la labor de la Comisión Intersectorial</w:t>
      </w:r>
      <w:r>
        <w:rPr>
          <w:sz w:val="24"/>
          <w:szCs w:val="24"/>
          <w:vertAlign w:val="superscript"/>
        </w:rPr>
        <w:footnoteReference w:id="7"/>
      </w:r>
      <w:r w:rsidR="000231F9">
        <w:rPr>
          <w:sz w:val="24"/>
          <w:szCs w:val="24"/>
          <w:lang w:val="es-AR"/>
        </w:rPr>
        <w:t>,</w:t>
      </w:r>
      <w:r w:rsidRPr="000231F9">
        <w:rPr>
          <w:sz w:val="24"/>
          <w:szCs w:val="24"/>
          <w:lang w:val="es-AR"/>
        </w:rPr>
        <w:t xml:space="preserve"> la protección especial de población en </w:t>
      </w:r>
      <w:r w:rsidR="000231F9" w:rsidRPr="000231F9">
        <w:rPr>
          <w:sz w:val="24"/>
          <w:szCs w:val="24"/>
          <w:lang w:val="es-AR"/>
        </w:rPr>
        <w:t>condición</w:t>
      </w:r>
      <w:r w:rsidRPr="000231F9">
        <w:rPr>
          <w:sz w:val="24"/>
          <w:szCs w:val="24"/>
          <w:lang w:val="es-AR"/>
        </w:rPr>
        <w:t xml:space="preserve"> de </w:t>
      </w:r>
      <w:r w:rsidR="000231F9" w:rsidRPr="000231F9">
        <w:rPr>
          <w:sz w:val="24"/>
          <w:szCs w:val="24"/>
          <w:lang w:val="es-AR"/>
        </w:rPr>
        <w:t>vulnerabilidad</w:t>
      </w:r>
      <w:r w:rsidRPr="000231F9">
        <w:rPr>
          <w:sz w:val="24"/>
          <w:szCs w:val="24"/>
          <w:lang w:val="es-AR"/>
        </w:rPr>
        <w:t xml:space="preserve"> al reclutamiento (como poblaciones indígenas y minorías étnicas)</w:t>
      </w:r>
      <w:r>
        <w:rPr>
          <w:sz w:val="24"/>
          <w:szCs w:val="24"/>
          <w:vertAlign w:val="superscript"/>
        </w:rPr>
        <w:footnoteReference w:id="8"/>
      </w:r>
      <w:r w:rsidRPr="000231F9">
        <w:rPr>
          <w:sz w:val="24"/>
          <w:szCs w:val="24"/>
          <w:lang w:val="es-AR"/>
        </w:rPr>
        <w:t xml:space="preserve"> y la efectividad de las normas relacionadas con la prevención del reclutamiento forzado.</w:t>
      </w:r>
      <w:r>
        <w:rPr>
          <w:sz w:val="24"/>
          <w:szCs w:val="24"/>
          <w:vertAlign w:val="superscript"/>
        </w:rPr>
        <w:footnoteReference w:id="9"/>
      </w:r>
      <w:r w:rsidRPr="000231F9">
        <w:rPr>
          <w:sz w:val="24"/>
          <w:szCs w:val="24"/>
          <w:lang w:val="es-AR"/>
        </w:rPr>
        <w:t xml:space="preserve"> Al respecto, el Estado colombiano presentó información en el informe nacional sobre políticas relacionadas con la prevención del reclutamiento incluyendo el establecimiento de instituciones  los ajustes realizados a la Política 3673 (2010) realizados en 2018 y la Línea de Política Pública de Infancia y Adolescencia, así como el plan nacional de desarrollo con recursos para la prevención del reclutamiento</w:t>
      </w:r>
      <w:r>
        <w:rPr>
          <w:sz w:val="24"/>
          <w:szCs w:val="24"/>
          <w:vertAlign w:val="superscript"/>
        </w:rPr>
        <w:footnoteReference w:id="10"/>
      </w:r>
      <w:r w:rsidR="000231F9">
        <w:rPr>
          <w:sz w:val="24"/>
          <w:szCs w:val="24"/>
          <w:lang w:val="es-AR"/>
        </w:rPr>
        <w:t>.</w:t>
      </w:r>
      <w:r w:rsidRPr="000231F9">
        <w:rPr>
          <w:sz w:val="24"/>
          <w:szCs w:val="24"/>
          <w:lang w:val="es-AR"/>
        </w:rPr>
        <w:t xml:space="preserve"> Sin embargo, Colombia se limitó a presentar en su informe, las medidas generales sin explicar la efectividad de las mismas con respecto a los índices de reclutamiento forzado de NNA, la articulación entre las entidades que hacen parte de la política pública y la efectividad de las acciones. Por ejemplo, la Defensoría del Pueblo sigue emitiendo centenares de alertas tempranas debido a riesgos </w:t>
      </w:r>
      <w:r w:rsidRPr="000231F9">
        <w:rPr>
          <w:sz w:val="24"/>
          <w:szCs w:val="24"/>
          <w:lang w:val="es-AR"/>
        </w:rPr>
        <w:lastRenderedPageBreak/>
        <w:t>de reclutamiento de NNA al año, reportando al menos 184 casos durante el 2023</w:t>
      </w:r>
      <w:r>
        <w:rPr>
          <w:sz w:val="24"/>
          <w:szCs w:val="24"/>
          <w:vertAlign w:val="superscript"/>
        </w:rPr>
        <w:footnoteReference w:id="11"/>
      </w:r>
      <w:r w:rsidR="000231F9">
        <w:rPr>
          <w:sz w:val="24"/>
          <w:szCs w:val="24"/>
          <w:lang w:val="es-AR"/>
        </w:rPr>
        <w:t>.</w:t>
      </w:r>
      <w:r w:rsidRPr="000231F9">
        <w:rPr>
          <w:sz w:val="24"/>
          <w:szCs w:val="24"/>
          <w:lang w:val="es-AR"/>
        </w:rPr>
        <w:t xml:space="preserve"> En este sentido, la Organización de Estados Americanos (OEA) a través de su</w:t>
      </w:r>
      <w:r w:rsidRPr="000231F9">
        <w:rPr>
          <w:b/>
          <w:sz w:val="24"/>
          <w:szCs w:val="24"/>
          <w:lang w:val="es-AR"/>
        </w:rPr>
        <w:t xml:space="preserve"> </w:t>
      </w:r>
      <w:r w:rsidRPr="000231F9">
        <w:rPr>
          <w:sz w:val="24"/>
          <w:szCs w:val="24"/>
          <w:lang w:val="es-AR"/>
        </w:rPr>
        <w:t>Misión de Apoyo al Proceso de Paz en Colombia ha informado periódicamente sobre la continuación del reclutamiento de NNA especificando los territorios de presencia de casos (departamento y/o municipio)</w:t>
      </w:r>
      <w:r>
        <w:rPr>
          <w:sz w:val="24"/>
          <w:szCs w:val="24"/>
          <w:vertAlign w:val="superscript"/>
        </w:rPr>
        <w:footnoteReference w:id="12"/>
      </w:r>
      <w:r w:rsidR="000231F9">
        <w:rPr>
          <w:sz w:val="24"/>
          <w:szCs w:val="24"/>
          <w:lang w:val="es-AR"/>
        </w:rPr>
        <w:t>,</w:t>
      </w:r>
      <w:r w:rsidRPr="000231F9">
        <w:rPr>
          <w:sz w:val="24"/>
          <w:szCs w:val="24"/>
          <w:lang w:val="es-AR"/>
        </w:rPr>
        <w:t xml:space="preserve"> mostrando el aumento en diferentes periodos</w:t>
      </w:r>
      <w:r>
        <w:rPr>
          <w:sz w:val="24"/>
          <w:szCs w:val="24"/>
          <w:vertAlign w:val="superscript"/>
        </w:rPr>
        <w:footnoteReference w:id="13"/>
      </w:r>
      <w:r w:rsidR="000231F9">
        <w:rPr>
          <w:sz w:val="24"/>
          <w:szCs w:val="24"/>
          <w:lang w:val="es-AR"/>
        </w:rPr>
        <w:t>.</w:t>
      </w:r>
    </w:p>
    <w:p w14:paraId="00000026" w14:textId="7B84C942" w:rsidR="00C60456" w:rsidRPr="000231F9" w:rsidRDefault="0007730F">
      <w:pPr>
        <w:spacing w:after="200" w:line="360" w:lineRule="auto"/>
        <w:jc w:val="both"/>
        <w:rPr>
          <w:sz w:val="24"/>
          <w:szCs w:val="24"/>
          <w:lang w:val="es-AR"/>
        </w:rPr>
      </w:pPr>
      <w:r w:rsidRPr="000231F9">
        <w:rPr>
          <w:sz w:val="24"/>
          <w:szCs w:val="24"/>
          <w:lang w:val="es-AR"/>
        </w:rPr>
        <w:t>La OEA en múltiples oportunidades ha expresado su preocupación por el subregistro de casos, relacionado con el miedo a represalias por parte de grupos armados</w:t>
      </w:r>
      <w:r>
        <w:rPr>
          <w:sz w:val="24"/>
          <w:szCs w:val="24"/>
          <w:vertAlign w:val="superscript"/>
        </w:rPr>
        <w:footnoteReference w:id="14"/>
      </w:r>
      <w:r w:rsidRPr="000231F9">
        <w:rPr>
          <w:sz w:val="40"/>
          <w:szCs w:val="40"/>
          <w:vertAlign w:val="superscript"/>
          <w:lang w:val="es-AR"/>
        </w:rPr>
        <w:t xml:space="preserve"> </w:t>
      </w:r>
      <w:r w:rsidRPr="000231F9">
        <w:rPr>
          <w:sz w:val="24"/>
          <w:szCs w:val="24"/>
          <w:lang w:val="es-AR"/>
        </w:rPr>
        <w:t>y la violencia sexual ejercida en contra de niñas y adolescentes al ser reclutadas y que en algunos casos retornadas a sus familias en estado de embarazo</w:t>
      </w:r>
      <w:r>
        <w:rPr>
          <w:sz w:val="24"/>
          <w:szCs w:val="24"/>
          <w:vertAlign w:val="superscript"/>
        </w:rPr>
        <w:footnoteReference w:id="15"/>
      </w:r>
      <w:r w:rsidR="000231F9">
        <w:rPr>
          <w:sz w:val="24"/>
          <w:szCs w:val="24"/>
          <w:lang w:val="es-AR"/>
        </w:rPr>
        <w:t>.</w:t>
      </w:r>
    </w:p>
    <w:p w14:paraId="00000027" w14:textId="75581E11" w:rsidR="00C60456" w:rsidRPr="000231F9" w:rsidRDefault="0007730F">
      <w:pPr>
        <w:spacing w:after="200" w:line="360" w:lineRule="auto"/>
        <w:jc w:val="both"/>
        <w:rPr>
          <w:sz w:val="40"/>
          <w:szCs w:val="40"/>
          <w:vertAlign w:val="superscript"/>
          <w:lang w:val="es-AR"/>
        </w:rPr>
      </w:pPr>
      <w:r w:rsidRPr="000231F9">
        <w:rPr>
          <w:sz w:val="24"/>
          <w:szCs w:val="24"/>
          <w:lang w:val="es-AR"/>
        </w:rPr>
        <w:t>​​Lamentablemente, debido a la falta de presencia Estatal y oportunidades, especialmente en las zonas rurales de conflicto armado, se crea un escenario que facilita la vinculación de NNA a grupos armados ilegales, quienes perciben la vinculación estos grupos como opciones para mejorar sus condiciones socioeconómicas</w:t>
      </w:r>
      <w:r>
        <w:rPr>
          <w:sz w:val="24"/>
          <w:szCs w:val="24"/>
          <w:vertAlign w:val="superscript"/>
        </w:rPr>
        <w:footnoteReference w:id="16"/>
      </w:r>
      <w:r w:rsidR="000231F9">
        <w:rPr>
          <w:sz w:val="24"/>
          <w:szCs w:val="24"/>
          <w:lang w:val="es-AR"/>
        </w:rPr>
        <w:t>.</w:t>
      </w:r>
      <w:r w:rsidRPr="000231F9">
        <w:rPr>
          <w:sz w:val="24"/>
          <w:szCs w:val="24"/>
          <w:lang w:val="es-AR"/>
        </w:rPr>
        <w:t xml:space="preserve"> Esta situación se vio agravada tras las medidas de confinamiento adoptadas por el Gobierno Nacional para </w:t>
      </w:r>
      <w:r w:rsidRPr="000231F9">
        <w:rPr>
          <w:sz w:val="24"/>
          <w:szCs w:val="24"/>
          <w:lang w:val="es-AR"/>
        </w:rPr>
        <w:lastRenderedPageBreak/>
        <w:t>prevenir la propagación del Covid-19 debido al riesgo de reclutamiento en territorios vulnerables durante la cuarentena</w:t>
      </w:r>
      <w:r>
        <w:rPr>
          <w:sz w:val="24"/>
          <w:szCs w:val="24"/>
          <w:vertAlign w:val="superscript"/>
        </w:rPr>
        <w:footnoteReference w:id="17"/>
      </w:r>
      <w:r w:rsidR="000231F9">
        <w:rPr>
          <w:sz w:val="24"/>
          <w:szCs w:val="24"/>
          <w:lang w:val="es-AR"/>
        </w:rPr>
        <w:t>.</w:t>
      </w:r>
    </w:p>
    <w:p w14:paraId="00000028" w14:textId="77777777" w:rsidR="00C60456" w:rsidRPr="000231F9" w:rsidRDefault="0007730F">
      <w:pPr>
        <w:spacing w:before="240" w:line="360" w:lineRule="auto"/>
        <w:jc w:val="both"/>
        <w:rPr>
          <w:sz w:val="24"/>
          <w:szCs w:val="24"/>
          <w:lang w:val="es-AR"/>
        </w:rPr>
      </w:pPr>
      <w:r w:rsidRPr="000231F9">
        <w:rPr>
          <w:sz w:val="24"/>
          <w:szCs w:val="24"/>
          <w:lang w:val="es-AR"/>
        </w:rPr>
        <w:t xml:space="preserve">La Defensoría del Pueblo emitió un informe caracterizando las zonas y causas de riesgo de reclutamiento forzado en perjuicio de NNA. La Defensoría indicó, entre otras, que en 2020 se habían emitido, al menos 46 alertas tempranas advirtiendo el alto riesgo de reclutamiento en 188 municipios. Adicionalmente, en diferentes oportunidades, la entidad ha señalado que las NNA son usadas como escudos humanos por parte de los grupos armados ilegales. </w:t>
      </w:r>
    </w:p>
    <w:p w14:paraId="00000029" w14:textId="06A4C0A9" w:rsidR="00C60456" w:rsidRPr="000231F9" w:rsidRDefault="0007730F">
      <w:pPr>
        <w:spacing w:before="240" w:line="360" w:lineRule="auto"/>
        <w:jc w:val="both"/>
        <w:rPr>
          <w:sz w:val="24"/>
          <w:szCs w:val="24"/>
          <w:lang w:val="es-AR"/>
        </w:rPr>
      </w:pPr>
      <w:r w:rsidRPr="000231F9">
        <w:rPr>
          <w:sz w:val="24"/>
          <w:szCs w:val="24"/>
          <w:lang w:val="es-AR"/>
        </w:rPr>
        <w:t>La Defensoría del Pueblo publicó en el 2022 que el 83% de las alertas tempranas han advertido sobre el riesgo del reclutamiento de NNA en diferentes territorios de Colombia</w:t>
      </w:r>
      <w:r>
        <w:rPr>
          <w:sz w:val="24"/>
          <w:szCs w:val="24"/>
          <w:vertAlign w:val="superscript"/>
        </w:rPr>
        <w:footnoteReference w:id="18"/>
      </w:r>
      <w:r w:rsidR="000231F9">
        <w:rPr>
          <w:sz w:val="24"/>
          <w:szCs w:val="24"/>
          <w:lang w:val="es-AR"/>
        </w:rPr>
        <w:t>.</w:t>
      </w:r>
      <w:r w:rsidRPr="000231F9">
        <w:rPr>
          <w:sz w:val="24"/>
          <w:szCs w:val="24"/>
          <w:lang w:val="es-AR"/>
        </w:rPr>
        <w:t xml:space="preserve"> Adicionalmente, la institución indicó que la población migrante venezolana se encuentra en mayor condición de vulnerabilidad de ser reclutada, especialmente por grupos paramilitares como las Autodefensas Gaitanistas y otros grupos de delincuencia transnacional. En el documento, la Defensoría indicó que si bien existía una política de prevención del reclutamiento en el país, resultaba necesario que se adoptaran medidas de seguimiento de éstas “a partir del análisis desde las problemáticas actuales, la descripción de las situaciones actuales y diferentes, la magnitud de esas causas, la dimensión del contexto y los efectos generados por el problema”</w:t>
      </w:r>
      <w:r>
        <w:rPr>
          <w:sz w:val="24"/>
          <w:szCs w:val="24"/>
          <w:vertAlign w:val="superscript"/>
        </w:rPr>
        <w:footnoteReference w:id="19"/>
      </w:r>
      <w:r w:rsidR="000231F9">
        <w:rPr>
          <w:sz w:val="24"/>
          <w:szCs w:val="24"/>
          <w:lang w:val="es-AR"/>
        </w:rPr>
        <w:t>.</w:t>
      </w:r>
      <w:r w:rsidRPr="000231F9">
        <w:rPr>
          <w:sz w:val="24"/>
          <w:szCs w:val="24"/>
          <w:lang w:val="es-AR"/>
        </w:rPr>
        <w:t xml:space="preserve"> A la fecha, no se cuenta con información sobre las medidas adoptadas para seguir las recomendaciones de la Defensoría. </w:t>
      </w:r>
    </w:p>
    <w:p w14:paraId="0000002A" w14:textId="4C43D797" w:rsidR="00C60456" w:rsidRPr="000231F9" w:rsidRDefault="0007730F">
      <w:pPr>
        <w:spacing w:before="240" w:after="200" w:line="360" w:lineRule="auto"/>
        <w:jc w:val="both"/>
        <w:rPr>
          <w:sz w:val="24"/>
          <w:szCs w:val="24"/>
          <w:lang w:val="es-AR"/>
        </w:rPr>
      </w:pPr>
      <w:r w:rsidRPr="000231F9">
        <w:rPr>
          <w:sz w:val="24"/>
          <w:szCs w:val="24"/>
          <w:lang w:val="es-AR"/>
        </w:rPr>
        <w:t xml:space="preserve">En esta misma línea, el SGNU ha exhortado al gobierno a velar por la adecuada asignación de presupuesto a los programas de prevención del reclutamiento forzado y </w:t>
      </w:r>
      <w:r w:rsidRPr="000231F9">
        <w:rPr>
          <w:sz w:val="24"/>
          <w:szCs w:val="24"/>
          <w:lang w:val="es-AR"/>
        </w:rPr>
        <w:lastRenderedPageBreak/>
        <w:t>designación de “instituciones que se encarguen de coordinarlos e implementarlos para evitar nuevos casos de reclutamiento y utilización de NNA</w:t>
      </w:r>
      <w:r w:rsidR="000231F9">
        <w:rPr>
          <w:sz w:val="24"/>
          <w:szCs w:val="24"/>
          <w:lang w:val="es-AR"/>
        </w:rPr>
        <w:t>”</w:t>
      </w:r>
      <w:r>
        <w:rPr>
          <w:sz w:val="24"/>
          <w:szCs w:val="24"/>
          <w:vertAlign w:val="superscript"/>
        </w:rPr>
        <w:footnoteReference w:id="20"/>
      </w:r>
      <w:r w:rsidR="000231F9">
        <w:rPr>
          <w:sz w:val="24"/>
          <w:szCs w:val="24"/>
          <w:lang w:val="es-AR"/>
        </w:rPr>
        <w:t>.</w:t>
      </w:r>
    </w:p>
    <w:p w14:paraId="0000002B" w14:textId="76FCB235" w:rsidR="00C60456" w:rsidRPr="000231F9" w:rsidRDefault="0007730F">
      <w:pPr>
        <w:spacing w:after="200" w:line="360" w:lineRule="auto"/>
        <w:jc w:val="both"/>
        <w:rPr>
          <w:sz w:val="20"/>
          <w:szCs w:val="20"/>
          <w:vertAlign w:val="superscript"/>
          <w:lang w:val="es-AR"/>
        </w:rPr>
      </w:pPr>
      <w:r w:rsidRPr="000231F9">
        <w:rPr>
          <w:sz w:val="24"/>
          <w:szCs w:val="24"/>
          <w:lang w:val="es-AR"/>
        </w:rPr>
        <w:t>Si bien las organizaciones reconocen las medidas mencionadas por el Estado en su informe y las adoptadas por el actual gobierno, estas no cumplen con la recomendación emitida por el Comité ni la Defensoría del Pueblo respecto a la asignación de recursos, fortalecimiento de instituciones, mecanismos de coordinación, entre otros</w:t>
      </w:r>
      <w:r>
        <w:rPr>
          <w:sz w:val="24"/>
          <w:szCs w:val="24"/>
          <w:vertAlign w:val="superscript"/>
        </w:rPr>
        <w:footnoteReference w:id="21"/>
      </w:r>
      <w:r w:rsidR="000231F9">
        <w:rPr>
          <w:sz w:val="24"/>
          <w:szCs w:val="24"/>
          <w:lang w:val="es-AR"/>
        </w:rPr>
        <w:t>.</w:t>
      </w:r>
      <w:r w:rsidRPr="000231F9">
        <w:rPr>
          <w:sz w:val="24"/>
          <w:szCs w:val="24"/>
          <w:lang w:val="es-AR"/>
        </w:rPr>
        <w:t xml:space="preserve"> Sobre este punto, el SGNU este año indicó que se ha presentado un aumento del 61% de los hechos de violencia contra NNA en el periodo del 2021 al 2023 respecto al periodo de 2019 al 2021, incluyendo casos de reclutamiento</w:t>
      </w:r>
      <w:r>
        <w:rPr>
          <w:sz w:val="24"/>
          <w:szCs w:val="24"/>
          <w:vertAlign w:val="superscript"/>
        </w:rPr>
        <w:footnoteReference w:id="22"/>
      </w:r>
      <w:r w:rsidR="000231F9">
        <w:rPr>
          <w:sz w:val="24"/>
          <w:szCs w:val="24"/>
          <w:lang w:val="es-AR"/>
        </w:rPr>
        <w:t>.</w:t>
      </w:r>
      <w:r w:rsidRPr="000231F9">
        <w:rPr>
          <w:sz w:val="24"/>
          <w:szCs w:val="24"/>
          <w:lang w:val="es-AR"/>
        </w:rPr>
        <w:t xml:space="preserve"> De hecho, el reclutamiento, ha sido la violación de derechos humanos más extendida con al menos 348 niños y niñas afectados en los últimos tres años</w:t>
      </w:r>
      <w:r>
        <w:rPr>
          <w:sz w:val="24"/>
          <w:szCs w:val="24"/>
          <w:vertAlign w:val="superscript"/>
        </w:rPr>
        <w:footnoteReference w:id="23"/>
      </w:r>
      <w:r w:rsidR="000231F9">
        <w:rPr>
          <w:sz w:val="24"/>
          <w:szCs w:val="24"/>
          <w:lang w:val="es-AR"/>
        </w:rPr>
        <w:t>.</w:t>
      </w:r>
      <w:r w:rsidRPr="000231F9">
        <w:rPr>
          <w:sz w:val="24"/>
          <w:szCs w:val="24"/>
          <w:lang w:val="es-AR"/>
        </w:rPr>
        <w:t xml:space="preserve"> Del mismo modo, el Secretario </w:t>
      </w:r>
      <w:r w:rsidR="000231F9" w:rsidRPr="000231F9">
        <w:rPr>
          <w:sz w:val="24"/>
          <w:szCs w:val="24"/>
          <w:lang w:val="es-AR"/>
        </w:rPr>
        <w:t>manifestó</w:t>
      </w:r>
      <w:r w:rsidRPr="000231F9">
        <w:rPr>
          <w:sz w:val="24"/>
          <w:szCs w:val="24"/>
          <w:lang w:val="es-AR"/>
        </w:rPr>
        <w:t xml:space="preserve"> su preocupación por el aumento drástico de casos de violencia sexual en contra de niñas y niños, de los cuales existe un subregistro.</w:t>
      </w:r>
    </w:p>
    <w:p w14:paraId="0000002C" w14:textId="77777777" w:rsidR="00C60456" w:rsidRDefault="0007730F">
      <w:pPr>
        <w:spacing w:after="200" w:line="360" w:lineRule="auto"/>
        <w:jc w:val="both"/>
        <w:rPr>
          <w:sz w:val="24"/>
          <w:szCs w:val="24"/>
          <w:u w:val="single"/>
        </w:rPr>
      </w:pPr>
      <w:r>
        <w:rPr>
          <w:sz w:val="24"/>
          <w:szCs w:val="24"/>
          <w:u w:val="single"/>
        </w:rPr>
        <w:t>Recomendaciones:</w:t>
      </w:r>
    </w:p>
    <w:p w14:paraId="0000002D" w14:textId="0F144885" w:rsidR="00C60456" w:rsidRPr="00535C03" w:rsidRDefault="0007730F" w:rsidP="006A5420">
      <w:pPr>
        <w:pStyle w:val="ListParagraph"/>
        <w:numPr>
          <w:ilvl w:val="0"/>
          <w:numId w:val="4"/>
        </w:numPr>
        <w:spacing w:line="360" w:lineRule="auto"/>
        <w:ind w:left="851"/>
        <w:jc w:val="both"/>
        <w:rPr>
          <w:sz w:val="24"/>
          <w:szCs w:val="24"/>
          <w:lang w:val="es-CO"/>
        </w:rPr>
      </w:pPr>
      <w:r w:rsidRPr="00535C03">
        <w:rPr>
          <w:sz w:val="24"/>
          <w:szCs w:val="24"/>
          <w:lang w:val="es-CO"/>
        </w:rPr>
        <w:t xml:space="preserve">Se inste al Estado a: </w:t>
      </w:r>
    </w:p>
    <w:p w14:paraId="0000002E" w14:textId="1B437D03" w:rsidR="00C60456" w:rsidRPr="000231F9" w:rsidRDefault="0007730F">
      <w:pPr>
        <w:spacing w:after="200" w:line="360" w:lineRule="auto"/>
        <w:ind w:left="1080" w:hanging="360"/>
        <w:jc w:val="both"/>
        <w:rPr>
          <w:sz w:val="24"/>
          <w:szCs w:val="24"/>
          <w:lang w:val="es-AR"/>
        </w:rPr>
      </w:pPr>
      <w:r w:rsidRPr="000231F9">
        <w:rPr>
          <w:sz w:val="24"/>
          <w:szCs w:val="24"/>
          <w:lang w:val="es-AR"/>
        </w:rPr>
        <w:t>1.1.</w:t>
      </w:r>
      <w:r w:rsidRPr="000231F9">
        <w:rPr>
          <w:rFonts w:ascii="Times New Roman" w:eastAsia="Times New Roman" w:hAnsi="Times New Roman" w:cs="Times New Roman"/>
          <w:sz w:val="14"/>
          <w:szCs w:val="14"/>
          <w:lang w:val="es-AR"/>
        </w:rPr>
        <w:t xml:space="preserve"> </w:t>
      </w:r>
      <w:r w:rsidRPr="000231F9">
        <w:rPr>
          <w:sz w:val="24"/>
          <w:szCs w:val="24"/>
          <w:lang w:val="es-AR"/>
        </w:rPr>
        <w:t xml:space="preserve">Cumplir con las recomendaciones emitidas por el Comité en sus observaciones finales de 2015 relacionadas con los esfuerzos institucionales para prevenir el reclutamiento forzado, especialmente </w:t>
      </w:r>
      <w:r w:rsidR="00430CE1">
        <w:rPr>
          <w:sz w:val="24"/>
          <w:szCs w:val="24"/>
          <w:lang w:val="es-AR"/>
        </w:rPr>
        <w:t xml:space="preserve">a NNA población migrante y </w:t>
      </w:r>
      <w:r w:rsidRPr="000231F9">
        <w:rPr>
          <w:sz w:val="24"/>
          <w:szCs w:val="24"/>
          <w:lang w:val="es-AR"/>
        </w:rPr>
        <w:t>en zonas rurales de conflicto.</w:t>
      </w:r>
      <w:r>
        <w:rPr>
          <w:sz w:val="24"/>
          <w:szCs w:val="24"/>
          <w:vertAlign w:val="superscript"/>
        </w:rPr>
        <w:footnoteReference w:id="24"/>
      </w:r>
      <w:r w:rsidRPr="000231F9">
        <w:rPr>
          <w:sz w:val="24"/>
          <w:szCs w:val="24"/>
          <w:lang w:val="es-AR"/>
        </w:rPr>
        <w:t xml:space="preserve"> Estas acciones deben estar encaminadas a atacar las causas estructurales que causan el reclutamiento, incluyendo el abandono estatal y presencia limitada a lo militar y condiciones de pobreza.</w:t>
      </w:r>
    </w:p>
    <w:p w14:paraId="0000002F" w14:textId="77777777" w:rsidR="00C60456" w:rsidRPr="000231F9" w:rsidRDefault="0007730F">
      <w:pPr>
        <w:spacing w:after="200" w:line="360" w:lineRule="auto"/>
        <w:ind w:left="720"/>
        <w:jc w:val="both"/>
        <w:rPr>
          <w:sz w:val="24"/>
          <w:szCs w:val="24"/>
          <w:lang w:val="es-AR"/>
        </w:rPr>
      </w:pPr>
      <w:r w:rsidRPr="000231F9">
        <w:rPr>
          <w:sz w:val="24"/>
          <w:szCs w:val="24"/>
          <w:lang w:val="es-AR"/>
        </w:rPr>
        <w:lastRenderedPageBreak/>
        <w:t xml:space="preserve">1.2. Cumplir con las recomendaciones emitidas por la Defensoría del Pueblo en el informe </w:t>
      </w:r>
      <w:r w:rsidRPr="000231F9">
        <w:rPr>
          <w:i/>
          <w:sz w:val="24"/>
          <w:szCs w:val="24"/>
          <w:lang w:val="es-AR"/>
        </w:rPr>
        <w:t>Dinámica del reclutamiento forzado de niños, niñas y adolescentes en Colombia</w:t>
      </w:r>
      <w:r>
        <w:rPr>
          <w:sz w:val="24"/>
          <w:szCs w:val="24"/>
          <w:vertAlign w:val="superscript"/>
        </w:rPr>
        <w:footnoteReference w:id="25"/>
      </w:r>
      <w:r w:rsidRPr="000231F9">
        <w:rPr>
          <w:sz w:val="24"/>
          <w:szCs w:val="24"/>
          <w:lang w:val="es-AR"/>
        </w:rPr>
        <w:t xml:space="preserve"> y el Secretario General de las Naciones Unidas relacionadas con la prevención del reclutamiento forzado.</w:t>
      </w:r>
      <w:r>
        <w:rPr>
          <w:sz w:val="24"/>
          <w:szCs w:val="24"/>
          <w:vertAlign w:val="superscript"/>
        </w:rPr>
        <w:footnoteReference w:id="26"/>
      </w:r>
    </w:p>
    <w:p w14:paraId="00000030" w14:textId="77777777" w:rsidR="00C60456" w:rsidRPr="000231F9" w:rsidRDefault="0007730F">
      <w:pPr>
        <w:spacing w:after="200" w:line="360" w:lineRule="auto"/>
        <w:ind w:left="720"/>
        <w:jc w:val="both"/>
        <w:rPr>
          <w:sz w:val="24"/>
          <w:szCs w:val="24"/>
          <w:lang w:val="es-AR"/>
        </w:rPr>
      </w:pPr>
      <w:r w:rsidRPr="000231F9">
        <w:rPr>
          <w:sz w:val="24"/>
          <w:szCs w:val="24"/>
          <w:lang w:val="es-AR"/>
        </w:rPr>
        <w:t>1.3. Garantizar presupuesto suficiente para cubrir todos los municipios en riesgo de reclutamiento y no exclusivamente los priorizados por las actuales políticas adoptadas.</w:t>
      </w:r>
    </w:p>
    <w:p w14:paraId="00000031" w14:textId="77777777" w:rsidR="00C60456" w:rsidRPr="000231F9" w:rsidRDefault="0007730F">
      <w:pPr>
        <w:spacing w:after="200" w:line="360" w:lineRule="auto"/>
        <w:ind w:left="720"/>
        <w:jc w:val="both"/>
        <w:rPr>
          <w:sz w:val="24"/>
          <w:szCs w:val="24"/>
          <w:lang w:val="es-AR"/>
        </w:rPr>
      </w:pPr>
      <w:r w:rsidRPr="000231F9">
        <w:rPr>
          <w:sz w:val="24"/>
          <w:szCs w:val="24"/>
          <w:lang w:val="es-AR"/>
        </w:rPr>
        <w:t>1.4. Hacer seguimiento y adoptar medidas efectivas frente a la emisión de alertas tempranas por la Defensoría del Pueblo, especialmente las relacionadas con alertas de riesgo de reclutamiento forzado de NNA.</w:t>
      </w:r>
    </w:p>
    <w:p w14:paraId="00000032" w14:textId="577DB777" w:rsidR="00C60456" w:rsidRPr="000231F9" w:rsidRDefault="0007730F">
      <w:pPr>
        <w:spacing w:after="200" w:line="360" w:lineRule="auto"/>
        <w:ind w:left="720"/>
        <w:jc w:val="both"/>
        <w:rPr>
          <w:sz w:val="24"/>
          <w:szCs w:val="24"/>
          <w:lang w:val="es-AR"/>
        </w:rPr>
      </w:pPr>
      <w:r w:rsidRPr="000231F9">
        <w:rPr>
          <w:sz w:val="24"/>
          <w:szCs w:val="24"/>
          <w:lang w:val="es-AR"/>
        </w:rPr>
        <w:t>1.5</w:t>
      </w:r>
      <w:r w:rsidR="006A5420">
        <w:rPr>
          <w:sz w:val="24"/>
          <w:szCs w:val="24"/>
          <w:lang w:val="es-AR"/>
        </w:rPr>
        <w:t>.</w:t>
      </w:r>
      <w:r w:rsidRPr="000231F9">
        <w:rPr>
          <w:rFonts w:ascii="Times New Roman" w:eastAsia="Times New Roman" w:hAnsi="Times New Roman" w:cs="Times New Roman"/>
          <w:sz w:val="14"/>
          <w:szCs w:val="14"/>
          <w:lang w:val="es-AR"/>
        </w:rPr>
        <w:t xml:space="preserve"> </w:t>
      </w:r>
      <w:r w:rsidRPr="000231F9">
        <w:rPr>
          <w:sz w:val="24"/>
          <w:szCs w:val="24"/>
          <w:lang w:val="es-AR"/>
        </w:rPr>
        <w:t>Cumplir con los acuerdos establecidos en el Acuerdo Final para la Paz y las recomendaciones emitidas por la Comisión de la Verdad, en particular aquellas relacionadas con las NNA.</w:t>
      </w:r>
    </w:p>
    <w:p w14:paraId="00000033" w14:textId="77777777" w:rsidR="00C60456" w:rsidRPr="000231F9" w:rsidRDefault="0007730F">
      <w:pPr>
        <w:spacing w:after="200" w:line="360" w:lineRule="auto"/>
        <w:ind w:left="720"/>
        <w:jc w:val="both"/>
        <w:rPr>
          <w:sz w:val="24"/>
          <w:szCs w:val="24"/>
          <w:lang w:val="es-AR"/>
        </w:rPr>
      </w:pPr>
      <w:r w:rsidRPr="000231F9">
        <w:rPr>
          <w:sz w:val="24"/>
          <w:szCs w:val="24"/>
          <w:lang w:val="es-AR"/>
        </w:rPr>
        <w:t>1.6. Continuar con los esfuerzos relacionados a alcanzar un acuerdo de paz con el ELN y garantizar la participación de las niñas y niños en el diseño de un acuerdo de paz.</w:t>
      </w:r>
    </w:p>
    <w:p w14:paraId="00000034" w14:textId="77777777" w:rsidR="00C60456" w:rsidRPr="000231F9" w:rsidRDefault="0007730F">
      <w:pPr>
        <w:spacing w:after="200" w:line="360" w:lineRule="auto"/>
        <w:ind w:left="720"/>
        <w:jc w:val="both"/>
        <w:rPr>
          <w:sz w:val="24"/>
          <w:szCs w:val="24"/>
          <w:lang w:val="es-AR"/>
        </w:rPr>
      </w:pPr>
      <w:r w:rsidRPr="000231F9">
        <w:rPr>
          <w:sz w:val="24"/>
          <w:szCs w:val="24"/>
          <w:lang w:val="es-AR"/>
        </w:rPr>
        <w:t>1.7. Cumplir con su deber de debida diligencia de investigar los hechos de reclutamiento forzado, incluyendo la reparación integral de las víctimas y sus familiares. Adicionalmente, estos casos deben investigarse con perspectiva de género para identificar hechos de violencia sexual, especialmente contra niñas.</w:t>
      </w:r>
    </w:p>
    <w:p w14:paraId="00000035" w14:textId="2A0CF2EA" w:rsidR="00C60456" w:rsidRPr="000231F9" w:rsidRDefault="0007730F" w:rsidP="00924EFA">
      <w:pPr>
        <w:pStyle w:val="Heading2"/>
        <w:rPr>
          <w:lang w:val="es-AR"/>
        </w:rPr>
      </w:pPr>
      <w:bookmarkStart w:id="10" w:name="_Toc181285160"/>
      <w:bookmarkStart w:id="11" w:name="_Toc181286228"/>
      <w:r w:rsidRPr="000231F9">
        <w:rPr>
          <w:lang w:val="es-AR"/>
        </w:rPr>
        <w:lastRenderedPageBreak/>
        <w:t>1.</w:t>
      </w:r>
      <w:r w:rsidR="00924EFA">
        <w:rPr>
          <w:lang w:val="es-AR"/>
        </w:rPr>
        <w:t>3</w:t>
      </w:r>
      <w:r w:rsidRPr="000231F9">
        <w:rPr>
          <w:lang w:val="es-AR"/>
        </w:rPr>
        <w:t>.</w:t>
      </w:r>
      <w:r w:rsidRPr="000231F9">
        <w:rPr>
          <w:lang w:val="es-AR"/>
        </w:rPr>
        <w:tab/>
        <w:t>El Estado atacó indiscriminadamente a NNA reclutados y les revictimizó</w:t>
      </w:r>
      <w:bookmarkEnd w:id="10"/>
      <w:bookmarkEnd w:id="11"/>
    </w:p>
    <w:p w14:paraId="00000036" w14:textId="36C94A58" w:rsidR="00C60456" w:rsidRPr="000231F9" w:rsidRDefault="0007730F">
      <w:pPr>
        <w:spacing w:after="200" w:line="360" w:lineRule="auto"/>
        <w:jc w:val="both"/>
        <w:rPr>
          <w:sz w:val="24"/>
          <w:szCs w:val="24"/>
          <w:lang w:val="es-AR"/>
        </w:rPr>
      </w:pPr>
      <w:r w:rsidRPr="000231F9">
        <w:rPr>
          <w:sz w:val="24"/>
          <w:szCs w:val="24"/>
          <w:lang w:val="es-AR"/>
        </w:rPr>
        <w:t>El CDN en el 2015 expresó su preocupación por las diferentes violaciones de derechos humanos sufridas por NNA reclutados, incluyendo su privación al derecho a la vida, en el contexto del conflicto armado por parte de agentes del Estado</w:t>
      </w:r>
      <w:r>
        <w:rPr>
          <w:sz w:val="24"/>
          <w:szCs w:val="24"/>
          <w:vertAlign w:val="superscript"/>
        </w:rPr>
        <w:footnoteReference w:id="27"/>
      </w:r>
      <w:r w:rsidR="000231F9">
        <w:rPr>
          <w:sz w:val="24"/>
          <w:szCs w:val="24"/>
          <w:lang w:val="es-AR"/>
        </w:rPr>
        <w:t>.</w:t>
      </w:r>
      <w:r w:rsidRPr="000231F9">
        <w:rPr>
          <w:sz w:val="24"/>
          <w:szCs w:val="24"/>
          <w:lang w:val="es-AR"/>
        </w:rPr>
        <w:t xml:space="preserve"> Así, el Comité emitió una serie de recomendaciones sugiriendo a Colombia redoblar esfuerzos para evitar homicidios de NN en el marco del conflicto armado y judicializar a los responsables</w:t>
      </w:r>
      <w:r>
        <w:rPr>
          <w:sz w:val="24"/>
          <w:szCs w:val="24"/>
          <w:vertAlign w:val="superscript"/>
        </w:rPr>
        <w:footnoteReference w:id="28"/>
      </w:r>
      <w:r w:rsidRPr="000231F9">
        <w:rPr>
          <w:sz w:val="24"/>
          <w:szCs w:val="24"/>
          <w:lang w:val="es-AR"/>
        </w:rPr>
        <w:t xml:space="preserve"> </w:t>
      </w:r>
      <w:r w:rsidR="000231F9">
        <w:rPr>
          <w:sz w:val="24"/>
          <w:szCs w:val="24"/>
          <w:lang w:val="es-AR"/>
        </w:rPr>
        <w:t>.</w:t>
      </w:r>
    </w:p>
    <w:p w14:paraId="00000037" w14:textId="6D8E6A7E" w:rsidR="00C60456" w:rsidRPr="000231F9" w:rsidRDefault="0007730F">
      <w:pPr>
        <w:spacing w:after="200" w:line="360" w:lineRule="auto"/>
        <w:jc w:val="both"/>
        <w:rPr>
          <w:sz w:val="24"/>
          <w:szCs w:val="24"/>
          <w:lang w:val="es-AR"/>
        </w:rPr>
      </w:pPr>
      <w:r w:rsidRPr="000231F9">
        <w:rPr>
          <w:sz w:val="24"/>
          <w:szCs w:val="24"/>
          <w:lang w:val="es-AR"/>
        </w:rPr>
        <w:t xml:space="preserve">En su informe, Colombia omitió información acerca de los asesinatos de NN causados específicamente por actores armados en el marco del conflicto armado. Sin embargo, en los gobiernos anteriores, en particular del </w:t>
      </w:r>
      <w:r w:rsidR="000231F9" w:rsidRPr="000231F9">
        <w:rPr>
          <w:sz w:val="24"/>
          <w:szCs w:val="24"/>
          <w:lang w:val="es-AR"/>
        </w:rPr>
        <w:t>expresidente</w:t>
      </w:r>
      <w:r w:rsidRPr="000231F9">
        <w:rPr>
          <w:sz w:val="24"/>
          <w:szCs w:val="24"/>
          <w:lang w:val="es-AR"/>
        </w:rPr>
        <w:t xml:space="preserve"> Iván Duque se hizo evidente que, como parte de su estrategia militar en contra de las disidencias de las FARC, el Ejército Nacional bombardeó campamentos guerrilleros con NN a través de ataques aéreos. De acuerdo con información del Instituto Nacional de Medicina Legal, desde 2018 hasta 2021 se presentaron al menos 36 bombardeos </w:t>
      </w:r>
      <w:r w:rsidR="000231F9" w:rsidRPr="000231F9">
        <w:rPr>
          <w:sz w:val="24"/>
          <w:szCs w:val="24"/>
          <w:lang w:val="es-AR"/>
        </w:rPr>
        <w:t>aéreos</w:t>
      </w:r>
      <w:r w:rsidRPr="000231F9">
        <w:rPr>
          <w:sz w:val="24"/>
          <w:szCs w:val="24"/>
          <w:lang w:val="es-AR"/>
        </w:rPr>
        <w:t xml:space="preserve"> a campamentos guerrilleros. En estos ataques resultaron fallecidos al menos </w:t>
      </w:r>
      <w:commentRangeStart w:id="12"/>
      <w:r w:rsidRPr="000231F9">
        <w:rPr>
          <w:sz w:val="24"/>
          <w:szCs w:val="24"/>
          <w:lang w:val="es-AR"/>
        </w:rPr>
        <w:t>22 NNA</w:t>
      </w:r>
      <w:commentRangeEnd w:id="12"/>
      <w:r w:rsidR="00430CE1">
        <w:rPr>
          <w:rStyle w:val="CommentReference"/>
        </w:rPr>
        <w:commentReference w:id="12"/>
      </w:r>
      <w:r w:rsidRPr="000231F9">
        <w:rPr>
          <w:sz w:val="24"/>
          <w:szCs w:val="24"/>
          <w:lang w:val="es-AR"/>
        </w:rPr>
        <w:t>. Uno de los hechos más alarmantes fue el bombardeo en el marco de la operación ‘Atai’ llevada a cabo en agosto de 2019 en San Vicente del Caguán en el Caquetá, en donde de las 20 personas muertas, 12 eran NNA</w:t>
      </w:r>
      <w:r>
        <w:rPr>
          <w:sz w:val="24"/>
          <w:szCs w:val="24"/>
          <w:vertAlign w:val="superscript"/>
        </w:rPr>
        <w:footnoteReference w:id="29"/>
      </w:r>
      <w:r w:rsidR="000231F9">
        <w:rPr>
          <w:sz w:val="24"/>
          <w:szCs w:val="24"/>
          <w:lang w:val="es-AR"/>
        </w:rPr>
        <w:t>.</w:t>
      </w:r>
      <w:r w:rsidRPr="000231F9">
        <w:rPr>
          <w:sz w:val="24"/>
          <w:szCs w:val="24"/>
          <w:lang w:val="es-AR"/>
        </w:rPr>
        <w:t xml:space="preserve"> El 22 de febrero de 2022 se presentó un nuevo bombardeo aéreo en Arauca, en el cual, de las 27 personas fallecidas, al menos 8 eran niñas y niños entre los 15 y 17 años. Estos hechos no han sido investigados con debida diligencia y ninguna persona ha ido a juicio.</w:t>
      </w:r>
    </w:p>
    <w:p w14:paraId="00000038" w14:textId="6C43CD67" w:rsidR="00C60456" w:rsidRPr="000231F9" w:rsidRDefault="0007730F">
      <w:pPr>
        <w:spacing w:after="200" w:line="360" w:lineRule="auto"/>
        <w:jc w:val="both"/>
        <w:rPr>
          <w:sz w:val="24"/>
          <w:szCs w:val="24"/>
          <w:lang w:val="es-AR"/>
        </w:rPr>
      </w:pPr>
      <w:r w:rsidRPr="000231F9">
        <w:rPr>
          <w:sz w:val="24"/>
          <w:szCs w:val="24"/>
          <w:lang w:val="es-AR"/>
        </w:rPr>
        <w:t xml:space="preserve">Las organizaciones consideramos que, de acuerdo con los principios establecidos en la Convención y su protocolo facultativo, así como aquellos que rigen el Derecho Internacional Humanitario, en operativos militares el interés superior del niño debe ser considerado en el análisis del principio de precaución y la proporcionalidad de los ataques, pues el Estado debe adoptar la medida menos lesiva con el objeto de que la </w:t>
      </w:r>
      <w:r w:rsidRPr="000231F9">
        <w:rPr>
          <w:sz w:val="24"/>
          <w:szCs w:val="24"/>
          <w:lang w:val="es-AR"/>
        </w:rPr>
        <w:lastRenderedPageBreak/>
        <w:t>operación militar no cause más daños a la luz de la ventaja militar pretendida. Por lo tanto, el Estado debe adoptar medidas menos lesivas encaminadas a proteger los derechos de la niñez reclutada, procurando por su rescate antes que su asesinato. A lo anterior se le suma que la niñez reclutada debe ser considerada principalmente como víctima</w:t>
      </w:r>
      <w:r>
        <w:rPr>
          <w:sz w:val="24"/>
          <w:szCs w:val="24"/>
          <w:vertAlign w:val="superscript"/>
        </w:rPr>
        <w:footnoteReference w:id="30"/>
      </w:r>
      <w:r w:rsidR="000231F9">
        <w:rPr>
          <w:sz w:val="24"/>
          <w:szCs w:val="24"/>
          <w:lang w:val="es-AR"/>
        </w:rPr>
        <w:t>.</w:t>
      </w:r>
      <w:r w:rsidRPr="000231F9">
        <w:rPr>
          <w:sz w:val="24"/>
          <w:szCs w:val="24"/>
          <w:lang w:val="es-AR"/>
        </w:rPr>
        <w:t xml:space="preserve"> </w:t>
      </w:r>
    </w:p>
    <w:p w14:paraId="00000039" w14:textId="1C98D649" w:rsidR="00C60456" w:rsidRPr="000231F9" w:rsidRDefault="0007730F">
      <w:pPr>
        <w:spacing w:line="360" w:lineRule="auto"/>
        <w:jc w:val="both"/>
        <w:rPr>
          <w:sz w:val="24"/>
          <w:szCs w:val="24"/>
          <w:lang w:val="es-AR"/>
        </w:rPr>
      </w:pPr>
      <w:r w:rsidRPr="000231F9">
        <w:rPr>
          <w:sz w:val="24"/>
          <w:szCs w:val="24"/>
          <w:lang w:val="es-AR"/>
        </w:rPr>
        <w:t>Adicionalmente, se reprocha la revictimización por parte de altos funcionarios del Estado en perjuicio de NNA reclutados, por ejemplo, el calificativo otorgado por el entonces Minis</w:t>
      </w:r>
      <w:r w:rsidR="00430CE1">
        <w:rPr>
          <w:sz w:val="24"/>
          <w:szCs w:val="24"/>
          <w:lang w:val="es-AR"/>
        </w:rPr>
        <w:t>tro</w:t>
      </w:r>
      <w:r w:rsidRPr="000231F9">
        <w:rPr>
          <w:sz w:val="24"/>
          <w:szCs w:val="24"/>
          <w:lang w:val="es-AR"/>
        </w:rPr>
        <w:t xml:space="preserve"> de Defensa, Diego Molano, en 2021, refiriéndose a ellos como “máquinas de guerra”</w:t>
      </w:r>
      <w:r>
        <w:rPr>
          <w:sz w:val="24"/>
          <w:szCs w:val="24"/>
          <w:vertAlign w:val="superscript"/>
        </w:rPr>
        <w:footnoteReference w:id="31"/>
      </w:r>
      <w:r w:rsidR="000231F9">
        <w:rPr>
          <w:sz w:val="24"/>
          <w:szCs w:val="24"/>
          <w:lang w:val="es-AR"/>
        </w:rPr>
        <w:t>.</w:t>
      </w:r>
      <w:r w:rsidRPr="000231F9">
        <w:rPr>
          <w:sz w:val="24"/>
          <w:szCs w:val="24"/>
          <w:lang w:val="es-AR"/>
        </w:rPr>
        <w:t xml:space="preserve"> Este hecho a la fecha no ha sido debidamente sancionado.</w:t>
      </w:r>
    </w:p>
    <w:p w14:paraId="0000003A" w14:textId="77777777" w:rsidR="00C60456" w:rsidRPr="000231F9" w:rsidRDefault="00C60456">
      <w:pPr>
        <w:spacing w:line="360" w:lineRule="auto"/>
        <w:jc w:val="both"/>
        <w:rPr>
          <w:sz w:val="24"/>
          <w:szCs w:val="24"/>
          <w:lang w:val="es-AR"/>
        </w:rPr>
      </w:pPr>
    </w:p>
    <w:p w14:paraId="0000003B" w14:textId="77777777" w:rsidR="00C60456" w:rsidRPr="000231F9" w:rsidRDefault="0007730F">
      <w:pPr>
        <w:spacing w:line="360" w:lineRule="auto"/>
        <w:jc w:val="both"/>
        <w:rPr>
          <w:sz w:val="24"/>
          <w:szCs w:val="24"/>
          <w:lang w:val="es-AR"/>
        </w:rPr>
      </w:pPr>
      <w:r w:rsidRPr="000231F9">
        <w:rPr>
          <w:sz w:val="24"/>
          <w:szCs w:val="24"/>
          <w:lang w:val="es-AR"/>
        </w:rPr>
        <w:t xml:space="preserve">Las organizaciones reconocen el cambio de posición política y de derechos humanos por parte del gobierno del presidente Gustavo Petro pues desde su posicionamiento no se han registrado ataques aéreos contra campamentos con presencia de NNA reclutados por grupos armados. Desde entonces no existen registros de NNA asesinados por estos hechos. Sin embargo, no existen, a la fecha, iniciativas dirigidas a formalizar permanentemente la prohibición de estos tipos de ataques a largo plazo. </w:t>
      </w:r>
    </w:p>
    <w:p w14:paraId="0000003C" w14:textId="77777777" w:rsidR="00C60456" w:rsidRPr="00924EFA" w:rsidRDefault="0007730F">
      <w:pPr>
        <w:spacing w:before="200" w:after="200" w:line="360" w:lineRule="auto"/>
        <w:jc w:val="both"/>
        <w:rPr>
          <w:sz w:val="24"/>
          <w:szCs w:val="24"/>
          <w:u w:val="single"/>
        </w:rPr>
      </w:pPr>
      <w:r w:rsidRPr="00924EFA">
        <w:rPr>
          <w:sz w:val="24"/>
          <w:szCs w:val="24"/>
          <w:u w:val="single"/>
        </w:rPr>
        <w:t>Recomendaciones</w:t>
      </w:r>
    </w:p>
    <w:p w14:paraId="0000003D" w14:textId="77777777" w:rsidR="00C60456" w:rsidRPr="00535C03" w:rsidRDefault="0007730F" w:rsidP="00852433">
      <w:pPr>
        <w:pStyle w:val="ListParagraph"/>
        <w:numPr>
          <w:ilvl w:val="0"/>
          <w:numId w:val="4"/>
        </w:numPr>
        <w:spacing w:before="200" w:after="200" w:line="360" w:lineRule="auto"/>
        <w:ind w:left="709"/>
        <w:jc w:val="both"/>
        <w:rPr>
          <w:sz w:val="24"/>
          <w:szCs w:val="24"/>
          <w:lang w:val="es-CO"/>
        </w:rPr>
      </w:pPr>
      <w:r w:rsidRPr="00535C03">
        <w:rPr>
          <w:sz w:val="24"/>
          <w:szCs w:val="24"/>
          <w:u w:val="single"/>
          <w:lang w:val="es-CO"/>
        </w:rPr>
        <w:t xml:space="preserve">Se inste al Estado a: </w:t>
      </w:r>
    </w:p>
    <w:p w14:paraId="0000003E" w14:textId="77777777" w:rsidR="00C60456" w:rsidRPr="000231F9" w:rsidRDefault="0007730F">
      <w:pPr>
        <w:spacing w:line="360" w:lineRule="auto"/>
        <w:ind w:left="720"/>
        <w:jc w:val="both"/>
        <w:rPr>
          <w:sz w:val="24"/>
          <w:szCs w:val="24"/>
          <w:lang w:val="es-AR"/>
        </w:rPr>
      </w:pPr>
      <w:r w:rsidRPr="000231F9">
        <w:rPr>
          <w:sz w:val="24"/>
          <w:szCs w:val="24"/>
          <w:lang w:val="es-AR"/>
        </w:rPr>
        <w:t>2.1. Adoptar las medidas necesarias para investigar y sancionar a funcionarios públicos responsables de los bombardeos en contra de campamentos con NN reclutados.</w:t>
      </w:r>
    </w:p>
    <w:p w14:paraId="0000003F" w14:textId="77777777" w:rsidR="00C60456" w:rsidRPr="000231F9" w:rsidRDefault="0007730F">
      <w:pPr>
        <w:spacing w:line="360" w:lineRule="auto"/>
        <w:ind w:left="720"/>
        <w:jc w:val="both"/>
        <w:rPr>
          <w:sz w:val="24"/>
          <w:szCs w:val="24"/>
          <w:lang w:val="es-AR"/>
        </w:rPr>
      </w:pPr>
      <w:r w:rsidRPr="000231F9">
        <w:rPr>
          <w:sz w:val="24"/>
          <w:szCs w:val="24"/>
          <w:lang w:val="es-AR"/>
        </w:rPr>
        <w:t>2.2. Adoptar disposiciones legislativas para prohibir los ataques aéreos como primera medida en campamentos donde se cuente con información sobre la posibilidad de que se encuentren NN reclutados.</w:t>
      </w:r>
    </w:p>
    <w:p w14:paraId="00000040" w14:textId="77777777" w:rsidR="00C60456" w:rsidRPr="000231F9" w:rsidRDefault="00C60456">
      <w:pPr>
        <w:spacing w:line="360" w:lineRule="auto"/>
        <w:ind w:left="720"/>
        <w:jc w:val="both"/>
        <w:rPr>
          <w:sz w:val="24"/>
          <w:szCs w:val="24"/>
          <w:lang w:val="es-AR"/>
        </w:rPr>
      </w:pPr>
    </w:p>
    <w:p w14:paraId="00000041" w14:textId="7B27B2CB" w:rsidR="00C60456" w:rsidRPr="000231F9" w:rsidRDefault="0007730F" w:rsidP="00924EFA">
      <w:pPr>
        <w:pStyle w:val="Heading2"/>
        <w:rPr>
          <w:lang w:val="es-AR"/>
        </w:rPr>
      </w:pPr>
      <w:bookmarkStart w:id="13" w:name="_Toc181285161"/>
      <w:bookmarkStart w:id="14" w:name="_Toc181286229"/>
      <w:r w:rsidRPr="000231F9">
        <w:rPr>
          <w:lang w:val="es-AR"/>
        </w:rPr>
        <w:lastRenderedPageBreak/>
        <w:t>1.</w:t>
      </w:r>
      <w:r w:rsidR="00924EFA">
        <w:rPr>
          <w:lang w:val="es-AR"/>
        </w:rPr>
        <w:t>4</w:t>
      </w:r>
      <w:r w:rsidRPr="000231F9">
        <w:rPr>
          <w:lang w:val="es-AR"/>
        </w:rPr>
        <w:t>. Sufrimiento transgeneracional en el conflicto armado</w:t>
      </w:r>
      <w:bookmarkEnd w:id="13"/>
      <w:bookmarkEnd w:id="14"/>
    </w:p>
    <w:p w14:paraId="00000042" w14:textId="165C972B" w:rsidR="00C60456" w:rsidRPr="000231F9" w:rsidRDefault="0007730F">
      <w:pPr>
        <w:spacing w:before="240" w:line="360" w:lineRule="auto"/>
        <w:jc w:val="both"/>
        <w:rPr>
          <w:sz w:val="24"/>
          <w:szCs w:val="24"/>
          <w:lang w:val="es-AR"/>
        </w:rPr>
      </w:pPr>
      <w:r w:rsidRPr="000231F9">
        <w:rPr>
          <w:sz w:val="24"/>
          <w:szCs w:val="24"/>
          <w:lang w:val="es-AR"/>
        </w:rPr>
        <w:t xml:space="preserve">Ni el CDN en sus observaciones finales ni el Estado en su informe oficial se han pronunciado sobre la importancia de tomar medidas relacionadas con los impactos transgeneracionales en el marco del conflicto armado. En agosto del 2022, la Comisión de la Verdad (CEV) emitió su informe “Hay Futuro Sí Hay Verdad”, el cual cuenta con </w:t>
      </w:r>
      <w:r w:rsidR="000231F9" w:rsidRPr="000231F9">
        <w:rPr>
          <w:sz w:val="24"/>
          <w:szCs w:val="24"/>
          <w:lang w:val="es-AR"/>
        </w:rPr>
        <w:t>el capítulo</w:t>
      </w:r>
      <w:r w:rsidRPr="000231F9">
        <w:rPr>
          <w:sz w:val="24"/>
          <w:szCs w:val="24"/>
          <w:lang w:val="es-AR"/>
        </w:rPr>
        <w:t xml:space="preserve"> “No es un mal menor” dedicado a los padecimientos de NNA durante el conflicto armado. Este capítulo hace referencia al gran impacto transgeneracional que se ha sufrido en Colombia como consecuencia de la historia armada</w:t>
      </w:r>
      <w:r>
        <w:rPr>
          <w:sz w:val="24"/>
          <w:szCs w:val="24"/>
          <w:vertAlign w:val="superscript"/>
        </w:rPr>
        <w:footnoteReference w:id="32"/>
      </w:r>
      <w:r w:rsidR="000231F9">
        <w:rPr>
          <w:sz w:val="24"/>
          <w:szCs w:val="24"/>
          <w:lang w:val="es-AR"/>
        </w:rPr>
        <w:t>.</w:t>
      </w:r>
      <w:r w:rsidRPr="000231F9">
        <w:rPr>
          <w:sz w:val="24"/>
          <w:szCs w:val="24"/>
          <w:lang w:val="es-AR"/>
        </w:rPr>
        <w:t xml:space="preserve"> Las organizaciones llamamos la atención acerca de los sufrimientos emocionales ligados a la guerra que las NNA siguen soportando. La Comisión de la Verdad identificó que estos daños son difíciles de borrar, y que incluso los impactos del conflicto afectan no solamente a las víctimas sino además a las generaciones familiares posteriores.</w:t>
      </w:r>
    </w:p>
    <w:p w14:paraId="00000043" w14:textId="77777777" w:rsidR="00C60456" w:rsidRPr="000231F9" w:rsidRDefault="0007730F">
      <w:pPr>
        <w:spacing w:before="240" w:line="360" w:lineRule="auto"/>
        <w:jc w:val="both"/>
        <w:rPr>
          <w:sz w:val="24"/>
          <w:szCs w:val="24"/>
          <w:lang w:val="es-AR"/>
        </w:rPr>
      </w:pPr>
      <w:r w:rsidRPr="000231F9">
        <w:rPr>
          <w:sz w:val="24"/>
          <w:szCs w:val="24"/>
          <w:lang w:val="es-AR"/>
        </w:rPr>
        <w:t>En este sentido, el impacto transgeneracional se ve acentuado por la impunidad frente a los hechos, la falta de comunicación y asimilación de lo sufrido, las rupturas de las culturas y tradiciones, la continuación de la violencia, entre otras</w:t>
      </w:r>
      <w:r>
        <w:rPr>
          <w:rFonts w:ascii="Times New Roman" w:eastAsia="Times New Roman" w:hAnsi="Times New Roman" w:cs="Times New Roman"/>
          <w:sz w:val="24"/>
          <w:szCs w:val="24"/>
          <w:vertAlign w:val="superscript"/>
        </w:rPr>
        <w:footnoteReference w:id="33"/>
      </w:r>
      <w:r w:rsidRPr="000231F9">
        <w:rPr>
          <w:sz w:val="24"/>
          <w:szCs w:val="24"/>
          <w:lang w:val="es-AR"/>
        </w:rPr>
        <w:t>. Este impacto transgeneracional, de acuerdo con los hallazgos de la CEV continúan y afectan a NN. Por lo tanto, las organizaciones consideran indispensable que se difundan los hallazgos de la Comisión y se implementen sus recomendaciones, especialmente las relacionadas con la atención psicosocial para NN víctimas directas de la guerra por sus generaciones anteriores.</w:t>
      </w:r>
    </w:p>
    <w:p w14:paraId="00000044" w14:textId="77777777" w:rsidR="00C60456" w:rsidRDefault="0007730F">
      <w:pPr>
        <w:spacing w:before="240" w:line="360" w:lineRule="auto"/>
        <w:ind w:left="720"/>
        <w:jc w:val="both"/>
        <w:rPr>
          <w:sz w:val="24"/>
          <w:szCs w:val="24"/>
          <w:u w:val="single"/>
        </w:rPr>
      </w:pPr>
      <w:r>
        <w:rPr>
          <w:sz w:val="24"/>
          <w:szCs w:val="24"/>
          <w:u w:val="single"/>
        </w:rPr>
        <w:t>Recomendaciones:</w:t>
      </w:r>
    </w:p>
    <w:p w14:paraId="00000045" w14:textId="77777777" w:rsidR="00C60456" w:rsidRPr="00535C03" w:rsidRDefault="0007730F" w:rsidP="00852433">
      <w:pPr>
        <w:pStyle w:val="ListParagraph"/>
        <w:numPr>
          <w:ilvl w:val="0"/>
          <w:numId w:val="4"/>
        </w:numPr>
        <w:spacing w:before="240" w:line="360" w:lineRule="auto"/>
        <w:ind w:left="993"/>
        <w:jc w:val="both"/>
        <w:rPr>
          <w:sz w:val="24"/>
          <w:szCs w:val="24"/>
          <w:lang w:val="es-CO"/>
        </w:rPr>
      </w:pPr>
      <w:r w:rsidRPr="00535C03">
        <w:rPr>
          <w:sz w:val="24"/>
          <w:szCs w:val="24"/>
          <w:u w:val="single"/>
          <w:lang w:val="es-CO"/>
        </w:rPr>
        <w:t xml:space="preserve">Se inste al Estado a: </w:t>
      </w:r>
    </w:p>
    <w:p w14:paraId="00000046" w14:textId="77777777" w:rsidR="00C60456" w:rsidRPr="000231F9" w:rsidRDefault="0007730F">
      <w:pPr>
        <w:spacing w:before="240" w:line="360" w:lineRule="auto"/>
        <w:ind w:left="720"/>
        <w:jc w:val="both"/>
        <w:rPr>
          <w:sz w:val="24"/>
          <w:szCs w:val="24"/>
          <w:lang w:val="es-AR"/>
        </w:rPr>
      </w:pPr>
      <w:r w:rsidRPr="000231F9">
        <w:rPr>
          <w:sz w:val="24"/>
          <w:szCs w:val="24"/>
          <w:lang w:val="es-AR"/>
        </w:rPr>
        <w:lastRenderedPageBreak/>
        <w:t xml:space="preserve">3.1. Promover el </w:t>
      </w:r>
      <w:commentRangeStart w:id="15"/>
      <w:r w:rsidRPr="000231F9">
        <w:rPr>
          <w:sz w:val="24"/>
          <w:szCs w:val="24"/>
          <w:lang w:val="es-AR"/>
        </w:rPr>
        <w:t xml:space="preserve">conocimiento del informe de la CEV, incluyendo </w:t>
      </w:r>
      <w:commentRangeEnd w:id="15"/>
      <w:r w:rsidR="00430CE1">
        <w:rPr>
          <w:rStyle w:val="CommentReference"/>
        </w:rPr>
        <w:commentReference w:id="15"/>
      </w:r>
      <w:r w:rsidRPr="000231F9">
        <w:rPr>
          <w:sz w:val="24"/>
          <w:szCs w:val="24"/>
          <w:lang w:val="es-AR"/>
        </w:rPr>
        <w:t>NN así como la adopción de las recomendaciones emitidas por este órgano transicional encaminadas, entre otras, al impacto transgeneracional del conflicto.</w:t>
      </w:r>
    </w:p>
    <w:p w14:paraId="00000047" w14:textId="77777777" w:rsidR="00C60456" w:rsidRPr="000231F9" w:rsidRDefault="00C60456">
      <w:pPr>
        <w:spacing w:line="360" w:lineRule="auto"/>
        <w:jc w:val="both"/>
        <w:rPr>
          <w:sz w:val="24"/>
          <w:szCs w:val="24"/>
          <w:lang w:val="es-AR"/>
        </w:rPr>
      </w:pPr>
    </w:p>
    <w:p w14:paraId="00000048" w14:textId="77777777" w:rsidR="00C60456" w:rsidRPr="000231F9" w:rsidRDefault="0007730F" w:rsidP="00924EFA">
      <w:pPr>
        <w:pStyle w:val="Heading1"/>
        <w:rPr>
          <w:lang w:val="es-AR"/>
        </w:rPr>
      </w:pPr>
      <w:bookmarkStart w:id="16" w:name="_Toc181285162"/>
      <w:bookmarkStart w:id="17" w:name="_Toc181286230"/>
      <w:r w:rsidRPr="000231F9">
        <w:rPr>
          <w:lang w:val="es-AR"/>
        </w:rPr>
        <w:t>CAPÍTULO 2. VIOLENCIAS CONTRA NN NO NECESARIAMENTE LIGADAS AL CONFLICTO ARMADO</w:t>
      </w:r>
      <w:bookmarkEnd w:id="16"/>
      <w:bookmarkEnd w:id="17"/>
    </w:p>
    <w:p w14:paraId="00000049" w14:textId="77777777" w:rsidR="00C60456" w:rsidRPr="000231F9" w:rsidRDefault="0007730F" w:rsidP="00924EFA">
      <w:pPr>
        <w:pStyle w:val="Heading2"/>
        <w:rPr>
          <w:lang w:val="es-AR"/>
        </w:rPr>
      </w:pPr>
      <w:bookmarkStart w:id="18" w:name="_Toc181285163"/>
      <w:bookmarkStart w:id="19" w:name="_Toc181286231"/>
      <w:r w:rsidRPr="000231F9">
        <w:rPr>
          <w:lang w:val="es-AR"/>
        </w:rPr>
        <w:t>2.1.  Falta de debida diligencia frente a la investigación y juzgamiento de delitos en perjuicio de NN</w:t>
      </w:r>
      <w:bookmarkEnd w:id="18"/>
      <w:bookmarkEnd w:id="19"/>
    </w:p>
    <w:p w14:paraId="0000004A" w14:textId="3646CF7B" w:rsidR="00C60456" w:rsidRPr="000231F9" w:rsidRDefault="0007730F">
      <w:pPr>
        <w:spacing w:line="360" w:lineRule="auto"/>
        <w:jc w:val="both"/>
        <w:rPr>
          <w:sz w:val="24"/>
          <w:szCs w:val="24"/>
          <w:lang w:val="es-AR"/>
        </w:rPr>
      </w:pPr>
      <w:r w:rsidRPr="000231F9">
        <w:rPr>
          <w:sz w:val="24"/>
          <w:szCs w:val="24"/>
          <w:lang w:val="es-AR"/>
        </w:rPr>
        <w:t>En 2015, el Comité indicó al Estado en diferentes recomendaciones la importancia de investigar delitos cometidos contra NN</w:t>
      </w:r>
      <w:r>
        <w:rPr>
          <w:sz w:val="24"/>
          <w:szCs w:val="24"/>
          <w:vertAlign w:val="superscript"/>
        </w:rPr>
        <w:footnoteReference w:id="34"/>
      </w:r>
      <w:r w:rsidR="000231F9">
        <w:rPr>
          <w:sz w:val="24"/>
          <w:szCs w:val="24"/>
          <w:lang w:val="es-AR"/>
        </w:rPr>
        <w:t>.</w:t>
      </w:r>
      <w:r w:rsidRPr="000231F9">
        <w:rPr>
          <w:sz w:val="24"/>
          <w:szCs w:val="24"/>
          <w:lang w:val="es-AR"/>
        </w:rPr>
        <w:t xml:space="preserve"> Colombia indicó que se han adoptado mecanismos para facilitar el acceso a la justicia de NN</w:t>
      </w:r>
      <w:r>
        <w:rPr>
          <w:sz w:val="24"/>
          <w:szCs w:val="24"/>
          <w:vertAlign w:val="superscript"/>
        </w:rPr>
        <w:footnoteReference w:id="35"/>
      </w:r>
      <w:r w:rsidR="000231F9">
        <w:rPr>
          <w:sz w:val="24"/>
          <w:szCs w:val="24"/>
          <w:lang w:val="es-AR"/>
        </w:rPr>
        <w:t>,</w:t>
      </w:r>
      <w:r w:rsidRPr="000231F9">
        <w:rPr>
          <w:sz w:val="24"/>
          <w:szCs w:val="24"/>
          <w:lang w:val="es-AR"/>
        </w:rPr>
        <w:t xml:space="preserve"> Sin embargo, no se demuestra la efectividad de las medidas en la sanción y judicialización de los responsables de estos delitos.</w:t>
      </w:r>
    </w:p>
    <w:p w14:paraId="0000004B" w14:textId="77777777" w:rsidR="00C60456" w:rsidRPr="000231F9" w:rsidRDefault="00C60456">
      <w:pPr>
        <w:spacing w:line="360" w:lineRule="auto"/>
        <w:jc w:val="both"/>
        <w:rPr>
          <w:sz w:val="24"/>
          <w:szCs w:val="24"/>
          <w:lang w:val="es-AR"/>
        </w:rPr>
      </w:pPr>
    </w:p>
    <w:p w14:paraId="0000004C" w14:textId="77777777" w:rsidR="00C60456" w:rsidRPr="000231F9" w:rsidRDefault="0007730F">
      <w:pPr>
        <w:spacing w:after="200" w:line="360" w:lineRule="auto"/>
        <w:jc w:val="both"/>
        <w:rPr>
          <w:sz w:val="24"/>
          <w:szCs w:val="24"/>
          <w:lang w:val="es-AR"/>
        </w:rPr>
      </w:pPr>
      <w:r w:rsidRPr="000231F9">
        <w:rPr>
          <w:sz w:val="24"/>
          <w:szCs w:val="24"/>
          <w:lang w:val="es-AR"/>
        </w:rPr>
        <w:t>Para las organizaciones, resultan preocupantes las cifras de impunidad frente a denuncias realizadas ante la Fiscalía General de la Nación por la presunta comisión de delitos cuyas víctimas son NNA. Esta institución, por solicitud de las organizaciones, presentó información relacionada con las fases de investigación en la que se encuentran los hechos denunciados en los cuales mayoritariamente son víctimas las niñas, los niños y los adolescentes, incluyendo delitos sexuales, delitos relacionados con custodia, reclutamiento ilícito y utilización y delitos relacionados con narcotráfico desde el 1 de enero de 2015 hasta la finalización del primer semestre de 2021.</w:t>
      </w:r>
    </w:p>
    <w:p w14:paraId="0000004D" w14:textId="77777777" w:rsidR="00C60456" w:rsidRPr="000231F9" w:rsidRDefault="0007730F">
      <w:pPr>
        <w:spacing w:after="200" w:line="360" w:lineRule="auto"/>
        <w:jc w:val="both"/>
        <w:rPr>
          <w:sz w:val="24"/>
          <w:szCs w:val="24"/>
          <w:lang w:val="es-AR"/>
        </w:rPr>
      </w:pPr>
      <w:r w:rsidRPr="000231F9">
        <w:rPr>
          <w:sz w:val="24"/>
          <w:szCs w:val="24"/>
          <w:lang w:val="es-AR"/>
        </w:rPr>
        <w:t>Frente a estas cifras la inmensa mayoría de las denuncias se encuentran en etapa de indagatoria, es decir que no se ha iniciado un proceso penal propiamente dicho. En la etapa de indagación no hay persona(s) imputada(s) puestas a disposición de un juez.</w:t>
      </w:r>
    </w:p>
    <w:p w14:paraId="0000004E" w14:textId="77777777" w:rsidR="00C60456" w:rsidRPr="000231F9" w:rsidRDefault="0007730F">
      <w:pPr>
        <w:spacing w:after="200" w:line="360" w:lineRule="auto"/>
        <w:jc w:val="both"/>
        <w:rPr>
          <w:rFonts w:ascii="Times New Roman" w:eastAsia="Times New Roman" w:hAnsi="Times New Roman" w:cs="Times New Roman"/>
          <w:sz w:val="24"/>
          <w:szCs w:val="24"/>
          <w:lang w:val="es-AR"/>
        </w:rPr>
      </w:pPr>
      <w:r w:rsidRPr="000231F9">
        <w:rPr>
          <w:sz w:val="24"/>
          <w:szCs w:val="24"/>
          <w:lang w:val="es-AR"/>
        </w:rPr>
        <w:lastRenderedPageBreak/>
        <w:t>Por ejemplo, en los casos de delitos contra la familia, el 99,43% de los casos se encuentran en etapa preliminar con menos del 1% en etapa de ejecución de penas; en delitos relacionados con estupefacientes, el 88,4% de los casos se encuentra en etapa indagatoria y sólo el 4,1% en etapa de ejecución; y frente a los delitos relacionados con tráfico de niñas, niños y adolescentes el 91% de los casos se encuentra en etapa de indagación y solo el 1% en ejecución de penas.</w:t>
      </w:r>
    </w:p>
    <w:p w14:paraId="0000004F" w14:textId="6F885620" w:rsidR="00C60456" w:rsidRPr="000231F9" w:rsidRDefault="0007730F">
      <w:pPr>
        <w:spacing w:after="200" w:line="360" w:lineRule="auto"/>
        <w:jc w:val="both"/>
        <w:rPr>
          <w:lang w:val="es-AR"/>
        </w:rPr>
      </w:pPr>
      <w:r w:rsidRPr="000231F9">
        <w:rPr>
          <w:sz w:val="24"/>
          <w:szCs w:val="24"/>
          <w:lang w:val="es-AR"/>
        </w:rPr>
        <w:t>Las organizaciones resaltamos los recientes avances legislativos aprobados por el Gobierno nacional respecto a la imprescriptibilidad de los delitos sexuales cuando las víctimas son NNA</w:t>
      </w:r>
      <w:r>
        <w:rPr>
          <w:sz w:val="24"/>
          <w:szCs w:val="24"/>
          <w:vertAlign w:val="superscript"/>
        </w:rPr>
        <w:footnoteReference w:id="36"/>
      </w:r>
      <w:r w:rsidR="000231F9">
        <w:rPr>
          <w:sz w:val="24"/>
          <w:szCs w:val="24"/>
          <w:lang w:val="es-AR"/>
        </w:rPr>
        <w:t>.</w:t>
      </w:r>
      <w:r w:rsidRPr="000231F9">
        <w:rPr>
          <w:sz w:val="24"/>
          <w:szCs w:val="24"/>
          <w:lang w:val="es-AR"/>
        </w:rPr>
        <w:t xml:space="preserve"> A pesar de este avance (referente en la región), las cifras aportadas por la Fiscalía General indican que la prescripción de los delitos sexuales contra NNA representan menos del 1%</w:t>
      </w:r>
      <w:r w:rsidRPr="000231F9">
        <w:rPr>
          <w:rFonts w:ascii="Times New Roman" w:eastAsia="Times New Roman" w:hAnsi="Times New Roman" w:cs="Times New Roman"/>
          <w:sz w:val="24"/>
          <w:szCs w:val="24"/>
          <w:lang w:val="es-AR"/>
        </w:rPr>
        <w:t xml:space="preserve"> </w:t>
      </w:r>
      <w:r w:rsidRPr="000231F9">
        <w:rPr>
          <w:sz w:val="24"/>
          <w:szCs w:val="24"/>
          <w:lang w:val="es-AR"/>
        </w:rPr>
        <w:t xml:space="preserve">del total de los casos de denuncias y el 0,01% de los casos archivados por la Fiscalía. Es decir, si bien la imprescriptibilidad de los delitos sexuales en contra de NNA es un elemento importante para garantizar la investigación sin importar el paso del tiempo y de esta forma, prevenir la comisión de estos hechos, el problema general de impunidad frente a delitos en contra de NNA no se resuelve con estas medidas. De hecho, solo el 4,9% de los casos denunciados por delitos sexuales contra NNA cuentan con sentencia condenatoria, mientras que el 83% apenas se encuentran en etapa preliminar. Es de advertir que, en el periodo de 2015 a 2020, las principales víctimas de estas expresiones de violencias fueron las niñas y mujeres adolescentes, constituyendo alrededor del 68%. </w:t>
      </w:r>
    </w:p>
    <w:p w14:paraId="00000050" w14:textId="6A6DD925" w:rsidR="00C60456" w:rsidRPr="000231F9" w:rsidRDefault="0007730F">
      <w:pPr>
        <w:spacing w:after="200" w:line="360" w:lineRule="auto"/>
        <w:jc w:val="both"/>
        <w:rPr>
          <w:sz w:val="24"/>
          <w:szCs w:val="24"/>
          <w:lang w:val="es-AR"/>
        </w:rPr>
      </w:pPr>
      <w:r w:rsidRPr="000231F9">
        <w:rPr>
          <w:sz w:val="24"/>
          <w:szCs w:val="24"/>
          <w:lang w:val="es-AR"/>
        </w:rPr>
        <w:t xml:space="preserve">Estas situaciones descritas evidencian la falta de capacidad de la Fiscalía para adelantar con debida diligencia las investigaciones penales por los delitos en perjuicio de NNA. Al respecto, conviene que el Estado colombiano implemente las medidas necesarias para lograr la efectividad en las investigaciones represadas que adelanta el ente acusador, y que ni siquiera superan la primera etapa de indagación. Por ejemplo, el Estado debería </w:t>
      </w:r>
      <w:r w:rsidRPr="000231F9">
        <w:rPr>
          <w:sz w:val="24"/>
          <w:szCs w:val="24"/>
          <w:lang w:val="es-AR"/>
        </w:rPr>
        <w:lastRenderedPageBreak/>
        <w:t>implementar las directrices emitidas por la ONU sobre la función de los fiscales</w:t>
      </w:r>
      <w:r>
        <w:rPr>
          <w:sz w:val="24"/>
          <w:szCs w:val="24"/>
          <w:vertAlign w:val="superscript"/>
        </w:rPr>
        <w:footnoteReference w:id="37"/>
      </w:r>
      <w:r w:rsidR="000231F9">
        <w:rPr>
          <w:sz w:val="24"/>
          <w:szCs w:val="24"/>
          <w:lang w:val="es-AR"/>
        </w:rPr>
        <w:t>,</w:t>
      </w:r>
      <w:r w:rsidRPr="000231F9">
        <w:rPr>
          <w:sz w:val="24"/>
          <w:szCs w:val="24"/>
          <w:lang w:val="es-AR"/>
        </w:rPr>
        <w:t xml:space="preserve"> en la cual se dispone que los Estados deben garantizar que los funcionarios cuenten con todos los recursos y medios necesarios para poder ejercer sus funciones de investigación; prevenir incidencias externas como intimidaciones u hostigamiento, y condiciones laborales adecuadas, así como garantizar capacitaciones y criterios objetivos de selección con el propósito de lograr resultados con “imparcialidad, firmeza y prontitud, respetar y proteger la dignidad humana y defender los derechos humanos</w:t>
      </w:r>
      <w:r w:rsidR="000231F9">
        <w:rPr>
          <w:sz w:val="24"/>
          <w:szCs w:val="24"/>
          <w:lang w:val="es-AR"/>
        </w:rPr>
        <w:t>”</w:t>
      </w:r>
      <w:r>
        <w:rPr>
          <w:sz w:val="24"/>
          <w:szCs w:val="24"/>
          <w:vertAlign w:val="superscript"/>
        </w:rPr>
        <w:footnoteReference w:id="38"/>
      </w:r>
      <w:r w:rsidR="000231F9">
        <w:rPr>
          <w:sz w:val="24"/>
          <w:szCs w:val="24"/>
          <w:lang w:val="es-AR"/>
        </w:rPr>
        <w:t>.</w:t>
      </w:r>
    </w:p>
    <w:p w14:paraId="00000051" w14:textId="77777777" w:rsidR="00C60456" w:rsidRDefault="0007730F">
      <w:pPr>
        <w:spacing w:after="200" w:line="360" w:lineRule="auto"/>
        <w:jc w:val="both"/>
        <w:rPr>
          <w:sz w:val="24"/>
          <w:szCs w:val="24"/>
          <w:u w:val="single"/>
        </w:rPr>
      </w:pPr>
      <w:r>
        <w:rPr>
          <w:sz w:val="24"/>
          <w:szCs w:val="24"/>
          <w:u w:val="single"/>
        </w:rPr>
        <w:t>Recomendaciones:</w:t>
      </w:r>
    </w:p>
    <w:p w14:paraId="00000052" w14:textId="77777777" w:rsidR="00C60456" w:rsidRPr="00535C03" w:rsidRDefault="0007730F" w:rsidP="00852433">
      <w:pPr>
        <w:pStyle w:val="ListParagraph"/>
        <w:numPr>
          <w:ilvl w:val="0"/>
          <w:numId w:val="4"/>
        </w:numPr>
        <w:spacing w:after="200" w:line="360" w:lineRule="auto"/>
        <w:ind w:left="709"/>
        <w:jc w:val="both"/>
        <w:rPr>
          <w:sz w:val="24"/>
          <w:szCs w:val="24"/>
          <w:lang w:val="es-CO"/>
        </w:rPr>
      </w:pPr>
      <w:r w:rsidRPr="00535C03">
        <w:rPr>
          <w:sz w:val="24"/>
          <w:szCs w:val="24"/>
          <w:u w:val="single"/>
          <w:lang w:val="es-CO"/>
        </w:rPr>
        <w:t xml:space="preserve">Se inste al Estado a: </w:t>
      </w:r>
    </w:p>
    <w:p w14:paraId="00000053" w14:textId="77777777" w:rsidR="00C60456" w:rsidRPr="000231F9" w:rsidRDefault="0007730F">
      <w:pPr>
        <w:spacing w:after="200" w:line="360" w:lineRule="auto"/>
        <w:ind w:left="720"/>
        <w:jc w:val="both"/>
        <w:rPr>
          <w:sz w:val="24"/>
          <w:szCs w:val="24"/>
          <w:lang w:val="es-AR"/>
        </w:rPr>
      </w:pPr>
      <w:r w:rsidRPr="000231F9">
        <w:rPr>
          <w:sz w:val="24"/>
          <w:szCs w:val="24"/>
          <w:lang w:val="es-AR"/>
        </w:rPr>
        <w:t>4.1. Adoptar medidas para garantizar la efectividad de las investigaciones penales por la comisión de delitos en contra de NNA, incluyendo recursos suficientes destinados a la Fiscalía y priorización en la investigación de estos delitos.</w:t>
      </w:r>
    </w:p>
    <w:p w14:paraId="00000054" w14:textId="77777777" w:rsidR="00C60456" w:rsidRPr="000231F9" w:rsidRDefault="0007730F">
      <w:pPr>
        <w:spacing w:after="200" w:line="360" w:lineRule="auto"/>
        <w:ind w:left="720"/>
        <w:jc w:val="both"/>
        <w:rPr>
          <w:sz w:val="24"/>
          <w:szCs w:val="24"/>
          <w:lang w:val="es-AR"/>
        </w:rPr>
      </w:pPr>
      <w:r w:rsidRPr="000231F9">
        <w:rPr>
          <w:sz w:val="24"/>
          <w:szCs w:val="24"/>
          <w:lang w:val="es-AR"/>
        </w:rPr>
        <w:t>4.2. Adoptar medidas para garantizar el acceso a la justicia a favor de NNA víctimas de violencia sexual y con aplicación de perspectiva de género, especialmente en contextos de emergencia donde las rutas existentes de acceso a la justicia son limitados.</w:t>
      </w:r>
    </w:p>
    <w:p w14:paraId="00000055" w14:textId="77777777" w:rsidR="00C60456" w:rsidRPr="000231F9" w:rsidRDefault="0007730F" w:rsidP="00924EFA">
      <w:pPr>
        <w:pStyle w:val="Heading2"/>
        <w:rPr>
          <w:lang w:val="es-AR"/>
        </w:rPr>
      </w:pPr>
      <w:bookmarkStart w:id="20" w:name="_Toc181285164"/>
      <w:bookmarkStart w:id="21" w:name="_Toc181286232"/>
      <w:r w:rsidRPr="000231F9">
        <w:rPr>
          <w:lang w:val="es-AR"/>
        </w:rPr>
        <w:t>2.2. Explotación sexual comercial contra niñas, niños y adolescentes ESCNNA</w:t>
      </w:r>
      <w:bookmarkEnd w:id="20"/>
      <w:bookmarkEnd w:id="21"/>
    </w:p>
    <w:p w14:paraId="00000056" w14:textId="561EB8FF" w:rsidR="00C60456" w:rsidRPr="000231F9" w:rsidRDefault="0007730F">
      <w:pPr>
        <w:spacing w:after="200" w:line="360" w:lineRule="auto"/>
        <w:jc w:val="both"/>
        <w:rPr>
          <w:sz w:val="24"/>
          <w:szCs w:val="24"/>
          <w:lang w:val="es-AR"/>
        </w:rPr>
      </w:pPr>
      <w:r w:rsidRPr="000231F9">
        <w:rPr>
          <w:sz w:val="24"/>
          <w:szCs w:val="24"/>
          <w:lang w:val="es-AR"/>
        </w:rPr>
        <w:t xml:space="preserve">Las organizaciones manifiestan su preocupación por los índices de explotación sexual con fines comerciales ESCNNA, con mayor prevalencia en niñas alrededor del territorio nacional. La situación es evidente, por ejemplo, en la ciudad de Medellín, donde a pesar de la falta de coordinación de las autoridades para registrar los casos, existe un promedio de 263 casos reportados al año.  Los delitos asociados más frecuentes son: la producción de material de abuso sexual (material de explotación sexual con NN), la utilización o facilitación de medios de comunicación para ofrecer actividades sexuales con NNA, la </w:t>
      </w:r>
      <w:r w:rsidRPr="000231F9">
        <w:rPr>
          <w:sz w:val="24"/>
          <w:szCs w:val="24"/>
          <w:lang w:val="es-AR"/>
        </w:rPr>
        <w:lastRenderedPageBreak/>
        <w:t>inducción a la prostitución, el proxenetismo con menores de edad y la trata de personas</w:t>
      </w:r>
      <w:r w:rsidR="000231F9">
        <w:rPr>
          <w:rStyle w:val="FootnoteReference"/>
          <w:sz w:val="24"/>
          <w:szCs w:val="24"/>
          <w:lang w:val="es-AR"/>
        </w:rPr>
        <w:footnoteReference w:id="39"/>
      </w:r>
      <w:r w:rsidR="000231F9">
        <w:rPr>
          <w:sz w:val="24"/>
          <w:szCs w:val="24"/>
          <w:lang w:val="es-AR"/>
        </w:rPr>
        <w:t>.</w:t>
      </w:r>
    </w:p>
    <w:p w14:paraId="00000057" w14:textId="1BA1796F" w:rsidR="00C60456" w:rsidRPr="000231F9" w:rsidRDefault="0007730F">
      <w:pPr>
        <w:spacing w:after="200" w:line="360" w:lineRule="auto"/>
        <w:jc w:val="both"/>
        <w:rPr>
          <w:sz w:val="24"/>
          <w:szCs w:val="24"/>
          <w:lang w:val="es-AR"/>
        </w:rPr>
      </w:pPr>
      <w:r w:rsidRPr="000231F9">
        <w:rPr>
          <w:sz w:val="24"/>
          <w:szCs w:val="24"/>
          <w:lang w:val="es-AR"/>
        </w:rPr>
        <w:t>Según los datos de la FGN, entre 2010 y 2022 se presentaron 3014 procesos relacionados con ESCNNA en Medellín, de los cuales cerca del 90% se encuentran en la etapa de indagación, mientras que menos del 5% se encuentran en ejecución de penas o en juicio lo que demuestra la falta de debida diligencia para atender la situación</w:t>
      </w:r>
      <w:r w:rsidR="000231F9">
        <w:rPr>
          <w:rStyle w:val="FootnoteReference"/>
          <w:sz w:val="24"/>
          <w:szCs w:val="24"/>
          <w:lang w:val="es-AR"/>
        </w:rPr>
        <w:footnoteReference w:id="40"/>
      </w:r>
      <w:r w:rsidRPr="000231F9">
        <w:rPr>
          <w:sz w:val="24"/>
          <w:szCs w:val="24"/>
          <w:lang w:val="es-AR"/>
        </w:rPr>
        <w:t>.</w:t>
      </w:r>
    </w:p>
    <w:p w14:paraId="00000058" w14:textId="77777777" w:rsidR="00C60456" w:rsidRPr="000231F9" w:rsidRDefault="0007730F">
      <w:pPr>
        <w:spacing w:after="200" w:line="360" w:lineRule="auto"/>
        <w:jc w:val="both"/>
        <w:rPr>
          <w:sz w:val="24"/>
          <w:szCs w:val="24"/>
          <w:lang w:val="es-AR"/>
        </w:rPr>
      </w:pPr>
      <w:r w:rsidRPr="000231F9">
        <w:rPr>
          <w:sz w:val="24"/>
          <w:szCs w:val="24"/>
          <w:lang w:val="es-AR"/>
        </w:rPr>
        <w:t>Si bien se han adoptado medidas específicas a nivel nacional y municipal, incluyendo  la línea de política pública de prevención de la ESCNNA</w:t>
      </w:r>
      <w:r>
        <w:rPr>
          <w:sz w:val="24"/>
          <w:szCs w:val="24"/>
          <w:vertAlign w:val="superscript"/>
        </w:rPr>
        <w:footnoteReference w:id="41"/>
      </w:r>
      <w:r w:rsidRPr="000231F9">
        <w:rPr>
          <w:sz w:val="24"/>
          <w:szCs w:val="24"/>
          <w:lang w:val="es-AR"/>
        </w:rPr>
        <w:t>, se siguen presentando casos de explotación sexual en perjuicio de NNA a nivel nacional y en particular, Medellín. Una de las principales fallas ha sido el bajo índice de denuncias en las áreas con mayores índices de desigualdad, la falta de activación efectiva de las rutas de atención y la escasa respuesta a la situación a través del uso de sitios web o redes sociales.</w:t>
      </w:r>
    </w:p>
    <w:p w14:paraId="00000059" w14:textId="77777777" w:rsidR="00C60456" w:rsidRDefault="0007730F">
      <w:pPr>
        <w:spacing w:after="200" w:line="360" w:lineRule="auto"/>
        <w:jc w:val="both"/>
        <w:rPr>
          <w:sz w:val="24"/>
          <w:szCs w:val="24"/>
          <w:u w:val="single"/>
        </w:rPr>
      </w:pPr>
      <w:r>
        <w:rPr>
          <w:sz w:val="24"/>
          <w:szCs w:val="24"/>
          <w:u w:val="single"/>
        </w:rPr>
        <w:t>Recomendaciones:</w:t>
      </w:r>
    </w:p>
    <w:p w14:paraId="0000005A" w14:textId="77777777" w:rsidR="00C60456" w:rsidRPr="00535C03" w:rsidRDefault="0007730F" w:rsidP="000B6421">
      <w:pPr>
        <w:pStyle w:val="ListParagraph"/>
        <w:numPr>
          <w:ilvl w:val="0"/>
          <w:numId w:val="4"/>
        </w:numPr>
        <w:spacing w:after="200" w:line="360" w:lineRule="auto"/>
        <w:ind w:left="709"/>
        <w:jc w:val="both"/>
        <w:rPr>
          <w:sz w:val="24"/>
          <w:szCs w:val="24"/>
          <w:lang w:val="es-CO"/>
        </w:rPr>
      </w:pPr>
      <w:r w:rsidRPr="00535C03">
        <w:rPr>
          <w:sz w:val="24"/>
          <w:szCs w:val="24"/>
          <w:u w:val="single"/>
          <w:lang w:val="es-CO"/>
        </w:rPr>
        <w:t>Se inste al Estado a:</w:t>
      </w:r>
    </w:p>
    <w:p w14:paraId="0000005B" w14:textId="77777777" w:rsidR="00C60456" w:rsidRPr="000231F9" w:rsidRDefault="0007730F">
      <w:pPr>
        <w:spacing w:after="200" w:line="360" w:lineRule="auto"/>
        <w:ind w:left="720"/>
        <w:jc w:val="both"/>
        <w:rPr>
          <w:sz w:val="24"/>
          <w:szCs w:val="24"/>
          <w:lang w:val="es-AR"/>
        </w:rPr>
      </w:pPr>
      <w:r w:rsidRPr="000231F9">
        <w:rPr>
          <w:sz w:val="24"/>
          <w:szCs w:val="24"/>
          <w:lang w:val="es-AR"/>
        </w:rPr>
        <w:t>5.1. Garantizar la información de las rutas de promoción de derechos, prevención y atención en casos de explotación sexual contra NNA.</w:t>
      </w:r>
    </w:p>
    <w:p w14:paraId="0000005C" w14:textId="77777777" w:rsidR="00C60456" w:rsidRPr="000231F9" w:rsidRDefault="0007730F">
      <w:pPr>
        <w:spacing w:after="200" w:line="360" w:lineRule="auto"/>
        <w:ind w:left="720"/>
        <w:jc w:val="both"/>
        <w:rPr>
          <w:sz w:val="24"/>
          <w:szCs w:val="24"/>
          <w:lang w:val="es-AR"/>
        </w:rPr>
      </w:pPr>
      <w:r w:rsidRPr="000231F9">
        <w:rPr>
          <w:sz w:val="24"/>
          <w:szCs w:val="24"/>
          <w:lang w:val="es-AR"/>
        </w:rPr>
        <w:t>5.2. Adoptar medidas preventivas y reforzar sus esfuerzos para reducir los índices de casos de explotación sexual contra NNA.</w:t>
      </w:r>
    </w:p>
    <w:p w14:paraId="0000005D" w14:textId="77777777" w:rsidR="00C60456" w:rsidRPr="000231F9" w:rsidRDefault="0007730F">
      <w:pPr>
        <w:spacing w:after="200" w:line="360" w:lineRule="auto"/>
        <w:ind w:left="720"/>
        <w:jc w:val="both"/>
        <w:rPr>
          <w:sz w:val="24"/>
          <w:szCs w:val="24"/>
          <w:lang w:val="es-AR"/>
        </w:rPr>
      </w:pPr>
      <w:r w:rsidRPr="000231F9">
        <w:rPr>
          <w:sz w:val="24"/>
          <w:szCs w:val="24"/>
          <w:lang w:val="es-AR"/>
        </w:rPr>
        <w:t>5.3. Adelantar con debida diligencia las investigaciones de hechos de explotación sexual contra NNA para afrontar la brecha entre las denuncias presentadas y las sentencias condenatorias.</w:t>
      </w:r>
    </w:p>
    <w:p w14:paraId="0000005E" w14:textId="77777777" w:rsidR="00C60456" w:rsidRPr="000231F9" w:rsidRDefault="0007730F" w:rsidP="00924EFA">
      <w:pPr>
        <w:pStyle w:val="Heading2"/>
        <w:rPr>
          <w:lang w:val="es-AR"/>
        </w:rPr>
      </w:pPr>
      <w:bookmarkStart w:id="22" w:name="_Toc181285165"/>
      <w:bookmarkStart w:id="23" w:name="_Toc181286233"/>
      <w:r w:rsidRPr="000231F9">
        <w:rPr>
          <w:lang w:val="es-AR"/>
        </w:rPr>
        <w:lastRenderedPageBreak/>
        <w:t>2.3. Tráfico y porte de Armas</w:t>
      </w:r>
      <w:bookmarkEnd w:id="22"/>
      <w:bookmarkEnd w:id="23"/>
    </w:p>
    <w:p w14:paraId="0000005F" w14:textId="77777777" w:rsidR="00C60456" w:rsidRPr="000231F9" w:rsidRDefault="0007730F">
      <w:pPr>
        <w:spacing w:after="200" w:line="360" w:lineRule="auto"/>
        <w:jc w:val="both"/>
        <w:rPr>
          <w:sz w:val="24"/>
          <w:szCs w:val="24"/>
          <w:lang w:val="es-AR"/>
        </w:rPr>
      </w:pPr>
      <w:r w:rsidRPr="000231F9">
        <w:rPr>
          <w:sz w:val="24"/>
          <w:szCs w:val="24"/>
          <w:lang w:val="es-AR"/>
        </w:rPr>
        <w:t xml:space="preserve">Ni el CDN en sus observaciones finales del 2015 ni el Informe presentado por el Estado hacen referencia al tema del tráfico y porte de armas y cómo este afecta los derechos de la niñez en el país. Por esta razón, solicitamos al Comité que se preste atención especial a este tema que refleja la problemática de la ausencia de regulación efectiva y la captura corporativa afectando los intereses de NNA en Colombia. </w:t>
      </w:r>
    </w:p>
    <w:p w14:paraId="00000060" w14:textId="39E0EF27" w:rsidR="00C60456" w:rsidRPr="000231F9" w:rsidRDefault="0007730F">
      <w:pPr>
        <w:spacing w:after="200" w:line="360" w:lineRule="auto"/>
        <w:jc w:val="both"/>
        <w:rPr>
          <w:sz w:val="24"/>
          <w:szCs w:val="24"/>
          <w:lang w:val="es-AR"/>
        </w:rPr>
      </w:pPr>
      <w:r w:rsidRPr="000231F9">
        <w:rPr>
          <w:sz w:val="24"/>
          <w:szCs w:val="24"/>
          <w:lang w:val="es-AR"/>
        </w:rPr>
        <w:t>En cumplimiento de la meta 16.4 de la Agenda 2030, la UNODC desarrolló un estudio a nivel mundial que pone de presente la relación que existe entre el tráfico ilícito de armas de fuego y municiones con las tasas de homicidio en el mundo.</w:t>
      </w:r>
      <w:r>
        <w:rPr>
          <w:sz w:val="24"/>
          <w:szCs w:val="24"/>
          <w:vertAlign w:val="superscript"/>
        </w:rPr>
        <w:footnoteReference w:id="42"/>
      </w:r>
      <w:r w:rsidRPr="000231F9">
        <w:rPr>
          <w:sz w:val="24"/>
          <w:szCs w:val="24"/>
          <w:vertAlign w:val="superscript"/>
          <w:lang w:val="es-AR"/>
        </w:rPr>
        <w:t xml:space="preserve"> </w:t>
      </w:r>
      <w:r w:rsidR="000231F9" w:rsidRPr="000231F9">
        <w:rPr>
          <w:sz w:val="24"/>
          <w:szCs w:val="24"/>
          <w:lang w:val="es-AR"/>
        </w:rPr>
        <w:t>De acuerdo con</w:t>
      </w:r>
      <w:r w:rsidRPr="000231F9">
        <w:rPr>
          <w:sz w:val="24"/>
          <w:szCs w:val="24"/>
          <w:lang w:val="es-AR"/>
        </w:rPr>
        <w:t xml:space="preserve"> datos proporcionados por Small Arms Survey</w:t>
      </w:r>
      <w:r>
        <w:rPr>
          <w:sz w:val="24"/>
          <w:szCs w:val="24"/>
          <w:vertAlign w:val="superscript"/>
        </w:rPr>
        <w:footnoteReference w:id="43"/>
      </w:r>
      <w:r w:rsidR="000231F9">
        <w:rPr>
          <w:sz w:val="24"/>
          <w:szCs w:val="24"/>
          <w:lang w:val="es-AR"/>
        </w:rPr>
        <w:t xml:space="preserve"> </w:t>
      </w:r>
      <w:r w:rsidRPr="000231F9">
        <w:rPr>
          <w:sz w:val="24"/>
          <w:szCs w:val="24"/>
          <w:lang w:val="es-AR"/>
        </w:rPr>
        <w:t xml:space="preserve">para el 2017 (cifra más reciente) en Colombia había 4.971.000 armas en manos de civiles, de las cuales el 86% (4.264.790), serían ilegales y el 14% (706.210), serían legales. En cuanto a las armas en poder de organismos estatales, se estimó que contaban con 283.000 y la Fuerza Pública con 350.689 armas de fuego. </w:t>
      </w:r>
    </w:p>
    <w:p w14:paraId="00000061" w14:textId="77777777" w:rsidR="00C60456" w:rsidRPr="000231F9" w:rsidRDefault="0007730F">
      <w:pPr>
        <w:spacing w:after="200" w:line="360" w:lineRule="auto"/>
        <w:jc w:val="both"/>
        <w:rPr>
          <w:sz w:val="24"/>
          <w:szCs w:val="24"/>
          <w:lang w:val="es-AR"/>
        </w:rPr>
      </w:pPr>
      <w:r w:rsidRPr="000231F9">
        <w:rPr>
          <w:sz w:val="24"/>
          <w:szCs w:val="24"/>
          <w:lang w:val="es-AR"/>
        </w:rPr>
        <w:t>Según datos reportados por la DIJIN, entre el periodo considerado 2015/2022 fueron incautadas 165.463 armas de fuego. Para el mismo periodo según la misma fuente, 8.982 adolescentes fueron aprehendidos bajo el artículo 365 “Fabricación, tráfico, porte, tenencia de armas de fuego, accesorios, partes o municiones.”</w:t>
      </w:r>
    </w:p>
    <w:p w14:paraId="00000062" w14:textId="28F8C84F" w:rsidR="00C60456" w:rsidRPr="000231F9" w:rsidRDefault="0007730F">
      <w:pPr>
        <w:spacing w:after="200" w:line="360" w:lineRule="auto"/>
        <w:jc w:val="both"/>
        <w:rPr>
          <w:sz w:val="24"/>
          <w:szCs w:val="24"/>
          <w:lang w:val="es-AR"/>
        </w:rPr>
      </w:pPr>
      <w:r w:rsidRPr="000231F9">
        <w:rPr>
          <w:sz w:val="24"/>
          <w:szCs w:val="24"/>
          <w:lang w:val="es-AR"/>
        </w:rPr>
        <w:t xml:space="preserve">En 2019, el Tribunal Regional de Kiel condenó a tres ejecutivos de la empresa </w:t>
      </w:r>
      <w:r w:rsidR="000231F9" w:rsidRPr="000231F9">
        <w:rPr>
          <w:sz w:val="24"/>
          <w:szCs w:val="24"/>
          <w:lang w:val="es-AR"/>
        </w:rPr>
        <w:t>alemana SIG</w:t>
      </w:r>
      <w:r w:rsidRPr="000231F9">
        <w:rPr>
          <w:sz w:val="24"/>
          <w:szCs w:val="24"/>
          <w:lang w:val="es-AR"/>
        </w:rPr>
        <w:t xml:space="preserve"> Sauer a penas suspendidas y fuertes multas por la exportación ilegal de 38.000 pistolas desde Alemania a través de EE.UU. a Colombia</w:t>
      </w:r>
      <w:r>
        <w:rPr>
          <w:sz w:val="24"/>
          <w:szCs w:val="24"/>
          <w:vertAlign w:val="superscript"/>
        </w:rPr>
        <w:footnoteReference w:id="44"/>
      </w:r>
      <w:r w:rsidRPr="000231F9">
        <w:rPr>
          <w:sz w:val="24"/>
          <w:szCs w:val="24"/>
          <w:lang w:val="es-AR"/>
        </w:rPr>
        <w:t xml:space="preserve">, estas sentencias son definitivas. Además, el Tribunal Regional ordenó a SIG Sauer reembolsar el volumen de negocios por valor de 11 millones de euros, contra el que la empresa recurrió una cuestión de derecho ante el Tribunal Federal de Justicia de Karlsruhe. Esta sentencia fue confirmada en julio de 2021. La forma como grandes empresas se aprovechan de los </w:t>
      </w:r>
      <w:r w:rsidRPr="000231F9">
        <w:rPr>
          <w:sz w:val="24"/>
          <w:szCs w:val="24"/>
          <w:lang w:val="es-AR"/>
        </w:rPr>
        <w:lastRenderedPageBreak/>
        <w:t>vacíos legales para el control del tráfico y comercialización de armas recae en millares de NNA que terminan siendo portadores de las mismas o terminan siendo asesinados por éstas. En el marco del Paro Nacional de 2021, cuatro NNA fueron asesinados con armas de fuego y una de ellas correspondía a la marca Sig Sauer</w:t>
      </w:r>
      <w:r>
        <w:rPr>
          <w:sz w:val="24"/>
          <w:szCs w:val="24"/>
          <w:vertAlign w:val="superscript"/>
        </w:rPr>
        <w:footnoteReference w:id="45"/>
      </w:r>
      <w:r w:rsidR="000231F9">
        <w:rPr>
          <w:sz w:val="24"/>
          <w:szCs w:val="24"/>
          <w:lang w:val="es-AR"/>
        </w:rPr>
        <w:t>.</w:t>
      </w:r>
    </w:p>
    <w:p w14:paraId="00000063" w14:textId="77777777" w:rsidR="00C60456" w:rsidRPr="000231F9" w:rsidRDefault="0007730F">
      <w:pPr>
        <w:spacing w:after="200" w:line="360" w:lineRule="auto"/>
        <w:jc w:val="both"/>
        <w:rPr>
          <w:sz w:val="24"/>
          <w:szCs w:val="24"/>
          <w:lang w:val="es-AR"/>
        </w:rPr>
      </w:pPr>
      <w:r w:rsidRPr="000231F9">
        <w:rPr>
          <w:sz w:val="24"/>
          <w:szCs w:val="24"/>
          <w:lang w:val="es-AR"/>
        </w:rPr>
        <w:t xml:space="preserve">Para este estudio hemos destacado dos principales afectaciones que sufren las NN producto del entorno de violencia o de acceso a armas en diversos territorios de Colombia. Los homicidios y el involucramiento de NNA en hechos delictivos. </w:t>
      </w:r>
    </w:p>
    <w:p w14:paraId="00000064" w14:textId="2AA6E9C8" w:rsidR="00C60456" w:rsidRPr="000231F9" w:rsidRDefault="0007730F">
      <w:pPr>
        <w:spacing w:after="200" w:line="360" w:lineRule="auto"/>
        <w:jc w:val="both"/>
        <w:rPr>
          <w:sz w:val="24"/>
          <w:szCs w:val="24"/>
          <w:vertAlign w:val="superscript"/>
          <w:lang w:val="es-AR"/>
        </w:rPr>
      </w:pPr>
      <w:r w:rsidRPr="000231F9">
        <w:rPr>
          <w:sz w:val="24"/>
          <w:szCs w:val="24"/>
          <w:lang w:val="es-AR"/>
        </w:rPr>
        <w:t>En primer lugar, para el 2022, se presentaron en Colombia 13.939 casos de homicidios, la tasa por 100 mil habitantes fue la tercera más alta de la última década. “Este incremento sobrepasa la meta nacional de los ODM que para el 2022 era de 23,2, la tasa de homicidio reportada fue de 26.97. El análisis de los mecanismos causales mostró que el arma de fuego predominó como el instrumento más utilizado para ejecutar los homicidios”</w:t>
      </w:r>
      <w:r>
        <w:rPr>
          <w:sz w:val="24"/>
          <w:szCs w:val="24"/>
          <w:vertAlign w:val="superscript"/>
        </w:rPr>
        <w:footnoteReference w:id="46"/>
      </w:r>
      <w:r w:rsidR="000231F9">
        <w:rPr>
          <w:sz w:val="24"/>
          <w:szCs w:val="24"/>
          <w:lang w:val="es-AR"/>
        </w:rPr>
        <w:t>.</w:t>
      </w:r>
    </w:p>
    <w:p w14:paraId="00000065" w14:textId="77777777" w:rsidR="00C60456" w:rsidRPr="000231F9" w:rsidRDefault="0007730F">
      <w:pPr>
        <w:spacing w:after="200" w:line="360" w:lineRule="auto"/>
        <w:jc w:val="both"/>
        <w:rPr>
          <w:sz w:val="24"/>
          <w:szCs w:val="24"/>
          <w:lang w:val="es-AR"/>
        </w:rPr>
      </w:pPr>
      <w:r w:rsidRPr="000231F9">
        <w:rPr>
          <w:sz w:val="24"/>
          <w:szCs w:val="24"/>
          <w:lang w:val="es-AR"/>
        </w:rPr>
        <w:t xml:space="preserve">Según datos de la DIJIN-Policía Nacional, los homicidios cometidos contra menores y adolescentes en el periodo que va de 2020 a 13 de abril de 2024, ascendieron a 1.650 casos; por su parte, 1.053 adolescentes y dos menores de edad (1.055) fueron capturados por el presunto delito de homicidio, durante el mismo periodo.  </w:t>
      </w:r>
    </w:p>
    <w:p w14:paraId="00000066" w14:textId="77777777" w:rsidR="00C60456" w:rsidRPr="000231F9" w:rsidRDefault="0007730F">
      <w:pPr>
        <w:spacing w:after="200" w:line="360" w:lineRule="auto"/>
        <w:jc w:val="both"/>
        <w:rPr>
          <w:sz w:val="24"/>
          <w:szCs w:val="24"/>
          <w:lang w:val="es-AR"/>
        </w:rPr>
      </w:pPr>
      <w:r w:rsidRPr="000231F9">
        <w:rPr>
          <w:sz w:val="24"/>
          <w:szCs w:val="24"/>
          <w:lang w:val="es-AR"/>
        </w:rPr>
        <w:t>En segundo lugar, según las cifras reportadas por la Defensoría del Pueblo, a julio de 2021, 7.754 adolescentes y jóvenes incurrieron en la comisión de un delito y se encuentran vinculados al Sistema de Responsabilidad para Adolescentes SRPA. En modalidad privativa de la libertad, el 90% son hombres y el 10% mujeres. Las conductas de mayor ingreso son: Tráfico, fabricación o porte de estupefacientes, hurto, violencia intrafamiliar, lesiones personales, y fabricación, tráfico, porte, tenencia de armas de fuego, accesorios, partes y municiones.</w:t>
      </w:r>
    </w:p>
    <w:p w14:paraId="00000067" w14:textId="77777777" w:rsidR="00C60456" w:rsidRDefault="0007730F">
      <w:pPr>
        <w:spacing w:after="200" w:line="360" w:lineRule="auto"/>
        <w:jc w:val="both"/>
        <w:rPr>
          <w:sz w:val="24"/>
          <w:szCs w:val="24"/>
          <w:highlight w:val="white"/>
          <w:u w:val="single"/>
        </w:rPr>
      </w:pPr>
      <w:r>
        <w:rPr>
          <w:sz w:val="24"/>
          <w:szCs w:val="24"/>
          <w:highlight w:val="white"/>
          <w:u w:val="single"/>
        </w:rPr>
        <w:t>Recomendaciones</w:t>
      </w:r>
    </w:p>
    <w:p w14:paraId="00000068" w14:textId="77777777" w:rsidR="00C60456" w:rsidRPr="00535C03" w:rsidRDefault="0007730F" w:rsidP="000C2130">
      <w:pPr>
        <w:pStyle w:val="ListParagraph"/>
        <w:numPr>
          <w:ilvl w:val="0"/>
          <w:numId w:val="4"/>
        </w:numPr>
        <w:spacing w:after="200" w:line="360" w:lineRule="auto"/>
        <w:ind w:left="851"/>
        <w:jc w:val="both"/>
        <w:rPr>
          <w:sz w:val="24"/>
          <w:szCs w:val="24"/>
          <w:lang w:val="es-CO"/>
        </w:rPr>
      </w:pPr>
      <w:r w:rsidRPr="00535C03">
        <w:rPr>
          <w:sz w:val="24"/>
          <w:szCs w:val="24"/>
          <w:highlight w:val="white"/>
          <w:u w:val="single"/>
          <w:lang w:val="es-CO"/>
        </w:rPr>
        <w:lastRenderedPageBreak/>
        <w:t>Se inste al Estado a:</w:t>
      </w:r>
    </w:p>
    <w:p w14:paraId="00000069" w14:textId="77777777" w:rsidR="00C60456" w:rsidRPr="000231F9" w:rsidRDefault="0007730F">
      <w:pPr>
        <w:spacing w:line="360" w:lineRule="auto"/>
        <w:ind w:left="720"/>
        <w:jc w:val="both"/>
        <w:rPr>
          <w:sz w:val="24"/>
          <w:szCs w:val="24"/>
          <w:lang w:val="es-AR"/>
        </w:rPr>
      </w:pPr>
      <w:r w:rsidRPr="000231F9">
        <w:rPr>
          <w:sz w:val="24"/>
          <w:szCs w:val="24"/>
          <w:highlight w:val="white"/>
          <w:lang w:val="es-AR"/>
        </w:rPr>
        <w:t xml:space="preserve">6.1. Garantizar </w:t>
      </w:r>
      <w:r w:rsidRPr="000231F9">
        <w:rPr>
          <w:sz w:val="24"/>
          <w:szCs w:val="24"/>
          <w:lang w:val="es-AR"/>
        </w:rPr>
        <w:t>la participación de NNA en la discusión en el Congreso de la República sobre el tráfico ilícito de armas de fuego y municiones, así como a las comunidades y la sociedad civil en general.</w:t>
      </w:r>
    </w:p>
    <w:p w14:paraId="71EA74B9" w14:textId="77777777" w:rsidR="000C2130" w:rsidRDefault="0007730F" w:rsidP="000C2130">
      <w:pPr>
        <w:spacing w:after="240" w:line="360" w:lineRule="auto"/>
        <w:ind w:left="720"/>
        <w:jc w:val="both"/>
        <w:rPr>
          <w:sz w:val="24"/>
          <w:szCs w:val="24"/>
          <w:lang w:val="es-AR"/>
        </w:rPr>
      </w:pPr>
      <w:r w:rsidRPr="000231F9">
        <w:rPr>
          <w:sz w:val="24"/>
          <w:szCs w:val="24"/>
          <w:lang w:val="es-AR"/>
        </w:rPr>
        <w:t xml:space="preserve">6.2. </w:t>
      </w:r>
      <w:r w:rsidRPr="000231F9">
        <w:rPr>
          <w:rFonts w:ascii="Times New Roman" w:eastAsia="Times New Roman" w:hAnsi="Times New Roman" w:cs="Times New Roman"/>
          <w:sz w:val="14"/>
          <w:szCs w:val="14"/>
          <w:lang w:val="es-AR"/>
        </w:rPr>
        <w:t xml:space="preserve"> </w:t>
      </w:r>
      <w:r w:rsidRPr="000231F9">
        <w:rPr>
          <w:sz w:val="24"/>
          <w:szCs w:val="24"/>
          <w:lang w:val="es-AR"/>
        </w:rPr>
        <w:t xml:space="preserve"> Depositar a la mayor brevedad posible el instrumento de ratificación del Protocolo y el Tratado sobre el Comercio de Armas a fin de aplicar con el mayor rigor posible los mecanismos allí previstos para la lucha contra el tráfico ilícito de armas pequeñas y ligeras.</w:t>
      </w:r>
    </w:p>
    <w:p w14:paraId="0000006B" w14:textId="71E0FE9B" w:rsidR="00C60456" w:rsidRPr="00027C4F" w:rsidRDefault="0007730F" w:rsidP="003D09F6">
      <w:pPr>
        <w:pStyle w:val="ListParagraph"/>
        <w:numPr>
          <w:ilvl w:val="0"/>
          <w:numId w:val="4"/>
        </w:numPr>
        <w:spacing w:after="240" w:line="360" w:lineRule="auto"/>
        <w:ind w:left="709"/>
        <w:jc w:val="both"/>
        <w:rPr>
          <w:sz w:val="24"/>
          <w:szCs w:val="24"/>
          <w:lang w:val="es-AR"/>
        </w:rPr>
      </w:pPr>
      <w:r w:rsidRPr="00027C4F">
        <w:rPr>
          <w:sz w:val="24"/>
          <w:szCs w:val="24"/>
          <w:lang w:val="es-AR"/>
        </w:rPr>
        <w:t xml:space="preserve">Se sugiere al Comité que para la aplicación del II Protocolo Facultativo sobre NNA y Conflicto Armado, es importante que en los mecanismos de monitoreo se incorpore el impacto de las armas de fuego en la vida de NNA teniendo en cuenta sus entornos de vinculación, permanencia y salida </w:t>
      </w:r>
      <w:r w:rsidR="00F94D8F" w:rsidRPr="00027C4F">
        <w:rPr>
          <w:sz w:val="24"/>
          <w:szCs w:val="24"/>
          <w:lang w:val="es-AR"/>
        </w:rPr>
        <w:t>de los grupos</w:t>
      </w:r>
      <w:r w:rsidRPr="00027C4F">
        <w:rPr>
          <w:sz w:val="24"/>
          <w:szCs w:val="24"/>
          <w:lang w:val="es-AR"/>
        </w:rPr>
        <w:t>.</w:t>
      </w:r>
    </w:p>
    <w:p w14:paraId="0000006C" w14:textId="01A4B108" w:rsidR="00C60456" w:rsidRPr="000231F9" w:rsidRDefault="0007730F" w:rsidP="00924EFA">
      <w:pPr>
        <w:pStyle w:val="Heading2"/>
        <w:rPr>
          <w:lang w:val="es-AR"/>
        </w:rPr>
      </w:pPr>
      <w:bookmarkStart w:id="24" w:name="_Toc181285166"/>
      <w:bookmarkStart w:id="25" w:name="_Toc181286234"/>
      <w:r w:rsidRPr="000231F9">
        <w:rPr>
          <w:lang w:val="es-AR"/>
        </w:rPr>
        <w:t>2.</w:t>
      </w:r>
      <w:r w:rsidR="00924EFA">
        <w:rPr>
          <w:lang w:val="es-AR"/>
        </w:rPr>
        <w:t>4</w:t>
      </w:r>
      <w:r w:rsidRPr="000231F9">
        <w:rPr>
          <w:lang w:val="es-AR"/>
        </w:rPr>
        <w:t>. Violencias y participación de NN defensores de derechos humanos</w:t>
      </w:r>
      <w:bookmarkEnd w:id="24"/>
      <w:bookmarkEnd w:id="25"/>
    </w:p>
    <w:p w14:paraId="0000006D" w14:textId="0B82214D" w:rsidR="00C60456" w:rsidRPr="000231F9" w:rsidRDefault="0007730F">
      <w:pPr>
        <w:spacing w:after="200" w:line="360" w:lineRule="auto"/>
        <w:jc w:val="both"/>
        <w:rPr>
          <w:sz w:val="24"/>
          <w:szCs w:val="24"/>
          <w:lang w:val="es-AR"/>
        </w:rPr>
      </w:pPr>
      <w:r w:rsidRPr="000231F9">
        <w:rPr>
          <w:sz w:val="24"/>
          <w:szCs w:val="24"/>
          <w:lang w:val="es-AR"/>
        </w:rPr>
        <w:t xml:space="preserve">El CDN en el 2015 indicó su preocupación por el alto índice de violencias en contra de personas defensoras de derechos humanos, pues la violencia contra éstas afectaría indirectamente a NNA, por </w:t>
      </w:r>
      <w:r w:rsidR="000C2130" w:rsidRPr="000231F9">
        <w:rPr>
          <w:sz w:val="24"/>
          <w:szCs w:val="24"/>
          <w:lang w:val="es-AR"/>
        </w:rPr>
        <w:t>ejemplo,</w:t>
      </w:r>
      <w:r w:rsidRPr="000231F9">
        <w:rPr>
          <w:sz w:val="24"/>
          <w:szCs w:val="24"/>
          <w:lang w:val="es-AR"/>
        </w:rPr>
        <w:t xml:space="preserve"> por amenazas contra sus hijos o violencia contra personas defensoras de los derechos de la niñez</w:t>
      </w:r>
      <w:r>
        <w:rPr>
          <w:sz w:val="24"/>
          <w:szCs w:val="24"/>
          <w:vertAlign w:val="superscript"/>
        </w:rPr>
        <w:footnoteReference w:id="47"/>
      </w:r>
      <w:r w:rsidR="000231F9">
        <w:rPr>
          <w:sz w:val="24"/>
          <w:szCs w:val="24"/>
          <w:lang w:val="es-AR"/>
        </w:rPr>
        <w:t>.</w:t>
      </w:r>
      <w:r w:rsidRPr="000231F9">
        <w:rPr>
          <w:sz w:val="24"/>
          <w:szCs w:val="24"/>
          <w:lang w:val="es-AR"/>
        </w:rPr>
        <w:t xml:space="preserve"> Sin embargo, las organizaciones consideramos que esta es una oportunidad para que se reconozca el papel y condición de vulnerabilidad de las NN defensores de derechos humanos y se adopten medidas para su protección por parte de Colombia.</w:t>
      </w:r>
    </w:p>
    <w:p w14:paraId="0000006E" w14:textId="77777777" w:rsidR="00C60456" w:rsidRPr="000231F9" w:rsidRDefault="0007730F">
      <w:pPr>
        <w:spacing w:after="200" w:line="360" w:lineRule="auto"/>
        <w:jc w:val="both"/>
        <w:rPr>
          <w:sz w:val="24"/>
          <w:szCs w:val="24"/>
          <w:lang w:val="es-AR"/>
        </w:rPr>
      </w:pPr>
      <w:r w:rsidRPr="000231F9">
        <w:rPr>
          <w:sz w:val="24"/>
          <w:szCs w:val="24"/>
          <w:lang w:val="es-AR"/>
        </w:rPr>
        <w:t xml:space="preserve">La primera preocupación se presenta por las dificultades que tienen ellas y ellos en ejercer su liderazgo social por tres factores de riesgo; en primer lugar, las zonas de disputa por parte de actores armados; en segundo lugar, los contextos medioambientales complejos, por ejemplo, por extracción minera y finalmente, la estigmatización y violencia en el marco de protestas sociales por parte de la Policía. </w:t>
      </w:r>
    </w:p>
    <w:p w14:paraId="0000006F" w14:textId="488AB6CE" w:rsidR="00C60456" w:rsidRPr="000231F9" w:rsidRDefault="0007730F">
      <w:pPr>
        <w:spacing w:before="200" w:after="200" w:line="360" w:lineRule="auto"/>
        <w:jc w:val="both"/>
        <w:rPr>
          <w:sz w:val="24"/>
          <w:szCs w:val="24"/>
          <w:lang w:val="es-AR"/>
        </w:rPr>
      </w:pPr>
      <w:r w:rsidRPr="000231F9">
        <w:rPr>
          <w:sz w:val="24"/>
          <w:szCs w:val="24"/>
          <w:lang w:val="es-AR"/>
        </w:rPr>
        <w:lastRenderedPageBreak/>
        <w:t xml:space="preserve">Las NN defensores de derechos humanos han sido objeto de amenazas, violencias y </w:t>
      </w:r>
      <w:r w:rsidR="003341B7">
        <w:rPr>
          <w:sz w:val="24"/>
          <w:szCs w:val="24"/>
          <w:lang w:val="es-AR"/>
        </w:rPr>
        <w:t xml:space="preserve"> </w:t>
      </w:r>
      <w:r w:rsidRPr="000231F9">
        <w:rPr>
          <w:sz w:val="24"/>
          <w:szCs w:val="24"/>
          <w:lang w:val="es-AR"/>
        </w:rPr>
        <w:t>asesinatos. Por ejemplo, en enero de 2021 se hicieron públicas las amenazas de muerte que recibía un niño de 11 años defensor del medio ambiente (Ver anexo 1).</w:t>
      </w:r>
      <w:r>
        <w:rPr>
          <w:sz w:val="24"/>
          <w:szCs w:val="24"/>
          <w:vertAlign w:val="superscript"/>
        </w:rPr>
        <w:footnoteReference w:id="48"/>
      </w:r>
      <w:r w:rsidRPr="000231F9">
        <w:rPr>
          <w:sz w:val="24"/>
          <w:szCs w:val="24"/>
          <w:lang w:val="es-AR"/>
        </w:rPr>
        <w:t xml:space="preserve"> A la fecha, no se tiene conocimiento sobre los avances en las investigaciones de estos graves hechos. Además, en enero de 2022 se registró el trágico asesinato a tiros de un niño de 14 años defensor del medio ambiente en el departamento del Cauca (Ver anexo 1)</w:t>
      </w:r>
      <w:r>
        <w:rPr>
          <w:sz w:val="24"/>
          <w:szCs w:val="24"/>
          <w:vertAlign w:val="superscript"/>
        </w:rPr>
        <w:footnoteReference w:id="49"/>
      </w:r>
      <w:r w:rsidR="000231F9">
        <w:rPr>
          <w:sz w:val="24"/>
          <w:szCs w:val="24"/>
          <w:lang w:val="es-AR"/>
        </w:rPr>
        <w:t>.</w:t>
      </w:r>
    </w:p>
    <w:p w14:paraId="00000070" w14:textId="77777777" w:rsidR="00C60456" w:rsidRPr="000231F9" w:rsidRDefault="0007730F">
      <w:pPr>
        <w:spacing w:before="200" w:after="200" w:line="360" w:lineRule="auto"/>
        <w:jc w:val="both"/>
        <w:rPr>
          <w:sz w:val="24"/>
          <w:szCs w:val="24"/>
          <w:lang w:val="es-AR"/>
        </w:rPr>
      </w:pPr>
      <w:r w:rsidRPr="000231F9">
        <w:rPr>
          <w:sz w:val="24"/>
          <w:szCs w:val="24"/>
          <w:lang w:val="es-AR"/>
        </w:rPr>
        <w:t>Además, las rutas establecidas a través de la Unidad Nacional de Protección han demostrado, en la práctica, ser ineficaces. Algunos de los inconvenientes evidenciados incluyen la desconexión entre la protección, la investigación y la aplicación de justicia, que se expresa en impunidad de las violencias y asimetrías del sistema judicial, un modelo de protección que no actúa sobre las causas ni reconoce los nuevos factores de riesgo o la amenaza, un programa de protección que no dialoga con los protegidos para definir las medidas más adecuadas a sus riesgos y características; entre otras.</w:t>
      </w:r>
    </w:p>
    <w:p w14:paraId="00000071" w14:textId="64DB4F9F" w:rsidR="00C60456" w:rsidRPr="000231F9" w:rsidRDefault="0007730F">
      <w:pPr>
        <w:spacing w:before="240" w:after="240" w:line="360" w:lineRule="auto"/>
        <w:jc w:val="both"/>
        <w:rPr>
          <w:sz w:val="24"/>
          <w:szCs w:val="24"/>
          <w:lang w:val="es-AR"/>
        </w:rPr>
      </w:pPr>
      <w:r w:rsidRPr="000231F9">
        <w:rPr>
          <w:sz w:val="24"/>
          <w:szCs w:val="24"/>
          <w:lang w:val="es-AR"/>
        </w:rPr>
        <w:t>Una situación que significa un riesgo adicional para las NNA defensores es la falta de reconocimiento de su calidad de actores sociales y su rol como defensores por parte del Estado y la sociedad en general. Es decir, no se reconoce a la niñez como posible actor defensor de derechos humanos. Esta situación invisibiliza su actividad afectando su derecho a la participación y aumenta su riesgo de ser violentados. Lo anterior tiene una consecuencia adicional y es que las medidas de protección actuales institucionales no cuentan con un enfoque de niñez (Ver anexo 1)</w:t>
      </w:r>
      <w:r>
        <w:rPr>
          <w:sz w:val="24"/>
          <w:szCs w:val="24"/>
          <w:vertAlign w:val="superscript"/>
        </w:rPr>
        <w:footnoteReference w:id="50"/>
      </w:r>
      <w:r w:rsidR="000231F9">
        <w:rPr>
          <w:sz w:val="24"/>
          <w:szCs w:val="24"/>
          <w:lang w:val="es-AR"/>
        </w:rPr>
        <w:t>.</w:t>
      </w:r>
    </w:p>
    <w:p w14:paraId="00000072" w14:textId="170F2B63" w:rsidR="00C60456" w:rsidRPr="000231F9" w:rsidRDefault="0007730F">
      <w:pPr>
        <w:spacing w:before="240" w:after="240" w:line="360" w:lineRule="auto"/>
        <w:jc w:val="both"/>
        <w:rPr>
          <w:sz w:val="24"/>
          <w:szCs w:val="24"/>
          <w:lang w:val="es-AR"/>
        </w:rPr>
      </w:pPr>
      <w:r w:rsidRPr="000231F9">
        <w:rPr>
          <w:sz w:val="24"/>
          <w:szCs w:val="24"/>
          <w:lang w:val="es-AR"/>
        </w:rPr>
        <w:t xml:space="preserve">Adicionalmente, existe una estigmatización de las NNA que son defensoras de derechos humanos, incluyendo la defensa del medio ambiente. Esta estigmatización puede venir </w:t>
      </w:r>
      <w:r w:rsidRPr="000231F9">
        <w:rPr>
          <w:sz w:val="24"/>
          <w:szCs w:val="24"/>
          <w:lang w:val="es-AR"/>
        </w:rPr>
        <w:lastRenderedPageBreak/>
        <w:t>acompañada de amenazas y señalamientos de pertenencia a grupos ilegales. En un caso en concreto, la estigmatización de la labor de defensa del medio ambiente vino por parte de una empresa minera (Cerrejón) en la Guajira señalando intereses personales de las juventudes defensoras del medio ambiente (Ver anexo 1)</w:t>
      </w:r>
      <w:r>
        <w:rPr>
          <w:sz w:val="24"/>
          <w:szCs w:val="24"/>
          <w:vertAlign w:val="superscript"/>
        </w:rPr>
        <w:footnoteReference w:id="51"/>
      </w:r>
      <w:r w:rsidR="000231F9">
        <w:rPr>
          <w:sz w:val="24"/>
          <w:szCs w:val="24"/>
          <w:lang w:val="es-AR"/>
        </w:rPr>
        <w:t>.</w:t>
      </w:r>
      <w:r w:rsidRPr="000231F9">
        <w:rPr>
          <w:sz w:val="24"/>
          <w:szCs w:val="24"/>
          <w:lang w:val="es-AR"/>
        </w:rPr>
        <w:t xml:space="preserve"> </w:t>
      </w:r>
    </w:p>
    <w:p w14:paraId="00000073" w14:textId="77777777" w:rsidR="00C60456" w:rsidRPr="000231F9" w:rsidRDefault="0007730F">
      <w:pPr>
        <w:spacing w:before="240" w:after="240" w:line="360" w:lineRule="auto"/>
        <w:ind w:left="720"/>
        <w:jc w:val="both"/>
        <w:rPr>
          <w:sz w:val="24"/>
          <w:szCs w:val="24"/>
          <w:u w:val="single"/>
          <w:lang w:val="es-AR"/>
        </w:rPr>
      </w:pPr>
      <w:r w:rsidRPr="000231F9">
        <w:rPr>
          <w:sz w:val="24"/>
          <w:szCs w:val="24"/>
          <w:u w:val="single"/>
          <w:lang w:val="es-AR"/>
        </w:rPr>
        <w:t>Recomendaciones</w:t>
      </w:r>
    </w:p>
    <w:p w14:paraId="00000074" w14:textId="5E17BFA9" w:rsidR="00C60456" w:rsidRPr="000C2130" w:rsidRDefault="0007730F" w:rsidP="000C2130">
      <w:pPr>
        <w:pStyle w:val="ListParagraph"/>
        <w:numPr>
          <w:ilvl w:val="0"/>
          <w:numId w:val="4"/>
        </w:numPr>
        <w:spacing w:before="240" w:after="240" w:line="360" w:lineRule="auto"/>
        <w:ind w:left="709"/>
        <w:jc w:val="both"/>
        <w:rPr>
          <w:sz w:val="24"/>
          <w:szCs w:val="24"/>
          <w:u w:val="single"/>
          <w:lang w:val="es-AR"/>
        </w:rPr>
      </w:pPr>
      <w:r w:rsidRPr="000C2130">
        <w:rPr>
          <w:sz w:val="24"/>
          <w:szCs w:val="24"/>
          <w:u w:val="single"/>
          <w:lang w:val="es-AR"/>
        </w:rPr>
        <w:t>Se inste al Estado a:</w:t>
      </w:r>
    </w:p>
    <w:p w14:paraId="00000075" w14:textId="3AAA59C3" w:rsidR="00C60456" w:rsidRPr="000231F9" w:rsidRDefault="003D09F6">
      <w:pPr>
        <w:spacing w:before="240" w:after="200" w:line="360" w:lineRule="auto"/>
        <w:ind w:left="720"/>
        <w:jc w:val="both"/>
        <w:rPr>
          <w:sz w:val="24"/>
          <w:szCs w:val="24"/>
          <w:lang w:val="es-AR"/>
        </w:rPr>
      </w:pPr>
      <w:r>
        <w:rPr>
          <w:sz w:val="24"/>
          <w:szCs w:val="24"/>
          <w:lang w:val="es-AR"/>
        </w:rPr>
        <w:t>8</w:t>
      </w:r>
      <w:r w:rsidRPr="000231F9">
        <w:rPr>
          <w:sz w:val="24"/>
          <w:szCs w:val="24"/>
          <w:lang w:val="es-AR"/>
        </w:rPr>
        <w:t>.1. Promover el reconocimiento de la labor de las NNA defensoras de derechos humanos.</w:t>
      </w:r>
    </w:p>
    <w:p w14:paraId="00000076" w14:textId="73E9405C" w:rsidR="00C60456" w:rsidRPr="000231F9" w:rsidRDefault="003D09F6">
      <w:pPr>
        <w:spacing w:after="200" w:line="360" w:lineRule="auto"/>
        <w:ind w:left="720"/>
        <w:jc w:val="both"/>
        <w:rPr>
          <w:sz w:val="24"/>
          <w:szCs w:val="24"/>
          <w:lang w:val="es-AR"/>
        </w:rPr>
      </w:pPr>
      <w:r>
        <w:rPr>
          <w:sz w:val="24"/>
          <w:szCs w:val="24"/>
          <w:lang w:val="es-AR"/>
        </w:rPr>
        <w:t>8</w:t>
      </w:r>
      <w:r w:rsidRPr="000231F9">
        <w:rPr>
          <w:sz w:val="24"/>
          <w:szCs w:val="24"/>
          <w:lang w:val="es-AR"/>
        </w:rPr>
        <w:t>.2. Realizar la extensión de los enfoques diferenciales en los análisis de riesgo y las medidas de protección de NN defensores.</w:t>
      </w:r>
    </w:p>
    <w:p w14:paraId="00000077" w14:textId="64A8CA67" w:rsidR="00C60456" w:rsidRPr="000231F9" w:rsidRDefault="003D09F6">
      <w:pPr>
        <w:spacing w:after="200" w:line="360" w:lineRule="auto"/>
        <w:ind w:left="720"/>
        <w:jc w:val="both"/>
        <w:rPr>
          <w:sz w:val="24"/>
          <w:szCs w:val="24"/>
          <w:lang w:val="es-AR"/>
        </w:rPr>
      </w:pPr>
      <w:r>
        <w:rPr>
          <w:sz w:val="24"/>
          <w:szCs w:val="24"/>
          <w:lang w:val="es-AR"/>
        </w:rPr>
        <w:t>8</w:t>
      </w:r>
      <w:r w:rsidRPr="000231F9">
        <w:rPr>
          <w:sz w:val="24"/>
          <w:szCs w:val="24"/>
          <w:lang w:val="es-AR"/>
        </w:rPr>
        <w:t>.3. Garantizar que las entidades territoriales cuenten con el apoyo del gobierno nacional, incluido el acompañamiento del Sistema Nacional de Bienestar Familiar para la formulación de un Plan Integral de Prevención y Protección cuyos análisis del riesgo y sus escenarios, la definición de medidas y la evaluación de sus metas, incorpore las labores de los NN defensores.</w:t>
      </w:r>
    </w:p>
    <w:p w14:paraId="00000078" w14:textId="07737FC2" w:rsidR="00C60456" w:rsidRPr="000231F9" w:rsidRDefault="003D09F6">
      <w:pPr>
        <w:spacing w:before="240" w:after="240" w:line="360" w:lineRule="auto"/>
        <w:ind w:left="720"/>
        <w:jc w:val="both"/>
        <w:rPr>
          <w:sz w:val="24"/>
          <w:szCs w:val="24"/>
          <w:lang w:val="es-AR"/>
        </w:rPr>
      </w:pPr>
      <w:r>
        <w:rPr>
          <w:sz w:val="24"/>
          <w:szCs w:val="24"/>
          <w:lang w:val="es-AR"/>
        </w:rPr>
        <w:t>8</w:t>
      </w:r>
      <w:r w:rsidRPr="000231F9">
        <w:rPr>
          <w:sz w:val="24"/>
          <w:szCs w:val="24"/>
          <w:lang w:val="es-AR"/>
        </w:rPr>
        <w:t>.4. Investigar de manera oportuna y efectiva las denuncias de violencias cometidas contra NN defensores y sus familiares.</w:t>
      </w:r>
    </w:p>
    <w:p w14:paraId="00000079" w14:textId="0C5B46D3" w:rsidR="00C60456" w:rsidRPr="000231F9" w:rsidRDefault="003D09F6">
      <w:pPr>
        <w:spacing w:before="240" w:after="240" w:line="360" w:lineRule="auto"/>
        <w:ind w:left="720"/>
        <w:jc w:val="both"/>
        <w:rPr>
          <w:sz w:val="24"/>
          <w:szCs w:val="24"/>
          <w:lang w:val="es-AR"/>
        </w:rPr>
      </w:pPr>
      <w:r>
        <w:rPr>
          <w:sz w:val="24"/>
          <w:szCs w:val="24"/>
          <w:lang w:val="es-AR"/>
        </w:rPr>
        <w:t>8</w:t>
      </w:r>
      <w:r w:rsidRPr="000231F9">
        <w:rPr>
          <w:sz w:val="24"/>
          <w:szCs w:val="24"/>
          <w:lang w:val="es-AR"/>
        </w:rPr>
        <w:t xml:space="preserve">.5. Adoptar medidas efectivas para evitar la estigmatización de la NN defensoras, incluyendo visibilización de su rol y trabajo de reconocimiento conjunto con diferentes actores. </w:t>
      </w:r>
    </w:p>
    <w:p w14:paraId="0000007A" w14:textId="25DC32BA" w:rsidR="00C60456" w:rsidRPr="000231F9" w:rsidRDefault="0007730F" w:rsidP="00924EFA">
      <w:pPr>
        <w:pStyle w:val="Heading2"/>
        <w:rPr>
          <w:lang w:val="es-AR"/>
        </w:rPr>
      </w:pPr>
      <w:bookmarkStart w:id="26" w:name="_Toc181285167"/>
      <w:bookmarkStart w:id="27" w:name="_Toc181286235"/>
      <w:r w:rsidRPr="000231F9">
        <w:rPr>
          <w:lang w:val="es-AR"/>
        </w:rPr>
        <w:t>2.</w:t>
      </w:r>
      <w:r w:rsidR="00924EFA">
        <w:rPr>
          <w:lang w:val="es-AR"/>
        </w:rPr>
        <w:t>5</w:t>
      </w:r>
      <w:r w:rsidRPr="000231F9">
        <w:rPr>
          <w:lang w:val="es-AR"/>
        </w:rPr>
        <w:t>.  Violencia contra NNA por actividades de protestas</w:t>
      </w:r>
      <w:bookmarkEnd w:id="26"/>
      <w:bookmarkEnd w:id="27"/>
    </w:p>
    <w:p w14:paraId="0000007B" w14:textId="77777777" w:rsidR="00C60456" w:rsidRPr="000231F9" w:rsidRDefault="0007730F">
      <w:pPr>
        <w:spacing w:line="360" w:lineRule="auto"/>
        <w:jc w:val="both"/>
        <w:rPr>
          <w:sz w:val="24"/>
          <w:szCs w:val="24"/>
          <w:lang w:val="es-AR"/>
        </w:rPr>
      </w:pPr>
      <w:r w:rsidRPr="000231F9">
        <w:rPr>
          <w:sz w:val="24"/>
          <w:szCs w:val="24"/>
          <w:lang w:val="es-AR"/>
        </w:rPr>
        <w:t xml:space="preserve">Ni el CDN en sus observaciones finales ni el Estado hicieron mención a la protección de NN en el marco de actividades de protesta. Sin embargo, el Comité en el análisis de otros </w:t>
      </w:r>
      <w:r w:rsidRPr="000231F9">
        <w:rPr>
          <w:sz w:val="24"/>
          <w:szCs w:val="24"/>
          <w:lang w:val="es-AR"/>
        </w:rPr>
        <w:lastRenderedPageBreak/>
        <w:t>países con contextos de violencia en protestas sociales como Chile</w:t>
      </w:r>
      <w:r>
        <w:rPr>
          <w:sz w:val="24"/>
          <w:szCs w:val="24"/>
          <w:vertAlign w:val="superscript"/>
        </w:rPr>
        <w:footnoteReference w:id="52"/>
      </w:r>
      <w:r w:rsidRPr="000231F9">
        <w:rPr>
          <w:sz w:val="24"/>
          <w:szCs w:val="24"/>
          <w:lang w:val="es-AR"/>
        </w:rPr>
        <w:t xml:space="preserve"> y Cuba</w:t>
      </w:r>
      <w:r>
        <w:rPr>
          <w:sz w:val="24"/>
          <w:szCs w:val="24"/>
          <w:vertAlign w:val="superscript"/>
        </w:rPr>
        <w:footnoteReference w:id="53"/>
      </w:r>
      <w:r w:rsidRPr="000231F9">
        <w:rPr>
          <w:sz w:val="24"/>
          <w:szCs w:val="24"/>
          <w:lang w:val="es-AR"/>
        </w:rPr>
        <w:t xml:space="preserve"> ha señalado su preocupación por la violencia desproporcionada ejercida por parte de la policía en contra de las personas manifestantes y especialmente, contra NN. </w:t>
      </w:r>
    </w:p>
    <w:p w14:paraId="0000007C" w14:textId="44F52E32" w:rsidR="00C60456" w:rsidRPr="000231F9" w:rsidRDefault="0007730F">
      <w:pPr>
        <w:spacing w:before="200" w:line="360" w:lineRule="auto"/>
        <w:jc w:val="both"/>
        <w:rPr>
          <w:sz w:val="24"/>
          <w:szCs w:val="24"/>
          <w:lang w:val="es-AR"/>
        </w:rPr>
      </w:pPr>
      <w:r w:rsidRPr="000231F9">
        <w:rPr>
          <w:sz w:val="24"/>
          <w:szCs w:val="24"/>
          <w:lang w:val="es-AR"/>
        </w:rPr>
        <w:t>Particularmente en los estallidos sociales de septiembre de 2019 y el 28 de abril de 2021 ha sido evidente la violencia ejercida por el Estado colombiano, particularmente el Escuadrón Móvil AntiDisturbios (ESMAD) de la Policía, en el marco de las manifestaciones sociales. Dentro de los hechos de violencia, se han documentado asesinatos, mutilaciones, agresiones físicas, violencia sexual, detenciones arbitrarias, estigmatización y criminalización, entre otros. Estos graves hechos fueron reportados por organizaciones internacionales de derechos humanos, las Naciones Unidas</w:t>
      </w:r>
      <w:r>
        <w:rPr>
          <w:sz w:val="24"/>
          <w:szCs w:val="24"/>
          <w:vertAlign w:val="superscript"/>
        </w:rPr>
        <w:footnoteReference w:id="54"/>
      </w:r>
      <w:r w:rsidR="000231F9">
        <w:rPr>
          <w:sz w:val="24"/>
          <w:szCs w:val="24"/>
          <w:lang w:val="es-AR"/>
        </w:rPr>
        <w:t>,</w:t>
      </w:r>
      <w:r w:rsidRPr="000231F9">
        <w:rPr>
          <w:sz w:val="24"/>
          <w:szCs w:val="24"/>
          <w:lang w:val="es-AR"/>
        </w:rPr>
        <w:t xml:space="preserve"> y la Comisión Interamericana de Derechos Humanos</w:t>
      </w:r>
      <w:r>
        <w:rPr>
          <w:sz w:val="24"/>
          <w:szCs w:val="24"/>
          <w:vertAlign w:val="superscript"/>
        </w:rPr>
        <w:footnoteReference w:id="55"/>
      </w:r>
      <w:r w:rsidR="000231F9">
        <w:rPr>
          <w:sz w:val="24"/>
          <w:szCs w:val="24"/>
          <w:lang w:val="es-AR"/>
        </w:rPr>
        <w:t>.</w:t>
      </w:r>
      <w:r w:rsidRPr="000231F9">
        <w:rPr>
          <w:sz w:val="24"/>
          <w:szCs w:val="24"/>
          <w:lang w:val="es-AR"/>
        </w:rPr>
        <w:t xml:space="preserve"> Además, se presentaron casos de uso de armas de fuego por parte de civiles sin la intervención de la policía para impedirlo.</w:t>
      </w:r>
    </w:p>
    <w:p w14:paraId="0000007D" w14:textId="77777777" w:rsidR="00C60456" w:rsidRPr="000231F9" w:rsidRDefault="0007730F">
      <w:pPr>
        <w:spacing w:before="200" w:line="360" w:lineRule="auto"/>
        <w:jc w:val="both"/>
        <w:rPr>
          <w:sz w:val="24"/>
          <w:szCs w:val="24"/>
          <w:lang w:val="es-AR"/>
        </w:rPr>
      </w:pPr>
      <w:r w:rsidRPr="000231F9">
        <w:rPr>
          <w:sz w:val="24"/>
          <w:szCs w:val="24"/>
          <w:lang w:val="es-AR"/>
        </w:rPr>
        <w:t>Uno de los aspectos más lamentables y que no ha sido registrado de manera diferencial fue la violencia ejercida en el 2021 por parte del ESMAD en perjuicio de NNA:</w:t>
      </w:r>
    </w:p>
    <w:p w14:paraId="369B6D0F" w14:textId="77777777" w:rsidR="000231F9" w:rsidRDefault="0007730F" w:rsidP="000231F9">
      <w:pPr>
        <w:spacing w:after="200" w:line="360" w:lineRule="auto"/>
        <w:ind w:left="720"/>
        <w:jc w:val="both"/>
        <w:rPr>
          <w:sz w:val="24"/>
          <w:szCs w:val="24"/>
          <w:lang w:val="es-AR"/>
        </w:rPr>
      </w:pPr>
      <w:r w:rsidRPr="000231F9">
        <w:rPr>
          <w:sz w:val="24"/>
          <w:szCs w:val="24"/>
          <w:lang w:val="es-AR"/>
        </w:rPr>
        <w:t xml:space="preserve">“(…) </w:t>
      </w:r>
      <w:r w:rsidRPr="000231F9">
        <w:rPr>
          <w:lang w:val="es-AR"/>
        </w:rPr>
        <w:t xml:space="preserve">de los 86 asesinatos documentados, el 4,65% fueron cometidos contra NNA; de las 3.473 personas detenidas hasta el mes de agosto en movilizaciones enmarcadas en el paro, 216, es decir, el 6,21% son NNA; en cuanto a las 77 VBG registradas, 3.89% fueron cometidas contra NNA. Estas cifras demuestran que las vulneraciones hacia este sector de la población no son escasas, al contrario, muestra una frecuencia considerable de estos hechos agravados que van en contra de la normatividad nacional e internacional sobre las actuaciones en el uso de la fuerza por parte de la Fuerza Pública. Adicionalmente, de las 1.632 denuncias recibidas por abuso de poder y violencia policial </w:t>
      </w:r>
      <w:r w:rsidRPr="000231F9">
        <w:rPr>
          <w:lang w:val="es-AR"/>
        </w:rPr>
        <w:lastRenderedPageBreak/>
        <w:t>en las protestas, el 9,37% corresponden a situaciones de violencia indiscriminada contra la población, entre la cual se encontraban NNA y en las cuales pudieron ser parte de las personas afectadas sin individualizar</w:t>
      </w:r>
      <w:r w:rsidRPr="000231F9">
        <w:rPr>
          <w:sz w:val="24"/>
          <w:szCs w:val="24"/>
          <w:lang w:val="es-AR"/>
        </w:rPr>
        <w:t>”</w:t>
      </w:r>
      <w:r>
        <w:rPr>
          <w:sz w:val="24"/>
          <w:szCs w:val="24"/>
          <w:vertAlign w:val="superscript"/>
        </w:rPr>
        <w:footnoteReference w:id="56"/>
      </w:r>
      <w:r w:rsidR="000231F9">
        <w:rPr>
          <w:sz w:val="24"/>
          <w:szCs w:val="24"/>
          <w:lang w:val="es-AR"/>
        </w:rPr>
        <w:t>.</w:t>
      </w:r>
    </w:p>
    <w:p w14:paraId="0000007F" w14:textId="10375A9A" w:rsidR="00C60456" w:rsidRPr="000231F9" w:rsidRDefault="0007730F" w:rsidP="000231F9">
      <w:pPr>
        <w:spacing w:after="200" w:line="360" w:lineRule="auto"/>
        <w:jc w:val="both"/>
        <w:rPr>
          <w:sz w:val="24"/>
          <w:szCs w:val="24"/>
          <w:lang w:val="es-AR"/>
        </w:rPr>
      </w:pPr>
      <w:r w:rsidRPr="000231F9">
        <w:rPr>
          <w:sz w:val="24"/>
          <w:szCs w:val="24"/>
          <w:lang w:val="es-AR"/>
        </w:rPr>
        <w:t>A pesar de esta situación, el discurso público nunca mencionó la participación de NN como participantes en las manifestaciones, lo cual tiene consecuencias graves, como la no implementación de la protección integral y del interés superior de las NN al accionar el uso de la fuerza en contra de manifestantes y no manifestantes.</w:t>
      </w:r>
    </w:p>
    <w:p w14:paraId="00000080" w14:textId="77777777" w:rsidR="00C60456" w:rsidRPr="000231F9" w:rsidRDefault="0007730F">
      <w:pPr>
        <w:spacing w:after="200" w:line="360" w:lineRule="auto"/>
        <w:jc w:val="both"/>
        <w:rPr>
          <w:sz w:val="24"/>
          <w:szCs w:val="24"/>
          <w:lang w:val="es-AR"/>
        </w:rPr>
      </w:pPr>
      <w:r w:rsidRPr="000231F9">
        <w:rPr>
          <w:sz w:val="24"/>
          <w:szCs w:val="24"/>
          <w:lang w:val="es-AR"/>
        </w:rPr>
        <w:t xml:space="preserve">Si bien, estas situaciones no se han presentado con el actual gobierno, se requiere de instrucciones institucionales claras de proteger y garantizar los derechos de las NN que participan en eventos de manifestación social asegurando la aplicación del interés superior de la niñez y adolescencia ante cualquier sugerencia de uso de la fuerza por parte de la fuerza pública. </w:t>
      </w:r>
    </w:p>
    <w:p w14:paraId="00000081" w14:textId="77777777" w:rsidR="00C60456" w:rsidRDefault="0007730F">
      <w:pPr>
        <w:spacing w:line="360" w:lineRule="auto"/>
        <w:ind w:left="720"/>
        <w:jc w:val="both"/>
        <w:rPr>
          <w:rFonts w:ascii="Times New Roman" w:eastAsia="Times New Roman" w:hAnsi="Times New Roman" w:cs="Times New Roman"/>
          <w:sz w:val="24"/>
          <w:szCs w:val="24"/>
        </w:rPr>
      </w:pPr>
      <w:r>
        <w:rPr>
          <w:sz w:val="24"/>
          <w:szCs w:val="24"/>
          <w:u w:val="single"/>
        </w:rPr>
        <w:t>Recomendaciones:</w:t>
      </w:r>
    </w:p>
    <w:p w14:paraId="00000082" w14:textId="77777777" w:rsidR="00C60456" w:rsidRDefault="0007730F">
      <w:pPr>
        <w:spacing w:line="360" w:lineRule="auto"/>
        <w:jc w:val="both"/>
        <w:rPr>
          <w:rFonts w:ascii="Times New Roman" w:eastAsia="Times New Roman" w:hAnsi="Times New Roman" w:cs="Times New Roman"/>
          <w:sz w:val="14"/>
          <w:szCs w:val="14"/>
        </w:rPr>
      </w:pPr>
      <w:r>
        <w:rPr>
          <w:rFonts w:ascii="Times New Roman" w:eastAsia="Times New Roman" w:hAnsi="Times New Roman" w:cs="Times New Roman"/>
          <w:sz w:val="14"/>
          <w:szCs w:val="14"/>
        </w:rPr>
        <w:t xml:space="preserve">  </w:t>
      </w:r>
    </w:p>
    <w:p w14:paraId="00000083" w14:textId="77777777" w:rsidR="00C60456" w:rsidRPr="00535C03" w:rsidRDefault="0007730F" w:rsidP="000C2130">
      <w:pPr>
        <w:pStyle w:val="ListParagraph"/>
        <w:numPr>
          <w:ilvl w:val="0"/>
          <w:numId w:val="4"/>
        </w:numPr>
        <w:spacing w:before="200" w:line="360" w:lineRule="auto"/>
        <w:ind w:left="709"/>
        <w:jc w:val="both"/>
        <w:rPr>
          <w:lang w:val="es-CO"/>
        </w:rPr>
      </w:pPr>
      <w:r w:rsidRPr="00535C03">
        <w:rPr>
          <w:sz w:val="24"/>
          <w:szCs w:val="24"/>
          <w:u w:val="single"/>
          <w:lang w:val="es-CO"/>
        </w:rPr>
        <w:t xml:space="preserve">Se inste al Estado a: </w:t>
      </w:r>
    </w:p>
    <w:p w14:paraId="00000084" w14:textId="5F33BDB6" w:rsidR="00C60456" w:rsidRPr="000231F9" w:rsidRDefault="003D09F6">
      <w:pPr>
        <w:spacing w:before="200" w:line="360" w:lineRule="auto"/>
        <w:ind w:left="720"/>
        <w:jc w:val="both"/>
        <w:rPr>
          <w:sz w:val="24"/>
          <w:szCs w:val="24"/>
          <w:lang w:val="es-AR"/>
        </w:rPr>
      </w:pPr>
      <w:r>
        <w:rPr>
          <w:sz w:val="24"/>
          <w:szCs w:val="24"/>
          <w:lang w:val="es-AR"/>
        </w:rPr>
        <w:t>9</w:t>
      </w:r>
      <w:r w:rsidRPr="000231F9">
        <w:rPr>
          <w:sz w:val="24"/>
          <w:szCs w:val="24"/>
          <w:lang w:val="es-AR"/>
        </w:rPr>
        <w:t>.1. Reconocer la participación de niños, niñas y adolescentes en actividades de protesta en el marco de su derecho humano a la asociación y las manifestaciones pacíficas</w:t>
      </w:r>
    </w:p>
    <w:p w14:paraId="00000085" w14:textId="62CC2D92" w:rsidR="00C60456" w:rsidRPr="000231F9" w:rsidRDefault="003D09F6">
      <w:pPr>
        <w:spacing w:before="200" w:line="360" w:lineRule="auto"/>
        <w:ind w:left="720"/>
        <w:jc w:val="both"/>
        <w:rPr>
          <w:sz w:val="24"/>
          <w:szCs w:val="24"/>
          <w:lang w:val="es-AR"/>
        </w:rPr>
      </w:pPr>
      <w:r>
        <w:rPr>
          <w:sz w:val="24"/>
          <w:szCs w:val="24"/>
          <w:lang w:val="es-AR"/>
        </w:rPr>
        <w:t>9</w:t>
      </w:r>
      <w:r w:rsidRPr="000231F9">
        <w:rPr>
          <w:sz w:val="24"/>
          <w:szCs w:val="24"/>
          <w:lang w:val="es-AR"/>
        </w:rPr>
        <w:t>.2. Evitar el uso de la fuerza en manifestaciones públicas, especialmente cuando participan NNA. En caso de ser necesario, el Estado debe justificar exhaustivamente las razones para el uso de la fuerza.</w:t>
      </w:r>
    </w:p>
    <w:p w14:paraId="00000086" w14:textId="034C1541" w:rsidR="00C60456" w:rsidRPr="000231F9" w:rsidRDefault="003D09F6">
      <w:pPr>
        <w:spacing w:before="200" w:line="360" w:lineRule="auto"/>
        <w:ind w:left="720"/>
        <w:jc w:val="both"/>
        <w:rPr>
          <w:sz w:val="24"/>
          <w:szCs w:val="24"/>
          <w:lang w:val="es-AR"/>
        </w:rPr>
      </w:pPr>
      <w:r>
        <w:rPr>
          <w:sz w:val="24"/>
          <w:szCs w:val="24"/>
          <w:lang w:val="es-AR"/>
        </w:rPr>
        <w:t>9</w:t>
      </w:r>
      <w:r w:rsidRPr="000231F9">
        <w:rPr>
          <w:sz w:val="24"/>
          <w:szCs w:val="24"/>
          <w:lang w:val="es-AR"/>
        </w:rPr>
        <w:t>.3. Adoptar reglamentación y protocolos para la Policía Nacional con enfoque y participación de la niñez para garantizar su protección en las actividades de protesta pacífica.</w:t>
      </w:r>
    </w:p>
    <w:p w14:paraId="00000087" w14:textId="36B33194" w:rsidR="00C60456" w:rsidRPr="000231F9" w:rsidRDefault="003D09F6">
      <w:pPr>
        <w:spacing w:before="200" w:line="360" w:lineRule="auto"/>
        <w:ind w:left="720"/>
        <w:jc w:val="both"/>
        <w:rPr>
          <w:sz w:val="24"/>
          <w:szCs w:val="24"/>
          <w:lang w:val="es-AR"/>
        </w:rPr>
      </w:pPr>
      <w:r>
        <w:rPr>
          <w:sz w:val="24"/>
          <w:szCs w:val="24"/>
          <w:lang w:val="es-AR"/>
        </w:rPr>
        <w:lastRenderedPageBreak/>
        <w:t>9</w:t>
      </w:r>
      <w:r w:rsidRPr="000231F9">
        <w:rPr>
          <w:sz w:val="24"/>
          <w:szCs w:val="24"/>
          <w:lang w:val="es-AR"/>
        </w:rPr>
        <w:t xml:space="preserve">.4. Investigar con la debida diligencia y enfoques diferenciales las violencias ejercidas en contra de NNA en el marco de </w:t>
      </w:r>
      <w:r w:rsidR="000231F9" w:rsidRPr="000231F9">
        <w:rPr>
          <w:sz w:val="24"/>
          <w:szCs w:val="24"/>
          <w:lang w:val="es-AR"/>
        </w:rPr>
        <w:t>manifestaciones,</w:t>
      </w:r>
      <w:r w:rsidRPr="000231F9">
        <w:rPr>
          <w:sz w:val="24"/>
          <w:szCs w:val="24"/>
          <w:lang w:val="es-AR"/>
        </w:rPr>
        <w:t xml:space="preserve"> así como reparar integralmente a las víctimas, incluyendo un acto de disculpas </w:t>
      </w:r>
      <w:r w:rsidR="000231F9" w:rsidRPr="000231F9">
        <w:rPr>
          <w:sz w:val="24"/>
          <w:szCs w:val="24"/>
          <w:lang w:val="es-AR"/>
        </w:rPr>
        <w:t>públicas</w:t>
      </w:r>
      <w:r w:rsidRPr="000231F9">
        <w:rPr>
          <w:sz w:val="24"/>
          <w:szCs w:val="24"/>
          <w:lang w:val="es-AR"/>
        </w:rPr>
        <w:t xml:space="preserve"> por los hechos de violencia. </w:t>
      </w:r>
    </w:p>
    <w:p w14:paraId="00000088" w14:textId="7683F2F4" w:rsidR="00C60456" w:rsidRPr="000231F9" w:rsidRDefault="003D09F6">
      <w:pPr>
        <w:spacing w:before="200" w:line="360" w:lineRule="auto"/>
        <w:ind w:left="720"/>
        <w:jc w:val="both"/>
        <w:rPr>
          <w:sz w:val="24"/>
          <w:szCs w:val="24"/>
          <w:lang w:val="es-AR"/>
        </w:rPr>
      </w:pPr>
      <w:r>
        <w:rPr>
          <w:sz w:val="24"/>
          <w:szCs w:val="24"/>
          <w:lang w:val="es-AR"/>
        </w:rPr>
        <w:t>9</w:t>
      </w:r>
      <w:r w:rsidRPr="000231F9">
        <w:rPr>
          <w:sz w:val="24"/>
          <w:szCs w:val="24"/>
          <w:lang w:val="es-AR"/>
        </w:rPr>
        <w:t>.5. Cumplir con las recomendaciones emitidas por la Comisión Interamericana de Derechos Humanos luego de su visita de trabajo a Colombia en junio de 2021</w:t>
      </w:r>
      <w:r>
        <w:rPr>
          <w:sz w:val="24"/>
          <w:szCs w:val="24"/>
          <w:vertAlign w:val="superscript"/>
        </w:rPr>
        <w:footnoteReference w:id="57"/>
      </w:r>
      <w:r w:rsidRPr="000231F9">
        <w:rPr>
          <w:sz w:val="24"/>
          <w:szCs w:val="24"/>
          <w:lang w:val="es-AR"/>
        </w:rPr>
        <w:t xml:space="preserve"> respecto de las manifestaciones en el marco del paro nacional, incluyendo la separación de la Policía Nacional del Ministerio de Defensa.</w:t>
      </w:r>
    </w:p>
    <w:p w14:paraId="00000089" w14:textId="77777777" w:rsidR="00C60456" w:rsidRPr="000231F9" w:rsidRDefault="00C60456">
      <w:pPr>
        <w:spacing w:line="360" w:lineRule="auto"/>
        <w:jc w:val="both"/>
        <w:rPr>
          <w:sz w:val="24"/>
          <w:szCs w:val="24"/>
          <w:lang w:val="es-AR"/>
        </w:rPr>
      </w:pPr>
    </w:p>
    <w:p w14:paraId="0000008A" w14:textId="77777777" w:rsidR="00C60456" w:rsidRPr="000231F9" w:rsidRDefault="0007730F" w:rsidP="00924EFA">
      <w:pPr>
        <w:pStyle w:val="Heading1"/>
        <w:rPr>
          <w:lang w:val="es-AR"/>
        </w:rPr>
      </w:pPr>
      <w:bookmarkStart w:id="28" w:name="_Toc181285168"/>
      <w:bookmarkStart w:id="29" w:name="_Toc181286236"/>
      <w:r w:rsidRPr="000231F9">
        <w:rPr>
          <w:lang w:val="es-AR"/>
        </w:rPr>
        <w:t>CAPÍTULO 3. DERECHOS ECONÓMICOS, SOCIALES Y CULTURALES</w:t>
      </w:r>
      <w:bookmarkEnd w:id="28"/>
      <w:bookmarkEnd w:id="29"/>
    </w:p>
    <w:p w14:paraId="0000008B" w14:textId="77777777" w:rsidR="00C60456" w:rsidRPr="000231F9" w:rsidRDefault="0007730F">
      <w:pPr>
        <w:spacing w:line="360" w:lineRule="auto"/>
        <w:jc w:val="both"/>
        <w:rPr>
          <w:sz w:val="24"/>
          <w:szCs w:val="24"/>
          <w:lang w:val="es-AR"/>
        </w:rPr>
      </w:pPr>
      <w:r w:rsidRPr="000231F9">
        <w:rPr>
          <w:sz w:val="24"/>
          <w:szCs w:val="24"/>
          <w:lang w:val="es-AR"/>
        </w:rPr>
        <w:t>En este capítulo, se presentan las situaciones de ciertos derechos económicos, sociales, culturales y ambientales que afectan especialmente a las NNA. En la CDN se hace expresa mención a ciertos derechos de esta naturaleza, incluyendo el derecho a la salud, alimentación adecuada, agua potable, cultura, medio ambiente sano, entre otros. Las organizaciones reconocemos la interdependencia, indivisibilidad y universalidad de los derechos humanos. Sin embargo, para efectos prácticos se ha decidido dividir este acápite para profundizar sobre la situación de tres derechos: alimentación adecuada, educación y comentarios sobre el caso de El Hatillo.</w:t>
      </w:r>
    </w:p>
    <w:p w14:paraId="0000008C" w14:textId="77777777" w:rsidR="00C60456" w:rsidRPr="000231F9" w:rsidRDefault="00C60456">
      <w:pPr>
        <w:spacing w:line="360" w:lineRule="auto"/>
        <w:jc w:val="both"/>
        <w:rPr>
          <w:sz w:val="24"/>
          <w:szCs w:val="24"/>
          <w:lang w:val="es-AR"/>
        </w:rPr>
      </w:pPr>
    </w:p>
    <w:p w14:paraId="0000008D" w14:textId="77777777" w:rsidR="00C60456" w:rsidRPr="000231F9" w:rsidRDefault="0007730F" w:rsidP="00924EFA">
      <w:pPr>
        <w:pStyle w:val="Heading2"/>
        <w:rPr>
          <w:lang w:val="es-AR"/>
        </w:rPr>
      </w:pPr>
      <w:bookmarkStart w:id="30" w:name="_Toc181285169"/>
      <w:bookmarkStart w:id="31" w:name="_Toc181286237"/>
      <w:r w:rsidRPr="000231F9">
        <w:rPr>
          <w:lang w:val="es-AR"/>
        </w:rPr>
        <w:t>3.1. El Estado no garantiza el derecho humano a alimentación y nutrición adecuadas (DHANA)</w:t>
      </w:r>
      <w:bookmarkEnd w:id="30"/>
      <w:bookmarkEnd w:id="31"/>
    </w:p>
    <w:p w14:paraId="0000008E" w14:textId="77777777" w:rsidR="00C60456" w:rsidRPr="000231F9" w:rsidRDefault="0007730F">
      <w:pPr>
        <w:spacing w:before="200" w:after="200" w:line="360" w:lineRule="auto"/>
        <w:jc w:val="both"/>
        <w:rPr>
          <w:sz w:val="24"/>
          <w:szCs w:val="24"/>
          <w:lang w:val="es-AR"/>
        </w:rPr>
      </w:pPr>
      <w:r w:rsidRPr="000231F9">
        <w:rPr>
          <w:sz w:val="24"/>
          <w:szCs w:val="24"/>
          <w:lang w:val="es-AR"/>
        </w:rPr>
        <w:t>Colombia carece de una política pública alimentaria con enfoque del derecho humano a una alimentación adecuada (DHANA). La política formulada en 2008, cuyo enfoque era de seguridad alimentaria, caducó en 2019 y hasta el momento no ha surgido ninguna política nueva. Esta situación contradice lo establecido por el Comité en la recomendación 40.g de las Observaciones Finales del 2015.</w:t>
      </w:r>
    </w:p>
    <w:p w14:paraId="0000008F" w14:textId="700F0E6A" w:rsidR="00C60456" w:rsidRPr="000231F9" w:rsidRDefault="0007730F">
      <w:pPr>
        <w:spacing w:before="200" w:after="200" w:line="360" w:lineRule="auto"/>
        <w:jc w:val="both"/>
        <w:rPr>
          <w:rFonts w:ascii="Times New Roman" w:eastAsia="Times New Roman" w:hAnsi="Times New Roman" w:cs="Times New Roman"/>
          <w:sz w:val="24"/>
          <w:szCs w:val="24"/>
          <w:lang w:val="es-AR"/>
        </w:rPr>
      </w:pPr>
      <w:r w:rsidRPr="000231F9">
        <w:rPr>
          <w:sz w:val="24"/>
          <w:szCs w:val="24"/>
          <w:lang w:val="es-AR"/>
        </w:rPr>
        <w:lastRenderedPageBreak/>
        <w:t>Sobre la situación general, en el 2017, el Comité de Derechos Económicos, Sociales y Culturales manifestó a Colombia su preocupación por la desigualdad en materia del DHANA en determinadas regiones del país y el crecimiento del aumento de peso y obesidad. Adicionalmente, manifestó la falta de apoyo para la población campesina y agricultora</w:t>
      </w:r>
      <w:r>
        <w:rPr>
          <w:sz w:val="24"/>
          <w:szCs w:val="24"/>
          <w:vertAlign w:val="superscript"/>
        </w:rPr>
        <w:footnoteReference w:id="58"/>
      </w:r>
      <w:r w:rsidRPr="000231F9">
        <w:rPr>
          <w:sz w:val="24"/>
          <w:szCs w:val="24"/>
          <w:lang w:val="es-AR"/>
        </w:rPr>
        <w:t>. Eso se tradujo en una recomendación al Estado colombiano relacionada con la formulación de una estrategia nacional integral para la protección y promoción del DHANA para superar la inseguridad alimentaria en todo el territorio colombiano, redoblar esfuerzos para mejorar la productividad de los pequeños agricultores y la intensificación de esfuerzos para reducir el impacto del cambio climático, entre otras</w:t>
      </w:r>
      <w:r>
        <w:rPr>
          <w:sz w:val="24"/>
          <w:szCs w:val="24"/>
          <w:vertAlign w:val="superscript"/>
        </w:rPr>
        <w:footnoteReference w:id="59"/>
      </w:r>
      <w:r w:rsidR="000231F9">
        <w:rPr>
          <w:sz w:val="24"/>
          <w:szCs w:val="24"/>
          <w:lang w:val="es-AR"/>
        </w:rPr>
        <w:t>.</w:t>
      </w:r>
    </w:p>
    <w:p w14:paraId="00000090" w14:textId="482F3D50" w:rsidR="00C60456" w:rsidRPr="000231F9" w:rsidRDefault="0007730F">
      <w:pPr>
        <w:spacing w:after="200" w:line="360" w:lineRule="auto"/>
        <w:jc w:val="both"/>
        <w:rPr>
          <w:sz w:val="24"/>
          <w:szCs w:val="24"/>
          <w:lang w:val="es-AR"/>
        </w:rPr>
      </w:pPr>
      <w:r w:rsidRPr="000231F9">
        <w:rPr>
          <w:sz w:val="24"/>
          <w:szCs w:val="24"/>
          <w:lang w:val="es-AR"/>
        </w:rPr>
        <w:t>Otro asunto asociado con la política pública alimentaria, son las graves deficiencias del Programa de Alimentación Escolar (PAE), el cual no ha sido concebido como una acción dirigida a garantizar el DHANA sino a la permanencia escolar. El programa ha recibido muchas críticas debido a la i) sistemática corrupción asociada especialmente a la contratación de los operadores locales, los costos de los alimentos entregados, las raciones finalmente distribuidas, entre otros; ii) insuficiente e inconstante cobertura;</w:t>
      </w:r>
      <w:r>
        <w:rPr>
          <w:sz w:val="24"/>
          <w:szCs w:val="24"/>
          <w:vertAlign w:val="superscript"/>
        </w:rPr>
        <w:footnoteReference w:id="60"/>
      </w:r>
      <w:r w:rsidRPr="000231F9">
        <w:rPr>
          <w:sz w:val="24"/>
          <w:szCs w:val="24"/>
          <w:lang w:val="es-AR"/>
        </w:rPr>
        <w:t xml:space="preserve"> iii) falta de pertinencia cultural de los alimentos distribuidos; iv) amplia entrega de productos comestibles y bebibles ultraprocesados (PCBUs) bajo una modalidad llamada “ración industrializada”, lo que sin duda es una violación del derecho humano a la alimentación</w:t>
      </w:r>
      <w:r>
        <w:rPr>
          <w:sz w:val="24"/>
          <w:szCs w:val="24"/>
          <w:vertAlign w:val="superscript"/>
        </w:rPr>
        <w:footnoteReference w:id="61"/>
      </w:r>
      <w:r w:rsidR="000231F9">
        <w:rPr>
          <w:sz w:val="24"/>
          <w:szCs w:val="24"/>
          <w:lang w:val="es-AR"/>
        </w:rPr>
        <w:t>,</w:t>
      </w:r>
      <w:r w:rsidRPr="000231F9">
        <w:rPr>
          <w:sz w:val="24"/>
          <w:szCs w:val="24"/>
          <w:lang w:val="es-AR"/>
        </w:rPr>
        <w:t xml:space="preserve"> y, v) la propia ausencia de una política pública de alimentación escolar con enfoque en el DHANA.  Cabe resaltar que el actual gobierno en el Plan Nacional de Desarrollo (PND) ha expresado que buscará la cobertura universal del PAE</w:t>
      </w:r>
      <w:r>
        <w:rPr>
          <w:sz w:val="24"/>
          <w:szCs w:val="24"/>
          <w:vertAlign w:val="superscript"/>
        </w:rPr>
        <w:footnoteReference w:id="62"/>
      </w:r>
      <w:r w:rsidRPr="000231F9">
        <w:rPr>
          <w:sz w:val="24"/>
          <w:szCs w:val="24"/>
          <w:lang w:val="es-AR"/>
        </w:rPr>
        <w:t xml:space="preserve">, pero aún se desconoce qué </w:t>
      </w:r>
      <w:r w:rsidRPr="000231F9">
        <w:rPr>
          <w:sz w:val="24"/>
          <w:szCs w:val="24"/>
          <w:lang w:val="es-AR"/>
        </w:rPr>
        <w:lastRenderedPageBreak/>
        <w:t xml:space="preserve">tanto han sido resueltos los demás problemas arriba mencionados, especialmente la exposición de NN a los PCBUs en las raciones industrializadas.  </w:t>
      </w:r>
    </w:p>
    <w:p w14:paraId="00000091" w14:textId="77777777" w:rsidR="00C60456" w:rsidRPr="00C76D00" w:rsidRDefault="0007730F" w:rsidP="00924EFA">
      <w:pPr>
        <w:pStyle w:val="Heading3"/>
        <w:rPr>
          <w:lang w:val="es-AR"/>
        </w:rPr>
      </w:pPr>
      <w:bookmarkStart w:id="32" w:name="_Toc181285170"/>
      <w:bookmarkStart w:id="33" w:name="_Toc181286238"/>
      <w:r w:rsidRPr="00C76D00">
        <w:rPr>
          <w:lang w:val="es-AR"/>
        </w:rPr>
        <w:t>3.1.1. El Estado no cuenta con un sistema de monitoreo periódico para hacer seguimiento a la situación alimentaria</w:t>
      </w:r>
      <w:bookmarkEnd w:id="32"/>
      <w:bookmarkEnd w:id="33"/>
    </w:p>
    <w:p w14:paraId="00000093" w14:textId="65ECCC8B" w:rsidR="00C60456" w:rsidRPr="000231F9" w:rsidRDefault="0007730F" w:rsidP="00924EFA">
      <w:pPr>
        <w:spacing w:line="360" w:lineRule="auto"/>
        <w:jc w:val="both"/>
        <w:rPr>
          <w:sz w:val="24"/>
          <w:szCs w:val="24"/>
          <w:lang w:val="es-AR"/>
        </w:rPr>
      </w:pPr>
      <w:r w:rsidRPr="000231F9">
        <w:rPr>
          <w:sz w:val="24"/>
          <w:szCs w:val="24"/>
          <w:lang w:val="es-AR"/>
        </w:rPr>
        <w:t>Nos preocupa la inoperancia estatal para garantizar monitoreos profundos y de estricta periodicidad que permitan dar un adecuado seguimiento a la situación del DHANA del país. Los datos integrados oficiales más recientes corresponden a la Encuesta Nacional de la Situación Nutricional ENSIN 2015</w:t>
      </w:r>
      <w:r>
        <w:rPr>
          <w:sz w:val="24"/>
          <w:szCs w:val="24"/>
          <w:vertAlign w:val="superscript"/>
        </w:rPr>
        <w:footnoteReference w:id="63"/>
      </w:r>
      <w:r w:rsidR="000231F9">
        <w:rPr>
          <w:sz w:val="24"/>
          <w:szCs w:val="24"/>
          <w:lang w:val="es-AR"/>
        </w:rPr>
        <w:t>,</w:t>
      </w:r>
      <w:r w:rsidRPr="000231F9">
        <w:rPr>
          <w:sz w:val="24"/>
          <w:szCs w:val="24"/>
          <w:lang w:val="es-AR"/>
        </w:rPr>
        <w:t xml:space="preserve"> cuyos resultados se dieron a conocer apenas en 2018 y 2019.  Reci</w:t>
      </w:r>
      <w:r w:rsidRPr="000231F9">
        <w:rPr>
          <w:sz w:val="24"/>
          <w:szCs w:val="24"/>
          <w:highlight w:val="white"/>
          <w:lang w:val="es-AR"/>
        </w:rPr>
        <w:t>é</w:t>
      </w:r>
      <w:r w:rsidRPr="000231F9">
        <w:rPr>
          <w:sz w:val="24"/>
          <w:szCs w:val="24"/>
          <w:lang w:val="es-AR"/>
        </w:rPr>
        <w:t>n con el nuevo PND (artículo 215), se planteó la puesta en marcha de un Sistema Nacional de Seguimiento y Monitoreo para la Superación de la Malnutrición</w:t>
      </w:r>
      <w:r>
        <w:rPr>
          <w:sz w:val="24"/>
          <w:szCs w:val="24"/>
          <w:vertAlign w:val="superscript"/>
        </w:rPr>
        <w:footnoteReference w:id="64"/>
      </w:r>
      <w:r w:rsidRPr="000231F9">
        <w:rPr>
          <w:sz w:val="24"/>
          <w:szCs w:val="24"/>
          <w:lang w:val="es-AR"/>
        </w:rPr>
        <w:t xml:space="preserve"> en la que se priorizará el seguimiento de NN. Infortunadamente, la ENSIN sigue sin llevarse a cabo en el país. </w:t>
      </w:r>
    </w:p>
    <w:p w14:paraId="00000094" w14:textId="77777777" w:rsidR="00C60456" w:rsidRPr="00C76D00" w:rsidRDefault="0007730F" w:rsidP="00924EFA">
      <w:pPr>
        <w:pStyle w:val="Heading3"/>
        <w:rPr>
          <w:lang w:val="es-AR"/>
        </w:rPr>
      </w:pPr>
      <w:bookmarkStart w:id="34" w:name="_Toc181285171"/>
      <w:bookmarkStart w:id="35" w:name="_Toc181286239"/>
      <w:r w:rsidRPr="00C76D00">
        <w:rPr>
          <w:lang w:val="es-AR"/>
        </w:rPr>
        <w:t>3.1.2.  Inseguridad alimentaria</w:t>
      </w:r>
      <w:bookmarkEnd w:id="34"/>
      <w:bookmarkEnd w:id="35"/>
    </w:p>
    <w:p w14:paraId="00000095" w14:textId="3C410407" w:rsidR="00C60456" w:rsidRPr="000231F9" w:rsidRDefault="0007730F">
      <w:pPr>
        <w:spacing w:line="360" w:lineRule="auto"/>
        <w:jc w:val="both"/>
        <w:rPr>
          <w:sz w:val="24"/>
          <w:szCs w:val="24"/>
          <w:lang w:val="es-AR"/>
        </w:rPr>
      </w:pPr>
      <w:r w:rsidRPr="000231F9">
        <w:rPr>
          <w:sz w:val="24"/>
          <w:szCs w:val="24"/>
          <w:lang w:val="es-AR"/>
        </w:rPr>
        <w:t>Con la información recolectada en 2015, se reportó que el 54,2% de los hogares colombianos padecen inseguridad alimentaria. Esta violación de DHANA se traduce en varios impactos sobre la nutrición y salud de NNA. En el caso del retraso del crecimiento de niñas y niños entre los 0 y 4 años, la prevalencia a nivel nacional es del 10,8%, siendo mayor en las NN de las zonas rurales, indígenas y pertenecientes al índice de riqueza más bajo (IRMB). Cabe recordar que el retraso en talla es una expresión de la desnutrición crónica y denota periodos largos de privación alimentaria. Un informe más reciente del Programa Mundial de Alimentos (2024) indica que la inseguridad alimentaria severa, moderada y marginal, afectó en conjunto en 2023 al 76% de los hogares colombianos</w:t>
      </w:r>
      <w:r>
        <w:rPr>
          <w:sz w:val="24"/>
          <w:szCs w:val="24"/>
          <w:vertAlign w:val="superscript"/>
        </w:rPr>
        <w:footnoteReference w:id="65"/>
      </w:r>
      <w:r w:rsidR="000231F9">
        <w:rPr>
          <w:sz w:val="24"/>
          <w:szCs w:val="24"/>
          <w:lang w:val="es-AR"/>
        </w:rPr>
        <w:t>.</w:t>
      </w:r>
    </w:p>
    <w:p w14:paraId="00000096" w14:textId="77777777" w:rsidR="00C60456" w:rsidRPr="000231F9" w:rsidRDefault="0007730F">
      <w:pPr>
        <w:spacing w:line="360" w:lineRule="auto"/>
        <w:jc w:val="both"/>
        <w:rPr>
          <w:sz w:val="24"/>
          <w:szCs w:val="24"/>
          <w:lang w:val="es-AR"/>
        </w:rPr>
      </w:pPr>
      <w:r w:rsidRPr="000231F9">
        <w:rPr>
          <w:sz w:val="24"/>
          <w:szCs w:val="24"/>
          <w:lang w:val="es-AR"/>
        </w:rPr>
        <w:lastRenderedPageBreak/>
        <w:t>En cuanto a la mortalidad por desnutrición, en 2023 fallecieron por desnutrición 244 niñas y niños y en 2024 ya iban 12 casos confirmados en niñas y niños menores de cinco años a la altura de la cuarta semana epidemiológica, r</w:t>
      </w:r>
      <w:r w:rsidRPr="000231F9">
        <w:rPr>
          <w:rFonts w:ascii="Roboto" w:eastAsia="Roboto" w:hAnsi="Roboto" w:cs="Roboto"/>
          <w:color w:val="212529"/>
          <w:sz w:val="24"/>
          <w:szCs w:val="24"/>
          <w:lang w:val="es-AR"/>
        </w:rPr>
        <w:t>egistrando el mayor número en Chocó (4), La Guajira (2) y Risaralda (2)</w:t>
      </w:r>
      <w:r>
        <w:rPr>
          <w:sz w:val="24"/>
          <w:szCs w:val="24"/>
          <w:vertAlign w:val="superscript"/>
        </w:rPr>
        <w:footnoteReference w:id="66"/>
      </w:r>
      <w:r w:rsidRPr="000231F9">
        <w:rPr>
          <w:sz w:val="24"/>
          <w:szCs w:val="24"/>
          <w:lang w:val="es-AR"/>
        </w:rPr>
        <w:t>. En 2023 el departamento más afectado fue La Guajira, justo el territorio donde se ha concentrado la acción estatal a través de la “Estrategia Ni 1+”, la cual solo fue implementada luego que la grave situación de hambre fuera objeto de medidas cautelares por parte de la CIDH en 2015,</w:t>
      </w:r>
      <w:r>
        <w:rPr>
          <w:sz w:val="24"/>
          <w:szCs w:val="24"/>
          <w:vertAlign w:val="superscript"/>
        </w:rPr>
        <w:footnoteReference w:id="67"/>
      </w:r>
      <w:r w:rsidRPr="000231F9">
        <w:rPr>
          <w:sz w:val="24"/>
          <w:szCs w:val="24"/>
          <w:lang w:val="es-AR"/>
        </w:rPr>
        <w:t xml:space="preserve"> ampliadas en 2017 para el caso de las mujeres gestantes y lactantes con grave situación de desnutrición,</w:t>
      </w:r>
      <w:r>
        <w:rPr>
          <w:sz w:val="24"/>
          <w:szCs w:val="24"/>
          <w:vertAlign w:val="superscript"/>
        </w:rPr>
        <w:footnoteReference w:id="68"/>
      </w:r>
      <w:r w:rsidRPr="000231F9">
        <w:rPr>
          <w:sz w:val="24"/>
          <w:szCs w:val="24"/>
          <w:lang w:val="es-AR"/>
        </w:rPr>
        <w:t xml:space="preserve"> y de una declaratoria de Estado de Cosas Inconstitucional en 2017 por parte de la Corte Constitucional,</w:t>
      </w:r>
      <w:r>
        <w:rPr>
          <w:sz w:val="24"/>
          <w:szCs w:val="24"/>
          <w:vertAlign w:val="superscript"/>
        </w:rPr>
        <w:footnoteReference w:id="69"/>
      </w:r>
      <w:r w:rsidRPr="000231F9">
        <w:rPr>
          <w:sz w:val="24"/>
          <w:szCs w:val="24"/>
          <w:lang w:val="es-AR"/>
        </w:rPr>
        <w:t xml:space="preserve"> Esas decisiones de la Corte no han sido cumplidas a cabalidad</w:t>
      </w:r>
      <w:r>
        <w:rPr>
          <w:sz w:val="24"/>
          <w:szCs w:val="24"/>
          <w:vertAlign w:val="superscript"/>
        </w:rPr>
        <w:footnoteReference w:id="70"/>
      </w:r>
      <w:r w:rsidRPr="000231F9">
        <w:rPr>
          <w:sz w:val="24"/>
          <w:szCs w:val="24"/>
          <w:lang w:val="es-AR"/>
        </w:rPr>
        <w:t xml:space="preserve"> y la propia Corte ha declarado inconstitucional una medida de emergencia que buscaba facilitar transferencias no condicionadas para atender a las familias por la crisis de agua y alimentación</w:t>
      </w:r>
      <w:r>
        <w:rPr>
          <w:sz w:val="24"/>
          <w:szCs w:val="24"/>
          <w:vertAlign w:val="superscript"/>
        </w:rPr>
        <w:footnoteReference w:id="71"/>
      </w:r>
      <w:r w:rsidRPr="000231F9">
        <w:rPr>
          <w:sz w:val="24"/>
          <w:szCs w:val="24"/>
          <w:lang w:val="es-AR"/>
        </w:rPr>
        <w:t xml:space="preserve">. </w:t>
      </w:r>
    </w:p>
    <w:p w14:paraId="00000097" w14:textId="77777777" w:rsidR="00C60456" w:rsidRPr="000231F9" w:rsidRDefault="00C60456">
      <w:pPr>
        <w:spacing w:line="360" w:lineRule="auto"/>
        <w:jc w:val="both"/>
        <w:rPr>
          <w:sz w:val="24"/>
          <w:szCs w:val="24"/>
          <w:lang w:val="es-AR"/>
        </w:rPr>
      </w:pPr>
    </w:p>
    <w:p w14:paraId="00000098" w14:textId="3821BFD8" w:rsidR="00C60456" w:rsidRPr="000231F9" w:rsidRDefault="0007730F">
      <w:pPr>
        <w:spacing w:line="360" w:lineRule="auto"/>
        <w:jc w:val="both"/>
        <w:rPr>
          <w:sz w:val="24"/>
          <w:szCs w:val="24"/>
          <w:lang w:val="es-AR"/>
        </w:rPr>
      </w:pPr>
      <w:r w:rsidRPr="000231F9">
        <w:rPr>
          <w:sz w:val="24"/>
          <w:szCs w:val="24"/>
          <w:lang w:val="es-AR"/>
        </w:rPr>
        <w:t xml:space="preserve">Similar situación de hambre se aprecia en NN migrantes. Si tomamos el caso solo de los migrantes con vocación de permanencia, el 2,8% de NN menores de cinco años tienen </w:t>
      </w:r>
      <w:r w:rsidRPr="000231F9">
        <w:rPr>
          <w:sz w:val="24"/>
          <w:szCs w:val="24"/>
          <w:lang w:val="es-AR"/>
        </w:rPr>
        <w:lastRenderedPageBreak/>
        <w:t>desnutrición aguda, el 17,5% crónica, el 44% de NN entre los 0 y 59 meses padecen anemia</w:t>
      </w:r>
      <w:r>
        <w:rPr>
          <w:sz w:val="24"/>
          <w:szCs w:val="24"/>
          <w:vertAlign w:val="superscript"/>
        </w:rPr>
        <w:footnoteReference w:id="72"/>
      </w:r>
      <w:r w:rsidR="000231F9">
        <w:rPr>
          <w:sz w:val="24"/>
          <w:szCs w:val="24"/>
          <w:lang w:val="es-AR"/>
        </w:rPr>
        <w:t>.</w:t>
      </w:r>
    </w:p>
    <w:p w14:paraId="0000009A" w14:textId="6AFA891C" w:rsidR="00C60456" w:rsidRPr="00535C03" w:rsidRDefault="0007730F" w:rsidP="00924EFA">
      <w:pPr>
        <w:pStyle w:val="Heading3"/>
        <w:rPr>
          <w:lang w:val="es-CO"/>
        </w:rPr>
      </w:pPr>
      <w:bookmarkStart w:id="36" w:name="_Toc181285172"/>
      <w:bookmarkStart w:id="37" w:name="_Toc181286240"/>
      <w:r w:rsidRPr="00535C03">
        <w:rPr>
          <w:lang w:val="es-CO"/>
        </w:rPr>
        <w:t>3</w:t>
      </w:r>
      <w:r w:rsidR="00924EFA" w:rsidRPr="00535C03">
        <w:rPr>
          <w:lang w:val="es-CO"/>
        </w:rPr>
        <w:t>.</w:t>
      </w:r>
      <w:r w:rsidRPr="00535C03">
        <w:rPr>
          <w:lang w:val="es-CO"/>
        </w:rPr>
        <w:t>1.3. Malnutrición</w:t>
      </w:r>
      <w:bookmarkEnd w:id="36"/>
      <w:bookmarkEnd w:id="37"/>
    </w:p>
    <w:p w14:paraId="0000009B" w14:textId="3B17B3DA" w:rsidR="00C60456" w:rsidRPr="000231F9" w:rsidRDefault="0007730F">
      <w:pPr>
        <w:spacing w:line="360" w:lineRule="auto"/>
        <w:jc w:val="both"/>
        <w:rPr>
          <w:rFonts w:ascii="Calibri" w:eastAsia="Calibri" w:hAnsi="Calibri" w:cs="Calibri"/>
          <w:sz w:val="20"/>
          <w:szCs w:val="20"/>
          <w:lang w:val="es-AR"/>
        </w:rPr>
      </w:pPr>
      <w:r w:rsidRPr="000231F9">
        <w:rPr>
          <w:sz w:val="24"/>
          <w:szCs w:val="24"/>
          <w:lang w:val="es-AR"/>
        </w:rPr>
        <w:t>La malnutrición, expresada por ejemplo, en el exceso de peso, afecta al 6,4% de niñas y niños entre los 0 y 4 años. En cuanto a NN entre 5 y 12 años, uno de cada cuatro tiene sobrepeso; así mismo, el 17,9% de NNA entre 13 y 17 años presenta esta condición. Esta es una tendencia claramente creciente que supera las prevalencias del año 2005, cuando eran, respectivamente, del 14,4% y 12,5% Todos estos datos ascienden respecto a los años anteriores</w:t>
      </w:r>
      <w:r>
        <w:rPr>
          <w:sz w:val="24"/>
          <w:szCs w:val="24"/>
          <w:vertAlign w:val="superscript"/>
        </w:rPr>
        <w:footnoteReference w:id="73"/>
      </w:r>
      <w:r w:rsidR="000231F9">
        <w:rPr>
          <w:sz w:val="24"/>
          <w:szCs w:val="24"/>
          <w:lang w:val="es-AR"/>
        </w:rPr>
        <w:t>,</w:t>
      </w:r>
      <w:r w:rsidRPr="000231F9">
        <w:rPr>
          <w:sz w:val="24"/>
          <w:szCs w:val="24"/>
          <w:lang w:val="es-AR"/>
        </w:rPr>
        <w:t xml:space="preserve"> y debe recordarse que el exceso de peso está asociado con la aparición de enfermedades crónicas no transmisibles, que son el principal problema de salud pública en Colombia y el mundo. Para el caso de NN migrantes, tomando el caso aquellas familias con vocación de permanencia, el 14,5% de NN entre 24 y 59 meses están con obesidad, sobrepeso o riesgo de sobrepeso, cifra que aumenta al 24,2% si son NN entre 0 y 23 meses</w:t>
      </w:r>
      <w:r>
        <w:rPr>
          <w:sz w:val="24"/>
          <w:szCs w:val="24"/>
          <w:vertAlign w:val="superscript"/>
        </w:rPr>
        <w:footnoteReference w:id="74"/>
      </w:r>
      <w:r w:rsidR="000231F9">
        <w:rPr>
          <w:sz w:val="24"/>
          <w:szCs w:val="24"/>
          <w:lang w:val="es-AR"/>
        </w:rPr>
        <w:t>.</w:t>
      </w:r>
    </w:p>
    <w:p w14:paraId="0000009C" w14:textId="77777777" w:rsidR="00C60456" w:rsidRPr="000231F9" w:rsidRDefault="0007730F">
      <w:pPr>
        <w:spacing w:before="240" w:after="240" w:line="360" w:lineRule="auto"/>
        <w:jc w:val="both"/>
        <w:rPr>
          <w:sz w:val="24"/>
          <w:szCs w:val="24"/>
          <w:lang w:val="es-AR"/>
        </w:rPr>
      </w:pPr>
      <w:r w:rsidRPr="000231F9">
        <w:rPr>
          <w:sz w:val="24"/>
          <w:szCs w:val="24"/>
          <w:lang w:val="es-AR"/>
        </w:rPr>
        <w:t xml:space="preserve">Una de las formas para poder combatir la malnutrición se encuentra en la regulación de la publicidad, promoción y consumo de los PCBUs, los cuales contienen cantidades excesivas de nutrientes críticos (azúcares añadidos o sucedáneos, sodio, grasas saturadas y trans), además de un indeterminado número de preservantes, colorantes y demás aditamentos de cuya inocuidad no hay certeza científica. La publicidad de los PCBUs se dirige preferentemente a la población infantil y adolescente, con el fin de consolidar procesos de adicción a esos productos nocivos y acrecentar el lucro empresarial. Esa publicidad, incluyendo la omnipresente publicidad digital, agrede a NNA tanto en el ámbito privado como en el público sin el más mínimo control por parte del Estado, lo que evidencia un favorecimiento a las actividades empresariales en perjuicio de las NNA. Esto es facilitado por la captura corporativa y la interferencia de la industria, </w:t>
      </w:r>
      <w:r w:rsidRPr="000231F9">
        <w:rPr>
          <w:sz w:val="24"/>
          <w:szCs w:val="24"/>
          <w:lang w:val="es-AR"/>
        </w:rPr>
        <w:lastRenderedPageBreak/>
        <w:t xml:space="preserve">algo ampliamente evidenciado en los ataques previos y posteriores a la Ley 2120 de 2021 (Ley de etiquetado para advertir sobre los riesgos a la salud de los PCBUs) y a los impuestos a esos productos aprobados en la reforma tributaria más reciente.  </w:t>
      </w:r>
    </w:p>
    <w:p w14:paraId="0000009E" w14:textId="483FAF0B" w:rsidR="00C60456" w:rsidRPr="000231F9" w:rsidRDefault="0007730F" w:rsidP="00924EFA">
      <w:pPr>
        <w:spacing w:line="360" w:lineRule="auto"/>
        <w:jc w:val="both"/>
        <w:rPr>
          <w:sz w:val="24"/>
          <w:szCs w:val="24"/>
          <w:lang w:val="es-AR"/>
        </w:rPr>
      </w:pPr>
      <w:r w:rsidRPr="000231F9">
        <w:rPr>
          <w:sz w:val="24"/>
          <w:szCs w:val="24"/>
          <w:lang w:val="es-AR"/>
        </w:rPr>
        <w:t xml:space="preserve">El Estado aún no ha dado el seguimiento adecuado a esas acciones, ni orientado pedagógicamente a la población sobre su importancia, ni ampliado las medidas que se requieren para detener las continuas vulneraciones que sobre el derecho a la alimentación y la salud hacen las empresas. Entre esas medidas urgentes se destaca la necesidad de regular la publicidad de estos productos dirigida a NN; asegurar que todos los centros educativos del país tengan ambientes alimentarios adecuados libre de esos productos y su publicidad; y, asegurar que en la asistencia alimentaria pública y privada, incluyendo los bancos de alimentos, no se permita la entrega de PCBUs o se vulnere el DHANA de NNA aprovechando su situación de riesgo. </w:t>
      </w:r>
    </w:p>
    <w:p w14:paraId="0000009F" w14:textId="77777777" w:rsidR="00C60456" w:rsidRPr="00C76D00" w:rsidRDefault="0007730F" w:rsidP="00924EFA">
      <w:pPr>
        <w:pStyle w:val="Heading3"/>
        <w:rPr>
          <w:rStyle w:val="SubtleEmphasis"/>
          <w:i/>
          <w:iCs w:val="0"/>
          <w:color w:val="365F91" w:themeColor="accent1" w:themeShade="BF"/>
          <w:lang w:val="es-AR"/>
        </w:rPr>
      </w:pPr>
      <w:bookmarkStart w:id="38" w:name="_Toc181285173"/>
      <w:bookmarkStart w:id="39" w:name="_Toc181286241"/>
      <w:r w:rsidRPr="00C76D00">
        <w:rPr>
          <w:rStyle w:val="SubtleEmphasis"/>
          <w:i/>
          <w:iCs w:val="0"/>
          <w:color w:val="365F91" w:themeColor="accent1" w:themeShade="BF"/>
          <w:lang w:val="es-AR"/>
        </w:rPr>
        <w:t>3.1.4.  Lactancia materna</w:t>
      </w:r>
      <w:bookmarkEnd w:id="38"/>
      <w:bookmarkEnd w:id="39"/>
    </w:p>
    <w:p w14:paraId="000000A0" w14:textId="2CD8F54C" w:rsidR="00C60456" w:rsidRPr="000231F9" w:rsidRDefault="0007730F">
      <w:pPr>
        <w:spacing w:line="360" w:lineRule="auto"/>
        <w:jc w:val="both"/>
        <w:rPr>
          <w:sz w:val="40"/>
          <w:szCs w:val="40"/>
          <w:vertAlign w:val="superscript"/>
          <w:lang w:val="es-AR"/>
        </w:rPr>
      </w:pPr>
      <w:r w:rsidRPr="000231F9">
        <w:rPr>
          <w:sz w:val="24"/>
          <w:szCs w:val="24"/>
          <w:lang w:val="es-AR"/>
        </w:rPr>
        <w:t>Este Comité recomendó expresamente al Estado Colombiano el fortalecimiento de las iniciativas de promoción de la lactancia materna mediante “campañas educativas y la formación de los profesionales, y ejecute adecuadamente el Código Internacional de Comercialización de Sucedáneos de la Leche Materna y el programa hospitales "amigos de los niños"</w:t>
      </w:r>
      <w:r>
        <w:rPr>
          <w:sz w:val="24"/>
          <w:szCs w:val="24"/>
          <w:vertAlign w:val="superscript"/>
        </w:rPr>
        <w:footnoteReference w:id="75"/>
      </w:r>
      <w:r w:rsidR="000231F9">
        <w:rPr>
          <w:sz w:val="24"/>
          <w:szCs w:val="24"/>
          <w:lang w:val="es-AR"/>
        </w:rPr>
        <w:t>.</w:t>
      </w:r>
    </w:p>
    <w:p w14:paraId="000000A1" w14:textId="77777777" w:rsidR="00C60456" w:rsidRPr="000231F9" w:rsidRDefault="0007730F">
      <w:pPr>
        <w:spacing w:after="200" w:line="360" w:lineRule="auto"/>
        <w:jc w:val="both"/>
        <w:rPr>
          <w:sz w:val="24"/>
          <w:szCs w:val="24"/>
          <w:lang w:val="es-AR"/>
        </w:rPr>
      </w:pPr>
      <w:r w:rsidRPr="000231F9">
        <w:rPr>
          <w:sz w:val="24"/>
          <w:szCs w:val="24"/>
          <w:lang w:val="es-AR"/>
        </w:rPr>
        <w:t>Los organismos internacionales de salud y la comunidad científica libre de conflicto de interés, han llamado la atención reiteradamente sobre la importancia que para el desarrollo cerebral, cognitivo, inmunológico, afectivo y físico tiene la lactancia materna exclusiva durante los 6 primeros meses de vida, así como de la lactancia materna total hasta los 24 meses. Es por eso que, hasta el máximo posible se debe evitar alimentar con sucedáneos de la leche.</w:t>
      </w:r>
    </w:p>
    <w:p w14:paraId="000000A2" w14:textId="0547D502" w:rsidR="00C60456" w:rsidRPr="000231F9" w:rsidRDefault="0007730F">
      <w:pPr>
        <w:spacing w:line="360" w:lineRule="auto"/>
        <w:jc w:val="both"/>
        <w:rPr>
          <w:sz w:val="24"/>
          <w:szCs w:val="24"/>
          <w:lang w:val="es-AR"/>
        </w:rPr>
      </w:pPr>
      <w:r w:rsidRPr="000231F9">
        <w:rPr>
          <w:sz w:val="24"/>
          <w:szCs w:val="24"/>
          <w:lang w:val="es-AR"/>
        </w:rPr>
        <w:t xml:space="preserve">Infortunadamente, para 2015 solo el 36,1% de las NNA había tenido lactancia materna exclusiva, cifra casi 10 puntos porcentuales por debajo al valor de 2005 (46,8%). Uno de los aspectos más alarmantes, evidenciados por la ENSIN, es que 41,6% de las madres </w:t>
      </w:r>
      <w:r w:rsidRPr="000231F9">
        <w:rPr>
          <w:sz w:val="24"/>
          <w:szCs w:val="24"/>
          <w:lang w:val="es-AR"/>
        </w:rPr>
        <w:lastRenderedPageBreak/>
        <w:t xml:space="preserve">reportaron haber recibido recomendaciones de utilizar sucedáneos de la leche materna, siendo el 79,1% de esas recomendaciones provenientes del personal de salud. El hecho que la lactancia materna exclusiva haya declinado tanto en tan poco </w:t>
      </w:r>
      <w:r w:rsidR="00103E4F" w:rsidRPr="000231F9">
        <w:rPr>
          <w:sz w:val="24"/>
          <w:szCs w:val="24"/>
          <w:lang w:val="es-AR"/>
        </w:rPr>
        <w:t>tiempo</w:t>
      </w:r>
      <w:r w:rsidRPr="000231F9">
        <w:rPr>
          <w:sz w:val="24"/>
          <w:szCs w:val="24"/>
          <w:lang w:val="es-AR"/>
        </w:rPr>
        <w:t xml:space="preserve"> es una evidencia incontrovertible de la falta de voluntad política del Estado, aunada con acciones reales y contundentes, dirigidas a proteger la alimentación de las personas recién nacidas del influjo de las corporaciones que promueven los sucedáneos. Esto, además, va en contravía del Artículo No. 6 del Código Internacional de Comercialización de Sucedáneos de la Leche Materna.</w:t>
      </w:r>
    </w:p>
    <w:p w14:paraId="000000A3" w14:textId="77777777" w:rsidR="00C60456" w:rsidRPr="000231F9" w:rsidRDefault="0007730F">
      <w:pPr>
        <w:spacing w:line="360" w:lineRule="auto"/>
        <w:jc w:val="both"/>
        <w:rPr>
          <w:sz w:val="24"/>
          <w:szCs w:val="24"/>
          <w:lang w:val="es-AR"/>
        </w:rPr>
      </w:pPr>
      <w:r w:rsidRPr="000231F9">
        <w:rPr>
          <w:sz w:val="24"/>
          <w:szCs w:val="24"/>
          <w:lang w:val="es-AR"/>
        </w:rPr>
        <w:t xml:space="preserve"> </w:t>
      </w:r>
    </w:p>
    <w:p w14:paraId="000000A4" w14:textId="1572260A" w:rsidR="00C60456" w:rsidRPr="000231F9" w:rsidRDefault="0007730F">
      <w:pPr>
        <w:spacing w:line="360" w:lineRule="auto"/>
        <w:jc w:val="both"/>
        <w:rPr>
          <w:sz w:val="24"/>
          <w:szCs w:val="24"/>
          <w:lang w:val="es-AR"/>
        </w:rPr>
      </w:pPr>
      <w:r w:rsidRPr="000231F9">
        <w:rPr>
          <w:sz w:val="24"/>
          <w:szCs w:val="24"/>
          <w:lang w:val="es-AR"/>
        </w:rPr>
        <w:t xml:space="preserve">En igual sentido, es imposible conocer los impactos de las acciones citadas por el gobierno de Colombia en el párrafo 98 del informe estatal al Comité de Derechos del Niño presentado en 2021, debido a que la Política Pública de Lactancia Materna y Alimentación Complementaria recién </w:t>
      </w:r>
      <w:r w:rsidR="00103E4F" w:rsidRPr="000231F9">
        <w:rPr>
          <w:sz w:val="24"/>
          <w:szCs w:val="24"/>
          <w:lang w:val="es-AR"/>
        </w:rPr>
        <w:t>entró en vigor</w:t>
      </w:r>
      <w:r w:rsidRPr="000231F9">
        <w:rPr>
          <w:sz w:val="24"/>
          <w:szCs w:val="24"/>
          <w:lang w:val="es-AR"/>
        </w:rPr>
        <w:t>, y el país carece de análisis completos, integrales, periódicos y frecuentes sobre su situación alimentaria y nutricional.</w:t>
      </w:r>
    </w:p>
    <w:p w14:paraId="000000A5" w14:textId="77777777" w:rsidR="00C60456" w:rsidRPr="000231F9" w:rsidRDefault="0007730F">
      <w:pPr>
        <w:spacing w:line="360" w:lineRule="auto"/>
        <w:jc w:val="both"/>
        <w:rPr>
          <w:sz w:val="24"/>
          <w:szCs w:val="24"/>
          <w:lang w:val="es-AR"/>
        </w:rPr>
      </w:pPr>
      <w:r w:rsidRPr="000231F9">
        <w:rPr>
          <w:sz w:val="24"/>
          <w:szCs w:val="24"/>
          <w:lang w:val="es-AR"/>
        </w:rPr>
        <w:t xml:space="preserve"> </w:t>
      </w:r>
    </w:p>
    <w:p w14:paraId="000000A6" w14:textId="77777777" w:rsidR="00C60456" w:rsidRDefault="0007730F">
      <w:pPr>
        <w:spacing w:line="360" w:lineRule="auto"/>
        <w:jc w:val="both"/>
        <w:rPr>
          <w:sz w:val="24"/>
          <w:szCs w:val="24"/>
          <w:u w:val="single"/>
        </w:rPr>
      </w:pPr>
      <w:r>
        <w:rPr>
          <w:sz w:val="24"/>
          <w:szCs w:val="24"/>
          <w:u w:val="single"/>
        </w:rPr>
        <w:t>Recomendaciones</w:t>
      </w:r>
    </w:p>
    <w:p w14:paraId="000000A7" w14:textId="77777777" w:rsidR="00C60456" w:rsidRDefault="00C60456">
      <w:pPr>
        <w:spacing w:line="360" w:lineRule="auto"/>
        <w:jc w:val="both"/>
        <w:rPr>
          <w:sz w:val="24"/>
          <w:szCs w:val="24"/>
          <w:u w:val="single"/>
        </w:rPr>
      </w:pPr>
    </w:p>
    <w:p w14:paraId="000000A8" w14:textId="77777777" w:rsidR="00C60456" w:rsidRPr="00535C03" w:rsidRDefault="0007730F" w:rsidP="00027C4F">
      <w:pPr>
        <w:pStyle w:val="ListParagraph"/>
        <w:numPr>
          <w:ilvl w:val="0"/>
          <w:numId w:val="4"/>
        </w:numPr>
        <w:spacing w:line="360" w:lineRule="auto"/>
        <w:ind w:left="851"/>
        <w:jc w:val="both"/>
        <w:rPr>
          <w:sz w:val="24"/>
          <w:szCs w:val="24"/>
          <w:lang w:val="es-CO"/>
        </w:rPr>
      </w:pPr>
      <w:r w:rsidRPr="00535C03">
        <w:rPr>
          <w:sz w:val="24"/>
          <w:szCs w:val="24"/>
          <w:u w:val="single"/>
          <w:lang w:val="es-CO"/>
        </w:rPr>
        <w:t>Se inste al Estado a:</w:t>
      </w:r>
    </w:p>
    <w:p w14:paraId="000000A9" w14:textId="77777777" w:rsidR="00C60456" w:rsidRPr="00535C03" w:rsidRDefault="00C60456">
      <w:pPr>
        <w:spacing w:after="200" w:line="360" w:lineRule="auto"/>
        <w:jc w:val="both"/>
        <w:rPr>
          <w:sz w:val="24"/>
          <w:szCs w:val="24"/>
          <w:lang w:val="es-CO"/>
        </w:rPr>
      </w:pPr>
    </w:p>
    <w:p w14:paraId="000000AA" w14:textId="1A4FA47F" w:rsidR="00C60456" w:rsidRPr="000231F9" w:rsidRDefault="003D09F6">
      <w:pPr>
        <w:spacing w:after="200" w:line="360" w:lineRule="auto"/>
        <w:ind w:left="720"/>
        <w:jc w:val="both"/>
        <w:rPr>
          <w:sz w:val="24"/>
          <w:szCs w:val="24"/>
          <w:lang w:val="es-AR"/>
        </w:rPr>
      </w:pPr>
      <w:r>
        <w:rPr>
          <w:sz w:val="24"/>
          <w:szCs w:val="24"/>
          <w:lang w:val="es-AR"/>
        </w:rPr>
        <w:t>10</w:t>
      </w:r>
      <w:r w:rsidRPr="000231F9">
        <w:rPr>
          <w:sz w:val="24"/>
          <w:szCs w:val="24"/>
          <w:lang w:val="es-AR"/>
        </w:rPr>
        <w:t>.1. Dar cumplimiento a las recomendaciones emitidas en el 2017 por el Comité de DESC de las Naciones Unidas en sus Observaciones Finales</w:t>
      </w:r>
      <w:r>
        <w:rPr>
          <w:sz w:val="24"/>
          <w:szCs w:val="24"/>
          <w:vertAlign w:val="superscript"/>
        </w:rPr>
        <w:footnoteReference w:id="76"/>
      </w:r>
      <w:r w:rsidR="000231F9">
        <w:rPr>
          <w:sz w:val="24"/>
          <w:szCs w:val="24"/>
          <w:lang w:val="es-AR"/>
        </w:rPr>
        <w:t>.</w:t>
      </w:r>
    </w:p>
    <w:p w14:paraId="000000AB" w14:textId="738B98A0" w:rsidR="00C60456" w:rsidRPr="000231F9" w:rsidRDefault="003D09F6">
      <w:pPr>
        <w:spacing w:after="200" w:line="360" w:lineRule="auto"/>
        <w:ind w:left="720"/>
        <w:jc w:val="both"/>
        <w:rPr>
          <w:sz w:val="24"/>
          <w:szCs w:val="24"/>
          <w:lang w:val="es-AR"/>
        </w:rPr>
      </w:pPr>
      <w:r>
        <w:rPr>
          <w:sz w:val="24"/>
          <w:szCs w:val="24"/>
          <w:lang w:val="es-AR"/>
        </w:rPr>
        <w:t>10</w:t>
      </w:r>
      <w:r w:rsidRPr="000231F9">
        <w:rPr>
          <w:sz w:val="24"/>
          <w:szCs w:val="24"/>
          <w:lang w:val="es-AR"/>
        </w:rPr>
        <w:t>.2. En virtud del párrafo 18.a de las Observaciones Finales, adaptar su marco legislativo para que pueda velar y hacer justicia por las presiones y  vulneraciones empresariales y gremiales contra DHANA en el país. En igual sentido, combatir la interferencia de la industria y captura corporativa en los procesos normativos y/o de formulación e implementación de política alimentaria, y abrir paso a una Gobernanza Popular Alimentaria protegida de esos actores y en las que NNA puedan también ejercer su derecho a la participación de manera activa.</w:t>
      </w:r>
    </w:p>
    <w:p w14:paraId="000000AC" w14:textId="34F7A633" w:rsidR="00C60456" w:rsidRPr="000231F9" w:rsidRDefault="003D09F6">
      <w:pPr>
        <w:spacing w:after="200" w:line="360" w:lineRule="auto"/>
        <w:ind w:left="720"/>
        <w:jc w:val="both"/>
        <w:rPr>
          <w:sz w:val="24"/>
          <w:szCs w:val="24"/>
          <w:lang w:val="es-AR"/>
        </w:rPr>
      </w:pPr>
      <w:r>
        <w:rPr>
          <w:sz w:val="24"/>
          <w:szCs w:val="24"/>
          <w:lang w:val="es-AR"/>
        </w:rPr>
        <w:lastRenderedPageBreak/>
        <w:t>10</w:t>
      </w:r>
      <w:r w:rsidRPr="000231F9">
        <w:rPr>
          <w:sz w:val="24"/>
          <w:szCs w:val="24"/>
          <w:lang w:val="es-AR"/>
        </w:rPr>
        <w:t>.3. Establecer un sistema de monitoreo de la situación del DHANA en Colombia, que vaya más allá de la malnutrición, con resultados permanentes y accesibles.</w:t>
      </w:r>
    </w:p>
    <w:p w14:paraId="000000AD" w14:textId="0B532087" w:rsidR="00C60456" w:rsidRPr="000231F9" w:rsidRDefault="003D09F6">
      <w:pPr>
        <w:spacing w:after="200" w:line="360" w:lineRule="auto"/>
        <w:ind w:left="720"/>
        <w:jc w:val="both"/>
        <w:rPr>
          <w:sz w:val="24"/>
          <w:szCs w:val="24"/>
          <w:lang w:val="es-AR"/>
        </w:rPr>
      </w:pPr>
      <w:r>
        <w:rPr>
          <w:sz w:val="24"/>
          <w:szCs w:val="24"/>
          <w:lang w:val="es-AR"/>
        </w:rPr>
        <w:t>10</w:t>
      </w:r>
      <w:r w:rsidRPr="000231F9">
        <w:rPr>
          <w:sz w:val="24"/>
          <w:szCs w:val="24"/>
          <w:lang w:val="es-AR"/>
        </w:rPr>
        <w:t>.4. Adoptar medidas urgentes y de corto, mediano y largo plazo para atender a las NNA en desnutrición, prestando especial atención al cumplimiento de la Sentencia T 302 de 2017 de la Corte Constitucional.</w:t>
      </w:r>
    </w:p>
    <w:p w14:paraId="000000AE" w14:textId="1E431E7A" w:rsidR="00C60456" w:rsidRPr="000231F9" w:rsidRDefault="003D09F6">
      <w:pPr>
        <w:spacing w:after="200" w:line="360" w:lineRule="auto"/>
        <w:ind w:left="720"/>
        <w:jc w:val="both"/>
        <w:rPr>
          <w:sz w:val="24"/>
          <w:szCs w:val="24"/>
          <w:lang w:val="es-AR"/>
        </w:rPr>
      </w:pPr>
      <w:r>
        <w:rPr>
          <w:sz w:val="24"/>
          <w:szCs w:val="24"/>
          <w:lang w:val="es-AR"/>
        </w:rPr>
        <w:t>10</w:t>
      </w:r>
      <w:r w:rsidRPr="000231F9">
        <w:rPr>
          <w:sz w:val="24"/>
          <w:szCs w:val="24"/>
          <w:lang w:val="es-AR"/>
        </w:rPr>
        <w:t>.5. Formular políticas efectivas para la regulación de los PCBUs, que protejan los avances en términos de etiquetados de advertencia e impuestos a los PBUS, al tiempo que se progrese en la regulación de la publicidad de esos productos, los ambientes escolares alimentarios adecuados, y se establezca veracidad en los etiquetados se avance en el control de su publicidad y se prohíba la publicidad y entrega de esos productos en la asistencia alimentaria pública y privada.</w:t>
      </w:r>
    </w:p>
    <w:p w14:paraId="000000AF" w14:textId="3881B7DC" w:rsidR="00C60456" w:rsidRPr="000231F9" w:rsidRDefault="003D09F6">
      <w:pPr>
        <w:spacing w:after="200" w:line="360" w:lineRule="auto"/>
        <w:ind w:left="720"/>
        <w:jc w:val="both"/>
        <w:rPr>
          <w:sz w:val="24"/>
          <w:szCs w:val="24"/>
          <w:lang w:val="es-AR"/>
        </w:rPr>
      </w:pPr>
      <w:r>
        <w:rPr>
          <w:sz w:val="24"/>
          <w:szCs w:val="24"/>
          <w:lang w:val="es-AR"/>
        </w:rPr>
        <w:t>10</w:t>
      </w:r>
      <w:r w:rsidRPr="000231F9">
        <w:rPr>
          <w:sz w:val="24"/>
          <w:szCs w:val="24"/>
          <w:lang w:val="es-AR"/>
        </w:rPr>
        <w:t>.6. Cumplir la recomendación establecida en el párrafo 40.g de las conclusiones finales del Comité, particularmente mejorar la formación de los profesionales de la salud y aplicar de manera adecuada el Código Internacional de Comercialización de Sucedáneos de la Leche Materna.</w:t>
      </w:r>
    </w:p>
    <w:p w14:paraId="000000B0" w14:textId="658808FE" w:rsidR="00C60456" w:rsidRPr="000231F9" w:rsidRDefault="003D09F6">
      <w:pPr>
        <w:spacing w:after="200" w:line="360" w:lineRule="auto"/>
        <w:ind w:left="720"/>
        <w:jc w:val="both"/>
        <w:rPr>
          <w:sz w:val="24"/>
          <w:szCs w:val="24"/>
          <w:lang w:val="es-AR"/>
        </w:rPr>
      </w:pPr>
      <w:r>
        <w:rPr>
          <w:sz w:val="24"/>
          <w:szCs w:val="24"/>
          <w:lang w:val="es-AR"/>
        </w:rPr>
        <w:t>10</w:t>
      </w:r>
      <w:r w:rsidRPr="000231F9">
        <w:rPr>
          <w:sz w:val="24"/>
          <w:szCs w:val="24"/>
          <w:lang w:val="es-AR"/>
        </w:rPr>
        <w:t>.7. Formular una Política de Alimentación Escolar enfocada no en la permanencia escolar, sino en la nutrición de las NNA. Los programas derivados de esta política deben contar con una amplia participación de la sociedad civil, dando prioridad a la comunidad escolar, y establecer mecanismos efectivos de denuncia de corrupción y sanción penal y administrativa. Esto permitiría, además, extender al tema alimentario, lo recomendado por el Comité en el párrafo 14 literal d) y párrafo 20 literal d) de las Observaciones Finales.</w:t>
      </w:r>
    </w:p>
    <w:p w14:paraId="000000B1" w14:textId="77777777" w:rsidR="00C60456" w:rsidRPr="000231F9" w:rsidRDefault="0007730F" w:rsidP="00924EFA">
      <w:pPr>
        <w:pStyle w:val="Heading2"/>
        <w:rPr>
          <w:highlight w:val="white"/>
          <w:lang w:val="es-AR"/>
        </w:rPr>
      </w:pPr>
      <w:bookmarkStart w:id="40" w:name="_Toc181285174"/>
      <w:bookmarkStart w:id="41" w:name="_Toc181286242"/>
      <w:r w:rsidRPr="000231F9">
        <w:rPr>
          <w:highlight w:val="white"/>
          <w:lang w:val="es-AR"/>
        </w:rPr>
        <w:t>3.2. Derecho a la educación</w:t>
      </w:r>
      <w:bookmarkEnd w:id="40"/>
      <w:bookmarkEnd w:id="41"/>
    </w:p>
    <w:p w14:paraId="000000B2" w14:textId="69155B58" w:rsidR="00C60456" w:rsidRPr="000231F9" w:rsidRDefault="0007730F">
      <w:pPr>
        <w:spacing w:before="200" w:line="360" w:lineRule="auto"/>
        <w:jc w:val="both"/>
        <w:rPr>
          <w:sz w:val="24"/>
          <w:szCs w:val="24"/>
          <w:lang w:val="es-AR"/>
        </w:rPr>
      </w:pPr>
      <w:r w:rsidRPr="000231F9">
        <w:rPr>
          <w:sz w:val="24"/>
          <w:szCs w:val="24"/>
          <w:lang w:val="es-AR"/>
        </w:rPr>
        <w:t>El CDN emitió una serie de recomendaciones relacionadas con el derecho a la educación, incluyendo la no discriminación</w:t>
      </w:r>
      <w:r>
        <w:rPr>
          <w:sz w:val="24"/>
          <w:szCs w:val="24"/>
          <w:vertAlign w:val="superscript"/>
        </w:rPr>
        <w:footnoteReference w:id="77"/>
      </w:r>
      <w:r w:rsidR="000231F9">
        <w:rPr>
          <w:sz w:val="24"/>
          <w:szCs w:val="24"/>
          <w:lang w:val="es-AR"/>
        </w:rPr>
        <w:t>,</w:t>
      </w:r>
      <w:r w:rsidRPr="000231F9">
        <w:rPr>
          <w:sz w:val="24"/>
          <w:szCs w:val="24"/>
          <w:lang w:val="es-AR"/>
        </w:rPr>
        <w:t xml:space="preserve"> el establecimiento de una política global e </w:t>
      </w:r>
      <w:r w:rsidRPr="000231F9">
        <w:rPr>
          <w:sz w:val="24"/>
          <w:szCs w:val="24"/>
          <w:lang w:val="es-AR"/>
        </w:rPr>
        <w:lastRenderedPageBreak/>
        <w:t>inclusiva</w:t>
      </w:r>
      <w:r>
        <w:rPr>
          <w:sz w:val="24"/>
          <w:szCs w:val="24"/>
          <w:vertAlign w:val="superscript"/>
        </w:rPr>
        <w:footnoteReference w:id="78"/>
      </w:r>
      <w:r w:rsidR="000231F9">
        <w:rPr>
          <w:sz w:val="24"/>
          <w:szCs w:val="24"/>
          <w:lang w:val="es-AR"/>
        </w:rPr>
        <w:t>,</w:t>
      </w:r>
      <w:r w:rsidRPr="000231F9">
        <w:rPr>
          <w:sz w:val="24"/>
          <w:szCs w:val="24"/>
          <w:lang w:val="es-AR"/>
        </w:rPr>
        <w:t xml:space="preserve"> la mejora de la calidad, disponibilidad y accesibilidad, en particular, a favor de población vulnerable</w:t>
      </w:r>
      <w:r>
        <w:rPr>
          <w:sz w:val="24"/>
          <w:szCs w:val="24"/>
          <w:vertAlign w:val="superscript"/>
        </w:rPr>
        <w:footnoteReference w:id="79"/>
      </w:r>
      <w:r w:rsidR="000231F9">
        <w:rPr>
          <w:sz w:val="24"/>
          <w:szCs w:val="24"/>
          <w:lang w:val="es-AR"/>
        </w:rPr>
        <w:t>,</w:t>
      </w:r>
      <w:r w:rsidRPr="000231F9">
        <w:rPr>
          <w:sz w:val="24"/>
          <w:szCs w:val="24"/>
          <w:lang w:val="es-AR"/>
        </w:rPr>
        <w:t xml:space="preserve"> aumento de esfuerzos y recursos para garantizar este derecho a población indígena y afrodescendiente</w:t>
      </w:r>
      <w:r>
        <w:rPr>
          <w:sz w:val="24"/>
          <w:szCs w:val="24"/>
          <w:vertAlign w:val="superscript"/>
        </w:rPr>
        <w:footnoteReference w:id="80"/>
      </w:r>
      <w:r w:rsidR="000231F9">
        <w:rPr>
          <w:sz w:val="24"/>
          <w:szCs w:val="24"/>
          <w:lang w:val="es-AR"/>
        </w:rPr>
        <w:t>,</w:t>
      </w:r>
      <w:r w:rsidRPr="000231F9">
        <w:rPr>
          <w:sz w:val="24"/>
          <w:szCs w:val="24"/>
          <w:lang w:val="es-AR"/>
        </w:rPr>
        <w:t xml:space="preserve"> combatir el abandono escolar</w:t>
      </w:r>
      <w:r>
        <w:rPr>
          <w:sz w:val="24"/>
          <w:szCs w:val="24"/>
          <w:vertAlign w:val="superscript"/>
        </w:rPr>
        <w:footnoteReference w:id="81"/>
      </w:r>
      <w:r w:rsidR="000231F9">
        <w:rPr>
          <w:sz w:val="24"/>
          <w:szCs w:val="24"/>
          <w:lang w:val="es-AR"/>
        </w:rPr>
        <w:t>,</w:t>
      </w:r>
      <w:r w:rsidRPr="000231F9">
        <w:rPr>
          <w:sz w:val="24"/>
          <w:szCs w:val="24"/>
          <w:lang w:val="es-AR"/>
        </w:rPr>
        <w:t xml:space="preserve"> entre otros.</w:t>
      </w:r>
    </w:p>
    <w:p w14:paraId="000000B3" w14:textId="77777777" w:rsidR="00C60456" w:rsidRPr="00C76D00" w:rsidRDefault="0007730F" w:rsidP="00924EFA">
      <w:pPr>
        <w:pStyle w:val="Heading3"/>
        <w:rPr>
          <w:rStyle w:val="SubtleEmphasis"/>
          <w:i/>
          <w:iCs w:val="0"/>
          <w:color w:val="365F91" w:themeColor="accent1" w:themeShade="BF"/>
          <w:lang w:val="es-AR"/>
        </w:rPr>
      </w:pPr>
      <w:bookmarkStart w:id="42" w:name="_Toc181285175"/>
      <w:bookmarkStart w:id="43" w:name="_Toc181286243"/>
      <w:r w:rsidRPr="00C76D00">
        <w:rPr>
          <w:rStyle w:val="SubtleEmphasis"/>
          <w:i/>
          <w:iCs w:val="0"/>
          <w:color w:val="365F91" w:themeColor="accent1" w:themeShade="BF"/>
          <w:lang w:val="es-AR"/>
        </w:rPr>
        <w:t>3.2.1. Comentarios generales sobre el derecho a la educación de NNA</w:t>
      </w:r>
      <w:bookmarkEnd w:id="42"/>
      <w:bookmarkEnd w:id="43"/>
    </w:p>
    <w:p w14:paraId="000000B4" w14:textId="00401CF5" w:rsidR="00C60456" w:rsidRPr="000231F9" w:rsidRDefault="0007730F">
      <w:pPr>
        <w:spacing w:before="200" w:line="360" w:lineRule="auto"/>
        <w:jc w:val="both"/>
        <w:rPr>
          <w:strike/>
          <w:sz w:val="24"/>
          <w:szCs w:val="24"/>
          <w:lang w:val="es-AR"/>
        </w:rPr>
      </w:pPr>
      <w:r w:rsidRPr="000231F9">
        <w:rPr>
          <w:sz w:val="24"/>
          <w:szCs w:val="24"/>
          <w:lang w:val="es-AR"/>
        </w:rPr>
        <w:t>El derecho a la educación de las NN en Colombia sigue siendo incumplido por parte del Estado colombiano. De hecho, el mismo Gobierno ha reconocido los desafíos frente a los diferentes aspectos de este derecho. Por ejemplo, el Plan Nacional de Desarrollo 2018-2022 reconoció una alta limitación en las matrículas de NN de diferentes edades</w:t>
      </w:r>
      <w:r>
        <w:rPr>
          <w:sz w:val="24"/>
          <w:szCs w:val="24"/>
          <w:vertAlign w:val="superscript"/>
        </w:rPr>
        <w:footnoteReference w:id="82"/>
      </w:r>
      <w:r w:rsidR="000231F9">
        <w:rPr>
          <w:sz w:val="24"/>
          <w:szCs w:val="24"/>
          <w:lang w:val="es-AR"/>
        </w:rPr>
        <w:t>.</w:t>
      </w:r>
      <w:r w:rsidRPr="000231F9">
        <w:rPr>
          <w:strike/>
          <w:sz w:val="24"/>
          <w:szCs w:val="24"/>
          <w:lang w:val="es-AR"/>
        </w:rPr>
        <w:t xml:space="preserve">   </w:t>
      </w:r>
    </w:p>
    <w:p w14:paraId="000000B5" w14:textId="77777777" w:rsidR="00C60456" w:rsidRPr="000231F9" w:rsidRDefault="0007730F">
      <w:pPr>
        <w:spacing w:before="200" w:line="360" w:lineRule="auto"/>
        <w:jc w:val="both"/>
        <w:rPr>
          <w:sz w:val="24"/>
          <w:szCs w:val="24"/>
          <w:lang w:val="es-AR"/>
        </w:rPr>
      </w:pPr>
      <w:r w:rsidRPr="000231F9">
        <w:rPr>
          <w:sz w:val="24"/>
          <w:szCs w:val="24"/>
          <w:lang w:val="es-AR"/>
        </w:rPr>
        <w:t>Si bien la Convención y el marco jurídico-normativo del país han permitido avances importantes en materia de acceso y realización de los derechos de la niñez, incluido el derecho a la educación, sus logros no son generalizados dada las desigualdades y la gran brecha socioeconómica entre el campo y la ciudad y entre sectores de la población. También ha enfrentado grandes obstáculos y dificultades determinados en gran medida por factores como el conflicto armado, la corrupción y el incremento tanto de la violencia intrafamiliar como de las violencias basadas en género. Además, la situación de pandemia puso en relieve diferentes situaciones estructurales y la falta de medidas adecuadas por parte del Estado respecto de este derecho en contextos de emergencia.</w:t>
      </w:r>
    </w:p>
    <w:p w14:paraId="000000B6" w14:textId="77777777" w:rsidR="00C60456" w:rsidRPr="000231F9" w:rsidRDefault="00C60456">
      <w:pPr>
        <w:spacing w:line="360" w:lineRule="auto"/>
        <w:jc w:val="both"/>
        <w:rPr>
          <w:sz w:val="24"/>
          <w:szCs w:val="24"/>
          <w:lang w:val="es-AR"/>
        </w:rPr>
      </w:pPr>
    </w:p>
    <w:p w14:paraId="000000B7" w14:textId="77777777" w:rsidR="00C60456" w:rsidRPr="00C76D00" w:rsidRDefault="0007730F" w:rsidP="00924EFA">
      <w:pPr>
        <w:pStyle w:val="Heading3"/>
        <w:rPr>
          <w:rStyle w:val="Emphasis"/>
          <w:i/>
          <w:iCs w:val="0"/>
          <w:lang w:val="es-AR"/>
        </w:rPr>
      </w:pPr>
      <w:bookmarkStart w:id="44" w:name="_Toc181285176"/>
      <w:bookmarkStart w:id="45" w:name="_Toc181286244"/>
      <w:r w:rsidRPr="00C76D00">
        <w:rPr>
          <w:rStyle w:val="Emphasis"/>
          <w:i/>
          <w:iCs w:val="0"/>
          <w:lang w:val="es-AR"/>
        </w:rPr>
        <w:t>3.2.2. Falta de capacidades para garantizar el derecho a la educación en emergencia</w:t>
      </w:r>
      <w:bookmarkEnd w:id="44"/>
      <w:bookmarkEnd w:id="45"/>
    </w:p>
    <w:p w14:paraId="000000B8" w14:textId="77777777" w:rsidR="00C60456" w:rsidRPr="000231F9" w:rsidRDefault="0007730F">
      <w:pPr>
        <w:spacing w:before="200" w:line="360" w:lineRule="auto"/>
        <w:jc w:val="both"/>
        <w:rPr>
          <w:sz w:val="24"/>
          <w:szCs w:val="24"/>
          <w:lang w:val="es-AR"/>
        </w:rPr>
      </w:pPr>
      <w:r w:rsidRPr="000231F9">
        <w:rPr>
          <w:sz w:val="24"/>
          <w:szCs w:val="24"/>
          <w:lang w:val="es-AR"/>
        </w:rPr>
        <w:t>Desde el inicio de la pandemia, se ha advertido que las zonas rurales del país no están preparadas para implementar clases en modalidades virtuales, especialmente, porque solo el 9,4% de las familias que comprenden la población rural cuentan con computadores portátiles, de escritorio o tabletas, de acuerdo con las cifras más recientes, publicadas por el Departamento Administrativo Nacional de Estadística (DANE).</w:t>
      </w:r>
    </w:p>
    <w:p w14:paraId="000000B9" w14:textId="3A135DEA" w:rsidR="00C60456" w:rsidRPr="000231F9" w:rsidRDefault="0007730F">
      <w:pPr>
        <w:spacing w:before="200" w:line="360" w:lineRule="auto"/>
        <w:jc w:val="both"/>
        <w:rPr>
          <w:sz w:val="24"/>
          <w:szCs w:val="24"/>
          <w:lang w:val="es-AR"/>
        </w:rPr>
      </w:pPr>
      <w:r w:rsidRPr="000231F9">
        <w:rPr>
          <w:sz w:val="24"/>
          <w:szCs w:val="24"/>
          <w:lang w:val="es-AR"/>
        </w:rPr>
        <w:lastRenderedPageBreak/>
        <w:t>De hecho, el Laboratorio de Economía de la Educación (LEE) de la Pontificia Universidad Javeriana señaló que más del 95% de los municipios del país no tiene los recursos ni la cobertura para llevar a cabo clases virtuales. El LEE indicó que, a pesar de las medidas adoptadas por el Gobierno Nacional, como la implementación de un paquete mínimo vital de comunicaciones, a partir del Decreto 464 de 2020 “hay lugares sin acceso a la red donde no aplicarían. Más de un millón de personas en zonas rurales no cuenta con servicio de internet, según el último estimado realizado por el Mineducación en el marco de su Plan Especial de Educación Rural en 2018”</w:t>
      </w:r>
      <w:r>
        <w:rPr>
          <w:sz w:val="24"/>
          <w:szCs w:val="24"/>
          <w:vertAlign w:val="superscript"/>
        </w:rPr>
        <w:footnoteReference w:id="83"/>
      </w:r>
      <w:r w:rsidR="000231F9">
        <w:rPr>
          <w:sz w:val="24"/>
          <w:szCs w:val="24"/>
          <w:lang w:val="es-AR"/>
        </w:rPr>
        <w:t>.</w:t>
      </w:r>
    </w:p>
    <w:p w14:paraId="000000BA" w14:textId="77777777" w:rsidR="00C60456" w:rsidRPr="000231F9" w:rsidRDefault="0007730F">
      <w:pPr>
        <w:spacing w:before="200" w:line="360" w:lineRule="auto"/>
        <w:jc w:val="both"/>
        <w:rPr>
          <w:sz w:val="40"/>
          <w:szCs w:val="40"/>
          <w:vertAlign w:val="superscript"/>
          <w:lang w:val="es-AR"/>
        </w:rPr>
      </w:pPr>
      <w:r w:rsidRPr="000231F9">
        <w:rPr>
          <w:sz w:val="24"/>
          <w:szCs w:val="24"/>
          <w:lang w:val="es-AR"/>
        </w:rPr>
        <w:t>Adicionalmente, la organización Terre des Hommes Suisse, realizó una encuesta a docentes de diferentes países, incluyendo Colombia, en la cual se pretendía evaluar sus condiciones en tiempos de pandemia. Los resultados evidenciaron, por ejemplo, que el 44,26% de los docentes tienen que compartir sus dispositivos como computadores y tablets, con al menos 3 personas más. Adicionalmente, el 52,46% de los docentes califican como regular la calidad del acceso a la internet. En este mismo estudio, se determinó que el 81,97% de los profesores consideran que el mayor problema que afrontan los estudiantes es que no cuentan con computadores. De igual forma, casi el 60% de profesores encuestados en Colombia, identificaron que su formación en plataformas y redes es básica y con vacíos.</w:t>
      </w:r>
    </w:p>
    <w:p w14:paraId="000000BB" w14:textId="77777777" w:rsidR="00C60456" w:rsidRPr="000231F9" w:rsidRDefault="00C60456">
      <w:pPr>
        <w:spacing w:line="360" w:lineRule="auto"/>
        <w:jc w:val="both"/>
        <w:rPr>
          <w:sz w:val="24"/>
          <w:szCs w:val="24"/>
          <w:u w:val="single"/>
          <w:lang w:val="es-AR"/>
        </w:rPr>
      </w:pPr>
    </w:p>
    <w:p w14:paraId="000000BC" w14:textId="77777777" w:rsidR="00C60456" w:rsidRPr="00C76D00" w:rsidRDefault="0007730F" w:rsidP="00924EFA">
      <w:pPr>
        <w:pStyle w:val="Heading3"/>
        <w:rPr>
          <w:rStyle w:val="Emphasis"/>
          <w:i/>
          <w:iCs w:val="0"/>
          <w:lang w:val="es-AR"/>
        </w:rPr>
      </w:pPr>
      <w:bookmarkStart w:id="46" w:name="_Toc181285177"/>
      <w:bookmarkStart w:id="47" w:name="_Toc181286245"/>
      <w:r w:rsidRPr="00C76D00">
        <w:rPr>
          <w:rStyle w:val="Emphasis"/>
          <w:i/>
          <w:iCs w:val="0"/>
          <w:lang w:val="es-AR"/>
        </w:rPr>
        <w:t>3.2.3. Sobre las brechas en educación</w:t>
      </w:r>
      <w:bookmarkEnd w:id="46"/>
      <w:bookmarkEnd w:id="47"/>
    </w:p>
    <w:p w14:paraId="000000BD" w14:textId="77777777" w:rsidR="00C60456" w:rsidRPr="000231F9" w:rsidRDefault="0007730F">
      <w:pPr>
        <w:spacing w:before="200" w:line="360" w:lineRule="auto"/>
        <w:jc w:val="both"/>
        <w:rPr>
          <w:sz w:val="24"/>
          <w:szCs w:val="24"/>
          <w:lang w:val="es-AR"/>
        </w:rPr>
      </w:pPr>
      <w:r w:rsidRPr="000231F9">
        <w:rPr>
          <w:sz w:val="24"/>
          <w:szCs w:val="24"/>
          <w:lang w:val="es-AR"/>
        </w:rPr>
        <w:t>En el 2015, el Comité recomendó a Colombia intensificar sus esfuerzos “para mejorar la calidad de la enseñanza y su disponibilidad y accesibilidad para los niños desplazados o de zonas rurales, en particular para las niñas, aumentando considerablemente el presupuesto de la educación, proporcionando formación de calidad a los docentes y construyendo escuelas lejos de las zonas de riesgo ambiental y de los objetivos militares.”</w:t>
      </w:r>
      <w:r>
        <w:rPr>
          <w:sz w:val="24"/>
          <w:szCs w:val="24"/>
          <w:vertAlign w:val="superscript"/>
        </w:rPr>
        <w:footnoteReference w:id="84"/>
      </w:r>
    </w:p>
    <w:p w14:paraId="000000BE" w14:textId="77777777" w:rsidR="00C60456" w:rsidRPr="000231F9" w:rsidRDefault="0007730F">
      <w:pPr>
        <w:spacing w:before="200" w:line="360" w:lineRule="auto"/>
        <w:jc w:val="both"/>
        <w:rPr>
          <w:sz w:val="24"/>
          <w:szCs w:val="24"/>
          <w:lang w:val="es-AR"/>
        </w:rPr>
      </w:pPr>
      <w:r w:rsidRPr="000231F9">
        <w:rPr>
          <w:sz w:val="24"/>
          <w:szCs w:val="24"/>
          <w:lang w:val="es-AR"/>
        </w:rPr>
        <w:lastRenderedPageBreak/>
        <w:t>Al respecto, siguen siendo visibles las brechas educativas para personas en condición de pobreza. Evidencia de lo anterior, es que en las pruebas de Estado, los colegios privados obtienen puntajes más altos; esta situación se repite al comparar las zonas rurales con las urbanas, siendo las últimas las que mayores puntajes logran.</w:t>
      </w:r>
    </w:p>
    <w:p w14:paraId="000000BF" w14:textId="358D0B40" w:rsidR="00C60456" w:rsidRPr="000231F9" w:rsidRDefault="0007730F">
      <w:pPr>
        <w:spacing w:before="200" w:line="360" w:lineRule="auto"/>
        <w:jc w:val="both"/>
        <w:rPr>
          <w:strike/>
          <w:color w:val="FF0000"/>
          <w:sz w:val="24"/>
          <w:szCs w:val="24"/>
          <w:lang w:val="es-AR"/>
        </w:rPr>
      </w:pPr>
      <w:r w:rsidRPr="000231F9">
        <w:rPr>
          <w:sz w:val="24"/>
          <w:szCs w:val="24"/>
          <w:lang w:val="es-AR"/>
        </w:rPr>
        <w:t>Asimismo, se identificó que el desplazamiento forzado sigue siendo una de las principales causas de deserción escolar</w:t>
      </w:r>
      <w:r>
        <w:rPr>
          <w:sz w:val="24"/>
          <w:szCs w:val="24"/>
          <w:vertAlign w:val="superscript"/>
        </w:rPr>
        <w:footnoteReference w:id="85"/>
      </w:r>
      <w:r w:rsidR="000231F9">
        <w:rPr>
          <w:sz w:val="24"/>
          <w:szCs w:val="24"/>
          <w:lang w:val="es-AR"/>
        </w:rPr>
        <w:t>.</w:t>
      </w:r>
      <w:r w:rsidRPr="000231F9">
        <w:rPr>
          <w:sz w:val="24"/>
          <w:szCs w:val="24"/>
          <w:lang w:val="es-AR"/>
        </w:rPr>
        <w:t xml:space="preserve"> Esta situación es compleja debido a que se evidencia que las familias desplazadas</w:t>
      </w:r>
      <w:r w:rsidR="00F94D8F">
        <w:rPr>
          <w:sz w:val="24"/>
          <w:szCs w:val="24"/>
          <w:lang w:val="es-AR"/>
        </w:rPr>
        <w:t xml:space="preserve"> </w:t>
      </w:r>
      <w:r w:rsidRPr="000231F9">
        <w:rPr>
          <w:sz w:val="24"/>
          <w:szCs w:val="24"/>
          <w:lang w:val="es-AR"/>
        </w:rPr>
        <w:t xml:space="preserve"> no conocen las rutas oficiales para garantizar el derecho a la educación.</w:t>
      </w:r>
    </w:p>
    <w:p w14:paraId="000000C0" w14:textId="77777777" w:rsidR="00C60456" w:rsidRPr="000231F9" w:rsidRDefault="0007730F">
      <w:pPr>
        <w:spacing w:before="200" w:line="360" w:lineRule="auto"/>
        <w:jc w:val="both"/>
        <w:rPr>
          <w:lang w:val="es-AR"/>
        </w:rPr>
      </w:pPr>
      <w:r w:rsidRPr="000231F9">
        <w:rPr>
          <w:sz w:val="24"/>
          <w:szCs w:val="24"/>
          <w:lang w:val="es-AR"/>
        </w:rPr>
        <w:t xml:space="preserve">Las brechas son igualmente evidentes en la deserción escolar. De 100 estudiantes que entran a tiempo a primaria, sólo 74 terminan el bachillerato. De esos 74, sólo 56 lo hacen en la edad que corresponde y sólo 22 entran al ciclo de educación superior, de los cuales 13 terminan graduándose. </w:t>
      </w:r>
    </w:p>
    <w:p w14:paraId="000000C1" w14:textId="5DBBB9B2" w:rsidR="00C60456" w:rsidRPr="000231F9" w:rsidRDefault="0007730F">
      <w:pPr>
        <w:spacing w:before="200" w:line="360" w:lineRule="auto"/>
        <w:jc w:val="both"/>
        <w:rPr>
          <w:sz w:val="24"/>
          <w:szCs w:val="24"/>
          <w:lang w:val="es-AR"/>
        </w:rPr>
      </w:pPr>
      <w:r w:rsidRPr="000231F9">
        <w:rPr>
          <w:sz w:val="24"/>
          <w:szCs w:val="24"/>
          <w:lang w:val="es-AR"/>
        </w:rPr>
        <w:t>Otro aspecto importante es la situación de NNA en contexto migratorio, en particular la población venezolana. De acuerdo con una investigación realizada por Dejusticia, la niñez venezolana presenta serias barreras para acceder al sistema educativo. Por ejemplo, para el 2019, fecha de la investigación, existían 190.000 NNA venezolanos inscritos en el sistema educativo frente a 80.506 sin escolarizar y sin acceso a cupos. En Bogotá el número de escolarizados es de 99.000 y sin escolarizar 27.852</w:t>
      </w:r>
      <w:r>
        <w:rPr>
          <w:sz w:val="24"/>
          <w:szCs w:val="24"/>
          <w:vertAlign w:val="superscript"/>
        </w:rPr>
        <w:footnoteReference w:id="86"/>
      </w:r>
      <w:r w:rsidR="000231F9">
        <w:rPr>
          <w:sz w:val="24"/>
          <w:szCs w:val="24"/>
          <w:lang w:val="es-AR"/>
        </w:rPr>
        <w:t>.</w:t>
      </w:r>
    </w:p>
    <w:p w14:paraId="000000C2" w14:textId="77777777" w:rsidR="00C60456" w:rsidRPr="000231F9" w:rsidRDefault="0007730F">
      <w:pPr>
        <w:spacing w:before="200" w:line="360" w:lineRule="auto"/>
        <w:jc w:val="both"/>
        <w:rPr>
          <w:sz w:val="24"/>
          <w:szCs w:val="24"/>
          <w:u w:val="single"/>
          <w:lang w:val="es-AR"/>
        </w:rPr>
      </w:pPr>
      <w:r w:rsidRPr="000231F9">
        <w:rPr>
          <w:sz w:val="24"/>
          <w:szCs w:val="24"/>
          <w:u w:val="single"/>
          <w:lang w:val="es-AR"/>
        </w:rPr>
        <w:t>Recomendaciones</w:t>
      </w:r>
    </w:p>
    <w:p w14:paraId="000000C3" w14:textId="77777777" w:rsidR="00C60456" w:rsidRPr="000231F9" w:rsidRDefault="0007730F">
      <w:pPr>
        <w:spacing w:before="200" w:line="360" w:lineRule="auto"/>
        <w:jc w:val="both"/>
        <w:rPr>
          <w:sz w:val="24"/>
          <w:szCs w:val="24"/>
          <w:u w:val="single"/>
          <w:lang w:val="es-AR"/>
        </w:rPr>
      </w:pPr>
      <w:r w:rsidRPr="000231F9">
        <w:rPr>
          <w:sz w:val="24"/>
          <w:szCs w:val="24"/>
          <w:u w:val="single"/>
          <w:lang w:val="es-AR"/>
        </w:rPr>
        <w:t>11. Se inste al Estado a:</w:t>
      </w:r>
    </w:p>
    <w:p w14:paraId="000000C4" w14:textId="77777777" w:rsidR="00C60456" w:rsidRPr="000231F9" w:rsidRDefault="00C60456">
      <w:pPr>
        <w:spacing w:before="200" w:line="360" w:lineRule="auto"/>
        <w:ind w:left="720"/>
        <w:jc w:val="both"/>
        <w:rPr>
          <w:sz w:val="24"/>
          <w:szCs w:val="24"/>
          <w:u w:val="single"/>
          <w:lang w:val="es-AR"/>
        </w:rPr>
      </w:pPr>
    </w:p>
    <w:p w14:paraId="000000C5" w14:textId="77777777" w:rsidR="00C60456" w:rsidRPr="000231F9" w:rsidRDefault="0007730F">
      <w:pPr>
        <w:spacing w:after="200"/>
        <w:ind w:left="720" w:right="60"/>
        <w:jc w:val="both"/>
        <w:rPr>
          <w:sz w:val="24"/>
          <w:szCs w:val="24"/>
          <w:lang w:val="es-AR"/>
        </w:rPr>
      </w:pPr>
      <w:r w:rsidRPr="000231F9">
        <w:rPr>
          <w:sz w:val="24"/>
          <w:szCs w:val="24"/>
          <w:lang w:val="es-AR"/>
        </w:rPr>
        <w:t>11.1 Cumplir la Recomendación 52a y 52f en su integridad.</w:t>
      </w:r>
    </w:p>
    <w:p w14:paraId="000000C6" w14:textId="46D20B6B" w:rsidR="00C60456" w:rsidRPr="000231F9" w:rsidRDefault="0007730F">
      <w:pPr>
        <w:spacing w:after="200"/>
        <w:ind w:left="720" w:right="60"/>
        <w:jc w:val="both"/>
        <w:rPr>
          <w:sz w:val="24"/>
          <w:szCs w:val="24"/>
          <w:lang w:val="es-AR"/>
        </w:rPr>
      </w:pPr>
      <w:r w:rsidRPr="000231F9">
        <w:rPr>
          <w:sz w:val="24"/>
          <w:szCs w:val="24"/>
          <w:lang w:val="es-AR"/>
        </w:rPr>
        <w:lastRenderedPageBreak/>
        <w:t>11.2. Actualizar la información y adoptar medidas respecto al acceso a mecanismos electrónicos para facilitar la educación virtual de NN en zonas rurales y de vulnerabilidad</w:t>
      </w:r>
    </w:p>
    <w:p w14:paraId="000000C7" w14:textId="030CD74D" w:rsidR="00C60456" w:rsidRPr="000231F9" w:rsidRDefault="0007730F">
      <w:pPr>
        <w:spacing w:after="200"/>
        <w:ind w:left="720" w:right="60"/>
        <w:jc w:val="both"/>
        <w:rPr>
          <w:sz w:val="24"/>
          <w:szCs w:val="24"/>
          <w:lang w:val="es-AR"/>
        </w:rPr>
      </w:pPr>
      <w:r w:rsidRPr="000231F9">
        <w:rPr>
          <w:sz w:val="24"/>
          <w:szCs w:val="24"/>
          <w:lang w:val="es-AR"/>
        </w:rPr>
        <w:t xml:space="preserve">11.3. Garantizar que el sistema educativo profundice los </w:t>
      </w:r>
      <w:r w:rsidRPr="000231F9">
        <w:rPr>
          <w:strike/>
          <w:sz w:val="24"/>
          <w:szCs w:val="24"/>
          <w:lang w:val="es-AR"/>
        </w:rPr>
        <w:t xml:space="preserve">  </w:t>
      </w:r>
      <w:r w:rsidRPr="000231F9">
        <w:rPr>
          <w:sz w:val="24"/>
          <w:szCs w:val="24"/>
          <w:lang w:val="es-AR"/>
        </w:rPr>
        <w:t xml:space="preserve">esfuerzos para contrarrestar el fenómeno de inasistencia y deserción escolar profundizado con la pandemia sobre todo en las zonas rurales del país. </w:t>
      </w:r>
    </w:p>
    <w:p w14:paraId="000000C8" w14:textId="77777777" w:rsidR="00C60456" w:rsidRPr="000231F9" w:rsidRDefault="0007730F">
      <w:pPr>
        <w:spacing w:after="200"/>
        <w:ind w:left="720" w:right="60"/>
        <w:jc w:val="both"/>
        <w:rPr>
          <w:sz w:val="24"/>
          <w:szCs w:val="24"/>
          <w:lang w:val="es-AR"/>
        </w:rPr>
      </w:pPr>
      <w:r w:rsidRPr="000231F9">
        <w:rPr>
          <w:sz w:val="24"/>
          <w:szCs w:val="24"/>
          <w:lang w:val="es-AR"/>
        </w:rPr>
        <w:t>11.4. Adoptar medidas efectivas para garantizar la seguridad de los profesores, incluyendo las investigaciones exhaustivas de las amenazas y hostigamiento.</w:t>
      </w:r>
    </w:p>
    <w:p w14:paraId="000000C9" w14:textId="77777777" w:rsidR="00C60456" w:rsidRPr="000231F9" w:rsidRDefault="0007730F">
      <w:pPr>
        <w:spacing w:after="200"/>
        <w:ind w:left="720" w:right="60"/>
        <w:jc w:val="both"/>
        <w:rPr>
          <w:sz w:val="24"/>
          <w:szCs w:val="24"/>
          <w:lang w:val="es-AR"/>
        </w:rPr>
      </w:pPr>
      <w:r w:rsidRPr="000231F9">
        <w:rPr>
          <w:sz w:val="24"/>
          <w:szCs w:val="24"/>
          <w:lang w:val="es-AR"/>
        </w:rPr>
        <w:t>11.5. Eliminar las barreras que las NNA venezolanas afrontan para poder garantizar su derecho a la educación básica sin discriminación.</w:t>
      </w:r>
    </w:p>
    <w:p w14:paraId="000000CA" w14:textId="77777777" w:rsidR="00C60456" w:rsidRPr="000231F9" w:rsidRDefault="0007730F" w:rsidP="00924EFA">
      <w:pPr>
        <w:pStyle w:val="Heading3"/>
        <w:rPr>
          <w:lang w:val="es-AR"/>
        </w:rPr>
      </w:pPr>
      <w:bookmarkStart w:id="48" w:name="_Toc181285178"/>
      <w:bookmarkStart w:id="49" w:name="_Toc181286246"/>
      <w:r w:rsidRPr="000231F9">
        <w:rPr>
          <w:lang w:val="es-AR"/>
        </w:rPr>
        <w:t>3.3. Situación del Hatillo (Presentación de caso emblemático)</w:t>
      </w:r>
      <w:bookmarkEnd w:id="48"/>
      <w:bookmarkEnd w:id="49"/>
    </w:p>
    <w:p w14:paraId="000000CB" w14:textId="77777777" w:rsidR="00C60456" w:rsidRPr="000231F9" w:rsidRDefault="0007730F">
      <w:pPr>
        <w:spacing w:after="200" w:line="360" w:lineRule="auto"/>
        <w:jc w:val="both"/>
        <w:rPr>
          <w:lang w:val="es-AR"/>
        </w:rPr>
      </w:pPr>
      <w:r w:rsidRPr="000231F9">
        <w:rPr>
          <w:sz w:val="24"/>
          <w:szCs w:val="24"/>
          <w:lang w:val="es-AR"/>
        </w:rPr>
        <w:t xml:space="preserve">En el 2014, las organizaciones presentamos información al Comité acerca del impacto de ciertas actividades empresariales en perjuicio de NNA. En esta oportunidad se entregaron datos del caso emblemático del Hatillo, que además de estar relacionado con derechos ambientales por la naturaleza de los hechos ha causado múltiples violaciones de otros derechos humanos de la comunidad, en particular, las NNA. </w:t>
      </w:r>
    </w:p>
    <w:p w14:paraId="000000CC" w14:textId="5223A3F9" w:rsidR="00C60456" w:rsidRPr="000231F9" w:rsidRDefault="0007730F">
      <w:pPr>
        <w:spacing w:after="200" w:line="360" w:lineRule="auto"/>
        <w:jc w:val="both"/>
        <w:rPr>
          <w:sz w:val="24"/>
          <w:szCs w:val="24"/>
          <w:lang w:val="es-AR"/>
        </w:rPr>
      </w:pPr>
      <w:r w:rsidRPr="000231F9">
        <w:rPr>
          <w:sz w:val="24"/>
          <w:szCs w:val="24"/>
          <w:lang w:val="es-AR"/>
        </w:rPr>
        <w:t>En particular, el Comité recomendó al Estado que “adopte las medidas necesarias para proteger los derechos de los niños en El Hatillo, entre otras cosas asegurando su pronto reasentamiento de conformidad con las normas internacionales, y los indemnice adecuadamente''</w:t>
      </w:r>
      <w:r>
        <w:rPr>
          <w:sz w:val="24"/>
          <w:szCs w:val="24"/>
          <w:vertAlign w:val="superscript"/>
        </w:rPr>
        <w:footnoteReference w:id="87"/>
      </w:r>
      <w:r w:rsidR="000231F9">
        <w:rPr>
          <w:sz w:val="24"/>
          <w:szCs w:val="24"/>
          <w:lang w:val="es-AR"/>
        </w:rPr>
        <w:t>.</w:t>
      </w:r>
    </w:p>
    <w:p w14:paraId="000000CD" w14:textId="77777777" w:rsidR="00C60456" w:rsidRPr="000231F9" w:rsidRDefault="0007730F">
      <w:pPr>
        <w:spacing w:after="240" w:line="360" w:lineRule="auto"/>
        <w:jc w:val="both"/>
        <w:rPr>
          <w:sz w:val="24"/>
          <w:szCs w:val="24"/>
          <w:lang w:val="es-AR"/>
        </w:rPr>
      </w:pPr>
      <w:r w:rsidRPr="000231F9">
        <w:rPr>
          <w:sz w:val="24"/>
          <w:szCs w:val="24"/>
          <w:lang w:val="es-AR"/>
        </w:rPr>
        <w:t>Al respecto, en el informe oficial presentado por el Estado, este informó que “Para garantizar las medidas necesarias para proteger a los niños de El Hatillo, se construyó el Plan de Acción de Reasentamiento (PAR) con los agentes del SNBF</w:t>
      </w:r>
      <w:r w:rsidRPr="000231F9">
        <w:rPr>
          <w:color w:val="008080"/>
          <w:sz w:val="24"/>
          <w:szCs w:val="24"/>
          <w:lang w:val="es-AR"/>
        </w:rPr>
        <w:t xml:space="preserve"> </w:t>
      </w:r>
      <w:r w:rsidRPr="000231F9">
        <w:rPr>
          <w:sz w:val="24"/>
          <w:szCs w:val="24"/>
          <w:lang w:val="es-AR"/>
        </w:rPr>
        <w:t>(Sistema Nacional de Bienestar Familiar), autoridades locales (Gobernación del Cesar, Alcaldía y Comisaría de Familia del municipio El Paso) y delegados de las empresas mineras, para atender la situación generada en este corregimiento”. Sin embargo, estas afirmaciones se encuentran alejadas de la realidad como se expone a continuación.</w:t>
      </w:r>
    </w:p>
    <w:p w14:paraId="000000CE" w14:textId="77777777" w:rsidR="00C60456" w:rsidRPr="000231F9" w:rsidRDefault="0007730F">
      <w:pPr>
        <w:spacing w:after="240" w:line="360" w:lineRule="auto"/>
        <w:jc w:val="both"/>
        <w:rPr>
          <w:sz w:val="24"/>
          <w:szCs w:val="24"/>
          <w:lang w:val="es-AR"/>
        </w:rPr>
      </w:pPr>
      <w:r w:rsidRPr="000231F9">
        <w:rPr>
          <w:sz w:val="24"/>
          <w:szCs w:val="24"/>
          <w:lang w:val="es-AR"/>
        </w:rPr>
        <w:lastRenderedPageBreak/>
        <w:t>El 29 de noviembre de 2018, la comunidad y las empresas mineras firmaron el Plan de Acción para el reasentamiento (PAR), en este se establece que el reasentamiento se hará efectivo y se habrá cumplido en su totalidad en un plazo de diez años y se establece un período de transición de cinco años, durante los cuales se deben surtir las acciones de información a cada una de las familias respecto de sus compensaciones y los procesos de firma de los contratos de transacción, entre otros.  Este plan no ha sido cumplido, como se expone a continuación.</w:t>
      </w:r>
    </w:p>
    <w:p w14:paraId="000000CF" w14:textId="77777777" w:rsidR="00C60456" w:rsidRPr="000231F9" w:rsidRDefault="0007730F">
      <w:pPr>
        <w:spacing w:after="160" w:line="360" w:lineRule="auto"/>
        <w:jc w:val="both"/>
        <w:rPr>
          <w:sz w:val="24"/>
          <w:szCs w:val="24"/>
          <w:lang w:val="es-AR"/>
        </w:rPr>
      </w:pPr>
      <w:r w:rsidRPr="000231F9">
        <w:rPr>
          <w:sz w:val="24"/>
          <w:szCs w:val="24"/>
          <w:lang w:val="es-AR"/>
        </w:rPr>
        <w:t>En septiembre de 2018 se presentaron incumplimientos contractuales de aproximadamente trece familias, la mayoría con NN. En el mismo mes, se suspendió unilateralmente por parte de las empresas mineras la firma de ochenta y dos contratos de transacción por problemas administrativos en la fiducia constituida para la implementación del PAR. Razón por la cual, el 14 de noviembre de 2019 la comunidad se tomó las vías del tren de carga de carbón para exigir el cumplimiento de lo pactado.</w:t>
      </w:r>
    </w:p>
    <w:p w14:paraId="000000D0" w14:textId="77777777" w:rsidR="00C60456" w:rsidRPr="000231F9" w:rsidRDefault="0007730F">
      <w:pPr>
        <w:spacing w:line="360" w:lineRule="auto"/>
        <w:jc w:val="both"/>
        <w:rPr>
          <w:sz w:val="24"/>
          <w:szCs w:val="24"/>
          <w:lang w:val="es-AR"/>
        </w:rPr>
      </w:pPr>
      <w:r w:rsidRPr="000231F9">
        <w:rPr>
          <w:sz w:val="24"/>
          <w:szCs w:val="24"/>
          <w:lang w:val="es-AR"/>
        </w:rPr>
        <w:t>En noviembre de 2022, la ANLA aprobó un programa de reasentamiento colectivo para la comunidad, presentado por varias empresas mineras. Sin embargo, las condiciones del programa y su aprobación tardía han llevado a muchos a optar por el reasentamiento individual, contraviniendo los planes colectivos establecidos. A diciembre de 2023, sólo cinco familias persisten en el reasentamiento colectivo, pero se requiere un mínimo de 25 familias según la ley, haciendo inviable el reasentamiento colectivo en la práctica debido a la negligencia de las empresas y el Estado.</w:t>
      </w:r>
    </w:p>
    <w:p w14:paraId="000000D1" w14:textId="77777777" w:rsidR="00C60456" w:rsidRPr="000231F9" w:rsidRDefault="00C60456">
      <w:pPr>
        <w:spacing w:line="360" w:lineRule="auto"/>
        <w:rPr>
          <w:sz w:val="24"/>
          <w:szCs w:val="24"/>
          <w:lang w:val="es-AR"/>
        </w:rPr>
      </w:pPr>
    </w:p>
    <w:p w14:paraId="000000D2" w14:textId="77777777" w:rsidR="00C60456" w:rsidRPr="000231F9" w:rsidRDefault="0007730F">
      <w:pPr>
        <w:spacing w:line="360" w:lineRule="auto"/>
        <w:rPr>
          <w:sz w:val="24"/>
          <w:szCs w:val="24"/>
          <w:lang w:val="es-AR"/>
        </w:rPr>
      </w:pPr>
      <w:r w:rsidRPr="000231F9">
        <w:rPr>
          <w:sz w:val="24"/>
          <w:szCs w:val="24"/>
          <w:lang w:val="es-AR"/>
        </w:rPr>
        <w:t>Además, algunas instituciones locales, como la Alcaldía y la Gobernación, optaron por no asignar recursos públicos, para la comunidad de El Hatillo, argumentando un posible detrimento patrimonial debido a su eventual desaparición como asentamiento.</w:t>
      </w:r>
    </w:p>
    <w:p w14:paraId="000000D3" w14:textId="77777777" w:rsidR="00C60456" w:rsidRPr="000231F9" w:rsidRDefault="00C60456">
      <w:pPr>
        <w:spacing w:after="160" w:line="360" w:lineRule="auto"/>
        <w:jc w:val="both"/>
        <w:rPr>
          <w:sz w:val="24"/>
          <w:szCs w:val="24"/>
          <w:lang w:val="es-AR"/>
        </w:rPr>
      </w:pPr>
    </w:p>
    <w:p w14:paraId="000000D4" w14:textId="25D5F93F" w:rsidR="00C60456" w:rsidRPr="00C76D00" w:rsidRDefault="0007730F" w:rsidP="00924EFA">
      <w:pPr>
        <w:pStyle w:val="Heading3"/>
        <w:rPr>
          <w:rStyle w:val="Emphasis"/>
          <w:i/>
          <w:iCs w:val="0"/>
          <w:lang w:val="es-AR"/>
        </w:rPr>
      </w:pPr>
      <w:bookmarkStart w:id="50" w:name="_Toc181285179"/>
      <w:bookmarkStart w:id="51" w:name="_Toc181286247"/>
      <w:r w:rsidRPr="00C76D00">
        <w:rPr>
          <w:rStyle w:val="Emphasis"/>
          <w:i/>
          <w:iCs w:val="0"/>
          <w:lang w:val="es-AR"/>
        </w:rPr>
        <w:t>3.3.</w:t>
      </w:r>
      <w:r w:rsidR="00924EFA" w:rsidRPr="00C76D00">
        <w:rPr>
          <w:rStyle w:val="Emphasis"/>
          <w:i/>
          <w:iCs w:val="0"/>
          <w:lang w:val="es-AR"/>
        </w:rPr>
        <w:t>1</w:t>
      </w:r>
      <w:r w:rsidRPr="00C76D00">
        <w:rPr>
          <w:rStyle w:val="Emphasis"/>
          <w:i/>
          <w:iCs w:val="0"/>
          <w:lang w:val="es-AR"/>
        </w:rPr>
        <w:t>. Situación de vulnerabilidad actual</w:t>
      </w:r>
      <w:bookmarkEnd w:id="50"/>
      <w:bookmarkEnd w:id="51"/>
    </w:p>
    <w:p w14:paraId="000000D5" w14:textId="77777777" w:rsidR="00C60456" w:rsidRPr="000231F9" w:rsidRDefault="0007730F">
      <w:pPr>
        <w:spacing w:after="160" w:line="360" w:lineRule="auto"/>
        <w:jc w:val="both"/>
        <w:rPr>
          <w:sz w:val="24"/>
          <w:szCs w:val="24"/>
          <w:lang w:val="es-AR"/>
        </w:rPr>
      </w:pPr>
      <w:r w:rsidRPr="000231F9">
        <w:rPr>
          <w:sz w:val="24"/>
          <w:szCs w:val="24"/>
          <w:lang w:val="es-AR"/>
        </w:rPr>
        <w:t xml:space="preserve">Pese a esta reacción de la comunidad, transcurridos casi seis años de la firma del PAR, se siguen presentando retrasos en el cronograma de implementación, porque no se han firmado los contratos de transacción para la indemnización de las familias afectadas, los </w:t>
      </w:r>
      <w:r w:rsidRPr="000231F9">
        <w:rPr>
          <w:sz w:val="24"/>
          <w:szCs w:val="24"/>
          <w:lang w:val="es-AR"/>
        </w:rPr>
        <w:lastRenderedPageBreak/>
        <w:t>traslados de los reasentamientos individuales y las respuestas a las preguntas y solicitudes ante las empresas y el operador también presentan retrasos, así como el pago de lucro cesante y la adquisición de los predios donde se construiría el nuevo asentamiento.</w:t>
      </w:r>
    </w:p>
    <w:p w14:paraId="000000D6" w14:textId="77777777" w:rsidR="00C60456" w:rsidRPr="000231F9" w:rsidRDefault="0007730F">
      <w:pPr>
        <w:spacing w:after="160" w:line="360" w:lineRule="auto"/>
        <w:jc w:val="both"/>
        <w:rPr>
          <w:sz w:val="24"/>
          <w:szCs w:val="24"/>
          <w:lang w:val="es-AR"/>
        </w:rPr>
      </w:pPr>
      <w:r w:rsidRPr="000231F9">
        <w:rPr>
          <w:sz w:val="24"/>
          <w:szCs w:val="24"/>
          <w:lang w:val="es-AR"/>
        </w:rPr>
        <w:t xml:space="preserve">La comunidad de El Hatillo se enfrenta a un panorama incierto, pues desde hace unos años la mayor parte de sus miembros se encuentran desempleados y sin modos de satisfacer sus necesidades básicas. La notificación de las empresas y “su imposibilidad de continuar con el Plan de Transición”, junto con un incumplimiento por parte del Estado colombiano en su responsabilidad de regular y supervisar adecuadamente sus actividades y proporcionar los servicios sociales básicos, expone a la comunidad de El Hatillo a un riesgo inminente. </w:t>
      </w:r>
    </w:p>
    <w:p w14:paraId="000000D7" w14:textId="77777777" w:rsidR="00C60456" w:rsidRPr="000231F9" w:rsidRDefault="0007730F">
      <w:pPr>
        <w:spacing w:after="160" w:line="360" w:lineRule="auto"/>
        <w:jc w:val="both"/>
        <w:rPr>
          <w:sz w:val="24"/>
          <w:szCs w:val="24"/>
          <w:lang w:val="es-AR"/>
        </w:rPr>
      </w:pPr>
      <w:r w:rsidRPr="000231F9">
        <w:rPr>
          <w:sz w:val="24"/>
          <w:szCs w:val="24"/>
          <w:lang w:val="es-AR"/>
        </w:rPr>
        <w:t>A la crítica situación expuesta, se suma el incremento de la población infantil en embarazo sin las condiciones mínimas de maternidad digna por la situación descrita. , La edad promedio en el Hatillo para el primer embarazo es entre los 16 y 17 años de edad. Así las cosas, la población más joven continúa siendo vulnerada en sus derechos fundamentales por causas de los incumplimientos previamente establecidos esto sin sumarlas afectaciones provocadas por los efectos del extractivismo ante la ineficacia del Estado.</w:t>
      </w:r>
    </w:p>
    <w:p w14:paraId="000000D8" w14:textId="77777777" w:rsidR="00C60456" w:rsidRPr="000231F9" w:rsidRDefault="0007730F">
      <w:pPr>
        <w:spacing w:after="200" w:line="360" w:lineRule="auto"/>
        <w:jc w:val="both"/>
        <w:rPr>
          <w:sz w:val="24"/>
          <w:szCs w:val="24"/>
          <w:u w:val="single"/>
          <w:lang w:val="es-AR"/>
        </w:rPr>
      </w:pPr>
      <w:r w:rsidRPr="000231F9">
        <w:rPr>
          <w:sz w:val="24"/>
          <w:szCs w:val="24"/>
          <w:u w:val="single"/>
          <w:lang w:val="es-AR"/>
        </w:rPr>
        <w:t>Recomendaciones</w:t>
      </w:r>
    </w:p>
    <w:p w14:paraId="000000D9" w14:textId="77777777" w:rsidR="00C60456" w:rsidRPr="000231F9" w:rsidRDefault="0007730F">
      <w:pPr>
        <w:spacing w:after="200" w:line="360" w:lineRule="auto"/>
        <w:jc w:val="both"/>
        <w:rPr>
          <w:sz w:val="24"/>
          <w:szCs w:val="24"/>
          <w:u w:val="single"/>
          <w:lang w:val="es-AR"/>
        </w:rPr>
      </w:pPr>
      <w:r w:rsidRPr="000231F9">
        <w:rPr>
          <w:sz w:val="24"/>
          <w:szCs w:val="24"/>
          <w:u w:val="single"/>
          <w:lang w:val="es-AR"/>
        </w:rPr>
        <w:t>12. Se inste al Estado a:</w:t>
      </w:r>
    </w:p>
    <w:p w14:paraId="000000DA" w14:textId="77777777" w:rsidR="00C60456" w:rsidRPr="000231F9" w:rsidRDefault="0007730F">
      <w:pPr>
        <w:spacing w:before="240" w:after="200" w:line="360" w:lineRule="auto"/>
        <w:ind w:left="720" w:right="60"/>
        <w:jc w:val="both"/>
        <w:rPr>
          <w:sz w:val="24"/>
          <w:szCs w:val="24"/>
          <w:lang w:val="es-AR"/>
        </w:rPr>
      </w:pPr>
      <w:r w:rsidRPr="000231F9">
        <w:rPr>
          <w:sz w:val="24"/>
          <w:szCs w:val="24"/>
          <w:lang w:val="es-AR"/>
        </w:rPr>
        <w:t>12.1. Cumplir las recomendaciones 18.a, b, c, y d, con el fin de garantizar que las empresas que causen violaciones a los derechos humanos sean responsables y se repare integralmente a las víctimas a la luz de los principios de Empresas y Derechos Humanos de las Naciones Unidas.</w:t>
      </w:r>
    </w:p>
    <w:p w14:paraId="000000DB" w14:textId="77777777" w:rsidR="00C60456" w:rsidRPr="000231F9" w:rsidRDefault="0007730F">
      <w:pPr>
        <w:spacing w:before="240" w:after="200" w:line="360" w:lineRule="auto"/>
        <w:ind w:left="720" w:right="60"/>
        <w:jc w:val="both"/>
        <w:rPr>
          <w:sz w:val="24"/>
          <w:szCs w:val="24"/>
          <w:lang w:val="es-AR"/>
        </w:rPr>
      </w:pPr>
      <w:r w:rsidRPr="000231F9">
        <w:rPr>
          <w:sz w:val="24"/>
          <w:szCs w:val="24"/>
          <w:lang w:val="es-AR"/>
        </w:rPr>
        <w:t>12.2. Ejecutar el plan de reasentamiento de manera integral y con perspectiva de derechos humanos en el Hatillo, garantizando los derechos de las NN de la comunidad.</w:t>
      </w:r>
    </w:p>
    <w:p w14:paraId="000000DC" w14:textId="77777777" w:rsidR="00C60456" w:rsidRPr="000231F9" w:rsidRDefault="0007730F">
      <w:pPr>
        <w:spacing w:before="240" w:after="200" w:line="360" w:lineRule="auto"/>
        <w:ind w:left="720" w:right="60"/>
        <w:jc w:val="both"/>
        <w:rPr>
          <w:sz w:val="24"/>
          <w:szCs w:val="24"/>
          <w:lang w:val="es-AR"/>
        </w:rPr>
      </w:pPr>
      <w:r w:rsidRPr="000231F9">
        <w:rPr>
          <w:sz w:val="24"/>
          <w:szCs w:val="24"/>
          <w:lang w:val="es-AR"/>
        </w:rPr>
        <w:lastRenderedPageBreak/>
        <w:t>12.3. Indemnizar y reparar integralmente a los miembros de la comunidad del Hatillo, incluyendo NN, aplicando enfoques diferenciales.</w:t>
      </w:r>
    </w:p>
    <w:p w14:paraId="000000DD" w14:textId="77777777" w:rsidR="00C60456" w:rsidRPr="000231F9" w:rsidRDefault="0007730F">
      <w:pPr>
        <w:spacing w:before="240" w:after="200" w:line="360" w:lineRule="auto"/>
        <w:ind w:left="720" w:right="60"/>
        <w:jc w:val="both"/>
        <w:rPr>
          <w:sz w:val="24"/>
          <w:szCs w:val="24"/>
          <w:lang w:val="es-AR"/>
        </w:rPr>
      </w:pPr>
      <w:r w:rsidRPr="000231F9">
        <w:rPr>
          <w:sz w:val="24"/>
          <w:szCs w:val="24"/>
          <w:lang w:val="es-AR"/>
        </w:rPr>
        <w:t>12.4. Garantizar la participación de NN en los procesos de reparación y reasentamiento.</w:t>
      </w:r>
    </w:p>
    <w:p w14:paraId="000000DE" w14:textId="77777777" w:rsidR="00C60456" w:rsidRPr="000231F9" w:rsidRDefault="0007730F" w:rsidP="00924EFA">
      <w:pPr>
        <w:pStyle w:val="Heading2"/>
        <w:rPr>
          <w:lang w:val="es-AR"/>
        </w:rPr>
      </w:pPr>
      <w:bookmarkStart w:id="52" w:name="_Toc181285180"/>
      <w:bookmarkStart w:id="53" w:name="_Toc181286248"/>
      <w:r w:rsidRPr="000231F9">
        <w:rPr>
          <w:lang w:val="es-AR"/>
        </w:rPr>
        <w:t>Anexos:</w:t>
      </w:r>
      <w:bookmarkEnd w:id="52"/>
      <w:bookmarkEnd w:id="53"/>
      <w:r w:rsidRPr="000231F9">
        <w:rPr>
          <w:lang w:val="es-AR"/>
        </w:rPr>
        <w:t xml:space="preserve"> </w:t>
      </w:r>
    </w:p>
    <w:p w14:paraId="000000DF" w14:textId="77777777" w:rsidR="00C60456" w:rsidRDefault="0007730F">
      <w:pPr>
        <w:spacing w:before="200" w:line="360" w:lineRule="auto"/>
        <w:jc w:val="both"/>
        <w:rPr>
          <w:sz w:val="24"/>
          <w:szCs w:val="24"/>
          <w:lang w:val="es-AR"/>
        </w:rPr>
      </w:pPr>
      <w:r w:rsidRPr="000231F9">
        <w:rPr>
          <w:b/>
          <w:sz w:val="24"/>
          <w:szCs w:val="24"/>
          <w:lang w:val="es-AR"/>
        </w:rPr>
        <w:t>Anexo 1.</w:t>
      </w:r>
      <w:r w:rsidRPr="000231F9">
        <w:rPr>
          <w:sz w:val="24"/>
          <w:szCs w:val="24"/>
          <w:lang w:val="es-AR"/>
        </w:rPr>
        <w:t xml:space="preserve"> Pensamiento y Acción Social. Identidades y riesgos en la defensa infantil y juvenil del ambiente en Colombia: expresiones organizativas, análisis de riesgos y desafíos para su protección. </w:t>
      </w:r>
      <w:r w:rsidRPr="00C76D00">
        <w:rPr>
          <w:sz w:val="24"/>
          <w:szCs w:val="24"/>
          <w:lang w:val="es-AR"/>
        </w:rPr>
        <w:t>Febrero de 2023.</w:t>
      </w:r>
    </w:p>
    <w:p w14:paraId="002AA0C8" w14:textId="43B89BA9" w:rsidR="00F14950" w:rsidRPr="007A40A0" w:rsidRDefault="00F14950">
      <w:pPr>
        <w:spacing w:before="200" w:line="360" w:lineRule="auto"/>
        <w:jc w:val="both"/>
        <w:rPr>
          <w:sz w:val="24"/>
          <w:szCs w:val="24"/>
          <w:lang w:val="es-CO"/>
        </w:rPr>
      </w:pPr>
      <w:r w:rsidRPr="00F07571">
        <w:rPr>
          <w:b/>
          <w:bCs/>
          <w:sz w:val="24"/>
          <w:szCs w:val="24"/>
          <w:lang w:val="pt-BR"/>
        </w:rPr>
        <w:t xml:space="preserve">Anexo 2. </w:t>
      </w:r>
      <w:r w:rsidR="00F07571" w:rsidRPr="007A40A0">
        <w:rPr>
          <w:sz w:val="24"/>
          <w:szCs w:val="24"/>
          <w:lang w:val="es-CO"/>
        </w:rPr>
        <w:t>Centro Comunitario Las Colinas</w:t>
      </w:r>
      <w:r w:rsidR="002F60AB" w:rsidRPr="007A40A0">
        <w:rPr>
          <w:sz w:val="24"/>
          <w:szCs w:val="24"/>
          <w:lang w:val="es-CO"/>
        </w:rPr>
        <w:t xml:space="preserve"> (CECUCOL), Minga Social Popular y Comunitaria </w:t>
      </w:r>
      <w:r w:rsidR="007A40A0" w:rsidRPr="007A40A0">
        <w:rPr>
          <w:sz w:val="24"/>
          <w:szCs w:val="24"/>
          <w:lang w:val="es-CO"/>
        </w:rPr>
        <w:t>Cali. Vulneración del</w:t>
      </w:r>
      <w:r w:rsidR="007A40A0">
        <w:rPr>
          <w:sz w:val="24"/>
          <w:szCs w:val="24"/>
          <w:lang w:val="es-CO"/>
        </w:rPr>
        <w:t xml:space="preserve"> derecho a la vivienda para la niñez</w:t>
      </w:r>
      <w:r w:rsidR="00E97C15">
        <w:rPr>
          <w:sz w:val="24"/>
          <w:szCs w:val="24"/>
          <w:lang w:val="es-CO"/>
        </w:rPr>
        <w:t xml:space="preserve">, inercia estatal y revictimización en casos de desalojos forzados, en el caso de Cali. </w:t>
      </w:r>
      <w:r w:rsidR="006C0F72">
        <w:rPr>
          <w:sz w:val="24"/>
          <w:szCs w:val="24"/>
          <w:lang w:val="es-CO"/>
        </w:rPr>
        <w:t>Julio de 2024.</w:t>
      </w:r>
    </w:p>
    <w:p w14:paraId="7EB08083" w14:textId="24F4F9EB" w:rsidR="00924EFA" w:rsidRPr="00C76D00" w:rsidRDefault="00924EFA">
      <w:pPr>
        <w:spacing w:before="200" w:line="360" w:lineRule="auto"/>
        <w:jc w:val="both"/>
        <w:rPr>
          <w:sz w:val="24"/>
          <w:szCs w:val="24"/>
          <w:lang w:val="es-AR"/>
        </w:rPr>
      </w:pPr>
      <w:r w:rsidRPr="007A40A0">
        <w:rPr>
          <w:b/>
          <w:bCs/>
          <w:sz w:val="24"/>
          <w:szCs w:val="24"/>
          <w:lang w:val="es-CO"/>
        </w:rPr>
        <w:t xml:space="preserve">Anexo </w:t>
      </w:r>
      <w:r w:rsidR="00F14950" w:rsidRPr="007A40A0">
        <w:rPr>
          <w:b/>
          <w:bCs/>
          <w:sz w:val="24"/>
          <w:szCs w:val="24"/>
          <w:lang w:val="es-CO"/>
        </w:rPr>
        <w:t>3</w:t>
      </w:r>
      <w:r w:rsidRPr="007A40A0">
        <w:rPr>
          <w:b/>
          <w:bCs/>
          <w:sz w:val="24"/>
          <w:szCs w:val="24"/>
          <w:lang w:val="es-CO"/>
        </w:rPr>
        <w:t>.</w:t>
      </w:r>
      <w:r w:rsidRPr="007A40A0">
        <w:rPr>
          <w:sz w:val="24"/>
          <w:szCs w:val="24"/>
          <w:lang w:val="es-CO"/>
        </w:rPr>
        <w:t xml:space="preserve"> </w:t>
      </w:r>
      <w:r w:rsidRPr="00924EFA">
        <w:rPr>
          <w:sz w:val="24"/>
          <w:szCs w:val="24"/>
          <w:lang w:val="es-AR"/>
        </w:rPr>
        <w:t>Traducción del presente informe alterno a inglé</w:t>
      </w:r>
      <w:r>
        <w:rPr>
          <w:sz w:val="24"/>
          <w:szCs w:val="24"/>
          <w:lang w:val="es-AR"/>
        </w:rPr>
        <w:t>s</w:t>
      </w:r>
      <w:r w:rsidRPr="00C76D00">
        <w:rPr>
          <w:sz w:val="24"/>
          <w:szCs w:val="24"/>
          <w:lang w:val="es-AR"/>
        </w:rPr>
        <w:t>.</w:t>
      </w:r>
    </w:p>
    <w:p w14:paraId="000000E0" w14:textId="77777777" w:rsidR="00C60456" w:rsidRPr="00C76D00" w:rsidRDefault="00C60456">
      <w:pPr>
        <w:spacing w:before="200" w:line="360" w:lineRule="auto"/>
        <w:jc w:val="both"/>
        <w:rPr>
          <w:b/>
          <w:sz w:val="24"/>
          <w:szCs w:val="24"/>
          <w:lang w:val="es-AR"/>
        </w:rPr>
      </w:pPr>
    </w:p>
    <w:sectPr w:rsidR="00C60456" w:rsidRPr="00C76D00">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2" w:author="sara ramirez gomez" w:date="2024-10-31T17:24:00Z" w:initials="sr">
    <w:p w14:paraId="5F3C3397" w14:textId="77777777" w:rsidR="00430CE1" w:rsidRDefault="00430CE1" w:rsidP="00430CE1">
      <w:pPr>
        <w:pStyle w:val="CommentText"/>
      </w:pPr>
      <w:r>
        <w:rPr>
          <w:rStyle w:val="CommentReference"/>
        </w:rPr>
        <w:annotationRef/>
      </w:r>
      <w:r>
        <w:rPr>
          <w:lang w:val="es-CO"/>
        </w:rPr>
        <w:t>No se si se vea adecuado agregar que las fuerzas militares tenian conocimiento previo de que habian NNA en los lugares a bombardear</w:t>
      </w:r>
    </w:p>
  </w:comment>
  <w:comment w:id="15" w:author="sara ramirez gomez" w:date="2024-10-31T17:30:00Z" w:initials="sr">
    <w:p w14:paraId="656132B2" w14:textId="77777777" w:rsidR="00430CE1" w:rsidRDefault="00430CE1" w:rsidP="00430CE1">
      <w:pPr>
        <w:pStyle w:val="CommentText"/>
      </w:pPr>
      <w:r>
        <w:rPr>
          <w:rStyle w:val="CommentReference"/>
        </w:rPr>
        <w:annotationRef/>
      </w:r>
      <w:r>
        <w:rPr>
          <w:lang w:val="es-CO"/>
        </w:rPr>
        <w:t xml:space="preserve">No se si se vea necesario que en las recomendaciones se diga que el conocimiento desde el pensum en colegios y a traves de los medios privados de comunicación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F3C3397" w15:done="0"/>
  <w15:commentEx w15:paraId="656132B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B971E08" w16cex:dateUtc="2024-10-31T22:24:00Z"/>
  <w16cex:commentExtensible w16cex:durableId="54F6643B" w16cex:dateUtc="2024-10-31T22: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3C3397" w16cid:durableId="3B971E08"/>
  <w16cid:commentId w16cid:paraId="656132B2" w16cid:durableId="54F6643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5C72E" w14:textId="77777777" w:rsidR="00DB1644" w:rsidRDefault="00DB1644">
      <w:pPr>
        <w:spacing w:line="240" w:lineRule="auto"/>
      </w:pPr>
      <w:r>
        <w:separator/>
      </w:r>
    </w:p>
  </w:endnote>
  <w:endnote w:type="continuationSeparator" w:id="0">
    <w:p w14:paraId="45C77E5E" w14:textId="77777777" w:rsidR="00DB1644" w:rsidRDefault="00DB16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F69710A8-4BD9-411C-BCE5-03C8DF186197}"/>
    <w:embedBold r:id="rId2" w:fontKey="{B3B56A55-515E-4E6F-BF8B-4ECF4E9E21EA}"/>
  </w:font>
  <w:font w:name="Cambria">
    <w:panose1 w:val="02040503050406030204"/>
    <w:charset w:val="00"/>
    <w:family w:val="roman"/>
    <w:pitch w:val="variable"/>
    <w:sig w:usb0="E00006FF" w:usb1="420024FF" w:usb2="02000000" w:usb3="00000000" w:csb0="0000019F" w:csb1="00000000"/>
    <w:embedRegular r:id="rId3" w:fontKey="{23CC2679-D84B-4AD7-B6C2-867A559992EC}"/>
  </w:font>
  <w:font w:name="Roboto">
    <w:charset w:val="00"/>
    <w:family w:val="auto"/>
    <w:pitch w:val="variable"/>
    <w:sig w:usb0="E0000AFF" w:usb1="5000217F" w:usb2="00000021" w:usb3="00000000" w:csb0="0000019F" w:csb1="00000000"/>
    <w:embedRegular r:id="rId4" w:fontKey="{CD6B0653-FA75-4A20-B527-BC8FBB3CDAA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B2B9B" w14:textId="77777777" w:rsidR="00DB1644" w:rsidRDefault="00DB1644">
      <w:pPr>
        <w:spacing w:line="240" w:lineRule="auto"/>
      </w:pPr>
      <w:r>
        <w:separator/>
      </w:r>
    </w:p>
  </w:footnote>
  <w:footnote w:type="continuationSeparator" w:id="0">
    <w:p w14:paraId="2AD322D9" w14:textId="77777777" w:rsidR="00DB1644" w:rsidRDefault="00DB1644">
      <w:pPr>
        <w:spacing w:line="240" w:lineRule="auto"/>
      </w:pPr>
      <w:r>
        <w:continuationSeparator/>
      </w:r>
    </w:p>
  </w:footnote>
  <w:footnote w:id="1">
    <w:p w14:paraId="00000125" w14:textId="77777777" w:rsidR="00C60456" w:rsidRPr="000231F9" w:rsidRDefault="0007730F">
      <w:pPr>
        <w:spacing w:line="240" w:lineRule="auto"/>
        <w:rPr>
          <w:rFonts w:asciiTheme="minorBidi" w:hAnsiTheme="minorBidi" w:cstheme="minorBidi"/>
          <w:sz w:val="20"/>
          <w:szCs w:val="20"/>
          <w:vertAlign w:val="superscript"/>
          <w:lang w:val="es-AR"/>
        </w:rPr>
      </w:pPr>
      <w:r>
        <w:rPr>
          <w:vertAlign w:val="superscript"/>
        </w:rPr>
        <w:footnoteRef/>
      </w:r>
      <w:r w:rsidRPr="000231F9">
        <w:rPr>
          <w:sz w:val="20"/>
          <w:szCs w:val="20"/>
          <w:vertAlign w:val="superscript"/>
          <w:lang w:val="es-AR"/>
        </w:rPr>
        <w:t xml:space="preserve"> </w:t>
      </w:r>
      <w:r w:rsidRPr="000231F9">
        <w:rPr>
          <w:rFonts w:asciiTheme="minorBidi" w:eastAsia="Times New Roman" w:hAnsiTheme="minorBidi" w:cstheme="minorBidi"/>
          <w:sz w:val="20"/>
          <w:szCs w:val="20"/>
          <w:lang w:val="es-AR"/>
        </w:rPr>
        <w:t>ONU. La ONU rechaza la violencia y llama a la implementación amplia del Acuerdo de Paz. 28 de enero de 2022. Disponible en:</w:t>
      </w:r>
      <w:hyperlink r:id="rId1">
        <w:r w:rsidR="00C60456" w:rsidRPr="000231F9">
          <w:rPr>
            <w:rFonts w:asciiTheme="minorBidi" w:eastAsia="Times New Roman" w:hAnsiTheme="minorBidi" w:cstheme="minorBidi"/>
            <w:sz w:val="20"/>
            <w:szCs w:val="20"/>
            <w:lang w:val="es-AR"/>
          </w:rPr>
          <w:t xml:space="preserve"> </w:t>
        </w:r>
      </w:hyperlink>
      <w:hyperlink r:id="rId2">
        <w:r w:rsidR="00C60456" w:rsidRPr="000231F9">
          <w:rPr>
            <w:rFonts w:asciiTheme="minorBidi" w:eastAsia="Times New Roman" w:hAnsiTheme="minorBidi" w:cstheme="minorBidi"/>
            <w:color w:val="1155CC"/>
            <w:sz w:val="20"/>
            <w:szCs w:val="20"/>
            <w:u w:val="single"/>
            <w:lang w:val="es-AR"/>
          </w:rPr>
          <w:t>https://news.un.org/es/story/2022/01/150325</w:t>
        </w:r>
      </w:hyperlink>
      <w:r w:rsidRPr="000231F9">
        <w:rPr>
          <w:rFonts w:asciiTheme="minorBidi" w:eastAsia="Times New Roman" w:hAnsiTheme="minorBidi" w:cstheme="minorBidi"/>
          <w:sz w:val="20"/>
          <w:szCs w:val="20"/>
          <w:lang w:val="es-AR"/>
        </w:rPr>
        <w:t xml:space="preserve"> . OACNUDH. Informe de la Alta Comisionada de las Naciones Unidas para los Derechos Humanos sobre la situación de Derechos Humanos en Colombia durante el año 2019. Disponible en: </w:t>
      </w:r>
      <w:hyperlink r:id="rId3">
        <w:r w:rsidR="00C60456" w:rsidRPr="000231F9">
          <w:rPr>
            <w:rFonts w:asciiTheme="minorBidi" w:eastAsia="Times New Roman" w:hAnsiTheme="minorBidi" w:cstheme="minorBidi"/>
            <w:color w:val="1155CC"/>
            <w:sz w:val="20"/>
            <w:szCs w:val="20"/>
            <w:u w:val="single"/>
            <w:lang w:val="es-AR"/>
          </w:rPr>
          <w:t>https://www.hchr.org.co/informes_anuales/informe-del-alto-comisionado-de-las-naciones-unidas-para-los-derechos-humanos-sobre-la-situacion-de-derechos-humanos-en-colombia-durante-el-ano2019/</w:t>
        </w:r>
      </w:hyperlink>
      <w:r w:rsidRPr="000231F9">
        <w:rPr>
          <w:rFonts w:asciiTheme="minorBidi" w:eastAsia="Times New Roman" w:hAnsiTheme="minorBidi" w:cstheme="minorBidi"/>
          <w:sz w:val="20"/>
          <w:szCs w:val="20"/>
          <w:lang w:val="es-AR"/>
        </w:rPr>
        <w:t>. Indepaz. Incertidumbres de la paz. Entre el incumplimiento del Acuerdo y las luchas sociales en su defensa. 2021. Disponible:</w:t>
      </w:r>
      <w:hyperlink r:id="rId4">
        <w:r w:rsidR="00C60456" w:rsidRPr="000231F9">
          <w:rPr>
            <w:rFonts w:asciiTheme="minorBidi" w:eastAsia="Times New Roman" w:hAnsiTheme="minorBidi" w:cstheme="minorBidi"/>
            <w:sz w:val="20"/>
            <w:szCs w:val="20"/>
            <w:lang w:val="es-AR"/>
          </w:rPr>
          <w:t xml:space="preserve"> </w:t>
        </w:r>
      </w:hyperlink>
      <w:hyperlink r:id="rId5">
        <w:r w:rsidR="00C60456" w:rsidRPr="000231F9">
          <w:rPr>
            <w:rFonts w:asciiTheme="minorBidi" w:eastAsia="Times New Roman" w:hAnsiTheme="minorBidi" w:cstheme="minorBidi"/>
            <w:color w:val="1155CC"/>
            <w:sz w:val="20"/>
            <w:szCs w:val="20"/>
            <w:u w:val="single"/>
            <w:lang w:val="es-AR"/>
          </w:rPr>
          <w:t>https://indepaz.org.co/incertidumbres-de-la-paz-entre-el-incumplimiento-del-acuerdo-y-las-luchas-sociales-en-su-defensa/</w:t>
        </w:r>
      </w:hyperlink>
      <w:r w:rsidRPr="000231F9">
        <w:rPr>
          <w:rFonts w:asciiTheme="minorBidi" w:eastAsia="Times New Roman" w:hAnsiTheme="minorBidi" w:cstheme="minorBidi"/>
          <w:sz w:val="20"/>
          <w:szCs w:val="20"/>
          <w:lang w:val="es-AR"/>
        </w:rPr>
        <w:t xml:space="preserve"> .</w:t>
      </w:r>
    </w:p>
  </w:footnote>
  <w:footnote w:id="2">
    <w:p w14:paraId="000000E1" w14:textId="77777777" w:rsidR="00C60456" w:rsidRPr="006A5420" w:rsidRDefault="0007730F">
      <w:pPr>
        <w:spacing w:line="240" w:lineRule="auto"/>
        <w:jc w:val="both"/>
        <w:rPr>
          <w:rFonts w:asciiTheme="minorBidi" w:hAnsiTheme="minorBidi" w:cstheme="minorBidi"/>
          <w:sz w:val="20"/>
          <w:szCs w:val="20"/>
          <w:lang w:val="es-CO"/>
        </w:rPr>
      </w:pPr>
      <w:r w:rsidRPr="000231F9">
        <w:rPr>
          <w:rFonts w:asciiTheme="minorBidi" w:hAnsiTheme="minorBidi" w:cstheme="minorBidi"/>
          <w:sz w:val="20"/>
          <w:szCs w:val="20"/>
          <w:vertAlign w:val="superscript"/>
        </w:rPr>
        <w:footnoteRef/>
      </w:r>
      <w:r w:rsidRPr="00C76D00">
        <w:rPr>
          <w:rFonts w:asciiTheme="minorBidi" w:hAnsiTheme="minorBidi" w:cstheme="minorBidi"/>
          <w:sz w:val="20"/>
          <w:szCs w:val="20"/>
          <w:lang w:val="es-AR"/>
        </w:rPr>
        <w:t xml:space="preserve"> </w:t>
      </w:r>
      <w:r w:rsidRPr="00C76D00">
        <w:rPr>
          <w:rFonts w:asciiTheme="minorBidi" w:eastAsia="Times New Roman" w:hAnsiTheme="minorBidi" w:cstheme="minorBidi"/>
          <w:sz w:val="20"/>
          <w:szCs w:val="20"/>
          <w:lang w:val="es-AR"/>
        </w:rPr>
        <w:t xml:space="preserve">OACNUDH. Informe anual 2016, A/HRC/34/3/Add.3, 15 de marzo de 2017, párr. 14. Informe anual 2017, A/HRC/37/3/Add.3, 02 de marzo de 2018, párr. 11, 6 y 72. Informe anual 2018, A/HRC/40/3/Add.3, 04 de febrero de 2019, párr. 83, Informe anual 2019, A/HRC/43/3 Add.3, 26 de febrero de 2020, párr. 6.Informe Anual 2021, A/HRC/49/19, 17 de mayo de 2022, para. 26. Informe Anual, A/HRC/52/25, 23 de febrero de 2023, paras 41-51. Informe Anual 2023, A/HRC/55/23 , Febrero 2024, para. </w:t>
      </w:r>
      <w:r w:rsidRPr="006A5420">
        <w:rPr>
          <w:rFonts w:asciiTheme="minorBidi" w:eastAsia="Times New Roman" w:hAnsiTheme="minorBidi" w:cstheme="minorBidi"/>
          <w:sz w:val="20"/>
          <w:szCs w:val="20"/>
          <w:lang w:val="es-CO"/>
        </w:rPr>
        <w:t xml:space="preserve">1o. </w:t>
      </w:r>
    </w:p>
  </w:footnote>
  <w:footnote w:id="3">
    <w:p w14:paraId="000000E2" w14:textId="77777777" w:rsidR="00C60456" w:rsidRPr="000231F9" w:rsidRDefault="0007730F">
      <w:pPr>
        <w:spacing w:line="240" w:lineRule="auto"/>
        <w:jc w:val="both"/>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C76D00">
        <w:rPr>
          <w:rFonts w:asciiTheme="minorBidi" w:hAnsiTheme="minorBidi" w:cstheme="minorBidi"/>
          <w:sz w:val="20"/>
          <w:szCs w:val="20"/>
          <w:lang w:val="es-AR"/>
        </w:rPr>
        <w:t xml:space="preserve"> </w:t>
      </w:r>
      <w:r w:rsidRPr="00C76D00">
        <w:rPr>
          <w:rFonts w:asciiTheme="minorBidi" w:eastAsia="Times New Roman" w:hAnsiTheme="minorBidi" w:cstheme="minorBidi"/>
          <w:sz w:val="20"/>
          <w:szCs w:val="20"/>
          <w:lang w:val="es-AR"/>
        </w:rPr>
        <w:t xml:space="preserve">SGNU. Informe presentado al Consejo de Seguridad de la ONU. </w:t>
      </w:r>
      <w:r w:rsidRPr="000231F9">
        <w:rPr>
          <w:rFonts w:asciiTheme="minorBidi" w:eastAsia="Times New Roman" w:hAnsiTheme="minorBidi" w:cstheme="minorBidi"/>
          <w:sz w:val="20"/>
          <w:szCs w:val="20"/>
          <w:lang w:val="es-AR"/>
        </w:rPr>
        <w:t xml:space="preserve">Los niños y el conflicto armado en Colombia, S/2019/1017, 31 de diciembre de 2019.  Los niños y el conflicto armado en Colombia - Informe del Secretario General (S/2024/161), 13 de febrero de 2024. </w:t>
      </w:r>
    </w:p>
  </w:footnote>
  <w:footnote w:id="4">
    <w:p w14:paraId="00000122"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SGNU. </w:t>
      </w:r>
      <w:r w:rsidRPr="000231F9">
        <w:rPr>
          <w:rFonts w:asciiTheme="minorBidi" w:eastAsia="Times New Roman" w:hAnsiTheme="minorBidi" w:cstheme="minorBidi"/>
          <w:sz w:val="20"/>
          <w:szCs w:val="20"/>
          <w:lang w:val="es-AR"/>
        </w:rPr>
        <w:t>Los niños y el conflicto armado en Colombia, S/2024/161, 13 de febrero de 2024. Para. 13.</w:t>
      </w:r>
    </w:p>
  </w:footnote>
  <w:footnote w:id="5">
    <w:p w14:paraId="00000123" w14:textId="77777777"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eastAsia="Times New Roman" w:hAnsiTheme="minorBidi" w:cstheme="minorBidi"/>
          <w:sz w:val="20"/>
          <w:szCs w:val="20"/>
          <w:lang w:val="es-AR"/>
        </w:rPr>
        <w:t xml:space="preserve"> </w:t>
      </w:r>
      <w:r w:rsidRPr="000231F9">
        <w:rPr>
          <w:rFonts w:asciiTheme="minorBidi" w:hAnsiTheme="minorBidi" w:cstheme="minorBidi"/>
          <w:sz w:val="20"/>
          <w:szCs w:val="20"/>
          <w:lang w:val="es-AR"/>
        </w:rPr>
        <w:t xml:space="preserve">SGNU. </w:t>
      </w:r>
      <w:r w:rsidRPr="000231F9">
        <w:rPr>
          <w:rFonts w:asciiTheme="minorBidi" w:eastAsia="Times New Roman" w:hAnsiTheme="minorBidi" w:cstheme="minorBidi"/>
          <w:sz w:val="20"/>
          <w:szCs w:val="20"/>
          <w:lang w:val="es-AR"/>
        </w:rPr>
        <w:t>Los niños y el conflicto armado en Colombia, S/2024/161, 13 de febrero de 2024.</w:t>
      </w:r>
    </w:p>
  </w:footnote>
  <w:footnote w:id="6">
    <w:p w14:paraId="00000124" w14:textId="77777777"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eastAsia="Times New Roman" w:hAnsiTheme="minorBidi" w:cstheme="minorBidi"/>
          <w:sz w:val="20"/>
          <w:szCs w:val="20"/>
          <w:lang w:val="es-AR"/>
        </w:rPr>
        <w:t xml:space="preserve">Consejo de Derechos Humanos. Asistencia técnica y fomento de la capacidad en Colombia Informe de la Experta Internacional en Derechos Humanos. A/HRC/55/18. 20 de Marzo de 2024. Para. 104. Disponible en: </w:t>
      </w:r>
      <w:hyperlink r:id="rId6">
        <w:r w:rsidR="00C60456" w:rsidRPr="000231F9">
          <w:rPr>
            <w:rFonts w:asciiTheme="minorBidi" w:eastAsia="Times New Roman" w:hAnsiTheme="minorBidi" w:cstheme="minorBidi"/>
            <w:color w:val="1155CC"/>
            <w:sz w:val="20"/>
            <w:szCs w:val="20"/>
            <w:u w:val="single"/>
            <w:lang w:val="es-AR"/>
          </w:rPr>
          <w:t>https://www.ohchr.org/sites/default/files/documents/hrbodies/hrcouncil/sessions-regular/session55/advance-versions/A-HRC-55-18-sp-AdvanceUneditedVersion.pdf</w:t>
        </w:r>
      </w:hyperlink>
      <w:r w:rsidRPr="000231F9">
        <w:rPr>
          <w:rFonts w:asciiTheme="minorBidi" w:eastAsia="Times New Roman" w:hAnsiTheme="minorBidi" w:cstheme="minorBidi"/>
          <w:sz w:val="20"/>
          <w:szCs w:val="20"/>
          <w:lang w:val="es-AR"/>
        </w:rPr>
        <w:t xml:space="preserve"> v</w:t>
      </w:r>
    </w:p>
  </w:footnote>
  <w:footnote w:id="7">
    <w:p w14:paraId="000000E3"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Comité de los Derechos del Niño. Observaciones finales sobre los informes periódicos cuarto y quinto combinados de Colombia.CRC/C/COL/CO/4-5.  6 de marzo de 2015. Recomendación 19 a, b y c.</w:t>
      </w:r>
    </w:p>
  </w:footnote>
  <w:footnote w:id="8">
    <w:p w14:paraId="000000E4"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Ibidem. Recomendación 27 a. </w:t>
      </w:r>
    </w:p>
  </w:footnote>
  <w:footnote w:id="9">
    <w:p w14:paraId="000000E5"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Ibidem. Recomendación 65.</w:t>
      </w:r>
    </w:p>
  </w:footnote>
  <w:footnote w:id="10">
    <w:p w14:paraId="000000E6"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Gobierno de Colombia. Informe del Estado: Sexto y Séptimo informe Combinado Convencional y Periódico de Colombia. CRC/C/COL/6-7. 25 de agosto de 2021. párrafos 201, 202, 203</w:t>
      </w:r>
    </w:p>
  </w:footnote>
  <w:footnote w:id="11">
    <w:p w14:paraId="00000121"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Defensoría del Pueblo. La Defensoría del Pueblo registró 184 casos de reclutamiento de menores en 2023. 13 de febrero de 2024. Disponible en: </w:t>
      </w:r>
      <w:hyperlink r:id="rId7" w:anchor=":~:text=La%20Defensor%C3%ADa%20del%20Pueblo%20registr%C3%B3,mayor%20n%C3%BAmero%2C%20con%20123%20casos">
        <w:r w:rsidR="00C60456" w:rsidRPr="000231F9">
          <w:rPr>
            <w:rFonts w:asciiTheme="minorBidi" w:hAnsiTheme="minorBidi" w:cstheme="minorBidi"/>
            <w:color w:val="1155CC"/>
            <w:sz w:val="20"/>
            <w:szCs w:val="20"/>
            <w:u w:val="single"/>
            <w:lang w:val="es-AR"/>
          </w:rPr>
          <w:t>https://www.defensoria.gov.co/-/defensor%C3%ADa-del-pueblo-registr%C3%B3-184-casos-de-reclutamiento-de-menores-en-2023#:~:text=La%20Defensor%C3%ADa%20del%20Pueblo%20registr%C3%B3,mayor%20n%C3%BAmero%2C%20con%20123%20casos</w:t>
        </w:r>
      </w:hyperlink>
      <w:r w:rsidRPr="000231F9">
        <w:rPr>
          <w:rFonts w:asciiTheme="minorBidi" w:hAnsiTheme="minorBidi" w:cstheme="minorBidi"/>
          <w:sz w:val="20"/>
          <w:szCs w:val="20"/>
          <w:lang w:val="es-AR"/>
        </w:rPr>
        <w:t>. .</w:t>
      </w:r>
    </w:p>
  </w:footnote>
  <w:footnote w:id="12">
    <w:p w14:paraId="0000011F" w14:textId="77777777" w:rsidR="00C60456" w:rsidRPr="000231F9" w:rsidRDefault="0007730F">
      <w:pPr>
        <w:spacing w:line="240" w:lineRule="auto"/>
        <w:jc w:val="both"/>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eastAsia="Times New Roman" w:hAnsiTheme="minorBidi" w:cstheme="minorBidi"/>
          <w:sz w:val="20"/>
          <w:szCs w:val="20"/>
          <w:lang w:val="es-AR"/>
        </w:rPr>
        <w:t xml:space="preserve"> MAPP OEA.</w:t>
      </w:r>
      <w:r w:rsidRPr="000231F9">
        <w:rPr>
          <w:rFonts w:asciiTheme="minorBidi" w:eastAsia="Times New Roman" w:hAnsiTheme="minorBidi" w:cstheme="minorBidi"/>
          <w:color w:val="008080"/>
          <w:sz w:val="20"/>
          <w:szCs w:val="20"/>
          <w:lang w:val="es-AR"/>
        </w:rPr>
        <w:t xml:space="preserve"> </w:t>
      </w:r>
      <w:r w:rsidRPr="000231F9">
        <w:rPr>
          <w:rFonts w:asciiTheme="minorBidi" w:eastAsia="Times New Roman" w:hAnsiTheme="minorBidi" w:cstheme="minorBidi"/>
          <w:sz w:val="20"/>
          <w:szCs w:val="20"/>
          <w:lang w:val="es-AR"/>
        </w:rPr>
        <w:t xml:space="preserve">XXXIII Informe Semestral. Disponible en: </w:t>
      </w:r>
      <w:hyperlink r:id="rId8">
        <w:r w:rsidR="00C60456" w:rsidRPr="000231F9">
          <w:rPr>
            <w:rFonts w:asciiTheme="minorBidi" w:eastAsia="Times New Roman" w:hAnsiTheme="minorBidi" w:cstheme="minorBidi"/>
            <w:color w:val="1155CC"/>
            <w:sz w:val="20"/>
            <w:szCs w:val="20"/>
            <w:u w:val="single"/>
            <w:lang w:val="es-AR"/>
          </w:rPr>
          <w:t>https://cutt.ly/PNl8rct</w:t>
        </w:r>
      </w:hyperlink>
      <w:r w:rsidRPr="000231F9">
        <w:rPr>
          <w:rFonts w:asciiTheme="minorBidi" w:eastAsia="Times New Roman" w:hAnsiTheme="minorBidi" w:cstheme="minorBidi"/>
          <w:sz w:val="20"/>
          <w:szCs w:val="20"/>
          <w:lang w:val="es-AR"/>
        </w:rPr>
        <w:t xml:space="preserve">. XXXII Informe Semestral. Disponible en: </w:t>
      </w:r>
      <w:hyperlink r:id="rId9">
        <w:r w:rsidR="00C60456" w:rsidRPr="000231F9">
          <w:rPr>
            <w:rFonts w:asciiTheme="minorBidi" w:eastAsia="Times New Roman" w:hAnsiTheme="minorBidi" w:cstheme="minorBidi"/>
            <w:color w:val="1155CC"/>
            <w:sz w:val="20"/>
            <w:szCs w:val="20"/>
            <w:u w:val="single"/>
            <w:lang w:val="es-AR"/>
          </w:rPr>
          <w:t>https://cutt.ly/iNl8LvI</w:t>
        </w:r>
      </w:hyperlink>
      <w:r w:rsidRPr="000231F9">
        <w:rPr>
          <w:rFonts w:asciiTheme="minorBidi" w:eastAsia="Times New Roman" w:hAnsiTheme="minorBidi" w:cstheme="minorBidi"/>
          <w:sz w:val="20"/>
          <w:szCs w:val="20"/>
          <w:lang w:val="es-AR"/>
        </w:rPr>
        <w:t xml:space="preserve">.  XXXI Informe Semestral. Disponible en: </w:t>
      </w:r>
      <w:hyperlink r:id="rId10">
        <w:r w:rsidR="00C60456" w:rsidRPr="000231F9">
          <w:rPr>
            <w:rFonts w:asciiTheme="minorBidi" w:eastAsia="Times New Roman" w:hAnsiTheme="minorBidi" w:cstheme="minorBidi"/>
            <w:color w:val="1155CC"/>
            <w:sz w:val="20"/>
            <w:szCs w:val="20"/>
            <w:u w:val="single"/>
            <w:lang w:val="es-AR"/>
          </w:rPr>
          <w:t>https://cutt.ly/cNl4SRv</w:t>
        </w:r>
      </w:hyperlink>
      <w:r w:rsidRPr="000231F9">
        <w:rPr>
          <w:rFonts w:asciiTheme="minorBidi" w:eastAsia="Times New Roman" w:hAnsiTheme="minorBidi" w:cstheme="minorBidi"/>
          <w:sz w:val="20"/>
          <w:szCs w:val="20"/>
          <w:lang w:val="es-AR"/>
        </w:rPr>
        <w:t xml:space="preserve"> .  XXX Informe Semestral. Disponible en:</w:t>
      </w:r>
      <w:hyperlink r:id="rId11">
        <w:r w:rsidR="00C60456" w:rsidRPr="000231F9">
          <w:rPr>
            <w:rFonts w:asciiTheme="minorBidi" w:eastAsia="Times New Roman" w:hAnsiTheme="minorBidi" w:cstheme="minorBidi"/>
            <w:sz w:val="20"/>
            <w:szCs w:val="20"/>
            <w:lang w:val="es-AR"/>
          </w:rPr>
          <w:t xml:space="preserve"> </w:t>
        </w:r>
      </w:hyperlink>
      <w:hyperlink r:id="rId12">
        <w:r w:rsidR="00C60456" w:rsidRPr="000231F9">
          <w:rPr>
            <w:rFonts w:asciiTheme="minorBidi" w:eastAsia="Times New Roman" w:hAnsiTheme="minorBidi" w:cstheme="minorBidi"/>
            <w:color w:val="1155CC"/>
            <w:sz w:val="20"/>
            <w:szCs w:val="20"/>
            <w:u w:val="single"/>
            <w:lang w:val="es-AR"/>
          </w:rPr>
          <w:t>https://cutt.ly/jNl0mh5</w:t>
        </w:r>
      </w:hyperlink>
      <w:r w:rsidRPr="000231F9">
        <w:rPr>
          <w:rFonts w:asciiTheme="minorBidi" w:eastAsia="Times New Roman" w:hAnsiTheme="minorBidi" w:cstheme="minorBidi"/>
          <w:sz w:val="20"/>
          <w:szCs w:val="20"/>
          <w:lang w:val="es-AR"/>
        </w:rPr>
        <w:t xml:space="preserve"> , XXIX Informe Semestral. Disponible en:</w:t>
      </w:r>
      <w:r w:rsidRPr="000231F9">
        <w:rPr>
          <w:rFonts w:asciiTheme="minorBidi" w:eastAsia="Times New Roman" w:hAnsiTheme="minorBidi" w:cstheme="minorBidi"/>
          <w:color w:val="008080"/>
          <w:sz w:val="20"/>
          <w:szCs w:val="20"/>
          <w:lang w:val="es-AR"/>
        </w:rPr>
        <w:t xml:space="preserve"> </w:t>
      </w:r>
      <w:hyperlink r:id="rId13">
        <w:r w:rsidR="00C60456" w:rsidRPr="000231F9">
          <w:rPr>
            <w:rFonts w:asciiTheme="minorBidi" w:eastAsia="Times New Roman" w:hAnsiTheme="minorBidi" w:cstheme="minorBidi"/>
            <w:color w:val="1155CC"/>
            <w:sz w:val="20"/>
            <w:szCs w:val="20"/>
            <w:u w:val="single"/>
            <w:lang w:val="es-AR"/>
          </w:rPr>
          <w:t>https://cutt.ly/wNl0U1N</w:t>
        </w:r>
      </w:hyperlink>
      <w:r w:rsidRPr="000231F9">
        <w:rPr>
          <w:rFonts w:asciiTheme="minorBidi" w:eastAsia="Times New Roman" w:hAnsiTheme="minorBidi" w:cstheme="minorBidi"/>
          <w:color w:val="008080"/>
          <w:sz w:val="20"/>
          <w:szCs w:val="20"/>
          <w:lang w:val="es-AR"/>
        </w:rPr>
        <w:t xml:space="preserve"> </w:t>
      </w:r>
      <w:r w:rsidRPr="000231F9">
        <w:rPr>
          <w:rFonts w:asciiTheme="minorBidi" w:eastAsia="Times New Roman" w:hAnsiTheme="minorBidi" w:cstheme="minorBidi"/>
          <w:sz w:val="20"/>
          <w:szCs w:val="20"/>
          <w:lang w:val="es-AR"/>
        </w:rPr>
        <w:t xml:space="preserve">, XXVIII Informe Semestral. Disponible en: </w:t>
      </w:r>
      <w:hyperlink r:id="rId14">
        <w:r w:rsidR="00C60456" w:rsidRPr="000231F9">
          <w:rPr>
            <w:rFonts w:asciiTheme="minorBidi" w:eastAsia="Times New Roman" w:hAnsiTheme="minorBidi" w:cstheme="minorBidi"/>
            <w:color w:val="1155CC"/>
            <w:sz w:val="20"/>
            <w:szCs w:val="20"/>
            <w:u w:val="single"/>
            <w:lang w:val="es-AR"/>
          </w:rPr>
          <w:t>https://cutt.ly/yNl0DH1</w:t>
        </w:r>
      </w:hyperlink>
      <w:r w:rsidRPr="000231F9">
        <w:rPr>
          <w:rFonts w:asciiTheme="minorBidi" w:eastAsia="Times New Roman" w:hAnsiTheme="minorBidi" w:cstheme="minorBidi"/>
          <w:sz w:val="20"/>
          <w:szCs w:val="20"/>
          <w:lang w:val="es-AR"/>
        </w:rPr>
        <w:t xml:space="preserve"> , XXVII Informe Semestral. Disponible en: </w:t>
      </w:r>
      <w:hyperlink r:id="rId15">
        <w:r w:rsidR="00C60456" w:rsidRPr="000231F9">
          <w:rPr>
            <w:rFonts w:asciiTheme="minorBidi" w:eastAsia="Times New Roman" w:hAnsiTheme="minorBidi" w:cstheme="minorBidi"/>
            <w:color w:val="1155CC"/>
            <w:sz w:val="20"/>
            <w:szCs w:val="20"/>
            <w:u w:val="single"/>
            <w:lang w:val="es-AR"/>
          </w:rPr>
          <w:t>https://cutt.ly/rNl0LSV</w:t>
        </w:r>
      </w:hyperlink>
      <w:r w:rsidRPr="000231F9">
        <w:rPr>
          <w:rFonts w:asciiTheme="minorBidi" w:eastAsia="Times New Roman" w:hAnsiTheme="minorBidi" w:cstheme="minorBidi"/>
          <w:sz w:val="20"/>
          <w:szCs w:val="20"/>
          <w:lang w:val="es-AR"/>
        </w:rPr>
        <w:t xml:space="preserve"> , XXVI Informe Semestral . Disponible en:</w:t>
      </w:r>
      <w:hyperlink r:id="rId16">
        <w:r w:rsidR="00C60456" w:rsidRPr="000231F9">
          <w:rPr>
            <w:rFonts w:asciiTheme="minorBidi" w:eastAsia="Times New Roman" w:hAnsiTheme="minorBidi" w:cstheme="minorBidi"/>
            <w:sz w:val="20"/>
            <w:szCs w:val="20"/>
            <w:lang w:val="es-AR"/>
          </w:rPr>
          <w:t xml:space="preserve"> </w:t>
        </w:r>
      </w:hyperlink>
      <w:hyperlink r:id="rId17">
        <w:r w:rsidR="00C60456" w:rsidRPr="000231F9">
          <w:rPr>
            <w:rFonts w:asciiTheme="minorBidi" w:eastAsia="Times New Roman" w:hAnsiTheme="minorBidi" w:cstheme="minorBidi"/>
            <w:color w:val="1155CC"/>
            <w:sz w:val="20"/>
            <w:szCs w:val="20"/>
            <w:u w:val="single"/>
            <w:lang w:val="es-AR"/>
          </w:rPr>
          <w:t>https://cutt.ly/KNl2swS</w:t>
        </w:r>
      </w:hyperlink>
      <w:r w:rsidRPr="000231F9">
        <w:rPr>
          <w:rFonts w:asciiTheme="minorBidi" w:eastAsia="Times New Roman" w:hAnsiTheme="minorBidi" w:cstheme="minorBidi"/>
          <w:sz w:val="20"/>
          <w:szCs w:val="20"/>
          <w:lang w:val="es-AR"/>
        </w:rPr>
        <w:t xml:space="preserve"> , XXIII. Informe Semestral. Disponible en: </w:t>
      </w:r>
      <w:hyperlink r:id="rId18">
        <w:r w:rsidR="00C60456" w:rsidRPr="000231F9">
          <w:rPr>
            <w:rFonts w:asciiTheme="minorBidi" w:eastAsia="Times New Roman" w:hAnsiTheme="minorBidi" w:cstheme="minorBidi"/>
            <w:color w:val="1155CC"/>
            <w:sz w:val="20"/>
            <w:szCs w:val="20"/>
            <w:u w:val="single"/>
            <w:lang w:val="es-AR"/>
          </w:rPr>
          <w:t>https://cutt.ly/BNl2jHp</w:t>
        </w:r>
      </w:hyperlink>
      <w:r w:rsidRPr="000231F9">
        <w:rPr>
          <w:rFonts w:asciiTheme="minorBidi" w:eastAsia="Times New Roman" w:hAnsiTheme="minorBidi" w:cstheme="minorBidi"/>
          <w:sz w:val="20"/>
          <w:szCs w:val="20"/>
          <w:lang w:val="es-AR"/>
        </w:rPr>
        <w:t xml:space="preserve"> , XXII. Informe Semestral. Disponible en: </w:t>
      </w:r>
      <w:hyperlink r:id="rId19">
        <w:r w:rsidR="00C60456" w:rsidRPr="000231F9">
          <w:rPr>
            <w:rFonts w:asciiTheme="minorBidi" w:eastAsia="Times New Roman" w:hAnsiTheme="minorBidi" w:cstheme="minorBidi"/>
            <w:color w:val="1155CC"/>
            <w:sz w:val="20"/>
            <w:szCs w:val="20"/>
            <w:u w:val="single"/>
            <w:lang w:val="es-AR"/>
          </w:rPr>
          <w:t>https://cutt.ly/2Nl2nvo</w:t>
        </w:r>
      </w:hyperlink>
      <w:r w:rsidRPr="000231F9">
        <w:rPr>
          <w:rFonts w:asciiTheme="minorBidi" w:eastAsia="Times New Roman" w:hAnsiTheme="minorBidi" w:cstheme="minorBidi"/>
          <w:sz w:val="20"/>
          <w:szCs w:val="20"/>
          <w:lang w:val="es-AR"/>
        </w:rPr>
        <w:t xml:space="preserve"> , XXI. Informe Semestral. Disponible en:</w:t>
      </w:r>
      <w:r w:rsidRPr="000231F9">
        <w:rPr>
          <w:rFonts w:asciiTheme="minorBidi" w:eastAsia="Times New Roman" w:hAnsiTheme="minorBidi" w:cstheme="minorBidi"/>
          <w:color w:val="008080"/>
          <w:sz w:val="20"/>
          <w:szCs w:val="20"/>
          <w:u w:val="single"/>
          <w:lang w:val="es-AR"/>
        </w:rPr>
        <w:t xml:space="preserve"> </w:t>
      </w:r>
      <w:hyperlink r:id="rId20">
        <w:r w:rsidR="00C60456" w:rsidRPr="000231F9">
          <w:rPr>
            <w:rFonts w:asciiTheme="minorBidi" w:eastAsia="Times New Roman" w:hAnsiTheme="minorBidi" w:cstheme="minorBidi"/>
            <w:color w:val="1155CC"/>
            <w:sz w:val="20"/>
            <w:szCs w:val="20"/>
            <w:u w:val="single"/>
            <w:lang w:val="es-AR"/>
          </w:rPr>
          <w:t>https://cutt.ly/rNl2Wem</w:t>
        </w:r>
      </w:hyperlink>
      <w:r w:rsidRPr="000231F9">
        <w:rPr>
          <w:rFonts w:asciiTheme="minorBidi" w:hAnsiTheme="minorBidi" w:cstheme="minorBidi"/>
          <w:sz w:val="20"/>
          <w:szCs w:val="20"/>
          <w:lang w:val="es-AR"/>
        </w:rPr>
        <w:t xml:space="preserve">. </w:t>
      </w:r>
    </w:p>
  </w:footnote>
  <w:footnote w:id="13">
    <w:p w14:paraId="00000120"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MAPP OEA. XXIV Informe Semestral, Disponible en:  </w:t>
      </w:r>
      <w:hyperlink r:id="rId21">
        <w:r w:rsidR="00C60456" w:rsidRPr="000231F9">
          <w:rPr>
            <w:rFonts w:asciiTheme="minorBidi" w:eastAsia="Times New Roman" w:hAnsiTheme="minorBidi" w:cstheme="minorBidi"/>
            <w:color w:val="1155CC"/>
            <w:sz w:val="20"/>
            <w:szCs w:val="20"/>
            <w:u w:val="single"/>
            <w:lang w:val="es-AR"/>
          </w:rPr>
          <w:t>http</w:t>
        </w:r>
      </w:hyperlink>
      <w:hyperlink r:id="rId22">
        <w:r w:rsidR="00C60456" w:rsidRPr="000231F9">
          <w:rPr>
            <w:rFonts w:asciiTheme="minorBidi" w:eastAsia="Times New Roman" w:hAnsiTheme="minorBidi" w:cstheme="minorBidi"/>
            <w:color w:val="1155CC"/>
            <w:sz w:val="20"/>
            <w:szCs w:val="20"/>
            <w:u w:val="single"/>
            <w:lang w:val="es-AR"/>
          </w:rPr>
          <w:t>://scm.oas.org/pdfs/2018/CP39544S.PDF</w:t>
        </w:r>
      </w:hyperlink>
    </w:p>
  </w:footnote>
  <w:footnote w:id="14">
    <w:p w14:paraId="000000E7" w14:textId="77777777" w:rsidR="00C60456" w:rsidRPr="000231F9" w:rsidRDefault="0007730F">
      <w:pPr>
        <w:spacing w:line="240" w:lineRule="auto"/>
        <w:jc w:val="both"/>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w:t>
      </w:r>
      <w:r w:rsidRPr="000231F9">
        <w:rPr>
          <w:rFonts w:asciiTheme="minorBidi" w:eastAsia="Times New Roman" w:hAnsiTheme="minorBidi" w:cstheme="minorBidi"/>
          <w:sz w:val="20"/>
          <w:szCs w:val="20"/>
          <w:lang w:val="es-AR"/>
        </w:rPr>
        <w:t>MAPP OEA.</w:t>
      </w:r>
      <w:r w:rsidRPr="000231F9">
        <w:rPr>
          <w:rFonts w:asciiTheme="minorBidi" w:eastAsia="Times New Roman" w:hAnsiTheme="minorBidi" w:cstheme="minorBidi"/>
          <w:color w:val="008080"/>
          <w:sz w:val="20"/>
          <w:szCs w:val="20"/>
          <w:lang w:val="es-AR"/>
        </w:rPr>
        <w:t xml:space="preserve"> </w:t>
      </w:r>
      <w:r w:rsidRPr="000231F9">
        <w:rPr>
          <w:rFonts w:asciiTheme="minorBidi" w:eastAsia="Times New Roman" w:hAnsiTheme="minorBidi" w:cstheme="minorBidi"/>
          <w:sz w:val="20"/>
          <w:szCs w:val="20"/>
          <w:lang w:val="es-AR"/>
        </w:rPr>
        <w:t>XXX Informe Semestral. Disponible en:</w:t>
      </w:r>
      <w:r w:rsidRPr="000231F9">
        <w:rPr>
          <w:rFonts w:asciiTheme="minorBidi" w:eastAsia="Times New Roman" w:hAnsiTheme="minorBidi" w:cstheme="minorBidi"/>
          <w:color w:val="008080"/>
          <w:sz w:val="20"/>
          <w:szCs w:val="20"/>
          <w:u w:val="single"/>
          <w:lang w:val="es-AR"/>
        </w:rPr>
        <w:t xml:space="preserve"> </w:t>
      </w:r>
      <w:hyperlink r:id="rId23">
        <w:r w:rsidR="00C60456" w:rsidRPr="000231F9">
          <w:rPr>
            <w:rFonts w:asciiTheme="minorBidi" w:eastAsia="Times New Roman" w:hAnsiTheme="minorBidi" w:cstheme="minorBidi"/>
            <w:color w:val="1155CC"/>
            <w:sz w:val="20"/>
            <w:szCs w:val="20"/>
            <w:u w:val="single"/>
            <w:lang w:val="es-AR"/>
          </w:rPr>
          <w:t>https://cutt.ly/wNl0U1N</w:t>
        </w:r>
      </w:hyperlink>
      <w:r w:rsidRPr="000231F9">
        <w:rPr>
          <w:rFonts w:asciiTheme="minorBidi" w:eastAsia="Times New Roman" w:hAnsiTheme="minorBidi" w:cstheme="minorBidi"/>
          <w:sz w:val="20"/>
          <w:szCs w:val="20"/>
          <w:lang w:val="es-AR"/>
        </w:rPr>
        <w:t xml:space="preserve"> pág. 9.MAP XXXVI. Informe Semestral. Disponible en: </w:t>
      </w:r>
      <w:hyperlink r:id="rId24">
        <w:r w:rsidR="00C60456" w:rsidRPr="000231F9">
          <w:rPr>
            <w:rFonts w:asciiTheme="minorBidi" w:eastAsia="Times New Roman" w:hAnsiTheme="minorBidi" w:cstheme="minorBidi"/>
            <w:color w:val="1155CC"/>
            <w:sz w:val="20"/>
            <w:szCs w:val="20"/>
            <w:u w:val="single"/>
            <w:lang w:val="es-AR"/>
          </w:rPr>
          <w:t>https://www.mapp-oea.org/wp-content/uploads/2024/06/Informe-Semestral-36-MAPPOEA-1.pdf</w:t>
        </w:r>
      </w:hyperlink>
      <w:r w:rsidRPr="000231F9">
        <w:rPr>
          <w:rFonts w:asciiTheme="minorBidi" w:eastAsia="Times New Roman" w:hAnsiTheme="minorBidi" w:cstheme="minorBidi"/>
          <w:sz w:val="20"/>
          <w:szCs w:val="20"/>
          <w:lang w:val="es-AR"/>
        </w:rPr>
        <w:t xml:space="preserve"> p. 10.,  XXXIV Informe Semestral. Disponible en </w:t>
      </w:r>
      <w:hyperlink r:id="rId25">
        <w:r w:rsidR="00C60456" w:rsidRPr="000231F9">
          <w:rPr>
            <w:rFonts w:asciiTheme="minorBidi" w:eastAsia="Times New Roman" w:hAnsiTheme="minorBidi" w:cstheme="minorBidi"/>
            <w:color w:val="1155CC"/>
            <w:sz w:val="20"/>
            <w:szCs w:val="20"/>
            <w:u w:val="single"/>
            <w:lang w:val="es-AR"/>
          </w:rPr>
          <w:t>https://www.mapp-oea.org/wp-content/uploads/2023/05/INFORME-XXXIV-Esp-1.pdf</w:t>
        </w:r>
      </w:hyperlink>
      <w:r w:rsidRPr="000231F9">
        <w:rPr>
          <w:rFonts w:asciiTheme="minorBidi" w:eastAsia="Times New Roman" w:hAnsiTheme="minorBidi" w:cstheme="minorBidi"/>
          <w:sz w:val="20"/>
          <w:szCs w:val="20"/>
          <w:lang w:val="es-AR"/>
        </w:rPr>
        <w:t xml:space="preserve"> pag. 2., XXXVI Informe Semestral. Disponible en: </w:t>
      </w:r>
      <w:hyperlink r:id="rId26">
        <w:r w:rsidR="00C60456" w:rsidRPr="000231F9">
          <w:rPr>
            <w:rFonts w:asciiTheme="minorBidi" w:eastAsia="Times New Roman" w:hAnsiTheme="minorBidi" w:cstheme="minorBidi"/>
            <w:color w:val="1155CC"/>
            <w:sz w:val="20"/>
            <w:szCs w:val="20"/>
            <w:u w:val="single"/>
            <w:lang w:val="es-AR"/>
          </w:rPr>
          <w:t>https://www.mapp-oea.org/wp-content/uploads/2024/06/Informe-Semestral-36-MAPPOEA-1.pdf</w:t>
        </w:r>
      </w:hyperlink>
      <w:r w:rsidRPr="000231F9">
        <w:rPr>
          <w:rFonts w:asciiTheme="minorBidi" w:eastAsia="Times New Roman" w:hAnsiTheme="minorBidi" w:cstheme="minorBidi"/>
          <w:sz w:val="20"/>
          <w:szCs w:val="20"/>
          <w:lang w:val="es-AR"/>
        </w:rPr>
        <w:t xml:space="preserve"> pag. 4. </w:t>
      </w:r>
    </w:p>
  </w:footnote>
  <w:footnote w:id="15">
    <w:p w14:paraId="000000E8" w14:textId="77777777" w:rsidR="00C60456" w:rsidRPr="000231F9" w:rsidRDefault="0007730F">
      <w:pPr>
        <w:spacing w:line="240" w:lineRule="auto"/>
        <w:jc w:val="both"/>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w:t>
      </w:r>
      <w:r w:rsidRPr="000231F9">
        <w:rPr>
          <w:rFonts w:asciiTheme="minorBidi" w:eastAsia="Times New Roman" w:hAnsiTheme="minorBidi" w:cstheme="minorBidi"/>
          <w:sz w:val="20"/>
          <w:szCs w:val="20"/>
          <w:lang w:val="es-AR"/>
        </w:rPr>
        <w:t>MAPP. XXI Informe semestral. Disponible en: ​​</w:t>
      </w:r>
      <w:hyperlink r:id="rId27">
        <w:r w:rsidR="00C60456" w:rsidRPr="000231F9">
          <w:rPr>
            <w:rFonts w:asciiTheme="minorBidi" w:eastAsia="Times New Roman" w:hAnsiTheme="minorBidi" w:cstheme="minorBidi"/>
            <w:color w:val="1155CC"/>
            <w:sz w:val="20"/>
            <w:szCs w:val="20"/>
            <w:u w:val="single"/>
            <w:lang w:val="es-AR"/>
          </w:rPr>
          <w:t>https://www.mapp-oea.org/wp-content/uploads/2019/07/XXI-Informe-sobre-la-MAPP-OEA.pdf</w:t>
        </w:r>
      </w:hyperlink>
      <w:r w:rsidRPr="000231F9">
        <w:rPr>
          <w:rFonts w:asciiTheme="minorBidi" w:eastAsia="Times New Roman" w:hAnsiTheme="minorBidi" w:cstheme="minorBidi"/>
          <w:sz w:val="20"/>
          <w:szCs w:val="20"/>
          <w:lang w:val="es-AR"/>
        </w:rPr>
        <w:t xml:space="preserve"> pág.  26.</w:t>
      </w:r>
    </w:p>
  </w:footnote>
  <w:footnote w:id="16">
    <w:p w14:paraId="000000E9"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w:t>
      </w:r>
      <w:r w:rsidRPr="000231F9">
        <w:rPr>
          <w:rFonts w:asciiTheme="minorBidi" w:eastAsia="Times New Roman" w:hAnsiTheme="minorBidi" w:cstheme="minorBidi"/>
          <w:sz w:val="20"/>
          <w:szCs w:val="20"/>
          <w:lang w:val="es-AR"/>
        </w:rPr>
        <w:t>MAPP. XXIX Informe Semestral. Disponible en:</w:t>
      </w:r>
      <w:hyperlink r:id="rId28">
        <w:r w:rsidR="00C60456" w:rsidRPr="000231F9">
          <w:rPr>
            <w:rFonts w:asciiTheme="minorBidi" w:eastAsia="Times New Roman" w:hAnsiTheme="minorBidi" w:cstheme="minorBidi"/>
            <w:sz w:val="20"/>
            <w:szCs w:val="20"/>
            <w:lang w:val="es-AR"/>
          </w:rPr>
          <w:t xml:space="preserve"> </w:t>
        </w:r>
      </w:hyperlink>
      <w:hyperlink r:id="rId29">
        <w:r w:rsidR="00C60456" w:rsidRPr="000231F9">
          <w:rPr>
            <w:rFonts w:asciiTheme="minorBidi" w:eastAsia="Times New Roman" w:hAnsiTheme="minorBidi" w:cstheme="minorBidi"/>
            <w:color w:val="1155CC"/>
            <w:sz w:val="20"/>
            <w:szCs w:val="20"/>
            <w:u w:val="single"/>
            <w:lang w:val="es-AR"/>
          </w:rPr>
          <w:t>https://www.mapp-oea.org/wp-content/uploads/2020/12/XXIX-Informe-Semestral.pdf</w:t>
        </w:r>
      </w:hyperlink>
      <w:r w:rsidRPr="000231F9">
        <w:rPr>
          <w:rFonts w:asciiTheme="minorBidi" w:eastAsia="Times New Roman" w:hAnsiTheme="minorBidi" w:cstheme="minorBidi"/>
          <w:sz w:val="20"/>
          <w:szCs w:val="20"/>
          <w:lang w:val="es-AR"/>
        </w:rPr>
        <w:t xml:space="preserve"> .</w:t>
      </w:r>
    </w:p>
  </w:footnote>
  <w:footnote w:id="17">
    <w:p w14:paraId="000000EA" w14:textId="77777777" w:rsidR="00C60456" w:rsidRPr="000231F9" w:rsidRDefault="0007730F">
      <w:pPr>
        <w:spacing w:line="240" w:lineRule="auto"/>
        <w:jc w:val="both"/>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Secretario General de las Naciones Unidas. Misión de Verificación de las Naciones Unidas en Colombia, S/2020/603, 26 de junio de 2020, párr. 62. Disponible en:</w:t>
      </w:r>
      <w:hyperlink r:id="rId30">
        <w:r w:rsidR="00C60456" w:rsidRPr="000231F9">
          <w:rPr>
            <w:rFonts w:asciiTheme="minorBidi" w:hAnsiTheme="minorBidi" w:cstheme="minorBidi"/>
            <w:sz w:val="20"/>
            <w:szCs w:val="20"/>
            <w:lang w:val="es-AR"/>
          </w:rPr>
          <w:t xml:space="preserve"> </w:t>
        </w:r>
      </w:hyperlink>
      <w:hyperlink r:id="rId31">
        <w:r w:rsidR="00C60456" w:rsidRPr="000231F9">
          <w:rPr>
            <w:rFonts w:asciiTheme="minorBidi" w:hAnsiTheme="minorBidi" w:cstheme="minorBidi"/>
            <w:color w:val="1155CC"/>
            <w:sz w:val="20"/>
            <w:szCs w:val="20"/>
            <w:u w:val="single"/>
            <w:lang w:val="es-AR"/>
          </w:rPr>
          <w:t>https://undocs.org/es/S/2020/603</w:t>
        </w:r>
      </w:hyperlink>
      <w:r w:rsidRPr="000231F9">
        <w:rPr>
          <w:rFonts w:asciiTheme="minorBidi" w:hAnsiTheme="minorBidi" w:cstheme="minorBidi"/>
          <w:sz w:val="20"/>
          <w:szCs w:val="20"/>
          <w:lang w:val="es-AR"/>
        </w:rPr>
        <w:t xml:space="preserve">. Defensoría del Pueblo, Dinámicas actuales de reclutamiento, uso y utilización de niños, niñas y adolescentes por parte de grupos armados ilegales o delincuencia organizada. 2021. pág. 51. Disponible en: </w:t>
      </w:r>
      <w:hyperlink r:id="rId32">
        <w:r w:rsidR="00C60456" w:rsidRPr="000231F9">
          <w:rPr>
            <w:rFonts w:asciiTheme="minorBidi" w:hAnsiTheme="minorBidi" w:cstheme="minorBidi"/>
            <w:color w:val="1155CC"/>
            <w:sz w:val="20"/>
            <w:szCs w:val="20"/>
            <w:u w:val="single"/>
            <w:lang w:val="es-AR"/>
          </w:rPr>
          <w:t>https://repositorio.defensoria.gov.co/items/286752fc-93a2-4d22-804a-de5c1843d7d5</w:t>
        </w:r>
      </w:hyperlink>
      <w:r w:rsidRPr="000231F9">
        <w:rPr>
          <w:rFonts w:asciiTheme="minorBidi" w:hAnsiTheme="minorBidi" w:cstheme="minorBidi"/>
          <w:sz w:val="20"/>
          <w:szCs w:val="20"/>
          <w:lang w:val="es-AR"/>
        </w:rPr>
        <w:t xml:space="preserve"> </w:t>
      </w:r>
    </w:p>
  </w:footnote>
  <w:footnote w:id="18">
    <w:p w14:paraId="000000EB"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Defensoría del Pueblo. Reclutamiento Forzado, Uso y Utilización de Niños, Niñas y Adolescentes en Colombia. Abril 2021. Disponible en: </w:t>
      </w:r>
      <w:hyperlink r:id="rId33">
        <w:r w:rsidR="00C60456" w:rsidRPr="000231F9">
          <w:rPr>
            <w:rFonts w:asciiTheme="minorBidi" w:hAnsiTheme="minorBidi" w:cstheme="minorBidi"/>
            <w:color w:val="1155CC"/>
            <w:sz w:val="20"/>
            <w:szCs w:val="20"/>
            <w:u w:val="single"/>
            <w:lang w:val="es-AR"/>
          </w:rPr>
          <w:t>https://repositorio.defensoria.gov.co/items/286752fc-93a2-4d22-804a-de5c1843d7d5</w:t>
        </w:r>
      </w:hyperlink>
      <w:r w:rsidRPr="000231F9">
        <w:rPr>
          <w:rFonts w:asciiTheme="minorBidi" w:hAnsiTheme="minorBidi" w:cstheme="minorBidi"/>
          <w:sz w:val="20"/>
          <w:szCs w:val="20"/>
          <w:lang w:val="es-AR"/>
        </w:rPr>
        <w:t>.</w:t>
      </w:r>
    </w:p>
  </w:footnote>
  <w:footnote w:id="19">
    <w:p w14:paraId="000000EC"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w:t>
      </w:r>
      <w:r w:rsidRPr="000231F9">
        <w:rPr>
          <w:rFonts w:asciiTheme="minorBidi" w:hAnsiTheme="minorBidi" w:cstheme="minorBidi"/>
          <w:sz w:val="20"/>
          <w:szCs w:val="20"/>
          <w:highlight w:val="white"/>
          <w:lang w:val="es-AR"/>
        </w:rPr>
        <w:t xml:space="preserve">Ibidem. </w:t>
      </w:r>
      <w:r w:rsidRPr="000231F9">
        <w:rPr>
          <w:rFonts w:asciiTheme="minorBidi" w:eastAsia="Times New Roman" w:hAnsiTheme="minorBidi" w:cstheme="minorBidi"/>
          <w:sz w:val="20"/>
          <w:szCs w:val="20"/>
          <w:lang w:val="es-AR"/>
        </w:rPr>
        <w:t>p. 68.</w:t>
      </w:r>
    </w:p>
  </w:footnote>
  <w:footnote w:id="20">
    <w:p w14:paraId="00000136"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ONU Consejo de Seguridad. Los niños y el conflicto armado en Colombia: Informe del Secretario General. S/2019/1017, 31 Diciembre 2019. Disponible en: </w:t>
      </w:r>
      <w:hyperlink r:id="rId34">
        <w:r w:rsidR="00C60456" w:rsidRPr="000231F9">
          <w:rPr>
            <w:rFonts w:asciiTheme="minorBidi" w:hAnsiTheme="minorBidi" w:cstheme="minorBidi"/>
            <w:color w:val="1155CC"/>
            <w:sz w:val="20"/>
            <w:szCs w:val="20"/>
            <w:u w:val="single"/>
            <w:lang w:val="es-AR"/>
          </w:rPr>
          <w:t>https://daccess-ods.un.org/tmp/7809658.64658356.html</w:t>
        </w:r>
      </w:hyperlink>
      <w:r w:rsidRPr="000231F9">
        <w:rPr>
          <w:rFonts w:asciiTheme="minorBidi" w:hAnsiTheme="minorBidi" w:cstheme="minorBidi"/>
          <w:sz w:val="20"/>
          <w:szCs w:val="20"/>
          <w:lang w:val="es-AR"/>
        </w:rPr>
        <w:t xml:space="preserve">. </w:t>
      </w:r>
    </w:p>
  </w:footnote>
  <w:footnote w:id="21">
    <w:p w14:paraId="000000ED"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Comité de los Derechos del Niño. Observaciones finales sobre los informes periódicos cuarto y quinto combinados de Colombia. CRC/C/COL/CO/4-5.  6 de marzo de 2015. Recomendación 65.</w:t>
      </w:r>
    </w:p>
  </w:footnote>
  <w:footnote w:id="22">
    <w:p w14:paraId="00000137"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Secretario General ONU. Los niños y el conflicto armado en Colombia - Informe del Secretario General (S/2024/161). 8 de marzo de 2024. Para. 16.</w:t>
      </w:r>
    </w:p>
  </w:footnote>
  <w:footnote w:id="23">
    <w:p w14:paraId="00000138"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Ibidem. Para. 19.</w:t>
      </w:r>
    </w:p>
  </w:footnote>
  <w:footnote w:id="24">
    <w:p w14:paraId="000000EE" w14:textId="77777777"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Comité de los Derechos del Niño. Observaciones finales sobre los informes periódicos cuarto y quinto combinados de Colombia.CRC/C/COL/CO/4-5.  6 de marzo de 2015, recomendaciones 65.</w:t>
      </w:r>
    </w:p>
  </w:footnote>
  <w:footnote w:id="25">
    <w:p w14:paraId="000000F1" w14:textId="77777777" w:rsidR="00C60456" w:rsidRPr="000231F9" w:rsidRDefault="0007730F">
      <w:pPr>
        <w:spacing w:line="240" w:lineRule="auto"/>
        <w:jc w:val="both"/>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Defensoría del Pueblo. Dinámicas actuales de reclutamiento, uso y utilización de niños, niñas y adolescentes por parte de grupos armados ilegales o delincuencia organizada. 2021. Disponible en: </w:t>
      </w:r>
      <w:hyperlink r:id="rId35">
        <w:r w:rsidR="00C60456" w:rsidRPr="000231F9">
          <w:rPr>
            <w:rFonts w:asciiTheme="minorBidi" w:hAnsiTheme="minorBidi" w:cstheme="minorBidi"/>
            <w:color w:val="1155CC"/>
            <w:sz w:val="20"/>
            <w:szCs w:val="20"/>
            <w:u w:val="single"/>
            <w:lang w:val="es-AR"/>
          </w:rPr>
          <w:t>https://www.camara.gov.co/sites/default/files/2020-10/INFORME%20RECLUTAMIENTO%20DEFENSORIA%20final%20final.pdf</w:t>
        </w:r>
      </w:hyperlink>
      <w:r w:rsidRPr="000231F9">
        <w:rPr>
          <w:rFonts w:asciiTheme="minorBidi" w:hAnsiTheme="minorBidi" w:cstheme="minorBidi"/>
          <w:sz w:val="20"/>
          <w:szCs w:val="20"/>
          <w:lang w:val="es-AR"/>
        </w:rPr>
        <w:t xml:space="preserve">. </w:t>
      </w:r>
    </w:p>
  </w:footnote>
  <w:footnote w:id="26">
    <w:p w14:paraId="000000EF"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ONU Consejo de Seguridad. </w:t>
      </w:r>
      <w:r w:rsidRPr="000231F9">
        <w:rPr>
          <w:rFonts w:asciiTheme="minorBidi" w:hAnsiTheme="minorBidi" w:cstheme="minorBidi"/>
          <w:i/>
          <w:sz w:val="20"/>
          <w:szCs w:val="20"/>
          <w:lang w:val="es-AR"/>
        </w:rPr>
        <w:t xml:space="preserve">Los niños y el conflicto armado en Colombia: Informe del Secretario General. S/2019/1017. </w:t>
      </w:r>
      <w:r w:rsidRPr="000231F9">
        <w:rPr>
          <w:rFonts w:asciiTheme="minorBidi" w:hAnsiTheme="minorBidi" w:cstheme="minorBidi"/>
          <w:sz w:val="20"/>
          <w:szCs w:val="20"/>
          <w:lang w:val="es-AR"/>
        </w:rPr>
        <w:t>8 de diciembre de 2021. Recomendación 54. Secretario General ONU. Los niños y el conflicto armado en Colombia - Informe del Secretario General (S/2024/161). 8 de marzo de 2024. Pag 15-17.</w:t>
      </w:r>
    </w:p>
    <w:p w14:paraId="000000F0" w14:textId="77777777" w:rsidR="00C60456" w:rsidRPr="000231F9" w:rsidRDefault="00C60456">
      <w:pPr>
        <w:spacing w:line="240" w:lineRule="auto"/>
        <w:rPr>
          <w:rFonts w:asciiTheme="minorBidi" w:hAnsiTheme="minorBidi" w:cstheme="minorBidi"/>
          <w:sz w:val="20"/>
          <w:szCs w:val="20"/>
          <w:lang w:val="es-AR"/>
        </w:rPr>
      </w:pPr>
    </w:p>
  </w:footnote>
  <w:footnote w:id="27">
    <w:p w14:paraId="000000F2"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Gobierno de Colombia. Informe del Estado: Sexto y Séptimo informe Combinado Convencional y Periódico de Colombia. CRC/C/COL/6-7. 25 de agosto de 2021, parr. 23.a. </w:t>
      </w:r>
    </w:p>
  </w:footnote>
  <w:footnote w:id="28">
    <w:p w14:paraId="000000F3"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Comité de los Derechos del Niño. Observaciones finales sobre los informes periódicos cuarto y quinto combinados de Colombia.CRC/C/COL/CO/4-5.  6 de marzo de 2015, recomendación. 24. a. y b. </w:t>
      </w:r>
    </w:p>
  </w:footnote>
  <w:footnote w:id="29">
    <w:p w14:paraId="000000F4"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Iván Cepeda Castro. Nota de Prensa.  ván Cepeda denuncia que durante el gobierno Duque, al menos, 22 menores de edad han muerto en bombardeos realizados por las FF.MM.. Disponible en: </w:t>
      </w:r>
      <w:hyperlink r:id="rId36">
        <w:r w:rsidR="00C60456" w:rsidRPr="000231F9">
          <w:rPr>
            <w:rFonts w:asciiTheme="minorBidi" w:hAnsiTheme="minorBidi" w:cstheme="minorBidi"/>
            <w:color w:val="1155CC"/>
            <w:sz w:val="20"/>
            <w:szCs w:val="20"/>
            <w:u w:val="single"/>
            <w:lang w:val="es-AR"/>
          </w:rPr>
          <w:t>https://cutt.ly/zNzlKJy</w:t>
        </w:r>
      </w:hyperlink>
      <w:r w:rsidRPr="000231F9">
        <w:rPr>
          <w:rFonts w:asciiTheme="minorBidi" w:hAnsiTheme="minorBidi" w:cstheme="minorBidi"/>
          <w:sz w:val="20"/>
          <w:szCs w:val="20"/>
          <w:lang w:val="es-AR"/>
        </w:rPr>
        <w:t xml:space="preserve">.   </w:t>
      </w:r>
    </w:p>
  </w:footnote>
  <w:footnote w:id="30">
    <w:p w14:paraId="000000F5" w14:textId="77777777" w:rsidR="00C60456" w:rsidRPr="000231F9" w:rsidRDefault="0007730F">
      <w:pPr>
        <w:spacing w:line="240" w:lineRule="auto"/>
        <w:rPr>
          <w:rFonts w:asciiTheme="minorBidi" w:eastAsia="Times New Roman"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ONU Consejo de Seguridad. </w:t>
      </w:r>
      <w:r w:rsidRPr="000231F9">
        <w:rPr>
          <w:rFonts w:asciiTheme="minorBidi" w:hAnsiTheme="minorBidi" w:cstheme="minorBidi"/>
          <w:i/>
          <w:sz w:val="20"/>
          <w:szCs w:val="20"/>
          <w:lang w:val="es-AR"/>
        </w:rPr>
        <w:t>Los niños y el conflicto armado en Colombia: Informe del Secretario General</w:t>
      </w:r>
      <w:r w:rsidRPr="000231F9">
        <w:rPr>
          <w:rFonts w:asciiTheme="minorBidi" w:hAnsiTheme="minorBidi" w:cstheme="minorBidi"/>
          <w:sz w:val="20"/>
          <w:szCs w:val="20"/>
          <w:lang w:val="es-AR"/>
        </w:rPr>
        <w:t xml:space="preserve"> (S/2021/1022), párr. 53. Disponible en: </w:t>
      </w:r>
      <w:hyperlink r:id="rId37">
        <w:r w:rsidR="00C60456" w:rsidRPr="000231F9">
          <w:rPr>
            <w:rFonts w:asciiTheme="minorBidi" w:hAnsiTheme="minorBidi" w:cstheme="minorBidi"/>
            <w:color w:val="1155CC"/>
            <w:sz w:val="20"/>
            <w:szCs w:val="20"/>
            <w:highlight w:val="white"/>
            <w:lang w:val="es-AR"/>
          </w:rPr>
          <w:t>https://cutt.ly/ZNzdCvK</w:t>
        </w:r>
      </w:hyperlink>
      <w:r w:rsidRPr="000231F9">
        <w:rPr>
          <w:rFonts w:asciiTheme="minorBidi" w:hAnsiTheme="minorBidi" w:cstheme="minorBidi"/>
          <w:sz w:val="20"/>
          <w:szCs w:val="20"/>
          <w:lang w:val="es-AR"/>
        </w:rPr>
        <w:t xml:space="preserve">. </w:t>
      </w:r>
    </w:p>
  </w:footnote>
  <w:footnote w:id="31">
    <w:p w14:paraId="00000139"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Colectivo de Abogados Jose Alvear Restrepo. Las niñas y niños no son ”máquinas de guerra”. Abril 27 de 2021. Disponible en: </w:t>
      </w:r>
      <w:hyperlink r:id="rId38">
        <w:r w:rsidR="00C60456" w:rsidRPr="000231F9">
          <w:rPr>
            <w:rFonts w:asciiTheme="minorBidi" w:hAnsiTheme="minorBidi" w:cstheme="minorBidi"/>
            <w:color w:val="1155CC"/>
            <w:sz w:val="20"/>
            <w:szCs w:val="20"/>
            <w:u w:val="single"/>
            <w:lang w:val="es-AR"/>
          </w:rPr>
          <w:t>https://www.colectivodeabogados.org/las-ninas-y-ninos-no-son-maquinas-de-guerra/</w:t>
        </w:r>
      </w:hyperlink>
      <w:r w:rsidRPr="000231F9">
        <w:rPr>
          <w:rFonts w:asciiTheme="minorBidi" w:hAnsiTheme="minorBidi" w:cstheme="minorBidi"/>
          <w:sz w:val="20"/>
          <w:szCs w:val="20"/>
          <w:lang w:val="es-AR"/>
        </w:rPr>
        <w:t xml:space="preserve">. </w:t>
      </w:r>
    </w:p>
  </w:footnote>
  <w:footnote w:id="32">
    <w:p w14:paraId="000000F6" w14:textId="77777777" w:rsidR="00C60456" w:rsidRPr="000231F9" w:rsidRDefault="0007730F">
      <w:pPr>
        <w:spacing w:line="240" w:lineRule="auto"/>
        <w:jc w:val="both"/>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Comisión para el Esclarecimiento de la Verdad, la Convivencia y la No Repetición. Informe No es un mal menor Niñas, niños y adolescentes en el conflicto armado. Agosto de 2022, pág. 60 y ss. Disponible en: </w:t>
      </w:r>
      <w:hyperlink r:id="rId39">
        <w:r w:rsidR="00C60456" w:rsidRPr="000231F9">
          <w:rPr>
            <w:rFonts w:asciiTheme="minorBidi" w:hAnsiTheme="minorBidi" w:cstheme="minorBidi"/>
            <w:color w:val="1155CC"/>
            <w:sz w:val="20"/>
            <w:szCs w:val="20"/>
            <w:u w:val="single"/>
            <w:lang w:val="es-AR"/>
          </w:rPr>
          <w:t>https://www.comisiondelaverdad.co/no-es-un-mal-menor</w:t>
        </w:r>
      </w:hyperlink>
      <w:r w:rsidRPr="000231F9">
        <w:rPr>
          <w:rFonts w:asciiTheme="minorBidi" w:hAnsiTheme="minorBidi" w:cstheme="minorBidi"/>
          <w:sz w:val="20"/>
          <w:szCs w:val="20"/>
          <w:lang w:val="es-AR"/>
        </w:rPr>
        <w:t xml:space="preserve"> </w:t>
      </w:r>
      <w:hyperlink r:id="rId40">
        <w:r w:rsidR="00C60456" w:rsidRPr="000231F9">
          <w:rPr>
            <w:rFonts w:asciiTheme="minorBidi" w:hAnsiTheme="minorBidi" w:cstheme="minorBidi"/>
            <w:sz w:val="20"/>
            <w:szCs w:val="20"/>
            <w:lang w:val="es-AR"/>
          </w:rPr>
          <w:t xml:space="preserve"> </w:t>
        </w:r>
      </w:hyperlink>
      <w:r w:rsidRPr="000231F9">
        <w:rPr>
          <w:rFonts w:asciiTheme="minorBidi" w:hAnsiTheme="minorBidi" w:cstheme="minorBidi"/>
          <w:sz w:val="20"/>
          <w:szCs w:val="20"/>
          <w:lang w:val="es-AR"/>
        </w:rPr>
        <w:t xml:space="preserve">Infome Hay Futuro sí hay Verdad.  Hallazgos y Recomendaciones. Agosto de 2022, pág. 50. Disponible en: </w:t>
      </w:r>
      <w:hyperlink r:id="rId41">
        <w:r w:rsidR="00C60456" w:rsidRPr="000231F9">
          <w:rPr>
            <w:rFonts w:asciiTheme="minorBidi" w:eastAsia="Times New Roman" w:hAnsiTheme="minorBidi" w:cstheme="minorBidi"/>
            <w:color w:val="1155CC"/>
            <w:sz w:val="20"/>
            <w:szCs w:val="20"/>
            <w:u w:val="single"/>
            <w:lang w:val="es-AR"/>
          </w:rPr>
          <w:t>https://www.comisiondelaverdad.co/hallazgos-y-recomendacione</w:t>
        </w:r>
      </w:hyperlink>
      <w:hyperlink r:id="rId42">
        <w:r w:rsidR="00C60456" w:rsidRPr="000231F9">
          <w:rPr>
            <w:rFonts w:asciiTheme="minorBidi" w:eastAsia="Times New Roman" w:hAnsiTheme="minorBidi" w:cstheme="minorBidi"/>
            <w:color w:val="1155CC"/>
            <w:sz w:val="20"/>
            <w:szCs w:val="20"/>
            <w:u w:val="single"/>
            <w:lang w:val="es-AR"/>
          </w:rPr>
          <w:t>s-1</w:t>
        </w:r>
      </w:hyperlink>
    </w:p>
  </w:footnote>
  <w:footnote w:id="33">
    <w:p w14:paraId="000000F7"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Ibidem.  </w:t>
      </w:r>
      <w:r w:rsidRPr="000231F9">
        <w:rPr>
          <w:rFonts w:asciiTheme="minorBidi" w:eastAsia="Times New Roman" w:hAnsiTheme="minorBidi" w:cstheme="minorBidi"/>
          <w:sz w:val="20"/>
          <w:szCs w:val="20"/>
          <w:lang w:val="es-AR"/>
        </w:rPr>
        <w:t xml:space="preserve">p. 256 y 257. </w:t>
      </w:r>
    </w:p>
  </w:footnote>
  <w:footnote w:id="34">
    <w:p w14:paraId="000000FA"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Comité de los Derechos del Niño. Observaciones finales sobre los informes periódicos cuarto y quinto combinados de Colombia.CRC/C/COL/CO/4-5.  6 de marzo de 2015, recomendaciones 18.c, 24.b, 24.d, 28.b, 30.c.</w:t>
      </w:r>
    </w:p>
  </w:footnote>
  <w:footnote w:id="35">
    <w:p w14:paraId="000000FB" w14:textId="77777777" w:rsidR="00C60456" w:rsidRPr="000231F9" w:rsidRDefault="0007730F">
      <w:pPr>
        <w:spacing w:line="240" w:lineRule="auto"/>
        <w:jc w:val="both"/>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Gobierno de Colombia. Informe del Estado: Sexto y Séptimo informe Combinado Convencional y Periódico de Colombia. CRC/C/COL/6-7. 25 de agosto de 2021, párr., 33, 34. 52, 54, 55, 58, 198.</w:t>
      </w:r>
    </w:p>
  </w:footnote>
  <w:footnote w:id="36">
    <w:p w14:paraId="000000F8"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w:t>
      </w:r>
      <w:r w:rsidRPr="000231F9">
        <w:rPr>
          <w:rFonts w:asciiTheme="minorBidi" w:eastAsia="Times New Roman" w:hAnsiTheme="minorBidi" w:cstheme="minorBidi"/>
          <w:sz w:val="20"/>
          <w:szCs w:val="20"/>
          <w:lang w:val="es-AR"/>
        </w:rPr>
        <w:t>Congreso de Colombia. Ley 2081 de 2021. "Por la cual se declara imprescriptible la acción penal en caso de delitos contra la libertad, integridad y formación sexuales, o el delito de incesto, cometidos en menores de 18 años - no más silencio". Disponible en:</w:t>
      </w:r>
      <w:r w:rsidRPr="000231F9">
        <w:rPr>
          <w:rFonts w:asciiTheme="minorBidi" w:eastAsia="Times New Roman" w:hAnsiTheme="minorBidi" w:cstheme="minorBidi"/>
          <w:color w:val="008080"/>
          <w:sz w:val="20"/>
          <w:szCs w:val="20"/>
          <w:u w:val="single"/>
          <w:lang w:val="es-AR"/>
        </w:rPr>
        <w:t xml:space="preserve"> </w:t>
      </w:r>
      <w:r w:rsidRPr="000231F9">
        <w:rPr>
          <w:rFonts w:asciiTheme="minorBidi" w:eastAsia="Times New Roman" w:hAnsiTheme="minorBidi" w:cstheme="minorBidi"/>
          <w:strike/>
          <w:color w:val="FF0000"/>
          <w:sz w:val="20"/>
          <w:szCs w:val="20"/>
          <w:lang w:val="es-AR"/>
        </w:rPr>
        <w:t xml:space="preserve">  </w:t>
      </w:r>
      <w:hyperlink r:id="rId43">
        <w:r w:rsidR="00C60456" w:rsidRPr="000231F9">
          <w:rPr>
            <w:rFonts w:asciiTheme="minorBidi" w:eastAsia="Times New Roman" w:hAnsiTheme="minorBidi" w:cstheme="minorBidi"/>
            <w:color w:val="1155CC"/>
            <w:sz w:val="20"/>
            <w:szCs w:val="20"/>
            <w:u w:val="single"/>
            <w:lang w:val="es-AR"/>
          </w:rPr>
          <w:t>https://dapre.presidencia.gov.co/normativa/normativa/LEY%202081%20DEL%203%20DE%20FEBRERO%20DE%202021.pdf</w:t>
        </w:r>
      </w:hyperlink>
      <w:r w:rsidRPr="000231F9">
        <w:rPr>
          <w:rFonts w:asciiTheme="minorBidi" w:eastAsia="Times New Roman" w:hAnsiTheme="minorBidi" w:cstheme="minorBidi"/>
          <w:sz w:val="20"/>
          <w:szCs w:val="20"/>
          <w:lang w:val="es-AR"/>
        </w:rPr>
        <w:t xml:space="preserve">  </w:t>
      </w:r>
    </w:p>
  </w:footnote>
  <w:footnote w:id="37">
    <w:p w14:paraId="00000131"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w:t>
      </w:r>
      <w:r w:rsidRPr="000231F9">
        <w:rPr>
          <w:rFonts w:asciiTheme="minorBidi" w:eastAsia="Times New Roman" w:hAnsiTheme="minorBidi" w:cstheme="minorBidi"/>
          <w:sz w:val="20"/>
          <w:szCs w:val="20"/>
          <w:lang w:val="es-AR"/>
        </w:rPr>
        <w:t>ONU. Directrices sobre la función de los fiscales. Octavo Congreso de las Naciones Unidas sobre Prevención del Delito y Tratamiento del Delincuente, celebrado en La Habana (Cuba), del 27 de agosto al 7 de septiembre de 1990, ONU Doc. A/CONF.144/28/Rev. 1 p. 189 (1990)</w:t>
      </w:r>
    </w:p>
  </w:footnote>
  <w:footnote w:id="38">
    <w:p w14:paraId="000000F9"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w:t>
      </w:r>
      <w:r w:rsidRPr="000231F9">
        <w:rPr>
          <w:rFonts w:asciiTheme="minorBidi" w:eastAsia="Times New Roman" w:hAnsiTheme="minorBidi" w:cstheme="minorBidi"/>
          <w:sz w:val="20"/>
          <w:szCs w:val="20"/>
          <w:lang w:val="es-AR"/>
        </w:rPr>
        <w:t>ONU. Directrices sobre la función de los fiscales. Octavo Congreso de las Naciones Unidas sobre Prevención del Delito y Tratamiento del Delincuente, celebrado en La Habana (Cuba), del 27 de agosto al 7 de septiembre de 1990, ONU Doc. A/CONF.144/28/Rev. 1 p. 189 (1990)</w:t>
      </w:r>
    </w:p>
  </w:footnote>
  <w:footnote w:id="39">
    <w:p w14:paraId="3B361423" w14:textId="014B95A1" w:rsidR="000231F9" w:rsidRPr="000231F9" w:rsidRDefault="000231F9">
      <w:pPr>
        <w:pStyle w:val="FootnoteText"/>
        <w:rPr>
          <w:lang w:val="es-AR"/>
        </w:rPr>
      </w:pPr>
      <w:r>
        <w:rPr>
          <w:rStyle w:val="FootnoteReference"/>
        </w:rPr>
        <w:footnoteRef/>
      </w:r>
      <w:r w:rsidRPr="000231F9">
        <w:rPr>
          <w:lang w:val="es-AR"/>
        </w:rPr>
        <w:t xml:space="preserve"> Mesa contra la ESCNNA en Medellín. Análisis de la situación de la explotación sexual comercial de niñas, niños y adolescentes en Medellín y recomendaciones de abordaje para la nueva Administración Distrital 2024-2027</w:t>
      </w:r>
      <w:r>
        <w:rPr>
          <w:lang w:val="es-AR"/>
        </w:rPr>
        <w:t>.</w:t>
      </w:r>
    </w:p>
  </w:footnote>
  <w:footnote w:id="40">
    <w:p w14:paraId="1CBC494E" w14:textId="68EEF96A" w:rsidR="000231F9" w:rsidRPr="000231F9" w:rsidRDefault="000231F9">
      <w:pPr>
        <w:pStyle w:val="FootnoteText"/>
        <w:rPr>
          <w:lang w:val="es-AR"/>
        </w:rPr>
      </w:pPr>
      <w:r>
        <w:rPr>
          <w:rStyle w:val="FootnoteReference"/>
        </w:rPr>
        <w:footnoteRef/>
      </w:r>
      <w:r w:rsidRPr="000231F9">
        <w:rPr>
          <w:lang w:val="es-AR"/>
        </w:rPr>
        <w:t xml:space="preserve"> Mesa contra la ESCNNA en Medellín. Análisis de la situación de la explotación sexual comercial de niñas, niños y adolescentes en Medellín y recomendaciones de abordaje para la nueva Administración Distrital 2024-2027</w:t>
      </w:r>
      <w:r>
        <w:rPr>
          <w:lang w:val="es-AR"/>
        </w:rPr>
        <w:t>.</w:t>
      </w:r>
    </w:p>
  </w:footnote>
  <w:footnote w:id="41">
    <w:p w14:paraId="00000132" w14:textId="77777777" w:rsidR="00C60456" w:rsidRPr="000231F9" w:rsidRDefault="0007730F">
      <w:pPr>
        <w:keepLines/>
        <w:spacing w:line="240" w:lineRule="auto"/>
        <w:rPr>
          <w:rFonts w:asciiTheme="minorBidi" w:eastAsia="Times New Roman"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eastAsia="Times New Roman" w:hAnsiTheme="minorBidi" w:cstheme="minorBidi"/>
          <w:sz w:val="20"/>
          <w:szCs w:val="20"/>
          <w:lang w:val="es-AR"/>
        </w:rPr>
        <w:t xml:space="preserve"> Ministerio de Trabajo de Colombia. Política Pública para la Prevención y Erradicación de la Explotación Sexual Comercial de Niñas, Niños y Adolescentes- ESCNNA</w:t>
      </w:r>
    </w:p>
    <w:p w14:paraId="00000133" w14:textId="77777777" w:rsidR="00C60456" w:rsidRPr="000231F9" w:rsidRDefault="0007730F">
      <w:pPr>
        <w:spacing w:line="240" w:lineRule="auto"/>
        <w:rPr>
          <w:rFonts w:asciiTheme="minorBidi" w:eastAsia="Times New Roman" w:hAnsiTheme="minorBidi" w:cstheme="minorBidi"/>
          <w:sz w:val="20"/>
          <w:szCs w:val="20"/>
          <w:lang w:val="es-AR"/>
        </w:rPr>
      </w:pPr>
      <w:r w:rsidRPr="000231F9">
        <w:rPr>
          <w:rFonts w:asciiTheme="minorBidi" w:eastAsia="Times New Roman" w:hAnsiTheme="minorBidi" w:cstheme="minorBidi"/>
          <w:sz w:val="20"/>
          <w:szCs w:val="20"/>
          <w:lang w:val="es-AR"/>
        </w:rPr>
        <w:t xml:space="preserve">. 2018-2028. Disponible en: </w:t>
      </w:r>
      <w:hyperlink r:id="rId44">
        <w:r w:rsidR="00C60456" w:rsidRPr="000231F9">
          <w:rPr>
            <w:rFonts w:asciiTheme="minorBidi" w:eastAsia="Times New Roman" w:hAnsiTheme="minorBidi" w:cstheme="minorBidi"/>
            <w:color w:val="0B57D0"/>
            <w:sz w:val="20"/>
            <w:szCs w:val="20"/>
            <w:lang w:val="es-AR"/>
          </w:rPr>
          <w:t>https://www.mintrabajo.gov.co/politica-publica-para-la-prevencion-y-erradicacion-de-la-explotacion-sexual-comercial-de-ninas-ninos-y-adolescentes</w:t>
        </w:r>
      </w:hyperlink>
      <w:r w:rsidRPr="000231F9">
        <w:rPr>
          <w:rFonts w:asciiTheme="minorBidi" w:eastAsia="Times New Roman" w:hAnsiTheme="minorBidi" w:cstheme="minorBidi"/>
          <w:sz w:val="20"/>
          <w:szCs w:val="20"/>
          <w:lang w:val="es-AR"/>
        </w:rPr>
        <w:t xml:space="preserve"> </w:t>
      </w:r>
    </w:p>
  </w:footnote>
  <w:footnote w:id="42">
    <w:p w14:paraId="000000FC" w14:textId="77777777" w:rsidR="00C60456" w:rsidRPr="000231F9" w:rsidRDefault="0007730F">
      <w:pPr>
        <w:spacing w:line="240" w:lineRule="auto"/>
        <w:rPr>
          <w:rFonts w:asciiTheme="minorBidi" w:hAnsiTheme="minorBidi" w:cstheme="minorBidi"/>
          <w:sz w:val="20"/>
          <w:szCs w:val="20"/>
          <w:vertAlign w:val="superscript"/>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eastAsia="Times New Roman" w:hAnsiTheme="minorBidi" w:cstheme="minorBidi"/>
          <w:sz w:val="20"/>
          <w:szCs w:val="20"/>
          <w:lang w:val="es-AR"/>
        </w:rPr>
        <w:t xml:space="preserve">UNODC. Estudio Mundial sobre el Tráfico de Armas de Fuego. </w:t>
      </w:r>
      <w:r w:rsidRPr="000231F9">
        <w:rPr>
          <w:rFonts w:asciiTheme="minorBidi" w:eastAsia="Times New Roman" w:hAnsiTheme="minorBidi" w:cstheme="minorBidi"/>
          <w:sz w:val="20"/>
          <w:szCs w:val="20"/>
        </w:rPr>
        <w:t>2020</w:t>
      </w:r>
    </w:p>
  </w:footnote>
  <w:footnote w:id="43">
    <w:p w14:paraId="000000FD" w14:textId="77777777" w:rsidR="00C60456" w:rsidRPr="000231F9" w:rsidRDefault="0007730F">
      <w:pPr>
        <w:spacing w:line="240" w:lineRule="auto"/>
        <w:jc w:val="both"/>
        <w:rPr>
          <w:rFonts w:asciiTheme="minorBidi" w:eastAsia="Times New Roman"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eastAsia="Times New Roman" w:hAnsiTheme="minorBidi" w:cstheme="minorBidi"/>
          <w:sz w:val="20"/>
          <w:szCs w:val="20"/>
        </w:rPr>
        <w:t xml:space="preserve"> Global Firearms Holdings. There are more than one billion firearms in the world, the vast majority of which are in civilian hands. </w:t>
      </w:r>
      <w:r w:rsidRPr="000231F9">
        <w:rPr>
          <w:rFonts w:asciiTheme="minorBidi" w:eastAsia="Times New Roman" w:hAnsiTheme="minorBidi" w:cstheme="minorBidi"/>
          <w:sz w:val="20"/>
          <w:szCs w:val="20"/>
          <w:lang w:val="es-AR"/>
        </w:rPr>
        <w:t xml:space="preserve">Marzo 2020. Nota de prensa. Disponible en: </w:t>
      </w:r>
      <w:r w:rsidRPr="000231F9">
        <w:rPr>
          <w:rFonts w:asciiTheme="minorBidi" w:hAnsiTheme="minorBidi" w:cstheme="minorBidi"/>
          <w:sz w:val="20"/>
          <w:szCs w:val="20"/>
          <w:vertAlign w:val="superscript"/>
          <w:lang w:val="es-AR"/>
        </w:rPr>
        <w:t xml:space="preserve"> </w:t>
      </w:r>
      <w:hyperlink r:id="rId45">
        <w:r w:rsidR="00C60456" w:rsidRPr="000231F9">
          <w:rPr>
            <w:rFonts w:asciiTheme="minorBidi" w:eastAsia="Times New Roman" w:hAnsiTheme="minorBidi" w:cstheme="minorBidi"/>
            <w:color w:val="1155CC"/>
            <w:sz w:val="20"/>
            <w:szCs w:val="20"/>
            <w:u w:val="single"/>
            <w:lang w:val="es-AR"/>
          </w:rPr>
          <w:t>https://www.smallarmssurvey.org/database/global-firearms-holdin</w:t>
        </w:r>
      </w:hyperlink>
      <w:hyperlink r:id="rId46">
        <w:r w:rsidR="00C60456" w:rsidRPr="000231F9">
          <w:rPr>
            <w:rFonts w:asciiTheme="minorBidi" w:eastAsia="Times New Roman" w:hAnsiTheme="minorBidi" w:cstheme="minorBidi"/>
            <w:color w:val="1155CC"/>
            <w:sz w:val="20"/>
            <w:szCs w:val="20"/>
            <w:u w:val="single"/>
            <w:lang w:val="es-AR"/>
          </w:rPr>
          <w:t>gs</w:t>
        </w:r>
      </w:hyperlink>
      <w:r w:rsidRPr="000231F9">
        <w:rPr>
          <w:rFonts w:asciiTheme="minorBidi" w:eastAsia="Times New Roman" w:hAnsiTheme="minorBidi" w:cstheme="minorBidi"/>
          <w:sz w:val="20"/>
          <w:szCs w:val="20"/>
          <w:lang w:val="es-AR"/>
        </w:rPr>
        <w:t xml:space="preserve"> </w:t>
      </w:r>
    </w:p>
  </w:footnote>
  <w:footnote w:id="44">
    <w:p w14:paraId="000000FE" w14:textId="77777777" w:rsidR="00C60456" w:rsidRPr="000231F9" w:rsidRDefault="0007730F">
      <w:pPr>
        <w:spacing w:line="240" w:lineRule="auto"/>
        <w:jc w:val="both"/>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eastAsia="Times New Roman" w:hAnsiTheme="minorBidi" w:cstheme="minorBidi"/>
          <w:sz w:val="20"/>
          <w:szCs w:val="20"/>
          <w:lang w:val="es-AR"/>
        </w:rPr>
        <w:t>Fueron responsables del hecho de que decenas de miles de pistolas de fabricación alemana fueron entregadas primero a la empresa hermana estadounidense y de allí a Colombia. Las autoridades alemanas no habían autorizado la reexportación a Colombia</w:t>
      </w:r>
    </w:p>
  </w:footnote>
  <w:footnote w:id="45">
    <w:p w14:paraId="000000FF" w14:textId="77777777" w:rsidR="00C60456" w:rsidRPr="000231F9" w:rsidRDefault="0007730F">
      <w:pPr>
        <w:spacing w:line="240" w:lineRule="auto"/>
        <w:rPr>
          <w:rFonts w:asciiTheme="minorBidi" w:eastAsia="Times New Roman"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eastAsia="Times New Roman" w:hAnsiTheme="minorBidi" w:cstheme="minorBidi"/>
          <w:sz w:val="20"/>
          <w:szCs w:val="20"/>
          <w:u w:val="single"/>
          <w:vertAlign w:val="superscript"/>
          <w:lang w:val="es-AR"/>
        </w:rPr>
        <w:t xml:space="preserve"> </w:t>
      </w:r>
      <w:r w:rsidRPr="000231F9">
        <w:rPr>
          <w:rFonts w:asciiTheme="minorBidi" w:eastAsia="Times New Roman" w:hAnsiTheme="minorBidi" w:cstheme="minorBidi"/>
          <w:sz w:val="20"/>
          <w:szCs w:val="20"/>
          <w:lang w:val="es-AR"/>
        </w:rPr>
        <w:t xml:space="preserve">Cuestión Pública. Nota de Prensa. transacciones mortales: las armas alemanas que silenciaron civiles durante el paro nacional. Nota de Prensa. 28 de abril de 2022. Disponible en: </w:t>
      </w:r>
    </w:p>
    <w:p w14:paraId="00000100" w14:textId="77777777" w:rsidR="00C60456" w:rsidRPr="000231F9" w:rsidRDefault="007E6225">
      <w:pPr>
        <w:spacing w:line="240" w:lineRule="auto"/>
        <w:rPr>
          <w:rFonts w:asciiTheme="minorBidi" w:eastAsia="Times New Roman" w:hAnsiTheme="minorBidi" w:cstheme="minorBidi"/>
          <w:sz w:val="20"/>
          <w:szCs w:val="20"/>
          <w:u w:val="single"/>
          <w:lang w:val="es-AR"/>
        </w:rPr>
      </w:pPr>
      <w:hyperlink r:id="rId47">
        <w:r w:rsidR="00C60456" w:rsidRPr="000231F9">
          <w:rPr>
            <w:rFonts w:asciiTheme="minorBidi" w:eastAsia="Times New Roman" w:hAnsiTheme="minorBidi" w:cstheme="minorBidi"/>
            <w:color w:val="1155CC"/>
            <w:sz w:val="20"/>
            <w:szCs w:val="20"/>
            <w:u w:val="single"/>
            <w:lang w:val="es-AR"/>
          </w:rPr>
          <w:t>https://cutt.ly/fNzEFeX</w:t>
        </w:r>
      </w:hyperlink>
      <w:r w:rsidR="00C60456" w:rsidRPr="000231F9">
        <w:rPr>
          <w:rFonts w:asciiTheme="minorBidi" w:eastAsia="Times New Roman" w:hAnsiTheme="minorBidi" w:cstheme="minorBidi"/>
          <w:sz w:val="20"/>
          <w:szCs w:val="20"/>
          <w:u w:val="single"/>
          <w:lang w:val="es-AR"/>
        </w:rPr>
        <w:t xml:space="preserve"> </w:t>
      </w:r>
    </w:p>
  </w:footnote>
  <w:footnote w:id="46">
    <w:p w14:paraId="0000013B" w14:textId="77777777"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hAnsiTheme="minorBidi" w:cstheme="minorBidi"/>
          <w:sz w:val="20"/>
          <w:szCs w:val="20"/>
          <w:lang w:val="es-AR"/>
        </w:rPr>
        <w:t xml:space="preserve">Instituto de Medicina Legal. Informe Forensis. 2022. Disponible en: </w:t>
      </w:r>
      <w:hyperlink r:id="rId48">
        <w:r w:rsidR="00C60456" w:rsidRPr="000231F9">
          <w:rPr>
            <w:rFonts w:asciiTheme="minorBidi" w:hAnsiTheme="minorBidi" w:cstheme="minorBidi"/>
            <w:color w:val="1155CC"/>
            <w:sz w:val="20"/>
            <w:szCs w:val="20"/>
            <w:u w:val="single"/>
            <w:lang w:val="es-AR"/>
          </w:rPr>
          <w:t>https://www.medicinalegal.gov.co/cifras-estadisticas/forensis</w:t>
        </w:r>
      </w:hyperlink>
      <w:r w:rsidRPr="000231F9">
        <w:rPr>
          <w:rFonts w:asciiTheme="minorBidi" w:hAnsiTheme="minorBidi" w:cstheme="minorBidi"/>
          <w:sz w:val="20"/>
          <w:szCs w:val="20"/>
          <w:lang w:val="es-AR"/>
        </w:rPr>
        <w:t xml:space="preserve">. </w:t>
      </w:r>
    </w:p>
  </w:footnote>
  <w:footnote w:id="47">
    <w:p w14:paraId="00000101" w14:textId="5AE696F6"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hAnsiTheme="minorBidi" w:cstheme="minorBidi"/>
          <w:sz w:val="20"/>
          <w:szCs w:val="20"/>
          <w:lang w:val="es-AR"/>
        </w:rPr>
        <w:t>Comité de los Derechos del Niño. Observaciones finales sobre los informes periódicos cuarto y quinto combinados de Colombia.</w:t>
      </w:r>
      <w:r w:rsidR="000231F9">
        <w:rPr>
          <w:rFonts w:asciiTheme="minorBidi" w:hAnsiTheme="minorBidi" w:cstheme="minorBidi"/>
          <w:sz w:val="20"/>
          <w:szCs w:val="20"/>
          <w:lang w:val="es-AR"/>
        </w:rPr>
        <w:t xml:space="preserve"> </w:t>
      </w:r>
      <w:r w:rsidRPr="000231F9">
        <w:rPr>
          <w:rFonts w:asciiTheme="minorBidi" w:hAnsiTheme="minorBidi" w:cstheme="minorBidi"/>
          <w:sz w:val="20"/>
          <w:szCs w:val="20"/>
          <w:lang w:val="es-AR"/>
        </w:rPr>
        <w:t>CRC/C/COL/CO/4-5.  6 de marzo de 2015, recomendación 16.a.</w:t>
      </w:r>
    </w:p>
  </w:footnote>
  <w:footnote w:id="48">
    <w:p w14:paraId="00000103" w14:textId="77777777" w:rsidR="00C60456" w:rsidRPr="000231F9" w:rsidRDefault="0007730F">
      <w:pPr>
        <w:spacing w:line="240" w:lineRule="auto"/>
        <w:jc w:val="both"/>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Pensamiento y Accion Social (PAS). Identidades y riesgos en la defensa infantil y juvenil del ambiente en Colombia: expresiones organizativas, análisis de riesgos y desafíos para su protección. Febrero de 2023. Disponible en: </w:t>
      </w:r>
      <w:hyperlink r:id="rId49">
        <w:r w:rsidR="00C60456" w:rsidRPr="000231F9">
          <w:rPr>
            <w:rFonts w:asciiTheme="minorBidi" w:hAnsiTheme="minorBidi" w:cstheme="minorBidi"/>
            <w:color w:val="1155CC"/>
            <w:sz w:val="20"/>
            <w:szCs w:val="20"/>
            <w:u w:val="single"/>
            <w:lang w:val="es-AR"/>
          </w:rPr>
          <w:t>https://www.pas.org.co/_files/ugd/b432f9_bf0102c8dac042ebb162df5afbe8ea9f.pdf</w:t>
        </w:r>
      </w:hyperlink>
      <w:r w:rsidRPr="000231F9">
        <w:rPr>
          <w:rFonts w:asciiTheme="minorBidi" w:hAnsiTheme="minorBidi" w:cstheme="minorBidi"/>
          <w:sz w:val="20"/>
          <w:szCs w:val="20"/>
          <w:lang w:val="es-AR"/>
        </w:rPr>
        <w:t xml:space="preserve"> </w:t>
      </w:r>
    </w:p>
  </w:footnote>
  <w:footnote w:id="49">
    <w:p w14:paraId="00000102" w14:textId="77777777" w:rsidR="00C60456" w:rsidRPr="000231F9" w:rsidRDefault="0007730F">
      <w:pPr>
        <w:spacing w:line="240" w:lineRule="auto"/>
        <w:jc w:val="both"/>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El asesinato de Breiner David Cucuñame, protector ambiental de 14 años que integraba la guardia indígena estudiantil Kiwe Thegna del resguardo de Las Delicias, de la Asociación de Cabildos Indígenas del Norte del Cauca -ACIN- en el norte del departamento, en medio de un ataque de las disidencias de las FARC-EP al grupo de defensores que se encontraba ejerciendo el control y la defensa del territorio. Esta situación fue objeto de rechazo por la CID, ver: </w:t>
      </w:r>
      <w:hyperlink r:id="rId50">
        <w:r w:rsidR="00C60456" w:rsidRPr="000231F9">
          <w:rPr>
            <w:rFonts w:asciiTheme="minorBidi" w:hAnsiTheme="minorBidi" w:cstheme="minorBidi"/>
            <w:color w:val="1155CC"/>
            <w:sz w:val="20"/>
            <w:szCs w:val="20"/>
            <w:u w:val="single"/>
            <w:lang w:val="es-AR"/>
          </w:rPr>
          <w:t>https://www.oas.org/es/cidh/jsForm/?File=/es/cidh/prensa/comunicados/2022/114.asp</w:t>
        </w:r>
      </w:hyperlink>
      <w:r w:rsidRPr="000231F9">
        <w:rPr>
          <w:rFonts w:asciiTheme="minorBidi" w:hAnsiTheme="minorBidi" w:cstheme="minorBidi"/>
          <w:sz w:val="20"/>
          <w:szCs w:val="20"/>
          <w:lang w:val="es-AR"/>
        </w:rPr>
        <w:t xml:space="preserve"> </w:t>
      </w:r>
    </w:p>
  </w:footnote>
  <w:footnote w:id="50">
    <w:p w14:paraId="0000012F"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Pensamiento y Acción Social (PAS). Identidades y riesgos en la defensa infantil y juvenil del ambiente en Colombia: expresiones organizativas, análisis de riesgos y desafíos para su protección. Febrero de 2023. Disponible en: </w:t>
      </w:r>
      <w:hyperlink r:id="rId51">
        <w:r w:rsidR="00C60456" w:rsidRPr="000231F9">
          <w:rPr>
            <w:rFonts w:asciiTheme="minorBidi" w:hAnsiTheme="minorBidi" w:cstheme="minorBidi"/>
            <w:color w:val="1155CC"/>
            <w:sz w:val="20"/>
            <w:szCs w:val="20"/>
            <w:u w:val="single"/>
            <w:lang w:val="es-AR"/>
          </w:rPr>
          <w:t>https://www.pas.org.co/_files/ugd/b432f9_bf0102c8dac042ebb162df5afbe8ea9f.pdf</w:t>
        </w:r>
      </w:hyperlink>
      <w:r w:rsidRPr="000231F9">
        <w:rPr>
          <w:rFonts w:asciiTheme="minorBidi" w:hAnsiTheme="minorBidi" w:cstheme="minorBidi"/>
          <w:sz w:val="20"/>
          <w:szCs w:val="20"/>
          <w:lang w:val="es-AR"/>
        </w:rPr>
        <w:t xml:space="preserve"> </w:t>
      </w:r>
    </w:p>
  </w:footnote>
  <w:footnote w:id="51">
    <w:p w14:paraId="00000130"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Ibidem.</w:t>
      </w:r>
    </w:p>
  </w:footnote>
  <w:footnote w:id="52">
    <w:p w14:paraId="00000104"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Comité de los Derechos del Niño . Observaciones finales sobre los informes periódicos sexto y séptimo combinados de Chile. CRC/C/CHL/CO/6-7. 22 de junio de 2022. Disponible en: </w:t>
      </w:r>
      <w:hyperlink r:id="rId52">
        <w:r w:rsidR="00C60456" w:rsidRPr="000231F9">
          <w:rPr>
            <w:rFonts w:asciiTheme="minorBidi" w:hAnsiTheme="minorBidi" w:cstheme="minorBidi"/>
            <w:color w:val="1155CC"/>
            <w:sz w:val="20"/>
            <w:szCs w:val="20"/>
            <w:u w:val="single"/>
            <w:lang w:val="es-AR"/>
          </w:rPr>
          <w:t>https://cutt.ly/9NzTOmV</w:t>
        </w:r>
      </w:hyperlink>
      <w:r w:rsidRPr="000231F9">
        <w:rPr>
          <w:rFonts w:asciiTheme="minorBidi" w:hAnsiTheme="minorBidi" w:cstheme="minorBidi"/>
          <w:sz w:val="20"/>
          <w:szCs w:val="20"/>
          <w:lang w:val="es-AR"/>
        </w:rPr>
        <w:t xml:space="preserve"> </w:t>
      </w:r>
    </w:p>
  </w:footnote>
  <w:footnote w:id="53">
    <w:p w14:paraId="00000105" w14:textId="77777777" w:rsidR="00C60456" w:rsidRPr="000231F9" w:rsidRDefault="0007730F">
      <w:pPr>
        <w:spacing w:line="240" w:lineRule="auto"/>
        <w:jc w:val="both"/>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Comité de los Derechos del Niño. Oservaciones finales sobre los informes periódicos tercero a sexto combinados de Cuba. CRC/C/CUB/CO/3-6. 16 de junio de 2022. Disponible en: </w:t>
      </w:r>
      <w:hyperlink r:id="rId53">
        <w:r w:rsidR="00C60456" w:rsidRPr="000231F9">
          <w:rPr>
            <w:rFonts w:asciiTheme="minorBidi" w:hAnsiTheme="minorBidi" w:cstheme="minorBidi"/>
            <w:color w:val="1155CC"/>
            <w:sz w:val="20"/>
            <w:szCs w:val="20"/>
            <w:u w:val="single"/>
            <w:lang w:val="es-AR"/>
          </w:rPr>
          <w:t>https://cutt.ly/cNzYo6V</w:t>
        </w:r>
      </w:hyperlink>
      <w:r w:rsidRPr="000231F9">
        <w:rPr>
          <w:rFonts w:asciiTheme="minorBidi" w:hAnsiTheme="minorBidi" w:cstheme="minorBidi"/>
          <w:sz w:val="20"/>
          <w:szCs w:val="20"/>
          <w:lang w:val="es-AR"/>
        </w:rPr>
        <w:t xml:space="preserve">. P. 54 y 51. </w:t>
      </w:r>
    </w:p>
  </w:footnote>
  <w:footnote w:id="54">
    <w:p w14:paraId="00000108" w14:textId="77777777" w:rsidR="00C60456" w:rsidRPr="000231F9" w:rsidRDefault="0007730F">
      <w:pPr>
        <w:spacing w:line="240" w:lineRule="auto"/>
        <w:jc w:val="both"/>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Amnistía Internacional. Nota de prensa Colombia: Represión contra personas que protestan. 05 de mayo de 2021. Disponible en: </w:t>
      </w:r>
      <w:hyperlink r:id="rId54">
        <w:r w:rsidR="00C60456" w:rsidRPr="000231F9">
          <w:rPr>
            <w:rFonts w:asciiTheme="minorBidi" w:hAnsiTheme="minorBidi" w:cstheme="minorBidi"/>
            <w:color w:val="1155CC"/>
            <w:sz w:val="20"/>
            <w:szCs w:val="20"/>
            <w:u w:val="single"/>
            <w:lang w:val="es-AR"/>
          </w:rPr>
          <w:t>https://www.amnesty.org/es/documents/amr23/4083/2021/es/</w:t>
        </w:r>
      </w:hyperlink>
      <w:r w:rsidRPr="000231F9">
        <w:rPr>
          <w:rFonts w:asciiTheme="minorBidi" w:hAnsiTheme="minorBidi" w:cstheme="minorBidi"/>
          <w:sz w:val="20"/>
          <w:szCs w:val="20"/>
          <w:lang w:val="es-AR"/>
        </w:rPr>
        <w:t xml:space="preserve"> Amnistía Internacional. Informe: Cali, El epicentro de la represión. 30 de julio de 2021. </w:t>
      </w:r>
      <w:r w:rsidRPr="006A5420">
        <w:rPr>
          <w:rFonts w:asciiTheme="minorBidi" w:hAnsiTheme="minorBidi" w:cstheme="minorBidi"/>
          <w:sz w:val="20"/>
          <w:szCs w:val="20"/>
          <w:lang w:val="es-CO"/>
        </w:rPr>
        <w:t xml:space="preserve">Disponible en: </w:t>
      </w:r>
      <w:hyperlink r:id="rId55">
        <w:r w:rsidR="00C60456" w:rsidRPr="006A5420">
          <w:rPr>
            <w:rFonts w:asciiTheme="minorBidi" w:hAnsiTheme="minorBidi" w:cstheme="minorBidi"/>
            <w:color w:val="1155CC"/>
            <w:sz w:val="20"/>
            <w:szCs w:val="20"/>
            <w:u w:val="single"/>
            <w:lang w:val="es-CO"/>
          </w:rPr>
          <w:t>https://www.amnesty.org/es/documents/amr23/4405/2021/es/</w:t>
        </w:r>
      </w:hyperlink>
      <w:r w:rsidRPr="006A5420">
        <w:rPr>
          <w:rFonts w:asciiTheme="minorBidi" w:hAnsiTheme="minorBidi" w:cstheme="minorBidi"/>
          <w:sz w:val="20"/>
          <w:szCs w:val="20"/>
          <w:lang w:val="es-CO"/>
        </w:rPr>
        <w:t xml:space="preserve">. Human Rights Watch. </w:t>
      </w:r>
      <w:r w:rsidRPr="000231F9">
        <w:rPr>
          <w:rFonts w:asciiTheme="minorBidi" w:hAnsiTheme="minorBidi" w:cstheme="minorBidi"/>
          <w:sz w:val="20"/>
          <w:szCs w:val="20"/>
          <w:lang w:val="es-AR"/>
        </w:rPr>
        <w:t xml:space="preserve">Colombia: Brutalidad policial contra manifestantes. 9 de junio de 2021. Disponible en: </w:t>
      </w:r>
      <w:hyperlink r:id="rId56">
        <w:r w:rsidR="00C60456" w:rsidRPr="000231F9">
          <w:rPr>
            <w:rFonts w:asciiTheme="minorBidi" w:hAnsiTheme="minorBidi" w:cstheme="minorBidi"/>
            <w:color w:val="1155CC"/>
            <w:sz w:val="20"/>
            <w:szCs w:val="20"/>
            <w:u w:val="single"/>
            <w:lang w:val="es-AR"/>
          </w:rPr>
          <w:t>https://www.hrw.org/es/news/2021/06/09/colombia-brutalidad-policial-contra-manifestantes</w:t>
        </w:r>
      </w:hyperlink>
      <w:r w:rsidRPr="000231F9">
        <w:rPr>
          <w:rFonts w:asciiTheme="minorBidi" w:hAnsiTheme="minorBidi" w:cstheme="minorBidi"/>
          <w:sz w:val="20"/>
          <w:szCs w:val="20"/>
          <w:lang w:val="es-AR"/>
        </w:rPr>
        <w:t>.</w:t>
      </w:r>
    </w:p>
  </w:footnote>
  <w:footnote w:id="55">
    <w:p w14:paraId="00000107"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CIDH. Observaciones y Recomendaciones de Visita de Trabajo a Colombia. 8 de junio de 2021, párr. 2. Disponible en: https://</w:t>
      </w:r>
      <w:hyperlink r:id="rId57">
        <w:r w:rsidR="00C60456" w:rsidRPr="000231F9">
          <w:rPr>
            <w:rFonts w:asciiTheme="minorBidi" w:hAnsiTheme="minorBidi" w:cstheme="minorBidi"/>
            <w:color w:val="1155CC"/>
            <w:sz w:val="20"/>
            <w:szCs w:val="20"/>
            <w:u w:val="single"/>
            <w:lang w:val="es-AR"/>
          </w:rPr>
          <w:t>www.oas.org/es/cidh/informes/pdfs/ObservacionesVisita_CIDH_Colombia_SPA.pdf</w:t>
        </w:r>
      </w:hyperlink>
      <w:r w:rsidRPr="000231F9">
        <w:rPr>
          <w:rFonts w:asciiTheme="minorBidi" w:hAnsiTheme="minorBidi" w:cstheme="minorBidi"/>
          <w:sz w:val="20"/>
          <w:szCs w:val="20"/>
          <w:lang w:val="es-AR"/>
        </w:rPr>
        <w:t xml:space="preserve">.   </w:t>
      </w:r>
    </w:p>
  </w:footnote>
  <w:footnote w:id="56">
    <w:p w14:paraId="00000106"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Campana Defender la Libertad. Informe sobre las violencias en contra de Niñas, Niños y Adolescentes en el marco del Paro Nacional en Colombia. 28 de abril de 2022. Disponible en: </w:t>
      </w:r>
      <w:hyperlink r:id="rId58">
        <w:r w:rsidR="00C60456" w:rsidRPr="000231F9">
          <w:rPr>
            <w:rFonts w:asciiTheme="minorBidi" w:hAnsiTheme="minorBidi" w:cstheme="minorBidi"/>
            <w:color w:val="1155CC"/>
            <w:sz w:val="20"/>
            <w:szCs w:val="20"/>
            <w:u w:val="single"/>
            <w:lang w:val="es-AR"/>
          </w:rPr>
          <w:t>https://acrobat.adobe.com/link/review?uri=urn%3Aaaid%3Ascds%3AUS%3Acbb454d4-60c4-41fc-8998-d74636de65ee</w:t>
        </w:r>
      </w:hyperlink>
      <w:r w:rsidRPr="000231F9">
        <w:rPr>
          <w:rFonts w:asciiTheme="minorBidi" w:hAnsiTheme="minorBidi" w:cstheme="minorBidi"/>
          <w:sz w:val="20"/>
          <w:szCs w:val="20"/>
          <w:lang w:val="es-AR"/>
        </w:rPr>
        <w:t xml:space="preserve">. </w:t>
      </w:r>
    </w:p>
  </w:footnote>
  <w:footnote w:id="57">
    <w:p w14:paraId="00000134"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CIDH. Colombia. Observaciones y recomendaciones. Visita de trabajo a Colombia, Junio de 2021.</w:t>
      </w:r>
    </w:p>
    <w:p w14:paraId="00000135"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lang w:val="es-AR"/>
        </w:rPr>
        <w:t xml:space="preserve"> </w:t>
      </w:r>
      <w:hyperlink r:id="rId59">
        <w:r w:rsidR="00C60456" w:rsidRPr="000231F9">
          <w:rPr>
            <w:rFonts w:asciiTheme="minorBidi" w:hAnsiTheme="minorBidi" w:cstheme="minorBidi"/>
            <w:color w:val="1155CC"/>
            <w:sz w:val="20"/>
            <w:szCs w:val="20"/>
            <w:u w:val="single"/>
            <w:lang w:val="es-AR"/>
          </w:rPr>
          <w:t>https://www.oas.org/es/cidh/informes/pdfs/ObservacionesVisita_cidh_Colombia_spA.pdf</w:t>
        </w:r>
      </w:hyperlink>
      <w:r w:rsidRPr="000231F9">
        <w:rPr>
          <w:rFonts w:asciiTheme="minorBidi" w:hAnsiTheme="minorBidi" w:cstheme="minorBidi"/>
          <w:sz w:val="20"/>
          <w:szCs w:val="20"/>
          <w:lang w:val="es-AR"/>
        </w:rPr>
        <w:t xml:space="preserve"> </w:t>
      </w:r>
    </w:p>
  </w:footnote>
  <w:footnote w:id="58">
    <w:p w14:paraId="00000109" w14:textId="77777777"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eastAsia="Calibri" w:hAnsiTheme="minorBidi" w:cstheme="minorBidi"/>
          <w:sz w:val="20"/>
          <w:szCs w:val="20"/>
          <w:lang w:val="es-AR"/>
        </w:rPr>
        <w:t>Comité de Derechos Económicos, Sociales y Culturales. Observaciones finales sobre el sexto informe periódico de Colombia</w:t>
      </w:r>
      <w:r w:rsidRPr="000231F9">
        <w:rPr>
          <w:rFonts w:asciiTheme="minorBidi" w:eastAsia="Calibri" w:hAnsiTheme="minorBidi" w:cstheme="minorBidi"/>
          <w:b/>
          <w:sz w:val="20"/>
          <w:szCs w:val="20"/>
          <w:lang w:val="es-AR"/>
        </w:rPr>
        <w:t xml:space="preserve">. </w:t>
      </w:r>
      <w:r w:rsidRPr="000231F9">
        <w:rPr>
          <w:rFonts w:asciiTheme="minorBidi" w:eastAsia="Calibri" w:hAnsiTheme="minorBidi" w:cstheme="minorBidi"/>
          <w:sz w:val="20"/>
          <w:szCs w:val="20"/>
          <w:lang w:val="es-AR"/>
        </w:rPr>
        <w:t>Ginebra. E/C.12/COL/CO/6.</w:t>
      </w:r>
      <w:r w:rsidRPr="000231F9">
        <w:rPr>
          <w:rFonts w:asciiTheme="minorBidi" w:eastAsia="Calibri" w:hAnsiTheme="minorBidi" w:cstheme="minorBidi"/>
          <w:b/>
          <w:sz w:val="20"/>
          <w:szCs w:val="20"/>
          <w:lang w:val="es-AR"/>
        </w:rPr>
        <w:t xml:space="preserve"> </w:t>
      </w:r>
      <w:r w:rsidRPr="000231F9">
        <w:rPr>
          <w:rFonts w:asciiTheme="minorBidi" w:eastAsia="Calibri" w:hAnsiTheme="minorBidi" w:cstheme="minorBidi"/>
          <w:sz w:val="20"/>
          <w:szCs w:val="20"/>
          <w:lang w:val="es-AR"/>
        </w:rPr>
        <w:t xml:space="preserve">6 de octubre de 2017, párr. 36. </w:t>
      </w:r>
    </w:p>
  </w:footnote>
  <w:footnote w:id="59">
    <w:p w14:paraId="0000010A" w14:textId="77777777"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hAnsiTheme="minorBidi" w:cstheme="minorBidi"/>
          <w:sz w:val="20"/>
          <w:szCs w:val="20"/>
          <w:lang w:val="es-AR"/>
        </w:rPr>
        <w:t>Ibídem párr. 58.</w:t>
      </w:r>
    </w:p>
  </w:footnote>
  <w:footnote w:id="60">
    <w:p w14:paraId="0000010B" w14:textId="77777777"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eastAsia="Calibri" w:hAnsiTheme="minorBidi" w:cstheme="minorBidi"/>
          <w:sz w:val="20"/>
          <w:szCs w:val="20"/>
          <w:lang w:val="es-AR"/>
        </w:rPr>
        <w:t xml:space="preserve"> Ver: Ministerio de Educación Nacional. Dirección de Cobertura y Equidad. Subdirección de Permanencia. </w:t>
      </w:r>
      <w:r w:rsidRPr="000231F9">
        <w:rPr>
          <w:rFonts w:asciiTheme="minorBidi" w:eastAsia="Calibri" w:hAnsiTheme="minorBidi" w:cstheme="minorBidi"/>
          <w:b/>
          <w:sz w:val="20"/>
          <w:szCs w:val="20"/>
          <w:lang w:val="es-AR"/>
        </w:rPr>
        <w:t>Programa de Alimentación Escolar. Informes Operación PAE. Periodo enero – diciembre 2019.</w:t>
      </w:r>
      <w:r w:rsidRPr="000231F9">
        <w:rPr>
          <w:rFonts w:asciiTheme="minorBidi" w:eastAsia="Calibri" w:hAnsiTheme="minorBidi" w:cstheme="minorBidi"/>
          <w:sz w:val="20"/>
          <w:szCs w:val="20"/>
          <w:lang w:val="es-AR"/>
        </w:rPr>
        <w:t xml:space="preserve"> Bogotá. 2019. p: 3 Disponible en: </w:t>
      </w:r>
      <w:hyperlink r:id="rId60">
        <w:r w:rsidR="00C60456" w:rsidRPr="000231F9">
          <w:rPr>
            <w:rFonts w:asciiTheme="minorBidi" w:eastAsia="Calibri" w:hAnsiTheme="minorBidi" w:cstheme="minorBidi"/>
            <w:color w:val="1155CC"/>
            <w:sz w:val="20"/>
            <w:szCs w:val="20"/>
            <w:u w:val="single"/>
            <w:lang w:val="es-AR"/>
          </w:rPr>
          <w:t>https://www.mineducacion.gov.co/portal/micrositiospreescolar-basica-ymedia/Programa-de-Alimentacion-Escolar-PAE-/ETC/357467:Informes-Operacion-PAE</w:t>
        </w:r>
      </w:hyperlink>
      <w:r w:rsidRPr="000231F9">
        <w:rPr>
          <w:rFonts w:asciiTheme="minorBidi" w:eastAsia="Calibri" w:hAnsiTheme="minorBidi" w:cstheme="minorBidi"/>
          <w:sz w:val="20"/>
          <w:szCs w:val="20"/>
          <w:lang w:val="es-AR"/>
        </w:rPr>
        <w:t xml:space="preserve">] </w:t>
      </w:r>
    </w:p>
  </w:footnote>
  <w:footnote w:id="61">
    <w:p w14:paraId="0000010C" w14:textId="77777777"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eastAsia="Calibri" w:hAnsiTheme="minorBidi" w:cstheme="minorBidi"/>
          <w:sz w:val="20"/>
          <w:szCs w:val="20"/>
          <w:lang w:val="es-AR"/>
        </w:rPr>
        <w:t xml:space="preserve">FIAN Colombia. Un país que se hunde en el hambre. Cuarto informe sobre la situación del derecho humanos a la alimentación y nutrición adecuadas en Colombia/2021. Bogotá. Impresión, Orlando Vaca Melo. 2021. Disponible en: </w:t>
      </w:r>
      <w:hyperlink r:id="rId61">
        <w:r w:rsidR="00C60456" w:rsidRPr="000231F9">
          <w:rPr>
            <w:rFonts w:asciiTheme="minorBidi" w:eastAsia="Calibri" w:hAnsiTheme="minorBidi" w:cstheme="minorBidi"/>
            <w:color w:val="1155CC"/>
            <w:sz w:val="20"/>
            <w:szCs w:val="20"/>
            <w:u w:val="single"/>
            <w:lang w:val="es-AR"/>
          </w:rPr>
          <w:t>https://fiancolombia.org/wp-content/uploads/Cuarto-Informe-Alimentacio%CC%81n-2021.-Un-pai%CC%81s-que-se-hunde-en-el-hambre..pdf</w:t>
        </w:r>
      </w:hyperlink>
      <w:r w:rsidRPr="000231F9">
        <w:rPr>
          <w:rFonts w:asciiTheme="minorBidi" w:eastAsia="Calibri" w:hAnsiTheme="minorBidi" w:cstheme="minorBidi"/>
          <w:sz w:val="20"/>
          <w:szCs w:val="20"/>
          <w:lang w:val="es-AR"/>
        </w:rPr>
        <w:t xml:space="preserve"> </w:t>
      </w:r>
    </w:p>
  </w:footnote>
  <w:footnote w:id="62">
    <w:p w14:paraId="00000128" w14:textId="2E8D37D1"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eastAsia="Calibri" w:hAnsiTheme="minorBidi" w:cstheme="minorBidi"/>
          <w:sz w:val="20"/>
          <w:szCs w:val="20"/>
          <w:lang w:val="es-AR"/>
        </w:rPr>
        <w:t xml:space="preserve">Gobierno de Colombia. Plan Nacional de Desarrollo 2022-2026. Colombia, Potencia Mundial de la Vida. Bogotá. Mayo de 2023. </w:t>
      </w:r>
      <w:r w:rsidR="000231F9" w:rsidRPr="000231F9">
        <w:rPr>
          <w:rFonts w:asciiTheme="minorBidi" w:eastAsia="Calibri" w:hAnsiTheme="minorBidi" w:cstheme="minorBidi"/>
          <w:sz w:val="20"/>
          <w:szCs w:val="20"/>
          <w:lang w:val="es-AR"/>
        </w:rPr>
        <w:t>P</w:t>
      </w:r>
      <w:r w:rsidR="000231F9">
        <w:rPr>
          <w:rFonts w:asciiTheme="minorBidi" w:eastAsia="Calibri" w:hAnsiTheme="minorBidi" w:cstheme="minorBidi"/>
          <w:sz w:val="20"/>
          <w:szCs w:val="20"/>
          <w:lang w:val="es-AR"/>
        </w:rPr>
        <w:t>ág.</w:t>
      </w:r>
      <w:r w:rsidRPr="000231F9">
        <w:rPr>
          <w:rFonts w:asciiTheme="minorBidi" w:eastAsia="Calibri" w:hAnsiTheme="minorBidi" w:cstheme="minorBidi"/>
          <w:sz w:val="20"/>
          <w:szCs w:val="20"/>
          <w:lang w:val="es-AR"/>
        </w:rPr>
        <w:t xml:space="preserve"> 159</w:t>
      </w:r>
      <w:r w:rsidR="000231F9">
        <w:rPr>
          <w:rFonts w:asciiTheme="minorBidi" w:eastAsia="Calibri" w:hAnsiTheme="minorBidi" w:cstheme="minorBidi"/>
          <w:sz w:val="20"/>
          <w:szCs w:val="20"/>
          <w:lang w:val="es-AR"/>
        </w:rPr>
        <w:t>.</w:t>
      </w:r>
      <w:r w:rsidRPr="000231F9">
        <w:rPr>
          <w:rFonts w:asciiTheme="minorBidi" w:eastAsia="Calibri" w:hAnsiTheme="minorBidi" w:cstheme="minorBidi"/>
          <w:sz w:val="20"/>
          <w:szCs w:val="20"/>
          <w:lang w:val="es-AR"/>
        </w:rPr>
        <w:t xml:space="preserve"> Disponible en: </w:t>
      </w:r>
      <w:hyperlink r:id="rId62">
        <w:r w:rsidR="00C60456" w:rsidRPr="000231F9">
          <w:rPr>
            <w:rFonts w:asciiTheme="minorBidi" w:eastAsia="Calibri" w:hAnsiTheme="minorBidi" w:cstheme="minorBidi"/>
            <w:color w:val="1155CC"/>
            <w:sz w:val="20"/>
            <w:szCs w:val="20"/>
            <w:u w:val="single"/>
            <w:lang w:val="es-AR"/>
          </w:rPr>
          <w:t>https://colaboracion.dnp.gov.co/CDT/Prensa/Publicaciones/plan-nacional-de-desarrollo-2022-2026-colombia-potencia-mundial-de-la-vida.pdf</w:t>
        </w:r>
      </w:hyperlink>
      <w:r w:rsidRPr="000231F9">
        <w:rPr>
          <w:rFonts w:asciiTheme="minorBidi" w:eastAsia="Calibri" w:hAnsiTheme="minorBidi" w:cstheme="minorBidi"/>
          <w:sz w:val="20"/>
          <w:szCs w:val="20"/>
          <w:lang w:val="es-AR"/>
        </w:rPr>
        <w:t xml:space="preserve"> .</w:t>
      </w:r>
    </w:p>
  </w:footnote>
  <w:footnote w:id="63">
    <w:p w14:paraId="0000010D" w14:textId="77777777" w:rsidR="00C60456" w:rsidRPr="000231F9" w:rsidRDefault="0007730F">
      <w:pPr>
        <w:spacing w:line="240" w:lineRule="auto"/>
        <w:rPr>
          <w:rFonts w:asciiTheme="minorBidi" w:eastAsia="Calibr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eastAsia="Calibri" w:hAnsiTheme="minorBidi" w:cstheme="minorBidi"/>
          <w:sz w:val="20"/>
          <w:szCs w:val="20"/>
          <w:lang w:val="es-AR"/>
        </w:rPr>
        <w:t xml:space="preserve">Ministerio de Salud y Protección Social et al.  </w:t>
      </w:r>
      <w:r w:rsidRPr="000231F9">
        <w:rPr>
          <w:rFonts w:asciiTheme="minorBidi" w:eastAsia="Calibri" w:hAnsiTheme="minorBidi" w:cstheme="minorBidi"/>
          <w:b/>
          <w:sz w:val="20"/>
          <w:szCs w:val="20"/>
          <w:lang w:val="es-AR"/>
        </w:rPr>
        <w:t>Encuesta Nacional de la Situación Nutricional. ENSIN 2015.</w:t>
      </w:r>
      <w:r w:rsidRPr="000231F9">
        <w:rPr>
          <w:rFonts w:asciiTheme="minorBidi" w:eastAsia="Calibri" w:hAnsiTheme="minorBidi" w:cstheme="minorBidi"/>
          <w:sz w:val="20"/>
          <w:szCs w:val="20"/>
          <w:lang w:val="es-AR"/>
        </w:rPr>
        <w:t xml:space="preserve"> Bogotá. 2019. Versión 2. pag. 136. Disponible en: </w:t>
      </w:r>
      <w:hyperlink r:id="rId63">
        <w:r w:rsidR="00C60456" w:rsidRPr="000231F9">
          <w:rPr>
            <w:rFonts w:asciiTheme="minorBidi" w:eastAsia="Calibri" w:hAnsiTheme="minorBidi" w:cstheme="minorBidi"/>
            <w:color w:val="1155CC"/>
            <w:sz w:val="20"/>
            <w:szCs w:val="20"/>
            <w:u w:val="single"/>
            <w:lang w:val="es-AR"/>
          </w:rPr>
          <w:t>https://www.minsalud.gov.co/sites/rid/Lists/BibliotecaDigital/RIDE/VS/ED/GCFI/documento-metodologico-ensin-2015.pdf</w:t>
        </w:r>
      </w:hyperlink>
      <w:r w:rsidRPr="000231F9">
        <w:rPr>
          <w:rFonts w:asciiTheme="minorBidi" w:eastAsia="Calibri" w:hAnsiTheme="minorBidi" w:cstheme="minorBidi"/>
          <w:sz w:val="20"/>
          <w:szCs w:val="20"/>
          <w:lang w:val="es-AR"/>
        </w:rPr>
        <w:t xml:space="preserve">. </w:t>
      </w:r>
    </w:p>
  </w:footnote>
  <w:footnote w:id="64">
    <w:p w14:paraId="00000129" w14:textId="77777777" w:rsidR="00C60456" w:rsidRPr="000231F9" w:rsidRDefault="0007730F">
      <w:pPr>
        <w:spacing w:line="240" w:lineRule="auto"/>
        <w:rPr>
          <w:rFonts w:asciiTheme="minorBidi" w:hAnsiTheme="minorBidi" w:cstheme="minorBidi"/>
          <w:sz w:val="20"/>
          <w:szCs w:val="20"/>
          <w:vertAlign w:val="superscript"/>
          <w:lang w:val="fr-F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eastAsia="Calibri" w:hAnsiTheme="minorBidi" w:cstheme="minorBidi"/>
          <w:sz w:val="20"/>
          <w:szCs w:val="20"/>
          <w:lang w:val="es-AR"/>
        </w:rPr>
        <w:t xml:space="preserve">Gobierno de Colombia. Plan Nacional de Desarrollo 2022-2026. </w:t>
      </w:r>
      <w:r w:rsidRPr="000231F9">
        <w:rPr>
          <w:rFonts w:asciiTheme="minorBidi" w:eastAsia="Calibri" w:hAnsiTheme="minorBidi" w:cstheme="minorBidi"/>
          <w:sz w:val="20"/>
          <w:szCs w:val="20"/>
          <w:lang w:val="fr-FR"/>
        </w:rPr>
        <w:t xml:space="preserve">Op. Cit. pags. 751-752. Disponible en: </w:t>
      </w:r>
      <w:hyperlink r:id="rId64">
        <w:r w:rsidR="00C60456" w:rsidRPr="000231F9">
          <w:rPr>
            <w:rFonts w:asciiTheme="minorBidi" w:eastAsia="Calibri" w:hAnsiTheme="minorBidi" w:cstheme="minorBidi"/>
            <w:color w:val="1155CC"/>
            <w:sz w:val="20"/>
            <w:szCs w:val="20"/>
            <w:u w:val="single"/>
            <w:lang w:val="fr-FR"/>
          </w:rPr>
          <w:t>https://colaboracion.dnp.gov.co/CDT/Prensa/Publicaciones/plan-nacional-de-desarrollo-2022-2026-colombia-potencia-mundial-de-la-vida.pdf</w:t>
        </w:r>
      </w:hyperlink>
      <w:r w:rsidRPr="000231F9">
        <w:rPr>
          <w:rFonts w:asciiTheme="minorBidi" w:eastAsia="Calibri" w:hAnsiTheme="minorBidi" w:cstheme="minorBidi"/>
          <w:sz w:val="20"/>
          <w:szCs w:val="20"/>
          <w:lang w:val="fr-FR"/>
        </w:rPr>
        <w:t xml:space="preserve">. </w:t>
      </w:r>
    </w:p>
  </w:footnote>
  <w:footnote w:id="65">
    <w:p w14:paraId="0000012A" w14:textId="07E6B105"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eastAsia="Calibri" w:hAnsiTheme="minorBidi" w:cstheme="minorBidi"/>
          <w:sz w:val="20"/>
          <w:szCs w:val="20"/>
          <w:lang w:val="es-AR"/>
        </w:rPr>
        <w:t xml:space="preserve"> PMA. Evaluación de Seguridad Alimentaria para la Población Colombiana 2024. </w:t>
      </w:r>
      <w:r w:rsidR="000231F9" w:rsidRPr="000231F9">
        <w:rPr>
          <w:rFonts w:asciiTheme="minorBidi" w:eastAsia="Calibri" w:hAnsiTheme="minorBidi" w:cstheme="minorBidi"/>
          <w:sz w:val="20"/>
          <w:szCs w:val="20"/>
          <w:lang w:val="es-AR"/>
        </w:rPr>
        <w:t>Resumen</w:t>
      </w:r>
      <w:r w:rsidRPr="000231F9">
        <w:rPr>
          <w:rFonts w:asciiTheme="minorBidi" w:eastAsia="Calibri" w:hAnsiTheme="minorBidi" w:cstheme="minorBidi"/>
          <w:sz w:val="20"/>
          <w:szCs w:val="20"/>
          <w:lang w:val="es-AR"/>
        </w:rPr>
        <w:t xml:space="preserve"> ejecutivo. </w:t>
      </w:r>
      <w:r w:rsidR="000231F9" w:rsidRPr="000231F9">
        <w:rPr>
          <w:rFonts w:asciiTheme="minorBidi" w:eastAsia="Calibri" w:hAnsiTheme="minorBidi" w:cstheme="minorBidi"/>
          <w:sz w:val="20"/>
          <w:szCs w:val="20"/>
          <w:lang w:val="es-AR"/>
        </w:rPr>
        <w:t>pág.</w:t>
      </w:r>
      <w:r w:rsidRPr="000231F9">
        <w:rPr>
          <w:rFonts w:asciiTheme="minorBidi" w:eastAsia="Calibri" w:hAnsiTheme="minorBidi" w:cstheme="minorBidi"/>
          <w:sz w:val="20"/>
          <w:szCs w:val="20"/>
          <w:lang w:val="es-AR"/>
        </w:rPr>
        <w:t xml:space="preserve"> 2. Disponible en: </w:t>
      </w:r>
      <w:hyperlink r:id="rId65">
        <w:r w:rsidR="00C60456" w:rsidRPr="000231F9">
          <w:rPr>
            <w:rFonts w:asciiTheme="minorBidi" w:eastAsia="Calibri" w:hAnsiTheme="minorBidi" w:cstheme="minorBidi"/>
            <w:color w:val="1155CC"/>
            <w:sz w:val="20"/>
            <w:szCs w:val="20"/>
            <w:u w:val="single"/>
            <w:lang w:val="es-AR"/>
          </w:rPr>
          <w:t>https://es.wfp.org/publicaciones/evaluacion-de-la-seguridad-alimentaria-para-la-poblacion-colombiana-2024</w:t>
        </w:r>
      </w:hyperlink>
      <w:r w:rsidRPr="000231F9">
        <w:rPr>
          <w:rFonts w:asciiTheme="minorBidi" w:eastAsia="Calibri" w:hAnsiTheme="minorBidi" w:cstheme="minorBidi"/>
          <w:sz w:val="20"/>
          <w:szCs w:val="20"/>
          <w:lang w:val="es-AR"/>
        </w:rPr>
        <w:t xml:space="preserve"> </w:t>
      </w:r>
    </w:p>
  </w:footnote>
  <w:footnote w:id="66">
    <w:p w14:paraId="0000012B" w14:textId="77777777"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eastAsia="Calibri" w:hAnsiTheme="minorBidi" w:cstheme="minorBidi"/>
          <w:sz w:val="20"/>
          <w:szCs w:val="20"/>
          <w:lang w:val="es-AR"/>
        </w:rPr>
        <w:t xml:space="preserve"> Procuraduría General de la Nación. Procuradora pide a mandatarios territoriales, atención y prevención urgente de la desnutrición infantil en Colombia. Boletín 197 de 2024. Disponible en: </w:t>
      </w:r>
      <w:hyperlink r:id="rId66" w:anchor=":~:text=244%20fallecimientos%20fueron%20confirmados%20por,(20)%20con%20m%C3%A1s%20reportes">
        <w:r w:rsidR="00C60456" w:rsidRPr="000231F9">
          <w:rPr>
            <w:rFonts w:asciiTheme="minorBidi" w:eastAsia="Calibri" w:hAnsiTheme="minorBidi" w:cstheme="minorBidi"/>
            <w:color w:val="1155CC"/>
            <w:sz w:val="20"/>
            <w:szCs w:val="20"/>
            <w:u w:val="single"/>
            <w:lang w:val="es-AR"/>
          </w:rPr>
          <w:t>https://www.procuraduria.gov.co/Pages/procuraduria-pide-mandatarios-territoriales-atencion-prevencion-urgente-desnutricion-infantil-colombia.aspx#:~:text=244%20fallecimientos%20fueron%20confirmados%20por,(20)%20con%20más%20reportes</w:t>
        </w:r>
      </w:hyperlink>
      <w:r w:rsidRPr="000231F9">
        <w:rPr>
          <w:rFonts w:asciiTheme="minorBidi" w:eastAsia="Calibri" w:hAnsiTheme="minorBidi" w:cstheme="minorBidi"/>
          <w:sz w:val="20"/>
          <w:szCs w:val="20"/>
          <w:lang w:val="es-AR"/>
        </w:rPr>
        <w:t>.</w:t>
      </w:r>
    </w:p>
  </w:footnote>
  <w:footnote w:id="67">
    <w:p w14:paraId="0000010E" w14:textId="77777777"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eastAsia="Calibri" w:hAnsiTheme="minorBidi" w:cstheme="minorBidi"/>
          <w:sz w:val="20"/>
          <w:szCs w:val="20"/>
          <w:lang w:val="es-AR"/>
        </w:rPr>
        <w:t xml:space="preserve">Comisión Interamericana de Derechos Humanos. </w:t>
      </w:r>
      <w:r w:rsidRPr="00027C4F">
        <w:rPr>
          <w:rFonts w:asciiTheme="minorBidi" w:eastAsia="Calibri" w:hAnsiTheme="minorBidi" w:cstheme="minorBidi"/>
          <w:bCs/>
          <w:sz w:val="20"/>
          <w:szCs w:val="20"/>
          <w:lang w:val="es-AR"/>
        </w:rPr>
        <w:t>R</w:t>
      </w:r>
      <w:r w:rsidRPr="000231F9">
        <w:rPr>
          <w:rFonts w:asciiTheme="minorBidi" w:eastAsia="Calibri" w:hAnsiTheme="minorBidi" w:cstheme="minorBidi"/>
          <w:sz w:val="20"/>
          <w:szCs w:val="20"/>
          <w:lang w:val="es-AR"/>
        </w:rPr>
        <w:t xml:space="preserve">esolución 60/2015. Medidas Cautelares No. 51/15. Asunto niñas, niños y adolescentes de las comunidades de Uribia, Manaure, Riohacha y Maicao del pueblo Wayúu, asentado en el departamento de La Guajira, respecto de Colombia. 11 de diciembre de 2015. Disponible en: </w:t>
      </w:r>
      <w:hyperlink r:id="rId67">
        <w:r w:rsidR="00C60456" w:rsidRPr="000231F9">
          <w:rPr>
            <w:rFonts w:asciiTheme="minorBidi" w:eastAsia="Calibri" w:hAnsiTheme="minorBidi" w:cstheme="minorBidi"/>
            <w:color w:val="1155CC"/>
            <w:sz w:val="20"/>
            <w:szCs w:val="20"/>
            <w:u w:val="single"/>
            <w:lang w:val="es-AR"/>
          </w:rPr>
          <w:t>https://www.oas.org/es/cidh/decisiones/pdf/2015/MC51-15-Es.pdf</w:t>
        </w:r>
      </w:hyperlink>
      <w:r w:rsidRPr="000231F9">
        <w:rPr>
          <w:rFonts w:asciiTheme="minorBidi" w:eastAsia="Calibri" w:hAnsiTheme="minorBidi" w:cstheme="minorBidi"/>
          <w:sz w:val="20"/>
          <w:szCs w:val="20"/>
          <w:lang w:val="es-AR"/>
        </w:rPr>
        <w:t xml:space="preserve"> </w:t>
      </w:r>
    </w:p>
  </w:footnote>
  <w:footnote w:id="68">
    <w:p w14:paraId="0000010F" w14:textId="77777777" w:rsidR="00C60456" w:rsidRPr="000231F9" w:rsidRDefault="0007730F">
      <w:pPr>
        <w:spacing w:line="240" w:lineRule="auto"/>
        <w:rPr>
          <w:rFonts w:asciiTheme="minorBidi" w:eastAsia="Calibr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eastAsia="Calibri" w:hAnsiTheme="minorBidi" w:cstheme="minorBidi"/>
          <w:sz w:val="20"/>
          <w:szCs w:val="20"/>
          <w:lang w:val="es-AR"/>
        </w:rPr>
        <w:t xml:space="preserve"> Comisión Interamericana de Derechos Humanos. Resolución 3/2017. Medidas Cautelares No. 51/15. Ampliación de beneficiarios a favor de las mujeres gestantes y lactantes de la Comunidad Indígena Wayúu en los municipios de Manaure, Riohacha y Uribía respecto de Colombia. 26 de enero de 2017.</w:t>
      </w:r>
    </w:p>
  </w:footnote>
  <w:footnote w:id="69">
    <w:p w14:paraId="00000110" w14:textId="77777777"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eastAsia="Calibri" w:hAnsiTheme="minorBidi" w:cstheme="minorBidi"/>
          <w:sz w:val="20"/>
          <w:szCs w:val="20"/>
          <w:lang w:val="es-AR"/>
        </w:rPr>
        <w:t xml:space="preserve">Corte Constitucional de Colombia. Sentencia T-302/17. 8 de mayo de 2017. Disponible en: </w:t>
      </w:r>
      <w:hyperlink r:id="rId68">
        <w:r w:rsidR="00C60456" w:rsidRPr="000231F9">
          <w:rPr>
            <w:rFonts w:asciiTheme="minorBidi" w:eastAsia="Calibri" w:hAnsiTheme="minorBidi" w:cstheme="minorBidi"/>
            <w:color w:val="1155CC"/>
            <w:sz w:val="20"/>
            <w:szCs w:val="20"/>
            <w:u w:val="single"/>
            <w:lang w:val="es-AR"/>
          </w:rPr>
          <w:t>https://www.corteconstitucional.gov.co/relatoria/2017/t-302-17.htm</w:t>
        </w:r>
      </w:hyperlink>
      <w:r w:rsidRPr="000231F9">
        <w:rPr>
          <w:rFonts w:asciiTheme="minorBidi" w:eastAsia="Calibri" w:hAnsiTheme="minorBidi" w:cstheme="minorBidi"/>
          <w:sz w:val="20"/>
          <w:szCs w:val="20"/>
          <w:lang w:val="es-AR"/>
        </w:rPr>
        <w:t xml:space="preserve"> </w:t>
      </w:r>
    </w:p>
  </w:footnote>
  <w:footnote w:id="70">
    <w:p w14:paraId="00000111" w14:textId="77777777"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hAnsiTheme="minorBidi" w:cstheme="minorBidi"/>
          <w:sz w:val="20"/>
          <w:szCs w:val="20"/>
          <w:lang w:val="es-AR"/>
        </w:rPr>
        <w:t xml:space="preserve">Corte Constitucional de Colombia Auto 042/21, 10 de febrero de 2021. </w:t>
      </w:r>
      <w:r w:rsidRPr="000231F9">
        <w:rPr>
          <w:rFonts w:asciiTheme="minorBidi" w:eastAsia="Calibri" w:hAnsiTheme="minorBidi" w:cstheme="minorBidi"/>
          <w:sz w:val="20"/>
          <w:szCs w:val="20"/>
          <w:lang w:val="es-AR"/>
        </w:rPr>
        <w:t xml:space="preserve">Disponible en: </w:t>
      </w:r>
      <w:hyperlink r:id="rId69">
        <w:r w:rsidR="00C60456" w:rsidRPr="000231F9">
          <w:rPr>
            <w:rFonts w:asciiTheme="minorBidi" w:hAnsiTheme="minorBidi" w:cstheme="minorBidi"/>
            <w:color w:val="1155CC"/>
            <w:sz w:val="20"/>
            <w:szCs w:val="20"/>
            <w:u w:val="single"/>
            <w:lang w:val="es-AR"/>
          </w:rPr>
          <w:t>https://www.corteconstitucional.gov.co/Relatoria/autos/2021/A042-21.htm</w:t>
        </w:r>
      </w:hyperlink>
      <w:r w:rsidRPr="000231F9">
        <w:rPr>
          <w:rFonts w:asciiTheme="minorBidi" w:hAnsiTheme="minorBidi" w:cstheme="minorBidi"/>
          <w:sz w:val="20"/>
          <w:szCs w:val="20"/>
          <w:lang w:val="es-AR"/>
        </w:rPr>
        <w:t>.</w:t>
      </w:r>
    </w:p>
  </w:footnote>
  <w:footnote w:id="71">
    <w:p w14:paraId="0000012C" w14:textId="77777777"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El Universal. Corte Constitucional tumbó transferencia para atender desnutrición en la Guajira. 11 de diciembre de 2023. Disponible en: </w:t>
      </w:r>
      <w:hyperlink r:id="rId70">
        <w:r w:rsidR="00C60456" w:rsidRPr="000231F9">
          <w:rPr>
            <w:rFonts w:asciiTheme="minorBidi" w:hAnsiTheme="minorBidi" w:cstheme="minorBidi"/>
            <w:color w:val="1155CC"/>
            <w:sz w:val="20"/>
            <w:szCs w:val="20"/>
            <w:u w:val="single"/>
            <w:lang w:val="es-AR"/>
          </w:rPr>
          <w:t>https://www.eluniversal.com.co/colombia/corte-constitucional-tumbo-transferencia-para-atender-desnutricion-en-la-guajira-AF9610398</w:t>
        </w:r>
      </w:hyperlink>
      <w:r w:rsidRPr="000231F9">
        <w:rPr>
          <w:rFonts w:asciiTheme="minorBidi" w:hAnsiTheme="minorBidi" w:cstheme="minorBidi"/>
          <w:sz w:val="20"/>
          <w:szCs w:val="20"/>
          <w:lang w:val="es-AR"/>
        </w:rPr>
        <w:t>.</w:t>
      </w:r>
    </w:p>
  </w:footnote>
  <w:footnote w:id="72">
    <w:p w14:paraId="0000012D" w14:textId="77777777" w:rsidR="00C60456" w:rsidRPr="000231F9" w:rsidRDefault="0007730F">
      <w:pPr>
        <w:spacing w:line="240" w:lineRule="auto"/>
        <w:rPr>
          <w:rFonts w:asciiTheme="minorBidi" w:eastAsia="Calibr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eastAsia="Calibri" w:hAnsiTheme="minorBidi" w:cstheme="minorBidi"/>
          <w:sz w:val="20"/>
          <w:szCs w:val="20"/>
          <w:lang w:val="es-AR"/>
        </w:rPr>
        <w:t xml:space="preserve"> PMA. Evaluación de seguridad alimentaria: migrantes y comunidades de acogida. Bogotá. 2023. pags. 37, 39 y 40 Disponible en: </w:t>
      </w:r>
      <w:hyperlink r:id="rId71">
        <w:r w:rsidR="00C60456" w:rsidRPr="000231F9">
          <w:rPr>
            <w:rFonts w:asciiTheme="minorBidi" w:eastAsia="Calibri" w:hAnsiTheme="minorBidi" w:cstheme="minorBidi"/>
            <w:sz w:val="20"/>
            <w:szCs w:val="20"/>
            <w:lang w:val="es-AR"/>
          </w:rPr>
          <w:t>https://reliefweb.int/report/colombia/evaluacion-de-seguridad-alimentaria-migrantes-y-comunidades-de-acogida-colombia-mayo-2023</w:t>
        </w:r>
      </w:hyperlink>
      <w:r w:rsidRPr="000231F9">
        <w:rPr>
          <w:rFonts w:asciiTheme="minorBidi" w:eastAsia="Calibri" w:hAnsiTheme="minorBidi" w:cstheme="minorBidi"/>
          <w:sz w:val="20"/>
          <w:szCs w:val="20"/>
          <w:lang w:val="es-AR"/>
        </w:rPr>
        <w:t xml:space="preserve">.  </w:t>
      </w:r>
    </w:p>
  </w:footnote>
  <w:footnote w:id="73">
    <w:p w14:paraId="0000011E" w14:textId="77777777"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eastAsia="Calibri" w:hAnsiTheme="minorBidi" w:cstheme="minorBidi"/>
          <w:sz w:val="20"/>
          <w:szCs w:val="20"/>
          <w:lang w:val="es-AR"/>
        </w:rPr>
        <w:t xml:space="preserve">Ministerio de Salud y Protección Social et al. </w:t>
      </w:r>
      <w:r w:rsidRPr="000231F9">
        <w:rPr>
          <w:rFonts w:asciiTheme="minorBidi" w:eastAsia="Calibri" w:hAnsiTheme="minorBidi" w:cstheme="minorBidi"/>
          <w:strike/>
          <w:color w:val="FF0000"/>
          <w:sz w:val="20"/>
          <w:szCs w:val="20"/>
          <w:lang w:val="es-AR"/>
        </w:rPr>
        <w:t xml:space="preserve"> </w:t>
      </w:r>
      <w:r w:rsidRPr="000231F9">
        <w:rPr>
          <w:rFonts w:asciiTheme="minorBidi" w:eastAsia="Calibri" w:hAnsiTheme="minorBidi" w:cstheme="minorBidi"/>
          <w:b/>
          <w:sz w:val="20"/>
          <w:szCs w:val="20"/>
          <w:lang w:val="es-AR"/>
        </w:rPr>
        <w:t>Encuesta Nacional de la Situación Nutricional. ENSIN 2015.</w:t>
      </w:r>
      <w:r w:rsidRPr="000231F9">
        <w:rPr>
          <w:rFonts w:asciiTheme="minorBidi" w:eastAsia="Calibri" w:hAnsiTheme="minorBidi" w:cstheme="minorBidi"/>
          <w:sz w:val="20"/>
          <w:szCs w:val="20"/>
          <w:lang w:val="es-AR"/>
        </w:rPr>
        <w:t xml:space="preserve"> Op. Cit. pags. 407 y 433.</w:t>
      </w:r>
    </w:p>
  </w:footnote>
  <w:footnote w:id="74">
    <w:p w14:paraId="0000012E" w14:textId="77777777"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eastAsia="Calibri" w:hAnsiTheme="minorBidi" w:cstheme="minorBidi"/>
          <w:sz w:val="20"/>
          <w:szCs w:val="20"/>
          <w:lang w:val="es-AR"/>
        </w:rPr>
        <w:t>PMA. Evaluación de seguridad alimentaria: migrantes y comunidades de acogida. Op cit. pags. 41 y 44.</w:t>
      </w:r>
    </w:p>
  </w:footnote>
  <w:footnote w:id="75">
    <w:p w14:paraId="00000112" w14:textId="77777777" w:rsidR="00C60456" w:rsidRPr="000231F9" w:rsidRDefault="0007730F">
      <w:pPr>
        <w:spacing w:line="240" w:lineRule="auto"/>
        <w:jc w:val="both"/>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hAnsiTheme="minorBidi" w:cstheme="minorBidi"/>
          <w:sz w:val="20"/>
          <w:szCs w:val="20"/>
          <w:lang w:val="es-AR"/>
        </w:rPr>
        <w:t>Comité de los Derechos del Niño. Observaciones finales sobre los informes periódicos cuarto y quinto combinados de Colombia.CRC/C/COL/CO/4-5.  6 de marzo de 2015, r</w:t>
      </w:r>
      <w:r w:rsidRPr="000231F9">
        <w:rPr>
          <w:rFonts w:asciiTheme="minorBidi" w:eastAsia="Times New Roman" w:hAnsiTheme="minorBidi" w:cstheme="minorBidi"/>
          <w:sz w:val="20"/>
          <w:szCs w:val="20"/>
          <w:lang w:val="es-AR"/>
        </w:rPr>
        <w:t>ecomendación 40.g.</w:t>
      </w:r>
    </w:p>
  </w:footnote>
  <w:footnote w:id="76">
    <w:p w14:paraId="0000013A"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w:t>
      </w:r>
      <w:r w:rsidRPr="000231F9">
        <w:rPr>
          <w:rFonts w:asciiTheme="minorBidi" w:eastAsia="Calibri" w:hAnsiTheme="minorBidi" w:cstheme="minorBidi"/>
          <w:sz w:val="20"/>
          <w:szCs w:val="20"/>
          <w:lang w:val="es-AR"/>
        </w:rPr>
        <w:t>Comité de Derechos Económicos, Sociales y Culturales. Observaciones finales sobre el sexto informe periódico de Colombia</w:t>
      </w:r>
      <w:r w:rsidRPr="000231F9">
        <w:rPr>
          <w:rFonts w:asciiTheme="minorBidi" w:eastAsia="Calibri" w:hAnsiTheme="minorBidi" w:cstheme="minorBidi"/>
          <w:b/>
          <w:sz w:val="20"/>
          <w:szCs w:val="20"/>
          <w:lang w:val="es-AR"/>
        </w:rPr>
        <w:t xml:space="preserve">. </w:t>
      </w:r>
      <w:r w:rsidRPr="000231F9">
        <w:rPr>
          <w:rFonts w:asciiTheme="minorBidi" w:eastAsia="Calibri" w:hAnsiTheme="minorBidi" w:cstheme="minorBidi"/>
          <w:sz w:val="20"/>
          <w:szCs w:val="20"/>
          <w:lang w:val="es-AR"/>
        </w:rPr>
        <w:t>Ginebra. E/C.12/COL/CO/6.</w:t>
      </w:r>
      <w:r w:rsidRPr="000231F9">
        <w:rPr>
          <w:rFonts w:asciiTheme="minorBidi" w:eastAsia="Calibri" w:hAnsiTheme="minorBidi" w:cstheme="minorBidi"/>
          <w:b/>
          <w:sz w:val="20"/>
          <w:szCs w:val="20"/>
          <w:lang w:val="es-AR"/>
        </w:rPr>
        <w:t xml:space="preserve"> </w:t>
      </w:r>
      <w:r w:rsidRPr="000231F9">
        <w:rPr>
          <w:rFonts w:asciiTheme="minorBidi" w:eastAsia="Calibri" w:hAnsiTheme="minorBidi" w:cstheme="minorBidi"/>
          <w:sz w:val="20"/>
          <w:szCs w:val="20"/>
          <w:lang w:val="es-AR"/>
        </w:rPr>
        <w:t xml:space="preserve">6 de octubre de 2017, párr. 36. </w:t>
      </w:r>
    </w:p>
  </w:footnote>
  <w:footnote w:id="77">
    <w:p w14:paraId="00000113" w14:textId="77777777"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hAnsiTheme="minorBidi" w:cstheme="minorBidi"/>
          <w:sz w:val="20"/>
          <w:szCs w:val="20"/>
          <w:lang w:val="es-AR"/>
        </w:rPr>
        <w:t>Comité de los Derechos del Niño. Observaciones finales sobre los informes periódicos cuarto y quinto combinados de Colombia.CRC/C/COL/CO/4-5.  6 de marzo de 2015, recomendación 20.a.</w:t>
      </w:r>
    </w:p>
  </w:footnote>
  <w:footnote w:id="78">
    <w:p w14:paraId="00000114" w14:textId="77777777"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eastAsia="Times New Roman" w:hAnsiTheme="minorBidi" w:cstheme="minorBidi"/>
          <w:sz w:val="20"/>
          <w:szCs w:val="20"/>
          <w:lang w:val="es-AR"/>
        </w:rPr>
        <w:t xml:space="preserve">Ibidem, recomendación 37.b. </w:t>
      </w:r>
    </w:p>
  </w:footnote>
  <w:footnote w:id="79">
    <w:p w14:paraId="00000115" w14:textId="77777777"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eastAsia="Times New Roman" w:hAnsiTheme="minorBidi" w:cstheme="minorBidi"/>
          <w:sz w:val="20"/>
          <w:szCs w:val="20"/>
          <w:lang w:val="es-AR"/>
        </w:rPr>
        <w:t xml:space="preserve">Ibidem, recomendación 52.a. </w:t>
      </w:r>
    </w:p>
  </w:footnote>
  <w:footnote w:id="80">
    <w:p w14:paraId="00000116"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w:t>
      </w:r>
      <w:r w:rsidRPr="000231F9">
        <w:rPr>
          <w:rFonts w:asciiTheme="minorBidi" w:hAnsiTheme="minorBidi" w:cstheme="minorBidi"/>
          <w:sz w:val="20"/>
          <w:szCs w:val="20"/>
          <w:vertAlign w:val="superscript"/>
          <w:lang w:val="es-AR"/>
        </w:rPr>
        <w:t xml:space="preserve"> </w:t>
      </w:r>
      <w:r w:rsidRPr="000231F9">
        <w:rPr>
          <w:rFonts w:asciiTheme="minorBidi" w:eastAsia="Times New Roman" w:hAnsiTheme="minorBidi" w:cstheme="minorBidi"/>
          <w:sz w:val="20"/>
          <w:szCs w:val="20"/>
          <w:lang w:val="es-AR"/>
        </w:rPr>
        <w:t>Ibidem, recomendación 52. b.</w:t>
      </w:r>
    </w:p>
  </w:footnote>
  <w:footnote w:id="81">
    <w:p w14:paraId="00000117" w14:textId="77777777" w:rsidR="00C60456" w:rsidRPr="000231F9"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w:t>
      </w:r>
      <w:r w:rsidRPr="000231F9">
        <w:rPr>
          <w:rFonts w:asciiTheme="minorBidi" w:hAnsiTheme="minorBidi" w:cstheme="minorBidi"/>
          <w:sz w:val="20"/>
          <w:szCs w:val="20"/>
          <w:vertAlign w:val="superscript"/>
          <w:lang w:val="es-AR"/>
        </w:rPr>
        <w:t xml:space="preserve"> </w:t>
      </w:r>
      <w:r w:rsidRPr="000231F9">
        <w:rPr>
          <w:rFonts w:asciiTheme="minorBidi" w:eastAsia="Times New Roman" w:hAnsiTheme="minorBidi" w:cstheme="minorBidi"/>
          <w:sz w:val="20"/>
          <w:szCs w:val="20"/>
          <w:lang w:val="es-AR"/>
        </w:rPr>
        <w:t xml:space="preserve">Ibidem, recomendación 52. c. </w:t>
      </w:r>
    </w:p>
  </w:footnote>
  <w:footnote w:id="82">
    <w:p w14:paraId="00000118" w14:textId="57F42A89" w:rsidR="00C60456" w:rsidRPr="00C76D00" w:rsidRDefault="0007730F">
      <w:pPr>
        <w:spacing w:line="240" w:lineRule="auto"/>
        <w:rPr>
          <w:rFonts w:asciiTheme="minorBidi" w:hAnsiTheme="minorBidi" w:cstheme="minorBidi"/>
          <w:sz w:val="20"/>
          <w:szCs w:val="20"/>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lang w:val="es-AR"/>
        </w:rPr>
        <w:t xml:space="preserve"> </w:t>
      </w:r>
      <w:r w:rsidR="00103E4F">
        <w:rPr>
          <w:rFonts w:asciiTheme="minorBidi" w:hAnsiTheme="minorBidi" w:cstheme="minorBidi"/>
          <w:sz w:val="20"/>
          <w:szCs w:val="20"/>
          <w:lang w:val="es-AR"/>
        </w:rPr>
        <w:t xml:space="preserve">Gobierno Nacional de Colombia. </w:t>
      </w:r>
      <w:r w:rsidRPr="000231F9">
        <w:rPr>
          <w:rFonts w:asciiTheme="minorBidi" w:eastAsia="Times New Roman" w:hAnsiTheme="minorBidi" w:cstheme="minorBidi"/>
          <w:sz w:val="20"/>
          <w:szCs w:val="20"/>
          <w:lang w:val="es-AR"/>
        </w:rPr>
        <w:t>Plan Nacional de Desarrollo</w:t>
      </w:r>
      <w:r w:rsidR="00103E4F">
        <w:rPr>
          <w:rFonts w:asciiTheme="minorBidi" w:eastAsia="Times New Roman" w:hAnsiTheme="minorBidi" w:cstheme="minorBidi"/>
          <w:sz w:val="20"/>
          <w:szCs w:val="20"/>
          <w:lang w:val="es-AR"/>
        </w:rPr>
        <w:t xml:space="preserve"> de Presidente Iván Duque</w:t>
      </w:r>
      <w:r w:rsidRPr="000231F9">
        <w:rPr>
          <w:rFonts w:asciiTheme="minorBidi" w:eastAsia="Times New Roman" w:hAnsiTheme="minorBidi" w:cstheme="minorBidi"/>
          <w:sz w:val="20"/>
          <w:szCs w:val="20"/>
          <w:lang w:val="es-AR"/>
        </w:rPr>
        <w:t xml:space="preserve">. </w:t>
      </w:r>
      <w:r w:rsidR="00103E4F">
        <w:rPr>
          <w:rFonts w:asciiTheme="minorBidi" w:eastAsia="Times New Roman" w:hAnsiTheme="minorBidi" w:cstheme="minorBidi"/>
          <w:sz w:val="20"/>
          <w:szCs w:val="20"/>
          <w:lang w:val="es-AR"/>
        </w:rPr>
        <w:t>Pág</w:t>
      </w:r>
      <w:r w:rsidR="00103E4F" w:rsidRPr="000231F9">
        <w:rPr>
          <w:rFonts w:asciiTheme="minorBidi" w:eastAsia="Times New Roman" w:hAnsiTheme="minorBidi" w:cstheme="minorBidi"/>
          <w:sz w:val="20"/>
          <w:szCs w:val="20"/>
          <w:lang w:val="es-AR"/>
        </w:rPr>
        <w:t>.</w:t>
      </w:r>
      <w:r w:rsidRPr="000231F9">
        <w:rPr>
          <w:rFonts w:asciiTheme="minorBidi" w:eastAsia="Times New Roman" w:hAnsiTheme="minorBidi" w:cstheme="minorBidi"/>
          <w:sz w:val="20"/>
          <w:szCs w:val="20"/>
          <w:lang w:val="es-AR"/>
        </w:rPr>
        <w:t xml:space="preserve"> 76.</w:t>
      </w:r>
      <w:hyperlink r:id="rId72">
        <w:r w:rsidR="00C60456" w:rsidRPr="000231F9">
          <w:rPr>
            <w:rFonts w:asciiTheme="minorBidi" w:eastAsia="Times New Roman" w:hAnsiTheme="minorBidi" w:cstheme="minorBidi"/>
            <w:sz w:val="20"/>
            <w:szCs w:val="20"/>
            <w:lang w:val="es-AR"/>
          </w:rPr>
          <w:t xml:space="preserve"> </w:t>
        </w:r>
      </w:hyperlink>
      <w:hyperlink r:id="rId73">
        <w:r w:rsidR="00C60456" w:rsidRPr="00C76D00">
          <w:rPr>
            <w:rFonts w:asciiTheme="minorBidi" w:eastAsia="Times New Roman" w:hAnsiTheme="minorBidi" w:cstheme="minorBidi"/>
            <w:color w:val="1155CC"/>
            <w:sz w:val="20"/>
            <w:szCs w:val="20"/>
            <w:u w:val="single"/>
            <w:lang w:val="es-AR"/>
          </w:rPr>
          <w:t>https://colaboracion.dnp.gov.co/CDT/Prensa/Resumen-PND2018-2022-final.pdf</w:t>
        </w:r>
      </w:hyperlink>
    </w:p>
  </w:footnote>
  <w:footnote w:id="83">
    <w:p w14:paraId="00000119" w14:textId="77777777"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eastAsia="Times New Roman" w:hAnsiTheme="minorBidi" w:cstheme="minorBidi"/>
          <w:sz w:val="20"/>
          <w:szCs w:val="20"/>
          <w:lang w:val="es-AR"/>
        </w:rPr>
        <w:t xml:space="preserve">Laboratorio de Economía de la Educación (LEE) de la Pontificia Universidad Javeriana. Pesquisa Javeriana. Educación virtual ¿el desafío es solo tecnológico?, 2020, Disponible en: </w:t>
      </w:r>
      <w:hyperlink r:id="rId74">
        <w:r w:rsidR="00C60456" w:rsidRPr="000231F9">
          <w:rPr>
            <w:rFonts w:asciiTheme="minorBidi" w:eastAsia="Times New Roman" w:hAnsiTheme="minorBidi" w:cstheme="minorBidi"/>
            <w:color w:val="1155CC"/>
            <w:sz w:val="20"/>
            <w:szCs w:val="20"/>
            <w:u w:val="single"/>
            <w:lang w:val="es-AR"/>
          </w:rPr>
          <w:t>https://www.javeriana.edu.co/pesquisa/tag/laboratorio-de-economia-de-la-educacion-puj/</w:t>
        </w:r>
      </w:hyperlink>
    </w:p>
  </w:footnote>
  <w:footnote w:id="84">
    <w:p w14:paraId="0000011A" w14:textId="77777777" w:rsidR="00C60456" w:rsidRPr="000231F9" w:rsidRDefault="0007730F">
      <w:pPr>
        <w:spacing w:line="240" w:lineRule="auto"/>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eastAsia="Times New Roman" w:hAnsiTheme="minorBidi" w:cstheme="minorBidi"/>
          <w:sz w:val="20"/>
          <w:szCs w:val="20"/>
          <w:lang w:val="es-AR"/>
        </w:rPr>
        <w:t xml:space="preserve"> </w:t>
      </w:r>
      <w:r w:rsidRPr="000231F9">
        <w:rPr>
          <w:rFonts w:asciiTheme="minorBidi" w:hAnsiTheme="minorBidi" w:cstheme="minorBidi"/>
          <w:sz w:val="20"/>
          <w:szCs w:val="20"/>
          <w:lang w:val="es-AR"/>
        </w:rPr>
        <w:t>Comité de los Derechos del Niño. Observaciones finales sobre los informes periódicos cuarto y quinto combinados de Colombia.CRC/C/COL/CO/4-5.  6 de marzo de 2015, r</w:t>
      </w:r>
      <w:r w:rsidRPr="000231F9">
        <w:rPr>
          <w:rFonts w:asciiTheme="minorBidi" w:eastAsia="Times New Roman" w:hAnsiTheme="minorBidi" w:cstheme="minorBidi"/>
          <w:sz w:val="20"/>
          <w:szCs w:val="20"/>
          <w:lang w:val="es-AR"/>
        </w:rPr>
        <w:t>ecomendación 52.a.</w:t>
      </w:r>
    </w:p>
  </w:footnote>
  <w:footnote w:id="85">
    <w:p w14:paraId="0000011C" w14:textId="77777777" w:rsidR="00C60456" w:rsidRPr="000231F9" w:rsidRDefault="0007730F">
      <w:pPr>
        <w:spacing w:line="240" w:lineRule="auto"/>
        <w:jc w:val="both"/>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eastAsia="Times New Roman" w:hAnsiTheme="minorBidi" w:cstheme="minorBidi"/>
          <w:sz w:val="20"/>
          <w:szCs w:val="20"/>
          <w:lang w:val="es-AR"/>
        </w:rPr>
        <w:t xml:space="preserve">​​La calidad educativa, un análisis desde la violencia en Colombia. Recuperado de: </w:t>
      </w:r>
      <w:hyperlink r:id="rId75">
        <w:r w:rsidR="00C60456" w:rsidRPr="000231F9">
          <w:rPr>
            <w:rFonts w:asciiTheme="minorBidi" w:eastAsia="Times New Roman" w:hAnsiTheme="minorBidi" w:cstheme="minorBidi"/>
            <w:color w:val="1155CC"/>
            <w:sz w:val="20"/>
            <w:szCs w:val="20"/>
            <w:u w:val="single"/>
            <w:lang w:val="es-AR"/>
          </w:rPr>
          <w:t>https://www.revistaespacios.com/a20v41n18/a20v41n18p27.pdf</w:t>
        </w:r>
      </w:hyperlink>
    </w:p>
  </w:footnote>
  <w:footnote w:id="86">
    <w:p w14:paraId="0000011B" w14:textId="77777777" w:rsidR="00C60456" w:rsidRPr="000231F9" w:rsidRDefault="0007730F">
      <w:pPr>
        <w:spacing w:line="240" w:lineRule="auto"/>
        <w:jc w:val="both"/>
        <w:rPr>
          <w:rFonts w:asciiTheme="minorBidi" w:hAnsiTheme="minorBidi" w:cstheme="minorBidi"/>
          <w:sz w:val="20"/>
          <w:szCs w:val="20"/>
          <w:vertAlign w:val="superscript"/>
          <w:lang w:val="es-AR"/>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eastAsia="Times New Roman" w:hAnsiTheme="minorBidi" w:cstheme="minorBidi"/>
          <w:sz w:val="20"/>
          <w:szCs w:val="20"/>
          <w:lang w:val="es-AR"/>
        </w:rPr>
        <w:t xml:space="preserve"> </w:t>
      </w:r>
      <w:r w:rsidRPr="000231F9">
        <w:rPr>
          <w:rFonts w:asciiTheme="minorBidi" w:hAnsiTheme="minorBidi" w:cstheme="minorBidi"/>
          <w:sz w:val="20"/>
          <w:szCs w:val="20"/>
          <w:lang w:val="es-AR"/>
        </w:rPr>
        <w:t xml:space="preserve">Dejusticia. 2019. Acceso, promoción y permanencia de niños, niñas y adolescentes migrantes en el sistema educativo colombiano: avances, retos y recomendaciones. Disponible en: </w:t>
      </w:r>
      <w:hyperlink r:id="rId76">
        <w:r w:rsidR="00C60456" w:rsidRPr="000231F9">
          <w:rPr>
            <w:rFonts w:asciiTheme="minorBidi" w:hAnsiTheme="minorBidi" w:cstheme="minorBidi"/>
            <w:color w:val="1155CC"/>
            <w:sz w:val="20"/>
            <w:szCs w:val="20"/>
            <w:u w:val="single"/>
            <w:lang w:val="es-AR"/>
          </w:rPr>
          <w:t>https://www.dejusticia.org/publication/acceso-promocion-y-permanencia-de-ninos-ninas-y-adolescentes-migrantes-en-el-sistema-educativo-colombiano-avances-retos-y-recomendaciones/</w:t>
        </w:r>
      </w:hyperlink>
      <w:r w:rsidRPr="000231F9">
        <w:rPr>
          <w:rFonts w:asciiTheme="minorBidi" w:hAnsiTheme="minorBidi" w:cstheme="minorBidi"/>
          <w:sz w:val="20"/>
          <w:szCs w:val="20"/>
          <w:lang w:val="es-AR"/>
        </w:rPr>
        <w:t xml:space="preserve"> </w:t>
      </w:r>
    </w:p>
  </w:footnote>
  <w:footnote w:id="87">
    <w:p w14:paraId="0000011D" w14:textId="77777777" w:rsidR="00C60456" w:rsidRDefault="0007730F">
      <w:pPr>
        <w:spacing w:line="240" w:lineRule="auto"/>
        <w:rPr>
          <w:sz w:val="20"/>
          <w:szCs w:val="20"/>
          <w:vertAlign w:val="superscript"/>
        </w:rPr>
      </w:pPr>
      <w:r w:rsidRPr="000231F9">
        <w:rPr>
          <w:rFonts w:asciiTheme="minorBidi" w:hAnsiTheme="minorBidi" w:cstheme="minorBidi"/>
          <w:sz w:val="20"/>
          <w:szCs w:val="20"/>
          <w:vertAlign w:val="superscript"/>
        </w:rPr>
        <w:footnoteRef/>
      </w:r>
      <w:r w:rsidRPr="000231F9">
        <w:rPr>
          <w:rFonts w:asciiTheme="minorBidi" w:hAnsiTheme="minorBidi" w:cstheme="minorBidi"/>
          <w:sz w:val="20"/>
          <w:szCs w:val="20"/>
          <w:vertAlign w:val="superscript"/>
          <w:lang w:val="es-AR"/>
        </w:rPr>
        <w:t xml:space="preserve"> </w:t>
      </w:r>
      <w:r w:rsidRPr="000231F9">
        <w:rPr>
          <w:rFonts w:asciiTheme="minorBidi" w:hAnsiTheme="minorBidi" w:cstheme="minorBidi"/>
          <w:sz w:val="20"/>
          <w:szCs w:val="20"/>
          <w:lang w:val="es-AR"/>
        </w:rPr>
        <w:t xml:space="preserve">Comité de los Derechos del Niño. Observaciones finales sobre los informes periódicos cuarto y quinto combinados de Colombia.CRC/C/COL/CO/4-5.  </w:t>
      </w:r>
      <w:r w:rsidRPr="000231F9">
        <w:rPr>
          <w:rFonts w:asciiTheme="minorBidi" w:hAnsiTheme="minorBidi" w:cstheme="minorBidi"/>
          <w:sz w:val="20"/>
          <w:szCs w:val="20"/>
        </w:rPr>
        <w:t>6 de marzo de 2015, r</w:t>
      </w:r>
      <w:r w:rsidRPr="000231F9">
        <w:rPr>
          <w:rFonts w:asciiTheme="minorBidi" w:eastAsia="Times New Roman" w:hAnsiTheme="minorBidi" w:cstheme="minorBidi"/>
          <w:sz w:val="20"/>
          <w:szCs w:val="20"/>
        </w:rPr>
        <w:t>ecomendación</w:t>
      </w:r>
      <w:r>
        <w:rPr>
          <w:rFonts w:ascii="Times New Roman" w:eastAsia="Times New Roman" w:hAnsi="Times New Roman" w:cs="Times New Roman"/>
          <w:sz w:val="20"/>
          <w:szCs w:val="20"/>
        </w:rPr>
        <w:t xml:space="preserve"> 18.d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A4631"/>
    <w:multiLevelType w:val="hybridMultilevel"/>
    <w:tmpl w:val="280C9E8A"/>
    <w:lvl w:ilvl="0" w:tplc="3A36B0AC">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7852FB"/>
    <w:multiLevelType w:val="multilevel"/>
    <w:tmpl w:val="526A22C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AE02E4C"/>
    <w:multiLevelType w:val="multilevel"/>
    <w:tmpl w:val="BA76B1C8"/>
    <w:lvl w:ilvl="0">
      <w:start w:val="1"/>
      <w:numFmt w:val="decimal"/>
      <w:lvlText w:val="%1."/>
      <w:lvlJc w:val="left"/>
      <w:pPr>
        <w:ind w:left="720" w:hanging="360"/>
      </w:pPr>
      <w:rPr>
        <w:highlight w:val="yellow"/>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45906BA"/>
    <w:multiLevelType w:val="hybridMultilevel"/>
    <w:tmpl w:val="3EAA60DA"/>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num w:numId="1" w16cid:durableId="2108111082">
    <w:abstractNumId w:val="1"/>
  </w:num>
  <w:num w:numId="2" w16cid:durableId="1610236085">
    <w:abstractNumId w:val="2"/>
  </w:num>
  <w:num w:numId="3" w16cid:durableId="696270495">
    <w:abstractNumId w:val="0"/>
  </w:num>
  <w:num w:numId="4" w16cid:durableId="116997866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ra ramirez gomez">
    <w15:presenceInfo w15:providerId="AD" w15:userId="S::saramirezgo@unal.edu.co::27e6d76a-5e88-4b95-a0ea-0990845db2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456"/>
    <w:rsid w:val="000231F9"/>
    <w:rsid w:val="00027C4F"/>
    <w:rsid w:val="0007730F"/>
    <w:rsid w:val="000B6421"/>
    <w:rsid w:val="000C2130"/>
    <w:rsid w:val="000D1300"/>
    <w:rsid w:val="00103E4F"/>
    <w:rsid w:val="001077BB"/>
    <w:rsid w:val="001A6132"/>
    <w:rsid w:val="001C3E31"/>
    <w:rsid w:val="00253076"/>
    <w:rsid w:val="002F60AB"/>
    <w:rsid w:val="00313A52"/>
    <w:rsid w:val="003341B7"/>
    <w:rsid w:val="003D09F6"/>
    <w:rsid w:val="00430CE1"/>
    <w:rsid w:val="004F03F5"/>
    <w:rsid w:val="00535C03"/>
    <w:rsid w:val="00626F17"/>
    <w:rsid w:val="006A5420"/>
    <w:rsid w:val="006C0F72"/>
    <w:rsid w:val="00755807"/>
    <w:rsid w:val="007A40A0"/>
    <w:rsid w:val="007E6225"/>
    <w:rsid w:val="00852433"/>
    <w:rsid w:val="00896D8A"/>
    <w:rsid w:val="00924EFA"/>
    <w:rsid w:val="00A51215"/>
    <w:rsid w:val="00A54B18"/>
    <w:rsid w:val="00B0345B"/>
    <w:rsid w:val="00B238E6"/>
    <w:rsid w:val="00B2772F"/>
    <w:rsid w:val="00C40B75"/>
    <w:rsid w:val="00C60456"/>
    <w:rsid w:val="00C76D00"/>
    <w:rsid w:val="00D24AB4"/>
    <w:rsid w:val="00D2780D"/>
    <w:rsid w:val="00DB1644"/>
    <w:rsid w:val="00E3452A"/>
    <w:rsid w:val="00E618CA"/>
    <w:rsid w:val="00E74CD0"/>
    <w:rsid w:val="00E97C15"/>
    <w:rsid w:val="00EF494C"/>
    <w:rsid w:val="00F07571"/>
    <w:rsid w:val="00F14950"/>
    <w:rsid w:val="00F94D8F"/>
    <w:rsid w:val="00FF069F"/>
    <w:rsid w:val="00FF786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76765A"/>
  <w15:docId w15:val="{38A228E3-8D82-4CD0-9F4B-C659350E0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24EFA"/>
    <w:pPr>
      <w:keepNext/>
      <w:keepLines/>
      <w:spacing w:before="400" w:after="120"/>
      <w:outlineLvl w:val="0"/>
    </w:pPr>
    <w:rPr>
      <w:b/>
      <w:color w:val="365F91" w:themeColor="accent1" w:themeShade="BF"/>
      <w:sz w:val="24"/>
      <w:szCs w:val="40"/>
    </w:rPr>
  </w:style>
  <w:style w:type="paragraph" w:styleId="Heading2">
    <w:name w:val="heading 2"/>
    <w:basedOn w:val="Normal"/>
    <w:next w:val="Normal"/>
    <w:uiPriority w:val="9"/>
    <w:unhideWhenUsed/>
    <w:qFormat/>
    <w:rsid w:val="00924EFA"/>
    <w:pPr>
      <w:keepNext/>
      <w:keepLines/>
      <w:spacing w:before="360" w:after="120"/>
      <w:outlineLvl w:val="1"/>
    </w:pPr>
    <w:rPr>
      <w:b/>
      <w:color w:val="365F91" w:themeColor="accent1" w:themeShade="BF"/>
      <w:sz w:val="24"/>
      <w:szCs w:val="32"/>
    </w:rPr>
  </w:style>
  <w:style w:type="paragraph" w:styleId="Heading3">
    <w:name w:val="heading 3"/>
    <w:basedOn w:val="Normal"/>
    <w:next w:val="Normal"/>
    <w:uiPriority w:val="9"/>
    <w:unhideWhenUsed/>
    <w:qFormat/>
    <w:rsid w:val="00924EFA"/>
    <w:pPr>
      <w:keepNext/>
      <w:keepLines/>
      <w:spacing w:before="320" w:after="80"/>
      <w:outlineLvl w:val="2"/>
    </w:pPr>
    <w:rPr>
      <w:i/>
      <w:color w:val="365F91" w:themeColor="accent1" w:themeShade="BF"/>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0231F9"/>
    <w:pPr>
      <w:keepNext/>
      <w:keepLines/>
      <w:spacing w:after="60"/>
    </w:pPr>
    <w:rPr>
      <w:b/>
      <w:color w:val="365F91" w:themeColor="accent1" w:themeShade="BF"/>
      <w:sz w:val="28"/>
      <w:szCs w:val="52"/>
    </w:rPr>
  </w:style>
  <w:style w:type="paragraph" w:styleId="Subtitle">
    <w:name w:val="Subtitle"/>
    <w:basedOn w:val="Normal"/>
    <w:next w:val="Normal"/>
    <w:uiPriority w:val="11"/>
    <w:qFormat/>
    <w:rsid w:val="000231F9"/>
    <w:pPr>
      <w:keepNext/>
      <w:keepLines/>
      <w:spacing w:after="320"/>
    </w:pPr>
    <w:rPr>
      <w:b/>
      <w:color w:val="365F91" w:themeColor="accent1" w:themeShade="BF"/>
      <w:sz w:val="24"/>
      <w:szCs w:val="30"/>
    </w:rPr>
  </w:style>
  <w:style w:type="paragraph" w:styleId="FootnoteText">
    <w:name w:val="footnote text"/>
    <w:basedOn w:val="Normal"/>
    <w:link w:val="FootnoteTextChar"/>
    <w:uiPriority w:val="99"/>
    <w:semiHidden/>
    <w:unhideWhenUsed/>
    <w:rsid w:val="000231F9"/>
    <w:pPr>
      <w:spacing w:line="240" w:lineRule="auto"/>
    </w:pPr>
    <w:rPr>
      <w:sz w:val="20"/>
      <w:szCs w:val="20"/>
    </w:rPr>
  </w:style>
  <w:style w:type="character" w:customStyle="1" w:styleId="FootnoteTextChar">
    <w:name w:val="Footnote Text Char"/>
    <w:basedOn w:val="DefaultParagraphFont"/>
    <w:link w:val="FootnoteText"/>
    <w:uiPriority w:val="99"/>
    <w:semiHidden/>
    <w:rsid w:val="000231F9"/>
    <w:rPr>
      <w:sz w:val="20"/>
      <w:szCs w:val="20"/>
    </w:rPr>
  </w:style>
  <w:style w:type="character" w:styleId="FootnoteReference">
    <w:name w:val="footnote reference"/>
    <w:basedOn w:val="DefaultParagraphFont"/>
    <w:uiPriority w:val="99"/>
    <w:semiHidden/>
    <w:unhideWhenUsed/>
    <w:rsid w:val="000231F9"/>
    <w:rPr>
      <w:vertAlign w:val="superscript"/>
    </w:rPr>
  </w:style>
  <w:style w:type="character" w:styleId="IntenseEmphasis">
    <w:name w:val="Intense Emphasis"/>
    <w:basedOn w:val="DefaultParagraphFont"/>
    <w:uiPriority w:val="21"/>
    <w:qFormat/>
    <w:rsid w:val="00924EFA"/>
    <w:rPr>
      <w:i/>
      <w:iCs/>
      <w:color w:val="4F81BD" w:themeColor="accent1"/>
    </w:rPr>
  </w:style>
  <w:style w:type="character" w:styleId="SubtleEmphasis">
    <w:name w:val="Subtle Emphasis"/>
    <w:basedOn w:val="DefaultParagraphFont"/>
    <w:uiPriority w:val="19"/>
    <w:qFormat/>
    <w:rsid w:val="00924EFA"/>
    <w:rPr>
      <w:i/>
      <w:iCs/>
      <w:color w:val="404040" w:themeColor="text1" w:themeTint="BF"/>
    </w:rPr>
  </w:style>
  <w:style w:type="character" w:styleId="Emphasis">
    <w:name w:val="Emphasis"/>
    <w:basedOn w:val="DefaultParagraphFont"/>
    <w:uiPriority w:val="20"/>
    <w:qFormat/>
    <w:rsid w:val="00924EFA"/>
    <w:rPr>
      <w:i/>
      <w:iCs/>
    </w:rPr>
  </w:style>
  <w:style w:type="paragraph" w:styleId="TOCHeading">
    <w:name w:val="TOC Heading"/>
    <w:basedOn w:val="Heading1"/>
    <w:next w:val="Normal"/>
    <w:uiPriority w:val="39"/>
    <w:unhideWhenUsed/>
    <w:qFormat/>
    <w:rsid w:val="00924EFA"/>
    <w:pPr>
      <w:spacing w:before="240" w:after="0" w:line="259" w:lineRule="auto"/>
      <w:outlineLvl w:val="9"/>
    </w:pPr>
    <w:rPr>
      <w:rFonts w:asciiTheme="majorHAnsi" w:eastAsiaTheme="majorEastAsia" w:hAnsiTheme="majorHAnsi" w:cstheme="majorBidi"/>
      <w:sz w:val="32"/>
      <w:szCs w:val="32"/>
      <w:lang w:val="en-US" w:eastAsia="en-US"/>
    </w:rPr>
  </w:style>
  <w:style w:type="paragraph" w:styleId="TOC2">
    <w:name w:val="toc 2"/>
    <w:basedOn w:val="Normal"/>
    <w:next w:val="Normal"/>
    <w:autoRedefine/>
    <w:uiPriority w:val="39"/>
    <w:unhideWhenUsed/>
    <w:rsid w:val="00924EFA"/>
    <w:pPr>
      <w:spacing w:after="100" w:line="259" w:lineRule="auto"/>
      <w:ind w:left="220"/>
    </w:pPr>
    <w:rPr>
      <w:rFonts w:asciiTheme="minorHAnsi" w:eastAsiaTheme="minorEastAsia" w:hAnsiTheme="minorHAnsi" w:cs="Times New Roman"/>
      <w:lang w:val="en-US" w:eastAsia="en-US"/>
    </w:rPr>
  </w:style>
  <w:style w:type="paragraph" w:styleId="TOC1">
    <w:name w:val="toc 1"/>
    <w:basedOn w:val="Normal"/>
    <w:next w:val="Normal"/>
    <w:autoRedefine/>
    <w:uiPriority w:val="39"/>
    <w:unhideWhenUsed/>
    <w:rsid w:val="00924EFA"/>
    <w:pPr>
      <w:spacing w:after="100" w:line="259" w:lineRule="auto"/>
    </w:pPr>
    <w:rPr>
      <w:rFonts w:asciiTheme="minorHAnsi" w:eastAsiaTheme="minorEastAsia" w:hAnsiTheme="minorHAnsi" w:cs="Times New Roman"/>
      <w:lang w:val="en-US" w:eastAsia="en-US"/>
    </w:rPr>
  </w:style>
  <w:style w:type="paragraph" w:styleId="TOC3">
    <w:name w:val="toc 3"/>
    <w:basedOn w:val="Normal"/>
    <w:next w:val="Normal"/>
    <w:autoRedefine/>
    <w:uiPriority w:val="39"/>
    <w:unhideWhenUsed/>
    <w:rsid w:val="00924EFA"/>
    <w:pPr>
      <w:spacing w:after="100" w:line="259" w:lineRule="auto"/>
      <w:ind w:left="440"/>
    </w:pPr>
    <w:rPr>
      <w:rFonts w:asciiTheme="minorHAnsi" w:eastAsiaTheme="minorEastAsia" w:hAnsiTheme="minorHAnsi" w:cs="Times New Roman"/>
      <w:lang w:val="en-US" w:eastAsia="en-US"/>
    </w:rPr>
  </w:style>
  <w:style w:type="character" w:styleId="Hyperlink">
    <w:name w:val="Hyperlink"/>
    <w:basedOn w:val="DefaultParagraphFont"/>
    <w:uiPriority w:val="99"/>
    <w:unhideWhenUsed/>
    <w:rsid w:val="00924EFA"/>
    <w:rPr>
      <w:color w:val="0000FF" w:themeColor="hyperlink"/>
      <w:u w:val="single"/>
    </w:rPr>
  </w:style>
  <w:style w:type="paragraph" w:styleId="ListParagraph">
    <w:name w:val="List Paragraph"/>
    <w:basedOn w:val="Normal"/>
    <w:uiPriority w:val="34"/>
    <w:qFormat/>
    <w:rsid w:val="006A5420"/>
    <w:pPr>
      <w:ind w:left="720"/>
      <w:contextualSpacing/>
    </w:pPr>
  </w:style>
  <w:style w:type="paragraph" w:styleId="Revision">
    <w:name w:val="Revision"/>
    <w:hidden/>
    <w:uiPriority w:val="99"/>
    <w:semiHidden/>
    <w:rsid w:val="00430CE1"/>
    <w:pPr>
      <w:spacing w:line="240" w:lineRule="auto"/>
    </w:pPr>
  </w:style>
  <w:style w:type="character" w:styleId="CommentReference">
    <w:name w:val="annotation reference"/>
    <w:basedOn w:val="DefaultParagraphFont"/>
    <w:uiPriority w:val="99"/>
    <w:semiHidden/>
    <w:unhideWhenUsed/>
    <w:rsid w:val="00430CE1"/>
    <w:rPr>
      <w:sz w:val="16"/>
      <w:szCs w:val="16"/>
    </w:rPr>
  </w:style>
  <w:style w:type="paragraph" w:styleId="CommentText">
    <w:name w:val="annotation text"/>
    <w:basedOn w:val="Normal"/>
    <w:link w:val="CommentTextChar"/>
    <w:uiPriority w:val="99"/>
    <w:unhideWhenUsed/>
    <w:rsid w:val="00430CE1"/>
    <w:pPr>
      <w:spacing w:line="240" w:lineRule="auto"/>
    </w:pPr>
    <w:rPr>
      <w:sz w:val="20"/>
      <w:szCs w:val="20"/>
    </w:rPr>
  </w:style>
  <w:style w:type="character" w:customStyle="1" w:styleId="CommentTextChar">
    <w:name w:val="Comment Text Char"/>
    <w:basedOn w:val="DefaultParagraphFont"/>
    <w:link w:val="CommentText"/>
    <w:uiPriority w:val="99"/>
    <w:rsid w:val="00430CE1"/>
    <w:rPr>
      <w:sz w:val="20"/>
      <w:szCs w:val="20"/>
    </w:rPr>
  </w:style>
  <w:style w:type="paragraph" w:styleId="CommentSubject">
    <w:name w:val="annotation subject"/>
    <w:basedOn w:val="CommentText"/>
    <w:next w:val="CommentText"/>
    <w:link w:val="CommentSubjectChar"/>
    <w:uiPriority w:val="99"/>
    <w:semiHidden/>
    <w:unhideWhenUsed/>
    <w:rsid w:val="00430CE1"/>
    <w:rPr>
      <w:b/>
      <w:bCs/>
    </w:rPr>
  </w:style>
  <w:style w:type="character" w:customStyle="1" w:styleId="CommentSubjectChar">
    <w:name w:val="Comment Subject Char"/>
    <w:basedOn w:val="CommentTextChar"/>
    <w:link w:val="CommentSubject"/>
    <w:uiPriority w:val="99"/>
    <w:semiHidden/>
    <w:rsid w:val="00430CE1"/>
    <w:rPr>
      <w:b/>
      <w:bCs/>
      <w:sz w:val="20"/>
      <w:szCs w:val="20"/>
    </w:rPr>
  </w:style>
  <w:style w:type="paragraph" w:styleId="NormalWeb">
    <w:name w:val="Normal (Web)"/>
    <w:basedOn w:val="Normal"/>
    <w:uiPriority w:val="99"/>
    <w:semiHidden/>
    <w:unhideWhenUsed/>
    <w:rsid w:val="00755807"/>
    <w:pPr>
      <w:spacing w:before="100" w:beforeAutospacing="1" w:after="100" w:afterAutospacing="1"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357324">
      <w:bodyDiv w:val="1"/>
      <w:marLeft w:val="0"/>
      <w:marRight w:val="0"/>
      <w:marTop w:val="0"/>
      <w:marBottom w:val="0"/>
      <w:divBdr>
        <w:top w:val="none" w:sz="0" w:space="0" w:color="auto"/>
        <w:left w:val="none" w:sz="0" w:space="0" w:color="auto"/>
        <w:bottom w:val="none" w:sz="0" w:space="0" w:color="auto"/>
        <w:right w:val="none" w:sz="0" w:space="0" w:color="auto"/>
      </w:divBdr>
    </w:div>
    <w:div w:id="793670340">
      <w:bodyDiv w:val="1"/>
      <w:marLeft w:val="0"/>
      <w:marRight w:val="0"/>
      <w:marTop w:val="0"/>
      <w:marBottom w:val="0"/>
      <w:divBdr>
        <w:top w:val="none" w:sz="0" w:space="0" w:color="auto"/>
        <w:left w:val="none" w:sz="0" w:space="0" w:color="auto"/>
        <w:bottom w:val="none" w:sz="0" w:space="0" w:color="auto"/>
        <w:right w:val="none" w:sz="0" w:space="0" w:color="auto"/>
      </w:divBdr>
    </w:div>
    <w:div w:id="1129201774">
      <w:bodyDiv w:val="1"/>
      <w:marLeft w:val="0"/>
      <w:marRight w:val="0"/>
      <w:marTop w:val="0"/>
      <w:marBottom w:val="0"/>
      <w:divBdr>
        <w:top w:val="none" w:sz="0" w:space="0" w:color="auto"/>
        <w:left w:val="none" w:sz="0" w:space="0" w:color="auto"/>
        <w:bottom w:val="none" w:sz="0" w:space="0" w:color="auto"/>
        <w:right w:val="none" w:sz="0" w:space="0" w:color="auto"/>
      </w:divBdr>
    </w:div>
    <w:div w:id="1506894455">
      <w:bodyDiv w:val="1"/>
      <w:marLeft w:val="0"/>
      <w:marRight w:val="0"/>
      <w:marTop w:val="0"/>
      <w:marBottom w:val="0"/>
      <w:divBdr>
        <w:top w:val="none" w:sz="0" w:space="0" w:color="auto"/>
        <w:left w:val="none" w:sz="0" w:space="0" w:color="auto"/>
        <w:bottom w:val="none" w:sz="0" w:space="0" w:color="auto"/>
        <w:right w:val="none" w:sz="0" w:space="0" w:color="auto"/>
      </w:divBdr>
    </w:div>
    <w:div w:id="1542128526">
      <w:bodyDiv w:val="1"/>
      <w:marLeft w:val="0"/>
      <w:marRight w:val="0"/>
      <w:marTop w:val="0"/>
      <w:marBottom w:val="0"/>
      <w:divBdr>
        <w:top w:val="none" w:sz="0" w:space="0" w:color="auto"/>
        <w:left w:val="none" w:sz="0" w:space="0" w:color="auto"/>
        <w:bottom w:val="none" w:sz="0" w:space="0" w:color="auto"/>
        <w:right w:val="none" w:sz="0" w:space="0" w:color="auto"/>
      </w:divBdr>
    </w:div>
    <w:div w:id="1997688143">
      <w:bodyDiv w:val="1"/>
      <w:marLeft w:val="0"/>
      <w:marRight w:val="0"/>
      <w:marTop w:val="0"/>
      <w:marBottom w:val="0"/>
      <w:divBdr>
        <w:top w:val="none" w:sz="0" w:space="0" w:color="auto"/>
        <w:left w:val="none" w:sz="0" w:space="0" w:color="auto"/>
        <w:bottom w:val="none" w:sz="0" w:space="0" w:color="auto"/>
        <w:right w:val="none" w:sz="0" w:space="0" w:color="auto"/>
      </w:divBdr>
    </w:div>
    <w:div w:id="2060859825">
      <w:bodyDiv w:val="1"/>
      <w:marLeft w:val="0"/>
      <w:marRight w:val="0"/>
      <w:marTop w:val="0"/>
      <w:marBottom w:val="0"/>
      <w:divBdr>
        <w:top w:val="none" w:sz="0" w:space="0" w:color="auto"/>
        <w:left w:val="none" w:sz="0" w:space="0" w:color="auto"/>
        <w:bottom w:val="none" w:sz="0" w:space="0" w:color="auto"/>
        <w:right w:val="none" w:sz="0" w:space="0" w:color="auto"/>
      </w:divBdr>
    </w:div>
    <w:div w:id="20831387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omments" Target="comments.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microsoft.com/office/2011/relationships/people" Target="people.xml"/><Relationship Id="rId10" Type="http://schemas.openxmlformats.org/officeDocument/2006/relationships/image" Target="media/image3.png"/><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26" Type="http://schemas.openxmlformats.org/officeDocument/2006/relationships/hyperlink" Target="https://www.mapp-oea.org/wp-content/uploads/2024/06/Informe-Semestral-36-MAPPOEA-1.pdf" TargetMode="External"/><Relationship Id="rId21" Type="http://schemas.openxmlformats.org/officeDocument/2006/relationships/hyperlink" Target="http://scm.oas.org/pdfs/2018/CP39544S.PDF" TargetMode="External"/><Relationship Id="rId42" Type="http://schemas.openxmlformats.org/officeDocument/2006/relationships/hyperlink" Target="https://www.comisiondelaverdad.co/hallazgos-y-recomendaciones-1" TargetMode="External"/><Relationship Id="rId47" Type="http://schemas.openxmlformats.org/officeDocument/2006/relationships/hyperlink" Target="https://cutt.ly/fNzEFeX" TargetMode="External"/><Relationship Id="rId63" Type="http://schemas.openxmlformats.org/officeDocument/2006/relationships/hyperlink" Target="https://www.minsalud.gov.co/sites/rid/Lists/BibliotecaDigital/RIDE/VS/ED/GCFI/documento-metodologico-ensin-2015.pdf" TargetMode="External"/><Relationship Id="rId68" Type="http://schemas.openxmlformats.org/officeDocument/2006/relationships/hyperlink" Target="https://www.corteconstitucional.gov.co/relatoria/2017/t-302-17.htm" TargetMode="External"/><Relationship Id="rId2" Type="http://schemas.openxmlformats.org/officeDocument/2006/relationships/hyperlink" Target="https://news.un.org/es/story/2022/01/1503252" TargetMode="External"/><Relationship Id="rId16" Type="http://schemas.openxmlformats.org/officeDocument/2006/relationships/hyperlink" Target="https://www.mapp-oea.org/wp-content/uploads/2019/05/XXVI-Informe-Semestral-MAPPOEA.pdf" TargetMode="External"/><Relationship Id="rId29" Type="http://schemas.openxmlformats.org/officeDocument/2006/relationships/hyperlink" Target="https://www.mapp-oea.org/wp-content/uploads/2020/12/XXIX-Informe-Semestral.pdf" TargetMode="External"/><Relationship Id="rId11" Type="http://schemas.openxmlformats.org/officeDocument/2006/relationships/hyperlink" Target="https://www.mapp-oea.org/wp-content/uploads/2021/07/XXX-Informe-Semestral.pdf" TargetMode="External"/><Relationship Id="rId24" Type="http://schemas.openxmlformats.org/officeDocument/2006/relationships/hyperlink" Target="https://www.mapp-oea.org/wp-content/uploads/2024/06/Informe-Semestral-36-MAPPOEA-1.pdf" TargetMode="External"/><Relationship Id="rId32" Type="http://schemas.openxmlformats.org/officeDocument/2006/relationships/hyperlink" Target="https://repositorio.defensoria.gov.co/items/286752fc-93a2-4d22-804a-de5c1843d7d5" TargetMode="External"/><Relationship Id="rId37" Type="http://schemas.openxmlformats.org/officeDocument/2006/relationships/hyperlink" Target="https://cutt.ly/ZNzdCvK" TargetMode="External"/><Relationship Id="rId40" Type="http://schemas.openxmlformats.org/officeDocument/2006/relationships/hyperlink" Target="https://www.comisiondelaverdad.co/no-es-un-mal-menor" TargetMode="External"/><Relationship Id="rId45" Type="http://schemas.openxmlformats.org/officeDocument/2006/relationships/hyperlink" Target="https://www.smallarmssurvey.org/database/global-firearms-holdings" TargetMode="External"/><Relationship Id="rId53" Type="http://schemas.openxmlformats.org/officeDocument/2006/relationships/hyperlink" Target="https://cutt.ly/cNzYo6V" TargetMode="External"/><Relationship Id="rId58" Type="http://schemas.openxmlformats.org/officeDocument/2006/relationships/hyperlink" Target="https://acrobat.adobe.com/link/review?uri=urn%3Aaaid%3Ascds%3AUS%3Acbb454d4-60c4-41fc-8998-d74636de65ee" TargetMode="External"/><Relationship Id="rId66" Type="http://schemas.openxmlformats.org/officeDocument/2006/relationships/hyperlink" Target="https://www.procuraduria.gov.co/Pages/procuraduria-pide-mandatarios-territoriales-atencion-prevencion-urgente-desnutricion-infantil-colombia.aspx" TargetMode="External"/><Relationship Id="rId74" Type="http://schemas.openxmlformats.org/officeDocument/2006/relationships/hyperlink" Target="https://www.javeriana.edu.co/pesquisa/tag/laboratorio-de-economia-de-la-educacion-puj/" TargetMode="External"/><Relationship Id="rId5" Type="http://schemas.openxmlformats.org/officeDocument/2006/relationships/hyperlink" Target="https://indepaz.org.co/incertidumbres-de-la-paz-entre-el-incumplimiento-del-acuerdo-y-las-luchas-sociales-en-su-defensa/" TargetMode="External"/><Relationship Id="rId61" Type="http://schemas.openxmlformats.org/officeDocument/2006/relationships/hyperlink" Target="https://fiancolombia.org/wp-content/uploads/Cuarto-Informe-Alimentacio%CC%81n-2021.-Un-pai%CC%81s-que-se-hunde-en-el-hambre..pdf" TargetMode="External"/><Relationship Id="rId19" Type="http://schemas.openxmlformats.org/officeDocument/2006/relationships/hyperlink" Target="https://cutt.ly/2Nl2nvo" TargetMode="External"/><Relationship Id="rId14" Type="http://schemas.openxmlformats.org/officeDocument/2006/relationships/hyperlink" Target="https://cutt.ly/yNl0DH1" TargetMode="External"/><Relationship Id="rId22" Type="http://schemas.openxmlformats.org/officeDocument/2006/relationships/hyperlink" Target="http://scm.oas.org/pdfs/2018/CP39544S.PDF" TargetMode="External"/><Relationship Id="rId27" Type="http://schemas.openxmlformats.org/officeDocument/2006/relationships/hyperlink" Target="https://www.mapp-oea.org/wp-content/uploads/2019/07/XXI-Informe-sobre-la-MAPP-OEA.pdf" TargetMode="External"/><Relationship Id="rId30" Type="http://schemas.openxmlformats.org/officeDocument/2006/relationships/hyperlink" Target="https://undocs.org/es/S/2020/603" TargetMode="External"/><Relationship Id="rId35" Type="http://schemas.openxmlformats.org/officeDocument/2006/relationships/hyperlink" Target="https://www.camara.gov.co/sites/default/files/2020-10/INFORME%20RECLUTAMIENTO%20DEFENSORIA%20final%20final.pdf" TargetMode="External"/><Relationship Id="rId43" Type="http://schemas.openxmlformats.org/officeDocument/2006/relationships/hyperlink" Target="https://dapre.presidencia.gov.co/normativa/normativa/LEY%202081%20DEL%203%20DE%20FEBRERO%20DE%202021.pdf" TargetMode="External"/><Relationship Id="rId48" Type="http://schemas.openxmlformats.org/officeDocument/2006/relationships/hyperlink" Target="https://www.medicinalegal.gov.co/cifras-estadisticas/forensis" TargetMode="External"/><Relationship Id="rId56" Type="http://schemas.openxmlformats.org/officeDocument/2006/relationships/hyperlink" Target="https://www" TargetMode="External"/><Relationship Id="rId64" Type="http://schemas.openxmlformats.org/officeDocument/2006/relationships/hyperlink" Target="https://colaboracion.dnp.gov.co/CDT/Prensa/Publicaciones/plan-nacional-de-desarrollo-2022-2026-colombia-potencia-mundial-de-la-vida.pdf" TargetMode="External"/><Relationship Id="rId69" Type="http://schemas.openxmlformats.org/officeDocument/2006/relationships/hyperlink" Target="https://www.corteconstitucional.gov.co/Relatoria/autos/2021/A042-21.htm" TargetMode="External"/><Relationship Id="rId8" Type="http://schemas.openxmlformats.org/officeDocument/2006/relationships/hyperlink" Target="https://cutt.ly/PNl8rct" TargetMode="External"/><Relationship Id="rId51" Type="http://schemas.openxmlformats.org/officeDocument/2006/relationships/hyperlink" Target="https://www.pas.org.co/_files/ugd/b432f9_bf0102c8dac042ebb162df5afbe8ea9f.pdf" TargetMode="External"/><Relationship Id="rId72" Type="http://schemas.openxmlformats.org/officeDocument/2006/relationships/hyperlink" Target="https://colaboracion.dnp.gov.co/CDT/Prensa/Resumen-PND2018-2022-final.pdf" TargetMode="External"/><Relationship Id="rId3" Type="http://schemas.openxmlformats.org/officeDocument/2006/relationships/hyperlink" Target="https://www.hchr.org.co/informes_anuales/informe-del-alto-comisionado-de-las-naciones-unidas-para-los-derechos-humanos-sobre-la-situacion-de-derechos-humanos-en-colombia-durante-el-ano2019/" TargetMode="External"/><Relationship Id="rId12" Type="http://schemas.openxmlformats.org/officeDocument/2006/relationships/hyperlink" Target="https://cutt.ly/jNl0mh5" TargetMode="External"/><Relationship Id="rId17" Type="http://schemas.openxmlformats.org/officeDocument/2006/relationships/hyperlink" Target="https://cutt.ly/KNl2swS" TargetMode="External"/><Relationship Id="rId25" Type="http://schemas.openxmlformats.org/officeDocument/2006/relationships/hyperlink" Target="https://www.mapp-oea.org/wp-content/uploads/2023/05/INFORME-XXXIV-Esp-1.pdf" TargetMode="External"/><Relationship Id="rId33" Type="http://schemas.openxmlformats.org/officeDocument/2006/relationships/hyperlink" Target="https://repositorio.defensoria.gov.co/items/286752fc-93a2-4d22-804a-de5c1843d7d5" TargetMode="External"/><Relationship Id="rId38" Type="http://schemas.openxmlformats.org/officeDocument/2006/relationships/hyperlink" Target="https://www.colectivodeabogados.org/las-ninas-y-ninos-no-son-maquinas-de-guerra/" TargetMode="External"/><Relationship Id="rId46" Type="http://schemas.openxmlformats.org/officeDocument/2006/relationships/hyperlink" Target="https://www.smallarmssurvey.org/database/global-firearms-holdings" TargetMode="External"/><Relationship Id="rId59" Type="http://schemas.openxmlformats.org/officeDocument/2006/relationships/hyperlink" Target="https://www.oas.org/es/cidh/informes/pdfs/ObservacionesVisita_cidh_Colombia_spA.pdf" TargetMode="External"/><Relationship Id="rId67" Type="http://schemas.openxmlformats.org/officeDocument/2006/relationships/hyperlink" Target="https://www.oas.org/es/cidh/decisiones/pdf/2015/MC51-15-Es.pdf" TargetMode="External"/><Relationship Id="rId20" Type="http://schemas.openxmlformats.org/officeDocument/2006/relationships/hyperlink" Target="https://cutt.ly/rNl2Wem" TargetMode="External"/><Relationship Id="rId41" Type="http://schemas.openxmlformats.org/officeDocument/2006/relationships/hyperlink" Target="https://www.comisiondelaverdad.co/hallazgos-y-recomendaciones-1" TargetMode="External"/><Relationship Id="rId54" Type="http://schemas.openxmlformats.org/officeDocument/2006/relationships/hyperlink" Target="https://www.amnesty.org/es/documents/amr23/4083/2021/es/" TargetMode="External"/><Relationship Id="rId62" Type="http://schemas.openxmlformats.org/officeDocument/2006/relationships/hyperlink" Target="https://colaboracion.dnp.gov.co/CDT/Prensa/Publicaciones/plan-nacional-de-desarrollo-2022-2026-colombia-potencia-mundial-de-la-vida.pdf" TargetMode="External"/><Relationship Id="rId70" Type="http://schemas.openxmlformats.org/officeDocument/2006/relationships/hyperlink" Target="https://www.eluniversal.com.co/colombia/corte-constitucional-tumbo-transferencia-para-atender-desnutricion-en-la-guajira-AF9610398" TargetMode="External"/><Relationship Id="rId75" Type="http://schemas.openxmlformats.org/officeDocument/2006/relationships/hyperlink" Target="https://www.revistaespacios.com/a20v41n18/a20v41n18p27.pdf" TargetMode="External"/><Relationship Id="rId1" Type="http://schemas.openxmlformats.org/officeDocument/2006/relationships/hyperlink" Target="https://news.un.org/es/story/2022/01/1503252" TargetMode="External"/><Relationship Id="rId6" Type="http://schemas.openxmlformats.org/officeDocument/2006/relationships/hyperlink" Target="https://www.ohchr.org/sites/default/files/documents/hrbodies/hrcouncil/sessions-regular/session55/advance-versions/A-HRC-55-18-sp-AdvanceUneditedVersion.pdf" TargetMode="External"/><Relationship Id="rId15" Type="http://schemas.openxmlformats.org/officeDocument/2006/relationships/hyperlink" Target="https://cutt.ly/rNl0LSV" TargetMode="External"/><Relationship Id="rId23" Type="http://schemas.openxmlformats.org/officeDocument/2006/relationships/hyperlink" Target="https://cutt.ly/wNl0U1N" TargetMode="External"/><Relationship Id="rId28" Type="http://schemas.openxmlformats.org/officeDocument/2006/relationships/hyperlink" Target="https://www.mapp-oea.org/wp-content/uploads/2020/12/XXIX-Informe-Semestral.pdf" TargetMode="External"/><Relationship Id="rId36" Type="http://schemas.openxmlformats.org/officeDocument/2006/relationships/hyperlink" Target="https://cutt.ly/zNzlKJy" TargetMode="External"/><Relationship Id="rId49" Type="http://schemas.openxmlformats.org/officeDocument/2006/relationships/hyperlink" Target="https://www.pas.org.co/_files/ugd/b432f9_bf0102c8dac042ebb162df5afbe8ea9f.pdf" TargetMode="External"/><Relationship Id="rId57" Type="http://schemas.openxmlformats.org/officeDocument/2006/relationships/hyperlink" Target="http://www.oas.org/es/cidh/informes/pdfs/ObservacionesVisita_CIDH_Colombia_SPA.pdf" TargetMode="External"/><Relationship Id="rId10" Type="http://schemas.openxmlformats.org/officeDocument/2006/relationships/hyperlink" Target="https://cutt.ly/cNl4SRv" TargetMode="External"/><Relationship Id="rId31" Type="http://schemas.openxmlformats.org/officeDocument/2006/relationships/hyperlink" Target="https://undocs.org/es/S/2020/603" TargetMode="External"/><Relationship Id="rId44" Type="http://schemas.openxmlformats.org/officeDocument/2006/relationships/hyperlink" Target="https://www.mintrabajo.gov.co/politica-publica-para-la-prevencion-y-erradicacion-de-la-explotacion-sexual-comercial-de-ninas-ninos-y-adolescentes" TargetMode="External"/><Relationship Id="rId52" Type="http://schemas.openxmlformats.org/officeDocument/2006/relationships/hyperlink" Target="https://cutt.ly/9NzTOmV" TargetMode="External"/><Relationship Id="rId60" Type="http://schemas.openxmlformats.org/officeDocument/2006/relationships/hyperlink" Target="https://www.mineducacion.gov.co/portal/micrositiospreescolar-basica-ymedia/Programa-de-Alimentacion-Escolar-PAE-/ETC/357467:Informes-Operacion-PAE" TargetMode="External"/><Relationship Id="rId65" Type="http://schemas.openxmlformats.org/officeDocument/2006/relationships/hyperlink" Target="https://es.wfp.org/publicaciones/evaluacion-de-la-seguridad-alimentaria-para-la-poblacion-colombiana-2024" TargetMode="External"/><Relationship Id="rId73" Type="http://schemas.openxmlformats.org/officeDocument/2006/relationships/hyperlink" Target="https://colaboracion.dnp.gov.co/CDT/Prensa/Resumen-PND2018-2022-final.pdf" TargetMode="External"/><Relationship Id="rId4" Type="http://schemas.openxmlformats.org/officeDocument/2006/relationships/hyperlink" Target="https://indepaz.org.co/incertidumbres-de-la-paz-entre-el-incumplimiento-del-acuerdo-y-las-luchas-sociales-en-su-defensa/" TargetMode="External"/><Relationship Id="rId9" Type="http://schemas.openxmlformats.org/officeDocument/2006/relationships/hyperlink" Target="https://cutt.ly/iNl8LvI" TargetMode="External"/><Relationship Id="rId13" Type="http://schemas.openxmlformats.org/officeDocument/2006/relationships/hyperlink" Target="https://cutt.ly/wNl0U1N" TargetMode="External"/><Relationship Id="rId18" Type="http://schemas.openxmlformats.org/officeDocument/2006/relationships/hyperlink" Target="https://cutt.ly/BNl2jHp" TargetMode="External"/><Relationship Id="rId39" Type="http://schemas.openxmlformats.org/officeDocument/2006/relationships/hyperlink" Target="https://www.comisiondelaverdad.co/no-es-un-mal-menor" TargetMode="External"/><Relationship Id="rId34" Type="http://schemas.openxmlformats.org/officeDocument/2006/relationships/hyperlink" Target="https://daccess-ods.un.org/tmp/7809658.64658356.html" TargetMode="External"/><Relationship Id="rId50" Type="http://schemas.openxmlformats.org/officeDocument/2006/relationships/hyperlink" Target="https://www.oas.org/es/cidh/jsForm/?File=/es/cidh/prensa/comunicados/2022/114.asp" TargetMode="External"/><Relationship Id="rId55" Type="http://schemas.openxmlformats.org/officeDocument/2006/relationships/hyperlink" Target="https://www.amnesty.org/es/documents/amr23/4405/2021/es/" TargetMode="External"/><Relationship Id="rId76" Type="http://schemas.openxmlformats.org/officeDocument/2006/relationships/hyperlink" Target="https://www.dejusticia.org/publication/acceso-promocion-y-permanencia-de-ninos-ninas-y-adolescentes-migrantes-en-el-sistema-educativo-colombiano-avances-retos-y-recomendaciones/" TargetMode="External"/><Relationship Id="rId7" Type="http://schemas.openxmlformats.org/officeDocument/2006/relationships/hyperlink" Target="https://www.defensoria.gov.co/-/defensor%C3%ADa-del-pueblo-registr%C3%B3-184-casos-de-reclutamiento-de-menores-en-2023" TargetMode="External"/><Relationship Id="rId71" Type="http://schemas.openxmlformats.org/officeDocument/2006/relationships/hyperlink" Target="https://reliefweb.int/report/colombia/evaluacion-de-seguridad-alimentaria-migrantes-y-comunidades-de-acogida-colombia-mayo-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696E3-78AF-4428-B908-6EA8E4199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10234</Words>
  <Characters>56293</Characters>
  <Application>Microsoft Office Word</Application>
  <DocSecurity>0</DocSecurity>
  <Lines>469</Lines>
  <Paragraphs>132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FUNSAREP - LENOVOIP3</dc:creator>
  <cp:lastModifiedBy>James Boit</cp:lastModifiedBy>
  <cp:revision>2</cp:revision>
  <dcterms:created xsi:type="dcterms:W3CDTF">2025-01-17T09:10:00Z</dcterms:created>
  <dcterms:modified xsi:type="dcterms:W3CDTF">2025-01-17T09:10:00Z</dcterms:modified>
</cp:coreProperties>
</file>