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61D73" w14:textId="77777777" w:rsidR="007142EA" w:rsidRPr="007142EA" w:rsidRDefault="007142EA" w:rsidP="007142EA">
      <w:pPr>
        <w:bidi w:val="0"/>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142EA">
        <w:rPr>
          <w:rFonts w:ascii="Times New Roman" w:eastAsia="Times New Roman" w:hAnsi="Times New Roman" w:cs="Times New Roman"/>
          <w:b/>
          <w:bCs/>
          <w:kern w:val="36"/>
          <w:sz w:val="48"/>
          <w:szCs w:val="48"/>
          <w14:ligatures w14:val="none"/>
        </w:rPr>
        <w:t>Shadow Report to the UN Committee on Economic, Social and Cultural Rights (CESCR)</w:t>
      </w:r>
    </w:p>
    <w:p w14:paraId="3854B1E0" w14:textId="77777777" w:rsidR="007142EA" w:rsidRPr="007142EA" w:rsidRDefault="007142EA" w:rsidP="007142EA">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u w:val="single"/>
          <w14:ligatures w14:val="none"/>
        </w:rPr>
      </w:pPr>
      <w:r w:rsidRPr="007142EA">
        <w:rPr>
          <w:rFonts w:ascii="Times New Roman" w:eastAsia="Times New Roman" w:hAnsi="Times New Roman" w:cs="Times New Roman"/>
          <w:b/>
          <w:bCs/>
          <w:kern w:val="0"/>
          <w:sz w:val="36"/>
          <w:szCs w:val="36"/>
          <w:u w:val="single"/>
          <w14:ligatures w14:val="none"/>
        </w:rPr>
        <w:t>79th Session – Review of Australia</w:t>
      </w:r>
    </w:p>
    <w:p w14:paraId="2438A3D6" w14:textId="77777777" w:rsidR="007142EA" w:rsidRPr="007142EA" w:rsidRDefault="007142EA" w:rsidP="007142EA">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7142EA">
        <w:rPr>
          <w:rFonts w:ascii="Times New Roman" w:eastAsia="Times New Roman" w:hAnsi="Times New Roman" w:cs="Times New Roman"/>
          <w:b/>
          <w:bCs/>
          <w:kern w:val="0"/>
          <w:sz w:val="27"/>
          <w:szCs w:val="27"/>
          <w14:ligatures w14:val="none"/>
        </w:rPr>
        <w:t>Submitted by</w:t>
      </w:r>
    </w:p>
    <w:p w14:paraId="2BF20AD5" w14:textId="0F5F458E" w:rsidR="007142EA" w:rsidRPr="007142EA" w:rsidRDefault="007142EA" w:rsidP="007142EA">
      <w:pPr>
        <w:bidi w:val="0"/>
        <w:spacing w:before="100" w:beforeAutospacing="1" w:after="100" w:afterAutospacing="1" w:line="240" w:lineRule="auto"/>
        <w:rPr>
          <w:rFonts w:ascii="Times New Roman" w:eastAsia="Times New Roman" w:hAnsi="Times New Roman" w:cs="Times New Roman"/>
          <w:kern w:val="0"/>
          <w:u w:val="single"/>
          <w:lang w:val="fr-FR"/>
          <w14:ligatures w14:val="none"/>
        </w:rPr>
      </w:pPr>
      <w:r w:rsidRPr="007142EA">
        <w:rPr>
          <w:rFonts w:ascii="Open Sans" w:hAnsi="Open Sans" w:cs="Open Sans"/>
          <w:b/>
          <w:bCs/>
          <w:sz w:val="28"/>
          <w:szCs w:val="28"/>
          <w:u w:val="single"/>
          <w:shd w:val="clear" w:color="auto" w:fill="F9FAFD"/>
          <w:lang w:val="fr-FR"/>
        </w:rPr>
        <w:t>Alliance internationale pour la défense des droits et des libertés</w:t>
      </w:r>
      <w:r w:rsidRPr="007142EA">
        <w:rPr>
          <w:rFonts w:ascii="Times New Roman" w:eastAsia="Times New Roman" w:hAnsi="Times New Roman" w:cs="Times New Roman"/>
          <w:kern w:val="0"/>
          <w:sz w:val="28"/>
          <w:szCs w:val="28"/>
          <w:lang w:val="fr-FR"/>
          <w14:ligatures w14:val="none"/>
        </w:rPr>
        <w:br/>
      </w:r>
      <w:r w:rsidRPr="007142EA">
        <w:rPr>
          <w:rFonts w:ascii="Times New Roman" w:eastAsia="Times New Roman" w:hAnsi="Times New Roman" w:cs="Times New Roman"/>
          <w:kern w:val="0"/>
          <w:lang w:val="fr-FR"/>
          <w14:ligatures w14:val="none"/>
        </w:rPr>
        <w:t>and</w:t>
      </w:r>
      <w:r w:rsidRPr="007142EA">
        <w:rPr>
          <w:rFonts w:ascii="Times New Roman" w:eastAsia="Times New Roman" w:hAnsi="Times New Roman" w:cs="Times New Roman"/>
          <w:kern w:val="0"/>
          <w:lang w:val="fr-FR"/>
          <w14:ligatures w14:val="none"/>
        </w:rPr>
        <w:br/>
      </w:r>
      <w:r w:rsidRPr="007142EA">
        <w:rPr>
          <w:rFonts w:ascii="Times New Roman" w:eastAsia="Times New Roman" w:hAnsi="Times New Roman" w:cs="Times New Roman"/>
          <w:b/>
          <w:bCs/>
          <w:kern w:val="0"/>
          <w:u w:val="single"/>
          <w:lang w:val="fr-FR"/>
          <w14:ligatures w14:val="none"/>
        </w:rPr>
        <w:t xml:space="preserve">AIDL International </w:t>
      </w:r>
      <w:proofErr w:type="spellStart"/>
      <w:r w:rsidRPr="007142EA">
        <w:rPr>
          <w:rFonts w:ascii="Times New Roman" w:eastAsia="Times New Roman" w:hAnsi="Times New Roman" w:cs="Times New Roman"/>
          <w:b/>
          <w:bCs/>
          <w:kern w:val="0"/>
          <w:u w:val="single"/>
          <w:lang w:val="fr-FR"/>
          <w14:ligatures w14:val="none"/>
        </w:rPr>
        <w:t>Foundation</w:t>
      </w:r>
      <w:proofErr w:type="spellEnd"/>
    </w:p>
    <w:p w14:paraId="443C003C" w14:textId="2E789322" w:rsidR="007142EA" w:rsidRPr="007142EA" w:rsidRDefault="007142EA" w:rsidP="007142EA">
      <w:pPr>
        <w:bidi w:val="0"/>
        <w:spacing w:before="100" w:beforeAutospacing="1" w:after="100" w:afterAutospacing="1" w:line="240" w:lineRule="auto"/>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Submission type:</w:t>
      </w:r>
      <w:r w:rsidRPr="007142EA">
        <w:rPr>
          <w:rFonts w:ascii="Times New Roman" w:eastAsia="Times New Roman" w:hAnsi="Times New Roman" w:cs="Times New Roman"/>
          <w:kern w:val="0"/>
          <w14:ligatures w14:val="none"/>
        </w:rPr>
        <w:t xml:space="preserve"> Civil Society Organization (CSO) Shadow Report</w:t>
      </w:r>
      <w:r w:rsidRPr="007142EA">
        <w:rPr>
          <w:rFonts w:ascii="Times New Roman" w:eastAsia="Times New Roman" w:hAnsi="Times New Roman" w:cs="Times New Roman"/>
          <w:kern w:val="0"/>
          <w14:ligatures w14:val="none"/>
        </w:rPr>
        <w:br/>
      </w:r>
      <w:r w:rsidRPr="007142EA">
        <w:rPr>
          <w:rFonts w:ascii="Times New Roman" w:eastAsia="Times New Roman" w:hAnsi="Times New Roman" w:cs="Times New Roman"/>
          <w:b/>
          <w:bCs/>
          <w:kern w:val="0"/>
          <w14:ligatures w14:val="none"/>
        </w:rPr>
        <w:t>Date:</w:t>
      </w:r>
      <w:r w:rsidRPr="007142EA">
        <w:rPr>
          <w:rFonts w:ascii="Times New Roman" w:eastAsia="Times New Roman" w:hAnsi="Times New Roman" w:cs="Times New Roman"/>
          <w:kern w:val="0"/>
          <w14:ligatures w14:val="none"/>
        </w:rPr>
        <w:t xml:space="preserve"> 18 January 2026</w:t>
      </w:r>
    </w:p>
    <w:p w14:paraId="4CE1CD5F" w14:textId="77777777" w:rsidR="007142EA" w:rsidRPr="007142EA" w:rsidRDefault="007142EA" w:rsidP="007142EA">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u w:val="single"/>
          <w14:ligatures w14:val="none"/>
        </w:rPr>
      </w:pPr>
      <w:r w:rsidRPr="007142EA">
        <w:rPr>
          <w:rFonts w:ascii="Times New Roman" w:eastAsia="Times New Roman" w:hAnsi="Times New Roman" w:cs="Times New Roman"/>
          <w:b/>
          <w:bCs/>
          <w:kern w:val="0"/>
          <w:sz w:val="36"/>
          <w:szCs w:val="36"/>
          <w:u w:val="single"/>
          <w14:ligatures w14:val="none"/>
        </w:rPr>
        <w:t>1. Executive Summary</w:t>
      </w:r>
    </w:p>
    <w:p w14:paraId="0D908B9C"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This shadow report is submitted jointly by AIDL International Alliance and AIDL International Foundation to inform the UN Committee on Economic, Social and Cultural Rights (CESCR) ahead of the 79th session review of Australia’s implementation of the International Covenant on Economic, Social and Cultural Rights (ICESCR).</w:t>
      </w:r>
    </w:p>
    <w:p w14:paraId="7D4887D4"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The report highlights structural and persistent concerns impacting the enjoyment of economic, social and cultural rights in Australia, with a particular focus on (</w:t>
      </w:r>
      <w:proofErr w:type="spellStart"/>
      <w:r w:rsidRPr="007142EA">
        <w:rPr>
          <w:rFonts w:ascii="Times New Roman" w:eastAsia="Times New Roman" w:hAnsi="Times New Roman" w:cs="Times New Roman"/>
          <w:kern w:val="0"/>
          <w14:ligatures w14:val="none"/>
        </w:rPr>
        <w:t>i</w:t>
      </w:r>
      <w:proofErr w:type="spellEnd"/>
      <w:r w:rsidRPr="007142EA">
        <w:rPr>
          <w:rFonts w:ascii="Times New Roman" w:eastAsia="Times New Roman" w:hAnsi="Times New Roman" w:cs="Times New Roman"/>
          <w:kern w:val="0"/>
          <w14:ligatures w14:val="none"/>
        </w:rPr>
        <w:t xml:space="preserve">) the rights of Aboriginal and Torres Strait Islander peoples, (ii) asylum and migration-related detention and external processing practices, (iii) the right to adequate housing amid escalating homelessness and affordability pressures, (iv) health inequities including mental health and access barriers, (v) </w:t>
      </w:r>
      <w:proofErr w:type="spellStart"/>
      <w:r w:rsidRPr="007142EA">
        <w:rPr>
          <w:rFonts w:ascii="Times New Roman" w:eastAsia="Times New Roman" w:hAnsi="Times New Roman" w:cs="Times New Roman"/>
          <w:kern w:val="0"/>
          <w14:ligatures w14:val="none"/>
        </w:rPr>
        <w:t>labour</w:t>
      </w:r>
      <w:proofErr w:type="spellEnd"/>
      <w:r w:rsidRPr="007142EA">
        <w:rPr>
          <w:rFonts w:ascii="Times New Roman" w:eastAsia="Times New Roman" w:hAnsi="Times New Roman" w:cs="Times New Roman"/>
          <w:kern w:val="0"/>
          <w14:ligatures w14:val="none"/>
        </w:rPr>
        <w:t xml:space="preserve"> rights and social protection gaps affecting vulnerable groups, and (vi) climate-related harms and inadequate climate justice safeguards.</w:t>
      </w:r>
    </w:p>
    <w:p w14:paraId="628FDE01"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AIDL recognizes that Australia has institutional capacities and resources to progressively realize Covenant rights. The principal issues raised in this report relate to policy coherence, legal enforceability, accountability for rights outcomes, and the disproportionate impacts on specific groups. The Committee is urged to ask targeted questions and issue time-bound recommendations to ensure concrete, measurable progress.</w:t>
      </w:r>
    </w:p>
    <w:p w14:paraId="4444AE4B"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Key recommendations</w:t>
      </w:r>
      <w:r w:rsidRPr="007142EA">
        <w:rPr>
          <w:rFonts w:ascii="Times New Roman" w:eastAsia="Times New Roman" w:hAnsi="Times New Roman" w:cs="Times New Roman"/>
          <w:kern w:val="0"/>
          <w14:ligatures w14:val="none"/>
        </w:rPr>
        <w:t xml:space="preserve"> to the Committee include:</w:t>
      </w:r>
    </w:p>
    <w:p w14:paraId="19DF5C99" w14:textId="77777777" w:rsidR="007142EA" w:rsidRPr="007142EA" w:rsidRDefault="007142EA" w:rsidP="007142EA">
      <w:pPr>
        <w:numPr>
          <w:ilvl w:val="0"/>
          <w:numId w:val="1"/>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Strengthen rights-based accountability and remedies for Covenant rights at federal and state levels, including non-discrimination and access to effective remedies.</w:t>
      </w:r>
    </w:p>
    <w:p w14:paraId="28F01BE5" w14:textId="77777777" w:rsidR="007142EA" w:rsidRPr="007142EA" w:rsidRDefault="007142EA" w:rsidP="007142EA">
      <w:pPr>
        <w:numPr>
          <w:ilvl w:val="0"/>
          <w:numId w:val="1"/>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Ensure full protection of Aboriginal and Torres Strait Islander peoples’ rights through genuine self-determination, culturally safe services, and measures addressing intergenerational disadvantage, including land, housing, health, and child protection.</w:t>
      </w:r>
    </w:p>
    <w:p w14:paraId="1E6AF084" w14:textId="77777777" w:rsidR="007142EA" w:rsidRPr="007142EA" w:rsidRDefault="007142EA" w:rsidP="007142EA">
      <w:pPr>
        <w:numPr>
          <w:ilvl w:val="0"/>
          <w:numId w:val="1"/>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End harmful detention and external processing practices, ensure humane reception conditions, and guarantee access to health care, housing, and social support for asylum seekers and migrants.</w:t>
      </w:r>
    </w:p>
    <w:p w14:paraId="0799C702" w14:textId="77777777" w:rsidR="007142EA" w:rsidRPr="007142EA" w:rsidRDefault="007142EA" w:rsidP="007142EA">
      <w:pPr>
        <w:numPr>
          <w:ilvl w:val="0"/>
          <w:numId w:val="1"/>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Adopt and implement a rights-based national housing strategy with measurable targets to reduce homelessness, improve affordability, and ensure adequate habitability standards.</w:t>
      </w:r>
    </w:p>
    <w:p w14:paraId="31743D0B" w14:textId="77777777" w:rsidR="007142EA" w:rsidRPr="007142EA" w:rsidRDefault="007142EA" w:rsidP="007142EA">
      <w:pPr>
        <w:numPr>
          <w:ilvl w:val="0"/>
          <w:numId w:val="1"/>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lastRenderedPageBreak/>
        <w:t>Close inequities in health and mental health outcomes through strengthened primary care access, culturally safe services, and reduced barriers for remote communities and low-income groups.</w:t>
      </w:r>
    </w:p>
    <w:p w14:paraId="53569401" w14:textId="77777777" w:rsidR="007142EA" w:rsidRPr="007142EA" w:rsidRDefault="007142EA" w:rsidP="007142EA">
      <w:pPr>
        <w:numPr>
          <w:ilvl w:val="0"/>
          <w:numId w:val="1"/>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 xml:space="preserve">Strengthen </w:t>
      </w:r>
      <w:proofErr w:type="spellStart"/>
      <w:r w:rsidRPr="007142EA">
        <w:rPr>
          <w:rFonts w:ascii="Times New Roman" w:eastAsia="Times New Roman" w:hAnsi="Times New Roman" w:cs="Times New Roman"/>
          <w:kern w:val="0"/>
          <w14:ligatures w14:val="none"/>
        </w:rPr>
        <w:t>labour</w:t>
      </w:r>
      <w:proofErr w:type="spellEnd"/>
      <w:r w:rsidRPr="007142EA">
        <w:rPr>
          <w:rFonts w:ascii="Times New Roman" w:eastAsia="Times New Roman" w:hAnsi="Times New Roman" w:cs="Times New Roman"/>
          <w:kern w:val="0"/>
          <w14:ligatures w14:val="none"/>
        </w:rPr>
        <w:t xml:space="preserve"> protections and social security adequacy, including for </w:t>
      </w:r>
      <w:proofErr w:type="spellStart"/>
      <w:r w:rsidRPr="007142EA">
        <w:rPr>
          <w:rFonts w:ascii="Times New Roman" w:eastAsia="Times New Roman" w:hAnsi="Times New Roman" w:cs="Times New Roman"/>
          <w:kern w:val="0"/>
          <w14:ligatures w14:val="none"/>
        </w:rPr>
        <w:t>casualised</w:t>
      </w:r>
      <w:proofErr w:type="spellEnd"/>
      <w:r w:rsidRPr="007142EA">
        <w:rPr>
          <w:rFonts w:ascii="Times New Roman" w:eastAsia="Times New Roman" w:hAnsi="Times New Roman" w:cs="Times New Roman"/>
          <w:kern w:val="0"/>
          <w14:ligatures w14:val="none"/>
        </w:rPr>
        <w:t xml:space="preserve"> workers and vulnerable sectors.</w:t>
      </w:r>
    </w:p>
    <w:p w14:paraId="24B81D4B" w14:textId="6E4F16A9" w:rsidR="007142EA" w:rsidRPr="007142EA" w:rsidRDefault="007142EA" w:rsidP="007142EA">
      <w:pPr>
        <w:numPr>
          <w:ilvl w:val="0"/>
          <w:numId w:val="1"/>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Integrate climate justice into policy and regulatory frameworks to protect communities at disproportionate risk from climate-related harms.</w:t>
      </w:r>
    </w:p>
    <w:p w14:paraId="46489F69" w14:textId="77777777" w:rsidR="007142EA" w:rsidRPr="007142EA" w:rsidRDefault="007142EA" w:rsidP="007142EA">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7142EA">
        <w:rPr>
          <w:rFonts w:ascii="Times New Roman" w:eastAsia="Times New Roman" w:hAnsi="Times New Roman" w:cs="Times New Roman"/>
          <w:b/>
          <w:bCs/>
          <w:kern w:val="0"/>
          <w:sz w:val="36"/>
          <w:szCs w:val="36"/>
          <w14:ligatures w14:val="none"/>
        </w:rPr>
        <w:t>2. Methodology and Sources</w:t>
      </w:r>
    </w:p>
    <w:p w14:paraId="6B185ED3"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This report is based on a review of publicly available information, including official policies, legislative frameworks, public data, and credible civil society and expert assessments. AIDL has applied a human rights analysis aligned with ICESCR obligations (respect, protect, fulfil) and CESCR General Comments, focusing on structural barriers and disproportionate impacts on protected and vulnerable groups.</w:t>
      </w:r>
    </w:p>
    <w:p w14:paraId="4F1CBA34" w14:textId="118D0E32"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This submission does not purport to provide exhaustive coverage of all Covenant rights. It prioritizes themes where (</w:t>
      </w:r>
      <w:proofErr w:type="spellStart"/>
      <w:r w:rsidRPr="007142EA">
        <w:rPr>
          <w:rFonts w:ascii="Times New Roman" w:eastAsia="Times New Roman" w:hAnsi="Times New Roman" w:cs="Times New Roman"/>
          <w:kern w:val="0"/>
          <w14:ligatures w14:val="none"/>
        </w:rPr>
        <w:t>i</w:t>
      </w:r>
      <w:proofErr w:type="spellEnd"/>
      <w:r w:rsidRPr="007142EA">
        <w:rPr>
          <w:rFonts w:ascii="Times New Roman" w:eastAsia="Times New Roman" w:hAnsi="Times New Roman" w:cs="Times New Roman"/>
          <w:kern w:val="0"/>
          <w14:ligatures w14:val="none"/>
        </w:rPr>
        <w:t>) impacts are severe or systemic, (ii) accountability gaps persist, and (iii) issues are especially relevant to the Committee’s mandate and follow-up capacity.</w:t>
      </w:r>
    </w:p>
    <w:p w14:paraId="1C204857" w14:textId="77777777" w:rsidR="007142EA" w:rsidRPr="007142EA" w:rsidRDefault="007142EA" w:rsidP="007142EA">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7142EA">
        <w:rPr>
          <w:rFonts w:ascii="Times New Roman" w:eastAsia="Times New Roman" w:hAnsi="Times New Roman" w:cs="Times New Roman"/>
          <w:b/>
          <w:bCs/>
          <w:kern w:val="0"/>
          <w:sz w:val="36"/>
          <w:szCs w:val="36"/>
          <w14:ligatures w14:val="none"/>
        </w:rPr>
        <w:t>3. Legal and Institutional Framework</w:t>
      </w:r>
    </w:p>
    <w:p w14:paraId="1D83F737"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Australia is bound by the ICESCR and is required to take steps, to the maximum of its available resources, to progressively realize Covenant rights without discrimination. Key obligations include:</w:t>
      </w:r>
    </w:p>
    <w:p w14:paraId="6AAFC900" w14:textId="77777777" w:rsidR="007142EA" w:rsidRPr="007142EA" w:rsidRDefault="007142EA" w:rsidP="007142EA">
      <w:pPr>
        <w:numPr>
          <w:ilvl w:val="0"/>
          <w:numId w:val="2"/>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Non-discrimination and equality in the enjoyment of Covenant rights.</w:t>
      </w:r>
    </w:p>
    <w:p w14:paraId="74BF04E6" w14:textId="77777777" w:rsidR="007142EA" w:rsidRPr="007142EA" w:rsidRDefault="007142EA" w:rsidP="007142EA">
      <w:pPr>
        <w:numPr>
          <w:ilvl w:val="0"/>
          <w:numId w:val="2"/>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Immediate obligations (including non-discrimination, minimum core obligations) regardless of resource constraints.</w:t>
      </w:r>
    </w:p>
    <w:p w14:paraId="5F2BEE14" w14:textId="77777777" w:rsidR="007142EA" w:rsidRPr="007142EA" w:rsidRDefault="007142EA" w:rsidP="007142EA">
      <w:pPr>
        <w:numPr>
          <w:ilvl w:val="0"/>
          <w:numId w:val="2"/>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The duty to ensure effective remedies and accountability mechanisms.</w:t>
      </w:r>
    </w:p>
    <w:p w14:paraId="33595F4A" w14:textId="77777777" w:rsidR="007142EA" w:rsidRPr="007142EA" w:rsidRDefault="007142EA" w:rsidP="007142EA">
      <w:pPr>
        <w:numPr>
          <w:ilvl w:val="0"/>
          <w:numId w:val="2"/>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Policy coherence across federal and state/territory levels to deliver rights outcomes.</w:t>
      </w:r>
    </w:p>
    <w:p w14:paraId="2DE8F075" w14:textId="514C886B"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AIDL notes that where Covenant rights are not directly enforceable domestically or where remedies are limited, practical enjoyment of rights can remain dependent on policy choices rather than enforceable entitlements. The Committee is encouraged to probe how Australia ensures legal and practical protection of Covenant rights, including at state/territory levels, and how it addresses structural discrimination and inequality.</w:t>
      </w:r>
    </w:p>
    <w:p w14:paraId="5C5D8AEC" w14:textId="77777777" w:rsidR="007142EA" w:rsidRPr="007142EA" w:rsidRDefault="007142EA" w:rsidP="007142EA">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7142EA">
        <w:rPr>
          <w:rFonts w:ascii="Times New Roman" w:eastAsia="Times New Roman" w:hAnsi="Times New Roman" w:cs="Times New Roman"/>
          <w:b/>
          <w:bCs/>
          <w:kern w:val="0"/>
          <w:sz w:val="36"/>
          <w:szCs w:val="36"/>
          <w14:ligatures w14:val="none"/>
        </w:rPr>
        <w:t>4. Priority Issues Under the Covenant</w:t>
      </w:r>
    </w:p>
    <w:p w14:paraId="0BA77873" w14:textId="77777777" w:rsidR="007142EA" w:rsidRPr="007142EA" w:rsidRDefault="007142EA" w:rsidP="007142EA">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7142EA">
        <w:rPr>
          <w:rFonts w:ascii="Times New Roman" w:eastAsia="Times New Roman" w:hAnsi="Times New Roman" w:cs="Times New Roman"/>
          <w:b/>
          <w:bCs/>
          <w:kern w:val="0"/>
          <w:sz w:val="27"/>
          <w:szCs w:val="27"/>
          <w14:ligatures w14:val="none"/>
        </w:rPr>
        <w:t>4.1 Rights of Aboriginal and Torres Strait Islander Peoples</w:t>
      </w:r>
    </w:p>
    <w:p w14:paraId="32C478CB"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Relevant Covenant rights:</w:t>
      </w:r>
      <w:r w:rsidRPr="007142EA">
        <w:rPr>
          <w:rFonts w:ascii="Times New Roman" w:eastAsia="Times New Roman" w:hAnsi="Times New Roman" w:cs="Times New Roman"/>
          <w:kern w:val="0"/>
          <w14:ligatures w14:val="none"/>
        </w:rPr>
        <w:t xml:space="preserve"> Articles 2(2), 11, 12, 13, 15 (and cross-cutting equality principles)</w:t>
      </w:r>
    </w:p>
    <w:p w14:paraId="365AD33F"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AIDL is concerned about persistent and disproportionate disadvantages experienced by Aboriginal and Torres Strait Islander peoples across housing, health, education, social protection, and access to culturally safe services. Structural drivers include historical dispossession, intergenerational trauma, discrimination, inequitable resource allocation, and inadequate implementation of self-determination principles in policy design.</w:t>
      </w:r>
    </w:p>
    <w:p w14:paraId="5566E703"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Key concerns include:</w:t>
      </w:r>
    </w:p>
    <w:p w14:paraId="67B930BC" w14:textId="77777777" w:rsidR="007142EA" w:rsidRPr="007142EA" w:rsidRDefault="007142EA" w:rsidP="007142EA">
      <w:pPr>
        <w:numPr>
          <w:ilvl w:val="0"/>
          <w:numId w:val="3"/>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lastRenderedPageBreak/>
        <w:t>Health inequities:</w:t>
      </w:r>
      <w:r w:rsidRPr="007142EA">
        <w:rPr>
          <w:rFonts w:ascii="Times New Roman" w:eastAsia="Times New Roman" w:hAnsi="Times New Roman" w:cs="Times New Roman"/>
          <w:kern w:val="0"/>
          <w14:ligatures w14:val="none"/>
        </w:rPr>
        <w:t xml:space="preserve"> Lower life expectancy and higher burden of preventable disease, compounded by barriers to access (including in remote areas) and lack of culturally safe care.</w:t>
      </w:r>
    </w:p>
    <w:p w14:paraId="468F838C" w14:textId="77777777" w:rsidR="007142EA" w:rsidRPr="007142EA" w:rsidRDefault="007142EA" w:rsidP="007142EA">
      <w:pPr>
        <w:numPr>
          <w:ilvl w:val="0"/>
          <w:numId w:val="3"/>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Housing insecurity and overcrowding:</w:t>
      </w:r>
      <w:r w:rsidRPr="007142EA">
        <w:rPr>
          <w:rFonts w:ascii="Times New Roman" w:eastAsia="Times New Roman" w:hAnsi="Times New Roman" w:cs="Times New Roman"/>
          <w:kern w:val="0"/>
          <w14:ligatures w14:val="none"/>
        </w:rPr>
        <w:t xml:space="preserve"> Chronic shortages and inadequate conditions affecting health, education, and safety.</w:t>
      </w:r>
    </w:p>
    <w:p w14:paraId="0AB6773E" w14:textId="77777777" w:rsidR="007142EA" w:rsidRPr="007142EA" w:rsidRDefault="007142EA" w:rsidP="007142EA">
      <w:pPr>
        <w:numPr>
          <w:ilvl w:val="0"/>
          <w:numId w:val="3"/>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Child and family impacts:</w:t>
      </w:r>
      <w:r w:rsidRPr="007142EA">
        <w:rPr>
          <w:rFonts w:ascii="Times New Roman" w:eastAsia="Times New Roman" w:hAnsi="Times New Roman" w:cs="Times New Roman"/>
          <w:kern w:val="0"/>
          <w14:ligatures w14:val="none"/>
        </w:rPr>
        <w:t xml:space="preserve"> Disproportionate child removal and out-of-home care involvement, with long-term rights implications.</w:t>
      </w:r>
    </w:p>
    <w:p w14:paraId="15092FC9" w14:textId="77777777" w:rsidR="007142EA" w:rsidRPr="007142EA" w:rsidRDefault="007142EA" w:rsidP="007142EA">
      <w:pPr>
        <w:numPr>
          <w:ilvl w:val="0"/>
          <w:numId w:val="3"/>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Justice and social determinants:</w:t>
      </w:r>
      <w:r w:rsidRPr="007142EA">
        <w:rPr>
          <w:rFonts w:ascii="Times New Roman" w:eastAsia="Times New Roman" w:hAnsi="Times New Roman" w:cs="Times New Roman"/>
          <w:kern w:val="0"/>
          <w14:ligatures w14:val="none"/>
        </w:rPr>
        <w:t xml:space="preserve"> Overrepresentation in incarceration, contributing to cascading rights deprivations (health, family life, education, employment).</w:t>
      </w:r>
    </w:p>
    <w:p w14:paraId="1C7AF695" w14:textId="77777777" w:rsidR="007142EA" w:rsidRPr="007142EA" w:rsidRDefault="007142EA" w:rsidP="007142EA">
      <w:pPr>
        <w:numPr>
          <w:ilvl w:val="0"/>
          <w:numId w:val="3"/>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Participation and accountability:</w:t>
      </w:r>
      <w:r w:rsidRPr="007142EA">
        <w:rPr>
          <w:rFonts w:ascii="Times New Roman" w:eastAsia="Times New Roman" w:hAnsi="Times New Roman" w:cs="Times New Roman"/>
          <w:kern w:val="0"/>
          <w14:ligatures w14:val="none"/>
        </w:rPr>
        <w:t xml:space="preserve"> Insufficient mechanisms to guarantee meaningful participation in decisions affecting communities and to ensure transparent, measurable outcomes.</w:t>
      </w:r>
    </w:p>
    <w:p w14:paraId="34526D53"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Questions the Committee should ask Australia:</w:t>
      </w:r>
    </w:p>
    <w:p w14:paraId="5938CFA9" w14:textId="77777777" w:rsidR="007142EA" w:rsidRPr="007142EA" w:rsidRDefault="007142EA" w:rsidP="007142EA">
      <w:pPr>
        <w:numPr>
          <w:ilvl w:val="0"/>
          <w:numId w:val="4"/>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What measurable targets and budgets exist to close gaps in housing adequacy, overcrowding, and homelessness for Aboriginal and Torres Strait Islander peoples?</w:t>
      </w:r>
    </w:p>
    <w:p w14:paraId="73835D4F" w14:textId="77777777" w:rsidR="007142EA" w:rsidRPr="007142EA" w:rsidRDefault="007142EA" w:rsidP="007142EA">
      <w:pPr>
        <w:numPr>
          <w:ilvl w:val="0"/>
          <w:numId w:val="4"/>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How does Australia ensure that Indigenous-led health services and culturally safe care are adequately funded and accessible, including in remote areas?</w:t>
      </w:r>
    </w:p>
    <w:p w14:paraId="119F9484" w14:textId="77777777" w:rsidR="007142EA" w:rsidRPr="007142EA" w:rsidRDefault="007142EA" w:rsidP="007142EA">
      <w:pPr>
        <w:numPr>
          <w:ilvl w:val="0"/>
          <w:numId w:val="4"/>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What structural reforms are in place to reduce disproportionate child removal and to ensure culturally appropriate family support services?</w:t>
      </w:r>
    </w:p>
    <w:p w14:paraId="32114653" w14:textId="77777777" w:rsidR="007142EA" w:rsidRPr="007142EA" w:rsidRDefault="007142EA" w:rsidP="007142EA">
      <w:pPr>
        <w:numPr>
          <w:ilvl w:val="0"/>
          <w:numId w:val="4"/>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How are self-determination and free, prior and informed consent operationalized in policies impacting land, housing, health, education, and social services?</w:t>
      </w:r>
    </w:p>
    <w:p w14:paraId="5BC3A4BC"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Recommendations:</w:t>
      </w:r>
    </w:p>
    <w:p w14:paraId="7B939E2E" w14:textId="77777777" w:rsidR="007142EA" w:rsidRPr="007142EA" w:rsidRDefault="007142EA" w:rsidP="007142EA">
      <w:pPr>
        <w:numPr>
          <w:ilvl w:val="0"/>
          <w:numId w:val="5"/>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Adopt time-bound, funded, and measurable commitments to address housing shortages, overcrowding, and habitability in Indigenous communities, with Indigenous-led governance.</w:t>
      </w:r>
    </w:p>
    <w:p w14:paraId="69283B67" w14:textId="77777777" w:rsidR="007142EA" w:rsidRPr="007142EA" w:rsidRDefault="007142EA" w:rsidP="007142EA">
      <w:pPr>
        <w:numPr>
          <w:ilvl w:val="0"/>
          <w:numId w:val="5"/>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Strengthen culturally safe health services, including Indigenous-controlled health providers and remote access solutions.</w:t>
      </w:r>
    </w:p>
    <w:p w14:paraId="477BBF73" w14:textId="77777777" w:rsidR="007142EA" w:rsidRPr="007142EA" w:rsidRDefault="007142EA" w:rsidP="007142EA">
      <w:pPr>
        <w:numPr>
          <w:ilvl w:val="0"/>
          <w:numId w:val="5"/>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Implement structural reforms and preventive family support to reduce child removals and strengthen community-based care.</w:t>
      </w:r>
    </w:p>
    <w:p w14:paraId="6AA6A832" w14:textId="53277510" w:rsidR="007142EA" w:rsidRPr="007142EA" w:rsidRDefault="007142EA" w:rsidP="007142EA">
      <w:pPr>
        <w:numPr>
          <w:ilvl w:val="0"/>
          <w:numId w:val="5"/>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Ensure genuine participation and transparency, including public reporting on outcomes and independent evaluation.</w:t>
      </w:r>
    </w:p>
    <w:p w14:paraId="168F786F" w14:textId="77777777" w:rsidR="007142EA" w:rsidRPr="007142EA" w:rsidRDefault="007142EA" w:rsidP="007142EA">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7142EA">
        <w:rPr>
          <w:rFonts w:ascii="Times New Roman" w:eastAsia="Times New Roman" w:hAnsi="Times New Roman" w:cs="Times New Roman"/>
          <w:b/>
          <w:bCs/>
          <w:kern w:val="0"/>
          <w:sz w:val="27"/>
          <w:szCs w:val="27"/>
          <w14:ligatures w14:val="none"/>
        </w:rPr>
        <w:t>4.2 Asylum, Migration, Detention, and External Processing</w:t>
      </w:r>
    </w:p>
    <w:p w14:paraId="190BEDE1"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Relevant Covenant rights:</w:t>
      </w:r>
      <w:r w:rsidRPr="007142EA">
        <w:rPr>
          <w:rFonts w:ascii="Times New Roman" w:eastAsia="Times New Roman" w:hAnsi="Times New Roman" w:cs="Times New Roman"/>
          <w:kern w:val="0"/>
          <w14:ligatures w14:val="none"/>
        </w:rPr>
        <w:t xml:space="preserve"> Articles 2(2), 9, 11, 12</w:t>
      </w:r>
    </w:p>
    <w:p w14:paraId="79B18303"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AIDL is concerned about practices that may undermine Covenant rights for asylum seekers and migrants, including detention-related impacts, barriers to adequate housing and social support, and limited access to health and mental health services for certain categories of individuals.</w:t>
      </w:r>
    </w:p>
    <w:p w14:paraId="29FC05B9"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Key concerns include:</w:t>
      </w:r>
    </w:p>
    <w:p w14:paraId="447458F5" w14:textId="77777777" w:rsidR="007142EA" w:rsidRPr="007142EA" w:rsidRDefault="007142EA" w:rsidP="007142EA">
      <w:pPr>
        <w:numPr>
          <w:ilvl w:val="0"/>
          <w:numId w:val="6"/>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Conditions and duration of detention:</w:t>
      </w:r>
      <w:r w:rsidRPr="007142EA">
        <w:rPr>
          <w:rFonts w:ascii="Times New Roman" w:eastAsia="Times New Roman" w:hAnsi="Times New Roman" w:cs="Times New Roman"/>
          <w:kern w:val="0"/>
          <w14:ligatures w14:val="none"/>
        </w:rPr>
        <w:t xml:space="preserve"> Risks of arbitrary or prolonged restrictions that negatively affect mental health and well-being.</w:t>
      </w:r>
    </w:p>
    <w:p w14:paraId="3E85852C" w14:textId="77777777" w:rsidR="007142EA" w:rsidRPr="007142EA" w:rsidRDefault="007142EA" w:rsidP="007142EA">
      <w:pPr>
        <w:numPr>
          <w:ilvl w:val="0"/>
          <w:numId w:val="6"/>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Access to health care:</w:t>
      </w:r>
      <w:r w:rsidRPr="007142EA">
        <w:rPr>
          <w:rFonts w:ascii="Times New Roman" w:eastAsia="Times New Roman" w:hAnsi="Times New Roman" w:cs="Times New Roman"/>
          <w:kern w:val="0"/>
          <w14:ligatures w14:val="none"/>
        </w:rPr>
        <w:t xml:space="preserve"> Inconsistent access and barriers to timely mental health support for detainees and those with insecure status.</w:t>
      </w:r>
    </w:p>
    <w:p w14:paraId="2352BE7B" w14:textId="77777777" w:rsidR="007142EA" w:rsidRPr="007142EA" w:rsidRDefault="007142EA" w:rsidP="007142EA">
      <w:pPr>
        <w:numPr>
          <w:ilvl w:val="0"/>
          <w:numId w:val="6"/>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Housing and social support:</w:t>
      </w:r>
      <w:r w:rsidRPr="007142EA">
        <w:rPr>
          <w:rFonts w:ascii="Times New Roman" w:eastAsia="Times New Roman" w:hAnsi="Times New Roman" w:cs="Times New Roman"/>
          <w:kern w:val="0"/>
          <w14:ligatures w14:val="none"/>
        </w:rPr>
        <w:t xml:space="preserve"> Risk of destitution for certain groups due to restricted access to social protection and housing assistance.</w:t>
      </w:r>
    </w:p>
    <w:p w14:paraId="386231D3" w14:textId="77777777" w:rsidR="007142EA" w:rsidRPr="007142EA" w:rsidRDefault="007142EA" w:rsidP="007142EA">
      <w:pPr>
        <w:numPr>
          <w:ilvl w:val="0"/>
          <w:numId w:val="6"/>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lastRenderedPageBreak/>
        <w:t>Discrimination risks:</w:t>
      </w:r>
      <w:r w:rsidRPr="007142EA">
        <w:rPr>
          <w:rFonts w:ascii="Times New Roman" w:eastAsia="Times New Roman" w:hAnsi="Times New Roman" w:cs="Times New Roman"/>
          <w:kern w:val="0"/>
          <w14:ligatures w14:val="none"/>
        </w:rPr>
        <w:t xml:space="preserve"> Policies that create unequal access to essential services can result in de facto discrimination.</w:t>
      </w:r>
    </w:p>
    <w:p w14:paraId="2A1E4DE3"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Questions the Committee should ask Australia:</w:t>
      </w:r>
    </w:p>
    <w:p w14:paraId="679EB5F5" w14:textId="77777777" w:rsidR="007142EA" w:rsidRPr="007142EA" w:rsidRDefault="007142EA" w:rsidP="007142EA">
      <w:pPr>
        <w:numPr>
          <w:ilvl w:val="0"/>
          <w:numId w:val="7"/>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What safeguards exist to prevent prolonged detention and to ensure independent review and proportionality?</w:t>
      </w:r>
    </w:p>
    <w:p w14:paraId="4EB7768F" w14:textId="77777777" w:rsidR="007142EA" w:rsidRPr="007142EA" w:rsidRDefault="007142EA" w:rsidP="007142EA">
      <w:pPr>
        <w:numPr>
          <w:ilvl w:val="0"/>
          <w:numId w:val="7"/>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How does Australia guarantee access to adequate health and mental health care for all detainees and asylum seekers, including children and vulnerable persons?</w:t>
      </w:r>
    </w:p>
    <w:p w14:paraId="6F4C1DC5" w14:textId="77777777" w:rsidR="007142EA" w:rsidRPr="007142EA" w:rsidRDefault="007142EA" w:rsidP="007142EA">
      <w:pPr>
        <w:numPr>
          <w:ilvl w:val="0"/>
          <w:numId w:val="7"/>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What measures ensure asylum seekers can access adequate housing, basic income support, and essential services without discrimination?</w:t>
      </w:r>
    </w:p>
    <w:p w14:paraId="561EF5E4"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Recommendations:</w:t>
      </w:r>
    </w:p>
    <w:p w14:paraId="7CCC183F" w14:textId="77777777" w:rsidR="007142EA" w:rsidRPr="007142EA" w:rsidRDefault="007142EA" w:rsidP="007142EA">
      <w:pPr>
        <w:numPr>
          <w:ilvl w:val="0"/>
          <w:numId w:val="8"/>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Ensure that any deprivation of liberty is necessary, proportionate, time-limited, and subject to effective judicial oversight.</w:t>
      </w:r>
    </w:p>
    <w:p w14:paraId="3CCB22B8" w14:textId="77777777" w:rsidR="007142EA" w:rsidRPr="007142EA" w:rsidRDefault="007142EA" w:rsidP="007142EA">
      <w:pPr>
        <w:numPr>
          <w:ilvl w:val="0"/>
          <w:numId w:val="8"/>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Guarantee timely access to comprehensive physical and mental health care for all persons in detention or immigration-related arrangements.</w:t>
      </w:r>
    </w:p>
    <w:p w14:paraId="57FFD42B" w14:textId="77777777" w:rsidR="007142EA" w:rsidRPr="007142EA" w:rsidRDefault="007142EA" w:rsidP="007142EA">
      <w:pPr>
        <w:numPr>
          <w:ilvl w:val="0"/>
          <w:numId w:val="8"/>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Ensure adequate housing and social protection for asylum seekers to prevent destitution and rights deprivations.</w:t>
      </w:r>
    </w:p>
    <w:p w14:paraId="0C7B61F9" w14:textId="2BC2B7F6" w:rsidR="007142EA" w:rsidRPr="007142EA" w:rsidRDefault="007142EA" w:rsidP="007142EA">
      <w:pPr>
        <w:bidi w:val="0"/>
        <w:spacing w:after="0" w:line="240" w:lineRule="auto"/>
        <w:jc w:val="both"/>
        <w:rPr>
          <w:rFonts w:ascii="Times New Roman" w:eastAsia="Times New Roman" w:hAnsi="Times New Roman" w:cs="Times New Roman"/>
          <w:kern w:val="0"/>
          <w14:ligatures w14:val="none"/>
        </w:rPr>
      </w:pPr>
    </w:p>
    <w:p w14:paraId="746A3398" w14:textId="77777777" w:rsidR="007142EA" w:rsidRPr="007142EA" w:rsidRDefault="007142EA" w:rsidP="007142EA">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7142EA">
        <w:rPr>
          <w:rFonts w:ascii="Times New Roman" w:eastAsia="Times New Roman" w:hAnsi="Times New Roman" w:cs="Times New Roman"/>
          <w:b/>
          <w:bCs/>
          <w:kern w:val="0"/>
          <w:sz w:val="27"/>
          <w:szCs w:val="27"/>
          <w14:ligatures w14:val="none"/>
        </w:rPr>
        <w:t>4.3 Right to Adequate Housing and Homelessness</w:t>
      </w:r>
    </w:p>
    <w:p w14:paraId="294A3985"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Relevant Covenant rights:</w:t>
      </w:r>
      <w:r w:rsidRPr="007142EA">
        <w:rPr>
          <w:rFonts w:ascii="Times New Roman" w:eastAsia="Times New Roman" w:hAnsi="Times New Roman" w:cs="Times New Roman"/>
          <w:kern w:val="0"/>
          <w14:ligatures w14:val="none"/>
        </w:rPr>
        <w:t xml:space="preserve"> Article 11 (and equality under Article 2(2))</w:t>
      </w:r>
    </w:p>
    <w:p w14:paraId="1F8D5AFE"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AIDL is concerned about ongoing housing affordability challenges and homelessness, including chronic homelessness, overcrowding, and substandard living conditions affecting low-income households, women experiencing violence, young people, and Indigenous communities.</w:t>
      </w:r>
    </w:p>
    <w:p w14:paraId="0CE8742E"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Key concerns include:</w:t>
      </w:r>
    </w:p>
    <w:p w14:paraId="4CBDBB23" w14:textId="77777777" w:rsidR="007142EA" w:rsidRPr="007142EA" w:rsidRDefault="007142EA" w:rsidP="007142EA">
      <w:pPr>
        <w:numPr>
          <w:ilvl w:val="0"/>
          <w:numId w:val="9"/>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Affordability pressures:</w:t>
      </w:r>
      <w:r w:rsidRPr="007142EA">
        <w:rPr>
          <w:rFonts w:ascii="Times New Roman" w:eastAsia="Times New Roman" w:hAnsi="Times New Roman" w:cs="Times New Roman"/>
          <w:kern w:val="0"/>
          <w14:ligatures w14:val="none"/>
        </w:rPr>
        <w:t xml:space="preserve"> Rising costs and limited affordable supply, increasing risks of homelessness and housing stress.</w:t>
      </w:r>
    </w:p>
    <w:p w14:paraId="25C110EC" w14:textId="77777777" w:rsidR="007142EA" w:rsidRPr="007142EA" w:rsidRDefault="007142EA" w:rsidP="007142EA">
      <w:pPr>
        <w:numPr>
          <w:ilvl w:val="0"/>
          <w:numId w:val="9"/>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Adequacy:</w:t>
      </w:r>
      <w:r w:rsidRPr="007142EA">
        <w:rPr>
          <w:rFonts w:ascii="Times New Roman" w:eastAsia="Times New Roman" w:hAnsi="Times New Roman" w:cs="Times New Roman"/>
          <w:kern w:val="0"/>
          <w14:ligatures w14:val="none"/>
        </w:rPr>
        <w:t xml:space="preserve"> Habitability, safety, and accessibility challenges, including for persons with disabilities and older persons.</w:t>
      </w:r>
    </w:p>
    <w:p w14:paraId="7AB2F417" w14:textId="77777777" w:rsidR="007142EA" w:rsidRPr="007142EA" w:rsidRDefault="007142EA" w:rsidP="007142EA">
      <w:pPr>
        <w:numPr>
          <w:ilvl w:val="0"/>
          <w:numId w:val="9"/>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Homelessness:</w:t>
      </w:r>
      <w:r w:rsidRPr="007142EA">
        <w:rPr>
          <w:rFonts w:ascii="Times New Roman" w:eastAsia="Times New Roman" w:hAnsi="Times New Roman" w:cs="Times New Roman"/>
          <w:kern w:val="0"/>
          <w14:ligatures w14:val="none"/>
        </w:rPr>
        <w:t xml:space="preserve"> Insufficient crisis and transitional housing capacity and barriers to stable long-term housing solutions.</w:t>
      </w:r>
    </w:p>
    <w:p w14:paraId="3E4B05B3" w14:textId="77777777" w:rsidR="007142EA" w:rsidRPr="007142EA" w:rsidRDefault="007142EA" w:rsidP="007142EA">
      <w:pPr>
        <w:numPr>
          <w:ilvl w:val="0"/>
          <w:numId w:val="9"/>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Evictions and insecurity of tenure:</w:t>
      </w:r>
      <w:r w:rsidRPr="007142EA">
        <w:rPr>
          <w:rFonts w:ascii="Times New Roman" w:eastAsia="Times New Roman" w:hAnsi="Times New Roman" w:cs="Times New Roman"/>
          <w:kern w:val="0"/>
          <w14:ligatures w14:val="none"/>
        </w:rPr>
        <w:t xml:space="preserve"> Concerns around protections for renters and safeguards against forced evictions without adequate alternatives.</w:t>
      </w:r>
    </w:p>
    <w:p w14:paraId="5F267ADE"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Questions the Committee should ask Australia:</w:t>
      </w:r>
    </w:p>
    <w:p w14:paraId="6244847E" w14:textId="77777777" w:rsidR="007142EA" w:rsidRPr="007142EA" w:rsidRDefault="007142EA" w:rsidP="007142EA">
      <w:pPr>
        <w:numPr>
          <w:ilvl w:val="0"/>
          <w:numId w:val="10"/>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What is the national, rights-based housing strategy with measurable targets, timelines, and budgets to reduce homelessness and improve affordability?</w:t>
      </w:r>
    </w:p>
    <w:p w14:paraId="799BBA8C" w14:textId="77777777" w:rsidR="007142EA" w:rsidRPr="007142EA" w:rsidRDefault="007142EA" w:rsidP="007142EA">
      <w:pPr>
        <w:numPr>
          <w:ilvl w:val="0"/>
          <w:numId w:val="10"/>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How does Australia ensure habitability and minimum standards across rental markets, including enforcement mechanisms?</w:t>
      </w:r>
    </w:p>
    <w:p w14:paraId="665098D3" w14:textId="77777777" w:rsidR="007142EA" w:rsidRDefault="007142EA" w:rsidP="007142EA">
      <w:pPr>
        <w:numPr>
          <w:ilvl w:val="0"/>
          <w:numId w:val="10"/>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What safeguards exist to prevent forced evictions and ensure access to remedies and alternative accommodation?</w:t>
      </w:r>
    </w:p>
    <w:p w14:paraId="115DCE34" w14:textId="77777777" w:rsidR="007142EA" w:rsidRPr="007142EA" w:rsidRDefault="007142EA" w:rsidP="007142EA">
      <w:pPr>
        <w:numPr>
          <w:ilvl w:val="0"/>
          <w:numId w:val="10"/>
        </w:numPr>
        <w:bidi w:val="0"/>
        <w:spacing w:before="100" w:beforeAutospacing="1" w:after="100" w:afterAutospacing="1" w:line="240" w:lineRule="auto"/>
        <w:jc w:val="both"/>
        <w:rPr>
          <w:rFonts w:ascii="Times New Roman" w:eastAsia="Times New Roman" w:hAnsi="Times New Roman" w:cs="Times New Roman"/>
          <w:kern w:val="0"/>
          <w14:ligatures w14:val="none"/>
        </w:rPr>
      </w:pPr>
    </w:p>
    <w:p w14:paraId="3D03BC2E"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lastRenderedPageBreak/>
        <w:t>Recommendations:</w:t>
      </w:r>
    </w:p>
    <w:p w14:paraId="53570F45" w14:textId="77777777" w:rsidR="007142EA" w:rsidRPr="007142EA" w:rsidRDefault="007142EA" w:rsidP="007142EA">
      <w:pPr>
        <w:numPr>
          <w:ilvl w:val="0"/>
          <w:numId w:val="11"/>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Adopt a national rights-based housing strategy aligned with ICESCR standards, with measurable targets for affordability, homelessness reduction, and adequacy.</w:t>
      </w:r>
    </w:p>
    <w:p w14:paraId="4DF1ACBF" w14:textId="77777777" w:rsidR="007142EA" w:rsidRPr="007142EA" w:rsidRDefault="007142EA" w:rsidP="007142EA">
      <w:pPr>
        <w:numPr>
          <w:ilvl w:val="0"/>
          <w:numId w:val="11"/>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Expand social and affordable housing supply at scale, with priority for high-risk groups.</w:t>
      </w:r>
    </w:p>
    <w:p w14:paraId="4B7CFDB1" w14:textId="77777777" w:rsidR="007142EA" w:rsidRPr="007142EA" w:rsidRDefault="007142EA" w:rsidP="007142EA">
      <w:pPr>
        <w:numPr>
          <w:ilvl w:val="0"/>
          <w:numId w:val="11"/>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Strengthen legal protections for renters and ensure effective remedies, including access to legal aid for eviction-related disputes.</w:t>
      </w:r>
    </w:p>
    <w:p w14:paraId="151D5522" w14:textId="77777777" w:rsidR="007142EA" w:rsidRPr="007142EA" w:rsidRDefault="007142EA" w:rsidP="007142EA">
      <w:pPr>
        <w:numPr>
          <w:ilvl w:val="0"/>
          <w:numId w:val="11"/>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Integrate housing support with health, disability, and family violence services to address drivers of homelessness.</w:t>
      </w:r>
    </w:p>
    <w:p w14:paraId="2157A70F" w14:textId="68182757" w:rsidR="007142EA" w:rsidRPr="007142EA" w:rsidRDefault="007142EA" w:rsidP="007142EA">
      <w:pPr>
        <w:bidi w:val="0"/>
        <w:spacing w:after="0" w:line="240" w:lineRule="auto"/>
        <w:jc w:val="both"/>
        <w:rPr>
          <w:rFonts w:ascii="Times New Roman" w:eastAsia="Times New Roman" w:hAnsi="Times New Roman" w:cs="Times New Roman"/>
          <w:kern w:val="0"/>
          <w14:ligatures w14:val="none"/>
        </w:rPr>
      </w:pPr>
    </w:p>
    <w:p w14:paraId="3AB0BCA5" w14:textId="77777777" w:rsidR="007142EA" w:rsidRPr="007142EA" w:rsidRDefault="007142EA" w:rsidP="007142EA">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7142EA">
        <w:rPr>
          <w:rFonts w:ascii="Times New Roman" w:eastAsia="Times New Roman" w:hAnsi="Times New Roman" w:cs="Times New Roman"/>
          <w:b/>
          <w:bCs/>
          <w:kern w:val="0"/>
          <w:sz w:val="27"/>
          <w:szCs w:val="27"/>
          <w14:ligatures w14:val="none"/>
        </w:rPr>
        <w:t>4.4 Right to Health, Including Mental Health</w:t>
      </w:r>
    </w:p>
    <w:p w14:paraId="2941E9BF"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Relevant Covenant rights:</w:t>
      </w:r>
      <w:r w:rsidRPr="007142EA">
        <w:rPr>
          <w:rFonts w:ascii="Times New Roman" w:eastAsia="Times New Roman" w:hAnsi="Times New Roman" w:cs="Times New Roman"/>
          <w:kern w:val="0"/>
          <w14:ligatures w14:val="none"/>
        </w:rPr>
        <w:t xml:space="preserve"> Article 12</w:t>
      </w:r>
    </w:p>
    <w:p w14:paraId="60B11C20"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AIDL recognizes Australia’s health system strengths but notes persistent gaps in equitable access and outcomes, especially for remote communities, Indigenous peoples, low-income groups, and those facing social exclusion.</w:t>
      </w:r>
    </w:p>
    <w:p w14:paraId="0590EC5E"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Key concerns include:</w:t>
      </w:r>
    </w:p>
    <w:p w14:paraId="23C8857A" w14:textId="77777777" w:rsidR="007142EA" w:rsidRPr="007142EA" w:rsidRDefault="007142EA" w:rsidP="007142EA">
      <w:pPr>
        <w:numPr>
          <w:ilvl w:val="0"/>
          <w:numId w:val="12"/>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Access barriers:</w:t>
      </w:r>
      <w:r w:rsidRPr="007142EA">
        <w:rPr>
          <w:rFonts w:ascii="Times New Roman" w:eastAsia="Times New Roman" w:hAnsi="Times New Roman" w:cs="Times New Roman"/>
          <w:kern w:val="0"/>
          <w14:ligatures w14:val="none"/>
        </w:rPr>
        <w:t xml:space="preserve"> Geographic, financial, and administrative barriers to primary care and specialist services.</w:t>
      </w:r>
    </w:p>
    <w:p w14:paraId="5EB55D0E" w14:textId="77777777" w:rsidR="007142EA" w:rsidRPr="007142EA" w:rsidRDefault="007142EA" w:rsidP="007142EA">
      <w:pPr>
        <w:numPr>
          <w:ilvl w:val="0"/>
          <w:numId w:val="12"/>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Mental health:</w:t>
      </w:r>
      <w:r w:rsidRPr="007142EA">
        <w:rPr>
          <w:rFonts w:ascii="Times New Roman" w:eastAsia="Times New Roman" w:hAnsi="Times New Roman" w:cs="Times New Roman"/>
          <w:kern w:val="0"/>
          <w14:ligatures w14:val="none"/>
        </w:rPr>
        <w:t xml:space="preserve"> Service shortages, long waiting times, and insufficient community-based supports.</w:t>
      </w:r>
    </w:p>
    <w:p w14:paraId="6EBFC3B7" w14:textId="77777777" w:rsidR="007142EA" w:rsidRPr="007142EA" w:rsidRDefault="007142EA" w:rsidP="007142EA">
      <w:pPr>
        <w:numPr>
          <w:ilvl w:val="0"/>
          <w:numId w:val="12"/>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Culturally safe care:</w:t>
      </w:r>
      <w:r w:rsidRPr="007142EA">
        <w:rPr>
          <w:rFonts w:ascii="Times New Roman" w:eastAsia="Times New Roman" w:hAnsi="Times New Roman" w:cs="Times New Roman"/>
          <w:kern w:val="0"/>
          <w14:ligatures w14:val="none"/>
        </w:rPr>
        <w:t xml:space="preserve"> Disparities for Indigenous communities due to inadequate culturally safe provision.</w:t>
      </w:r>
    </w:p>
    <w:p w14:paraId="4DC43752" w14:textId="77777777" w:rsidR="007142EA" w:rsidRPr="007142EA" w:rsidRDefault="007142EA" w:rsidP="007142EA">
      <w:pPr>
        <w:numPr>
          <w:ilvl w:val="0"/>
          <w:numId w:val="12"/>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Determinants of health:</w:t>
      </w:r>
      <w:r w:rsidRPr="007142EA">
        <w:rPr>
          <w:rFonts w:ascii="Times New Roman" w:eastAsia="Times New Roman" w:hAnsi="Times New Roman" w:cs="Times New Roman"/>
          <w:kern w:val="0"/>
          <w14:ligatures w14:val="none"/>
        </w:rPr>
        <w:t xml:space="preserve"> Housing insecurity, poverty, and social exclusion exacerbate health harms.</w:t>
      </w:r>
    </w:p>
    <w:p w14:paraId="7B8B17BB"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Questions the Committee should ask Australia:</w:t>
      </w:r>
    </w:p>
    <w:p w14:paraId="221A640F" w14:textId="77777777" w:rsidR="007142EA" w:rsidRPr="007142EA" w:rsidRDefault="007142EA" w:rsidP="007142EA">
      <w:pPr>
        <w:numPr>
          <w:ilvl w:val="0"/>
          <w:numId w:val="13"/>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How is Australia addressing mental health service gaps, including community-based supports and crisis care?</w:t>
      </w:r>
    </w:p>
    <w:p w14:paraId="697D687E" w14:textId="77777777" w:rsidR="007142EA" w:rsidRPr="007142EA" w:rsidRDefault="007142EA" w:rsidP="007142EA">
      <w:pPr>
        <w:numPr>
          <w:ilvl w:val="0"/>
          <w:numId w:val="13"/>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What steps ensure equitable access to health services for remote communities, including transport and workforce strategies?</w:t>
      </w:r>
    </w:p>
    <w:p w14:paraId="0B1E89D6" w14:textId="77777777" w:rsidR="007142EA" w:rsidRPr="007142EA" w:rsidRDefault="007142EA" w:rsidP="007142EA">
      <w:pPr>
        <w:numPr>
          <w:ilvl w:val="0"/>
          <w:numId w:val="13"/>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How does Australia measure and reduce health inequities, including through culturally safe services?</w:t>
      </w:r>
    </w:p>
    <w:p w14:paraId="2D9A84F9"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Recommendations:</w:t>
      </w:r>
    </w:p>
    <w:p w14:paraId="1BEC2112" w14:textId="77777777" w:rsidR="007142EA" w:rsidRPr="007142EA" w:rsidRDefault="007142EA" w:rsidP="007142EA">
      <w:pPr>
        <w:numPr>
          <w:ilvl w:val="0"/>
          <w:numId w:val="14"/>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Expand accessible, affordable, community-based mental health services and early intervention programs.</w:t>
      </w:r>
    </w:p>
    <w:p w14:paraId="4CBD767F" w14:textId="77777777" w:rsidR="007142EA" w:rsidRPr="007142EA" w:rsidRDefault="007142EA" w:rsidP="007142EA">
      <w:pPr>
        <w:numPr>
          <w:ilvl w:val="0"/>
          <w:numId w:val="14"/>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Strengthen primary health care and workforce distribution to underserved regions.</w:t>
      </w:r>
    </w:p>
    <w:p w14:paraId="1B77C081" w14:textId="77777777" w:rsidR="007142EA" w:rsidRPr="007142EA" w:rsidRDefault="007142EA" w:rsidP="007142EA">
      <w:pPr>
        <w:numPr>
          <w:ilvl w:val="0"/>
          <w:numId w:val="14"/>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Ensure culturally safe and Indigenous-led health programs with adequate funding and outcome reporting.</w:t>
      </w:r>
    </w:p>
    <w:p w14:paraId="154A85CD" w14:textId="77777777" w:rsidR="007142EA" w:rsidRDefault="007142EA" w:rsidP="007142EA">
      <w:pPr>
        <w:bidi w:val="0"/>
        <w:spacing w:before="100" w:beforeAutospacing="1" w:after="100" w:afterAutospacing="1" w:line="240" w:lineRule="auto"/>
        <w:jc w:val="both"/>
        <w:outlineLvl w:val="2"/>
        <w:rPr>
          <w:rFonts w:ascii="Times New Roman" w:eastAsia="Times New Roman" w:hAnsi="Times New Roman" w:cs="Times New Roman"/>
          <w:kern w:val="0"/>
          <w14:ligatures w14:val="none"/>
        </w:rPr>
      </w:pPr>
    </w:p>
    <w:p w14:paraId="64E26D0C" w14:textId="77777777" w:rsidR="007142EA" w:rsidRDefault="007142EA" w:rsidP="007142EA">
      <w:pPr>
        <w:bidi w:val="0"/>
        <w:spacing w:before="100" w:beforeAutospacing="1" w:after="100" w:afterAutospacing="1" w:line="240" w:lineRule="auto"/>
        <w:jc w:val="both"/>
        <w:outlineLvl w:val="2"/>
        <w:rPr>
          <w:rFonts w:ascii="Times New Roman" w:eastAsia="Times New Roman" w:hAnsi="Times New Roman" w:cs="Times New Roman"/>
          <w:kern w:val="0"/>
          <w14:ligatures w14:val="none"/>
        </w:rPr>
      </w:pPr>
    </w:p>
    <w:p w14:paraId="7108BF65" w14:textId="66FBCC88" w:rsidR="007142EA" w:rsidRPr="007142EA" w:rsidRDefault="007142EA" w:rsidP="007142EA">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7142EA">
        <w:rPr>
          <w:rFonts w:ascii="Times New Roman" w:eastAsia="Times New Roman" w:hAnsi="Times New Roman" w:cs="Times New Roman"/>
          <w:b/>
          <w:bCs/>
          <w:kern w:val="0"/>
          <w:sz w:val="27"/>
          <w:szCs w:val="27"/>
          <w14:ligatures w14:val="none"/>
        </w:rPr>
        <w:lastRenderedPageBreak/>
        <w:t xml:space="preserve">4.5 </w:t>
      </w:r>
      <w:proofErr w:type="spellStart"/>
      <w:r w:rsidRPr="007142EA">
        <w:rPr>
          <w:rFonts w:ascii="Times New Roman" w:eastAsia="Times New Roman" w:hAnsi="Times New Roman" w:cs="Times New Roman"/>
          <w:b/>
          <w:bCs/>
          <w:kern w:val="0"/>
          <w:sz w:val="27"/>
          <w:szCs w:val="27"/>
          <w14:ligatures w14:val="none"/>
        </w:rPr>
        <w:t>Labour</w:t>
      </w:r>
      <w:proofErr w:type="spellEnd"/>
      <w:r w:rsidRPr="007142EA">
        <w:rPr>
          <w:rFonts w:ascii="Times New Roman" w:eastAsia="Times New Roman" w:hAnsi="Times New Roman" w:cs="Times New Roman"/>
          <w:b/>
          <w:bCs/>
          <w:kern w:val="0"/>
          <w:sz w:val="27"/>
          <w:szCs w:val="27"/>
          <w14:ligatures w14:val="none"/>
        </w:rPr>
        <w:t xml:space="preserve"> Rights, Decent Work, and Social Protection Adequacy</w:t>
      </w:r>
    </w:p>
    <w:p w14:paraId="77A37CE6"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Relevant Covenant rights:</w:t>
      </w:r>
      <w:r w:rsidRPr="007142EA">
        <w:rPr>
          <w:rFonts w:ascii="Times New Roman" w:eastAsia="Times New Roman" w:hAnsi="Times New Roman" w:cs="Times New Roman"/>
          <w:kern w:val="0"/>
          <w14:ligatures w14:val="none"/>
        </w:rPr>
        <w:t xml:space="preserve"> Articles 6, 7, 9</w:t>
      </w:r>
    </w:p>
    <w:p w14:paraId="55FB8375"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 xml:space="preserve">AIDL is concerned about inequalities linked to </w:t>
      </w:r>
      <w:proofErr w:type="spellStart"/>
      <w:r w:rsidRPr="007142EA">
        <w:rPr>
          <w:rFonts w:ascii="Times New Roman" w:eastAsia="Times New Roman" w:hAnsi="Times New Roman" w:cs="Times New Roman"/>
          <w:kern w:val="0"/>
          <w14:ligatures w14:val="none"/>
        </w:rPr>
        <w:t>labour</w:t>
      </w:r>
      <w:proofErr w:type="spellEnd"/>
      <w:r w:rsidRPr="007142EA">
        <w:rPr>
          <w:rFonts w:ascii="Times New Roman" w:eastAsia="Times New Roman" w:hAnsi="Times New Roman" w:cs="Times New Roman"/>
          <w:kern w:val="0"/>
          <w14:ligatures w14:val="none"/>
        </w:rPr>
        <w:t xml:space="preserve"> market </w:t>
      </w:r>
      <w:proofErr w:type="spellStart"/>
      <w:r w:rsidRPr="007142EA">
        <w:rPr>
          <w:rFonts w:ascii="Times New Roman" w:eastAsia="Times New Roman" w:hAnsi="Times New Roman" w:cs="Times New Roman"/>
          <w:kern w:val="0"/>
          <w14:ligatures w14:val="none"/>
        </w:rPr>
        <w:t>casualisation</w:t>
      </w:r>
      <w:proofErr w:type="spellEnd"/>
      <w:r w:rsidRPr="007142EA">
        <w:rPr>
          <w:rFonts w:ascii="Times New Roman" w:eastAsia="Times New Roman" w:hAnsi="Times New Roman" w:cs="Times New Roman"/>
          <w:kern w:val="0"/>
          <w14:ligatures w14:val="none"/>
        </w:rPr>
        <w:t>, insecure work, and the adequacy of social protection for individuals facing unemployment, disability, and other vulnerabilities.</w:t>
      </w:r>
    </w:p>
    <w:p w14:paraId="2CEEFBBE"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Key concerns include:</w:t>
      </w:r>
    </w:p>
    <w:p w14:paraId="673C7280" w14:textId="77777777" w:rsidR="007142EA" w:rsidRPr="007142EA" w:rsidRDefault="007142EA" w:rsidP="007142EA">
      <w:pPr>
        <w:numPr>
          <w:ilvl w:val="0"/>
          <w:numId w:val="15"/>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Precarious work and wage adequacy:</w:t>
      </w:r>
      <w:r w:rsidRPr="007142EA">
        <w:rPr>
          <w:rFonts w:ascii="Times New Roman" w:eastAsia="Times New Roman" w:hAnsi="Times New Roman" w:cs="Times New Roman"/>
          <w:kern w:val="0"/>
          <w14:ligatures w14:val="none"/>
        </w:rPr>
        <w:t xml:space="preserve"> Risk of insufficient income security and exposure to exploitation in certain sectors.</w:t>
      </w:r>
    </w:p>
    <w:p w14:paraId="15018779" w14:textId="77777777" w:rsidR="007142EA" w:rsidRPr="007142EA" w:rsidRDefault="007142EA" w:rsidP="007142EA">
      <w:pPr>
        <w:numPr>
          <w:ilvl w:val="0"/>
          <w:numId w:val="15"/>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Social protection adequacy:</w:t>
      </w:r>
      <w:r w:rsidRPr="007142EA">
        <w:rPr>
          <w:rFonts w:ascii="Times New Roman" w:eastAsia="Times New Roman" w:hAnsi="Times New Roman" w:cs="Times New Roman"/>
          <w:kern w:val="0"/>
          <w14:ligatures w14:val="none"/>
        </w:rPr>
        <w:t xml:space="preserve"> Benefits that may not guarantee an adequate standard of living for all recipients.</w:t>
      </w:r>
    </w:p>
    <w:p w14:paraId="76B6E0CE" w14:textId="77777777" w:rsidR="007142EA" w:rsidRPr="007142EA" w:rsidRDefault="007142EA" w:rsidP="007142EA">
      <w:pPr>
        <w:numPr>
          <w:ilvl w:val="0"/>
          <w:numId w:val="15"/>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Discrimination in employment:</w:t>
      </w:r>
      <w:r w:rsidRPr="007142EA">
        <w:rPr>
          <w:rFonts w:ascii="Times New Roman" w:eastAsia="Times New Roman" w:hAnsi="Times New Roman" w:cs="Times New Roman"/>
          <w:kern w:val="0"/>
          <w14:ligatures w14:val="none"/>
        </w:rPr>
        <w:t xml:space="preserve"> Barriers affecting women, migrants, Indigenous peoples, persons with disabilities, and young people.</w:t>
      </w:r>
    </w:p>
    <w:p w14:paraId="60DB3359" w14:textId="77777777" w:rsidR="007142EA" w:rsidRPr="007142EA" w:rsidRDefault="007142EA" w:rsidP="007142EA">
      <w:pPr>
        <w:numPr>
          <w:ilvl w:val="0"/>
          <w:numId w:val="15"/>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Access to remedies:</w:t>
      </w:r>
      <w:r w:rsidRPr="007142EA">
        <w:rPr>
          <w:rFonts w:ascii="Times New Roman" w:eastAsia="Times New Roman" w:hAnsi="Times New Roman" w:cs="Times New Roman"/>
          <w:kern w:val="0"/>
          <w14:ligatures w14:val="none"/>
        </w:rPr>
        <w:t xml:space="preserve"> Practical barriers for vulnerable workers to access complaint mechanisms and protections.</w:t>
      </w:r>
    </w:p>
    <w:p w14:paraId="544DC88E"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Questions the Committee should ask Australia:</w:t>
      </w:r>
    </w:p>
    <w:p w14:paraId="4713C6A7" w14:textId="77777777" w:rsidR="007142EA" w:rsidRPr="007142EA" w:rsidRDefault="007142EA" w:rsidP="007142EA">
      <w:pPr>
        <w:numPr>
          <w:ilvl w:val="0"/>
          <w:numId w:val="16"/>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How does Australia ensure decent work conditions and protections for casual and gig-economy workers?</w:t>
      </w:r>
    </w:p>
    <w:p w14:paraId="5CB8D10E" w14:textId="77777777" w:rsidR="007142EA" w:rsidRPr="007142EA" w:rsidRDefault="007142EA" w:rsidP="007142EA">
      <w:pPr>
        <w:numPr>
          <w:ilvl w:val="0"/>
          <w:numId w:val="16"/>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What is the benchmark for social security adequacy to meet minimum core obligations and prevent poverty?</w:t>
      </w:r>
    </w:p>
    <w:p w14:paraId="3938DE81" w14:textId="77777777" w:rsidR="007142EA" w:rsidRPr="007142EA" w:rsidRDefault="007142EA" w:rsidP="007142EA">
      <w:pPr>
        <w:numPr>
          <w:ilvl w:val="0"/>
          <w:numId w:val="16"/>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What measures address systemic employment discrimination and ensure effective remedies?</w:t>
      </w:r>
    </w:p>
    <w:p w14:paraId="55BCBB3A"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Recommendations:</w:t>
      </w:r>
    </w:p>
    <w:p w14:paraId="44677B09" w14:textId="77777777" w:rsidR="007142EA" w:rsidRPr="007142EA" w:rsidRDefault="007142EA" w:rsidP="007142EA">
      <w:pPr>
        <w:numPr>
          <w:ilvl w:val="0"/>
          <w:numId w:val="17"/>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Strengthen protections for precarious workers, including enforceable standards for pay, hours, and safety.</w:t>
      </w:r>
    </w:p>
    <w:p w14:paraId="50E7CF60" w14:textId="77777777" w:rsidR="007142EA" w:rsidRPr="007142EA" w:rsidRDefault="007142EA" w:rsidP="007142EA">
      <w:pPr>
        <w:numPr>
          <w:ilvl w:val="0"/>
          <w:numId w:val="17"/>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Ensure social security levels meet adequacy standards to prevent poverty and homelessness.</w:t>
      </w:r>
    </w:p>
    <w:p w14:paraId="680B7E2C" w14:textId="77777777" w:rsidR="007142EA" w:rsidRPr="007142EA" w:rsidRDefault="007142EA" w:rsidP="007142EA">
      <w:pPr>
        <w:numPr>
          <w:ilvl w:val="0"/>
          <w:numId w:val="17"/>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Expand access to legal support and remedies for vulnerable workers, including migrant and low-income workers.</w:t>
      </w:r>
    </w:p>
    <w:p w14:paraId="1BF45832" w14:textId="768E1F57" w:rsidR="007142EA" w:rsidRPr="007142EA" w:rsidRDefault="007142EA" w:rsidP="007142EA">
      <w:pPr>
        <w:bidi w:val="0"/>
        <w:spacing w:after="0" w:line="240" w:lineRule="auto"/>
        <w:jc w:val="both"/>
        <w:rPr>
          <w:rFonts w:ascii="Times New Roman" w:eastAsia="Times New Roman" w:hAnsi="Times New Roman" w:cs="Times New Roman"/>
          <w:kern w:val="0"/>
          <w14:ligatures w14:val="none"/>
        </w:rPr>
      </w:pPr>
    </w:p>
    <w:p w14:paraId="07E83376" w14:textId="77777777" w:rsidR="007142EA" w:rsidRPr="007142EA" w:rsidRDefault="007142EA" w:rsidP="007142EA">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7142EA">
        <w:rPr>
          <w:rFonts w:ascii="Times New Roman" w:eastAsia="Times New Roman" w:hAnsi="Times New Roman" w:cs="Times New Roman"/>
          <w:b/>
          <w:bCs/>
          <w:kern w:val="0"/>
          <w:sz w:val="27"/>
          <w:szCs w:val="27"/>
          <w14:ligatures w14:val="none"/>
        </w:rPr>
        <w:t>4.6 Climate Justice and Protection of Covenant Rights</w:t>
      </w:r>
    </w:p>
    <w:p w14:paraId="720AD94E"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Relevant Covenant rights:</w:t>
      </w:r>
      <w:r w:rsidRPr="007142EA">
        <w:rPr>
          <w:rFonts w:ascii="Times New Roman" w:eastAsia="Times New Roman" w:hAnsi="Times New Roman" w:cs="Times New Roman"/>
          <w:kern w:val="0"/>
          <w14:ligatures w14:val="none"/>
        </w:rPr>
        <w:t xml:space="preserve"> Articles 11, 12, and cross-cutting equality principles</w:t>
      </w:r>
    </w:p>
    <w:p w14:paraId="253F8251"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AIDL is concerned about climate-related harms affecting housing, health, water, food security, and livelihoods, particularly for communities already facing disadvantage. The Committee is encouraged to examine how Australia integrates human rights obligations into climate mitigation and adaptation policies.</w:t>
      </w:r>
    </w:p>
    <w:p w14:paraId="1077365E"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Key concerns include:</w:t>
      </w:r>
    </w:p>
    <w:p w14:paraId="486D7EED" w14:textId="77777777" w:rsidR="007142EA" w:rsidRPr="007142EA" w:rsidRDefault="007142EA" w:rsidP="007142EA">
      <w:pPr>
        <w:numPr>
          <w:ilvl w:val="0"/>
          <w:numId w:val="18"/>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Disproportionate impacts:</w:t>
      </w:r>
      <w:r w:rsidRPr="007142EA">
        <w:rPr>
          <w:rFonts w:ascii="Times New Roman" w:eastAsia="Times New Roman" w:hAnsi="Times New Roman" w:cs="Times New Roman"/>
          <w:kern w:val="0"/>
          <w14:ligatures w14:val="none"/>
        </w:rPr>
        <w:t xml:space="preserve"> Risks to Indigenous communities, remote areas, and low-income households.</w:t>
      </w:r>
    </w:p>
    <w:p w14:paraId="2BAB2E94" w14:textId="77777777" w:rsidR="007142EA" w:rsidRPr="007142EA" w:rsidRDefault="007142EA" w:rsidP="007142EA">
      <w:pPr>
        <w:numPr>
          <w:ilvl w:val="0"/>
          <w:numId w:val="18"/>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lastRenderedPageBreak/>
        <w:t>Preparedness and resilience:</w:t>
      </w:r>
      <w:r w:rsidRPr="007142EA">
        <w:rPr>
          <w:rFonts w:ascii="Times New Roman" w:eastAsia="Times New Roman" w:hAnsi="Times New Roman" w:cs="Times New Roman"/>
          <w:kern w:val="0"/>
          <w14:ligatures w14:val="none"/>
        </w:rPr>
        <w:t xml:space="preserve"> Adequacy of adaptation strategies to protect health, housing, and essential services.</w:t>
      </w:r>
    </w:p>
    <w:p w14:paraId="6126AD7E" w14:textId="77777777" w:rsidR="007142EA" w:rsidRPr="007142EA" w:rsidRDefault="007142EA" w:rsidP="007142EA">
      <w:pPr>
        <w:numPr>
          <w:ilvl w:val="0"/>
          <w:numId w:val="18"/>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Just transition:</w:t>
      </w:r>
      <w:r w:rsidRPr="007142EA">
        <w:rPr>
          <w:rFonts w:ascii="Times New Roman" w:eastAsia="Times New Roman" w:hAnsi="Times New Roman" w:cs="Times New Roman"/>
          <w:kern w:val="0"/>
          <w14:ligatures w14:val="none"/>
        </w:rPr>
        <w:t xml:space="preserve"> Ensuring that climate policy does not exacerbate inequality and that workers and communities are supported.</w:t>
      </w:r>
    </w:p>
    <w:p w14:paraId="23DAB0CA"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Questions the Committee should ask Australia:</w:t>
      </w:r>
    </w:p>
    <w:p w14:paraId="17BCEC15" w14:textId="77777777" w:rsidR="007142EA" w:rsidRPr="007142EA" w:rsidRDefault="007142EA" w:rsidP="007142EA">
      <w:pPr>
        <w:numPr>
          <w:ilvl w:val="0"/>
          <w:numId w:val="19"/>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How does Australia ensure human-rights-based climate adaptation measures that protect the most affected communities?</w:t>
      </w:r>
    </w:p>
    <w:p w14:paraId="45B9AC08" w14:textId="77777777" w:rsidR="007142EA" w:rsidRPr="007142EA" w:rsidRDefault="007142EA" w:rsidP="007142EA">
      <w:pPr>
        <w:numPr>
          <w:ilvl w:val="0"/>
          <w:numId w:val="19"/>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What mechanisms exist to ensure a just transition for workers and communities affected by climate-related economic shifts?</w:t>
      </w:r>
    </w:p>
    <w:p w14:paraId="7F0996E7" w14:textId="77777777" w:rsidR="007142EA" w:rsidRPr="007142EA" w:rsidRDefault="007142EA" w:rsidP="007142EA">
      <w:pPr>
        <w:numPr>
          <w:ilvl w:val="0"/>
          <w:numId w:val="19"/>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How are climate-related health risks monitored and addressed, including mental health impacts of disasters?</w:t>
      </w:r>
    </w:p>
    <w:p w14:paraId="2DEF209E"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Recommendations:</w:t>
      </w:r>
    </w:p>
    <w:p w14:paraId="49C31B40" w14:textId="77777777" w:rsidR="007142EA" w:rsidRPr="007142EA" w:rsidRDefault="007142EA" w:rsidP="007142EA">
      <w:pPr>
        <w:numPr>
          <w:ilvl w:val="0"/>
          <w:numId w:val="20"/>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Integrate climate justice into national frameworks, ensuring targeted protection for high-risk communities.</w:t>
      </w:r>
    </w:p>
    <w:p w14:paraId="5CF93586" w14:textId="77777777" w:rsidR="007142EA" w:rsidRPr="007142EA" w:rsidRDefault="007142EA" w:rsidP="007142EA">
      <w:pPr>
        <w:numPr>
          <w:ilvl w:val="0"/>
          <w:numId w:val="20"/>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Implement a just transition approach with social protection and skills support for affected workers.</w:t>
      </w:r>
    </w:p>
    <w:p w14:paraId="5F873643" w14:textId="77777777" w:rsidR="007142EA" w:rsidRPr="007142EA" w:rsidRDefault="007142EA" w:rsidP="007142EA">
      <w:pPr>
        <w:numPr>
          <w:ilvl w:val="0"/>
          <w:numId w:val="20"/>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Strengthen disaster preparedness and health system resilience to climate-related events.</w:t>
      </w:r>
    </w:p>
    <w:p w14:paraId="61398759" w14:textId="4555313C" w:rsidR="007142EA" w:rsidRPr="007142EA" w:rsidRDefault="007142EA" w:rsidP="007142EA">
      <w:pPr>
        <w:bidi w:val="0"/>
        <w:spacing w:after="0" w:line="240" w:lineRule="auto"/>
        <w:jc w:val="both"/>
        <w:rPr>
          <w:rFonts w:ascii="Times New Roman" w:eastAsia="Times New Roman" w:hAnsi="Times New Roman" w:cs="Times New Roman"/>
          <w:kern w:val="0"/>
          <w14:ligatures w14:val="none"/>
        </w:rPr>
      </w:pPr>
    </w:p>
    <w:p w14:paraId="770A4775" w14:textId="77777777" w:rsidR="007142EA" w:rsidRPr="007142EA" w:rsidRDefault="007142EA" w:rsidP="007142EA">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7142EA">
        <w:rPr>
          <w:rFonts w:ascii="Times New Roman" w:eastAsia="Times New Roman" w:hAnsi="Times New Roman" w:cs="Times New Roman"/>
          <w:b/>
          <w:bCs/>
          <w:kern w:val="0"/>
          <w:sz w:val="36"/>
          <w:szCs w:val="36"/>
          <w14:ligatures w14:val="none"/>
        </w:rPr>
        <w:t>5. Cross-Cutting Issues: Equality, Non-Discrimination, and Effective Remedies</w:t>
      </w:r>
    </w:p>
    <w:p w14:paraId="60644372"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Relevant Covenant rights:</w:t>
      </w:r>
      <w:r w:rsidRPr="007142EA">
        <w:rPr>
          <w:rFonts w:ascii="Times New Roman" w:eastAsia="Times New Roman" w:hAnsi="Times New Roman" w:cs="Times New Roman"/>
          <w:kern w:val="0"/>
          <w14:ligatures w14:val="none"/>
        </w:rPr>
        <w:t xml:space="preserve"> Article 2(2)</w:t>
      </w:r>
    </w:p>
    <w:p w14:paraId="017C54A5"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AIDL emphasizes that non-discrimination is an immediate obligation under the Covenant. The Committee should assess whether legal protections and administrative practices ensure equal access to housing, health, education, social protection, and employment, and whether individuals have effective remedies when rights are violated.</w:t>
      </w:r>
    </w:p>
    <w:p w14:paraId="19C7E475"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Recommendations:</w:t>
      </w:r>
    </w:p>
    <w:p w14:paraId="24941DEB" w14:textId="77777777" w:rsidR="007142EA" w:rsidRPr="007142EA" w:rsidRDefault="007142EA" w:rsidP="007142EA">
      <w:pPr>
        <w:numPr>
          <w:ilvl w:val="0"/>
          <w:numId w:val="21"/>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Strengthen enforceability and remedies for Covenant rights, including access to legal aid and complaint mechanisms.</w:t>
      </w:r>
    </w:p>
    <w:p w14:paraId="614C954D" w14:textId="77777777" w:rsidR="007142EA" w:rsidRPr="007142EA" w:rsidRDefault="007142EA" w:rsidP="007142EA">
      <w:pPr>
        <w:numPr>
          <w:ilvl w:val="0"/>
          <w:numId w:val="21"/>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Improve disaggregated data collection to monitor disparities, with transparent public reporting.</w:t>
      </w:r>
    </w:p>
    <w:p w14:paraId="520893C2" w14:textId="77777777" w:rsidR="007142EA" w:rsidRPr="007142EA" w:rsidRDefault="007142EA" w:rsidP="007142EA">
      <w:pPr>
        <w:numPr>
          <w:ilvl w:val="0"/>
          <w:numId w:val="21"/>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Ensure that policy design includes meaningful participation from affected groups.</w:t>
      </w:r>
    </w:p>
    <w:p w14:paraId="2E196779" w14:textId="704EAE13" w:rsidR="007142EA" w:rsidRPr="007142EA" w:rsidRDefault="007142EA" w:rsidP="007142EA">
      <w:pPr>
        <w:bidi w:val="0"/>
        <w:spacing w:after="0" w:line="240" w:lineRule="auto"/>
        <w:jc w:val="both"/>
        <w:rPr>
          <w:rFonts w:ascii="Times New Roman" w:eastAsia="Times New Roman" w:hAnsi="Times New Roman" w:cs="Times New Roman"/>
          <w:kern w:val="0"/>
          <w14:ligatures w14:val="none"/>
        </w:rPr>
      </w:pPr>
    </w:p>
    <w:p w14:paraId="1FA35950" w14:textId="77777777" w:rsidR="007142EA" w:rsidRPr="007142EA" w:rsidRDefault="007142EA" w:rsidP="007142EA">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7142EA">
        <w:rPr>
          <w:rFonts w:ascii="Times New Roman" w:eastAsia="Times New Roman" w:hAnsi="Times New Roman" w:cs="Times New Roman"/>
          <w:b/>
          <w:bCs/>
          <w:kern w:val="0"/>
          <w:sz w:val="36"/>
          <w:szCs w:val="36"/>
          <w14:ligatures w14:val="none"/>
        </w:rPr>
        <w:t>6. Concluding Recommendations to CESCR</w:t>
      </w:r>
    </w:p>
    <w:p w14:paraId="58A6090F" w14:textId="77777777" w:rsidR="007142EA" w:rsidRPr="007142EA" w:rsidRDefault="007142EA" w:rsidP="007142EA">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AIDL respectfully requests that CESCR recommend Australia to:</w:t>
      </w:r>
    </w:p>
    <w:p w14:paraId="74B66AB9" w14:textId="77777777" w:rsidR="007142EA" w:rsidRPr="007142EA" w:rsidRDefault="007142EA" w:rsidP="007142EA">
      <w:pPr>
        <w:numPr>
          <w:ilvl w:val="0"/>
          <w:numId w:val="22"/>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Adopt a robust rights-based implementation framework</w:t>
      </w:r>
      <w:r w:rsidRPr="007142EA">
        <w:rPr>
          <w:rFonts w:ascii="Times New Roman" w:eastAsia="Times New Roman" w:hAnsi="Times New Roman" w:cs="Times New Roman"/>
          <w:kern w:val="0"/>
          <w14:ligatures w14:val="none"/>
        </w:rPr>
        <w:t xml:space="preserve"> for ICESCR, including measurable targets, transparency, and independent accountability.</w:t>
      </w:r>
    </w:p>
    <w:p w14:paraId="15293917" w14:textId="77777777" w:rsidR="007142EA" w:rsidRPr="007142EA" w:rsidRDefault="007142EA" w:rsidP="007142EA">
      <w:pPr>
        <w:numPr>
          <w:ilvl w:val="0"/>
          <w:numId w:val="22"/>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lastRenderedPageBreak/>
        <w:t>Strengthen Indigenous self-determination</w:t>
      </w:r>
      <w:r w:rsidRPr="007142EA">
        <w:rPr>
          <w:rFonts w:ascii="Times New Roman" w:eastAsia="Times New Roman" w:hAnsi="Times New Roman" w:cs="Times New Roman"/>
          <w:kern w:val="0"/>
          <w14:ligatures w14:val="none"/>
        </w:rPr>
        <w:t xml:space="preserve"> in policy design and implementation affecting land, health, housing, education, and family support, with adequate funding and public reporting.</w:t>
      </w:r>
    </w:p>
    <w:p w14:paraId="697FE0D3" w14:textId="77777777" w:rsidR="007142EA" w:rsidRPr="007142EA" w:rsidRDefault="007142EA" w:rsidP="007142EA">
      <w:pPr>
        <w:numPr>
          <w:ilvl w:val="0"/>
          <w:numId w:val="22"/>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Ensure humane, rights-compliant asylum and migration practices</w:t>
      </w:r>
      <w:r w:rsidRPr="007142EA">
        <w:rPr>
          <w:rFonts w:ascii="Times New Roman" w:eastAsia="Times New Roman" w:hAnsi="Times New Roman" w:cs="Times New Roman"/>
          <w:kern w:val="0"/>
          <w14:ligatures w14:val="none"/>
        </w:rPr>
        <w:t>, including safeguards against prolonged detention and equitable access to health, housing, and social support.</w:t>
      </w:r>
    </w:p>
    <w:p w14:paraId="69E0E4B4" w14:textId="77777777" w:rsidR="007142EA" w:rsidRPr="007142EA" w:rsidRDefault="007142EA" w:rsidP="007142EA">
      <w:pPr>
        <w:numPr>
          <w:ilvl w:val="0"/>
          <w:numId w:val="22"/>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Implement a national housing strategy</w:t>
      </w:r>
      <w:r w:rsidRPr="007142EA">
        <w:rPr>
          <w:rFonts w:ascii="Times New Roman" w:eastAsia="Times New Roman" w:hAnsi="Times New Roman" w:cs="Times New Roman"/>
          <w:kern w:val="0"/>
          <w14:ligatures w14:val="none"/>
        </w:rPr>
        <w:t xml:space="preserve"> consistent with ICESCR standards, with measurable targets for affordability, homelessness reduction, and habitability.</w:t>
      </w:r>
    </w:p>
    <w:p w14:paraId="73B2B65D" w14:textId="77777777" w:rsidR="007142EA" w:rsidRPr="007142EA" w:rsidRDefault="007142EA" w:rsidP="007142EA">
      <w:pPr>
        <w:numPr>
          <w:ilvl w:val="0"/>
          <w:numId w:val="22"/>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Close health and mental health gaps</w:t>
      </w:r>
      <w:r w:rsidRPr="007142EA">
        <w:rPr>
          <w:rFonts w:ascii="Times New Roman" w:eastAsia="Times New Roman" w:hAnsi="Times New Roman" w:cs="Times New Roman"/>
          <w:kern w:val="0"/>
          <w14:ligatures w14:val="none"/>
        </w:rPr>
        <w:t xml:space="preserve"> through accessible, culturally safe services and strengthened primary care in underserved areas.</w:t>
      </w:r>
    </w:p>
    <w:p w14:paraId="2A0AF9FC" w14:textId="77777777" w:rsidR="007142EA" w:rsidRPr="007142EA" w:rsidRDefault="007142EA" w:rsidP="007142EA">
      <w:pPr>
        <w:numPr>
          <w:ilvl w:val="0"/>
          <w:numId w:val="22"/>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Protect decent work and ensure social security adequacy</w:t>
      </w:r>
      <w:r w:rsidRPr="007142EA">
        <w:rPr>
          <w:rFonts w:ascii="Times New Roman" w:eastAsia="Times New Roman" w:hAnsi="Times New Roman" w:cs="Times New Roman"/>
          <w:kern w:val="0"/>
          <w14:ligatures w14:val="none"/>
        </w:rPr>
        <w:t>, especially for precarious workers and high-risk groups.</w:t>
      </w:r>
    </w:p>
    <w:p w14:paraId="0224F71E" w14:textId="77777777" w:rsidR="007142EA" w:rsidRPr="007142EA" w:rsidRDefault="007142EA" w:rsidP="007142EA">
      <w:pPr>
        <w:numPr>
          <w:ilvl w:val="0"/>
          <w:numId w:val="22"/>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b/>
          <w:bCs/>
          <w:kern w:val="0"/>
          <w14:ligatures w14:val="none"/>
        </w:rPr>
        <w:t>Mainstream climate justice</w:t>
      </w:r>
      <w:r w:rsidRPr="007142EA">
        <w:rPr>
          <w:rFonts w:ascii="Times New Roman" w:eastAsia="Times New Roman" w:hAnsi="Times New Roman" w:cs="Times New Roman"/>
          <w:kern w:val="0"/>
          <w14:ligatures w14:val="none"/>
        </w:rPr>
        <w:t xml:space="preserve"> across mitigation and adaptation policies, ensuring disproportionate impacts are addressed and a just transition is guaranteed.</w:t>
      </w:r>
    </w:p>
    <w:p w14:paraId="5F28E0B6" w14:textId="15790298" w:rsidR="007142EA" w:rsidRPr="007142EA" w:rsidRDefault="007142EA" w:rsidP="007142EA">
      <w:pPr>
        <w:bidi w:val="0"/>
        <w:spacing w:after="0" w:line="240" w:lineRule="auto"/>
        <w:jc w:val="both"/>
        <w:rPr>
          <w:rFonts w:ascii="Times New Roman" w:eastAsia="Times New Roman" w:hAnsi="Times New Roman" w:cs="Times New Roman"/>
          <w:kern w:val="0"/>
          <w14:ligatures w14:val="none"/>
        </w:rPr>
      </w:pPr>
    </w:p>
    <w:p w14:paraId="3E418368" w14:textId="77777777" w:rsidR="007142EA" w:rsidRPr="007142EA" w:rsidRDefault="007142EA" w:rsidP="007142EA">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7142EA">
        <w:rPr>
          <w:rFonts w:ascii="Times New Roman" w:eastAsia="Times New Roman" w:hAnsi="Times New Roman" w:cs="Times New Roman"/>
          <w:b/>
          <w:bCs/>
          <w:kern w:val="0"/>
          <w:sz w:val="36"/>
          <w:szCs w:val="36"/>
          <w14:ligatures w14:val="none"/>
        </w:rPr>
        <w:t>Annex A – Suggested “List of Issues” Questions (Optional Attachment)</w:t>
      </w:r>
    </w:p>
    <w:p w14:paraId="725AFCBA" w14:textId="77777777" w:rsidR="007142EA" w:rsidRPr="007142EA" w:rsidRDefault="007142EA" w:rsidP="007142EA">
      <w:pPr>
        <w:numPr>
          <w:ilvl w:val="0"/>
          <w:numId w:val="23"/>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Provide updated, disaggregated data on homelessness, housing stress, and social housing availability, and specify the budget and targets to reduce homelessness over the next 3–5 years.</w:t>
      </w:r>
    </w:p>
    <w:p w14:paraId="279E6482" w14:textId="77777777" w:rsidR="007142EA" w:rsidRPr="007142EA" w:rsidRDefault="007142EA" w:rsidP="007142EA">
      <w:pPr>
        <w:numPr>
          <w:ilvl w:val="0"/>
          <w:numId w:val="23"/>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Describe measures to eliminate overcrowding and substandard housing conditions in Indigenous communities, with timelines and accountability mechanisms.</w:t>
      </w:r>
    </w:p>
    <w:p w14:paraId="0282894D" w14:textId="77777777" w:rsidR="007142EA" w:rsidRPr="007142EA" w:rsidRDefault="007142EA" w:rsidP="007142EA">
      <w:pPr>
        <w:numPr>
          <w:ilvl w:val="0"/>
          <w:numId w:val="23"/>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Provide data and measures on access to primary health care and mental health services in remote communities, including workforce distribution and wait times.</w:t>
      </w:r>
    </w:p>
    <w:p w14:paraId="64D9F9AE" w14:textId="77777777" w:rsidR="007142EA" w:rsidRPr="007142EA" w:rsidRDefault="007142EA" w:rsidP="007142EA">
      <w:pPr>
        <w:numPr>
          <w:ilvl w:val="0"/>
          <w:numId w:val="23"/>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Detail safeguards and independent oversight mechanisms governing immigration detention, including maximum time limits and access to judicial review.</w:t>
      </w:r>
    </w:p>
    <w:p w14:paraId="194C7696" w14:textId="77777777" w:rsidR="007142EA" w:rsidRPr="007142EA" w:rsidRDefault="007142EA" w:rsidP="007142EA">
      <w:pPr>
        <w:numPr>
          <w:ilvl w:val="0"/>
          <w:numId w:val="23"/>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Provide evidence that social security benefits meet adequacy standards to ensure an adequate standard of living and prevent poverty.</w:t>
      </w:r>
    </w:p>
    <w:p w14:paraId="256E11F7" w14:textId="77777777" w:rsidR="007142EA" w:rsidRPr="007142EA" w:rsidRDefault="007142EA" w:rsidP="007142EA">
      <w:pPr>
        <w:numPr>
          <w:ilvl w:val="0"/>
          <w:numId w:val="23"/>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Explain how climate adaptation policy protects Covenant rights, including in high-risk communities, and how the “just transition” is operationalized.</w:t>
      </w:r>
    </w:p>
    <w:p w14:paraId="0AB3F06C" w14:textId="5E654614" w:rsidR="007142EA" w:rsidRPr="007142EA" w:rsidRDefault="007142EA" w:rsidP="007142EA">
      <w:pPr>
        <w:bidi w:val="0"/>
        <w:spacing w:after="0" w:line="240" w:lineRule="auto"/>
        <w:jc w:val="both"/>
        <w:rPr>
          <w:rFonts w:ascii="Times New Roman" w:eastAsia="Times New Roman" w:hAnsi="Times New Roman" w:cs="Times New Roman"/>
          <w:kern w:val="0"/>
          <w14:ligatures w14:val="none"/>
        </w:rPr>
      </w:pPr>
    </w:p>
    <w:p w14:paraId="341B21D9" w14:textId="77777777" w:rsidR="007142EA" w:rsidRPr="007142EA" w:rsidRDefault="007142EA" w:rsidP="007142EA">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lang w:val="fr-FR"/>
          <w14:ligatures w14:val="none"/>
        </w:rPr>
      </w:pPr>
      <w:r w:rsidRPr="007142EA">
        <w:rPr>
          <w:rFonts w:ascii="Times New Roman" w:eastAsia="Times New Roman" w:hAnsi="Times New Roman" w:cs="Times New Roman"/>
          <w:b/>
          <w:bCs/>
          <w:kern w:val="0"/>
          <w:sz w:val="36"/>
          <w:szCs w:val="36"/>
          <w:lang w:val="fr-FR"/>
          <w14:ligatures w14:val="none"/>
        </w:rPr>
        <w:t>Signature</w:t>
      </w:r>
    </w:p>
    <w:p w14:paraId="0FEE47AB" w14:textId="01810238" w:rsidR="007142EA" w:rsidRPr="007142EA" w:rsidRDefault="007142EA" w:rsidP="007142EA">
      <w:pPr>
        <w:bidi w:val="0"/>
        <w:spacing w:before="100" w:beforeAutospacing="1" w:after="100" w:afterAutospacing="1" w:line="240" w:lineRule="auto"/>
        <w:rPr>
          <w:rFonts w:ascii="Times New Roman" w:eastAsia="Times New Roman" w:hAnsi="Times New Roman" w:cs="Times New Roman"/>
          <w:kern w:val="0"/>
          <w:lang w:val="fr-FR"/>
          <w14:ligatures w14:val="none"/>
        </w:rPr>
      </w:pPr>
      <w:r w:rsidRPr="007142EA">
        <w:rPr>
          <w:rFonts w:ascii="Times New Roman" w:eastAsia="Times New Roman" w:hAnsi="Times New Roman" w:cs="Times New Roman"/>
          <w:kern w:val="0"/>
          <w:lang w:val="fr-FR"/>
          <w14:ligatures w14:val="none"/>
        </w:rPr>
        <w:t xml:space="preserve">For and on </w:t>
      </w:r>
      <w:proofErr w:type="spellStart"/>
      <w:r w:rsidRPr="007142EA">
        <w:rPr>
          <w:rFonts w:ascii="Times New Roman" w:eastAsia="Times New Roman" w:hAnsi="Times New Roman" w:cs="Times New Roman"/>
          <w:kern w:val="0"/>
          <w:lang w:val="fr-FR"/>
          <w14:ligatures w14:val="none"/>
        </w:rPr>
        <w:t>behalf</w:t>
      </w:r>
      <w:proofErr w:type="spellEnd"/>
      <w:r w:rsidRPr="007142EA">
        <w:rPr>
          <w:rFonts w:ascii="Times New Roman" w:eastAsia="Times New Roman" w:hAnsi="Times New Roman" w:cs="Times New Roman"/>
          <w:kern w:val="0"/>
          <w:lang w:val="fr-FR"/>
          <w14:ligatures w14:val="none"/>
        </w:rPr>
        <w:t xml:space="preserve"> </w:t>
      </w:r>
      <w:proofErr w:type="gramStart"/>
      <w:r w:rsidRPr="007142EA">
        <w:rPr>
          <w:rFonts w:ascii="Times New Roman" w:eastAsia="Times New Roman" w:hAnsi="Times New Roman" w:cs="Times New Roman"/>
          <w:kern w:val="0"/>
          <w:lang w:val="fr-FR"/>
          <w14:ligatures w14:val="none"/>
        </w:rPr>
        <w:t>of:</w:t>
      </w:r>
      <w:proofErr w:type="gramEnd"/>
      <w:r w:rsidRPr="007142EA">
        <w:rPr>
          <w:rFonts w:ascii="Times New Roman" w:eastAsia="Times New Roman" w:hAnsi="Times New Roman" w:cs="Times New Roman"/>
          <w:kern w:val="0"/>
          <w:lang w:val="fr-FR"/>
          <w14:ligatures w14:val="none"/>
        </w:rPr>
        <w:br/>
      </w:r>
      <w:r w:rsidRPr="007142EA">
        <w:rPr>
          <w:rFonts w:ascii="Open Sans" w:hAnsi="Open Sans" w:cs="Open Sans"/>
          <w:b/>
          <w:bCs/>
          <w:sz w:val="23"/>
          <w:szCs w:val="23"/>
          <w:shd w:val="clear" w:color="auto" w:fill="F9FAFD"/>
          <w:lang w:val="fr-FR"/>
        </w:rPr>
        <w:t>Alliance internationale pour la défense des droits et des libertés</w:t>
      </w:r>
      <w:r w:rsidRPr="007142EA">
        <w:rPr>
          <w:rFonts w:ascii="Times New Roman" w:eastAsia="Times New Roman" w:hAnsi="Times New Roman" w:cs="Times New Roman"/>
          <w:kern w:val="0"/>
          <w:lang w:val="fr-FR"/>
          <w14:ligatures w14:val="none"/>
        </w:rPr>
        <w:br/>
      </w:r>
      <w:r w:rsidRPr="007142EA">
        <w:rPr>
          <w:rFonts w:ascii="Times New Roman" w:eastAsia="Times New Roman" w:hAnsi="Times New Roman" w:cs="Times New Roman"/>
          <w:b/>
          <w:bCs/>
          <w:kern w:val="0"/>
          <w:lang w:val="fr-FR"/>
          <w14:ligatures w14:val="none"/>
        </w:rPr>
        <w:t xml:space="preserve">AIDL International </w:t>
      </w:r>
      <w:proofErr w:type="spellStart"/>
      <w:r w:rsidRPr="007142EA">
        <w:rPr>
          <w:rFonts w:ascii="Times New Roman" w:eastAsia="Times New Roman" w:hAnsi="Times New Roman" w:cs="Times New Roman"/>
          <w:b/>
          <w:bCs/>
          <w:kern w:val="0"/>
          <w:lang w:val="fr-FR"/>
          <w14:ligatures w14:val="none"/>
        </w:rPr>
        <w:t>Foundation</w:t>
      </w:r>
      <w:proofErr w:type="spellEnd"/>
    </w:p>
    <w:p w14:paraId="008F28EC" w14:textId="36BF1C3C" w:rsidR="007142EA" w:rsidRDefault="007142EA" w:rsidP="007142EA">
      <w:pPr>
        <w:bidi w:val="0"/>
        <w:spacing w:before="100" w:beforeAutospacing="1" w:after="100" w:afterAutospacing="1" w:line="240" w:lineRule="auto"/>
        <w:rPr>
          <w:rFonts w:ascii="Times New Roman" w:eastAsia="Times New Roman" w:hAnsi="Times New Roman" w:cs="Times New Roman"/>
          <w:kern w:val="0"/>
          <w14:ligatures w14:val="none"/>
        </w:rPr>
      </w:pPr>
      <w:r w:rsidRPr="007142EA">
        <w:rPr>
          <w:rFonts w:ascii="Times New Roman" w:eastAsia="Times New Roman" w:hAnsi="Times New Roman" w:cs="Times New Roman"/>
          <w:kern w:val="0"/>
          <w14:ligatures w14:val="none"/>
        </w:rPr>
        <w:t xml:space="preserve">Email: </w:t>
      </w:r>
      <w:hyperlink r:id="rId5" w:history="1">
        <w:r w:rsidRPr="007142EA">
          <w:rPr>
            <w:rFonts w:ascii="Times New Roman" w:eastAsia="Times New Roman" w:hAnsi="Times New Roman" w:cs="Times New Roman"/>
            <w:color w:val="0000FF"/>
            <w:kern w:val="0"/>
            <w:u w:val="single"/>
            <w14:ligatures w14:val="none"/>
          </w:rPr>
          <w:t>AIDL@AIDL.EU</w:t>
        </w:r>
      </w:hyperlink>
      <w:r w:rsidRPr="007142EA">
        <w:rPr>
          <w:rFonts w:ascii="Times New Roman" w:eastAsia="Times New Roman" w:hAnsi="Times New Roman" w:cs="Times New Roman"/>
          <w:kern w:val="0"/>
          <w14:ligatures w14:val="none"/>
        </w:rPr>
        <w:br/>
        <w:t xml:space="preserve">Website: </w:t>
      </w:r>
      <w:hyperlink r:id="rId6" w:history="1">
        <w:r w:rsidRPr="007142EA">
          <w:rPr>
            <w:rFonts w:ascii="Times New Roman" w:eastAsia="Times New Roman" w:hAnsi="Times New Roman" w:cs="Times New Roman"/>
            <w:color w:val="0000FF"/>
            <w:kern w:val="0"/>
            <w:u w:val="single"/>
            <w14:ligatures w14:val="none"/>
          </w:rPr>
          <w:t>WWW.AIDL.EU</w:t>
        </w:r>
      </w:hyperlink>
    </w:p>
    <w:p w14:paraId="341746A1" w14:textId="30D4E9B3" w:rsidR="007142EA" w:rsidRPr="007142EA" w:rsidRDefault="007142EA" w:rsidP="007142EA">
      <w:pPr>
        <w:bidi w:val="0"/>
        <w:spacing w:before="100" w:beforeAutospacing="1" w:after="100" w:afterAutospacing="1" w:line="240" w:lineRule="auto"/>
        <w:rPr>
          <w:rFonts w:ascii="Times New Roman" w:eastAsia="Times New Roman" w:hAnsi="Times New Roman" w:cs="Times New Roman"/>
          <w:b/>
          <w:bCs/>
          <w:kern w:val="0"/>
          <w:sz w:val="28"/>
          <w:szCs w:val="28"/>
          <w:u w:val="single"/>
          <w14:ligatures w14:val="none"/>
        </w:rPr>
      </w:pPr>
      <w:r w:rsidRPr="007142EA">
        <w:rPr>
          <w:rFonts w:ascii="Times New Roman" w:eastAsia="Times New Roman" w:hAnsi="Times New Roman" w:cs="Times New Roman"/>
          <w:b/>
          <w:bCs/>
          <w:kern w:val="0"/>
          <w:sz w:val="28"/>
          <w:szCs w:val="28"/>
          <w:u w:val="single"/>
          <w14:ligatures w14:val="none"/>
        </w:rPr>
        <w:t xml:space="preserve">                0749468519</w:t>
      </w:r>
    </w:p>
    <w:sectPr w:rsidR="007142EA" w:rsidRPr="007142EA" w:rsidSect="007142EA">
      <w:pgSz w:w="11906" w:h="16838"/>
      <w:pgMar w:top="993" w:right="1274" w:bottom="1135" w:left="1418"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921DB"/>
    <w:multiLevelType w:val="multilevel"/>
    <w:tmpl w:val="EF46D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6B6F03"/>
    <w:multiLevelType w:val="multilevel"/>
    <w:tmpl w:val="48F68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6D17B2"/>
    <w:multiLevelType w:val="multilevel"/>
    <w:tmpl w:val="8886F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A7410D"/>
    <w:multiLevelType w:val="multilevel"/>
    <w:tmpl w:val="9BA81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040B0F"/>
    <w:multiLevelType w:val="multilevel"/>
    <w:tmpl w:val="F6D02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1E0364"/>
    <w:multiLevelType w:val="multilevel"/>
    <w:tmpl w:val="6F408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312866"/>
    <w:multiLevelType w:val="multilevel"/>
    <w:tmpl w:val="F236C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277707"/>
    <w:multiLevelType w:val="multilevel"/>
    <w:tmpl w:val="46BE7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E97FCE"/>
    <w:multiLevelType w:val="multilevel"/>
    <w:tmpl w:val="B7361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3E6B29"/>
    <w:multiLevelType w:val="multilevel"/>
    <w:tmpl w:val="B8900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A25ABF"/>
    <w:multiLevelType w:val="multilevel"/>
    <w:tmpl w:val="26B2F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0B008D"/>
    <w:multiLevelType w:val="multilevel"/>
    <w:tmpl w:val="7EAE6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AA33F3"/>
    <w:multiLevelType w:val="multilevel"/>
    <w:tmpl w:val="7178A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1E6818"/>
    <w:multiLevelType w:val="multilevel"/>
    <w:tmpl w:val="44525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6B6256"/>
    <w:multiLevelType w:val="multilevel"/>
    <w:tmpl w:val="AAEA5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E1480C"/>
    <w:multiLevelType w:val="multilevel"/>
    <w:tmpl w:val="6CFA2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7C60821"/>
    <w:multiLevelType w:val="multilevel"/>
    <w:tmpl w:val="0A84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C7C452C"/>
    <w:multiLevelType w:val="multilevel"/>
    <w:tmpl w:val="EC7C0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0F5028"/>
    <w:multiLevelType w:val="multilevel"/>
    <w:tmpl w:val="3C862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1DC0EFF"/>
    <w:multiLevelType w:val="multilevel"/>
    <w:tmpl w:val="DBEEF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677DCF"/>
    <w:multiLevelType w:val="multilevel"/>
    <w:tmpl w:val="9AF06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9D322C"/>
    <w:multiLevelType w:val="multilevel"/>
    <w:tmpl w:val="02E42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C8067B"/>
    <w:multiLevelType w:val="multilevel"/>
    <w:tmpl w:val="99D2A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982AA3"/>
    <w:multiLevelType w:val="multilevel"/>
    <w:tmpl w:val="F4AAA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9041704">
    <w:abstractNumId w:val="18"/>
  </w:num>
  <w:num w:numId="2" w16cid:durableId="778337087">
    <w:abstractNumId w:val="21"/>
  </w:num>
  <w:num w:numId="3" w16cid:durableId="113670822">
    <w:abstractNumId w:val="22"/>
  </w:num>
  <w:num w:numId="4" w16cid:durableId="31156994">
    <w:abstractNumId w:val="1"/>
  </w:num>
  <w:num w:numId="5" w16cid:durableId="798111680">
    <w:abstractNumId w:val="0"/>
  </w:num>
  <w:num w:numId="6" w16cid:durableId="366493120">
    <w:abstractNumId w:val="4"/>
  </w:num>
  <w:num w:numId="7" w16cid:durableId="693309723">
    <w:abstractNumId w:val="9"/>
  </w:num>
  <w:num w:numId="8" w16cid:durableId="1190296017">
    <w:abstractNumId w:val="20"/>
  </w:num>
  <w:num w:numId="9" w16cid:durableId="2033988484">
    <w:abstractNumId w:val="7"/>
  </w:num>
  <w:num w:numId="10" w16cid:durableId="356974919">
    <w:abstractNumId w:val="2"/>
  </w:num>
  <w:num w:numId="11" w16cid:durableId="617026886">
    <w:abstractNumId w:val="14"/>
  </w:num>
  <w:num w:numId="12" w16cid:durableId="1279604833">
    <w:abstractNumId w:val="19"/>
  </w:num>
  <w:num w:numId="13" w16cid:durableId="1998849284">
    <w:abstractNumId w:val="3"/>
  </w:num>
  <w:num w:numId="14" w16cid:durableId="990141076">
    <w:abstractNumId w:val="5"/>
  </w:num>
  <w:num w:numId="15" w16cid:durableId="1168714505">
    <w:abstractNumId w:val="12"/>
  </w:num>
  <w:num w:numId="16" w16cid:durableId="433522421">
    <w:abstractNumId w:val="13"/>
  </w:num>
  <w:num w:numId="17" w16cid:durableId="687567097">
    <w:abstractNumId w:val="6"/>
  </w:num>
  <w:num w:numId="18" w16cid:durableId="537200598">
    <w:abstractNumId w:val="17"/>
  </w:num>
  <w:num w:numId="19" w16cid:durableId="52513173">
    <w:abstractNumId w:val="16"/>
  </w:num>
  <w:num w:numId="20" w16cid:durableId="940262377">
    <w:abstractNumId w:val="8"/>
  </w:num>
  <w:num w:numId="21" w16cid:durableId="280772896">
    <w:abstractNumId w:val="23"/>
  </w:num>
  <w:num w:numId="22" w16cid:durableId="608660124">
    <w:abstractNumId w:val="10"/>
  </w:num>
  <w:num w:numId="23" w16cid:durableId="1045522500">
    <w:abstractNumId w:val="11"/>
  </w:num>
  <w:num w:numId="24" w16cid:durableId="70340695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2EA"/>
    <w:rsid w:val="00312D97"/>
    <w:rsid w:val="007142EA"/>
    <w:rsid w:val="00825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B04A"/>
  <w15:chartTrackingRefBased/>
  <w15:docId w15:val="{C222C5BD-7213-46C0-9D2D-8070AAC50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142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7142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7142E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7142E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7142E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7142E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142E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142E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142E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142EA"/>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7142EA"/>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7142EA"/>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7142EA"/>
    <w:rPr>
      <w:rFonts w:eastAsiaTheme="majorEastAsia" w:cstheme="majorBidi"/>
      <w:i/>
      <w:iCs/>
      <w:color w:val="2F5496" w:themeColor="accent1" w:themeShade="BF"/>
    </w:rPr>
  </w:style>
  <w:style w:type="character" w:customStyle="1" w:styleId="5Char">
    <w:name w:val="عنوان 5 Char"/>
    <w:basedOn w:val="a0"/>
    <w:link w:val="5"/>
    <w:uiPriority w:val="9"/>
    <w:semiHidden/>
    <w:rsid w:val="007142EA"/>
    <w:rPr>
      <w:rFonts w:eastAsiaTheme="majorEastAsia" w:cstheme="majorBidi"/>
      <w:color w:val="2F5496" w:themeColor="accent1" w:themeShade="BF"/>
    </w:rPr>
  </w:style>
  <w:style w:type="character" w:customStyle="1" w:styleId="6Char">
    <w:name w:val="عنوان 6 Char"/>
    <w:basedOn w:val="a0"/>
    <w:link w:val="6"/>
    <w:uiPriority w:val="9"/>
    <w:semiHidden/>
    <w:rsid w:val="007142EA"/>
    <w:rPr>
      <w:rFonts w:eastAsiaTheme="majorEastAsia" w:cstheme="majorBidi"/>
      <w:i/>
      <w:iCs/>
      <w:color w:val="595959" w:themeColor="text1" w:themeTint="A6"/>
    </w:rPr>
  </w:style>
  <w:style w:type="character" w:customStyle="1" w:styleId="7Char">
    <w:name w:val="عنوان 7 Char"/>
    <w:basedOn w:val="a0"/>
    <w:link w:val="7"/>
    <w:uiPriority w:val="9"/>
    <w:semiHidden/>
    <w:rsid w:val="007142EA"/>
    <w:rPr>
      <w:rFonts w:eastAsiaTheme="majorEastAsia" w:cstheme="majorBidi"/>
      <w:color w:val="595959" w:themeColor="text1" w:themeTint="A6"/>
    </w:rPr>
  </w:style>
  <w:style w:type="character" w:customStyle="1" w:styleId="8Char">
    <w:name w:val="عنوان 8 Char"/>
    <w:basedOn w:val="a0"/>
    <w:link w:val="8"/>
    <w:uiPriority w:val="9"/>
    <w:semiHidden/>
    <w:rsid w:val="007142EA"/>
    <w:rPr>
      <w:rFonts w:eastAsiaTheme="majorEastAsia" w:cstheme="majorBidi"/>
      <w:i/>
      <w:iCs/>
      <w:color w:val="272727" w:themeColor="text1" w:themeTint="D8"/>
    </w:rPr>
  </w:style>
  <w:style w:type="character" w:customStyle="1" w:styleId="9Char">
    <w:name w:val="عنوان 9 Char"/>
    <w:basedOn w:val="a0"/>
    <w:link w:val="9"/>
    <w:uiPriority w:val="9"/>
    <w:semiHidden/>
    <w:rsid w:val="007142EA"/>
    <w:rPr>
      <w:rFonts w:eastAsiaTheme="majorEastAsia" w:cstheme="majorBidi"/>
      <w:color w:val="272727" w:themeColor="text1" w:themeTint="D8"/>
    </w:rPr>
  </w:style>
  <w:style w:type="paragraph" w:styleId="a3">
    <w:name w:val="Title"/>
    <w:basedOn w:val="a"/>
    <w:next w:val="a"/>
    <w:link w:val="Char"/>
    <w:uiPriority w:val="10"/>
    <w:qFormat/>
    <w:rsid w:val="007142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142E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142E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142E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142EA"/>
    <w:pPr>
      <w:spacing w:before="160"/>
      <w:jc w:val="center"/>
    </w:pPr>
    <w:rPr>
      <w:i/>
      <w:iCs/>
      <w:color w:val="404040" w:themeColor="text1" w:themeTint="BF"/>
    </w:rPr>
  </w:style>
  <w:style w:type="character" w:customStyle="1" w:styleId="Char1">
    <w:name w:val="اقتباس Char"/>
    <w:basedOn w:val="a0"/>
    <w:link w:val="a5"/>
    <w:uiPriority w:val="29"/>
    <w:rsid w:val="007142EA"/>
    <w:rPr>
      <w:i/>
      <w:iCs/>
      <w:color w:val="404040" w:themeColor="text1" w:themeTint="BF"/>
    </w:rPr>
  </w:style>
  <w:style w:type="paragraph" w:styleId="a6">
    <w:name w:val="List Paragraph"/>
    <w:basedOn w:val="a"/>
    <w:uiPriority w:val="34"/>
    <w:qFormat/>
    <w:rsid w:val="007142EA"/>
    <w:pPr>
      <w:ind w:left="720"/>
      <w:contextualSpacing/>
    </w:pPr>
  </w:style>
  <w:style w:type="character" w:styleId="a7">
    <w:name w:val="Intense Emphasis"/>
    <w:basedOn w:val="a0"/>
    <w:uiPriority w:val="21"/>
    <w:qFormat/>
    <w:rsid w:val="007142EA"/>
    <w:rPr>
      <w:i/>
      <w:iCs/>
      <w:color w:val="2F5496" w:themeColor="accent1" w:themeShade="BF"/>
    </w:rPr>
  </w:style>
  <w:style w:type="paragraph" w:styleId="a8">
    <w:name w:val="Intense Quote"/>
    <w:basedOn w:val="a"/>
    <w:next w:val="a"/>
    <w:link w:val="Char2"/>
    <w:uiPriority w:val="30"/>
    <w:qFormat/>
    <w:rsid w:val="007142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7142EA"/>
    <w:rPr>
      <w:i/>
      <w:iCs/>
      <w:color w:val="2F5496" w:themeColor="accent1" w:themeShade="BF"/>
    </w:rPr>
  </w:style>
  <w:style w:type="character" w:styleId="a9">
    <w:name w:val="Intense Reference"/>
    <w:basedOn w:val="a0"/>
    <w:uiPriority w:val="32"/>
    <w:qFormat/>
    <w:rsid w:val="007142E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idl.eu/" TargetMode="External"/><Relationship Id="rId5" Type="http://schemas.openxmlformats.org/officeDocument/2006/relationships/hyperlink" Target="mailto:AIDL@AIDL.EU" TargetMode="Externa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2768</Words>
  <Characters>15781</Characters>
  <Application>Microsoft Office Word</Application>
  <DocSecurity>0</DocSecurity>
  <Lines>131</Lines>
  <Paragraphs>37</Paragraphs>
  <ScaleCrop>false</ScaleCrop>
  <Company/>
  <LinksUpToDate>false</LinksUpToDate>
  <CharactersWithSpaces>18512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ALLIANCE INTERNATIONALE AIDL</dc:creator>
  <cp:keywords/>
  <dc:description/>
  <cp:lastModifiedBy>ALLIANCE INTERNATIONALE AIDL</cp:lastModifiedBy>
  <cp:revision>1</cp:revision>
  <dcterms:created xsi:type="dcterms:W3CDTF">2026-01-18T13:12:00Z</dcterms:created>
  <dcterms:modified xsi:type="dcterms:W3CDTF">2026-01-18T13:22:00Z</dcterms:modified>
</cp:coreProperties>
</file>