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6EB0" w14:textId="77777777" w:rsidR="00740DC0" w:rsidRPr="00E32AA4" w:rsidRDefault="00090329" w:rsidP="00740DC0">
      <w:pPr>
        <w:pStyle w:val="Header"/>
      </w:pPr>
      <w:bookmarkStart w:id="0" w:name="_GoBack"/>
      <w:bookmarkEnd w:id="0"/>
      <w:r>
        <w:rPr>
          <w:noProof/>
          <w:lang w:val="en-GB" w:eastAsia="en-GB"/>
        </w:rPr>
        <w:drawing>
          <wp:anchor distT="0" distB="0" distL="114300" distR="114300" simplePos="0" relativeHeight="251658240" behindDoc="0" locked="0" layoutInCell="1" allowOverlap="1" wp14:anchorId="1FFBDC91" wp14:editId="1C496039">
            <wp:simplePos x="0" y="0"/>
            <wp:positionH relativeFrom="column">
              <wp:posOffset>-3810</wp:posOffset>
            </wp:positionH>
            <wp:positionV relativeFrom="paragraph">
              <wp:posOffset>0</wp:posOffset>
            </wp:positionV>
            <wp:extent cx="5791200" cy="971550"/>
            <wp:effectExtent l="0" t="0" r="0" b="0"/>
            <wp:wrapSquare wrapText="bothSides"/>
            <wp:docPr id="5" name="Bild 3" descr="Logo+Schriftzug02_ECCH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chriftzug02_ECCH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971550"/>
                    </a:xfrm>
                    <a:prstGeom prst="rect">
                      <a:avLst/>
                    </a:prstGeom>
                    <a:noFill/>
                  </pic:spPr>
                </pic:pic>
              </a:graphicData>
            </a:graphic>
            <wp14:sizeRelH relativeFrom="page">
              <wp14:pctWidth>0</wp14:pctWidth>
            </wp14:sizeRelH>
            <wp14:sizeRelV relativeFrom="page">
              <wp14:pctHeight>0</wp14:pctHeight>
            </wp14:sizeRelV>
          </wp:anchor>
        </w:drawing>
      </w:r>
    </w:p>
    <w:p w14:paraId="6F9150BE" w14:textId="77777777" w:rsidR="00740DC0" w:rsidRPr="00764EB3" w:rsidRDefault="00740DC0" w:rsidP="005122BB">
      <w:pPr>
        <w:spacing w:after="0" w:line="240" w:lineRule="auto"/>
        <w:jc w:val="both"/>
        <w:rPr>
          <w:lang w:val="en-US"/>
        </w:rPr>
      </w:pPr>
    </w:p>
    <w:p w14:paraId="309ADAF5" w14:textId="71726BCF" w:rsidR="00DF3E16" w:rsidRDefault="00090329" w:rsidP="005122BB">
      <w:pPr>
        <w:spacing w:after="0" w:line="240" w:lineRule="auto"/>
        <w:jc w:val="both"/>
        <w:rPr>
          <w:sz w:val="24"/>
          <w:szCs w:val="24"/>
        </w:rPr>
      </w:pPr>
      <w:r>
        <w:rPr>
          <w:noProof/>
          <w:lang w:val="en-GB" w:eastAsia="en-GB"/>
        </w:rPr>
        <mc:AlternateContent>
          <mc:Choice Requires="wps">
            <w:drawing>
              <wp:anchor distT="0" distB="0" distL="360045" distR="114300" simplePos="0" relativeHeight="251657216" behindDoc="0" locked="1" layoutInCell="1" allowOverlap="1" wp14:anchorId="45FD315D" wp14:editId="1D5BA1A4">
                <wp:simplePos x="0" y="0"/>
                <wp:positionH relativeFrom="column">
                  <wp:posOffset>4796155</wp:posOffset>
                </wp:positionH>
                <wp:positionV relativeFrom="paragraph">
                  <wp:posOffset>-321945</wp:posOffset>
                </wp:positionV>
                <wp:extent cx="1575435" cy="2174875"/>
                <wp:effectExtent l="9525" t="10795" r="5715" b="5080"/>
                <wp:wrapSquare wrapText="bothSides"/>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5435" cy="2174875"/>
                        </a:xfrm>
                        <a:prstGeom prst="rect">
                          <a:avLst/>
                        </a:prstGeom>
                        <a:solidFill>
                          <a:srgbClr val="FFFFFF"/>
                        </a:solidFill>
                        <a:ln w="0">
                          <a:solidFill>
                            <a:srgbClr val="FFFFFF"/>
                          </a:solidFill>
                          <a:miter lim="800000"/>
                          <a:headEnd/>
                          <a:tailEnd/>
                        </a:ln>
                      </wps:spPr>
                      <wps:txbx>
                        <w:txbxContent>
                          <w:p w14:paraId="07C1787F" w14:textId="77777777" w:rsidR="00ED6F57" w:rsidRPr="001C2D5D" w:rsidRDefault="00ED6F57" w:rsidP="00282169">
                            <w:pPr>
                              <w:spacing w:after="0" w:line="120" w:lineRule="auto"/>
                              <w:rPr>
                                <w:rFonts w:ascii="Courier New" w:hAnsi="Courier New" w:cs="Courier New"/>
                                <w:sz w:val="14"/>
                                <w:szCs w:val="14"/>
                                <w:lang w:val="en-GB"/>
                              </w:rPr>
                            </w:pPr>
                            <w:r w:rsidRPr="001C2D5D">
                              <w:rPr>
                                <w:rFonts w:ascii="Courier New" w:hAnsi="Courier New" w:cs="Courier New"/>
                                <w:sz w:val="14"/>
                                <w:szCs w:val="14"/>
                                <w:lang w:val="en-GB"/>
                              </w:rPr>
                              <w:softHyphen/>
                              <w:t>_</w:t>
                            </w:r>
                          </w:p>
                          <w:p w14:paraId="24384E72" w14:textId="77777777" w:rsidR="00ED6F57" w:rsidRPr="001C2D5D" w:rsidRDefault="00ED6F57" w:rsidP="00282169">
                            <w:pPr>
                              <w:spacing w:after="0" w:line="120" w:lineRule="auto"/>
                              <w:rPr>
                                <w:rFonts w:ascii="Courier New" w:hAnsi="Courier New" w:cs="Courier New"/>
                                <w:sz w:val="18"/>
                                <w:szCs w:val="12"/>
                                <w:lang w:val="en-GB"/>
                              </w:rPr>
                            </w:pPr>
                          </w:p>
                          <w:p w14:paraId="1F2628A2" w14:textId="77777777" w:rsidR="00ED6F57" w:rsidRPr="001C2D5D" w:rsidRDefault="00ED6F57" w:rsidP="00740DC0">
                            <w:pPr>
                              <w:spacing w:after="0" w:line="240" w:lineRule="auto"/>
                              <w:rPr>
                                <w:rFonts w:ascii="Courier New" w:hAnsi="Courier New" w:cs="Courier New"/>
                                <w:sz w:val="12"/>
                                <w:szCs w:val="12"/>
                                <w:lang w:val="en-GB"/>
                              </w:rPr>
                            </w:pPr>
                            <w:r w:rsidRPr="001C2D5D">
                              <w:rPr>
                                <w:rFonts w:ascii="Courier New" w:hAnsi="Courier New" w:cs="Courier New"/>
                                <w:sz w:val="12"/>
                                <w:szCs w:val="12"/>
                                <w:lang w:val="en-GB"/>
                              </w:rPr>
                              <w:t>EUROPEAN CENTER FOR</w:t>
                            </w:r>
                          </w:p>
                          <w:p w14:paraId="15F191B1" w14:textId="77777777" w:rsidR="00ED6F57" w:rsidRPr="001C2D5D" w:rsidRDefault="00ED6F57" w:rsidP="00740DC0">
                            <w:pPr>
                              <w:spacing w:after="0" w:line="240" w:lineRule="auto"/>
                              <w:rPr>
                                <w:rFonts w:ascii="Courier New" w:hAnsi="Courier New" w:cs="Courier New"/>
                                <w:sz w:val="12"/>
                                <w:szCs w:val="12"/>
                                <w:lang w:val="en-GB"/>
                              </w:rPr>
                            </w:pPr>
                            <w:r w:rsidRPr="001C2D5D">
                              <w:rPr>
                                <w:rFonts w:ascii="Courier New" w:hAnsi="Courier New" w:cs="Courier New"/>
                                <w:sz w:val="12"/>
                                <w:szCs w:val="12"/>
                                <w:lang w:val="en-GB"/>
                              </w:rPr>
                              <w:t xml:space="preserve">CONSTITUTIONAL AND </w:t>
                            </w:r>
                          </w:p>
                          <w:p w14:paraId="6F6EE7AC" w14:textId="77777777" w:rsidR="00ED6F57" w:rsidRPr="001C2D5D" w:rsidRDefault="00ED6F57" w:rsidP="00740DC0">
                            <w:pPr>
                              <w:spacing w:after="0" w:line="240" w:lineRule="auto"/>
                              <w:rPr>
                                <w:rFonts w:ascii="Courier New" w:hAnsi="Courier New" w:cs="Courier New"/>
                                <w:sz w:val="12"/>
                                <w:szCs w:val="12"/>
                                <w:lang w:val="en-GB"/>
                              </w:rPr>
                            </w:pPr>
                            <w:r w:rsidRPr="001C2D5D">
                              <w:rPr>
                                <w:rFonts w:ascii="Courier New" w:hAnsi="Courier New" w:cs="Courier New"/>
                                <w:sz w:val="12"/>
                                <w:szCs w:val="12"/>
                                <w:lang w:val="en-GB"/>
                              </w:rPr>
                              <w:t xml:space="preserve">HUMAN RIGHTS </w:t>
                            </w:r>
                            <w:proofErr w:type="spellStart"/>
                            <w:r w:rsidRPr="001C2D5D">
                              <w:rPr>
                                <w:rFonts w:ascii="Courier New" w:hAnsi="Courier New" w:cs="Courier New"/>
                                <w:sz w:val="12"/>
                                <w:szCs w:val="12"/>
                                <w:lang w:val="en-GB"/>
                              </w:rPr>
                              <w:t>e.V</w:t>
                            </w:r>
                            <w:proofErr w:type="spellEnd"/>
                            <w:r w:rsidRPr="001C2D5D">
                              <w:rPr>
                                <w:rFonts w:ascii="Courier New" w:hAnsi="Courier New" w:cs="Courier New"/>
                                <w:sz w:val="12"/>
                                <w:szCs w:val="12"/>
                                <w:lang w:val="en-GB"/>
                              </w:rPr>
                              <w:t>.</w:t>
                            </w:r>
                          </w:p>
                          <w:p w14:paraId="0CBAB06B" w14:textId="77777777" w:rsidR="00ED6F57" w:rsidRDefault="00ED6F57" w:rsidP="00740DC0">
                            <w:pPr>
                              <w:spacing w:after="0" w:line="240" w:lineRule="auto"/>
                              <w:rPr>
                                <w:rFonts w:ascii="Courier New" w:hAnsi="Courier New" w:cs="Courier New"/>
                                <w:sz w:val="12"/>
                                <w:szCs w:val="12"/>
                              </w:rPr>
                            </w:pPr>
                            <w:r>
                              <w:rPr>
                                <w:rFonts w:ascii="Courier New" w:hAnsi="Courier New" w:cs="Courier New"/>
                                <w:sz w:val="12"/>
                                <w:szCs w:val="12"/>
                              </w:rPr>
                              <w:t>_</w:t>
                            </w:r>
                          </w:p>
                          <w:p w14:paraId="710EA0F4" w14:textId="77777777" w:rsidR="00ED6F57" w:rsidRDefault="00ED6F57" w:rsidP="00740DC0">
                            <w:pPr>
                              <w:spacing w:after="0" w:line="240" w:lineRule="auto"/>
                              <w:rPr>
                                <w:rFonts w:ascii="Courier New" w:hAnsi="Courier New" w:cs="Courier New"/>
                                <w:sz w:val="12"/>
                                <w:szCs w:val="12"/>
                              </w:rPr>
                            </w:pPr>
                          </w:p>
                          <w:p w14:paraId="5941B7A9" w14:textId="77777777" w:rsidR="00ED6F57" w:rsidRPr="009E7A4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ZOSSENER STR. 55-58</w:t>
                            </w:r>
                          </w:p>
                          <w:p w14:paraId="492FB486" w14:textId="77777777" w:rsidR="00ED6F57" w:rsidRPr="009E7A4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AUFGANG D</w:t>
                            </w:r>
                          </w:p>
                          <w:p w14:paraId="462D4242" w14:textId="77777777" w:rsidR="00ED6F57" w:rsidRPr="009E7A4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10961 BERLIN, GERMANY</w:t>
                            </w:r>
                          </w:p>
                          <w:p w14:paraId="5153C60D" w14:textId="77777777" w:rsidR="00ED6F57" w:rsidRPr="00895C5C" w:rsidRDefault="00ED6F57" w:rsidP="00740DC0">
                            <w:pPr>
                              <w:spacing w:after="0" w:line="240" w:lineRule="auto"/>
                              <w:rPr>
                                <w:rFonts w:ascii="Courier New" w:hAnsi="Courier New" w:cs="Courier New"/>
                                <w:sz w:val="12"/>
                                <w:szCs w:val="12"/>
                                <w:lang w:val="fr-CH"/>
                              </w:rPr>
                            </w:pPr>
                            <w:r w:rsidRPr="00895C5C">
                              <w:rPr>
                                <w:rFonts w:ascii="Courier New" w:hAnsi="Courier New" w:cs="Courier New"/>
                                <w:sz w:val="12"/>
                                <w:szCs w:val="12"/>
                                <w:lang w:val="fr-CH"/>
                              </w:rPr>
                              <w:t>_</w:t>
                            </w:r>
                          </w:p>
                          <w:p w14:paraId="15E1C607" w14:textId="77777777" w:rsidR="00ED6F57" w:rsidRPr="00895C5C" w:rsidRDefault="00ED6F57" w:rsidP="00740DC0">
                            <w:pPr>
                              <w:spacing w:after="0" w:line="240" w:lineRule="auto"/>
                              <w:rPr>
                                <w:rFonts w:ascii="Courier New" w:hAnsi="Courier New" w:cs="Courier New"/>
                                <w:sz w:val="12"/>
                                <w:szCs w:val="12"/>
                                <w:lang w:val="fr-CH"/>
                              </w:rPr>
                            </w:pPr>
                          </w:p>
                          <w:p w14:paraId="1176C433" w14:textId="77777777" w:rsidR="00ED6F57" w:rsidRPr="00895C5C" w:rsidRDefault="00ED6F57" w:rsidP="00740DC0">
                            <w:pPr>
                              <w:spacing w:after="0" w:line="240" w:lineRule="auto"/>
                              <w:rPr>
                                <w:rFonts w:ascii="Courier New" w:hAnsi="Courier New" w:cs="Courier New"/>
                                <w:sz w:val="12"/>
                                <w:szCs w:val="12"/>
                                <w:lang w:val="fr-CH"/>
                              </w:rPr>
                            </w:pPr>
                            <w:r w:rsidRPr="00895C5C">
                              <w:rPr>
                                <w:rFonts w:ascii="Courier New" w:hAnsi="Courier New" w:cs="Courier New"/>
                                <w:sz w:val="12"/>
                                <w:szCs w:val="12"/>
                                <w:lang w:val="fr-CH"/>
                              </w:rPr>
                              <w:t>PHONE +</w:t>
                            </w:r>
                            <w:proofErr w:type="gramStart"/>
                            <w:r w:rsidRPr="00895C5C">
                              <w:rPr>
                                <w:rFonts w:ascii="Courier New" w:hAnsi="Courier New" w:cs="Courier New"/>
                                <w:sz w:val="12"/>
                                <w:szCs w:val="12"/>
                                <w:lang w:val="fr-CH"/>
                              </w:rPr>
                              <w:t>49.(</w:t>
                            </w:r>
                            <w:proofErr w:type="gramEnd"/>
                            <w:r w:rsidRPr="00895C5C">
                              <w:rPr>
                                <w:rFonts w:ascii="Courier New" w:hAnsi="Courier New" w:cs="Courier New"/>
                                <w:sz w:val="12"/>
                                <w:szCs w:val="12"/>
                                <w:lang w:val="fr-CH"/>
                              </w:rPr>
                              <w:t>030).40 04 85 90</w:t>
                            </w:r>
                          </w:p>
                          <w:p w14:paraId="1451A136" w14:textId="77777777" w:rsidR="00ED6F57" w:rsidRPr="00895C5C" w:rsidRDefault="00ED6F57" w:rsidP="00740DC0">
                            <w:pPr>
                              <w:spacing w:after="0" w:line="240" w:lineRule="auto"/>
                              <w:rPr>
                                <w:rFonts w:ascii="Courier New" w:hAnsi="Courier New" w:cs="Courier New"/>
                                <w:sz w:val="12"/>
                                <w:szCs w:val="12"/>
                                <w:lang w:val="fr-CH"/>
                              </w:rPr>
                            </w:pPr>
                            <w:r w:rsidRPr="00895C5C">
                              <w:rPr>
                                <w:rFonts w:ascii="Courier New" w:hAnsi="Courier New" w:cs="Courier New"/>
                                <w:sz w:val="12"/>
                                <w:szCs w:val="12"/>
                                <w:lang w:val="fr-CH"/>
                              </w:rPr>
                              <w:t>FAX   +</w:t>
                            </w:r>
                            <w:proofErr w:type="gramStart"/>
                            <w:r w:rsidRPr="00895C5C">
                              <w:rPr>
                                <w:rFonts w:ascii="Courier New" w:hAnsi="Courier New" w:cs="Courier New"/>
                                <w:sz w:val="12"/>
                                <w:szCs w:val="12"/>
                                <w:lang w:val="fr-CH"/>
                              </w:rPr>
                              <w:t>49.(</w:t>
                            </w:r>
                            <w:proofErr w:type="gramEnd"/>
                            <w:r w:rsidRPr="00895C5C">
                              <w:rPr>
                                <w:rFonts w:ascii="Courier New" w:hAnsi="Courier New" w:cs="Courier New"/>
                                <w:sz w:val="12"/>
                                <w:szCs w:val="12"/>
                                <w:lang w:val="fr-CH"/>
                              </w:rPr>
                              <w:t>030).40 04 85 92</w:t>
                            </w:r>
                          </w:p>
                          <w:p w14:paraId="1AA24F70" w14:textId="77777777" w:rsidR="00ED6F57" w:rsidRPr="00895C5C" w:rsidRDefault="00ED6F57" w:rsidP="00740DC0">
                            <w:pPr>
                              <w:spacing w:after="0" w:line="240" w:lineRule="auto"/>
                              <w:rPr>
                                <w:rFonts w:ascii="Courier New" w:hAnsi="Courier New" w:cs="Courier New"/>
                                <w:sz w:val="12"/>
                                <w:szCs w:val="12"/>
                                <w:lang w:val="fr-CH"/>
                              </w:rPr>
                            </w:pPr>
                            <w:proofErr w:type="gramStart"/>
                            <w:r w:rsidRPr="00895C5C">
                              <w:rPr>
                                <w:rFonts w:ascii="Courier New" w:hAnsi="Courier New" w:cs="Courier New"/>
                                <w:sz w:val="12"/>
                                <w:szCs w:val="12"/>
                                <w:lang w:val="fr-CH"/>
                              </w:rPr>
                              <w:t>MAIL  INFO@ECCHR.EU</w:t>
                            </w:r>
                            <w:proofErr w:type="gramEnd"/>
                          </w:p>
                          <w:p w14:paraId="5FCE45B7" w14:textId="77777777" w:rsidR="00ED6F5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 xml:space="preserve">WEB   </w:t>
                            </w:r>
                            <w:r w:rsidRPr="00DF3E16">
                              <w:rPr>
                                <w:rFonts w:ascii="Courier New" w:hAnsi="Courier New" w:cs="Courier New"/>
                                <w:sz w:val="12"/>
                                <w:szCs w:val="12"/>
                              </w:rPr>
                              <w:t>WWW.ECCHR.EU</w:t>
                            </w:r>
                          </w:p>
                          <w:p w14:paraId="07556902" w14:textId="77777777" w:rsidR="00ED6F57" w:rsidRDefault="00ED6F57" w:rsidP="00740DC0">
                            <w:pPr>
                              <w:spacing w:after="0" w:line="240" w:lineRule="auto"/>
                              <w:rPr>
                                <w:rFonts w:ascii="Courier New" w:hAnsi="Courier New" w:cs="Courier New"/>
                                <w:sz w:val="12"/>
                                <w:szCs w:val="12"/>
                              </w:rPr>
                            </w:pPr>
                          </w:p>
                          <w:p w14:paraId="72AA17F0" w14:textId="77777777" w:rsidR="00ED6F57" w:rsidRDefault="00ED6F57" w:rsidP="00740DC0">
                            <w:pPr>
                              <w:spacing w:after="0" w:line="240" w:lineRule="auto"/>
                              <w:rPr>
                                <w:rFonts w:ascii="Courier New" w:hAnsi="Courier New" w:cs="Courier New"/>
                                <w:sz w:val="12"/>
                                <w:szCs w:val="12"/>
                              </w:rPr>
                            </w:pPr>
                          </w:p>
                          <w:p w14:paraId="02654475" w14:textId="77777777" w:rsidR="00ED6F57" w:rsidRDefault="00ED6F57" w:rsidP="00740DC0">
                            <w:pPr>
                              <w:spacing w:after="0" w:line="240" w:lineRule="auto"/>
                              <w:rPr>
                                <w:rFonts w:ascii="Courier New" w:hAnsi="Courier New" w:cs="Courier New"/>
                                <w:sz w:val="12"/>
                                <w:szCs w:val="12"/>
                              </w:rPr>
                            </w:pPr>
                            <w:r>
                              <w:rPr>
                                <w:rFonts w:ascii="Courier New" w:hAnsi="Courier New" w:cs="Courier New"/>
                                <w:noProof/>
                                <w:sz w:val="12"/>
                                <w:szCs w:val="12"/>
                                <w:lang w:val="en-GB" w:eastAsia="en-GB"/>
                              </w:rPr>
                              <w:drawing>
                                <wp:inline distT="0" distB="0" distL="0" distR="0" wp14:anchorId="63F3CFA5" wp14:editId="1B71D88A">
                                  <wp:extent cx="1266825" cy="85725"/>
                                  <wp:effectExtent l="0" t="0" r="9525" b="9525"/>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85725"/>
                                          </a:xfrm>
                                          <a:prstGeom prst="rect">
                                            <a:avLst/>
                                          </a:prstGeom>
                                          <a:noFill/>
                                          <a:ln>
                                            <a:noFill/>
                                          </a:ln>
                                        </pic:spPr>
                                      </pic:pic>
                                    </a:graphicData>
                                  </a:graphic>
                                </wp:inline>
                              </w:drawing>
                            </w:r>
                          </w:p>
                          <w:p w14:paraId="01FFF022" w14:textId="77777777" w:rsidR="00ED6F57" w:rsidRDefault="00ED6F57" w:rsidP="00740DC0">
                            <w:pPr>
                              <w:spacing w:after="0" w:line="240" w:lineRule="auto"/>
                              <w:rPr>
                                <w:rFonts w:ascii="Courier New" w:hAnsi="Courier New" w:cs="Courier New"/>
                                <w:sz w:val="12"/>
                                <w:szCs w:val="12"/>
                              </w:rPr>
                            </w:pPr>
                          </w:p>
                          <w:p w14:paraId="52AC0199" w14:textId="77777777" w:rsidR="00ED6F57" w:rsidRDefault="00ED6F57" w:rsidP="00740DC0">
                            <w:pPr>
                              <w:spacing w:after="0" w:line="240" w:lineRule="auto"/>
                              <w:rPr>
                                <w:rFonts w:ascii="Courier New" w:hAnsi="Courier New" w:cs="Courier New"/>
                                <w:sz w:val="12"/>
                                <w:szCs w:val="12"/>
                              </w:rPr>
                            </w:pPr>
                          </w:p>
                          <w:p w14:paraId="2BC632BB" w14:textId="77777777" w:rsidR="00ED6F57" w:rsidRDefault="00ED6F57" w:rsidP="00740DC0">
                            <w:pPr>
                              <w:spacing w:after="0" w:line="240" w:lineRule="auto"/>
                              <w:rPr>
                                <w:rFonts w:ascii="Courier New" w:hAnsi="Courier New" w:cs="Courier New"/>
                                <w:sz w:val="12"/>
                                <w:szCs w:val="12"/>
                              </w:rPr>
                            </w:pPr>
                          </w:p>
                          <w:p w14:paraId="6D94EE32" w14:textId="77777777" w:rsidR="00ED6F57" w:rsidRDefault="00ED6F57" w:rsidP="00740DC0">
                            <w:pPr>
                              <w:spacing w:after="0" w:line="240" w:lineRule="auto"/>
                              <w:rPr>
                                <w:rFonts w:ascii="Courier New" w:hAnsi="Courier New" w:cs="Courier New"/>
                                <w:sz w:val="12"/>
                                <w:szCs w:val="12"/>
                              </w:rPr>
                            </w:pPr>
                          </w:p>
                          <w:p w14:paraId="0582F233" w14:textId="77777777" w:rsidR="00ED6F57" w:rsidRDefault="00ED6F57" w:rsidP="00740DC0">
                            <w:pPr>
                              <w:spacing w:after="0" w:line="240" w:lineRule="auto"/>
                              <w:rPr>
                                <w:rFonts w:ascii="Courier New" w:hAnsi="Courier New" w:cs="Courier New"/>
                                <w:sz w:val="12"/>
                                <w:szCs w:val="12"/>
                              </w:rPr>
                            </w:pPr>
                          </w:p>
                          <w:p w14:paraId="0B922FB9" w14:textId="77777777" w:rsidR="00ED6F57" w:rsidRDefault="00ED6F57" w:rsidP="00740DC0">
                            <w:pPr>
                              <w:spacing w:after="0" w:line="240" w:lineRule="auto"/>
                              <w:rPr>
                                <w:rFonts w:ascii="Courier New" w:hAnsi="Courier New" w:cs="Courier New"/>
                                <w:sz w:val="12"/>
                                <w:szCs w:val="12"/>
                              </w:rPr>
                            </w:pPr>
                          </w:p>
                          <w:p w14:paraId="023D9198" w14:textId="77777777" w:rsidR="00ED6F57" w:rsidRDefault="00ED6F57" w:rsidP="00740DC0">
                            <w:pPr>
                              <w:spacing w:after="0" w:line="240" w:lineRule="auto"/>
                              <w:rPr>
                                <w:rFonts w:ascii="Courier New" w:hAnsi="Courier New" w:cs="Courier New"/>
                                <w:sz w:val="12"/>
                                <w:szCs w:val="12"/>
                              </w:rPr>
                            </w:pPr>
                          </w:p>
                          <w:p w14:paraId="0F072F57" w14:textId="77777777" w:rsidR="00ED6F57" w:rsidRDefault="00ED6F57" w:rsidP="00740DC0">
                            <w:pPr>
                              <w:spacing w:after="0" w:line="240" w:lineRule="auto"/>
                              <w:rPr>
                                <w:rFonts w:ascii="Courier New" w:hAnsi="Courier New" w:cs="Courier New"/>
                                <w:sz w:val="12"/>
                                <w:szCs w:val="12"/>
                              </w:rPr>
                            </w:pPr>
                          </w:p>
                          <w:p w14:paraId="21AFDC26" w14:textId="77777777" w:rsidR="00ED6F57" w:rsidRDefault="00ED6F57" w:rsidP="00740DC0">
                            <w:pPr>
                              <w:spacing w:after="0" w:line="240" w:lineRule="auto"/>
                              <w:rPr>
                                <w:rFonts w:ascii="Courier New" w:hAnsi="Courier New" w:cs="Courier New"/>
                                <w:sz w:val="12"/>
                                <w:szCs w:val="12"/>
                              </w:rPr>
                            </w:pPr>
                          </w:p>
                          <w:p w14:paraId="729D697B" w14:textId="77777777" w:rsidR="00ED6F57" w:rsidRDefault="00ED6F57" w:rsidP="00740DC0">
                            <w:pPr>
                              <w:spacing w:after="0" w:line="240" w:lineRule="auto"/>
                              <w:rPr>
                                <w:rFonts w:ascii="Courier New" w:hAnsi="Courier New" w:cs="Courier New"/>
                                <w:sz w:val="12"/>
                                <w:szCs w:val="12"/>
                              </w:rPr>
                            </w:pPr>
                          </w:p>
                          <w:p w14:paraId="1BE47F0F" w14:textId="77777777" w:rsidR="00ED6F57" w:rsidRDefault="00ED6F57" w:rsidP="00740DC0">
                            <w:pPr>
                              <w:spacing w:after="0" w:line="240" w:lineRule="auto"/>
                              <w:rPr>
                                <w:rFonts w:ascii="Courier New" w:hAnsi="Courier New" w:cs="Courier New"/>
                                <w:sz w:val="12"/>
                                <w:szCs w:val="12"/>
                              </w:rPr>
                            </w:pPr>
                          </w:p>
                          <w:p w14:paraId="27EB212A" w14:textId="77777777" w:rsidR="00ED6F57" w:rsidRDefault="00ED6F57" w:rsidP="00740DC0">
                            <w:pPr>
                              <w:spacing w:after="0" w:line="240" w:lineRule="auto"/>
                              <w:rPr>
                                <w:rFonts w:ascii="Courier New" w:hAnsi="Courier New" w:cs="Courier New"/>
                                <w:sz w:val="12"/>
                                <w:szCs w:val="12"/>
                              </w:rPr>
                            </w:pPr>
                          </w:p>
                        </w:txbxContent>
                      </wps:txbx>
                      <wps:bodyPr rot="0" vert="horz" wrap="square" lIns="9144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D315D" id="_x0000_t202" coordsize="21600,21600" o:spt="202" path="m,l,21600r21600,l21600,xe">
                <v:stroke joinstyle="miter"/>
                <v:path gradientshapeok="t" o:connecttype="rect"/>
              </v:shapetype>
              <v:shape id="Text Box 2" o:spid="_x0000_s1026" type="#_x0000_t202" style="position:absolute;left:0;text-align:left;margin-left:377.65pt;margin-top:-25.35pt;width:124.05pt;height:171.25pt;z-index:251657216;visibility:visible;mso-wrap-style:square;mso-width-percent:0;mso-height-percent:0;mso-wrap-distance-left:28.3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" strokecolor="white" strokeweight="0">
                <o:lock v:ext="edit" aspectratio="t"/>
                <v:textbox inset=",3.3mm">
                  <w:txbxContent>
                    <w:p w14:paraId="07C1787F" w14:textId="77777777" w:rsidR="00ED6F57" w:rsidRPr="001C2D5D" w:rsidRDefault="00ED6F57" w:rsidP="00282169">
                      <w:pPr>
                        <w:spacing w:after="0" w:line="120" w:lineRule="auto"/>
                        <w:rPr>
                          <w:rFonts w:ascii="Courier New" w:hAnsi="Courier New" w:cs="Courier New"/>
                          <w:sz w:val="14"/>
                          <w:szCs w:val="14"/>
                          <w:lang w:val="en-GB"/>
                        </w:rPr>
                      </w:pPr>
                      <w:r w:rsidRPr="001C2D5D">
                        <w:rPr>
                          <w:rFonts w:ascii="Courier New" w:hAnsi="Courier New" w:cs="Courier New"/>
                          <w:sz w:val="14"/>
                          <w:szCs w:val="14"/>
                          <w:lang w:val="en-GB"/>
                        </w:rPr>
                        <w:softHyphen/>
                        <w:t>_</w:t>
                      </w:r>
                    </w:p>
                    <w:p w14:paraId="24384E72" w14:textId="77777777" w:rsidR="00ED6F57" w:rsidRPr="001C2D5D" w:rsidRDefault="00ED6F57" w:rsidP="00282169">
                      <w:pPr>
                        <w:spacing w:after="0" w:line="120" w:lineRule="auto"/>
                        <w:rPr>
                          <w:rFonts w:ascii="Courier New" w:hAnsi="Courier New" w:cs="Courier New"/>
                          <w:sz w:val="18"/>
                          <w:szCs w:val="12"/>
                          <w:lang w:val="en-GB"/>
                        </w:rPr>
                      </w:pPr>
                    </w:p>
                    <w:p w14:paraId="1F2628A2" w14:textId="77777777" w:rsidR="00ED6F57" w:rsidRPr="001C2D5D" w:rsidRDefault="00ED6F57" w:rsidP="00740DC0">
                      <w:pPr>
                        <w:spacing w:after="0" w:line="240" w:lineRule="auto"/>
                        <w:rPr>
                          <w:rFonts w:ascii="Courier New" w:hAnsi="Courier New" w:cs="Courier New"/>
                          <w:sz w:val="12"/>
                          <w:szCs w:val="12"/>
                          <w:lang w:val="en-GB"/>
                        </w:rPr>
                      </w:pPr>
                      <w:r w:rsidRPr="001C2D5D">
                        <w:rPr>
                          <w:rFonts w:ascii="Courier New" w:hAnsi="Courier New" w:cs="Courier New"/>
                          <w:sz w:val="12"/>
                          <w:szCs w:val="12"/>
                          <w:lang w:val="en-GB"/>
                        </w:rPr>
                        <w:t>EUROPEAN CENTER FOR</w:t>
                      </w:r>
                    </w:p>
                    <w:p w14:paraId="15F191B1" w14:textId="77777777" w:rsidR="00ED6F57" w:rsidRPr="001C2D5D" w:rsidRDefault="00ED6F57" w:rsidP="00740DC0">
                      <w:pPr>
                        <w:spacing w:after="0" w:line="240" w:lineRule="auto"/>
                        <w:rPr>
                          <w:rFonts w:ascii="Courier New" w:hAnsi="Courier New" w:cs="Courier New"/>
                          <w:sz w:val="12"/>
                          <w:szCs w:val="12"/>
                          <w:lang w:val="en-GB"/>
                        </w:rPr>
                      </w:pPr>
                      <w:r w:rsidRPr="001C2D5D">
                        <w:rPr>
                          <w:rFonts w:ascii="Courier New" w:hAnsi="Courier New" w:cs="Courier New"/>
                          <w:sz w:val="12"/>
                          <w:szCs w:val="12"/>
                          <w:lang w:val="en-GB"/>
                        </w:rPr>
                        <w:t xml:space="preserve">CONSTITUTIONAL AND </w:t>
                      </w:r>
                    </w:p>
                    <w:p w14:paraId="6F6EE7AC" w14:textId="77777777" w:rsidR="00ED6F57" w:rsidRPr="001C2D5D" w:rsidRDefault="00ED6F57" w:rsidP="00740DC0">
                      <w:pPr>
                        <w:spacing w:after="0" w:line="240" w:lineRule="auto"/>
                        <w:rPr>
                          <w:rFonts w:ascii="Courier New" w:hAnsi="Courier New" w:cs="Courier New"/>
                          <w:sz w:val="12"/>
                          <w:szCs w:val="12"/>
                          <w:lang w:val="en-GB"/>
                        </w:rPr>
                      </w:pPr>
                      <w:r w:rsidRPr="001C2D5D">
                        <w:rPr>
                          <w:rFonts w:ascii="Courier New" w:hAnsi="Courier New" w:cs="Courier New"/>
                          <w:sz w:val="12"/>
                          <w:szCs w:val="12"/>
                          <w:lang w:val="en-GB"/>
                        </w:rPr>
                        <w:t>HUMAN RIGHTS e.V.</w:t>
                      </w:r>
                    </w:p>
                    <w:p w14:paraId="0CBAB06B" w14:textId="77777777" w:rsidR="00ED6F57" w:rsidRDefault="00ED6F57" w:rsidP="00740DC0">
                      <w:pPr>
                        <w:spacing w:after="0" w:line="240" w:lineRule="auto"/>
                        <w:rPr>
                          <w:rFonts w:ascii="Courier New" w:hAnsi="Courier New" w:cs="Courier New"/>
                          <w:sz w:val="12"/>
                          <w:szCs w:val="12"/>
                        </w:rPr>
                      </w:pPr>
                      <w:r>
                        <w:rPr>
                          <w:rFonts w:ascii="Courier New" w:hAnsi="Courier New" w:cs="Courier New"/>
                          <w:sz w:val="12"/>
                          <w:szCs w:val="12"/>
                        </w:rPr>
                        <w:t>_</w:t>
                      </w:r>
                    </w:p>
                    <w:p w14:paraId="710EA0F4" w14:textId="77777777" w:rsidR="00ED6F57" w:rsidRDefault="00ED6F57" w:rsidP="00740DC0">
                      <w:pPr>
                        <w:spacing w:after="0" w:line="240" w:lineRule="auto"/>
                        <w:rPr>
                          <w:rFonts w:ascii="Courier New" w:hAnsi="Courier New" w:cs="Courier New"/>
                          <w:sz w:val="12"/>
                          <w:szCs w:val="12"/>
                        </w:rPr>
                      </w:pPr>
                    </w:p>
                    <w:p w14:paraId="5941B7A9" w14:textId="77777777" w:rsidR="00ED6F57" w:rsidRPr="009E7A4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ZOSSENER STR. 55-58</w:t>
                      </w:r>
                    </w:p>
                    <w:p w14:paraId="492FB486" w14:textId="77777777" w:rsidR="00ED6F57" w:rsidRPr="009E7A4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AUFGANG D</w:t>
                      </w:r>
                    </w:p>
                    <w:p w14:paraId="462D4242" w14:textId="77777777" w:rsidR="00ED6F57" w:rsidRPr="009E7A4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10961 BERLIN, GERMANY</w:t>
                      </w:r>
                    </w:p>
                    <w:p w14:paraId="5153C60D" w14:textId="77777777" w:rsidR="00ED6F57" w:rsidRPr="00895C5C" w:rsidRDefault="00ED6F57" w:rsidP="00740DC0">
                      <w:pPr>
                        <w:spacing w:after="0" w:line="240" w:lineRule="auto"/>
                        <w:rPr>
                          <w:rFonts w:ascii="Courier New" w:hAnsi="Courier New" w:cs="Courier New"/>
                          <w:sz w:val="12"/>
                          <w:szCs w:val="12"/>
                          <w:lang w:val="fr-CH"/>
                        </w:rPr>
                      </w:pPr>
                      <w:r w:rsidRPr="00895C5C">
                        <w:rPr>
                          <w:rFonts w:ascii="Courier New" w:hAnsi="Courier New" w:cs="Courier New"/>
                          <w:sz w:val="12"/>
                          <w:szCs w:val="12"/>
                          <w:lang w:val="fr-CH"/>
                        </w:rPr>
                        <w:t>_</w:t>
                      </w:r>
                    </w:p>
                    <w:p w14:paraId="15E1C607" w14:textId="77777777" w:rsidR="00ED6F57" w:rsidRPr="00895C5C" w:rsidRDefault="00ED6F57" w:rsidP="00740DC0">
                      <w:pPr>
                        <w:spacing w:after="0" w:line="240" w:lineRule="auto"/>
                        <w:rPr>
                          <w:rFonts w:ascii="Courier New" w:hAnsi="Courier New" w:cs="Courier New"/>
                          <w:sz w:val="12"/>
                          <w:szCs w:val="12"/>
                          <w:lang w:val="fr-CH"/>
                        </w:rPr>
                      </w:pPr>
                    </w:p>
                    <w:p w14:paraId="1176C433" w14:textId="77777777" w:rsidR="00ED6F57" w:rsidRPr="00895C5C" w:rsidRDefault="00ED6F57" w:rsidP="00740DC0">
                      <w:pPr>
                        <w:spacing w:after="0" w:line="240" w:lineRule="auto"/>
                        <w:rPr>
                          <w:rFonts w:ascii="Courier New" w:hAnsi="Courier New" w:cs="Courier New"/>
                          <w:sz w:val="12"/>
                          <w:szCs w:val="12"/>
                          <w:lang w:val="fr-CH"/>
                        </w:rPr>
                      </w:pPr>
                      <w:r w:rsidRPr="00895C5C">
                        <w:rPr>
                          <w:rFonts w:ascii="Courier New" w:hAnsi="Courier New" w:cs="Courier New"/>
                          <w:sz w:val="12"/>
                          <w:szCs w:val="12"/>
                          <w:lang w:val="fr-CH"/>
                        </w:rPr>
                        <w:t>PHONE +49.(030).40 04 85 90</w:t>
                      </w:r>
                    </w:p>
                    <w:p w14:paraId="1451A136" w14:textId="77777777" w:rsidR="00ED6F57" w:rsidRPr="00895C5C" w:rsidRDefault="00ED6F57" w:rsidP="00740DC0">
                      <w:pPr>
                        <w:spacing w:after="0" w:line="240" w:lineRule="auto"/>
                        <w:rPr>
                          <w:rFonts w:ascii="Courier New" w:hAnsi="Courier New" w:cs="Courier New"/>
                          <w:sz w:val="12"/>
                          <w:szCs w:val="12"/>
                          <w:lang w:val="fr-CH"/>
                        </w:rPr>
                      </w:pPr>
                      <w:r w:rsidRPr="00895C5C">
                        <w:rPr>
                          <w:rFonts w:ascii="Courier New" w:hAnsi="Courier New" w:cs="Courier New"/>
                          <w:sz w:val="12"/>
                          <w:szCs w:val="12"/>
                          <w:lang w:val="fr-CH"/>
                        </w:rPr>
                        <w:t>FAX   +49.(030).40 04 85 92</w:t>
                      </w:r>
                    </w:p>
                    <w:p w14:paraId="1AA24F70" w14:textId="77777777" w:rsidR="00ED6F57" w:rsidRPr="00895C5C" w:rsidRDefault="00ED6F57" w:rsidP="00740DC0">
                      <w:pPr>
                        <w:spacing w:after="0" w:line="240" w:lineRule="auto"/>
                        <w:rPr>
                          <w:rFonts w:ascii="Courier New" w:hAnsi="Courier New" w:cs="Courier New"/>
                          <w:sz w:val="12"/>
                          <w:szCs w:val="12"/>
                          <w:lang w:val="fr-CH"/>
                        </w:rPr>
                      </w:pPr>
                      <w:r w:rsidRPr="00895C5C">
                        <w:rPr>
                          <w:rFonts w:ascii="Courier New" w:hAnsi="Courier New" w:cs="Courier New"/>
                          <w:sz w:val="12"/>
                          <w:szCs w:val="12"/>
                          <w:lang w:val="fr-CH"/>
                        </w:rPr>
                        <w:t>MAIL  INFO@ECCHR.EU</w:t>
                      </w:r>
                    </w:p>
                    <w:p w14:paraId="5FCE45B7" w14:textId="77777777" w:rsidR="00ED6F57" w:rsidRDefault="00ED6F57" w:rsidP="00740DC0">
                      <w:pPr>
                        <w:spacing w:after="0" w:line="240" w:lineRule="auto"/>
                        <w:rPr>
                          <w:rFonts w:ascii="Courier New" w:hAnsi="Courier New" w:cs="Courier New"/>
                          <w:sz w:val="12"/>
                          <w:szCs w:val="12"/>
                        </w:rPr>
                      </w:pPr>
                      <w:r w:rsidRPr="009E7A47">
                        <w:rPr>
                          <w:rFonts w:ascii="Courier New" w:hAnsi="Courier New" w:cs="Courier New"/>
                          <w:sz w:val="12"/>
                          <w:szCs w:val="12"/>
                        </w:rPr>
                        <w:t xml:space="preserve">WEB   </w:t>
                      </w:r>
                      <w:r w:rsidRPr="00DF3E16">
                        <w:rPr>
                          <w:rFonts w:ascii="Courier New" w:hAnsi="Courier New" w:cs="Courier New"/>
                          <w:sz w:val="12"/>
                          <w:szCs w:val="12"/>
                        </w:rPr>
                        <w:t>WWW.ECCHR.EU</w:t>
                      </w:r>
                    </w:p>
                    <w:p w14:paraId="07556902" w14:textId="77777777" w:rsidR="00ED6F57" w:rsidRDefault="00ED6F57" w:rsidP="00740DC0">
                      <w:pPr>
                        <w:spacing w:after="0" w:line="240" w:lineRule="auto"/>
                        <w:rPr>
                          <w:rFonts w:ascii="Courier New" w:hAnsi="Courier New" w:cs="Courier New"/>
                          <w:sz w:val="12"/>
                          <w:szCs w:val="12"/>
                        </w:rPr>
                      </w:pPr>
                    </w:p>
                    <w:p w14:paraId="72AA17F0" w14:textId="77777777" w:rsidR="00ED6F57" w:rsidRDefault="00ED6F57" w:rsidP="00740DC0">
                      <w:pPr>
                        <w:spacing w:after="0" w:line="240" w:lineRule="auto"/>
                        <w:rPr>
                          <w:rFonts w:ascii="Courier New" w:hAnsi="Courier New" w:cs="Courier New"/>
                          <w:sz w:val="12"/>
                          <w:szCs w:val="12"/>
                        </w:rPr>
                      </w:pPr>
                    </w:p>
                    <w:p w14:paraId="02654475" w14:textId="77777777" w:rsidR="00ED6F57" w:rsidRDefault="00ED6F57" w:rsidP="00740DC0">
                      <w:pPr>
                        <w:spacing w:after="0" w:line="240" w:lineRule="auto"/>
                        <w:rPr>
                          <w:rFonts w:ascii="Courier New" w:hAnsi="Courier New" w:cs="Courier New"/>
                          <w:sz w:val="12"/>
                          <w:szCs w:val="12"/>
                        </w:rPr>
                      </w:pPr>
                      <w:r>
                        <w:rPr>
                          <w:rFonts w:ascii="Courier New" w:hAnsi="Courier New" w:cs="Courier New"/>
                          <w:noProof/>
                          <w:sz w:val="12"/>
                          <w:szCs w:val="12"/>
                          <w:lang w:eastAsia="de-DE"/>
                        </w:rPr>
                        <w:drawing>
                          <wp:inline distT="0" distB="0" distL="0" distR="0" wp14:anchorId="63F3CFA5" wp14:editId="1B71D88A">
                            <wp:extent cx="1266825" cy="85725"/>
                            <wp:effectExtent l="0" t="0" r="9525" b="9525"/>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85725"/>
                                    </a:xfrm>
                                    <a:prstGeom prst="rect">
                                      <a:avLst/>
                                    </a:prstGeom>
                                    <a:noFill/>
                                    <a:ln>
                                      <a:noFill/>
                                    </a:ln>
                                  </pic:spPr>
                                </pic:pic>
                              </a:graphicData>
                            </a:graphic>
                          </wp:inline>
                        </w:drawing>
                      </w:r>
                    </w:p>
                    <w:p w14:paraId="01FFF022" w14:textId="77777777" w:rsidR="00ED6F57" w:rsidRDefault="00ED6F57" w:rsidP="00740DC0">
                      <w:pPr>
                        <w:spacing w:after="0" w:line="240" w:lineRule="auto"/>
                        <w:rPr>
                          <w:rFonts w:ascii="Courier New" w:hAnsi="Courier New" w:cs="Courier New"/>
                          <w:sz w:val="12"/>
                          <w:szCs w:val="12"/>
                        </w:rPr>
                      </w:pPr>
                    </w:p>
                    <w:p w14:paraId="52AC0199" w14:textId="77777777" w:rsidR="00ED6F57" w:rsidRDefault="00ED6F57" w:rsidP="00740DC0">
                      <w:pPr>
                        <w:spacing w:after="0" w:line="240" w:lineRule="auto"/>
                        <w:rPr>
                          <w:rFonts w:ascii="Courier New" w:hAnsi="Courier New" w:cs="Courier New"/>
                          <w:sz w:val="12"/>
                          <w:szCs w:val="12"/>
                        </w:rPr>
                      </w:pPr>
                    </w:p>
                    <w:p w14:paraId="2BC632BB" w14:textId="77777777" w:rsidR="00ED6F57" w:rsidRDefault="00ED6F57" w:rsidP="00740DC0">
                      <w:pPr>
                        <w:spacing w:after="0" w:line="240" w:lineRule="auto"/>
                        <w:rPr>
                          <w:rFonts w:ascii="Courier New" w:hAnsi="Courier New" w:cs="Courier New"/>
                          <w:sz w:val="12"/>
                          <w:szCs w:val="12"/>
                        </w:rPr>
                      </w:pPr>
                    </w:p>
                    <w:p w14:paraId="6D94EE32" w14:textId="77777777" w:rsidR="00ED6F57" w:rsidRDefault="00ED6F57" w:rsidP="00740DC0">
                      <w:pPr>
                        <w:spacing w:after="0" w:line="240" w:lineRule="auto"/>
                        <w:rPr>
                          <w:rFonts w:ascii="Courier New" w:hAnsi="Courier New" w:cs="Courier New"/>
                          <w:sz w:val="12"/>
                          <w:szCs w:val="12"/>
                        </w:rPr>
                      </w:pPr>
                    </w:p>
                    <w:p w14:paraId="0582F233" w14:textId="77777777" w:rsidR="00ED6F57" w:rsidRDefault="00ED6F57" w:rsidP="00740DC0">
                      <w:pPr>
                        <w:spacing w:after="0" w:line="240" w:lineRule="auto"/>
                        <w:rPr>
                          <w:rFonts w:ascii="Courier New" w:hAnsi="Courier New" w:cs="Courier New"/>
                          <w:sz w:val="12"/>
                          <w:szCs w:val="12"/>
                        </w:rPr>
                      </w:pPr>
                    </w:p>
                    <w:p w14:paraId="0B922FB9" w14:textId="77777777" w:rsidR="00ED6F57" w:rsidRDefault="00ED6F57" w:rsidP="00740DC0">
                      <w:pPr>
                        <w:spacing w:after="0" w:line="240" w:lineRule="auto"/>
                        <w:rPr>
                          <w:rFonts w:ascii="Courier New" w:hAnsi="Courier New" w:cs="Courier New"/>
                          <w:sz w:val="12"/>
                          <w:szCs w:val="12"/>
                        </w:rPr>
                      </w:pPr>
                    </w:p>
                    <w:p w14:paraId="023D9198" w14:textId="77777777" w:rsidR="00ED6F57" w:rsidRDefault="00ED6F57" w:rsidP="00740DC0">
                      <w:pPr>
                        <w:spacing w:after="0" w:line="240" w:lineRule="auto"/>
                        <w:rPr>
                          <w:rFonts w:ascii="Courier New" w:hAnsi="Courier New" w:cs="Courier New"/>
                          <w:sz w:val="12"/>
                          <w:szCs w:val="12"/>
                        </w:rPr>
                      </w:pPr>
                    </w:p>
                    <w:p w14:paraId="0F072F57" w14:textId="77777777" w:rsidR="00ED6F57" w:rsidRDefault="00ED6F57" w:rsidP="00740DC0">
                      <w:pPr>
                        <w:spacing w:after="0" w:line="240" w:lineRule="auto"/>
                        <w:rPr>
                          <w:rFonts w:ascii="Courier New" w:hAnsi="Courier New" w:cs="Courier New"/>
                          <w:sz w:val="12"/>
                          <w:szCs w:val="12"/>
                        </w:rPr>
                      </w:pPr>
                    </w:p>
                    <w:p w14:paraId="21AFDC26" w14:textId="77777777" w:rsidR="00ED6F57" w:rsidRDefault="00ED6F57" w:rsidP="00740DC0">
                      <w:pPr>
                        <w:spacing w:after="0" w:line="240" w:lineRule="auto"/>
                        <w:rPr>
                          <w:rFonts w:ascii="Courier New" w:hAnsi="Courier New" w:cs="Courier New"/>
                          <w:sz w:val="12"/>
                          <w:szCs w:val="12"/>
                        </w:rPr>
                      </w:pPr>
                    </w:p>
                    <w:p w14:paraId="729D697B" w14:textId="77777777" w:rsidR="00ED6F57" w:rsidRDefault="00ED6F57" w:rsidP="00740DC0">
                      <w:pPr>
                        <w:spacing w:after="0" w:line="240" w:lineRule="auto"/>
                        <w:rPr>
                          <w:rFonts w:ascii="Courier New" w:hAnsi="Courier New" w:cs="Courier New"/>
                          <w:sz w:val="12"/>
                          <w:szCs w:val="12"/>
                        </w:rPr>
                      </w:pPr>
                    </w:p>
                    <w:p w14:paraId="1BE47F0F" w14:textId="77777777" w:rsidR="00ED6F57" w:rsidRDefault="00ED6F57" w:rsidP="00740DC0">
                      <w:pPr>
                        <w:spacing w:after="0" w:line="240" w:lineRule="auto"/>
                        <w:rPr>
                          <w:rFonts w:ascii="Courier New" w:hAnsi="Courier New" w:cs="Courier New"/>
                          <w:sz w:val="12"/>
                          <w:szCs w:val="12"/>
                        </w:rPr>
                      </w:pPr>
                    </w:p>
                    <w:p w14:paraId="27EB212A" w14:textId="77777777" w:rsidR="00ED6F57" w:rsidRDefault="00ED6F57" w:rsidP="00740DC0">
                      <w:pPr>
                        <w:spacing w:after="0" w:line="240" w:lineRule="auto"/>
                        <w:rPr>
                          <w:rFonts w:ascii="Courier New" w:hAnsi="Courier New" w:cs="Courier New"/>
                          <w:sz w:val="12"/>
                          <w:szCs w:val="12"/>
                        </w:rPr>
                      </w:pPr>
                    </w:p>
                  </w:txbxContent>
                </v:textbox>
                <w10:wrap type="square"/>
                <w10:anchorlock/>
              </v:shape>
            </w:pict>
          </mc:Fallback>
        </mc:AlternateContent>
      </w:r>
    </w:p>
    <w:p w14:paraId="3FCEC577" w14:textId="6CDA3C27" w:rsidR="00B042E8" w:rsidRPr="00F969DB" w:rsidRDefault="00E87226" w:rsidP="005122BB">
      <w:pPr>
        <w:spacing w:after="0" w:line="240" w:lineRule="auto"/>
        <w:jc w:val="both"/>
      </w:pPr>
      <w:r w:rsidRPr="00E87226">
        <w:rPr>
          <w:noProof/>
          <w:lang w:val="en-GB" w:eastAsia="en-GB"/>
        </w:rPr>
        <w:drawing>
          <wp:inline distT="0" distB="0" distL="0" distR="0" wp14:anchorId="0B428DBF" wp14:editId="76CCF805">
            <wp:extent cx="3977005" cy="60819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PF_with_byline_right_positive_landscape.png"/>
                    <pic:cNvPicPr/>
                  </pic:nvPicPr>
                  <pic:blipFill>
                    <a:blip r:embed="rId11">
                      <a:extLst>
                        <a:ext uri="{28A0092B-C50C-407E-A947-70E740481C1C}">
                          <a14:useLocalDpi xmlns:a14="http://schemas.microsoft.com/office/drawing/2010/main" val="0"/>
                        </a:ext>
                      </a:extLst>
                    </a:blip>
                    <a:stretch>
                      <a:fillRect/>
                    </a:stretch>
                  </pic:blipFill>
                  <pic:spPr>
                    <a:xfrm>
                      <a:off x="0" y="0"/>
                      <a:ext cx="3979225" cy="608536"/>
                    </a:xfrm>
                    <a:prstGeom prst="rect">
                      <a:avLst/>
                    </a:prstGeom>
                  </pic:spPr>
                </pic:pic>
              </a:graphicData>
            </a:graphic>
          </wp:inline>
        </w:drawing>
      </w:r>
    </w:p>
    <w:p w14:paraId="7A7A459C" w14:textId="77777777" w:rsidR="009818E5" w:rsidRDefault="009818E5" w:rsidP="005122BB">
      <w:pPr>
        <w:spacing w:after="0" w:line="240" w:lineRule="auto"/>
        <w:jc w:val="center"/>
        <w:rPr>
          <w:rFonts w:ascii="Arial" w:hAnsi="Arial" w:cs="Arial"/>
          <w:b/>
          <w:sz w:val="32"/>
          <w:szCs w:val="28"/>
        </w:rPr>
      </w:pPr>
    </w:p>
    <w:p w14:paraId="3FCD7AA4" w14:textId="4101605A" w:rsidR="009818E5" w:rsidRDefault="009818E5" w:rsidP="005122BB">
      <w:pPr>
        <w:spacing w:after="0" w:line="240" w:lineRule="auto"/>
        <w:jc w:val="center"/>
        <w:rPr>
          <w:rFonts w:ascii="Arial" w:hAnsi="Arial" w:cs="Arial"/>
          <w:b/>
          <w:sz w:val="32"/>
          <w:szCs w:val="28"/>
        </w:rPr>
      </w:pPr>
    </w:p>
    <w:p w14:paraId="48E6C0EA" w14:textId="77777777" w:rsidR="009818E5" w:rsidRDefault="009818E5" w:rsidP="005122BB">
      <w:pPr>
        <w:spacing w:after="0" w:line="240" w:lineRule="auto"/>
        <w:jc w:val="center"/>
        <w:rPr>
          <w:rFonts w:ascii="Arial" w:hAnsi="Arial" w:cs="Arial"/>
          <w:b/>
          <w:sz w:val="32"/>
          <w:szCs w:val="28"/>
        </w:rPr>
      </w:pPr>
    </w:p>
    <w:p w14:paraId="5783BAF5" w14:textId="77777777" w:rsidR="009818E5" w:rsidRDefault="009818E5" w:rsidP="005122BB">
      <w:pPr>
        <w:spacing w:after="0" w:line="240" w:lineRule="auto"/>
        <w:jc w:val="center"/>
        <w:rPr>
          <w:rFonts w:ascii="Arial" w:hAnsi="Arial" w:cs="Arial"/>
          <w:b/>
          <w:sz w:val="32"/>
          <w:szCs w:val="28"/>
        </w:rPr>
      </w:pPr>
    </w:p>
    <w:p w14:paraId="73A81CB2" w14:textId="77777777" w:rsidR="009818E5" w:rsidRDefault="009818E5" w:rsidP="005122BB">
      <w:pPr>
        <w:spacing w:after="0" w:line="240" w:lineRule="auto"/>
        <w:jc w:val="center"/>
        <w:rPr>
          <w:rFonts w:ascii="Arial" w:hAnsi="Arial" w:cs="Arial"/>
          <w:b/>
          <w:sz w:val="32"/>
          <w:szCs w:val="28"/>
        </w:rPr>
      </w:pPr>
    </w:p>
    <w:p w14:paraId="1361D4C0" w14:textId="77777777" w:rsidR="00706D46" w:rsidRDefault="00706D46" w:rsidP="005122BB">
      <w:pPr>
        <w:spacing w:after="0" w:line="240" w:lineRule="auto"/>
        <w:jc w:val="center"/>
        <w:rPr>
          <w:rFonts w:ascii="Arial" w:hAnsi="Arial" w:cs="Arial"/>
          <w:b/>
          <w:sz w:val="32"/>
          <w:szCs w:val="28"/>
        </w:rPr>
      </w:pPr>
    </w:p>
    <w:p w14:paraId="2B2B756F" w14:textId="77777777" w:rsidR="00706D46" w:rsidRDefault="00706D46" w:rsidP="005122BB">
      <w:pPr>
        <w:spacing w:after="0" w:line="240" w:lineRule="auto"/>
        <w:jc w:val="center"/>
        <w:rPr>
          <w:rFonts w:ascii="Arial" w:hAnsi="Arial" w:cs="Arial"/>
          <w:b/>
          <w:sz w:val="32"/>
          <w:szCs w:val="28"/>
        </w:rPr>
      </w:pPr>
    </w:p>
    <w:p w14:paraId="3D44F931" w14:textId="77777777" w:rsidR="00706D46" w:rsidRDefault="00706D46" w:rsidP="005122BB">
      <w:pPr>
        <w:spacing w:after="0" w:line="240" w:lineRule="auto"/>
        <w:jc w:val="center"/>
        <w:rPr>
          <w:rFonts w:ascii="Arial" w:hAnsi="Arial" w:cs="Arial"/>
          <w:b/>
          <w:sz w:val="32"/>
          <w:szCs w:val="28"/>
        </w:rPr>
      </w:pPr>
    </w:p>
    <w:p w14:paraId="1A18ACC9" w14:textId="4033CF22" w:rsidR="001C2D5D" w:rsidRPr="00090329" w:rsidRDefault="001C2D5D" w:rsidP="00090329">
      <w:pPr>
        <w:pStyle w:val="Textbody"/>
        <w:jc w:val="center"/>
        <w:rPr>
          <w:rFonts w:cs="Times New Roman"/>
          <w:b/>
          <w:color w:val="000000"/>
          <w:sz w:val="36"/>
          <w:szCs w:val="36"/>
          <w:lang w:val="en-GB"/>
        </w:rPr>
      </w:pPr>
      <w:r w:rsidRPr="00090329">
        <w:rPr>
          <w:rFonts w:cs="Times New Roman"/>
          <w:b/>
          <w:color w:val="000000"/>
          <w:sz w:val="36"/>
          <w:szCs w:val="36"/>
          <w:lang w:val="en-GB"/>
        </w:rPr>
        <w:t xml:space="preserve">The </w:t>
      </w:r>
      <w:r w:rsidR="00F51CA3">
        <w:rPr>
          <w:rFonts w:cs="Times New Roman"/>
          <w:b/>
          <w:color w:val="000000"/>
          <w:sz w:val="36"/>
          <w:szCs w:val="36"/>
          <w:lang w:val="en-GB"/>
        </w:rPr>
        <w:t>Persisting Impact of Germany's Arms T</w:t>
      </w:r>
      <w:r w:rsidRPr="00090329">
        <w:rPr>
          <w:rFonts w:cs="Times New Roman"/>
          <w:b/>
          <w:color w:val="000000"/>
          <w:sz w:val="36"/>
          <w:szCs w:val="36"/>
          <w:lang w:val="en-GB"/>
        </w:rPr>
        <w:t>ransfers on Women</w:t>
      </w:r>
      <w:r w:rsidR="004F68E6">
        <w:rPr>
          <w:rFonts w:cs="Times New Roman"/>
          <w:b/>
          <w:color w:val="000000"/>
          <w:sz w:val="36"/>
          <w:szCs w:val="36"/>
          <w:lang w:val="en-GB"/>
        </w:rPr>
        <w:t>’</w:t>
      </w:r>
      <w:r w:rsidR="00DC2732">
        <w:rPr>
          <w:rFonts w:cs="Times New Roman"/>
          <w:b/>
          <w:color w:val="000000"/>
          <w:sz w:val="36"/>
          <w:szCs w:val="36"/>
          <w:lang w:val="en-GB"/>
        </w:rPr>
        <w:t>s R</w:t>
      </w:r>
      <w:r w:rsidR="004F68E6">
        <w:rPr>
          <w:rFonts w:cs="Times New Roman"/>
          <w:b/>
          <w:color w:val="000000"/>
          <w:sz w:val="36"/>
          <w:szCs w:val="36"/>
          <w:lang w:val="en-GB"/>
        </w:rPr>
        <w:t>ights</w:t>
      </w:r>
    </w:p>
    <w:p w14:paraId="3FA968A5" w14:textId="77777777" w:rsidR="00356A82" w:rsidRPr="001C2D5D" w:rsidRDefault="00356A82" w:rsidP="005122BB">
      <w:pPr>
        <w:spacing w:after="0" w:line="240" w:lineRule="auto"/>
        <w:jc w:val="center"/>
        <w:rPr>
          <w:rFonts w:ascii="Arial" w:hAnsi="Arial" w:cs="Arial"/>
          <w:b/>
          <w:sz w:val="32"/>
          <w:szCs w:val="28"/>
          <w:lang w:val="en-GB"/>
        </w:rPr>
      </w:pPr>
    </w:p>
    <w:p w14:paraId="612062AC" w14:textId="77777777" w:rsidR="00711C1D" w:rsidRPr="001C2D5D" w:rsidRDefault="00711C1D" w:rsidP="005122BB">
      <w:pPr>
        <w:spacing w:after="0" w:line="240" w:lineRule="auto"/>
        <w:jc w:val="both"/>
        <w:rPr>
          <w:sz w:val="24"/>
          <w:szCs w:val="24"/>
          <w:lang w:val="en-GB"/>
        </w:rPr>
      </w:pPr>
    </w:p>
    <w:p w14:paraId="32764D6E" w14:textId="77777777" w:rsidR="00872D2A" w:rsidRPr="001C2D5D" w:rsidRDefault="00872D2A" w:rsidP="005122BB">
      <w:pPr>
        <w:spacing w:after="0" w:line="240" w:lineRule="auto"/>
        <w:jc w:val="both"/>
        <w:rPr>
          <w:sz w:val="24"/>
          <w:szCs w:val="24"/>
          <w:lang w:val="en-GB"/>
        </w:rPr>
      </w:pPr>
    </w:p>
    <w:p w14:paraId="7F8552D8" w14:textId="77777777" w:rsidR="00356A82" w:rsidRDefault="00090329" w:rsidP="00356A82">
      <w:pPr>
        <w:spacing w:after="0" w:line="240" w:lineRule="auto"/>
        <w:jc w:val="center"/>
        <w:rPr>
          <w:sz w:val="24"/>
          <w:szCs w:val="24"/>
        </w:rPr>
      </w:pPr>
      <w:r>
        <w:rPr>
          <w:rFonts w:ascii="Courier New" w:hAnsi="Courier New" w:cs="Courier New"/>
          <w:noProof/>
          <w:sz w:val="12"/>
          <w:szCs w:val="12"/>
          <w:lang w:val="en-GB" w:eastAsia="en-GB"/>
        </w:rPr>
        <w:drawing>
          <wp:inline distT="0" distB="0" distL="0" distR="0" wp14:anchorId="5F54D6C9" wp14:editId="54C0BE6D">
            <wp:extent cx="1819275" cy="85725"/>
            <wp:effectExtent l="0" t="0" r="9525" b="9525"/>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85725"/>
                    </a:xfrm>
                    <a:prstGeom prst="rect">
                      <a:avLst/>
                    </a:prstGeom>
                    <a:noFill/>
                    <a:ln>
                      <a:noFill/>
                    </a:ln>
                  </pic:spPr>
                </pic:pic>
              </a:graphicData>
            </a:graphic>
          </wp:inline>
        </w:drawing>
      </w:r>
    </w:p>
    <w:p w14:paraId="38C81929" w14:textId="77777777" w:rsidR="00356A82" w:rsidRDefault="00356A82" w:rsidP="005122BB">
      <w:pPr>
        <w:spacing w:after="0" w:line="240" w:lineRule="auto"/>
        <w:jc w:val="both"/>
        <w:rPr>
          <w:sz w:val="24"/>
          <w:szCs w:val="24"/>
        </w:rPr>
      </w:pPr>
    </w:p>
    <w:p w14:paraId="6F7A1AED" w14:textId="77777777" w:rsidR="00356A82" w:rsidRPr="00D03C20" w:rsidRDefault="00356A82" w:rsidP="005122BB">
      <w:pPr>
        <w:spacing w:after="0" w:line="240" w:lineRule="auto"/>
        <w:jc w:val="both"/>
        <w:rPr>
          <w:sz w:val="24"/>
          <w:szCs w:val="24"/>
        </w:rPr>
      </w:pPr>
    </w:p>
    <w:p w14:paraId="3A67D88E" w14:textId="77777777" w:rsidR="00711C1D" w:rsidRDefault="00711C1D" w:rsidP="005122BB">
      <w:pPr>
        <w:spacing w:after="0" w:line="240" w:lineRule="auto"/>
        <w:jc w:val="both"/>
        <w:rPr>
          <w:sz w:val="24"/>
          <w:szCs w:val="24"/>
        </w:rPr>
      </w:pPr>
    </w:p>
    <w:p w14:paraId="3CEB8D23" w14:textId="7671CBBE" w:rsidR="00090329" w:rsidRPr="004F0958" w:rsidRDefault="004F0958" w:rsidP="004F0958">
      <w:pPr>
        <w:pStyle w:val="Textbody"/>
        <w:jc w:val="center"/>
        <w:rPr>
          <w:b/>
          <w:color w:val="000000"/>
          <w:sz w:val="28"/>
          <w:szCs w:val="28"/>
          <w:lang w:val="en-US"/>
        </w:rPr>
      </w:pPr>
      <w:r>
        <w:rPr>
          <w:rFonts w:cs="Times New Roman"/>
          <w:b/>
          <w:color w:val="000000"/>
          <w:sz w:val="28"/>
          <w:szCs w:val="28"/>
          <w:lang w:val="en-GB"/>
        </w:rPr>
        <w:t>Submission to t</w:t>
      </w:r>
      <w:r w:rsidR="00090329" w:rsidRPr="00090329">
        <w:rPr>
          <w:rFonts w:cs="Times New Roman"/>
          <w:b/>
          <w:color w:val="000000"/>
          <w:sz w:val="28"/>
          <w:szCs w:val="28"/>
          <w:lang w:val="en-GB"/>
        </w:rPr>
        <w:t xml:space="preserve">he CEDAW </w:t>
      </w:r>
      <w:r w:rsidRPr="004F0958">
        <w:rPr>
          <w:b/>
          <w:bCs/>
          <w:color w:val="000000"/>
          <w:sz w:val="28"/>
          <w:szCs w:val="28"/>
          <w:lang w:val="en-US"/>
        </w:rPr>
        <w:t>77 Pre-Sessional Working Group (02 Mar 2020 - 06 Mar 2020)</w:t>
      </w:r>
      <w:r>
        <w:rPr>
          <w:b/>
          <w:color w:val="000000"/>
          <w:sz w:val="28"/>
          <w:szCs w:val="28"/>
          <w:lang w:val="en-US"/>
        </w:rPr>
        <w:t xml:space="preserve"> – </w:t>
      </w:r>
      <w:r w:rsidR="00090329" w:rsidRPr="00090329">
        <w:rPr>
          <w:rFonts w:cs="Times New Roman"/>
          <w:b/>
          <w:color w:val="000000"/>
          <w:sz w:val="28"/>
          <w:szCs w:val="28"/>
          <w:lang w:val="en-GB"/>
        </w:rPr>
        <w:t>Germany</w:t>
      </w:r>
      <w:r>
        <w:rPr>
          <w:rFonts w:cs="Times New Roman"/>
          <w:b/>
          <w:color w:val="000000"/>
          <w:sz w:val="28"/>
          <w:szCs w:val="28"/>
          <w:lang w:val="en-GB"/>
        </w:rPr>
        <w:t xml:space="preserve"> -</w:t>
      </w:r>
      <w:r w:rsidR="00090329" w:rsidRPr="00090329">
        <w:rPr>
          <w:rFonts w:cs="Times New Roman"/>
          <w:b/>
          <w:color w:val="000000"/>
          <w:sz w:val="28"/>
          <w:szCs w:val="28"/>
          <w:lang w:val="en-GB"/>
        </w:rPr>
        <w:t xml:space="preserve"> </w:t>
      </w:r>
      <w:r>
        <w:rPr>
          <w:rFonts w:cs="Times New Roman"/>
          <w:b/>
          <w:color w:val="000000"/>
          <w:sz w:val="28"/>
          <w:szCs w:val="28"/>
          <w:lang w:val="en-GB"/>
        </w:rPr>
        <w:t>L</w:t>
      </w:r>
      <w:r w:rsidR="00090329" w:rsidRPr="00090329">
        <w:rPr>
          <w:rFonts w:cs="Times New Roman"/>
          <w:b/>
          <w:color w:val="000000"/>
          <w:sz w:val="28"/>
          <w:szCs w:val="28"/>
          <w:lang w:val="en-GB"/>
        </w:rPr>
        <w:t xml:space="preserve">ist of issues prior to reporting </w:t>
      </w:r>
    </w:p>
    <w:p w14:paraId="3392517B" w14:textId="77777777" w:rsidR="009818E5" w:rsidRPr="00090329" w:rsidRDefault="009818E5" w:rsidP="005122BB">
      <w:pPr>
        <w:spacing w:after="0" w:line="240" w:lineRule="auto"/>
        <w:jc w:val="center"/>
        <w:rPr>
          <w:b/>
          <w:bCs/>
          <w:iCs/>
          <w:sz w:val="24"/>
          <w:szCs w:val="23"/>
          <w:lang w:val="en-GB"/>
        </w:rPr>
      </w:pPr>
    </w:p>
    <w:p w14:paraId="0F4CA664" w14:textId="77777777" w:rsidR="009818E5" w:rsidRPr="00090329" w:rsidRDefault="009818E5" w:rsidP="005122BB">
      <w:pPr>
        <w:spacing w:after="0" w:line="240" w:lineRule="auto"/>
        <w:jc w:val="center"/>
        <w:rPr>
          <w:b/>
          <w:bCs/>
          <w:iCs/>
          <w:sz w:val="24"/>
          <w:szCs w:val="23"/>
          <w:lang w:val="en-GB"/>
        </w:rPr>
      </w:pPr>
    </w:p>
    <w:p w14:paraId="0A98017B" w14:textId="77777777" w:rsidR="009818E5" w:rsidRPr="00090329" w:rsidRDefault="009818E5" w:rsidP="005122BB">
      <w:pPr>
        <w:spacing w:after="0" w:line="240" w:lineRule="auto"/>
        <w:jc w:val="center"/>
        <w:rPr>
          <w:b/>
          <w:bCs/>
          <w:iCs/>
          <w:sz w:val="24"/>
          <w:szCs w:val="23"/>
          <w:lang w:val="en-GB"/>
        </w:rPr>
      </w:pPr>
    </w:p>
    <w:p w14:paraId="047D732D" w14:textId="77777777" w:rsidR="00356A82" w:rsidRPr="00090329" w:rsidRDefault="00356A82" w:rsidP="00E86156">
      <w:pPr>
        <w:spacing w:after="0" w:line="240" w:lineRule="auto"/>
        <w:jc w:val="both"/>
        <w:rPr>
          <w:sz w:val="28"/>
          <w:szCs w:val="24"/>
          <w:lang w:val="en-GB"/>
        </w:rPr>
      </w:pPr>
    </w:p>
    <w:p w14:paraId="5BB82E42" w14:textId="77777777" w:rsidR="00356A82" w:rsidRPr="00090329" w:rsidRDefault="00356A82" w:rsidP="00E86156">
      <w:pPr>
        <w:spacing w:after="0" w:line="240" w:lineRule="auto"/>
        <w:jc w:val="both"/>
        <w:rPr>
          <w:sz w:val="28"/>
          <w:szCs w:val="24"/>
          <w:lang w:val="en-GB"/>
        </w:rPr>
      </w:pPr>
    </w:p>
    <w:p w14:paraId="43D37A8F" w14:textId="77777777" w:rsidR="00356A82" w:rsidRPr="00090329" w:rsidRDefault="00356A82" w:rsidP="00E86156">
      <w:pPr>
        <w:spacing w:after="0" w:line="240" w:lineRule="auto"/>
        <w:jc w:val="both"/>
        <w:rPr>
          <w:sz w:val="28"/>
          <w:szCs w:val="24"/>
          <w:lang w:val="en-GB"/>
        </w:rPr>
      </w:pPr>
    </w:p>
    <w:p w14:paraId="23119EF6" w14:textId="77777777" w:rsidR="00356A82" w:rsidRPr="00090329" w:rsidRDefault="00356A82" w:rsidP="00E86156">
      <w:pPr>
        <w:spacing w:after="0" w:line="240" w:lineRule="auto"/>
        <w:jc w:val="both"/>
        <w:rPr>
          <w:sz w:val="28"/>
          <w:szCs w:val="24"/>
          <w:lang w:val="en-GB"/>
        </w:rPr>
      </w:pPr>
    </w:p>
    <w:p w14:paraId="760C0321" w14:textId="77777777" w:rsidR="00356A82" w:rsidRPr="00090329" w:rsidRDefault="00356A82" w:rsidP="00E86156">
      <w:pPr>
        <w:spacing w:after="0" w:line="240" w:lineRule="auto"/>
        <w:jc w:val="both"/>
        <w:rPr>
          <w:sz w:val="28"/>
          <w:szCs w:val="24"/>
          <w:lang w:val="en-GB"/>
        </w:rPr>
      </w:pPr>
    </w:p>
    <w:p w14:paraId="45E0F8EE" w14:textId="77777777" w:rsidR="00356A82" w:rsidRDefault="00356A82" w:rsidP="00E86156">
      <w:pPr>
        <w:spacing w:after="0" w:line="240" w:lineRule="auto"/>
        <w:jc w:val="both"/>
        <w:rPr>
          <w:sz w:val="28"/>
          <w:szCs w:val="24"/>
          <w:lang w:val="en-GB"/>
        </w:rPr>
      </w:pPr>
    </w:p>
    <w:p w14:paraId="62BAAAAF" w14:textId="77777777" w:rsidR="00090329" w:rsidRDefault="00090329" w:rsidP="00E86156">
      <w:pPr>
        <w:spacing w:after="0" w:line="240" w:lineRule="auto"/>
        <w:jc w:val="both"/>
        <w:rPr>
          <w:sz w:val="28"/>
          <w:szCs w:val="24"/>
          <w:lang w:val="en-GB"/>
        </w:rPr>
      </w:pPr>
    </w:p>
    <w:p w14:paraId="2E32EED1" w14:textId="77777777" w:rsidR="00090329" w:rsidRDefault="00090329" w:rsidP="00E86156">
      <w:pPr>
        <w:spacing w:after="0" w:line="240" w:lineRule="auto"/>
        <w:jc w:val="both"/>
        <w:rPr>
          <w:sz w:val="28"/>
          <w:szCs w:val="24"/>
          <w:lang w:val="en-GB"/>
        </w:rPr>
      </w:pPr>
    </w:p>
    <w:p w14:paraId="73008956" w14:textId="77777777" w:rsidR="00090329" w:rsidRDefault="00090329" w:rsidP="00E86156">
      <w:pPr>
        <w:spacing w:after="0" w:line="240" w:lineRule="auto"/>
        <w:jc w:val="both"/>
        <w:rPr>
          <w:sz w:val="28"/>
          <w:szCs w:val="24"/>
          <w:lang w:val="en-GB"/>
        </w:rPr>
      </w:pPr>
    </w:p>
    <w:p w14:paraId="64EF6266" w14:textId="77777777" w:rsidR="00356A82" w:rsidRDefault="00356A82" w:rsidP="00356A82">
      <w:pPr>
        <w:spacing w:after="0" w:line="240" w:lineRule="auto"/>
        <w:rPr>
          <w:b/>
          <w:bCs/>
          <w:iCs/>
          <w:sz w:val="24"/>
          <w:szCs w:val="23"/>
        </w:rPr>
      </w:pPr>
      <w:r>
        <w:rPr>
          <w:b/>
          <w:bCs/>
          <w:iCs/>
          <w:sz w:val="24"/>
          <w:szCs w:val="23"/>
        </w:rPr>
        <w:t xml:space="preserve">Berlin, </w:t>
      </w:r>
      <w:r w:rsidR="00090329">
        <w:rPr>
          <w:b/>
          <w:bCs/>
          <w:iCs/>
          <w:sz w:val="24"/>
          <w:szCs w:val="23"/>
        </w:rPr>
        <w:t>February 2020</w:t>
      </w:r>
    </w:p>
    <w:p w14:paraId="4E9ED94A" w14:textId="77777777" w:rsidR="005122BB" w:rsidRDefault="005122BB" w:rsidP="001C2D5D">
      <w:pPr>
        <w:spacing w:after="0" w:line="240" w:lineRule="auto"/>
        <w:jc w:val="both"/>
        <w:rPr>
          <w:sz w:val="28"/>
          <w:szCs w:val="24"/>
        </w:rPr>
      </w:pPr>
    </w:p>
    <w:p w14:paraId="6C05B23C" w14:textId="77973762" w:rsidR="00090329" w:rsidRDefault="00090329" w:rsidP="00090329">
      <w:pPr>
        <w:pStyle w:val="Heading1"/>
        <w:numPr>
          <w:ilvl w:val="0"/>
          <w:numId w:val="8"/>
        </w:numPr>
      </w:pPr>
      <w:r>
        <w:rPr>
          <w:lang w:val="en-GB"/>
        </w:rPr>
        <w:lastRenderedPageBreak/>
        <w:t>The submitting organization</w:t>
      </w:r>
      <w:r w:rsidR="008F31AA">
        <w:rPr>
          <w:lang w:val="en-GB"/>
        </w:rPr>
        <w:t>s</w:t>
      </w:r>
    </w:p>
    <w:p w14:paraId="25BAC424" w14:textId="1F8FB4EE" w:rsidR="00EE0669" w:rsidRPr="00EE0669" w:rsidRDefault="00090329" w:rsidP="00EE0669">
      <w:pPr>
        <w:rPr>
          <w:rFonts w:eastAsia="Times New Roman"/>
          <w:sz w:val="20"/>
          <w:szCs w:val="20"/>
          <w:lang w:val="en-US"/>
        </w:rPr>
      </w:pPr>
      <w:r>
        <w:rPr>
          <w:color w:val="000000"/>
          <w:lang w:val="en-GB"/>
        </w:rPr>
        <w:t xml:space="preserve">The European </w:t>
      </w:r>
      <w:proofErr w:type="spellStart"/>
      <w:r>
        <w:rPr>
          <w:color w:val="000000"/>
          <w:lang w:val="en-GB"/>
        </w:rPr>
        <w:t>Center</w:t>
      </w:r>
      <w:proofErr w:type="spellEnd"/>
      <w:r>
        <w:rPr>
          <w:color w:val="000000"/>
          <w:lang w:val="en-GB"/>
        </w:rPr>
        <w:t xml:space="preserve"> for Constitutional and Human Rights (ECCHR) is an independent non-profit human rights organisation, registered in Berlin (Germany) since 2007. By engaging in strategic litigation, ECCHR uses legal means to protect groups and individuals against systematic human rights violations, and hold state and non-state actors accountable for these egregious acts.</w:t>
      </w:r>
      <w:r w:rsidR="005D65B4">
        <w:rPr>
          <w:color w:val="000000"/>
          <w:lang w:val="en-GB"/>
        </w:rPr>
        <w:t xml:space="preserve"> </w:t>
      </w:r>
      <w:r w:rsidR="00EE0669" w:rsidRPr="00EE0669">
        <w:rPr>
          <w:rFonts w:eastAsia="Times New Roman"/>
          <w:lang w:val="en-US"/>
        </w:rPr>
        <w:t>The Women’s International League for Peace and Freedom (WILPF) is an intern</w:t>
      </w:r>
      <w:r w:rsidR="008F31AA">
        <w:rPr>
          <w:rFonts w:eastAsia="Times New Roman"/>
          <w:lang w:val="en-US"/>
        </w:rPr>
        <w:t>ational non-governmental organiz</w:t>
      </w:r>
      <w:r w:rsidR="00EE0669" w:rsidRPr="00EE0669">
        <w:rPr>
          <w:rFonts w:eastAsia="Times New Roman"/>
          <w:lang w:val="en-US"/>
        </w:rPr>
        <w:t>ation with ECOSOC status</w:t>
      </w:r>
      <w:r w:rsidR="00EE0669">
        <w:rPr>
          <w:rFonts w:eastAsia="Times New Roman"/>
          <w:lang w:val="en-US"/>
        </w:rPr>
        <w:t xml:space="preserve"> since 1948</w:t>
      </w:r>
      <w:r w:rsidR="00EE0669" w:rsidRPr="00EE0669">
        <w:rPr>
          <w:rFonts w:eastAsia="Times New Roman"/>
          <w:lang w:val="en-US"/>
        </w:rPr>
        <w:t>. We use existing international legal and political frameworks to achieve fundamental chang</w:t>
      </w:r>
      <w:r w:rsidR="00304491">
        <w:rPr>
          <w:rFonts w:eastAsia="Times New Roman"/>
          <w:lang w:val="en-US"/>
        </w:rPr>
        <w:t>e in the way states conceptualiz</w:t>
      </w:r>
      <w:r w:rsidR="00EE0669" w:rsidRPr="00EE0669">
        <w:rPr>
          <w:rFonts w:eastAsia="Times New Roman"/>
          <w:lang w:val="en-US"/>
        </w:rPr>
        <w:t>e and address issues of gender, militarism, peace and security</w:t>
      </w:r>
      <w:r w:rsidR="00EE0669">
        <w:rPr>
          <w:rFonts w:eastAsia="Times New Roman"/>
          <w:lang w:val="en-US"/>
        </w:rPr>
        <w:t>.</w:t>
      </w:r>
    </w:p>
    <w:p w14:paraId="319390EC" w14:textId="7610C8CF" w:rsidR="00090329" w:rsidRDefault="003B061D" w:rsidP="00260DCC">
      <w:pPr>
        <w:pStyle w:val="Textbody"/>
        <w:jc w:val="both"/>
        <w:rPr>
          <w:rFonts w:cs="Times New Roman"/>
          <w:color w:val="000000"/>
          <w:sz w:val="22"/>
          <w:szCs w:val="22"/>
          <w:lang w:val="en-GB"/>
        </w:rPr>
      </w:pPr>
      <w:r>
        <w:rPr>
          <w:rFonts w:cs="Times New Roman"/>
          <w:color w:val="000000"/>
          <w:sz w:val="22"/>
          <w:szCs w:val="22"/>
          <w:lang w:val="en-GB"/>
        </w:rPr>
        <w:t xml:space="preserve">This submission follows up on recommendations on arms transfers and Women, Peace and Security made by the CEDAW Committee in its review </w:t>
      </w:r>
      <w:r w:rsidR="00221576">
        <w:rPr>
          <w:rFonts w:cs="Times New Roman"/>
          <w:color w:val="000000"/>
          <w:sz w:val="22"/>
          <w:szCs w:val="22"/>
          <w:lang w:val="en-GB"/>
        </w:rPr>
        <w:t xml:space="preserve">of Germany </w:t>
      </w:r>
      <w:r>
        <w:rPr>
          <w:rFonts w:cs="Times New Roman"/>
          <w:color w:val="000000"/>
          <w:sz w:val="22"/>
          <w:szCs w:val="22"/>
          <w:lang w:val="en-GB"/>
        </w:rPr>
        <w:t xml:space="preserve">in 2017. </w:t>
      </w:r>
    </w:p>
    <w:p w14:paraId="052B8195" w14:textId="7A72FF2D" w:rsidR="00090329" w:rsidRDefault="00090329" w:rsidP="00090329">
      <w:pPr>
        <w:pStyle w:val="Heading1"/>
        <w:numPr>
          <w:ilvl w:val="0"/>
          <w:numId w:val="8"/>
        </w:numPr>
        <w:rPr>
          <w:lang w:val="en-GB"/>
        </w:rPr>
      </w:pPr>
      <w:r>
        <w:rPr>
          <w:lang w:val="en-GB"/>
        </w:rPr>
        <w:t>Arms Exports by Germany and its impact</w:t>
      </w:r>
      <w:r w:rsidR="00EE0669">
        <w:rPr>
          <w:lang w:val="en-GB"/>
        </w:rPr>
        <w:t>s</w:t>
      </w:r>
      <w:r>
        <w:rPr>
          <w:lang w:val="en-GB"/>
        </w:rPr>
        <w:t xml:space="preserve"> on women </w:t>
      </w:r>
    </w:p>
    <w:p w14:paraId="7116EE6B" w14:textId="644F7F62" w:rsidR="00090329" w:rsidRPr="00203B59" w:rsidRDefault="00090329" w:rsidP="00260DCC">
      <w:pPr>
        <w:pStyle w:val="Textbody"/>
        <w:jc w:val="both"/>
        <w:rPr>
          <w:lang w:val="en-GB"/>
        </w:rPr>
      </w:pPr>
      <w:r>
        <w:rPr>
          <w:rFonts w:cs="Times New Roman"/>
          <w:color w:val="000000"/>
          <w:sz w:val="22"/>
          <w:szCs w:val="22"/>
          <w:lang w:val="en-GB"/>
        </w:rPr>
        <w:t>ECCHR together with WILPF submitted a Joint Shadow Report for the CEDAW Committee's 66</w:t>
      </w:r>
      <w:r>
        <w:rPr>
          <w:rFonts w:cs="Times New Roman"/>
          <w:color w:val="000000"/>
          <w:sz w:val="22"/>
          <w:szCs w:val="22"/>
          <w:vertAlign w:val="superscript"/>
          <w:lang w:val="en-GB"/>
        </w:rPr>
        <w:t>th</w:t>
      </w:r>
      <w:r>
        <w:rPr>
          <w:rFonts w:cs="Times New Roman"/>
          <w:color w:val="000000"/>
          <w:sz w:val="22"/>
          <w:szCs w:val="22"/>
          <w:lang w:val="en-GB"/>
        </w:rPr>
        <w:t xml:space="preserve"> session during which Germany was reviewed</w:t>
      </w:r>
      <w:r w:rsidR="007C0A38">
        <w:rPr>
          <w:rFonts w:cs="Times New Roman"/>
          <w:color w:val="000000"/>
          <w:sz w:val="22"/>
          <w:szCs w:val="22"/>
          <w:lang w:val="en-GB"/>
        </w:rPr>
        <w:t xml:space="preserve"> (2017) and to the Committee on Economic, Social and Cultural Rights for its review of Germany in 2018</w:t>
      </w:r>
      <w:r>
        <w:rPr>
          <w:rFonts w:cs="Times New Roman"/>
          <w:color w:val="000000"/>
          <w:sz w:val="22"/>
          <w:szCs w:val="22"/>
          <w:lang w:val="en-GB"/>
        </w:rPr>
        <w:t>.</w:t>
      </w:r>
      <w:r>
        <w:rPr>
          <w:rStyle w:val="FootnoteReference"/>
          <w:rFonts w:cs="Times New Roman"/>
          <w:color w:val="000000"/>
          <w:sz w:val="22"/>
          <w:szCs w:val="22"/>
          <w:lang w:val="en-GB"/>
        </w:rPr>
        <w:footnoteReference w:id="1"/>
      </w:r>
      <w:r>
        <w:rPr>
          <w:rFonts w:cs="Times New Roman"/>
          <w:color w:val="000000"/>
          <w:sz w:val="22"/>
          <w:szCs w:val="22"/>
          <w:lang w:val="en-GB"/>
        </w:rPr>
        <w:t xml:space="preserve"> </w:t>
      </w:r>
      <w:r w:rsidR="007C0A38">
        <w:rPr>
          <w:rFonts w:cs="Times New Roman"/>
          <w:color w:val="000000"/>
          <w:sz w:val="22"/>
          <w:szCs w:val="22"/>
          <w:lang w:val="en-GB"/>
        </w:rPr>
        <w:t>Both t</w:t>
      </w:r>
      <w:r>
        <w:rPr>
          <w:rFonts w:cs="Times New Roman"/>
          <w:color w:val="000000"/>
          <w:sz w:val="22"/>
          <w:szCs w:val="22"/>
          <w:lang w:val="en-GB"/>
        </w:rPr>
        <w:t>h</w:t>
      </w:r>
      <w:r w:rsidR="007C0A38">
        <w:rPr>
          <w:rFonts w:cs="Times New Roman"/>
          <w:color w:val="000000"/>
          <w:sz w:val="22"/>
          <w:szCs w:val="22"/>
          <w:lang w:val="en-GB"/>
        </w:rPr>
        <w:t>ese</w:t>
      </w:r>
      <w:r>
        <w:rPr>
          <w:rFonts w:cs="Times New Roman"/>
          <w:color w:val="000000"/>
          <w:sz w:val="22"/>
          <w:szCs w:val="22"/>
          <w:lang w:val="en-GB"/>
        </w:rPr>
        <w:t xml:space="preserve"> report</w:t>
      </w:r>
      <w:r w:rsidR="007C0A38">
        <w:rPr>
          <w:rFonts w:cs="Times New Roman"/>
          <w:color w:val="000000"/>
          <w:sz w:val="22"/>
          <w:szCs w:val="22"/>
          <w:lang w:val="en-GB"/>
        </w:rPr>
        <w:t xml:space="preserve">s </w:t>
      </w:r>
      <w:proofErr w:type="gramStart"/>
      <w:r w:rsidR="007C0A38">
        <w:rPr>
          <w:rFonts w:cs="Times New Roman"/>
          <w:color w:val="000000"/>
          <w:sz w:val="22"/>
          <w:szCs w:val="22"/>
          <w:lang w:val="en-GB"/>
        </w:rPr>
        <w:t>are provided</w:t>
      </w:r>
      <w:proofErr w:type="gramEnd"/>
      <w:r w:rsidR="007C0A38">
        <w:rPr>
          <w:rFonts w:cs="Times New Roman"/>
          <w:color w:val="000000"/>
          <w:sz w:val="22"/>
          <w:szCs w:val="22"/>
          <w:lang w:val="en-GB"/>
        </w:rPr>
        <w:t xml:space="preserve"> as annexes</w:t>
      </w:r>
      <w:r>
        <w:rPr>
          <w:rFonts w:cs="Times New Roman"/>
          <w:color w:val="000000"/>
          <w:sz w:val="22"/>
          <w:szCs w:val="22"/>
          <w:lang w:val="en-GB"/>
        </w:rPr>
        <w:t xml:space="preserve"> </w:t>
      </w:r>
      <w:r w:rsidR="009C72DC">
        <w:rPr>
          <w:rFonts w:cs="Times New Roman"/>
          <w:color w:val="000000"/>
          <w:sz w:val="22"/>
          <w:szCs w:val="22"/>
          <w:lang w:val="en-GB"/>
        </w:rPr>
        <w:t xml:space="preserve">to this submission. They </w:t>
      </w:r>
      <w:r>
        <w:rPr>
          <w:rFonts w:cs="Times New Roman"/>
          <w:color w:val="000000"/>
          <w:sz w:val="22"/>
          <w:szCs w:val="22"/>
          <w:lang w:val="en-GB"/>
        </w:rPr>
        <w:t xml:space="preserve">describe Germany's arms exports to </w:t>
      </w:r>
      <w:proofErr w:type="gramStart"/>
      <w:r>
        <w:rPr>
          <w:rFonts w:cs="Times New Roman"/>
          <w:color w:val="000000"/>
          <w:sz w:val="22"/>
          <w:szCs w:val="22"/>
          <w:lang w:val="en-GB"/>
        </w:rPr>
        <w:t>Saudi-Arabia</w:t>
      </w:r>
      <w:proofErr w:type="gramEnd"/>
      <w:r>
        <w:rPr>
          <w:rFonts w:cs="Times New Roman"/>
          <w:color w:val="000000"/>
          <w:sz w:val="22"/>
          <w:szCs w:val="22"/>
          <w:lang w:val="en-GB"/>
        </w:rPr>
        <w:t xml:space="preserve"> for the period of 2015-2016 and the impacts the use of such arms had on the civilian population in Yemen</w:t>
      </w:r>
      <w:r w:rsidR="00F51CA3">
        <w:rPr>
          <w:rFonts w:cs="Times New Roman"/>
          <w:color w:val="000000"/>
          <w:sz w:val="22"/>
          <w:szCs w:val="22"/>
          <w:lang w:val="en-GB"/>
        </w:rPr>
        <w:t>, including</w:t>
      </w:r>
      <w:r w:rsidR="009C72DC">
        <w:rPr>
          <w:rFonts w:cs="Times New Roman"/>
          <w:color w:val="000000"/>
          <w:sz w:val="22"/>
          <w:szCs w:val="22"/>
          <w:lang w:val="en-GB"/>
        </w:rPr>
        <w:t xml:space="preserve"> on</w:t>
      </w:r>
      <w:r w:rsidR="00F51CA3">
        <w:rPr>
          <w:rFonts w:cs="Times New Roman"/>
          <w:color w:val="000000"/>
          <w:sz w:val="22"/>
          <w:szCs w:val="22"/>
          <w:lang w:val="en-GB"/>
        </w:rPr>
        <w:t xml:space="preserve"> women</w:t>
      </w:r>
      <w:r>
        <w:rPr>
          <w:rFonts w:cs="Times New Roman"/>
          <w:color w:val="000000"/>
          <w:sz w:val="22"/>
          <w:szCs w:val="22"/>
          <w:lang w:val="en-GB"/>
        </w:rPr>
        <w:t>.</w:t>
      </w:r>
      <w:r>
        <w:rPr>
          <w:rStyle w:val="FootnoteReference"/>
          <w:rFonts w:cs="Times New Roman"/>
          <w:color w:val="000000"/>
          <w:sz w:val="22"/>
          <w:szCs w:val="22"/>
          <w:lang w:val="en-GB"/>
        </w:rPr>
        <w:footnoteReference w:id="2"/>
      </w:r>
      <w:r>
        <w:rPr>
          <w:rFonts w:cs="Times New Roman"/>
          <w:color w:val="000000"/>
          <w:sz w:val="22"/>
          <w:szCs w:val="22"/>
          <w:lang w:val="en-GB"/>
        </w:rPr>
        <w:t xml:space="preserve"> Since March 2015, Saudi Arabia </w:t>
      </w:r>
      <w:r w:rsidR="00F44575">
        <w:rPr>
          <w:rFonts w:cs="Times New Roman"/>
          <w:color w:val="000000"/>
          <w:sz w:val="22"/>
          <w:szCs w:val="22"/>
          <w:lang w:val="en-GB"/>
        </w:rPr>
        <w:t>h</w:t>
      </w:r>
      <w:r>
        <w:rPr>
          <w:rFonts w:cs="Times New Roman"/>
          <w:color w:val="000000"/>
          <w:sz w:val="22"/>
          <w:szCs w:val="22"/>
          <w:lang w:val="en-GB"/>
        </w:rPr>
        <w:t>as</w:t>
      </w:r>
      <w:r w:rsidR="00F44575">
        <w:rPr>
          <w:rFonts w:cs="Times New Roman"/>
          <w:color w:val="000000"/>
          <w:sz w:val="22"/>
          <w:szCs w:val="22"/>
          <w:lang w:val="en-GB"/>
        </w:rPr>
        <w:t xml:space="preserve"> been</w:t>
      </w:r>
      <w:r>
        <w:rPr>
          <w:rFonts w:cs="Times New Roman"/>
          <w:color w:val="000000"/>
          <w:sz w:val="22"/>
          <w:szCs w:val="22"/>
          <w:lang w:val="en-GB"/>
        </w:rPr>
        <w:t xml:space="preserve"> engaged in </w:t>
      </w:r>
      <w:r w:rsidR="00F44575">
        <w:rPr>
          <w:rFonts w:cs="Times New Roman"/>
          <w:color w:val="000000"/>
          <w:sz w:val="22"/>
          <w:szCs w:val="22"/>
          <w:lang w:val="en-GB"/>
        </w:rPr>
        <w:t>the</w:t>
      </w:r>
      <w:r>
        <w:rPr>
          <w:rFonts w:cs="Times New Roman"/>
          <w:color w:val="000000"/>
          <w:sz w:val="22"/>
          <w:szCs w:val="22"/>
          <w:lang w:val="en-GB"/>
        </w:rPr>
        <w:t xml:space="preserve"> war in Yemen together with a group of supporting states </w:t>
      </w:r>
      <w:r w:rsidR="00F51CA3">
        <w:rPr>
          <w:rFonts w:cs="Times New Roman"/>
          <w:color w:val="000000"/>
          <w:sz w:val="22"/>
          <w:szCs w:val="22"/>
          <w:lang w:val="en-GB"/>
        </w:rPr>
        <w:t xml:space="preserve">such as Egypt or the United Arab Emirates (UAE) </w:t>
      </w:r>
      <w:r>
        <w:rPr>
          <w:rFonts w:cs="Times New Roman"/>
          <w:color w:val="000000"/>
          <w:sz w:val="22"/>
          <w:szCs w:val="22"/>
          <w:lang w:val="en-GB"/>
        </w:rPr>
        <w:t xml:space="preserve">(the Saudi-led coalition). </w:t>
      </w:r>
    </w:p>
    <w:p w14:paraId="17C56F0B" w14:textId="58D6C1CB" w:rsidR="00090329" w:rsidRPr="00203B59" w:rsidRDefault="00090329" w:rsidP="00260DCC">
      <w:pPr>
        <w:pStyle w:val="Textbody"/>
        <w:jc w:val="both"/>
        <w:rPr>
          <w:lang w:val="en-GB"/>
        </w:rPr>
      </w:pPr>
      <w:r>
        <w:rPr>
          <w:rFonts w:cs="Times New Roman"/>
          <w:color w:val="000000"/>
          <w:sz w:val="22"/>
          <w:szCs w:val="22"/>
          <w:lang w:val="en-GB"/>
        </w:rPr>
        <w:t>German arms exports to members of the Saudi-led coalition fighting in Yemen have continued through 2017 up to today.</w:t>
      </w:r>
      <w:r w:rsidR="00F51CA3">
        <w:rPr>
          <w:rFonts w:cs="Times New Roman"/>
          <w:color w:val="000000"/>
          <w:sz w:val="22"/>
          <w:szCs w:val="22"/>
          <w:lang w:val="en-GB"/>
        </w:rPr>
        <w:t xml:space="preserve"> E</w:t>
      </w:r>
      <w:r>
        <w:rPr>
          <w:rFonts w:cs="Times New Roman"/>
          <w:color w:val="000000"/>
          <w:sz w:val="22"/>
          <w:szCs w:val="22"/>
          <w:lang w:val="en-GB"/>
        </w:rPr>
        <w:t>xports from Germany had a strong focus on states in the Middle East, with Egypt, Saudi Arabia and the</w:t>
      </w:r>
      <w:r w:rsidR="00F51CA3">
        <w:rPr>
          <w:rFonts w:cs="Times New Roman"/>
          <w:color w:val="000000"/>
          <w:sz w:val="22"/>
          <w:szCs w:val="22"/>
          <w:lang w:val="en-GB"/>
        </w:rPr>
        <w:t xml:space="preserve"> UAE</w:t>
      </w:r>
      <w:r>
        <w:rPr>
          <w:rFonts w:cs="Times New Roman"/>
          <w:color w:val="000000"/>
          <w:sz w:val="22"/>
          <w:szCs w:val="22"/>
          <w:lang w:val="en-GB"/>
        </w:rPr>
        <w:t xml:space="preserve"> among the top eight importers of German weapons in 2017</w:t>
      </w:r>
      <w:r>
        <w:rPr>
          <w:rStyle w:val="FootnoteReference"/>
          <w:rFonts w:cs="Times New Roman"/>
          <w:color w:val="000000"/>
          <w:sz w:val="22"/>
          <w:szCs w:val="22"/>
          <w:lang w:val="en-GB"/>
        </w:rPr>
        <w:footnoteReference w:id="3"/>
      </w:r>
      <w:r>
        <w:rPr>
          <w:rFonts w:cs="Times New Roman"/>
          <w:color w:val="000000"/>
          <w:sz w:val="22"/>
          <w:szCs w:val="22"/>
          <w:lang w:val="en-GB"/>
        </w:rPr>
        <w:t>,</w:t>
      </w:r>
      <w:r>
        <w:rPr>
          <w:rFonts w:cs="Times New Roman"/>
          <w:b/>
          <w:color w:val="000000"/>
          <w:sz w:val="22"/>
          <w:szCs w:val="22"/>
          <w:lang w:val="en-GB"/>
        </w:rPr>
        <w:t xml:space="preserve"> </w:t>
      </w:r>
      <w:r>
        <w:rPr>
          <w:rFonts w:cs="Times New Roman"/>
          <w:color w:val="000000"/>
          <w:sz w:val="22"/>
          <w:szCs w:val="22"/>
          <w:lang w:val="en-GB"/>
        </w:rPr>
        <w:t>Saudi Arabia again in fourth place in 2018</w:t>
      </w:r>
      <w:r>
        <w:rPr>
          <w:rStyle w:val="FootnoteReference"/>
          <w:rFonts w:cs="Times New Roman"/>
          <w:color w:val="000000"/>
          <w:sz w:val="22"/>
          <w:szCs w:val="22"/>
          <w:lang w:val="en-GB"/>
        </w:rPr>
        <w:footnoteReference w:id="4"/>
      </w:r>
      <w:r>
        <w:rPr>
          <w:rFonts w:cs="Times New Roman"/>
          <w:color w:val="000000"/>
          <w:sz w:val="22"/>
          <w:szCs w:val="22"/>
          <w:lang w:val="en-GB"/>
        </w:rPr>
        <w:t xml:space="preserve"> and Egypt</w:t>
      </w:r>
      <w:r w:rsidR="002F0734">
        <w:rPr>
          <w:rFonts w:cs="Times New Roman"/>
          <w:color w:val="000000"/>
          <w:sz w:val="22"/>
          <w:szCs w:val="22"/>
          <w:lang w:val="en-GB"/>
        </w:rPr>
        <w:t xml:space="preserve"> and the UAE respectively ranking</w:t>
      </w:r>
      <w:r>
        <w:rPr>
          <w:rFonts w:cs="Times New Roman"/>
          <w:color w:val="000000"/>
          <w:sz w:val="22"/>
          <w:szCs w:val="22"/>
          <w:lang w:val="en-GB"/>
        </w:rPr>
        <w:t xml:space="preserve"> 2</w:t>
      </w:r>
      <w:r>
        <w:rPr>
          <w:rFonts w:cs="Times New Roman"/>
          <w:color w:val="000000"/>
          <w:sz w:val="22"/>
          <w:szCs w:val="22"/>
          <w:vertAlign w:val="superscript"/>
          <w:lang w:val="en-GB"/>
        </w:rPr>
        <w:t>nd</w:t>
      </w:r>
      <w:r>
        <w:rPr>
          <w:rFonts w:cs="Times New Roman"/>
          <w:color w:val="000000"/>
          <w:sz w:val="22"/>
          <w:szCs w:val="22"/>
          <w:lang w:val="en-GB"/>
        </w:rPr>
        <w:t xml:space="preserve"> and 6</w:t>
      </w:r>
      <w:r>
        <w:rPr>
          <w:rFonts w:cs="Times New Roman"/>
          <w:color w:val="000000"/>
          <w:sz w:val="22"/>
          <w:szCs w:val="22"/>
          <w:vertAlign w:val="superscript"/>
          <w:lang w:val="en-GB"/>
        </w:rPr>
        <w:t>th</w:t>
      </w:r>
      <w:r>
        <w:rPr>
          <w:rFonts w:cs="Times New Roman"/>
          <w:color w:val="000000"/>
          <w:sz w:val="22"/>
          <w:szCs w:val="22"/>
          <w:lang w:val="en-GB"/>
        </w:rPr>
        <w:t xml:space="preserve"> place in the first half of 2019.</w:t>
      </w:r>
      <w:r>
        <w:rPr>
          <w:rStyle w:val="FootnoteReference"/>
          <w:rFonts w:cs="Times New Roman"/>
          <w:color w:val="000000"/>
          <w:sz w:val="22"/>
          <w:szCs w:val="22"/>
          <w:lang w:val="en-GB"/>
        </w:rPr>
        <w:footnoteReference w:id="5"/>
      </w:r>
      <w:r>
        <w:rPr>
          <w:rFonts w:cs="Times New Roman"/>
          <w:b/>
          <w:color w:val="000000"/>
          <w:sz w:val="22"/>
          <w:szCs w:val="22"/>
          <w:lang w:val="en-GB"/>
        </w:rPr>
        <w:t xml:space="preserve"> </w:t>
      </w:r>
      <w:r>
        <w:rPr>
          <w:rFonts w:cs="Times New Roman"/>
          <w:color w:val="000000"/>
          <w:sz w:val="22"/>
          <w:szCs w:val="22"/>
          <w:lang w:val="en-GB"/>
        </w:rPr>
        <w:t xml:space="preserve">The following two tables provide an overview of the monetary value of German arms exports to Saudi Arabia and the UAE. </w:t>
      </w:r>
    </w:p>
    <w:tbl>
      <w:tblPr>
        <w:tblW w:w="9067" w:type="dxa"/>
        <w:tblCellMar>
          <w:left w:w="10" w:type="dxa"/>
          <w:right w:w="10" w:type="dxa"/>
        </w:tblCellMar>
        <w:tblLook w:val="0000" w:firstRow="0" w:lastRow="0" w:firstColumn="0" w:lastColumn="0" w:noHBand="0" w:noVBand="0"/>
      </w:tblPr>
      <w:tblGrid>
        <w:gridCol w:w="1838"/>
        <w:gridCol w:w="1985"/>
        <w:gridCol w:w="1984"/>
        <w:gridCol w:w="1701"/>
        <w:gridCol w:w="1559"/>
      </w:tblGrid>
      <w:tr w:rsidR="00090329" w:rsidRPr="00DF52B6" w14:paraId="4E09B50F" w14:textId="77777777" w:rsidTr="007A06BE">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A954" w14:textId="77777777" w:rsidR="00090329" w:rsidRPr="00203B59" w:rsidRDefault="00090329" w:rsidP="00ED6F57">
            <w:pPr>
              <w:pStyle w:val="Textbody"/>
              <w:jc w:val="both"/>
              <w:rPr>
                <w:lang w:val="en-GB"/>
              </w:rPr>
            </w:pPr>
            <w:r>
              <w:rPr>
                <w:rFonts w:cs="Times New Roman"/>
                <w:sz w:val="22"/>
                <w:szCs w:val="22"/>
                <w:lang w:val="en-GB"/>
              </w:rPr>
              <w:lastRenderedPageBreak/>
              <w:t>Value of arms export licenses granted in Germany for exports to Saudi Arabia in 2015-2019</w:t>
            </w:r>
            <w:r>
              <w:rPr>
                <w:rStyle w:val="FootnoteReference"/>
                <w:rFonts w:cs="Times New Roman"/>
                <w:sz w:val="22"/>
                <w:szCs w:val="22"/>
                <w:lang w:val="en-GB"/>
              </w:rPr>
              <w:footnoteReference w:id="6"/>
            </w:r>
          </w:p>
        </w:tc>
      </w:tr>
      <w:tr w:rsidR="00090329" w14:paraId="6C7A4B90" w14:textId="77777777" w:rsidTr="007A06B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3ED78" w14:textId="77777777" w:rsidR="00090329" w:rsidRDefault="00090329" w:rsidP="00ED6F57">
            <w:pPr>
              <w:pStyle w:val="Textbody"/>
              <w:jc w:val="both"/>
              <w:rPr>
                <w:rFonts w:cs="Times New Roman"/>
                <w:sz w:val="22"/>
                <w:szCs w:val="22"/>
                <w:lang w:val="en-GB"/>
              </w:rPr>
            </w:pPr>
            <w:r>
              <w:rPr>
                <w:rFonts w:cs="Times New Roman"/>
                <w:sz w:val="22"/>
                <w:szCs w:val="22"/>
                <w:lang w:val="en-GB"/>
              </w:rP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9F973" w14:textId="77777777" w:rsidR="00090329" w:rsidRDefault="00090329" w:rsidP="00ED6F57">
            <w:pPr>
              <w:pStyle w:val="Textbody"/>
              <w:jc w:val="both"/>
              <w:rPr>
                <w:rFonts w:cs="Times New Roman"/>
                <w:sz w:val="22"/>
                <w:szCs w:val="22"/>
                <w:lang w:val="en-GB"/>
              </w:rPr>
            </w:pPr>
            <w:r>
              <w:rPr>
                <w:rFonts w:cs="Times New Roman"/>
                <w:sz w:val="22"/>
                <w:szCs w:val="22"/>
                <w:lang w:val="en-GB"/>
              </w:rPr>
              <w:t>2016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376FD" w14:textId="77777777" w:rsidR="00090329" w:rsidRDefault="00090329" w:rsidP="00ED6F57">
            <w:pPr>
              <w:pStyle w:val="Textbody"/>
              <w:jc w:val="both"/>
              <w:rPr>
                <w:rFonts w:cs="Times New Roman"/>
                <w:sz w:val="22"/>
                <w:szCs w:val="22"/>
                <w:lang w:val="en-GB"/>
              </w:rPr>
            </w:pPr>
            <w:r>
              <w:rPr>
                <w:rFonts w:cs="Times New Roman"/>
                <w:sz w:val="22"/>
                <w:szCs w:val="22"/>
                <w:lang w:val="en-GB"/>
              </w:rPr>
              <w:t>2017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82F5" w14:textId="77777777" w:rsidR="00090329" w:rsidRDefault="00090329" w:rsidP="00ED6F57">
            <w:pPr>
              <w:pStyle w:val="Textbody"/>
              <w:jc w:val="both"/>
              <w:rPr>
                <w:rFonts w:cs="Times New Roman"/>
                <w:sz w:val="22"/>
                <w:szCs w:val="22"/>
                <w:lang w:val="en-GB"/>
              </w:rPr>
            </w:pPr>
            <w:r>
              <w:rPr>
                <w:rFonts w:cs="Times New Roman"/>
                <w:sz w:val="22"/>
                <w:szCs w:val="22"/>
                <w:lang w:val="en-GB"/>
              </w:rPr>
              <w:t>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A994" w14:textId="77777777" w:rsidR="00090329" w:rsidRDefault="00090329" w:rsidP="00ED6F57">
            <w:pPr>
              <w:pStyle w:val="Textbody"/>
              <w:jc w:val="both"/>
            </w:pPr>
            <w:r>
              <w:rPr>
                <w:rFonts w:cs="Times New Roman"/>
                <w:sz w:val="22"/>
                <w:szCs w:val="22"/>
                <w:lang w:val="en-GB"/>
              </w:rPr>
              <w:t>2019</w:t>
            </w:r>
            <w:r>
              <w:rPr>
                <w:rStyle w:val="FootnoteReference"/>
                <w:rFonts w:cs="Times New Roman"/>
                <w:sz w:val="22"/>
                <w:szCs w:val="22"/>
                <w:lang w:val="en-GB"/>
              </w:rPr>
              <w:footnoteReference w:id="7"/>
            </w:r>
          </w:p>
        </w:tc>
      </w:tr>
      <w:tr w:rsidR="00090329" w14:paraId="54FF7F32" w14:textId="77777777" w:rsidTr="007A06B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B805" w14:textId="77777777" w:rsidR="00090329" w:rsidRDefault="00090329" w:rsidP="00ED6F57">
            <w:pPr>
              <w:pStyle w:val="Textbody"/>
              <w:jc w:val="both"/>
            </w:pPr>
            <w:r>
              <w:rPr>
                <w:rFonts w:cs="Times New Roman"/>
                <w:sz w:val="22"/>
                <w:szCs w:val="22"/>
              </w:rPr>
              <w:t>270.040.534</w:t>
            </w:r>
            <w:r>
              <w:rPr>
                <w:rStyle w:val="FootnoteReference"/>
                <w:rFonts w:cs="Times New Roman"/>
                <w:sz w:val="22"/>
                <w:szCs w:val="22"/>
              </w:rPr>
              <w:footnoteReference w:id="8"/>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5016" w14:textId="77777777" w:rsidR="00090329" w:rsidRDefault="00090329" w:rsidP="00ED6F57">
            <w:pPr>
              <w:pStyle w:val="Textbody"/>
              <w:jc w:val="both"/>
            </w:pPr>
            <w:r>
              <w:rPr>
                <w:rFonts w:cs="Times New Roman"/>
                <w:sz w:val="22"/>
                <w:szCs w:val="22"/>
              </w:rPr>
              <w:t>529.705.969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45A3" w14:textId="77777777" w:rsidR="00090329" w:rsidRDefault="00090329" w:rsidP="00ED6F57">
            <w:pPr>
              <w:pStyle w:val="Textbody"/>
            </w:pPr>
            <w:r>
              <w:rPr>
                <w:rFonts w:cs="Times New Roman"/>
                <w:sz w:val="22"/>
                <w:szCs w:val="22"/>
              </w:rPr>
              <w:t>254.457.823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A82E9" w14:textId="77777777" w:rsidR="00090329" w:rsidRDefault="00090329" w:rsidP="00ED6F57">
            <w:pPr>
              <w:pStyle w:val="Textbody"/>
              <w:jc w:val="both"/>
            </w:pPr>
            <w:r>
              <w:rPr>
                <w:rFonts w:cs="Times New Roman"/>
                <w:sz w:val="22"/>
                <w:szCs w:val="22"/>
              </w:rPr>
              <w:t>416.423.547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18DC" w14:textId="77777777" w:rsidR="00090329" w:rsidRDefault="00090329" w:rsidP="00ED6F57">
            <w:pPr>
              <w:pStyle w:val="Textbody"/>
              <w:jc w:val="both"/>
              <w:rPr>
                <w:rFonts w:cs="Times New Roman"/>
                <w:sz w:val="22"/>
                <w:szCs w:val="22"/>
                <w:lang w:val="en-GB"/>
              </w:rPr>
            </w:pPr>
            <w:r>
              <w:rPr>
                <w:rFonts w:cs="Times New Roman"/>
                <w:sz w:val="22"/>
                <w:szCs w:val="22"/>
                <w:lang w:val="en-GB"/>
              </w:rPr>
              <w:t>831.003</w:t>
            </w:r>
          </w:p>
        </w:tc>
      </w:tr>
    </w:tbl>
    <w:p w14:paraId="68BF81BF" w14:textId="77777777" w:rsidR="00090329" w:rsidRDefault="00090329" w:rsidP="00090329">
      <w:pPr>
        <w:pStyle w:val="Textbody"/>
        <w:jc w:val="both"/>
        <w:rPr>
          <w:rFonts w:cs="Times New Roman"/>
          <w:color w:val="000000"/>
          <w:sz w:val="22"/>
          <w:szCs w:val="22"/>
          <w:lang w:val="en-GB"/>
        </w:rPr>
      </w:pPr>
    </w:p>
    <w:tbl>
      <w:tblPr>
        <w:tblW w:w="9108" w:type="dxa"/>
        <w:tblCellMar>
          <w:left w:w="10" w:type="dxa"/>
          <w:right w:w="10" w:type="dxa"/>
        </w:tblCellMar>
        <w:tblLook w:val="0000" w:firstRow="0" w:lastRow="0" w:firstColumn="0" w:lastColumn="0" w:noHBand="0" w:noVBand="0"/>
      </w:tblPr>
      <w:tblGrid>
        <w:gridCol w:w="1838"/>
        <w:gridCol w:w="1985"/>
        <w:gridCol w:w="1984"/>
        <w:gridCol w:w="1701"/>
        <w:gridCol w:w="1600"/>
      </w:tblGrid>
      <w:tr w:rsidR="00090329" w:rsidRPr="00DF52B6" w14:paraId="017C17D3" w14:textId="77777777" w:rsidTr="007A06BE">
        <w:tc>
          <w:tcPr>
            <w:tcW w:w="91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5B66" w14:textId="77777777" w:rsidR="00090329" w:rsidRDefault="00090329" w:rsidP="002F0734">
            <w:pPr>
              <w:pStyle w:val="Textbody"/>
              <w:jc w:val="both"/>
              <w:rPr>
                <w:rFonts w:cs="Times New Roman"/>
                <w:sz w:val="22"/>
                <w:szCs w:val="22"/>
                <w:lang w:val="en-GB"/>
              </w:rPr>
            </w:pPr>
            <w:r>
              <w:rPr>
                <w:rFonts w:cs="Times New Roman"/>
                <w:sz w:val="22"/>
                <w:szCs w:val="22"/>
                <w:lang w:val="en-GB"/>
              </w:rPr>
              <w:t>Value of arms export licenses granted in Germany for exports to the U</w:t>
            </w:r>
            <w:r w:rsidR="002F0734">
              <w:rPr>
                <w:rFonts w:cs="Times New Roman"/>
                <w:sz w:val="22"/>
                <w:szCs w:val="22"/>
                <w:lang w:val="en-GB"/>
              </w:rPr>
              <w:t xml:space="preserve">AE </w:t>
            </w:r>
            <w:r>
              <w:rPr>
                <w:rFonts w:cs="Times New Roman"/>
                <w:sz w:val="22"/>
                <w:szCs w:val="22"/>
                <w:lang w:val="en-GB"/>
              </w:rPr>
              <w:t>in 2015-2019</w:t>
            </w:r>
          </w:p>
        </w:tc>
      </w:tr>
      <w:tr w:rsidR="00090329" w14:paraId="42A70E14" w14:textId="77777777" w:rsidTr="007A06B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9CDF" w14:textId="77777777" w:rsidR="00090329" w:rsidRDefault="00090329" w:rsidP="00ED6F57">
            <w:pPr>
              <w:pStyle w:val="Textbody"/>
              <w:jc w:val="both"/>
              <w:rPr>
                <w:rFonts w:cs="Times New Roman"/>
                <w:sz w:val="22"/>
                <w:szCs w:val="22"/>
                <w:lang w:val="en-GB"/>
              </w:rPr>
            </w:pPr>
            <w:r>
              <w:rPr>
                <w:rFonts w:cs="Times New Roman"/>
                <w:sz w:val="22"/>
                <w:szCs w:val="22"/>
                <w:lang w:val="en-GB"/>
              </w:rP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0D8B9" w14:textId="77777777" w:rsidR="00090329" w:rsidRDefault="00090329" w:rsidP="00ED6F57">
            <w:pPr>
              <w:pStyle w:val="Textbody"/>
              <w:jc w:val="both"/>
              <w:rPr>
                <w:rFonts w:cs="Times New Roman"/>
                <w:sz w:val="22"/>
                <w:szCs w:val="22"/>
                <w:lang w:val="en-GB"/>
              </w:rPr>
            </w:pPr>
            <w:r>
              <w:rPr>
                <w:rFonts w:cs="Times New Roman"/>
                <w:sz w:val="22"/>
                <w:szCs w:val="22"/>
                <w:lang w:val="en-GB"/>
              </w:rPr>
              <w:t>2016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2203" w14:textId="77777777" w:rsidR="00090329" w:rsidRDefault="00090329" w:rsidP="00ED6F57">
            <w:pPr>
              <w:pStyle w:val="Textbody"/>
              <w:jc w:val="both"/>
              <w:rPr>
                <w:rFonts w:cs="Times New Roman"/>
                <w:sz w:val="22"/>
                <w:szCs w:val="22"/>
                <w:lang w:val="en-GB"/>
              </w:rPr>
            </w:pPr>
            <w:r>
              <w:rPr>
                <w:rFonts w:cs="Times New Roman"/>
                <w:sz w:val="22"/>
                <w:szCs w:val="22"/>
                <w:lang w:val="en-GB"/>
              </w:rPr>
              <w:t>2017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A56D" w14:textId="77777777" w:rsidR="00090329" w:rsidRDefault="00090329" w:rsidP="00ED6F57">
            <w:pPr>
              <w:pStyle w:val="Textbody"/>
              <w:jc w:val="both"/>
              <w:rPr>
                <w:rFonts w:cs="Times New Roman"/>
                <w:sz w:val="22"/>
                <w:szCs w:val="22"/>
                <w:lang w:val="en-GB"/>
              </w:rPr>
            </w:pPr>
            <w:r>
              <w:rPr>
                <w:rFonts w:cs="Times New Roman"/>
                <w:sz w:val="22"/>
                <w:szCs w:val="22"/>
                <w:lang w:val="en-GB"/>
              </w:rPr>
              <w:t>2018</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4CB8" w14:textId="77777777" w:rsidR="00090329" w:rsidRDefault="00090329" w:rsidP="00ED6F57">
            <w:pPr>
              <w:pStyle w:val="Textbody"/>
              <w:jc w:val="both"/>
              <w:rPr>
                <w:rFonts w:cs="Times New Roman"/>
                <w:sz w:val="22"/>
                <w:szCs w:val="22"/>
                <w:lang w:val="en-GB"/>
              </w:rPr>
            </w:pPr>
            <w:r>
              <w:rPr>
                <w:rFonts w:cs="Times New Roman"/>
                <w:sz w:val="22"/>
                <w:szCs w:val="22"/>
                <w:lang w:val="en-GB"/>
              </w:rPr>
              <w:t>2019</w:t>
            </w:r>
          </w:p>
        </w:tc>
      </w:tr>
      <w:tr w:rsidR="00090329" w14:paraId="79F4FC66" w14:textId="77777777" w:rsidTr="007A06B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E9F0" w14:textId="77777777" w:rsidR="00090329" w:rsidRDefault="00090329" w:rsidP="00ED6F57">
            <w:pPr>
              <w:pStyle w:val="Textbody"/>
              <w:jc w:val="both"/>
            </w:pPr>
            <w:r>
              <w:rPr>
                <w:rFonts w:cs="Times New Roman"/>
                <w:sz w:val="22"/>
                <w:szCs w:val="22"/>
              </w:rPr>
              <w:t>107.281.038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25967" w14:textId="77777777" w:rsidR="00090329" w:rsidRDefault="00090329" w:rsidP="00ED6F57">
            <w:pPr>
              <w:pStyle w:val="Textbody"/>
              <w:jc w:val="both"/>
            </w:pPr>
            <w:r>
              <w:rPr>
                <w:rFonts w:cs="Times New Roman"/>
                <w:sz w:val="22"/>
                <w:szCs w:val="22"/>
              </w:rPr>
              <w:t>169.475.128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AD9D" w14:textId="77777777" w:rsidR="00090329" w:rsidRDefault="00090329" w:rsidP="00ED6F57">
            <w:pPr>
              <w:pStyle w:val="Textbody"/>
              <w:jc w:val="both"/>
            </w:pPr>
            <w:r>
              <w:rPr>
                <w:rFonts w:cs="Times New Roman"/>
                <w:sz w:val="22"/>
                <w:szCs w:val="22"/>
              </w:rPr>
              <w:t>213.866.923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D6122" w14:textId="77777777" w:rsidR="00090329" w:rsidRDefault="00090329" w:rsidP="00ED6F57">
            <w:pPr>
              <w:pStyle w:val="Textbody"/>
              <w:jc w:val="both"/>
            </w:pPr>
            <w:r>
              <w:rPr>
                <w:rFonts w:cs="Times New Roman"/>
                <w:sz w:val="22"/>
                <w:szCs w:val="22"/>
              </w:rPr>
              <w:t>45.267.104</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4545A" w14:textId="77777777" w:rsidR="00090329" w:rsidRDefault="00090329" w:rsidP="00ED6F57">
            <w:pPr>
              <w:pStyle w:val="Textbody"/>
              <w:jc w:val="both"/>
              <w:rPr>
                <w:rFonts w:cs="Times New Roman"/>
                <w:sz w:val="22"/>
                <w:szCs w:val="22"/>
                <w:lang w:val="en-GB"/>
              </w:rPr>
            </w:pPr>
            <w:r>
              <w:rPr>
                <w:rFonts w:cs="Times New Roman"/>
                <w:sz w:val="22"/>
                <w:szCs w:val="22"/>
                <w:lang w:val="en-GB"/>
              </w:rPr>
              <w:t>206.109.936</w:t>
            </w:r>
          </w:p>
        </w:tc>
      </w:tr>
    </w:tbl>
    <w:p w14:paraId="4683D110" w14:textId="77777777" w:rsidR="00090329" w:rsidRPr="00203B59" w:rsidRDefault="002F0734" w:rsidP="00260DCC">
      <w:pPr>
        <w:pStyle w:val="Textbody"/>
        <w:spacing w:before="120"/>
        <w:jc w:val="both"/>
        <w:rPr>
          <w:lang w:val="en-GB"/>
        </w:rPr>
      </w:pPr>
      <w:r>
        <w:rPr>
          <w:rFonts w:cs="Times New Roman"/>
          <w:color w:val="000000"/>
          <w:sz w:val="22"/>
          <w:szCs w:val="22"/>
          <w:lang w:val="en-GB"/>
        </w:rPr>
        <w:t>Over the course of the past five</w:t>
      </w:r>
      <w:r w:rsidR="00090329">
        <w:rPr>
          <w:rFonts w:cs="Times New Roman"/>
          <w:color w:val="000000"/>
          <w:sz w:val="22"/>
          <w:szCs w:val="22"/>
          <w:lang w:val="en-GB"/>
        </w:rPr>
        <w:t xml:space="preserve"> years, exports of weapons of high relevance to the actual warfare in Yemen </w:t>
      </w:r>
      <w:proofErr w:type="gramStart"/>
      <w:r w:rsidR="00090329">
        <w:rPr>
          <w:rFonts w:cs="Times New Roman"/>
          <w:color w:val="000000"/>
          <w:sz w:val="22"/>
          <w:szCs w:val="22"/>
          <w:lang w:val="en-GB"/>
        </w:rPr>
        <w:t>were thus licensed and subsequently carried out to those states</w:t>
      </w:r>
      <w:proofErr w:type="gramEnd"/>
      <w:r w:rsidR="00090329">
        <w:rPr>
          <w:rFonts w:cs="Times New Roman"/>
          <w:color w:val="000000"/>
          <w:sz w:val="22"/>
          <w:szCs w:val="22"/>
          <w:lang w:val="en-GB"/>
        </w:rPr>
        <w:t xml:space="preserve">. Such war materiel includes the Eurofighter Typhoon and </w:t>
      </w:r>
      <w:r>
        <w:rPr>
          <w:rFonts w:cs="Times New Roman"/>
          <w:color w:val="000000"/>
          <w:sz w:val="22"/>
          <w:szCs w:val="22"/>
          <w:lang w:val="en-GB"/>
        </w:rPr>
        <w:t xml:space="preserve">components for </w:t>
      </w:r>
      <w:r w:rsidR="00090329">
        <w:rPr>
          <w:rFonts w:cs="Times New Roman"/>
          <w:color w:val="000000"/>
          <w:sz w:val="22"/>
          <w:szCs w:val="22"/>
          <w:lang w:val="en-GB"/>
        </w:rPr>
        <w:t>the Tornado fighter jet</w:t>
      </w:r>
      <w:r>
        <w:rPr>
          <w:rFonts w:cs="Times New Roman"/>
          <w:color w:val="000000"/>
          <w:sz w:val="22"/>
          <w:szCs w:val="22"/>
          <w:lang w:val="en-GB"/>
        </w:rPr>
        <w:t xml:space="preserve"> - important elem</w:t>
      </w:r>
      <w:r w:rsidR="00090329">
        <w:rPr>
          <w:rFonts w:cs="Times New Roman"/>
          <w:color w:val="000000"/>
          <w:sz w:val="22"/>
          <w:szCs w:val="22"/>
          <w:lang w:val="en-GB"/>
        </w:rPr>
        <w:t>ents of the Saudi-led Coalition’s air force that carries out airstrikes in Yemen - together with a continuous supply of spare parts for their maintenance, as well as war vessels, refuelling planes, missiles and bombs.</w:t>
      </w:r>
      <w:r w:rsidR="00090329">
        <w:rPr>
          <w:rFonts w:cs="Times New Roman"/>
          <w:b/>
          <w:color w:val="000000"/>
          <w:sz w:val="22"/>
          <w:szCs w:val="22"/>
          <w:lang w:val="en-GB"/>
        </w:rPr>
        <w:t xml:space="preserve"> </w:t>
      </w:r>
      <w:r w:rsidR="00090329">
        <w:rPr>
          <w:rFonts w:cs="Times New Roman"/>
          <w:color w:val="000000"/>
          <w:sz w:val="22"/>
          <w:szCs w:val="22"/>
          <w:lang w:val="en-GB"/>
        </w:rPr>
        <w:t>Investigative journalists have documented clear evidence of the use of such materiel in the war in Yemen such as the Tornado and Eurofighter fighter jets as well as further weaponry.</w:t>
      </w:r>
      <w:r w:rsidR="00090329">
        <w:rPr>
          <w:rStyle w:val="FootnoteReference"/>
          <w:rFonts w:cs="Times New Roman"/>
          <w:color w:val="000000"/>
          <w:sz w:val="22"/>
          <w:szCs w:val="22"/>
          <w:lang w:val="en-GB"/>
        </w:rPr>
        <w:footnoteReference w:id="9"/>
      </w:r>
    </w:p>
    <w:p w14:paraId="6DD5A1EE" w14:textId="7BC31E2F" w:rsidR="00F67F0A" w:rsidRDefault="002F0734" w:rsidP="00260DCC">
      <w:pPr>
        <w:spacing w:after="120" w:line="240" w:lineRule="auto"/>
        <w:jc w:val="both"/>
        <w:rPr>
          <w:lang w:val="en-GB"/>
        </w:rPr>
      </w:pPr>
      <w:r>
        <w:rPr>
          <w:color w:val="000000"/>
          <w:lang w:val="en-GB"/>
        </w:rPr>
        <w:t xml:space="preserve">Equipped with, </w:t>
      </w:r>
      <w:r>
        <w:rPr>
          <w:i/>
          <w:iCs/>
          <w:color w:val="000000"/>
          <w:lang w:val="en-GB"/>
        </w:rPr>
        <w:t>inter alia</w:t>
      </w:r>
      <w:r>
        <w:rPr>
          <w:color w:val="000000"/>
          <w:lang w:val="en-GB"/>
        </w:rPr>
        <w:t>, German arms, members of the Saudi led coalition have committed widespread violations of international humanitarian law, including alleged war crimes, also in the years 2017-2019, according to reports by independent sources.</w:t>
      </w:r>
      <w:r w:rsidR="00090329">
        <w:rPr>
          <w:color w:val="000000"/>
          <w:lang w:val="en-GB"/>
        </w:rPr>
        <w:t xml:space="preserve"> </w:t>
      </w:r>
      <w:r w:rsidR="00090329">
        <w:rPr>
          <w:lang w:val="en-GB"/>
        </w:rPr>
        <w:t>On 26 January 2018, the UN</w:t>
      </w:r>
      <w:r w:rsidR="009F5080">
        <w:rPr>
          <w:lang w:val="en-GB"/>
        </w:rPr>
        <w:t xml:space="preserve"> Security Council</w:t>
      </w:r>
      <w:r w:rsidR="00090329">
        <w:rPr>
          <w:lang w:val="en-GB"/>
        </w:rPr>
        <w:t xml:space="preserve"> Panel of Experts found that “</w:t>
      </w:r>
      <w:r w:rsidR="00090329">
        <w:rPr>
          <w:i/>
          <w:lang w:val="en-GB"/>
        </w:rPr>
        <w:t>throughout 2017, there have been widespread violations of international humanitarian law and international human rights by all parties to the conflict</w:t>
      </w:r>
      <w:r w:rsidR="00090329">
        <w:rPr>
          <w:lang w:val="en-GB"/>
        </w:rPr>
        <w:t>”.</w:t>
      </w:r>
      <w:r w:rsidR="00090329">
        <w:rPr>
          <w:rStyle w:val="FootnoteReference"/>
        </w:rPr>
        <w:footnoteReference w:id="10"/>
      </w:r>
      <w:r w:rsidR="00090329">
        <w:rPr>
          <w:lang w:val="en-GB"/>
        </w:rPr>
        <w:t xml:space="preserve"> Airstrikes by the Coalition and Houthi explosive ordnance used throughout much of 2017 “</w:t>
      </w:r>
      <w:r w:rsidR="00090329">
        <w:rPr>
          <w:i/>
          <w:lang w:val="en-GB"/>
        </w:rPr>
        <w:t>continued to affect civilians and the civilian infrastructure disproportionally</w:t>
      </w:r>
      <w:r w:rsidR="00090329">
        <w:rPr>
          <w:lang w:val="en-GB"/>
        </w:rPr>
        <w:t>”, and the Panel had seen no evidence “</w:t>
      </w:r>
      <w:r w:rsidR="00090329">
        <w:rPr>
          <w:i/>
          <w:lang w:val="en-GB"/>
        </w:rPr>
        <w:t>to suggest that appropriate measures were taken by any side to mitigate the devastating impact of these attacks on the civilian population</w:t>
      </w:r>
      <w:r w:rsidR="00090329">
        <w:rPr>
          <w:lang w:val="en-GB"/>
        </w:rPr>
        <w:t>”.</w:t>
      </w:r>
      <w:r w:rsidR="00090329">
        <w:rPr>
          <w:rStyle w:val="FootnoteReference"/>
        </w:rPr>
        <w:footnoteReference w:id="11"/>
      </w:r>
      <w:r w:rsidR="00090329">
        <w:rPr>
          <w:lang w:val="en-GB"/>
        </w:rPr>
        <w:t xml:space="preserve"> The Panel also </w:t>
      </w:r>
      <w:proofErr w:type="gramStart"/>
      <w:r w:rsidR="00090329">
        <w:rPr>
          <w:lang w:val="en-GB"/>
        </w:rPr>
        <w:t>noted that</w:t>
      </w:r>
      <w:proofErr w:type="gramEnd"/>
      <w:r w:rsidR="00090329">
        <w:rPr>
          <w:lang w:val="en-GB"/>
        </w:rPr>
        <w:t xml:space="preserve"> “</w:t>
      </w:r>
      <w:r w:rsidR="00090329">
        <w:rPr>
          <w:i/>
          <w:lang w:val="en-GB"/>
        </w:rPr>
        <w:t>after 33 months of air strikes the number of credible targets remaining is considered to be very low</w:t>
      </w:r>
      <w:r w:rsidR="00090329">
        <w:rPr>
          <w:lang w:val="en-GB"/>
        </w:rPr>
        <w:t>”.</w:t>
      </w:r>
      <w:r w:rsidR="00090329">
        <w:rPr>
          <w:rStyle w:val="FootnoteReference"/>
        </w:rPr>
        <w:footnoteReference w:id="12"/>
      </w:r>
      <w:r w:rsidR="00090329">
        <w:rPr>
          <w:lang w:val="en-GB"/>
        </w:rPr>
        <w:t xml:space="preserve"> </w:t>
      </w:r>
    </w:p>
    <w:p w14:paraId="49F81DF7" w14:textId="35644170" w:rsidR="00090329" w:rsidRPr="00203B59" w:rsidRDefault="002F0734" w:rsidP="00260DCC">
      <w:pPr>
        <w:spacing w:after="120" w:line="240" w:lineRule="auto"/>
        <w:jc w:val="both"/>
        <w:rPr>
          <w:lang w:val="en-GB"/>
        </w:rPr>
      </w:pPr>
      <w:r>
        <w:rPr>
          <w:lang w:val="en-GB"/>
        </w:rPr>
        <w:t xml:space="preserve">Further neutral observers have reported incidents of indiscriminate attacks on civilians including women and children. </w:t>
      </w:r>
      <w:r w:rsidR="00090329">
        <w:rPr>
          <w:lang w:val="en-GB"/>
        </w:rPr>
        <w:t xml:space="preserve">On 12 June 2018, MSF reported that a Coalition airstrike hit an MSF cholera treatment centre the previous day, despite the fact that coordinates of the </w:t>
      </w:r>
      <w:r w:rsidR="00090329">
        <w:rPr>
          <w:lang w:val="en-GB"/>
        </w:rPr>
        <w:lastRenderedPageBreak/>
        <w:t xml:space="preserve">centre </w:t>
      </w:r>
      <w:proofErr w:type="gramStart"/>
      <w:r w:rsidR="00090329">
        <w:rPr>
          <w:lang w:val="en-GB"/>
        </w:rPr>
        <w:t>had been provided</w:t>
      </w:r>
      <w:proofErr w:type="gramEnd"/>
      <w:r w:rsidR="00090329">
        <w:rPr>
          <w:lang w:val="en-GB"/>
        </w:rPr>
        <w:t xml:space="preserve"> to the Coalition. MSF </w:t>
      </w:r>
      <w:proofErr w:type="gramStart"/>
      <w:r w:rsidR="00090329">
        <w:rPr>
          <w:rFonts w:eastAsia="Times New Roman"/>
          <w:lang w:val="en-GB"/>
        </w:rPr>
        <w:t>maintained</w:t>
      </w:r>
      <w:proofErr w:type="gramEnd"/>
      <w:r w:rsidR="00090329">
        <w:rPr>
          <w:rFonts w:eastAsia="Times New Roman"/>
          <w:lang w:val="en-GB"/>
        </w:rPr>
        <w:t xml:space="preserve"> “</w:t>
      </w:r>
      <w:r w:rsidR="00090329">
        <w:rPr>
          <w:rFonts w:eastAsia="Times New Roman"/>
          <w:i/>
          <w:lang w:val="en-GB"/>
        </w:rPr>
        <w:t xml:space="preserve">that the bombing is an unacceptable attack on a medical facility” </w:t>
      </w:r>
      <w:r w:rsidR="00090329">
        <w:rPr>
          <w:rFonts w:eastAsia="Times New Roman"/>
          <w:lang w:val="en-GB"/>
        </w:rPr>
        <w:t>and</w:t>
      </w:r>
      <w:r w:rsidR="00090329">
        <w:rPr>
          <w:rFonts w:eastAsia="Times New Roman"/>
          <w:i/>
          <w:lang w:val="en-GB"/>
        </w:rPr>
        <w:t xml:space="preserve"> “strongly condemn</w:t>
      </w:r>
      <w:r w:rsidR="00090329">
        <w:rPr>
          <w:rFonts w:eastAsia="Times New Roman"/>
          <w:lang w:val="en-GB"/>
        </w:rPr>
        <w:t>[</w:t>
      </w:r>
      <w:proofErr w:type="spellStart"/>
      <w:r w:rsidR="00090329">
        <w:rPr>
          <w:rFonts w:eastAsia="Times New Roman"/>
          <w:lang w:val="en-GB"/>
        </w:rPr>
        <w:t>ed</w:t>
      </w:r>
      <w:proofErr w:type="spellEnd"/>
      <w:r w:rsidR="00090329">
        <w:rPr>
          <w:rFonts w:eastAsia="Times New Roman"/>
          <w:lang w:val="en-GB"/>
        </w:rPr>
        <w:t>]</w:t>
      </w:r>
      <w:r w:rsidR="00090329">
        <w:rPr>
          <w:rFonts w:eastAsia="Times New Roman"/>
          <w:i/>
          <w:lang w:val="en-GB"/>
        </w:rPr>
        <w:t xml:space="preserve"> this attack, which is part of a worrying pattern of strikes on essential medical services that leave an already very fragile population with even less access to essential, lifesaving medical care and services</w:t>
      </w:r>
      <w:r w:rsidR="00090329">
        <w:rPr>
          <w:rFonts w:eastAsia="Times New Roman"/>
          <w:lang w:val="en-GB"/>
        </w:rPr>
        <w:t>.”</w:t>
      </w:r>
      <w:r w:rsidR="00090329">
        <w:rPr>
          <w:rStyle w:val="FootnoteReference"/>
          <w:lang w:val="en-GB"/>
        </w:rPr>
        <w:t xml:space="preserve"> </w:t>
      </w:r>
      <w:r w:rsidR="00090329">
        <w:rPr>
          <w:rStyle w:val="FootnoteReference"/>
        </w:rPr>
        <w:footnoteReference w:id="13"/>
      </w:r>
      <w:r w:rsidR="00090329">
        <w:rPr>
          <w:lang w:val="en-GB"/>
        </w:rPr>
        <w:t xml:space="preserve"> On 26 March 2019</w:t>
      </w:r>
      <w:r w:rsidR="00F67F0A">
        <w:rPr>
          <w:lang w:val="en-GB"/>
        </w:rPr>
        <w:t>,</w:t>
      </w:r>
      <w:r w:rsidR="00090329">
        <w:rPr>
          <w:lang w:val="en-GB"/>
        </w:rPr>
        <w:t xml:space="preserve"> Save the Children reported that </w:t>
      </w:r>
      <w:r w:rsidR="00F67F0A">
        <w:rPr>
          <w:lang w:val="en-GB"/>
        </w:rPr>
        <w:t>one of its</w:t>
      </w:r>
      <w:r w:rsidR="00090329">
        <w:rPr>
          <w:lang w:val="en-GB"/>
        </w:rPr>
        <w:t xml:space="preserve"> hospital</w:t>
      </w:r>
      <w:r w:rsidR="00F67F0A">
        <w:rPr>
          <w:lang w:val="en-GB"/>
        </w:rPr>
        <w:t>s</w:t>
      </w:r>
      <w:r w:rsidR="00090329">
        <w:rPr>
          <w:lang w:val="en-GB"/>
        </w:rPr>
        <w:t xml:space="preserve"> in Yemen </w:t>
      </w:r>
      <w:r w:rsidR="00F67F0A">
        <w:rPr>
          <w:lang w:val="en-GB"/>
        </w:rPr>
        <w:t xml:space="preserve">had been </w:t>
      </w:r>
      <w:r w:rsidR="00090329">
        <w:rPr>
          <w:lang w:val="en-GB"/>
        </w:rPr>
        <w:t>attacked killing seven civilians.</w:t>
      </w:r>
      <w:r w:rsidR="00090329">
        <w:rPr>
          <w:rStyle w:val="FootnoteReference"/>
        </w:rPr>
        <w:footnoteReference w:id="14"/>
      </w:r>
      <w:r w:rsidR="00090329">
        <w:rPr>
          <w:lang w:val="en-GB"/>
        </w:rPr>
        <w:t xml:space="preserve"> </w:t>
      </w:r>
      <w:r>
        <w:rPr>
          <w:lang w:val="en-GB"/>
        </w:rPr>
        <w:t xml:space="preserve">In its latest report </w:t>
      </w:r>
      <w:r w:rsidR="00090329">
        <w:rPr>
          <w:lang w:val="en-GB"/>
        </w:rPr>
        <w:t>for 2019, the Panel of Experts reported airstrikes carried out by the Saudi-led air forces that contravene international humanitarian law in particular the principle of distinction. The victims of these airstrikes include numerous children and women not taking part in the hostilities.</w:t>
      </w:r>
      <w:r w:rsidR="00090329">
        <w:rPr>
          <w:rStyle w:val="FootnoteReference"/>
          <w:lang w:val="en-GB"/>
        </w:rPr>
        <w:footnoteReference w:id="15"/>
      </w:r>
      <w:r w:rsidR="00090329">
        <w:rPr>
          <w:lang w:val="en-GB"/>
        </w:rPr>
        <w:t xml:space="preserve"> </w:t>
      </w:r>
    </w:p>
    <w:p w14:paraId="4EA26DB0" w14:textId="2FE0EAA6" w:rsidR="00090329" w:rsidRPr="00203B59" w:rsidRDefault="00090329" w:rsidP="00260DCC">
      <w:pPr>
        <w:spacing w:before="120" w:after="120" w:line="240" w:lineRule="auto"/>
        <w:jc w:val="both"/>
        <w:rPr>
          <w:lang w:val="en-GB"/>
        </w:rPr>
      </w:pPr>
      <w:r>
        <w:rPr>
          <w:lang w:val="en-GB"/>
        </w:rPr>
        <w:t xml:space="preserve">Against this background, </w:t>
      </w:r>
      <w:proofErr w:type="gramStart"/>
      <w:r>
        <w:rPr>
          <w:lang w:val="en-GB"/>
        </w:rPr>
        <w:t>specifically the exporting of arms to members of the Saudi-led coalition has been condemned by several European and International Institutions</w:t>
      </w:r>
      <w:proofErr w:type="gramEnd"/>
      <w:r>
        <w:rPr>
          <w:lang w:val="en-GB"/>
        </w:rPr>
        <w:t xml:space="preserve">. </w:t>
      </w:r>
      <w:r w:rsidRPr="00203B59">
        <w:rPr>
          <w:lang w:val="en-GB"/>
        </w:rPr>
        <w:t>On 4 October 2018, European Parliament Resolution (2018/2853(RSP)) on Yemen considered that indiscriminate airstrikes by the Coalition may amount to war crimes, and urged EU states to refrain from arms sales to the Coalition.</w:t>
      </w:r>
      <w:r>
        <w:rPr>
          <w:rStyle w:val="FootnoteReference"/>
        </w:rPr>
        <w:footnoteReference w:id="16"/>
      </w:r>
      <w:r w:rsidRPr="00203B59">
        <w:rPr>
          <w:lang w:val="en-GB"/>
        </w:rPr>
        <w:t xml:space="preserve"> </w:t>
      </w:r>
      <w:proofErr w:type="gramStart"/>
      <w:r w:rsidRPr="00203B59">
        <w:rPr>
          <w:lang w:val="en-GB"/>
        </w:rPr>
        <w:t>Furthermore, in its 2019 report the UN Group of Eminent Experts on Yemen</w:t>
      </w:r>
      <w:r w:rsidR="003B061D">
        <w:rPr>
          <w:lang w:val="en-GB"/>
        </w:rPr>
        <w:t xml:space="preserve"> established by the Human Rights Council</w:t>
      </w:r>
      <w:r w:rsidRPr="00203B59">
        <w:rPr>
          <w:lang w:val="en-GB"/>
        </w:rPr>
        <w:t xml:space="preserve"> recommended third states “</w:t>
      </w:r>
      <w:r w:rsidRPr="00203B59">
        <w:rPr>
          <w:bCs/>
          <w:i/>
          <w:lang w:val="en-GB"/>
        </w:rPr>
        <w:t>Considering the prevailing risk that arms provided to parties to the conflict in Yemen may be used to commit or facilitate serious violations of international humanitarian law and international human rights law, States should prohibit the authorization of transfers of, and refrain from providing, arms that could be used in the conflict to such parties</w:t>
      </w:r>
      <w:r w:rsidRPr="00203B59">
        <w:rPr>
          <w:bCs/>
          <w:lang w:val="en-GB"/>
        </w:rPr>
        <w:t xml:space="preserve">. </w:t>
      </w:r>
      <w:r w:rsidRPr="00203B59">
        <w:rPr>
          <w:lang w:val="en-GB"/>
        </w:rPr>
        <w:t>”</w:t>
      </w:r>
      <w:r>
        <w:rPr>
          <w:rStyle w:val="FootnoteReference"/>
        </w:rPr>
        <w:footnoteReference w:id="17"/>
      </w:r>
      <w:proofErr w:type="gramEnd"/>
    </w:p>
    <w:p w14:paraId="4856D46D" w14:textId="77777777" w:rsidR="00090329" w:rsidRDefault="00911DC4" w:rsidP="00260DCC">
      <w:pPr>
        <w:pStyle w:val="Textbody"/>
        <w:spacing w:before="120"/>
        <w:jc w:val="both"/>
        <w:rPr>
          <w:rFonts w:cs="Times New Roman"/>
          <w:color w:val="000000"/>
          <w:sz w:val="22"/>
          <w:szCs w:val="22"/>
          <w:lang w:val="en-GB"/>
        </w:rPr>
      </w:pPr>
      <w:r w:rsidRPr="00911DC4">
        <w:rPr>
          <w:sz w:val="22"/>
          <w:szCs w:val="22"/>
          <w:lang w:val="en-US"/>
        </w:rPr>
        <w:t xml:space="preserve">While the indiscriminate bombing of towns and cities may seem gender-blind, there are serious gendered impacts of the use of explosive weapons in populated areas that are largely unaccounted for when those </w:t>
      </w:r>
      <w:r>
        <w:rPr>
          <w:sz w:val="22"/>
          <w:szCs w:val="22"/>
          <w:lang w:val="en-US"/>
        </w:rPr>
        <w:t xml:space="preserve">selling or </w:t>
      </w:r>
      <w:r w:rsidRPr="00911DC4">
        <w:rPr>
          <w:sz w:val="22"/>
          <w:szCs w:val="22"/>
          <w:lang w:val="en-US"/>
        </w:rPr>
        <w:t xml:space="preserve">using weapons are assessing </w:t>
      </w:r>
      <w:r>
        <w:rPr>
          <w:sz w:val="22"/>
          <w:szCs w:val="22"/>
          <w:lang w:val="en-US"/>
        </w:rPr>
        <w:t>risks</w:t>
      </w:r>
      <w:r w:rsidRPr="00911DC4">
        <w:rPr>
          <w:sz w:val="22"/>
          <w:szCs w:val="22"/>
          <w:lang w:val="en-US"/>
        </w:rPr>
        <w:t xml:space="preserve"> and damage, or when others develop policies to rebuild post-violence.</w:t>
      </w:r>
      <w:r w:rsidRPr="00911DC4">
        <w:rPr>
          <w:rStyle w:val="FootnoteReference"/>
          <w:sz w:val="22"/>
          <w:szCs w:val="22"/>
          <w:lang w:val="en-US"/>
        </w:rPr>
        <w:footnoteReference w:id="18"/>
      </w:r>
      <w:r w:rsidRPr="00E74AD0">
        <w:rPr>
          <w:lang w:val="en-US"/>
        </w:rPr>
        <w:t xml:space="preserve"> </w:t>
      </w:r>
      <w:r w:rsidR="00090329">
        <w:rPr>
          <w:rFonts w:cs="Times New Roman"/>
          <w:color w:val="000000"/>
          <w:sz w:val="22"/>
          <w:szCs w:val="22"/>
          <w:lang w:val="en-GB"/>
        </w:rPr>
        <w:t xml:space="preserve">At this </w:t>
      </w:r>
      <w:proofErr w:type="gramStart"/>
      <w:r w:rsidR="00090329">
        <w:rPr>
          <w:rFonts w:cs="Times New Roman"/>
          <w:color w:val="000000"/>
          <w:sz w:val="22"/>
          <w:szCs w:val="22"/>
          <w:lang w:val="en-GB"/>
        </w:rPr>
        <w:t>point</w:t>
      </w:r>
      <w:proofErr w:type="gramEnd"/>
      <w:r w:rsidR="00090329">
        <w:rPr>
          <w:rFonts w:cs="Times New Roman"/>
          <w:color w:val="000000"/>
          <w:sz w:val="22"/>
          <w:szCs w:val="22"/>
          <w:lang w:val="en-GB"/>
        </w:rPr>
        <w:t xml:space="preserve"> </w:t>
      </w:r>
      <w:r w:rsidR="002F0734">
        <w:rPr>
          <w:rFonts w:cs="Times New Roman"/>
          <w:color w:val="000000"/>
          <w:sz w:val="22"/>
          <w:szCs w:val="22"/>
          <w:lang w:val="en-GB"/>
        </w:rPr>
        <w:t xml:space="preserve">we </w:t>
      </w:r>
      <w:r w:rsidR="00090329">
        <w:rPr>
          <w:rFonts w:cs="Times New Roman"/>
          <w:color w:val="000000"/>
          <w:sz w:val="22"/>
          <w:szCs w:val="22"/>
          <w:lang w:val="en-GB"/>
        </w:rPr>
        <w:t xml:space="preserve">recall the specific impacts this situation has on women as summarized by the WILPF &amp; ECCHR shadow report in 2017: </w:t>
      </w:r>
    </w:p>
    <w:p w14:paraId="46202B1F" w14:textId="4AF931E8" w:rsidR="002F0734" w:rsidRPr="002E1247" w:rsidRDefault="002F0734" w:rsidP="00260DCC">
      <w:pPr>
        <w:pStyle w:val="Textbody"/>
        <w:jc w:val="both"/>
        <w:rPr>
          <w:lang w:val="en-GB"/>
        </w:rPr>
      </w:pPr>
      <w:r>
        <w:rPr>
          <w:rFonts w:cs="Times New Roman"/>
          <w:color w:val="000000"/>
          <w:sz w:val="22"/>
          <w:szCs w:val="22"/>
          <w:lang w:val="en-GB"/>
        </w:rPr>
        <w:t>“</w:t>
      </w:r>
      <w:proofErr w:type="gramStart"/>
      <w:r>
        <w:rPr>
          <w:rFonts w:cs="Times New Roman"/>
          <w:i/>
          <w:color w:val="000000"/>
          <w:sz w:val="22"/>
          <w:szCs w:val="22"/>
          <w:lang w:val="en-GB"/>
        </w:rPr>
        <w:t>the</w:t>
      </w:r>
      <w:proofErr w:type="gramEnd"/>
      <w:r>
        <w:rPr>
          <w:rFonts w:cs="Times New Roman"/>
          <w:i/>
          <w:color w:val="000000"/>
          <w:sz w:val="22"/>
          <w:szCs w:val="22"/>
          <w:lang w:val="en-GB"/>
        </w:rPr>
        <w:t xml:space="preserve"> use of explosive weapons and indiscriminate shelling in Yemen on healthcare facilities, which have been destroyed or damaged as a result have a disproportionate impact on women’s health. Without access to reproductive health services, women face an increased risk of life-threatening complications, as well as loss of access to family planning, exposing them to unwanted pregnancies in perilous conditions.”</w:t>
      </w:r>
    </w:p>
    <w:p w14:paraId="5B230FB7" w14:textId="3DA273B6" w:rsidR="002F0734" w:rsidRPr="002E1247" w:rsidRDefault="002F0734" w:rsidP="00260DCC">
      <w:pPr>
        <w:pStyle w:val="Textbody"/>
        <w:jc w:val="both"/>
        <w:rPr>
          <w:lang w:val="en-GB"/>
        </w:rPr>
      </w:pPr>
      <w:r>
        <w:rPr>
          <w:rFonts w:cs="Times New Roman"/>
          <w:color w:val="000000"/>
          <w:sz w:val="22"/>
          <w:szCs w:val="22"/>
          <w:lang w:val="en-GB"/>
        </w:rPr>
        <w:t>It further read</w:t>
      </w:r>
      <w:r w:rsidR="00D03EF3">
        <w:rPr>
          <w:rFonts w:cs="Times New Roman"/>
          <w:color w:val="000000"/>
          <w:sz w:val="22"/>
          <w:szCs w:val="22"/>
          <w:lang w:val="en-GB"/>
        </w:rPr>
        <w:t>s</w:t>
      </w:r>
      <w:r>
        <w:rPr>
          <w:rFonts w:cs="Times New Roman"/>
          <w:color w:val="000000"/>
          <w:sz w:val="22"/>
          <w:szCs w:val="22"/>
          <w:lang w:val="en-GB"/>
        </w:rPr>
        <w:t>:</w:t>
      </w:r>
    </w:p>
    <w:p w14:paraId="6B1EB5F2" w14:textId="269B6D26" w:rsidR="002F0734" w:rsidRDefault="005D65B4" w:rsidP="00260DCC">
      <w:pPr>
        <w:pStyle w:val="Textbody"/>
        <w:jc w:val="both"/>
        <w:rPr>
          <w:rFonts w:cs="Times New Roman"/>
          <w:color w:val="000000"/>
          <w:sz w:val="22"/>
          <w:szCs w:val="22"/>
          <w:lang w:val="en-GB"/>
        </w:rPr>
      </w:pPr>
      <w:r>
        <w:rPr>
          <w:rFonts w:cs="Times New Roman"/>
          <w:color w:val="000000"/>
          <w:sz w:val="22"/>
          <w:szCs w:val="22"/>
          <w:lang w:val="en-GB"/>
        </w:rPr>
        <w:lastRenderedPageBreak/>
        <w:t>“</w:t>
      </w:r>
      <w:proofErr w:type="gramStart"/>
      <w:r w:rsidR="002F0734">
        <w:rPr>
          <w:rFonts w:cs="Times New Roman"/>
          <w:i/>
          <w:color w:val="000000"/>
          <w:sz w:val="22"/>
          <w:szCs w:val="22"/>
          <w:lang w:val="en-GB"/>
        </w:rPr>
        <w:t>in</w:t>
      </w:r>
      <w:proofErr w:type="gramEnd"/>
      <w:r w:rsidR="002F0734">
        <w:rPr>
          <w:rFonts w:cs="Times New Roman"/>
          <w:i/>
          <w:color w:val="000000"/>
          <w:sz w:val="22"/>
          <w:szCs w:val="22"/>
          <w:lang w:val="en-GB"/>
        </w:rPr>
        <w:t xml:space="preserve"> such context, women and girls often suffer gravely and disproportionately due to forced displacement, sexual violence, trafficking, lack of access to health care (including sexual and reproductive health) and to victim and survivor assistance. </w:t>
      </w:r>
      <w:proofErr w:type="gramStart"/>
      <w:r w:rsidR="002F0734">
        <w:rPr>
          <w:rFonts w:cs="Times New Roman"/>
          <w:i/>
          <w:color w:val="000000"/>
          <w:sz w:val="22"/>
          <w:szCs w:val="22"/>
          <w:lang w:val="en-GB"/>
        </w:rPr>
        <w:t>Hospitals, schools, markets, and houses have been targeted by explosive weapons</w:t>
      </w:r>
      <w:proofErr w:type="gramEnd"/>
      <w:r w:rsidR="002F0734">
        <w:rPr>
          <w:rFonts w:cs="Times New Roman"/>
          <w:i/>
          <w:color w:val="000000"/>
          <w:sz w:val="22"/>
          <w:szCs w:val="22"/>
          <w:lang w:val="en-GB"/>
        </w:rPr>
        <w:t>. The large destructive radius of such weapons means that even the striking of military targets within a populated area has caused the destruction or damaging of civilian infrastructure, such as health and education facilities and houses.”</w:t>
      </w:r>
      <w:r w:rsidR="002F0734">
        <w:rPr>
          <w:rStyle w:val="FootnoteReference"/>
          <w:rFonts w:cs="Times New Roman"/>
          <w:color w:val="000000"/>
          <w:sz w:val="22"/>
          <w:szCs w:val="22"/>
          <w:lang w:val="en-GB"/>
        </w:rPr>
        <w:footnoteReference w:id="19"/>
      </w:r>
    </w:p>
    <w:p w14:paraId="1436F649" w14:textId="49E28FF7" w:rsidR="00264FB9" w:rsidRDefault="00264FB9" w:rsidP="00264FB9">
      <w:pPr>
        <w:pStyle w:val="Heading1"/>
        <w:numPr>
          <w:ilvl w:val="0"/>
          <w:numId w:val="8"/>
        </w:numPr>
        <w:rPr>
          <w:lang w:val="en-GB"/>
        </w:rPr>
      </w:pPr>
      <w:r>
        <w:rPr>
          <w:lang w:val="en-GB"/>
        </w:rPr>
        <w:t>Past recommendations by the C</w:t>
      </w:r>
      <w:r w:rsidR="002A3F13">
        <w:rPr>
          <w:lang w:val="en-GB"/>
        </w:rPr>
        <w:t>EDAW C</w:t>
      </w:r>
      <w:r>
        <w:rPr>
          <w:lang w:val="en-GB"/>
        </w:rPr>
        <w:t>ommittee</w:t>
      </w:r>
      <w:r w:rsidR="002A3F13">
        <w:rPr>
          <w:lang w:val="en-GB"/>
        </w:rPr>
        <w:t xml:space="preserve"> on </w:t>
      </w:r>
      <w:r>
        <w:rPr>
          <w:lang w:val="en-GB"/>
        </w:rPr>
        <w:t xml:space="preserve">Germany’s arms exports </w:t>
      </w:r>
    </w:p>
    <w:p w14:paraId="1B92FB41" w14:textId="77777777" w:rsidR="00264FB9" w:rsidRPr="002E1247" w:rsidRDefault="00264FB9" w:rsidP="00264FB9">
      <w:pPr>
        <w:pStyle w:val="Textbody"/>
        <w:jc w:val="both"/>
        <w:rPr>
          <w:lang w:val="en-GB"/>
        </w:rPr>
      </w:pPr>
      <w:r>
        <w:rPr>
          <w:rFonts w:cs="Times New Roman"/>
          <w:color w:val="000000"/>
          <w:sz w:val="22"/>
          <w:szCs w:val="22"/>
          <w:lang w:val="en-GB"/>
        </w:rPr>
        <w:t xml:space="preserve">In its concluding observations on Germany in </w:t>
      </w:r>
      <w:proofErr w:type="gramStart"/>
      <w:r>
        <w:rPr>
          <w:rFonts w:cs="Times New Roman"/>
          <w:color w:val="000000"/>
          <w:sz w:val="22"/>
          <w:szCs w:val="22"/>
          <w:lang w:val="en-GB"/>
        </w:rPr>
        <w:t>2017</w:t>
      </w:r>
      <w:proofErr w:type="gramEnd"/>
      <w:r>
        <w:rPr>
          <w:rFonts w:cs="Times New Roman"/>
          <w:color w:val="000000"/>
          <w:sz w:val="22"/>
          <w:szCs w:val="22"/>
          <w:lang w:val="en-GB"/>
        </w:rPr>
        <w:t xml:space="preserve"> the CEDAW committee highlighted the following areas of concern:</w:t>
      </w:r>
    </w:p>
    <w:p w14:paraId="70BDB0F2" w14:textId="77777777" w:rsidR="00264FB9" w:rsidRPr="002E1247" w:rsidRDefault="00264FB9" w:rsidP="00264FB9">
      <w:pPr>
        <w:pStyle w:val="Textbody"/>
        <w:jc w:val="both"/>
        <w:rPr>
          <w:i/>
          <w:iCs/>
          <w:lang w:val="en-GB"/>
        </w:rPr>
      </w:pPr>
      <w:r>
        <w:rPr>
          <w:rFonts w:cs="Times New Roman"/>
          <w:i/>
          <w:iCs/>
          <w:color w:val="000000"/>
          <w:sz w:val="22"/>
          <w:szCs w:val="22"/>
          <w:lang w:val="en-GB"/>
        </w:rPr>
        <w:t>„The inadequate legal framework to hold companies and corporations registered or domiciled in the State party accountable for violations of women’s human rights abroad, and the lack of a gender perspective in the national action plan on business and human rights;”</w:t>
      </w:r>
    </w:p>
    <w:p w14:paraId="383A26EE" w14:textId="77777777" w:rsidR="00264FB9" w:rsidRPr="002E1247" w:rsidRDefault="00264FB9" w:rsidP="00264FB9">
      <w:pPr>
        <w:pStyle w:val="Textbody"/>
        <w:jc w:val="both"/>
        <w:rPr>
          <w:lang w:val="en-GB"/>
        </w:rPr>
      </w:pPr>
      <w:r>
        <w:rPr>
          <w:rFonts w:cs="Times New Roman"/>
          <w:sz w:val="22"/>
          <w:szCs w:val="22"/>
          <w:lang w:val="en-GB"/>
        </w:rPr>
        <w:t>It therefore recommended that the State party:</w:t>
      </w:r>
    </w:p>
    <w:p w14:paraId="29F44B69" w14:textId="77777777" w:rsidR="00264FB9" w:rsidRPr="002E1247" w:rsidRDefault="00264FB9" w:rsidP="00264FB9">
      <w:pPr>
        <w:pStyle w:val="Textbody"/>
        <w:jc w:val="both"/>
        <w:rPr>
          <w:i/>
          <w:iCs/>
          <w:lang w:val="en-GB"/>
        </w:rPr>
      </w:pPr>
      <w:r>
        <w:rPr>
          <w:rFonts w:cs="Times New Roman"/>
          <w:i/>
          <w:iCs/>
          <w:sz w:val="22"/>
          <w:szCs w:val="22"/>
          <w:lang w:val="en-GB"/>
        </w:rPr>
        <w:t>“Adopt specific measures, including a mechanism for redress to facilitate access to justice on behalf of women who are victims of human rights violations, and ensure that judicial and administrative mechanisms in place take a gender perspective into account;“</w:t>
      </w:r>
    </w:p>
    <w:p w14:paraId="1BFDB18C" w14:textId="4CAB26D8" w:rsidR="00264FB9" w:rsidRPr="002E1247" w:rsidRDefault="00264FB9" w:rsidP="00264FB9">
      <w:pPr>
        <w:pStyle w:val="Textbody"/>
        <w:jc w:val="both"/>
        <w:rPr>
          <w:lang w:val="en-GB"/>
        </w:rPr>
      </w:pPr>
      <w:r>
        <w:rPr>
          <w:rFonts w:cs="Times New Roman"/>
          <w:sz w:val="22"/>
          <w:szCs w:val="22"/>
          <w:lang w:val="en-GB"/>
        </w:rPr>
        <w:t xml:space="preserve">Dealing with the topic of </w:t>
      </w:r>
      <w:proofErr w:type="gramStart"/>
      <w:r>
        <w:rPr>
          <w:rFonts w:cs="Times New Roman"/>
          <w:sz w:val="22"/>
          <w:szCs w:val="22"/>
          <w:lang w:val="en-GB"/>
        </w:rPr>
        <w:t>women and peace and security</w:t>
      </w:r>
      <w:proofErr w:type="gramEnd"/>
      <w:r w:rsidR="003C0407">
        <w:rPr>
          <w:rFonts w:cs="Times New Roman"/>
          <w:sz w:val="22"/>
          <w:szCs w:val="22"/>
          <w:lang w:val="en-GB"/>
        </w:rPr>
        <w:t xml:space="preserve"> and arms exports</w:t>
      </w:r>
      <w:r>
        <w:rPr>
          <w:rFonts w:cs="Times New Roman"/>
          <w:sz w:val="22"/>
          <w:szCs w:val="22"/>
          <w:lang w:val="en-GB"/>
        </w:rPr>
        <w:t xml:space="preserve"> the committee was</w:t>
      </w:r>
      <w:r w:rsidR="002B6DD9">
        <w:rPr>
          <w:rFonts w:cs="Times New Roman"/>
          <w:sz w:val="22"/>
          <w:szCs w:val="22"/>
          <w:lang w:val="en-GB"/>
        </w:rPr>
        <w:t>:</w:t>
      </w:r>
    </w:p>
    <w:p w14:paraId="6E90F663" w14:textId="77777777" w:rsidR="00264FB9" w:rsidRPr="002E1247" w:rsidRDefault="00264FB9" w:rsidP="00264FB9">
      <w:pPr>
        <w:pStyle w:val="Textbody"/>
        <w:jc w:val="both"/>
        <w:rPr>
          <w:lang w:val="en-GB"/>
        </w:rPr>
      </w:pPr>
      <w:r>
        <w:rPr>
          <w:rFonts w:cs="Times New Roman"/>
          <w:i/>
          <w:iCs/>
          <w:sz w:val="22"/>
          <w:szCs w:val="22"/>
          <w:lang w:val="en-GB"/>
        </w:rPr>
        <w:t>„concerned about the use of arms exported by the State party, including in conflict zones, and the inadequate monitoring by arms-producing corporations of the use of their arms in the context of violence against women, in line with its obligations under the Arms Trade Treaty.“</w:t>
      </w:r>
    </w:p>
    <w:p w14:paraId="4A492C73" w14:textId="77777777" w:rsidR="00264FB9" w:rsidRPr="002E1247" w:rsidRDefault="00264FB9" w:rsidP="00264FB9">
      <w:pPr>
        <w:pStyle w:val="Textbody"/>
        <w:jc w:val="both"/>
        <w:rPr>
          <w:lang w:val="en-GB"/>
        </w:rPr>
      </w:pPr>
      <w:r>
        <w:rPr>
          <w:rFonts w:cs="Times New Roman"/>
          <w:sz w:val="22"/>
          <w:szCs w:val="22"/>
          <w:lang w:val="en-GB"/>
        </w:rPr>
        <w:t>It therefore recommended</w:t>
      </w:r>
    </w:p>
    <w:p w14:paraId="743B149C" w14:textId="2FFA9298" w:rsidR="00264FB9" w:rsidRPr="00895C5C" w:rsidRDefault="00264FB9" w:rsidP="00264FB9">
      <w:pPr>
        <w:pStyle w:val="Textbody"/>
        <w:jc w:val="both"/>
        <w:rPr>
          <w:i/>
          <w:iCs/>
          <w:lang w:val="en-GB"/>
        </w:rPr>
      </w:pPr>
      <w:r>
        <w:rPr>
          <w:rFonts w:cs="Times New Roman"/>
          <w:i/>
          <w:iCs/>
          <w:sz w:val="22"/>
          <w:szCs w:val="22"/>
          <w:lang w:val="en-GB"/>
        </w:rPr>
        <w:t>“</w:t>
      </w:r>
      <w:proofErr w:type="gramStart"/>
      <w:r>
        <w:rPr>
          <w:rFonts w:cs="Times New Roman"/>
          <w:i/>
          <w:iCs/>
          <w:sz w:val="22"/>
          <w:szCs w:val="22"/>
          <w:lang w:val="en-GB"/>
        </w:rPr>
        <w:t>that</w:t>
      </w:r>
      <w:proofErr w:type="gramEnd"/>
      <w:r>
        <w:rPr>
          <w:rFonts w:cs="Times New Roman"/>
          <w:i/>
          <w:iCs/>
          <w:sz w:val="22"/>
          <w:szCs w:val="22"/>
          <w:lang w:val="en-GB"/>
        </w:rPr>
        <w:t xml:space="preserve"> legislation regulating arms export control be harmonized in line with article 7 (4) of the Arms Trade Treaty and the Council Common Position 2008/944/CFSP of the European Union. “</w:t>
      </w:r>
    </w:p>
    <w:p w14:paraId="530F991F" w14:textId="19FCB2B5" w:rsidR="00880908" w:rsidRPr="00ED6F57" w:rsidRDefault="00880908" w:rsidP="00880908">
      <w:pPr>
        <w:pStyle w:val="Textbody"/>
        <w:jc w:val="both"/>
        <w:rPr>
          <w:sz w:val="22"/>
          <w:szCs w:val="22"/>
          <w:lang w:val="en-US"/>
        </w:rPr>
      </w:pPr>
      <w:proofErr w:type="gramStart"/>
      <w:r w:rsidRPr="00ED6F57">
        <w:rPr>
          <w:sz w:val="22"/>
          <w:szCs w:val="22"/>
          <w:lang w:val="en-GB"/>
        </w:rPr>
        <w:t xml:space="preserve">In addition, in the context of its third UPR in 2017 Germany received and accepted three recommendations related to </w:t>
      </w:r>
      <w:r w:rsidR="00ED6F57" w:rsidRPr="00ED6F57">
        <w:rPr>
          <w:sz w:val="22"/>
          <w:szCs w:val="22"/>
          <w:lang w:val="en-GB"/>
        </w:rPr>
        <w:t xml:space="preserve">the </w:t>
      </w:r>
      <w:r w:rsidRPr="00ED6F57">
        <w:rPr>
          <w:sz w:val="22"/>
          <w:szCs w:val="22"/>
          <w:lang w:val="en-GB"/>
        </w:rPr>
        <w:t>human rights impacts of arms transfers, including a recommendation from Albania to: “155.14 Harmonize arms export control legislation in line with provisions of the Arms Trade Treaty and the Council of the European Union Common Position, and ensure that, before export licenses are granted, comprehensive</w:t>
      </w:r>
      <w:r w:rsidR="00ED6F57" w:rsidRPr="00ED6F57">
        <w:rPr>
          <w:sz w:val="22"/>
          <w:szCs w:val="22"/>
          <w:lang w:val="en-GB"/>
        </w:rPr>
        <w:t xml:space="preserve"> </w:t>
      </w:r>
      <w:r w:rsidRPr="00ED6F57">
        <w:rPr>
          <w:sz w:val="22"/>
          <w:szCs w:val="22"/>
          <w:lang w:val="en-GB"/>
        </w:rPr>
        <w:t xml:space="preserve">and transparent assessments are conducted of the impact that the misuse of small arms and light weapons would have on women, including </w:t>
      </w:r>
      <w:r w:rsidR="00053090">
        <w:rPr>
          <w:sz w:val="22"/>
          <w:szCs w:val="22"/>
          <w:lang w:val="en-GB"/>
        </w:rPr>
        <w:t>those living in conflict zones”</w:t>
      </w:r>
      <w:r w:rsidRPr="00ED6F57">
        <w:rPr>
          <w:sz w:val="22"/>
          <w:szCs w:val="22"/>
          <w:lang w:val="en-GB"/>
        </w:rPr>
        <w:t xml:space="preserve"> and from Peru to “</w:t>
      </w:r>
      <w:r w:rsidRPr="00ED6F57">
        <w:rPr>
          <w:sz w:val="22"/>
          <w:szCs w:val="22"/>
          <w:lang w:val="en-US"/>
        </w:rPr>
        <w:t xml:space="preserve">155.16 Strengthen the assessment of the human rights impact of the arms export licensing system to prevent them from being used to commit or facilitate serious acts of </w:t>
      </w:r>
      <w:r w:rsidRPr="00ED6F57">
        <w:rPr>
          <w:sz w:val="22"/>
          <w:szCs w:val="22"/>
          <w:lang w:val="en-US"/>
        </w:rPr>
        <w:lastRenderedPageBreak/>
        <w:t>gender-based violence or serious acts of violence against women and children.”</w:t>
      </w:r>
      <w:r w:rsidR="00053090" w:rsidRPr="00053090">
        <w:rPr>
          <w:rStyle w:val="FootnoteReference"/>
          <w:sz w:val="22"/>
          <w:szCs w:val="22"/>
          <w:lang w:val="en-GB"/>
        </w:rPr>
        <w:t xml:space="preserve"> </w:t>
      </w:r>
      <w:r w:rsidR="00053090">
        <w:rPr>
          <w:rStyle w:val="FootnoteReference"/>
          <w:sz w:val="22"/>
          <w:szCs w:val="22"/>
          <w:lang w:val="en-GB"/>
        </w:rPr>
        <w:footnoteReference w:id="20"/>
      </w:r>
      <w:proofErr w:type="gramEnd"/>
    </w:p>
    <w:p w14:paraId="2A1993B5" w14:textId="77777777" w:rsidR="00090329" w:rsidRDefault="00090329" w:rsidP="00090329">
      <w:pPr>
        <w:pStyle w:val="Heading1"/>
        <w:numPr>
          <w:ilvl w:val="0"/>
          <w:numId w:val="8"/>
        </w:numPr>
        <w:rPr>
          <w:lang w:val="en-GB"/>
        </w:rPr>
      </w:pPr>
      <w:r>
        <w:rPr>
          <w:lang w:val="en-GB"/>
        </w:rPr>
        <w:t>German regulation of arms exports and criminal accusations</w:t>
      </w:r>
    </w:p>
    <w:p w14:paraId="23285AB8" w14:textId="63A54E62" w:rsidR="00CF22EA" w:rsidRDefault="00B10F9E" w:rsidP="00260DCC">
      <w:pPr>
        <w:pStyle w:val="Textbody"/>
        <w:jc w:val="both"/>
        <w:rPr>
          <w:rFonts w:cs="Times New Roman"/>
          <w:color w:val="000000"/>
          <w:sz w:val="22"/>
          <w:szCs w:val="22"/>
          <w:lang w:val="en-GB"/>
        </w:rPr>
      </w:pPr>
      <w:r>
        <w:rPr>
          <w:rFonts w:cs="Times New Roman"/>
          <w:color w:val="000000"/>
          <w:sz w:val="22"/>
          <w:szCs w:val="22"/>
          <w:lang w:val="en-GB"/>
        </w:rPr>
        <w:t xml:space="preserve">The </w:t>
      </w:r>
      <w:r w:rsidR="00CF22EA">
        <w:rPr>
          <w:rFonts w:cs="Times New Roman"/>
          <w:color w:val="000000"/>
          <w:sz w:val="22"/>
          <w:szCs w:val="22"/>
          <w:lang w:val="en-GB"/>
        </w:rPr>
        <w:t xml:space="preserve">recommendations issued by the CEDAW Committee </w:t>
      </w:r>
      <w:proofErr w:type="gramStart"/>
      <w:r w:rsidR="00CF22EA">
        <w:rPr>
          <w:rFonts w:cs="Times New Roman"/>
          <w:color w:val="000000"/>
          <w:sz w:val="22"/>
          <w:szCs w:val="22"/>
          <w:lang w:val="en-GB"/>
        </w:rPr>
        <w:t xml:space="preserve">have, </w:t>
      </w:r>
      <w:r>
        <w:rPr>
          <w:rFonts w:cs="Times New Roman"/>
          <w:color w:val="000000"/>
          <w:sz w:val="22"/>
          <w:szCs w:val="22"/>
          <w:lang w:val="en-GB"/>
        </w:rPr>
        <w:t>to the knowledge of undersigned organizations</w:t>
      </w:r>
      <w:r w:rsidR="00CF22EA">
        <w:rPr>
          <w:rFonts w:cs="Times New Roman"/>
          <w:color w:val="000000"/>
          <w:sz w:val="22"/>
          <w:szCs w:val="22"/>
          <w:lang w:val="en-GB"/>
        </w:rPr>
        <w:t xml:space="preserve">, not </w:t>
      </w:r>
      <w:r>
        <w:rPr>
          <w:rFonts w:cs="Times New Roman"/>
          <w:color w:val="000000"/>
          <w:sz w:val="22"/>
          <w:szCs w:val="22"/>
          <w:lang w:val="en-GB"/>
        </w:rPr>
        <w:t>had</w:t>
      </w:r>
      <w:proofErr w:type="gramEnd"/>
      <w:r>
        <w:rPr>
          <w:rFonts w:cs="Times New Roman"/>
          <w:color w:val="000000"/>
          <w:sz w:val="22"/>
          <w:szCs w:val="22"/>
          <w:lang w:val="en-GB"/>
        </w:rPr>
        <w:t xml:space="preserve"> </w:t>
      </w:r>
      <w:r w:rsidR="00CF22EA">
        <w:rPr>
          <w:rFonts w:cs="Times New Roman"/>
          <w:color w:val="000000"/>
          <w:sz w:val="22"/>
          <w:szCs w:val="22"/>
          <w:lang w:val="en-GB"/>
        </w:rPr>
        <w:t xml:space="preserve">any immediate </w:t>
      </w:r>
      <w:r>
        <w:rPr>
          <w:rFonts w:cs="Times New Roman"/>
          <w:color w:val="000000"/>
          <w:sz w:val="22"/>
          <w:szCs w:val="22"/>
          <w:lang w:val="en-GB"/>
        </w:rPr>
        <w:t>impact on</w:t>
      </w:r>
      <w:r w:rsidR="00CF22EA">
        <w:rPr>
          <w:rFonts w:cs="Times New Roman"/>
          <w:color w:val="000000"/>
          <w:sz w:val="22"/>
          <w:szCs w:val="22"/>
          <w:lang w:val="en-GB"/>
        </w:rPr>
        <w:t xml:space="preserve"> Germany’s legislative basis for arms export control nor its administrative approach to granting licenses. </w:t>
      </w:r>
      <w:r>
        <w:rPr>
          <w:rFonts w:cs="Times New Roman"/>
          <w:color w:val="000000"/>
          <w:sz w:val="22"/>
          <w:szCs w:val="22"/>
          <w:lang w:val="en-GB"/>
        </w:rPr>
        <w:t xml:space="preserve">Solely, </w:t>
      </w:r>
      <w:r w:rsidR="00CF22EA">
        <w:rPr>
          <w:rFonts w:cs="Times New Roman"/>
          <w:color w:val="000000"/>
          <w:sz w:val="22"/>
          <w:szCs w:val="22"/>
          <w:lang w:val="en-GB"/>
        </w:rPr>
        <w:t xml:space="preserve">the government’s annual report on arms exports in the year 2017 </w:t>
      </w:r>
      <w:r>
        <w:rPr>
          <w:rFonts w:cs="Times New Roman"/>
          <w:color w:val="000000"/>
          <w:sz w:val="22"/>
          <w:szCs w:val="22"/>
          <w:lang w:val="en-GB"/>
        </w:rPr>
        <w:t xml:space="preserve">explicitly mentioned </w:t>
      </w:r>
      <w:r w:rsidR="00CF22EA">
        <w:rPr>
          <w:rFonts w:cs="Times New Roman"/>
          <w:color w:val="000000"/>
          <w:sz w:val="22"/>
          <w:szCs w:val="22"/>
          <w:lang w:val="en-GB"/>
        </w:rPr>
        <w:t xml:space="preserve">an update of the EU User’s Guide accompanying </w:t>
      </w:r>
      <w:r>
        <w:rPr>
          <w:rFonts w:cs="Times New Roman"/>
          <w:color w:val="000000"/>
          <w:sz w:val="22"/>
          <w:szCs w:val="22"/>
          <w:lang w:val="en-GB"/>
        </w:rPr>
        <w:t xml:space="preserve">EU </w:t>
      </w:r>
      <w:r w:rsidR="00CF22EA">
        <w:rPr>
          <w:rFonts w:cs="Times New Roman"/>
          <w:color w:val="000000"/>
          <w:sz w:val="22"/>
          <w:szCs w:val="22"/>
          <w:lang w:val="en-GB"/>
        </w:rPr>
        <w:t xml:space="preserve">Common Position </w:t>
      </w:r>
      <w:r>
        <w:rPr>
          <w:rFonts w:cs="Times New Roman"/>
          <w:color w:val="000000"/>
          <w:sz w:val="22"/>
          <w:szCs w:val="22"/>
          <w:lang w:val="en-GB"/>
        </w:rPr>
        <w:t xml:space="preserve">2008/944/CFSP reinforcing that the </w:t>
      </w:r>
      <w:r w:rsidR="00CF22EA">
        <w:rPr>
          <w:rFonts w:cs="Times New Roman"/>
          <w:color w:val="000000"/>
          <w:sz w:val="22"/>
          <w:szCs w:val="22"/>
          <w:lang w:val="en-GB"/>
        </w:rPr>
        <w:t xml:space="preserve">risk of gender based violence </w:t>
      </w:r>
      <w:r>
        <w:rPr>
          <w:rFonts w:cs="Times New Roman"/>
          <w:color w:val="000000"/>
          <w:sz w:val="22"/>
          <w:szCs w:val="22"/>
          <w:lang w:val="en-GB"/>
        </w:rPr>
        <w:t xml:space="preserve">is a necessary element </w:t>
      </w:r>
      <w:r w:rsidR="00CF22EA">
        <w:rPr>
          <w:rFonts w:cs="Times New Roman"/>
          <w:color w:val="000000"/>
          <w:sz w:val="22"/>
          <w:szCs w:val="22"/>
          <w:lang w:val="en-GB"/>
        </w:rPr>
        <w:t xml:space="preserve">of the risk assessment under criterion 2 of Art. </w:t>
      </w:r>
      <w:proofErr w:type="gramStart"/>
      <w:r w:rsidR="00CF22EA">
        <w:rPr>
          <w:rFonts w:cs="Times New Roman"/>
          <w:color w:val="000000"/>
          <w:sz w:val="22"/>
          <w:szCs w:val="22"/>
          <w:lang w:val="en-GB"/>
        </w:rPr>
        <w:t>2</w:t>
      </w:r>
      <w:proofErr w:type="gramEnd"/>
      <w:r w:rsidR="00CF22EA">
        <w:rPr>
          <w:rFonts w:cs="Times New Roman"/>
          <w:color w:val="000000"/>
          <w:sz w:val="22"/>
          <w:szCs w:val="22"/>
          <w:lang w:val="en-GB"/>
        </w:rPr>
        <w:t xml:space="preserve"> of </w:t>
      </w:r>
      <w:r>
        <w:rPr>
          <w:rFonts w:cs="Times New Roman"/>
          <w:color w:val="000000"/>
          <w:sz w:val="22"/>
          <w:szCs w:val="22"/>
          <w:lang w:val="en-GB"/>
        </w:rPr>
        <w:t xml:space="preserve">said </w:t>
      </w:r>
      <w:r w:rsidR="00CF22EA">
        <w:rPr>
          <w:rFonts w:cs="Times New Roman"/>
          <w:color w:val="000000"/>
          <w:sz w:val="22"/>
          <w:szCs w:val="22"/>
          <w:lang w:val="en-GB"/>
        </w:rPr>
        <w:t>Common Position.</w:t>
      </w:r>
      <w:r>
        <w:rPr>
          <w:rStyle w:val="FootnoteReference"/>
          <w:rFonts w:cs="Times New Roman"/>
          <w:color w:val="000000"/>
          <w:sz w:val="22"/>
          <w:szCs w:val="22"/>
          <w:lang w:val="en-GB"/>
        </w:rPr>
        <w:footnoteReference w:id="21"/>
      </w:r>
      <w:r w:rsidR="00CF22EA">
        <w:rPr>
          <w:rFonts w:cs="Times New Roman"/>
          <w:color w:val="000000"/>
          <w:sz w:val="22"/>
          <w:szCs w:val="22"/>
          <w:lang w:val="en-GB"/>
        </w:rPr>
        <w:t xml:space="preserve"> Yet, this update already took place before CEDAW made its recommendation and has apparently not led to any meaningful change minimizing the number of exports with risk for gender based violence or serious violence against women. In addition, undersigned organizations </w:t>
      </w:r>
      <w:proofErr w:type="gramStart"/>
      <w:r w:rsidR="00CF22EA">
        <w:rPr>
          <w:rFonts w:cs="Times New Roman"/>
          <w:color w:val="000000"/>
          <w:sz w:val="22"/>
          <w:szCs w:val="22"/>
          <w:lang w:val="en-GB"/>
        </w:rPr>
        <w:t>were invited</w:t>
      </w:r>
      <w:proofErr w:type="gramEnd"/>
      <w:r w:rsidR="00CF22EA">
        <w:rPr>
          <w:rFonts w:cs="Times New Roman"/>
          <w:color w:val="000000"/>
          <w:sz w:val="22"/>
          <w:szCs w:val="22"/>
          <w:lang w:val="en-GB"/>
        </w:rPr>
        <w:t xml:space="preserve"> by the Ministry of Foreign Affairs to an informal discussion of the Committee’s recommendation that resulted in a set of </w:t>
      </w:r>
      <w:r w:rsidR="004960FA">
        <w:rPr>
          <w:rFonts w:cs="Times New Roman"/>
          <w:color w:val="000000"/>
          <w:sz w:val="22"/>
          <w:szCs w:val="22"/>
          <w:lang w:val="en-GB"/>
        </w:rPr>
        <w:t>g</w:t>
      </w:r>
      <w:r w:rsidR="00CF22EA">
        <w:rPr>
          <w:rFonts w:cs="Times New Roman"/>
          <w:color w:val="000000"/>
          <w:sz w:val="22"/>
          <w:szCs w:val="22"/>
          <w:lang w:val="en-GB"/>
        </w:rPr>
        <w:t>uidelines draft</w:t>
      </w:r>
      <w:r w:rsidR="004960FA">
        <w:rPr>
          <w:rFonts w:cs="Times New Roman"/>
          <w:color w:val="000000"/>
          <w:sz w:val="22"/>
          <w:szCs w:val="22"/>
          <w:lang w:val="en-GB"/>
        </w:rPr>
        <w:t>ed</w:t>
      </w:r>
      <w:r w:rsidR="00CF22EA">
        <w:rPr>
          <w:rFonts w:cs="Times New Roman"/>
          <w:color w:val="000000"/>
          <w:sz w:val="22"/>
          <w:szCs w:val="22"/>
          <w:lang w:val="en-GB"/>
        </w:rPr>
        <w:t xml:space="preserve"> by undersigned organizations for conducting an arms export risk assessment of gender-based violence.</w:t>
      </w:r>
      <w:r w:rsidR="00CF22EA">
        <w:rPr>
          <w:rStyle w:val="FootnoteReference"/>
          <w:rFonts w:cs="Times New Roman"/>
          <w:color w:val="000000"/>
          <w:sz w:val="22"/>
          <w:szCs w:val="22"/>
          <w:lang w:val="en-GB"/>
        </w:rPr>
        <w:footnoteReference w:id="22"/>
      </w:r>
      <w:r w:rsidR="00CF22EA">
        <w:rPr>
          <w:rFonts w:cs="Times New Roman"/>
          <w:color w:val="000000"/>
          <w:sz w:val="22"/>
          <w:szCs w:val="22"/>
          <w:lang w:val="en-GB"/>
        </w:rPr>
        <w:t xml:space="preserve"> These guidelines </w:t>
      </w:r>
      <w:proofErr w:type="gramStart"/>
      <w:r w:rsidR="00CF22EA">
        <w:rPr>
          <w:rFonts w:cs="Times New Roman"/>
          <w:color w:val="000000"/>
          <w:sz w:val="22"/>
          <w:szCs w:val="22"/>
          <w:lang w:val="en-GB"/>
        </w:rPr>
        <w:t>were also submitted</w:t>
      </w:r>
      <w:proofErr w:type="gramEnd"/>
      <w:r w:rsidR="00CF22EA">
        <w:rPr>
          <w:rFonts w:cs="Times New Roman"/>
          <w:color w:val="000000"/>
          <w:sz w:val="22"/>
          <w:szCs w:val="22"/>
          <w:lang w:val="en-GB"/>
        </w:rPr>
        <w:t xml:space="preserve"> to the Ministry of Foreign Affairs. Neither WILPF nor ECCHR </w:t>
      </w:r>
      <w:proofErr w:type="gramStart"/>
      <w:r w:rsidR="00CF22EA">
        <w:rPr>
          <w:rFonts w:cs="Times New Roman"/>
          <w:color w:val="000000"/>
          <w:sz w:val="22"/>
          <w:szCs w:val="22"/>
          <w:lang w:val="en-GB"/>
        </w:rPr>
        <w:t>were informed</w:t>
      </w:r>
      <w:proofErr w:type="gramEnd"/>
      <w:r w:rsidR="00CF22EA">
        <w:rPr>
          <w:rFonts w:cs="Times New Roman"/>
          <w:color w:val="000000"/>
          <w:sz w:val="22"/>
          <w:szCs w:val="22"/>
          <w:lang w:val="en-GB"/>
        </w:rPr>
        <w:t xml:space="preserve"> subsequently to what extent these guidelines are now in use in the relevant government institutions. </w:t>
      </w:r>
    </w:p>
    <w:p w14:paraId="32444B8A" w14:textId="5B94566C" w:rsidR="00090329" w:rsidRPr="00203B59" w:rsidRDefault="00090329" w:rsidP="00260DCC">
      <w:pPr>
        <w:pStyle w:val="Textbody"/>
        <w:jc w:val="both"/>
        <w:rPr>
          <w:lang w:val="en-GB"/>
        </w:rPr>
      </w:pPr>
      <w:r>
        <w:rPr>
          <w:rFonts w:cs="Times New Roman"/>
          <w:color w:val="000000"/>
          <w:sz w:val="22"/>
          <w:szCs w:val="22"/>
          <w:lang w:val="en-GB"/>
        </w:rPr>
        <w:t>In January 2018, the German ruling parties CDU/ CSU and SPD, in their Coalition agreement for a new German government, agreed to try to call a halt to approvals of arms exports to any country directly participating in the war in Yemen.</w:t>
      </w:r>
      <w:r>
        <w:rPr>
          <w:rStyle w:val="FootnoteReference"/>
          <w:rFonts w:cs="Times New Roman"/>
          <w:color w:val="000000"/>
          <w:sz w:val="22"/>
          <w:szCs w:val="22"/>
          <w:lang w:val="en-GB"/>
        </w:rPr>
        <w:footnoteReference w:id="23"/>
      </w:r>
      <w:r>
        <w:rPr>
          <w:rFonts w:cs="Times New Roman"/>
          <w:b/>
          <w:color w:val="000000"/>
          <w:sz w:val="22"/>
          <w:szCs w:val="22"/>
          <w:lang w:val="en-GB"/>
        </w:rPr>
        <w:t xml:space="preserve"> </w:t>
      </w:r>
      <w:r>
        <w:rPr>
          <w:rFonts w:cs="Times New Roman"/>
          <w:color w:val="000000"/>
          <w:sz w:val="22"/>
          <w:szCs w:val="22"/>
          <w:lang w:val="en-GB"/>
        </w:rPr>
        <w:t>However, the Federal government did not fully implement this approach.</w:t>
      </w:r>
      <w:r>
        <w:rPr>
          <w:rFonts w:cs="Times New Roman"/>
          <w:b/>
          <w:color w:val="000000"/>
          <w:sz w:val="22"/>
          <w:szCs w:val="22"/>
          <w:lang w:val="en-GB"/>
        </w:rPr>
        <w:t xml:space="preserve"> </w:t>
      </w:r>
      <w:r>
        <w:rPr>
          <w:rFonts w:cs="Times New Roman"/>
          <w:color w:val="000000"/>
          <w:sz w:val="22"/>
          <w:szCs w:val="22"/>
          <w:lang w:val="en-GB"/>
        </w:rPr>
        <w:t xml:space="preserve">Only on 19 November 2018, in the aftermath of the murder of journalist Jamal </w:t>
      </w:r>
      <w:proofErr w:type="spellStart"/>
      <w:r>
        <w:rPr>
          <w:rFonts w:cs="Times New Roman"/>
          <w:color w:val="000000"/>
          <w:sz w:val="22"/>
          <w:szCs w:val="22"/>
          <w:lang w:val="en-GB"/>
        </w:rPr>
        <w:t>Khashoggi</w:t>
      </w:r>
      <w:proofErr w:type="spellEnd"/>
      <w:r>
        <w:rPr>
          <w:rFonts w:cs="Times New Roman"/>
          <w:color w:val="000000"/>
          <w:sz w:val="22"/>
          <w:szCs w:val="22"/>
          <w:lang w:val="en-GB"/>
        </w:rPr>
        <w:t xml:space="preserve">, </w:t>
      </w:r>
      <w:r w:rsidR="002F0734">
        <w:rPr>
          <w:rFonts w:cs="Times New Roman"/>
          <w:color w:val="000000"/>
          <w:sz w:val="22"/>
          <w:szCs w:val="22"/>
          <w:lang w:val="en-GB"/>
        </w:rPr>
        <w:t xml:space="preserve">unrelated to the impacts of the war in Yemen, </w:t>
      </w:r>
      <w:r>
        <w:rPr>
          <w:rFonts w:cs="Times New Roman"/>
          <w:color w:val="000000"/>
          <w:sz w:val="22"/>
          <w:szCs w:val="22"/>
          <w:lang w:val="en-GB"/>
        </w:rPr>
        <w:t>did the German government publicly renounce granting any further licenses for exports to Saudi Arabia and committed itself to using its leverage to influence already existing license holders not to deliver products to Saudi Arabia.</w:t>
      </w:r>
      <w:r>
        <w:rPr>
          <w:rStyle w:val="FootnoteReference"/>
          <w:rFonts w:cs="Times New Roman"/>
          <w:color w:val="000000"/>
          <w:sz w:val="22"/>
          <w:szCs w:val="22"/>
          <w:lang w:val="en-GB"/>
        </w:rPr>
        <w:footnoteReference w:id="24"/>
      </w:r>
      <w:r>
        <w:rPr>
          <w:rFonts w:cs="Times New Roman"/>
          <w:b/>
          <w:color w:val="000000"/>
          <w:sz w:val="22"/>
          <w:szCs w:val="22"/>
          <w:lang w:val="en-GB"/>
        </w:rPr>
        <w:t xml:space="preserve"> </w:t>
      </w:r>
      <w:r>
        <w:rPr>
          <w:rFonts w:cs="Times New Roman"/>
          <w:color w:val="000000"/>
          <w:sz w:val="22"/>
          <w:szCs w:val="22"/>
          <w:lang w:val="en-GB"/>
        </w:rPr>
        <w:t xml:space="preserve">The German government has extended this position four times since then, most recently on 17 September 2019 for </w:t>
      </w:r>
      <w:r>
        <w:rPr>
          <w:rFonts w:cs="Times New Roman"/>
          <w:color w:val="000000"/>
          <w:sz w:val="22"/>
          <w:szCs w:val="22"/>
          <w:lang w:val="en-GB"/>
        </w:rPr>
        <w:lastRenderedPageBreak/>
        <w:t>a period of another six months until 31 March 2020.</w:t>
      </w:r>
      <w:r>
        <w:rPr>
          <w:rStyle w:val="FootnoteReference"/>
          <w:rFonts w:cs="Times New Roman"/>
          <w:color w:val="000000"/>
          <w:sz w:val="22"/>
          <w:szCs w:val="22"/>
          <w:lang w:val="en-GB"/>
        </w:rPr>
        <w:footnoteReference w:id="25"/>
      </w:r>
      <w:r>
        <w:rPr>
          <w:rFonts w:cs="Times New Roman"/>
          <w:b/>
          <w:color w:val="000000"/>
          <w:sz w:val="22"/>
          <w:szCs w:val="22"/>
          <w:lang w:val="en-GB"/>
        </w:rPr>
        <w:t xml:space="preserve"> </w:t>
      </w:r>
      <w:r w:rsidR="002F0734">
        <w:rPr>
          <w:rFonts w:cs="Times New Roman"/>
          <w:color w:val="000000"/>
          <w:sz w:val="22"/>
          <w:szCs w:val="22"/>
          <w:lang w:val="en-GB"/>
        </w:rPr>
        <w:t>However, t</w:t>
      </w:r>
      <w:r>
        <w:rPr>
          <w:rFonts w:cs="Times New Roman"/>
          <w:color w:val="000000"/>
          <w:sz w:val="22"/>
          <w:szCs w:val="22"/>
          <w:lang w:val="en-GB"/>
        </w:rPr>
        <w:t xml:space="preserve">he decision taken states that deliveries based on joint European production programmes and related collective licenses </w:t>
      </w:r>
      <w:proofErr w:type="gramStart"/>
      <w:r>
        <w:rPr>
          <w:rFonts w:cs="Times New Roman"/>
          <w:color w:val="000000"/>
          <w:sz w:val="22"/>
          <w:szCs w:val="22"/>
          <w:lang w:val="en-GB"/>
        </w:rPr>
        <w:t>are not suspended</w:t>
      </w:r>
      <w:proofErr w:type="gramEnd"/>
      <w:r>
        <w:rPr>
          <w:rFonts w:cs="Times New Roman"/>
          <w:color w:val="000000"/>
          <w:sz w:val="22"/>
          <w:szCs w:val="22"/>
          <w:lang w:val="en-GB"/>
        </w:rPr>
        <w:t xml:space="preserve"> until 31 December 2019, even if the final destination is Saudi Arabia or the UAE. The government is only required to carry out consultations with its European partners to avoid the use of joint </w:t>
      </w:r>
      <w:proofErr w:type="gramStart"/>
      <w:r>
        <w:rPr>
          <w:rFonts w:cs="Times New Roman"/>
          <w:color w:val="000000"/>
          <w:sz w:val="22"/>
          <w:szCs w:val="22"/>
          <w:lang w:val="en-GB"/>
        </w:rPr>
        <w:t>end-products</w:t>
      </w:r>
      <w:proofErr w:type="gramEnd"/>
      <w:r>
        <w:rPr>
          <w:rFonts w:cs="Times New Roman"/>
          <w:color w:val="000000"/>
          <w:sz w:val="22"/>
          <w:szCs w:val="22"/>
          <w:lang w:val="en-GB"/>
        </w:rPr>
        <w:t xml:space="preserve"> in the war in Yemen and the industry is obliged to contractually ensure that its business partners do not export the end-products to Saudi Arabia or the UAE.</w:t>
      </w:r>
      <w:r>
        <w:rPr>
          <w:rStyle w:val="FootnoteReference"/>
          <w:rFonts w:cs="Times New Roman"/>
          <w:color w:val="000000"/>
          <w:sz w:val="22"/>
          <w:szCs w:val="22"/>
          <w:lang w:val="en-GB"/>
        </w:rPr>
        <w:footnoteReference w:id="26"/>
      </w:r>
      <w:r>
        <w:rPr>
          <w:rFonts w:cs="Times New Roman"/>
          <w:sz w:val="22"/>
          <w:szCs w:val="22"/>
          <w:lang w:val="en-US"/>
        </w:rPr>
        <w:t>  </w:t>
      </w:r>
    </w:p>
    <w:p w14:paraId="0112BD3C" w14:textId="64C4651E" w:rsidR="00090329" w:rsidRPr="00203B59" w:rsidRDefault="00090329" w:rsidP="00260DCC">
      <w:pPr>
        <w:pStyle w:val="Textbody"/>
        <w:jc w:val="both"/>
        <w:rPr>
          <w:lang w:val="en-GB"/>
        </w:rPr>
      </w:pPr>
      <w:r>
        <w:rPr>
          <w:rFonts w:cs="Times New Roman"/>
          <w:sz w:val="22"/>
          <w:szCs w:val="22"/>
          <w:lang w:val="en-GB"/>
        </w:rPr>
        <w:t xml:space="preserve">Against this background a coalition </w:t>
      </w:r>
      <w:r w:rsidR="002A3F13">
        <w:rPr>
          <w:rFonts w:cs="Times New Roman"/>
          <w:sz w:val="22"/>
          <w:szCs w:val="22"/>
          <w:lang w:val="en-GB"/>
        </w:rPr>
        <w:t xml:space="preserve">of </w:t>
      </w:r>
      <w:r>
        <w:rPr>
          <w:rFonts w:cs="Times New Roman"/>
          <w:sz w:val="22"/>
          <w:szCs w:val="22"/>
          <w:lang w:val="en-GB"/>
        </w:rPr>
        <w:t>one Yemeni and several European NGOs have submitted a communication to the Office of the Prosecutor of the International Criminal Court.</w:t>
      </w:r>
      <w:r>
        <w:rPr>
          <w:rStyle w:val="FootnoteReference"/>
          <w:rFonts w:cs="Times New Roman"/>
          <w:sz w:val="22"/>
          <w:szCs w:val="22"/>
          <w:lang w:val="en-GB"/>
        </w:rPr>
        <w:footnoteReference w:id="27"/>
      </w:r>
      <w:r>
        <w:rPr>
          <w:rFonts w:cs="Times New Roman"/>
          <w:sz w:val="22"/>
          <w:szCs w:val="22"/>
          <w:lang w:val="en-GB"/>
        </w:rPr>
        <w:t xml:space="preserve"> The </w:t>
      </w:r>
      <w:proofErr w:type="gramStart"/>
      <w:r>
        <w:rPr>
          <w:rFonts w:cs="Times New Roman"/>
          <w:sz w:val="22"/>
          <w:szCs w:val="22"/>
          <w:lang w:val="en-GB"/>
        </w:rPr>
        <w:t>350 page</w:t>
      </w:r>
      <w:proofErr w:type="gramEnd"/>
      <w:r>
        <w:rPr>
          <w:rFonts w:cs="Times New Roman"/>
          <w:sz w:val="22"/>
          <w:szCs w:val="22"/>
          <w:lang w:val="en-GB"/>
        </w:rPr>
        <w:t xml:space="preserve"> communication provides details on 26 airstrikes conducted by the Saudi led coalition which may amount to war crimes. The organizations called upon the ICC to investigate the legal responsibility of corporate and political actors from several European companies including Germany. Two companies from Germany are among those that contribute to the arms exports to the Saudi-led coalition, namely Airbus Defence and Space GmbH as well as </w:t>
      </w:r>
      <w:proofErr w:type="spellStart"/>
      <w:r>
        <w:rPr>
          <w:rFonts w:cs="Times New Roman"/>
          <w:sz w:val="22"/>
          <w:szCs w:val="22"/>
          <w:lang w:val="en-GB"/>
        </w:rPr>
        <w:t>Rheinmetall</w:t>
      </w:r>
      <w:proofErr w:type="spellEnd"/>
      <w:r>
        <w:rPr>
          <w:rFonts w:cs="Times New Roman"/>
          <w:sz w:val="22"/>
          <w:szCs w:val="22"/>
          <w:lang w:val="en-GB"/>
        </w:rPr>
        <w:t xml:space="preserve"> AG. </w:t>
      </w:r>
    </w:p>
    <w:p w14:paraId="375E2825" w14:textId="33A6B067" w:rsidR="002F0734" w:rsidRDefault="00812DC6" w:rsidP="00260DCC">
      <w:pPr>
        <w:pStyle w:val="Heading1"/>
        <w:numPr>
          <w:ilvl w:val="0"/>
          <w:numId w:val="8"/>
        </w:numPr>
      </w:pPr>
      <w:r>
        <w:rPr>
          <w:lang w:val="en-GB"/>
        </w:rPr>
        <w:t>Suggested questions</w:t>
      </w:r>
    </w:p>
    <w:p w14:paraId="3236E018" w14:textId="77777777" w:rsidR="002F0734" w:rsidRPr="002E1247" w:rsidRDefault="002F0734" w:rsidP="00260DCC">
      <w:pPr>
        <w:spacing w:after="120" w:line="240" w:lineRule="auto"/>
        <w:jc w:val="both"/>
        <w:rPr>
          <w:lang w:val="en-GB"/>
        </w:rPr>
      </w:pPr>
      <w:r>
        <w:rPr>
          <w:lang w:val="en-GB"/>
        </w:rPr>
        <w:t xml:space="preserve">ECCHR recommends that the CEDAW Committee </w:t>
      </w:r>
      <w:proofErr w:type="gramStart"/>
      <w:r>
        <w:rPr>
          <w:lang w:val="en-GB"/>
        </w:rPr>
        <w:t>requests</w:t>
      </w:r>
      <w:proofErr w:type="gramEnd"/>
      <w:r>
        <w:rPr>
          <w:lang w:val="en-GB"/>
        </w:rPr>
        <w:t xml:space="preserve"> Germany to provide information on:</w:t>
      </w:r>
    </w:p>
    <w:p w14:paraId="7E3FCB96" w14:textId="726137E1" w:rsidR="002F0734" w:rsidRPr="002E1247" w:rsidRDefault="002F0734" w:rsidP="00260DCC">
      <w:pPr>
        <w:pStyle w:val="ListParagraph"/>
        <w:widowControl w:val="0"/>
        <w:numPr>
          <w:ilvl w:val="0"/>
          <w:numId w:val="12"/>
        </w:numPr>
        <w:suppressAutoHyphens/>
        <w:autoSpaceDN w:val="0"/>
        <w:spacing w:after="120" w:line="240" w:lineRule="auto"/>
        <w:contextualSpacing w:val="0"/>
        <w:jc w:val="both"/>
        <w:textAlignment w:val="baseline"/>
        <w:rPr>
          <w:lang w:val="en-GB"/>
        </w:rPr>
      </w:pPr>
      <w:proofErr w:type="gramStart"/>
      <w:r>
        <w:rPr>
          <w:lang w:val="en-GB"/>
        </w:rPr>
        <w:t>measures</w:t>
      </w:r>
      <w:proofErr w:type="gramEnd"/>
      <w:r>
        <w:rPr>
          <w:lang w:val="en-GB"/>
        </w:rPr>
        <w:t xml:space="preserve"> it has taken to harmonize its legislation regulating arms export control in line with the previous CEDAW recommendation</w:t>
      </w:r>
      <w:r w:rsidR="002A3F13">
        <w:rPr>
          <w:lang w:val="en-GB"/>
        </w:rPr>
        <w:t>s</w:t>
      </w:r>
      <w:r w:rsidR="001372C9">
        <w:rPr>
          <w:lang w:val="en-GB"/>
        </w:rPr>
        <w:t xml:space="preserve"> and </w:t>
      </w:r>
      <w:r w:rsidR="00484D6F">
        <w:rPr>
          <w:lang w:val="en-GB"/>
        </w:rPr>
        <w:t xml:space="preserve">with </w:t>
      </w:r>
      <w:r w:rsidR="001372C9">
        <w:rPr>
          <w:lang w:val="en-GB"/>
        </w:rPr>
        <w:t>accepted UPR recommendations cited above</w:t>
      </w:r>
      <w:r>
        <w:rPr>
          <w:lang w:val="en-GB"/>
        </w:rPr>
        <w:t>.</w:t>
      </w:r>
    </w:p>
    <w:p w14:paraId="707235A5" w14:textId="77777777" w:rsidR="002F0734" w:rsidRPr="002E1247" w:rsidRDefault="002F0734" w:rsidP="00260DCC">
      <w:pPr>
        <w:pStyle w:val="ListParagraph"/>
        <w:widowControl w:val="0"/>
        <w:numPr>
          <w:ilvl w:val="0"/>
          <w:numId w:val="11"/>
        </w:numPr>
        <w:suppressAutoHyphens/>
        <w:autoSpaceDN w:val="0"/>
        <w:spacing w:before="120" w:after="120" w:line="240" w:lineRule="auto"/>
        <w:ind w:left="714" w:hanging="357"/>
        <w:contextualSpacing w:val="0"/>
        <w:jc w:val="both"/>
        <w:textAlignment w:val="baseline"/>
        <w:rPr>
          <w:lang w:val="en-GB"/>
        </w:rPr>
      </w:pPr>
      <w:r>
        <w:rPr>
          <w:lang w:val="en-GB"/>
        </w:rPr>
        <w:t>measures it has taken to create a new and single arms export control law or a similarly effective measure that:</w:t>
      </w:r>
    </w:p>
    <w:p w14:paraId="6880FA64" w14:textId="77777777" w:rsidR="002F0734" w:rsidRPr="002E1247" w:rsidRDefault="002F0734" w:rsidP="00260DCC">
      <w:pPr>
        <w:pStyle w:val="ListParagraph"/>
        <w:widowControl w:val="0"/>
        <w:numPr>
          <w:ilvl w:val="1"/>
          <w:numId w:val="11"/>
        </w:numPr>
        <w:suppressAutoHyphens/>
        <w:autoSpaceDN w:val="0"/>
        <w:spacing w:after="120" w:line="240" w:lineRule="auto"/>
        <w:contextualSpacing w:val="0"/>
        <w:jc w:val="both"/>
        <w:textAlignment w:val="baseline"/>
        <w:rPr>
          <w:lang w:val="en-GB"/>
        </w:rPr>
      </w:pPr>
      <w:r>
        <w:rPr>
          <w:lang w:val="en-GB"/>
        </w:rPr>
        <w:t>requires licensing authorities to integrate a gender perspective in its decision making process;</w:t>
      </w:r>
    </w:p>
    <w:p w14:paraId="3712CD7B" w14:textId="77777777" w:rsidR="002F0734" w:rsidRPr="002E1247" w:rsidRDefault="002F0734" w:rsidP="00260DCC">
      <w:pPr>
        <w:pStyle w:val="ListParagraph"/>
        <w:widowControl w:val="0"/>
        <w:numPr>
          <w:ilvl w:val="1"/>
          <w:numId w:val="11"/>
        </w:numPr>
        <w:suppressAutoHyphens/>
        <w:autoSpaceDN w:val="0"/>
        <w:spacing w:after="120" w:line="240" w:lineRule="auto"/>
        <w:contextualSpacing w:val="0"/>
        <w:jc w:val="both"/>
        <w:textAlignment w:val="baseline"/>
        <w:rPr>
          <w:lang w:val="en-GB"/>
        </w:rPr>
      </w:pPr>
      <w:r>
        <w:rPr>
          <w:lang w:val="en-GB"/>
        </w:rPr>
        <w:t>requires arms manufacturing and exporting corporations to carry out a human rights due diligence including the risk of gender based violence or serious violence against women;</w:t>
      </w:r>
    </w:p>
    <w:p w14:paraId="6761CAE3" w14:textId="77777777" w:rsidR="002F0734" w:rsidRPr="002E1247" w:rsidRDefault="002F0734" w:rsidP="00260DCC">
      <w:pPr>
        <w:pStyle w:val="ListParagraph"/>
        <w:widowControl w:val="0"/>
        <w:numPr>
          <w:ilvl w:val="1"/>
          <w:numId w:val="11"/>
        </w:numPr>
        <w:suppressAutoHyphens/>
        <w:autoSpaceDN w:val="0"/>
        <w:spacing w:after="120" w:line="240" w:lineRule="auto"/>
        <w:contextualSpacing w:val="0"/>
        <w:jc w:val="both"/>
        <w:textAlignment w:val="baseline"/>
        <w:rPr>
          <w:lang w:val="en-GB"/>
        </w:rPr>
      </w:pPr>
      <w:r>
        <w:rPr>
          <w:lang w:val="en-GB"/>
        </w:rPr>
        <w:t>requires adequate post-sales monitoring by arms manufacturing and exporting corporations producing corporations of the use of their arms in the context of violence against women;</w:t>
      </w:r>
    </w:p>
    <w:p w14:paraId="5F17F746" w14:textId="77777777" w:rsidR="00B10F9E" w:rsidRDefault="002F0734" w:rsidP="00260DCC">
      <w:pPr>
        <w:pStyle w:val="ListParagraph"/>
        <w:widowControl w:val="0"/>
        <w:numPr>
          <w:ilvl w:val="1"/>
          <w:numId w:val="11"/>
        </w:numPr>
        <w:suppressAutoHyphens/>
        <w:autoSpaceDN w:val="0"/>
        <w:spacing w:after="120" w:line="240" w:lineRule="auto"/>
        <w:contextualSpacing w:val="0"/>
        <w:jc w:val="both"/>
        <w:textAlignment w:val="baseline"/>
        <w:rPr>
          <w:lang w:val="en-GB"/>
        </w:rPr>
      </w:pPr>
      <w:proofErr w:type="gramStart"/>
      <w:r>
        <w:rPr>
          <w:lang w:val="en-GB"/>
        </w:rPr>
        <w:t>conceptualize</w:t>
      </w:r>
      <w:proofErr w:type="gramEnd"/>
      <w:r>
        <w:rPr>
          <w:lang w:val="en-GB"/>
        </w:rPr>
        <w:t xml:space="preserve"> arms export control laws to also protect the human rights of those affected by the use of exported weaponry, including victims of gender-based violence or serious violence against women.  </w:t>
      </w:r>
    </w:p>
    <w:p w14:paraId="2DB15330" w14:textId="7B83A488" w:rsidR="002F0734" w:rsidRPr="002E1247" w:rsidRDefault="004D71D4" w:rsidP="00DF52B6">
      <w:pPr>
        <w:pStyle w:val="ListParagraph"/>
        <w:widowControl w:val="0"/>
        <w:numPr>
          <w:ilvl w:val="0"/>
          <w:numId w:val="11"/>
        </w:numPr>
        <w:suppressAutoHyphens/>
        <w:autoSpaceDN w:val="0"/>
        <w:spacing w:after="120" w:line="240" w:lineRule="auto"/>
        <w:contextualSpacing w:val="0"/>
        <w:jc w:val="both"/>
        <w:textAlignment w:val="baseline"/>
        <w:rPr>
          <w:lang w:val="en-GB"/>
        </w:rPr>
      </w:pPr>
      <w:proofErr w:type="gramStart"/>
      <w:r>
        <w:rPr>
          <w:lang w:val="en-GB"/>
        </w:rPr>
        <w:lastRenderedPageBreak/>
        <w:t>m</w:t>
      </w:r>
      <w:r w:rsidR="00B10F9E">
        <w:rPr>
          <w:lang w:val="en-GB"/>
        </w:rPr>
        <w:t xml:space="preserve">easures it has taken to ensure that the specific risks posed by the arms industry </w:t>
      </w:r>
      <w:r>
        <w:rPr>
          <w:lang w:val="en-GB"/>
        </w:rPr>
        <w:t>in the facilitation of acts of</w:t>
      </w:r>
      <w:r w:rsidR="00B10F9E">
        <w:rPr>
          <w:lang w:val="en-GB"/>
        </w:rPr>
        <w:t xml:space="preserve"> gender based violence </w:t>
      </w:r>
      <w:r>
        <w:rPr>
          <w:lang w:val="en-GB"/>
        </w:rPr>
        <w:t xml:space="preserve">or of other violations of </w:t>
      </w:r>
      <w:r w:rsidR="00B10F9E">
        <w:rPr>
          <w:lang w:val="en-GB"/>
        </w:rPr>
        <w:t>women</w:t>
      </w:r>
      <w:r>
        <w:rPr>
          <w:lang w:val="en-GB"/>
        </w:rPr>
        <w:t>’s rights</w:t>
      </w:r>
      <w:r w:rsidR="00B10F9E">
        <w:rPr>
          <w:lang w:val="en-GB"/>
        </w:rPr>
        <w:t xml:space="preserve"> are adequately addressed by companies until a single and harmonized arms export control law or a proposed law on mandatory human rights due diligence for business have entered into force.</w:t>
      </w:r>
      <w:proofErr w:type="gramEnd"/>
      <w:r w:rsidR="00B10F9E">
        <w:rPr>
          <w:lang w:val="en-GB"/>
        </w:rPr>
        <w:t xml:space="preserve"> </w:t>
      </w:r>
    </w:p>
    <w:p w14:paraId="06D1216C" w14:textId="77777777" w:rsidR="00090329" w:rsidRPr="00260DCC" w:rsidRDefault="002F0734" w:rsidP="00260DCC">
      <w:pPr>
        <w:pStyle w:val="ListParagraph"/>
        <w:widowControl w:val="0"/>
        <w:numPr>
          <w:ilvl w:val="0"/>
          <w:numId w:val="11"/>
        </w:numPr>
        <w:suppressAutoHyphens/>
        <w:autoSpaceDN w:val="0"/>
        <w:spacing w:before="120" w:after="120" w:line="240" w:lineRule="auto"/>
        <w:ind w:left="714" w:hanging="357"/>
        <w:contextualSpacing w:val="0"/>
        <w:jc w:val="both"/>
        <w:textAlignment w:val="baseline"/>
        <w:rPr>
          <w:lang w:val="en-GB"/>
        </w:rPr>
      </w:pPr>
      <w:r>
        <w:rPr>
          <w:lang w:val="en-GB"/>
        </w:rPr>
        <w:t>measures it has taken to investigate the criminal responsibility of German licensing authorities and arms producing and exporting companies for the exports to members of the Saudi-led coalition fighting in Yemen and how it ensures that these investigations take a gender perspective into account.</w:t>
      </w:r>
    </w:p>
    <w:sectPr w:rsidR="00090329" w:rsidRPr="00260DCC" w:rsidSect="009818E5">
      <w:headerReference w:type="default" r:id="rId12"/>
      <w:footerReference w:type="default" r:id="rId13"/>
      <w:pgSz w:w="11906" w:h="16838"/>
      <w:pgMar w:top="993" w:right="1417" w:bottom="1134" w:left="1417" w:header="709"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ECE77" w16cid:durableId="2200EFAE"/>
  <w16cid:commentId w16cid:paraId="245B8851" w16cid:durableId="2200EF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85D6B" w14:textId="77777777" w:rsidR="00262E3D" w:rsidRDefault="00262E3D" w:rsidP="0077546A">
      <w:pPr>
        <w:spacing w:after="0" w:line="240" w:lineRule="auto"/>
      </w:pPr>
      <w:r>
        <w:separator/>
      </w:r>
    </w:p>
  </w:endnote>
  <w:endnote w:type="continuationSeparator" w:id="0">
    <w:p w14:paraId="0AB468C1" w14:textId="77777777" w:rsidR="00262E3D" w:rsidRDefault="00262E3D" w:rsidP="0077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836D" w14:textId="0BCCC307" w:rsidR="00ED6F57" w:rsidRPr="00E86156" w:rsidRDefault="00ED6F57" w:rsidP="00B042E8">
    <w:pPr>
      <w:pStyle w:val="Footer"/>
      <w:jc w:val="center"/>
      <w:rPr>
        <w:sz w:val="20"/>
        <w:szCs w:val="20"/>
      </w:rPr>
    </w:pPr>
    <w:r w:rsidRPr="00E86156">
      <w:rPr>
        <w:sz w:val="20"/>
        <w:szCs w:val="20"/>
      </w:rPr>
      <w:t xml:space="preserve">Seite </w:t>
    </w:r>
    <w:r w:rsidRPr="00E86156">
      <w:rPr>
        <w:sz w:val="20"/>
        <w:szCs w:val="20"/>
      </w:rPr>
      <w:fldChar w:fldCharType="begin"/>
    </w:r>
    <w:r w:rsidRPr="00E86156">
      <w:rPr>
        <w:sz w:val="20"/>
        <w:szCs w:val="20"/>
      </w:rPr>
      <w:instrText xml:space="preserve"> PAGE   \* MERGEFORMAT </w:instrText>
    </w:r>
    <w:r w:rsidRPr="00E86156">
      <w:rPr>
        <w:sz w:val="20"/>
        <w:szCs w:val="20"/>
      </w:rPr>
      <w:fldChar w:fldCharType="separate"/>
    </w:r>
    <w:r w:rsidR="00086A2E">
      <w:rPr>
        <w:noProof/>
        <w:sz w:val="20"/>
        <w:szCs w:val="20"/>
      </w:rPr>
      <w:t>6</w:t>
    </w:r>
    <w:r w:rsidRPr="00E861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1860" w14:textId="77777777" w:rsidR="00262E3D" w:rsidRDefault="00262E3D" w:rsidP="0077546A">
      <w:pPr>
        <w:spacing w:after="0" w:line="240" w:lineRule="auto"/>
      </w:pPr>
      <w:r>
        <w:separator/>
      </w:r>
    </w:p>
  </w:footnote>
  <w:footnote w:type="continuationSeparator" w:id="0">
    <w:p w14:paraId="58841F40" w14:textId="77777777" w:rsidR="00262E3D" w:rsidRDefault="00262E3D" w:rsidP="0077546A">
      <w:pPr>
        <w:spacing w:after="0" w:line="240" w:lineRule="auto"/>
      </w:pPr>
      <w:r>
        <w:continuationSeparator/>
      </w:r>
    </w:p>
  </w:footnote>
  <w:footnote w:id="1">
    <w:p w14:paraId="6A291758"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WILPF &amp; ECCHR, The Impact of Germany’s Arms Transfers on Women, Germany’s Extraterritorial Obligations under CEDAW, Joint Shadow Report, CEDAW Committee, 66</w:t>
      </w:r>
      <w:r w:rsidRPr="007A06BE">
        <w:rPr>
          <w:vertAlign w:val="superscript"/>
          <w:lang w:val="en-GB"/>
        </w:rPr>
        <w:t>th</w:t>
      </w:r>
      <w:r w:rsidRPr="007A06BE">
        <w:rPr>
          <w:lang w:val="en-GB"/>
        </w:rPr>
        <w:t xml:space="preserve"> Session, January 2017. Available at: https://www.ecchr.eu/fileadmin/Kommentare_Konferenzberichte_Weiteres/CEDAW_Germany_Arms_Transfers_Jan_2017.pdf</w:t>
      </w:r>
    </w:p>
  </w:footnote>
  <w:footnote w:id="2">
    <w:p w14:paraId="45717059"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w:t>
      </w:r>
      <w:r w:rsidRPr="007A06BE">
        <w:rPr>
          <w:i/>
          <w:lang w:val="en-GB"/>
        </w:rPr>
        <w:t>Ibid</w:t>
      </w:r>
      <w:r w:rsidRPr="007A06BE">
        <w:rPr>
          <w:lang w:val="en-GB"/>
        </w:rPr>
        <w:t>, pp. 11-13.</w:t>
      </w:r>
    </w:p>
  </w:footnote>
  <w:footnote w:id="3">
    <w:p w14:paraId="2BEFD6F5"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Report of the German Government on its Policy on Exports of Conventional Military Equipment in 2017, </w:t>
      </w:r>
      <w:hyperlink r:id="rId1" w:history="1">
        <w:r w:rsidRPr="007A06BE">
          <w:rPr>
            <w:rStyle w:val="Hyperlink"/>
            <w:color w:val="auto"/>
            <w:szCs w:val="20"/>
            <w:u w:val="none"/>
            <w:lang w:val="en-GB"/>
          </w:rPr>
          <w:t>https://www.sipri.org/databases/national-reports</w:t>
        </w:r>
      </w:hyperlink>
      <w:r w:rsidRPr="007A06BE">
        <w:rPr>
          <w:rStyle w:val="Hyperlink"/>
          <w:color w:val="auto"/>
          <w:szCs w:val="20"/>
          <w:u w:val="none"/>
          <w:lang w:val="en-GB"/>
        </w:rPr>
        <w:t xml:space="preserve">, </w:t>
      </w:r>
      <w:r w:rsidRPr="007A06BE">
        <w:rPr>
          <w:lang w:val="en-GB"/>
        </w:rPr>
        <w:t>pp. 73-74.</w:t>
      </w:r>
    </w:p>
  </w:footnote>
  <w:footnote w:id="4">
    <w:p w14:paraId="2B163991"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Report of the German Government on its Policy on Exports of Conventional Military Equipment in 2018, </w:t>
      </w:r>
      <w:hyperlink r:id="rId2" w:history="1">
        <w:r w:rsidRPr="007A06BE">
          <w:rPr>
            <w:rStyle w:val="Hyperlink"/>
            <w:color w:val="auto"/>
            <w:szCs w:val="20"/>
            <w:u w:val="none"/>
            <w:lang w:val="en-GB"/>
          </w:rPr>
          <w:t>https://www.sipri.org/databases/national-reports</w:t>
        </w:r>
      </w:hyperlink>
      <w:r w:rsidRPr="007A06BE">
        <w:rPr>
          <w:rStyle w:val="Hyperlink"/>
          <w:color w:val="auto"/>
          <w:szCs w:val="20"/>
          <w:u w:val="none"/>
          <w:lang w:val="en-GB"/>
        </w:rPr>
        <w:t xml:space="preserve">, </w:t>
      </w:r>
      <w:r w:rsidRPr="007A06BE">
        <w:rPr>
          <w:lang w:val="en-GB"/>
        </w:rPr>
        <w:t>pp. 72.</w:t>
      </w:r>
    </w:p>
  </w:footnote>
  <w:footnote w:id="5">
    <w:p w14:paraId="0EAB2ADF"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Report of the German Government on its Policy on Exports of Conventional Military Equipment in the first half of 2019 (so far only available in German), p. 23, </w:t>
      </w:r>
      <w:r w:rsidRPr="007A06BE">
        <w:rPr>
          <w:rStyle w:val="Hyperlink"/>
          <w:color w:val="auto"/>
          <w:szCs w:val="20"/>
          <w:u w:val="none"/>
          <w:lang w:val="en-GB"/>
        </w:rPr>
        <w:t>https://www.bmwi.de/Redaktion/DE/Publikationen/Aussenwirtschaft/ruestungsexport-zwischenbericht-2019.pdf?__blob=publicationFile&amp;v=10</w:t>
      </w:r>
    </w:p>
  </w:footnote>
  <w:footnote w:id="6">
    <w:p w14:paraId="57987385" w14:textId="77777777" w:rsidR="00ED6F57" w:rsidRPr="007A06BE" w:rsidRDefault="00ED6F57" w:rsidP="007A06BE">
      <w:pPr>
        <w:pStyle w:val="Footnotes"/>
      </w:pPr>
      <w:r w:rsidRPr="007A06BE">
        <w:rPr>
          <w:rStyle w:val="FootnoteReference"/>
        </w:rPr>
        <w:footnoteRef/>
      </w:r>
      <w:r w:rsidRPr="007A06BE">
        <w:rPr>
          <w:lang w:val="en-GB"/>
        </w:rPr>
        <w:t xml:space="preserve"> </w:t>
      </w:r>
      <w:r w:rsidRPr="007A06BE">
        <w:rPr>
          <w:szCs w:val="20"/>
        </w:rPr>
        <w:t xml:space="preserve">All figures in this and the following two tables </w:t>
      </w:r>
      <w:proofErr w:type="gramStart"/>
      <w:r w:rsidRPr="007A06BE">
        <w:rPr>
          <w:szCs w:val="20"/>
        </w:rPr>
        <w:t>are taken</w:t>
      </w:r>
      <w:proofErr w:type="gramEnd"/>
      <w:r w:rsidRPr="007A06BE">
        <w:rPr>
          <w:szCs w:val="20"/>
        </w:rPr>
        <w:t xml:space="preserve"> from the Annual Reports of the German Government on its Policy on Exports of Conventional Military </w:t>
      </w:r>
      <w:r w:rsidRPr="00260DCC">
        <w:rPr>
          <w:szCs w:val="20"/>
        </w:rPr>
        <w:t>Equipment. See</w:t>
      </w:r>
      <w:r>
        <w:rPr>
          <w:szCs w:val="20"/>
        </w:rPr>
        <w:t xml:space="preserve"> </w:t>
      </w:r>
      <w:r w:rsidRPr="00260DCC">
        <w:rPr>
          <w:i/>
          <w:szCs w:val="20"/>
        </w:rPr>
        <w:t>supra</w:t>
      </w:r>
      <w:r>
        <w:rPr>
          <w:szCs w:val="20"/>
        </w:rPr>
        <w:t xml:space="preserve"> notes 3-5.</w:t>
      </w:r>
    </w:p>
  </w:footnote>
  <w:footnote w:id="7">
    <w:p w14:paraId="0E948C3D"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For the year </w:t>
      </w:r>
      <w:proofErr w:type="gramStart"/>
      <w:r w:rsidRPr="007A06BE">
        <w:rPr>
          <w:lang w:val="en-GB"/>
        </w:rPr>
        <w:t>2019</w:t>
      </w:r>
      <w:proofErr w:type="gramEnd"/>
      <w:r w:rsidRPr="007A06BE">
        <w:rPr>
          <w:lang w:val="en-GB"/>
        </w:rPr>
        <w:t xml:space="preserve"> official data is only available for the first half of the year.</w:t>
      </w:r>
    </w:p>
  </w:footnote>
  <w:footnote w:id="8">
    <w:p w14:paraId="73D4A83E"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All figures </w:t>
      </w:r>
      <w:proofErr w:type="gramStart"/>
      <w:r w:rsidRPr="007A06BE">
        <w:rPr>
          <w:lang w:val="en-GB"/>
        </w:rPr>
        <w:t>are provided</w:t>
      </w:r>
      <w:proofErr w:type="gramEnd"/>
      <w:r w:rsidRPr="007A06BE">
        <w:rPr>
          <w:lang w:val="en-GB"/>
        </w:rPr>
        <w:t xml:space="preserve"> in Euro.</w:t>
      </w:r>
    </w:p>
  </w:footnote>
  <w:footnote w:id="9">
    <w:p w14:paraId="4047598B" w14:textId="77777777" w:rsidR="00ED6F57" w:rsidRPr="007A06BE" w:rsidRDefault="00ED6F57" w:rsidP="007A06BE">
      <w:pPr>
        <w:pStyle w:val="FootnoteText"/>
        <w:jc w:val="both"/>
      </w:pPr>
      <w:r w:rsidRPr="007A06BE">
        <w:rPr>
          <w:rStyle w:val="FootnoteReference"/>
        </w:rPr>
        <w:footnoteRef/>
      </w:r>
      <w:r w:rsidRPr="007A06BE">
        <w:t xml:space="preserve"> </w:t>
      </w:r>
      <w:r w:rsidRPr="007A06BE">
        <w:rPr>
          <w:rFonts w:cs="Times New Roman"/>
        </w:rPr>
        <w:t xml:space="preserve">Recherchebündnis deckt deutsche Rüstungsexporte im Jemen auf, Der Stern, 26 February, 2019, </w:t>
      </w:r>
      <w:r w:rsidRPr="007A06BE">
        <w:rPr>
          <w:rStyle w:val="Hyperlink"/>
          <w:rFonts w:cs="Times New Roman"/>
          <w:color w:val="auto"/>
          <w:u w:val="none"/>
        </w:rPr>
        <w:t xml:space="preserve">https://www.stern.de/politik/deutschland/-germanarms--recherchebuendnis-deckt-deutsche-ruestungsexporte-im-jemen-auf-8597032.html; </w:t>
      </w:r>
      <w:r w:rsidRPr="007A06BE">
        <w:t xml:space="preserve">Hekman Ludo, “#GermanArms Jets over Yemen”, 27 February 2019, video clip, </w:t>
      </w:r>
      <w:r w:rsidRPr="007A06BE">
        <w:rPr>
          <w:rStyle w:val="Hyperlink0"/>
          <w:color w:val="auto"/>
          <w:u w:val="none"/>
        </w:rPr>
        <w:t xml:space="preserve">https://www.youtube.com/watch?time_continue=154&amp;v=An8B62toSqg; </w:t>
      </w:r>
      <w:r w:rsidRPr="007A06BE">
        <w:t xml:space="preserve">On Lighthouse reports, see </w:t>
      </w:r>
      <w:r w:rsidR="00086A2E">
        <w:fldChar w:fldCharType="begin"/>
      </w:r>
      <w:r w:rsidR="00086A2E">
        <w:instrText xml:space="preserve"> HYPERLINK "https://www.lighthousereports.nl/" </w:instrText>
      </w:r>
      <w:r w:rsidR="00086A2E">
        <w:fldChar w:fldCharType="separate"/>
      </w:r>
      <w:r w:rsidRPr="007A06BE">
        <w:rPr>
          <w:rStyle w:val="Hyperlink"/>
          <w:color w:val="auto"/>
          <w:u w:val="none"/>
        </w:rPr>
        <w:t>https://www.lighthousereports.nl/</w:t>
      </w:r>
      <w:r w:rsidR="00086A2E">
        <w:rPr>
          <w:rStyle w:val="Hyperlink"/>
          <w:color w:val="auto"/>
          <w:u w:val="none"/>
        </w:rPr>
        <w:fldChar w:fldCharType="end"/>
      </w:r>
      <w:r w:rsidRPr="007A06BE">
        <w:t>.; Nermin Ismail, 6 February 2019, Deutsche Welle, Deutsche Waffen töten im Jemenkrieg, https://www.dw.com/de/deutsche-waffen-t%C3%B6ten-im-jemenkrieg/a-47386710.</w:t>
      </w:r>
    </w:p>
  </w:footnote>
  <w:footnote w:id="10">
    <w:p w14:paraId="0C430FA0" w14:textId="77777777" w:rsidR="00ED6F57" w:rsidRPr="007A06BE" w:rsidRDefault="00ED6F57" w:rsidP="007A06BE">
      <w:pPr>
        <w:pStyle w:val="Footnotes"/>
      </w:pPr>
      <w:r w:rsidRPr="007A06BE">
        <w:rPr>
          <w:rStyle w:val="FootnoteReference"/>
        </w:rPr>
        <w:footnoteRef/>
      </w:r>
      <w:r w:rsidRPr="007A06BE">
        <w:rPr>
          <w:szCs w:val="20"/>
          <w:lang w:val="en-GB"/>
        </w:rPr>
        <w:t xml:space="preserve"> </w:t>
      </w:r>
      <w:r w:rsidRPr="007A06BE">
        <w:t xml:space="preserve">Final report of the Panel of Experts on Yemen, UN </w:t>
      </w:r>
      <w:proofErr w:type="spellStart"/>
      <w:r w:rsidRPr="007A06BE">
        <w:t>Doc.S</w:t>
      </w:r>
      <w:proofErr w:type="spellEnd"/>
      <w:r w:rsidRPr="007A06BE">
        <w:t>/2018/594, p.</w:t>
      </w:r>
      <w:r>
        <w:t xml:space="preserve"> </w:t>
      </w:r>
      <w:r w:rsidRPr="007A06BE">
        <w:t xml:space="preserve">3. All reports </w:t>
      </w:r>
      <w:proofErr w:type="gramStart"/>
      <w:r w:rsidRPr="007A06BE">
        <w:t>can be found</w:t>
      </w:r>
      <w:proofErr w:type="gramEnd"/>
      <w:r w:rsidRPr="007A06BE">
        <w:t xml:space="preserve"> here: </w:t>
      </w:r>
      <w:r w:rsidRPr="007A06BE">
        <w:rPr>
          <w:szCs w:val="20"/>
          <w:lang w:val="en-GB"/>
        </w:rPr>
        <w:t>https://www.un.org/securitycouncil/sanctions/2140/panel-of-experts/work-and-mandate/reports</w:t>
      </w:r>
      <w:r w:rsidRPr="007A06BE">
        <w:rPr>
          <w:szCs w:val="20"/>
        </w:rPr>
        <w:t>2018.</w:t>
      </w:r>
    </w:p>
  </w:footnote>
  <w:footnote w:id="11">
    <w:p w14:paraId="03BB36B5" w14:textId="77777777" w:rsidR="00ED6F57" w:rsidRPr="007A06BE" w:rsidRDefault="00ED6F57" w:rsidP="007A06BE">
      <w:pPr>
        <w:pStyle w:val="Footnotes"/>
      </w:pPr>
      <w:r w:rsidRPr="007A06BE">
        <w:rPr>
          <w:rStyle w:val="FootnoteReference"/>
        </w:rPr>
        <w:footnoteRef/>
      </w:r>
      <w:r w:rsidRPr="007A06BE">
        <w:rPr>
          <w:szCs w:val="20"/>
        </w:rPr>
        <w:t xml:space="preserve"> </w:t>
      </w:r>
      <w:r w:rsidRPr="007A06BE">
        <w:rPr>
          <w:i/>
          <w:szCs w:val="20"/>
        </w:rPr>
        <w:t>Ibid</w:t>
      </w:r>
      <w:r w:rsidRPr="007A06BE">
        <w:rPr>
          <w:szCs w:val="20"/>
        </w:rPr>
        <w:t xml:space="preserve">, at </w:t>
      </w:r>
      <w:proofErr w:type="gramStart"/>
      <w:r w:rsidRPr="007A06BE">
        <w:rPr>
          <w:szCs w:val="20"/>
        </w:rPr>
        <w:t>3</w:t>
      </w:r>
      <w:proofErr w:type="gramEnd"/>
      <w:r w:rsidRPr="007A06BE">
        <w:rPr>
          <w:szCs w:val="20"/>
        </w:rPr>
        <w:t xml:space="preserve">. </w:t>
      </w:r>
    </w:p>
  </w:footnote>
  <w:footnote w:id="12">
    <w:p w14:paraId="402E7F77" w14:textId="77777777" w:rsidR="00ED6F57" w:rsidRPr="007A06BE" w:rsidRDefault="00ED6F57" w:rsidP="007A06BE">
      <w:pPr>
        <w:pStyle w:val="Footnotes"/>
      </w:pPr>
      <w:r w:rsidRPr="007A06BE">
        <w:rPr>
          <w:rStyle w:val="FootnoteReference"/>
        </w:rPr>
        <w:footnoteRef/>
      </w:r>
      <w:r w:rsidRPr="007A06BE">
        <w:rPr>
          <w:szCs w:val="20"/>
        </w:rPr>
        <w:t xml:space="preserve"> </w:t>
      </w:r>
      <w:r w:rsidRPr="007A06BE">
        <w:rPr>
          <w:i/>
          <w:szCs w:val="20"/>
        </w:rPr>
        <w:t>Ibid</w:t>
      </w:r>
      <w:r w:rsidRPr="007A06BE">
        <w:rPr>
          <w:szCs w:val="20"/>
        </w:rPr>
        <w:t>, at 10.</w:t>
      </w:r>
    </w:p>
  </w:footnote>
  <w:footnote w:id="13">
    <w:p w14:paraId="52DCDD88" w14:textId="77777777" w:rsidR="00ED6F57" w:rsidRPr="007A06BE" w:rsidRDefault="00ED6F57" w:rsidP="007A06BE">
      <w:pPr>
        <w:pStyle w:val="Footnotes"/>
      </w:pPr>
      <w:r w:rsidRPr="007A06BE">
        <w:rPr>
          <w:rStyle w:val="FootnoteReference"/>
        </w:rPr>
        <w:footnoteRef/>
      </w:r>
      <w:r w:rsidRPr="007A06BE">
        <w:rPr>
          <w:szCs w:val="20"/>
          <w:lang w:val="en-GB"/>
        </w:rPr>
        <w:t xml:space="preserve">MSF, ‘Yemen: Airstrike hits MSF cholera treatment </w:t>
      </w:r>
      <w:proofErr w:type="spellStart"/>
      <w:r w:rsidRPr="007A06BE">
        <w:rPr>
          <w:szCs w:val="20"/>
          <w:lang w:val="en-GB"/>
        </w:rPr>
        <w:t>center</w:t>
      </w:r>
      <w:proofErr w:type="spellEnd"/>
      <w:r w:rsidRPr="007A06BE">
        <w:rPr>
          <w:szCs w:val="20"/>
          <w:lang w:val="en-GB"/>
        </w:rPr>
        <w:t xml:space="preserve"> in Abs’, 12 June 2018, </w:t>
      </w:r>
      <w:hyperlink r:id="rId3" w:history="1">
        <w:r w:rsidRPr="007A06BE">
          <w:rPr>
            <w:rStyle w:val="Hyperlink"/>
            <w:rFonts w:eastAsia="Times New Roman"/>
            <w:color w:val="auto"/>
            <w:szCs w:val="20"/>
            <w:u w:val="none"/>
            <w:lang w:val="en-GB"/>
          </w:rPr>
          <w:t>https://www.doctorswithoutborders.org/what-we-do/news-stories/story/yemen-airstrike-hits-msf-cholera-treatment-center-abs</w:t>
        </w:r>
      </w:hyperlink>
    </w:p>
  </w:footnote>
  <w:footnote w:id="14">
    <w:p w14:paraId="7E2B9A6C"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Save the Children, Seven Killed in Bombing of Save the Children-supported Hospital in Yemen, 26 March 2019, </w:t>
      </w:r>
      <w:r w:rsidRPr="007A06BE">
        <w:rPr>
          <w:rStyle w:val="Hyperlink"/>
          <w:color w:val="auto"/>
          <w:u w:val="none"/>
          <w:lang w:val="en-US"/>
        </w:rPr>
        <w:t xml:space="preserve">https://www.savethechildren.org/us/about-us/media-and-news/2019-press-releases/seven-killed-in-hospital-bombing-yemen </w:t>
      </w:r>
    </w:p>
  </w:footnote>
  <w:footnote w:id="15">
    <w:p w14:paraId="69D01047"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w:t>
      </w:r>
      <w:r w:rsidRPr="007A06BE">
        <w:rPr>
          <w:rFonts w:cs="Times New Roman"/>
          <w:lang w:val="en-US"/>
        </w:rPr>
        <w:t xml:space="preserve">Final report of the Panel of Experts on Yemen, UN </w:t>
      </w:r>
      <w:proofErr w:type="spellStart"/>
      <w:r w:rsidRPr="007A06BE">
        <w:rPr>
          <w:rFonts w:cs="Times New Roman"/>
          <w:lang w:val="en-US"/>
        </w:rPr>
        <w:t>Doc.S</w:t>
      </w:r>
      <w:proofErr w:type="spellEnd"/>
      <w:r w:rsidRPr="007A06BE">
        <w:rPr>
          <w:rFonts w:cs="Times New Roman"/>
          <w:lang w:val="en-US"/>
        </w:rPr>
        <w:t>/2020/70, pp.</w:t>
      </w:r>
      <w:r w:rsidRPr="007A06BE">
        <w:rPr>
          <w:lang w:val="en-GB"/>
        </w:rPr>
        <w:t xml:space="preserve"> 36-41, 175-192.</w:t>
      </w:r>
    </w:p>
  </w:footnote>
  <w:footnote w:id="16">
    <w:p w14:paraId="6E0D551F" w14:textId="77777777" w:rsidR="00ED6F57" w:rsidRPr="007A06BE" w:rsidRDefault="00ED6F57" w:rsidP="007A06BE">
      <w:pPr>
        <w:pStyle w:val="Footnotes"/>
      </w:pPr>
      <w:r w:rsidRPr="007A06BE">
        <w:rPr>
          <w:rStyle w:val="FootnoteReference"/>
        </w:rPr>
        <w:footnoteRef/>
      </w:r>
      <w:r w:rsidRPr="007A06BE">
        <w:rPr>
          <w:szCs w:val="20"/>
        </w:rPr>
        <w:t xml:space="preserve"> European Parliament resolution of 4 October 2018 on the situation in Yemen (2018/2853(RSP)), </w:t>
      </w:r>
      <w:r w:rsidRPr="007A06BE">
        <w:rPr>
          <w:rStyle w:val="Hyperlink"/>
          <w:color w:val="auto"/>
          <w:szCs w:val="20"/>
          <w:u w:val="none"/>
        </w:rPr>
        <w:t>http://www.europarl.europa.eu/doceo/document/TA-8-2018-0383_EN.html</w:t>
      </w:r>
      <w:r w:rsidRPr="007A06BE">
        <w:rPr>
          <w:szCs w:val="20"/>
        </w:rPr>
        <w:t xml:space="preserve">  </w:t>
      </w:r>
    </w:p>
  </w:footnote>
  <w:footnote w:id="17">
    <w:p w14:paraId="10878498"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w:t>
      </w:r>
      <w:r w:rsidRPr="007A06BE">
        <w:rPr>
          <w:rStyle w:val="Hyperlink"/>
          <w:color w:val="auto"/>
          <w:u w:val="none"/>
          <w:lang w:val="en-GB"/>
        </w:rPr>
        <w:t>Report of the detailed findings of the Group of Eminent International and Regional Experts on Yemen A/HRC/42/CRP</w:t>
      </w:r>
      <w:r w:rsidRPr="007A06BE">
        <w:rPr>
          <w:lang w:val="en-GB"/>
        </w:rPr>
        <w:t>, para 933.</w:t>
      </w:r>
    </w:p>
  </w:footnote>
  <w:footnote w:id="18">
    <w:p w14:paraId="39F67849" w14:textId="77777777" w:rsidR="00ED6F57" w:rsidRPr="00727369" w:rsidRDefault="00ED6F57" w:rsidP="00911DC4">
      <w:pPr>
        <w:pStyle w:val="FootnoteText"/>
        <w:rPr>
          <w:lang w:val="en-US"/>
        </w:rPr>
      </w:pPr>
      <w:r>
        <w:rPr>
          <w:rStyle w:val="FootnoteReference"/>
        </w:rPr>
        <w:footnoteRef/>
      </w:r>
      <w:r w:rsidRPr="00727369">
        <w:rPr>
          <w:lang w:val="en-US"/>
        </w:rPr>
        <w:t xml:space="preserve"> </w:t>
      </w:r>
      <w:r w:rsidRPr="00727369">
        <w:rPr>
          <w:i/>
          <w:iCs/>
          <w:lang w:val="en-US"/>
        </w:rPr>
        <w:t>Women and Explosive Weapons</w:t>
      </w:r>
      <w:r>
        <w:rPr>
          <w:lang w:val="en-US"/>
        </w:rPr>
        <w:t xml:space="preserve">, Women’s International League for Peace and Freedom, February 2014; </w:t>
      </w:r>
      <w:r w:rsidRPr="001202DF">
        <w:rPr>
          <w:i/>
          <w:iCs/>
          <w:lang w:val="en-CA"/>
        </w:rPr>
        <w:t xml:space="preserve">We Are Still Here: </w:t>
      </w:r>
      <w:proofErr w:type="spellStart"/>
      <w:r w:rsidRPr="001202DF">
        <w:rPr>
          <w:i/>
          <w:iCs/>
          <w:lang w:val="en-CA"/>
        </w:rPr>
        <w:t>Mosulite</w:t>
      </w:r>
      <w:proofErr w:type="spellEnd"/>
      <w:r w:rsidRPr="001202DF">
        <w:rPr>
          <w:i/>
          <w:iCs/>
          <w:lang w:val="en-CA"/>
        </w:rPr>
        <w:t xml:space="preserve"> Women 500 Days After the Conclusion of the Coalition Military Operation</w:t>
      </w:r>
      <w:r>
        <w:rPr>
          <w:lang w:val="en-CA"/>
        </w:rPr>
        <w:t>, Women’s International League for Peace and Freedom, January 2019.</w:t>
      </w:r>
    </w:p>
  </w:footnote>
  <w:footnote w:id="19">
    <w:p w14:paraId="3F7163C8" w14:textId="77777777" w:rsidR="00ED6F57" w:rsidRPr="00895C5C" w:rsidRDefault="00ED6F57" w:rsidP="002F0734">
      <w:pPr>
        <w:pStyle w:val="FootnoteText"/>
        <w:jc w:val="both"/>
        <w:rPr>
          <w:lang w:val="en-GB"/>
        </w:rPr>
      </w:pPr>
      <w:r>
        <w:rPr>
          <w:rStyle w:val="FootnoteReference"/>
        </w:rPr>
        <w:footnoteRef/>
      </w:r>
      <w:r w:rsidRPr="00895C5C">
        <w:rPr>
          <w:i/>
          <w:lang w:val="en-GB"/>
        </w:rPr>
        <w:t>Supra</w:t>
      </w:r>
      <w:r w:rsidRPr="00895C5C">
        <w:rPr>
          <w:lang w:val="en-GB"/>
        </w:rPr>
        <w:t xml:space="preserve"> note </w:t>
      </w:r>
      <w:proofErr w:type="gramStart"/>
      <w:r w:rsidRPr="00895C5C">
        <w:rPr>
          <w:lang w:val="en-GB"/>
        </w:rPr>
        <w:t>1</w:t>
      </w:r>
      <w:proofErr w:type="gramEnd"/>
      <w:r w:rsidRPr="00895C5C">
        <w:rPr>
          <w:lang w:val="en-GB"/>
        </w:rPr>
        <w:t>, pp. 12-13.</w:t>
      </w:r>
    </w:p>
  </w:footnote>
  <w:footnote w:id="20">
    <w:p w14:paraId="388D2622" w14:textId="72C3A047" w:rsidR="00053090" w:rsidRPr="00304491" w:rsidRDefault="00053090" w:rsidP="00DF52B6">
      <w:pPr>
        <w:spacing w:after="0" w:line="240" w:lineRule="auto"/>
        <w:rPr>
          <w:lang w:val="en-US"/>
        </w:rPr>
      </w:pPr>
      <w:r>
        <w:rPr>
          <w:rStyle w:val="FootnoteReference"/>
        </w:rPr>
        <w:footnoteRef/>
      </w:r>
      <w:r w:rsidRPr="00895C5C">
        <w:rPr>
          <w:lang w:val="en-GB"/>
        </w:rPr>
        <w:t xml:space="preserve"> </w:t>
      </w:r>
      <w:r w:rsidRPr="00053090">
        <w:rPr>
          <w:rFonts w:eastAsia="Times New Roman"/>
          <w:sz w:val="20"/>
          <w:szCs w:val="20"/>
          <w:lang w:val="en-US"/>
        </w:rPr>
        <w:t>Report of the Working Group o</w:t>
      </w:r>
      <w:r>
        <w:rPr>
          <w:rFonts w:eastAsia="Times New Roman"/>
          <w:sz w:val="20"/>
          <w:szCs w:val="20"/>
          <w:lang w:val="en-US"/>
        </w:rPr>
        <w:t>n the Universal Periodic Review,</w:t>
      </w:r>
      <w:r w:rsidRPr="00053090">
        <w:rPr>
          <w:rFonts w:eastAsia="Times New Roman"/>
          <w:sz w:val="20"/>
          <w:szCs w:val="20"/>
          <w:lang w:val="en-US"/>
        </w:rPr>
        <w:t xml:space="preserve"> Germany</w:t>
      </w:r>
      <w:r>
        <w:rPr>
          <w:rFonts w:eastAsia="Times New Roman"/>
          <w:sz w:val="20"/>
          <w:szCs w:val="20"/>
          <w:lang w:val="en-US"/>
        </w:rPr>
        <w:t xml:space="preserve">, 11 July 2018, </w:t>
      </w:r>
      <w:r w:rsidRPr="00053090">
        <w:rPr>
          <w:rFonts w:eastAsia="Times New Roman"/>
          <w:sz w:val="20"/>
          <w:szCs w:val="20"/>
          <w:lang w:val="en-US"/>
        </w:rPr>
        <w:t>A/HRC/39/9</w:t>
      </w:r>
      <w:r>
        <w:rPr>
          <w:rFonts w:eastAsia="Times New Roman"/>
          <w:sz w:val="20"/>
          <w:szCs w:val="20"/>
          <w:lang w:val="en-US"/>
        </w:rPr>
        <w:t xml:space="preserve">; </w:t>
      </w:r>
      <w:r w:rsidRPr="00053090">
        <w:rPr>
          <w:rFonts w:eastAsia="Times New Roman"/>
          <w:sz w:val="20"/>
          <w:szCs w:val="20"/>
          <w:lang w:val="en-US"/>
        </w:rPr>
        <w:t>Report of the Working Group on the Universal Periodic Review* Germany Addendum Views on conclusions and/or recommendations, voluntary commitments and replies presented by the State under review</w:t>
      </w:r>
      <w:r>
        <w:rPr>
          <w:rFonts w:eastAsia="Times New Roman"/>
          <w:sz w:val="20"/>
          <w:szCs w:val="20"/>
          <w:lang w:val="en-US"/>
        </w:rPr>
        <w:t xml:space="preserve">, 11 September 2018, </w:t>
      </w:r>
      <w:r w:rsidRPr="00053090">
        <w:rPr>
          <w:rFonts w:eastAsia="Times New Roman"/>
          <w:sz w:val="20"/>
          <w:szCs w:val="20"/>
          <w:lang w:val="en-US"/>
        </w:rPr>
        <w:t>A/HRC/39/9/Add.1</w:t>
      </w:r>
    </w:p>
  </w:footnote>
  <w:footnote w:id="21">
    <w:p w14:paraId="0C2F51A3" w14:textId="59FB155D" w:rsidR="00B10F9E" w:rsidRPr="00DF52B6" w:rsidRDefault="00B10F9E">
      <w:pPr>
        <w:pStyle w:val="FootnoteText"/>
        <w:rPr>
          <w:lang w:val="en-GB"/>
        </w:rPr>
      </w:pPr>
      <w:r>
        <w:rPr>
          <w:rStyle w:val="FootnoteReference"/>
        </w:rPr>
        <w:footnoteRef/>
      </w:r>
      <w:r w:rsidRPr="00DF52B6">
        <w:rPr>
          <w:lang w:val="en-GB"/>
        </w:rPr>
        <w:t xml:space="preserve"> </w:t>
      </w:r>
      <w:r w:rsidRPr="007A06BE">
        <w:rPr>
          <w:lang w:val="en-GB"/>
        </w:rPr>
        <w:t xml:space="preserve">Report of the German Government on its Policy on Exports of Conventional Military Equipment in 2017, </w:t>
      </w:r>
      <w:hyperlink r:id="rId4" w:history="1">
        <w:r w:rsidRPr="007A06BE">
          <w:rPr>
            <w:rStyle w:val="Hyperlink"/>
            <w:color w:val="auto"/>
            <w:szCs w:val="20"/>
            <w:u w:val="none"/>
            <w:lang w:val="en-GB"/>
          </w:rPr>
          <w:t>https://www.sipri.org/databases/national-reports</w:t>
        </w:r>
      </w:hyperlink>
      <w:r w:rsidRPr="007A06BE">
        <w:rPr>
          <w:rStyle w:val="Hyperlink"/>
          <w:color w:val="auto"/>
          <w:szCs w:val="20"/>
          <w:u w:val="none"/>
          <w:lang w:val="en-GB"/>
        </w:rPr>
        <w:t xml:space="preserve">, </w:t>
      </w:r>
      <w:r>
        <w:rPr>
          <w:lang w:val="en-GB"/>
        </w:rPr>
        <w:t>p</w:t>
      </w:r>
      <w:r w:rsidRPr="007A06BE">
        <w:rPr>
          <w:lang w:val="en-GB"/>
        </w:rPr>
        <w:t>.</w:t>
      </w:r>
      <w:r>
        <w:rPr>
          <w:lang w:val="en-GB"/>
        </w:rPr>
        <w:t xml:space="preserve"> 11; The EU Common Position’s update </w:t>
      </w:r>
      <w:proofErr w:type="gramStart"/>
      <w:r>
        <w:rPr>
          <w:lang w:val="en-GB"/>
        </w:rPr>
        <w:t>was concluded</w:t>
      </w:r>
      <w:proofErr w:type="gramEnd"/>
      <w:r>
        <w:rPr>
          <w:lang w:val="en-GB"/>
        </w:rPr>
        <w:t xml:space="preserve"> in 2019. </w:t>
      </w:r>
      <w:proofErr w:type="gramStart"/>
      <w:r>
        <w:rPr>
          <w:lang w:val="en-GB"/>
        </w:rPr>
        <w:t>However</w:t>
      </w:r>
      <w:proofErr w:type="gramEnd"/>
      <w:r>
        <w:rPr>
          <w:lang w:val="en-GB"/>
        </w:rPr>
        <w:t xml:space="preserve"> a consolidated version is not yet publically available. </w:t>
      </w:r>
    </w:p>
  </w:footnote>
  <w:footnote w:id="22">
    <w:p w14:paraId="583BB5E3" w14:textId="5EBDAA75" w:rsidR="00DF52B6" w:rsidRDefault="00CF22EA">
      <w:pPr>
        <w:pStyle w:val="FootnoteText"/>
        <w:rPr>
          <w:lang w:val="en-GB"/>
        </w:rPr>
      </w:pPr>
      <w:r>
        <w:rPr>
          <w:rStyle w:val="FootnoteReference"/>
        </w:rPr>
        <w:footnoteRef/>
      </w:r>
      <w:r w:rsidRPr="00DF52B6">
        <w:rPr>
          <w:lang w:val="en-GB"/>
        </w:rPr>
        <w:t xml:space="preserve"> WILFP and </w:t>
      </w:r>
      <w:r>
        <w:rPr>
          <w:lang w:val="en-GB"/>
        </w:rPr>
        <w:t xml:space="preserve">ECCHR, 5 September 2017, Guidelines for the conducting of an arms export risk assessment of gender-based violence, </w:t>
      </w:r>
      <w:r w:rsidR="00DF52B6" w:rsidRPr="00DF52B6">
        <w:rPr>
          <w:lang w:val="en-GB"/>
        </w:rPr>
        <w:t>https://www.ecchr.eu/fileadmin/Kommentare_Konferenzberichte_Weiteres/Guidelines</w:t>
      </w:r>
    </w:p>
    <w:p w14:paraId="66792AF7" w14:textId="05BD9D5C" w:rsidR="00CF22EA" w:rsidRPr="00DF52B6" w:rsidRDefault="00CF22EA">
      <w:pPr>
        <w:pStyle w:val="FootnoteText"/>
        <w:rPr>
          <w:lang w:val="en-GB"/>
        </w:rPr>
      </w:pPr>
      <w:r w:rsidRPr="00DF52B6">
        <w:rPr>
          <w:lang w:val="en-GB"/>
        </w:rPr>
        <w:t>_Arms_Export_GBV.pdf</w:t>
      </w:r>
    </w:p>
  </w:footnote>
  <w:footnote w:id="23">
    <w:p w14:paraId="7C0DD2A2" w14:textId="77777777" w:rsidR="00ED6F57" w:rsidRPr="007A06BE" w:rsidRDefault="00ED6F57" w:rsidP="007A06BE">
      <w:pPr>
        <w:pStyle w:val="FootnoteText"/>
        <w:jc w:val="both"/>
        <w:rPr>
          <w:lang w:val="en-GB"/>
        </w:rPr>
      </w:pPr>
      <w:r w:rsidRPr="007A06BE">
        <w:rPr>
          <w:rStyle w:val="FootnoteReference"/>
        </w:rPr>
        <w:footnoteRef/>
      </w:r>
      <w:r w:rsidRPr="007A06BE">
        <w:t xml:space="preserve"> </w:t>
      </w:r>
      <w:r w:rsidRPr="007A06BE">
        <w:rPr>
          <w:rFonts w:eastAsia="Calibri" w:cs="Times New Roman"/>
          <w:szCs w:val="20"/>
        </w:rPr>
        <w:t xml:space="preserve">Ein neuer Aufbruch für Europa, Eine neue Dynamik für Deutschland, Ein neuer Zusammenhalt für unser Land , Koalitionsvertrag zwischen CDU, CSU und SPD 19. </w:t>
      </w:r>
      <w:proofErr w:type="spellStart"/>
      <w:r w:rsidRPr="007A06BE">
        <w:rPr>
          <w:rFonts w:eastAsia="Calibri" w:cs="Times New Roman"/>
          <w:szCs w:val="20"/>
          <w:lang w:val="en-GB"/>
        </w:rPr>
        <w:t>Legislaturperiode</w:t>
      </w:r>
      <w:proofErr w:type="spellEnd"/>
      <w:r w:rsidRPr="007A06BE">
        <w:rPr>
          <w:rFonts w:eastAsia="Calibri" w:cs="Times New Roman"/>
          <w:szCs w:val="20"/>
          <w:lang w:val="en-GB"/>
        </w:rPr>
        <w:t xml:space="preserve">, see p. 149, available at:  </w:t>
      </w:r>
      <w:r w:rsidRPr="007A06BE">
        <w:rPr>
          <w:rStyle w:val="Hyperlink"/>
          <w:rFonts w:eastAsia="Calibri" w:cs="Times New Roman"/>
          <w:color w:val="auto"/>
          <w:szCs w:val="20"/>
          <w:u w:val="none"/>
          <w:lang w:val="en-GB"/>
        </w:rPr>
        <w:t>https://www.cdu.de/system/tdf/media/dokumente/koalitionsvertrag_2018.pdf?file=1</w:t>
      </w:r>
      <w:r w:rsidRPr="007A06BE">
        <w:rPr>
          <w:rFonts w:eastAsia="Calibri" w:cs="Times New Roman"/>
          <w:szCs w:val="20"/>
          <w:lang w:val="en-GB"/>
        </w:rPr>
        <w:t>.</w:t>
      </w:r>
    </w:p>
  </w:footnote>
  <w:footnote w:id="24">
    <w:p w14:paraId="39568F08"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Reply of the German government to a parliamentarian request for information by member of parliament </w:t>
      </w:r>
      <w:proofErr w:type="spellStart"/>
      <w:r w:rsidRPr="007A06BE">
        <w:rPr>
          <w:lang w:val="en-GB"/>
        </w:rPr>
        <w:t>Sevim</w:t>
      </w:r>
      <w:proofErr w:type="spellEnd"/>
      <w:r w:rsidRPr="007A06BE">
        <w:rPr>
          <w:lang w:val="en-GB"/>
        </w:rPr>
        <w:t xml:space="preserve"> </w:t>
      </w:r>
      <w:proofErr w:type="spellStart"/>
      <w:r w:rsidRPr="007A06BE">
        <w:rPr>
          <w:rFonts w:cs="Times New Roman"/>
          <w:lang w:val="en-GB"/>
        </w:rPr>
        <w:t>Dagdelen</w:t>
      </w:r>
      <w:proofErr w:type="spellEnd"/>
      <w:r w:rsidRPr="007A06BE">
        <w:rPr>
          <w:rFonts w:cs="Times New Roman"/>
          <w:lang w:val="en-GB"/>
        </w:rPr>
        <w:t xml:space="preserve"> et al and the fraction DIE LINKE,</w:t>
      </w:r>
      <w:r>
        <w:rPr>
          <w:rFonts w:cs="Times New Roman"/>
          <w:lang w:val="en-GB"/>
        </w:rPr>
        <w:t xml:space="preserve"> </w:t>
      </w:r>
      <w:proofErr w:type="spellStart"/>
      <w:r>
        <w:rPr>
          <w:rFonts w:cs="Times New Roman"/>
          <w:lang w:val="en-GB"/>
        </w:rPr>
        <w:t>Bundestagsdrucksache</w:t>
      </w:r>
      <w:proofErr w:type="spellEnd"/>
      <w:r>
        <w:rPr>
          <w:rFonts w:cs="Times New Roman"/>
          <w:lang w:val="en-GB"/>
        </w:rPr>
        <w:t xml:space="preserve"> 19/7800, </w:t>
      </w:r>
      <w:r w:rsidRPr="007A06BE">
        <w:rPr>
          <w:rFonts w:cs="Times New Roman"/>
          <w:lang w:val="en-GB"/>
        </w:rPr>
        <w:t>8 February 2019.</w:t>
      </w:r>
    </w:p>
  </w:footnote>
  <w:footnote w:id="25">
    <w:p w14:paraId="48B9FB40"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w:t>
      </w:r>
      <w:r w:rsidRPr="007A06BE">
        <w:rPr>
          <w:rStyle w:val="Hyperlink"/>
          <w:color w:val="auto"/>
          <w:u w:val="none"/>
          <w:lang w:val="en-GB"/>
        </w:rPr>
        <w:t>https://in.reuters.com/article/germany-arms-saudi-ban/german-government-extends-arms-export-moratorium-for-saudi-arabia-idINKBN1W31OX</w:t>
      </w:r>
      <w:r w:rsidRPr="007A06BE">
        <w:rPr>
          <w:lang w:val="en-GB"/>
        </w:rPr>
        <w:t xml:space="preserve">; </w:t>
      </w:r>
      <w:r w:rsidRPr="007A06BE">
        <w:rPr>
          <w:rStyle w:val="Hyperlink"/>
          <w:color w:val="auto"/>
          <w:u w:val="none"/>
          <w:lang w:val="en-GB"/>
        </w:rPr>
        <w:t>https://ww</w:t>
      </w:r>
      <w:bookmarkStart w:id="1" w:name="_Hlt33110693"/>
      <w:r w:rsidRPr="007A06BE">
        <w:rPr>
          <w:rStyle w:val="Hyperlink"/>
          <w:color w:val="auto"/>
          <w:u w:val="none"/>
          <w:lang w:val="en-GB"/>
        </w:rPr>
        <w:t>w</w:t>
      </w:r>
      <w:bookmarkEnd w:id="1"/>
      <w:r w:rsidRPr="007A06BE">
        <w:rPr>
          <w:rStyle w:val="Hyperlink"/>
          <w:color w:val="auto"/>
          <w:u w:val="none"/>
          <w:lang w:val="en-GB"/>
        </w:rPr>
        <w:t>.zeit.de/politik/deutschland/2019-09/waffenembargo-ruestungsexportstopp-saudi-arabien-verlaengerung</w:t>
      </w:r>
      <w:r w:rsidRPr="007A06BE">
        <w:rPr>
          <w:lang w:val="en-GB"/>
        </w:rPr>
        <w:t> </w:t>
      </w:r>
    </w:p>
  </w:footnote>
  <w:footnote w:id="26">
    <w:p w14:paraId="21E89BD2"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w:t>
      </w:r>
      <w:r w:rsidRPr="007A06BE">
        <w:rPr>
          <w:rStyle w:val="Hyperlink"/>
          <w:color w:val="auto"/>
          <w:u w:val="none"/>
          <w:lang w:val="en-GB"/>
        </w:rPr>
        <w:t>https://www.bundesre</w:t>
      </w:r>
      <w:bookmarkStart w:id="2" w:name="_Hlt33110958"/>
      <w:r w:rsidRPr="007A06BE">
        <w:rPr>
          <w:rStyle w:val="Hyperlink"/>
          <w:color w:val="auto"/>
          <w:u w:val="none"/>
          <w:lang w:val="en-GB"/>
        </w:rPr>
        <w:t>g</w:t>
      </w:r>
      <w:bookmarkEnd w:id="2"/>
      <w:r w:rsidRPr="007A06BE">
        <w:rPr>
          <w:rStyle w:val="Hyperlink"/>
          <w:color w:val="auto"/>
          <w:u w:val="none"/>
          <w:lang w:val="en-GB"/>
        </w:rPr>
        <w:t>ierung.de/breg-de/aktuelles/pressemitteilungen/verstaendigung-der-bundesregierung-zu-ruhensanordnungen-und-gemeinsch</w:t>
      </w:r>
      <w:bookmarkStart w:id="3" w:name="_Hlt33110402"/>
      <w:bookmarkStart w:id="4" w:name="_Hlt33110403"/>
      <w:r w:rsidRPr="007A06BE">
        <w:rPr>
          <w:rStyle w:val="Hyperlink"/>
          <w:color w:val="auto"/>
          <w:u w:val="none"/>
          <w:lang w:val="en-GB"/>
        </w:rPr>
        <w:t>a</w:t>
      </w:r>
      <w:bookmarkEnd w:id="3"/>
      <w:bookmarkEnd w:id="4"/>
      <w:r w:rsidRPr="007A06BE">
        <w:rPr>
          <w:rStyle w:val="Hyperlink"/>
          <w:color w:val="auto"/>
          <w:u w:val="none"/>
          <w:lang w:val="en-GB"/>
        </w:rPr>
        <w:t>ftsprogrammen-1595750</w:t>
      </w:r>
      <w:r w:rsidRPr="007A06BE">
        <w:rPr>
          <w:lang w:val="en-GB"/>
        </w:rPr>
        <w:t>.</w:t>
      </w:r>
    </w:p>
  </w:footnote>
  <w:footnote w:id="27">
    <w:p w14:paraId="73AE8B65" w14:textId="77777777" w:rsidR="00ED6F57" w:rsidRPr="007A06BE" w:rsidRDefault="00ED6F57" w:rsidP="007A06BE">
      <w:pPr>
        <w:pStyle w:val="FootnoteText"/>
        <w:jc w:val="both"/>
        <w:rPr>
          <w:lang w:val="en-GB"/>
        </w:rPr>
      </w:pPr>
      <w:r w:rsidRPr="007A06BE">
        <w:rPr>
          <w:rStyle w:val="FootnoteReference"/>
        </w:rPr>
        <w:footnoteRef/>
      </w:r>
      <w:r w:rsidRPr="007A06BE">
        <w:rPr>
          <w:lang w:val="en-GB"/>
        </w:rPr>
        <w:t xml:space="preserve"> Case Report by NGO coalition: “Made in Europe, bombed in Yemen: How the ICC could tackle the responsibility of arms exporters and government officials”, https://www.ecchr.eu/fileadmin/Fallbeschreibungen/CaseReport_ECCHR_Mwatana_Amnesty_CAAT_Delas_Rete.pdf.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E6CC" w14:textId="77777777" w:rsidR="00ED6F57" w:rsidRDefault="00ED6F57" w:rsidP="00E86156">
    <w:pPr>
      <w:pStyle w:val="Header"/>
      <w:spacing w:before="960"/>
    </w:pPr>
    <w:r>
      <w:rPr>
        <w:noProof/>
        <w:lang w:val="en-GB" w:eastAsia="en-GB"/>
      </w:rPr>
      <w:drawing>
        <wp:anchor distT="0" distB="0" distL="114300" distR="114300" simplePos="0" relativeHeight="251657728" behindDoc="1" locked="0" layoutInCell="1" allowOverlap="1" wp14:anchorId="3B9244F9" wp14:editId="756CCE09">
          <wp:simplePos x="0" y="0"/>
          <wp:positionH relativeFrom="column">
            <wp:align>left</wp:align>
          </wp:positionH>
          <wp:positionV relativeFrom="paragraph">
            <wp:posOffset>95250</wp:posOffset>
          </wp:positionV>
          <wp:extent cx="2879725" cy="486410"/>
          <wp:effectExtent l="0" t="0" r="0" b="8890"/>
          <wp:wrapTight wrapText="bothSides">
            <wp:wrapPolygon edited="0">
              <wp:start x="0" y="0"/>
              <wp:lineTo x="0" y="21149"/>
              <wp:lineTo x="21433" y="21149"/>
              <wp:lineTo x="21433" y="0"/>
              <wp:lineTo x="0" y="0"/>
            </wp:wrapPolygon>
          </wp:wrapTight>
          <wp:docPr id="1" name="Bild 1" descr="Logo+Schriftzug02_ECCH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hriftzug02_ECCH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486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7B43"/>
    <w:multiLevelType w:val="multilevel"/>
    <w:tmpl w:val="F4BA2F66"/>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0D343E"/>
    <w:multiLevelType w:val="hybridMultilevel"/>
    <w:tmpl w:val="FB548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050B40"/>
    <w:multiLevelType w:val="hybridMultilevel"/>
    <w:tmpl w:val="D5944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2623EF"/>
    <w:multiLevelType w:val="hybridMultilevel"/>
    <w:tmpl w:val="813C55EA"/>
    <w:lvl w:ilvl="0" w:tplc="DABCFA22">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270F6F"/>
    <w:multiLevelType w:val="hybridMultilevel"/>
    <w:tmpl w:val="70DC038C"/>
    <w:lvl w:ilvl="0" w:tplc="83C81D90">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5" w15:restartNumberingAfterBreak="0">
    <w:nsid w:val="66691F19"/>
    <w:multiLevelType w:val="hybridMultilevel"/>
    <w:tmpl w:val="5D7A8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6D5B15"/>
    <w:multiLevelType w:val="hybridMultilevel"/>
    <w:tmpl w:val="E4288754"/>
    <w:lvl w:ilvl="0" w:tplc="04070001">
      <w:start w:val="1"/>
      <w:numFmt w:val="bullet"/>
      <w:lvlText w:val=""/>
      <w:lvlJc w:val="left"/>
      <w:pPr>
        <w:ind w:left="761" w:hanging="360"/>
      </w:pPr>
      <w:rPr>
        <w:rFonts w:ascii="Symbol" w:hAnsi="Symbo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7" w15:restartNumberingAfterBreak="0">
    <w:nsid w:val="71E662D9"/>
    <w:multiLevelType w:val="multilevel"/>
    <w:tmpl w:val="E1F61B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57B5417"/>
    <w:multiLevelType w:val="hybridMultilevel"/>
    <w:tmpl w:val="359E7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BD0FD7"/>
    <w:multiLevelType w:val="multilevel"/>
    <w:tmpl w:val="C15C7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EF0779"/>
    <w:multiLevelType w:val="multilevel"/>
    <w:tmpl w:val="C2A24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8"/>
  </w:num>
  <w:num w:numId="8">
    <w:abstractNumId w:val="10"/>
  </w:num>
  <w:num w:numId="9">
    <w:abstractNumId w:val="9"/>
  </w:num>
  <w:num w:numId="10">
    <w:abstractNumId w:val="0"/>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D"/>
    <w:rsid w:val="00014A5E"/>
    <w:rsid w:val="000465F5"/>
    <w:rsid w:val="00053090"/>
    <w:rsid w:val="00073893"/>
    <w:rsid w:val="00086A2E"/>
    <w:rsid w:val="00090329"/>
    <w:rsid w:val="00093BEB"/>
    <w:rsid w:val="000A4919"/>
    <w:rsid w:val="000B3AE6"/>
    <w:rsid w:val="000B55E8"/>
    <w:rsid w:val="000D4980"/>
    <w:rsid w:val="00114773"/>
    <w:rsid w:val="001201CD"/>
    <w:rsid w:val="001219B9"/>
    <w:rsid w:val="00136E22"/>
    <w:rsid w:val="001372C9"/>
    <w:rsid w:val="00161EBE"/>
    <w:rsid w:val="00164F93"/>
    <w:rsid w:val="00186ABE"/>
    <w:rsid w:val="001C2D5D"/>
    <w:rsid w:val="001D3D24"/>
    <w:rsid w:val="001F6A4E"/>
    <w:rsid w:val="0021666D"/>
    <w:rsid w:val="00221576"/>
    <w:rsid w:val="00227F92"/>
    <w:rsid w:val="00260DCC"/>
    <w:rsid w:val="00262E3D"/>
    <w:rsid w:val="00264FB9"/>
    <w:rsid w:val="0026698D"/>
    <w:rsid w:val="00282169"/>
    <w:rsid w:val="002A3F13"/>
    <w:rsid w:val="002B6DD9"/>
    <w:rsid w:val="002B7028"/>
    <w:rsid w:val="002C3C63"/>
    <w:rsid w:val="002E1759"/>
    <w:rsid w:val="002F0734"/>
    <w:rsid w:val="00304491"/>
    <w:rsid w:val="00354F91"/>
    <w:rsid w:val="00356A82"/>
    <w:rsid w:val="00374D93"/>
    <w:rsid w:val="00395549"/>
    <w:rsid w:val="003B061D"/>
    <w:rsid w:val="003B08A0"/>
    <w:rsid w:val="003B4ADB"/>
    <w:rsid w:val="003C0407"/>
    <w:rsid w:val="00405F79"/>
    <w:rsid w:val="004329D2"/>
    <w:rsid w:val="00484D6F"/>
    <w:rsid w:val="004960FA"/>
    <w:rsid w:val="004D4638"/>
    <w:rsid w:val="004D71D4"/>
    <w:rsid w:val="004E2459"/>
    <w:rsid w:val="004F0790"/>
    <w:rsid w:val="004F0958"/>
    <w:rsid w:val="004F68E6"/>
    <w:rsid w:val="005122BB"/>
    <w:rsid w:val="005142BF"/>
    <w:rsid w:val="00516217"/>
    <w:rsid w:val="00555891"/>
    <w:rsid w:val="00584635"/>
    <w:rsid w:val="005941D3"/>
    <w:rsid w:val="005978EE"/>
    <w:rsid w:val="005D65B4"/>
    <w:rsid w:val="005E62BB"/>
    <w:rsid w:val="0063098C"/>
    <w:rsid w:val="0063457F"/>
    <w:rsid w:val="0064782A"/>
    <w:rsid w:val="00664198"/>
    <w:rsid w:val="00671538"/>
    <w:rsid w:val="006964B7"/>
    <w:rsid w:val="006A3C78"/>
    <w:rsid w:val="006B2DA8"/>
    <w:rsid w:val="006D1240"/>
    <w:rsid w:val="006E6999"/>
    <w:rsid w:val="00706D46"/>
    <w:rsid w:val="0070701B"/>
    <w:rsid w:val="007108A1"/>
    <w:rsid w:val="00711C1D"/>
    <w:rsid w:val="00725292"/>
    <w:rsid w:val="00740DC0"/>
    <w:rsid w:val="00756288"/>
    <w:rsid w:val="00764EB3"/>
    <w:rsid w:val="0076734A"/>
    <w:rsid w:val="0077546A"/>
    <w:rsid w:val="007A06BE"/>
    <w:rsid w:val="007C0A38"/>
    <w:rsid w:val="007F0FC5"/>
    <w:rsid w:val="00812DC6"/>
    <w:rsid w:val="008141EA"/>
    <w:rsid w:val="00834A4F"/>
    <w:rsid w:val="008643AE"/>
    <w:rsid w:val="00872D2A"/>
    <w:rsid w:val="00880908"/>
    <w:rsid w:val="00893EB8"/>
    <w:rsid w:val="00895C5C"/>
    <w:rsid w:val="008B7AAB"/>
    <w:rsid w:val="008D35E5"/>
    <w:rsid w:val="008F31AA"/>
    <w:rsid w:val="00902964"/>
    <w:rsid w:val="0091111B"/>
    <w:rsid w:val="00911DC4"/>
    <w:rsid w:val="00913CBE"/>
    <w:rsid w:val="009779D1"/>
    <w:rsid w:val="009818E5"/>
    <w:rsid w:val="0099073F"/>
    <w:rsid w:val="009C72DC"/>
    <w:rsid w:val="009E7A47"/>
    <w:rsid w:val="009F4E24"/>
    <w:rsid w:val="009F5080"/>
    <w:rsid w:val="00A467B7"/>
    <w:rsid w:val="00A660AB"/>
    <w:rsid w:val="00AE6617"/>
    <w:rsid w:val="00B042E8"/>
    <w:rsid w:val="00B10F9E"/>
    <w:rsid w:val="00B30FA7"/>
    <w:rsid w:val="00B40D0F"/>
    <w:rsid w:val="00B45D16"/>
    <w:rsid w:val="00B62996"/>
    <w:rsid w:val="00B72E8F"/>
    <w:rsid w:val="00BA7355"/>
    <w:rsid w:val="00BD2ABE"/>
    <w:rsid w:val="00C669F0"/>
    <w:rsid w:val="00CB553F"/>
    <w:rsid w:val="00CD165A"/>
    <w:rsid w:val="00CD1E5D"/>
    <w:rsid w:val="00CD4834"/>
    <w:rsid w:val="00CE251C"/>
    <w:rsid w:val="00CE74B8"/>
    <w:rsid w:val="00CF22EA"/>
    <w:rsid w:val="00CF47D7"/>
    <w:rsid w:val="00D03EF3"/>
    <w:rsid w:val="00D11C5D"/>
    <w:rsid w:val="00D23140"/>
    <w:rsid w:val="00D26B1D"/>
    <w:rsid w:val="00D50E03"/>
    <w:rsid w:val="00D812DC"/>
    <w:rsid w:val="00DC2732"/>
    <w:rsid w:val="00DF3E16"/>
    <w:rsid w:val="00DF52B6"/>
    <w:rsid w:val="00DF5381"/>
    <w:rsid w:val="00E107D5"/>
    <w:rsid w:val="00E17E18"/>
    <w:rsid w:val="00E32AA4"/>
    <w:rsid w:val="00E51091"/>
    <w:rsid w:val="00E54395"/>
    <w:rsid w:val="00E5469B"/>
    <w:rsid w:val="00E86156"/>
    <w:rsid w:val="00E87226"/>
    <w:rsid w:val="00EB20E7"/>
    <w:rsid w:val="00EB740A"/>
    <w:rsid w:val="00ED142A"/>
    <w:rsid w:val="00ED6F57"/>
    <w:rsid w:val="00EE0669"/>
    <w:rsid w:val="00EF11C6"/>
    <w:rsid w:val="00F21BDB"/>
    <w:rsid w:val="00F239B8"/>
    <w:rsid w:val="00F26431"/>
    <w:rsid w:val="00F44575"/>
    <w:rsid w:val="00F51CA3"/>
    <w:rsid w:val="00F573B0"/>
    <w:rsid w:val="00F67F0A"/>
    <w:rsid w:val="00F769B2"/>
    <w:rsid w:val="00F94A6A"/>
    <w:rsid w:val="00F969DB"/>
    <w:rsid w:val="00FA67E7"/>
    <w:rsid w:val="00FC6662"/>
    <w:rsid w:val="00FD55E3"/>
    <w:rsid w:val="00FE03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534FFE"/>
  <w15:docId w15:val="{46DD7B9F-5832-4511-8DA1-4A69D6D9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D1"/>
    <w:pPr>
      <w:spacing w:after="200" w:line="276" w:lineRule="auto"/>
    </w:pPr>
    <w:rPr>
      <w:sz w:val="22"/>
      <w:szCs w:val="22"/>
      <w:lang w:eastAsia="en-US"/>
    </w:rPr>
  </w:style>
  <w:style w:type="paragraph" w:styleId="Heading1">
    <w:name w:val="heading 1"/>
    <w:basedOn w:val="Normal"/>
    <w:next w:val="Normal"/>
    <w:link w:val="Heading1Char"/>
    <w:rsid w:val="00090329"/>
    <w:pPr>
      <w:keepNext/>
      <w:keepLines/>
      <w:widowControl w:val="0"/>
      <w:suppressAutoHyphens/>
      <w:autoSpaceDN w:val="0"/>
      <w:spacing w:before="240" w:after="120" w:line="240" w:lineRule="auto"/>
      <w:textAlignment w:val="baseline"/>
      <w:outlineLvl w:val="0"/>
    </w:pPr>
    <w:rPr>
      <w:rFonts w:eastAsia="Times New Roman" w:cs="Mangal"/>
      <w:b/>
      <w:i/>
      <w:kern w:val="3"/>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5F79"/>
    <w:pPr>
      <w:ind w:left="720"/>
      <w:contextualSpacing/>
    </w:pPr>
  </w:style>
  <w:style w:type="paragraph" w:styleId="Header">
    <w:name w:val="header"/>
    <w:basedOn w:val="Normal"/>
    <w:link w:val="HeaderChar"/>
    <w:uiPriority w:val="99"/>
    <w:semiHidden/>
    <w:unhideWhenUsed/>
    <w:rsid w:val="007754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46A"/>
  </w:style>
  <w:style w:type="paragraph" w:styleId="Footer">
    <w:name w:val="footer"/>
    <w:basedOn w:val="Normal"/>
    <w:link w:val="FooterChar"/>
    <w:uiPriority w:val="99"/>
    <w:semiHidden/>
    <w:unhideWhenUsed/>
    <w:rsid w:val="007754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46A"/>
  </w:style>
  <w:style w:type="character" w:styleId="Hyperlink">
    <w:name w:val="Hyperlink"/>
    <w:basedOn w:val="DefaultParagraphFont"/>
    <w:unhideWhenUsed/>
    <w:rsid w:val="004E2459"/>
    <w:rPr>
      <w:color w:val="0000FF"/>
      <w:u w:val="single"/>
    </w:rPr>
  </w:style>
  <w:style w:type="character" w:styleId="CommentReference">
    <w:name w:val="annotation reference"/>
    <w:basedOn w:val="DefaultParagraphFont"/>
    <w:uiPriority w:val="99"/>
    <w:semiHidden/>
    <w:unhideWhenUsed/>
    <w:rsid w:val="00CD1E5D"/>
    <w:rPr>
      <w:sz w:val="16"/>
      <w:szCs w:val="16"/>
    </w:rPr>
  </w:style>
  <w:style w:type="paragraph" w:styleId="CommentText">
    <w:name w:val="annotation text"/>
    <w:basedOn w:val="Normal"/>
    <w:link w:val="CommentTextChar"/>
    <w:uiPriority w:val="99"/>
    <w:semiHidden/>
    <w:unhideWhenUsed/>
    <w:rsid w:val="00CD1E5D"/>
    <w:pPr>
      <w:spacing w:line="240" w:lineRule="auto"/>
    </w:pPr>
    <w:rPr>
      <w:sz w:val="20"/>
      <w:szCs w:val="20"/>
    </w:rPr>
  </w:style>
  <w:style w:type="character" w:customStyle="1" w:styleId="CommentTextChar">
    <w:name w:val="Comment Text Char"/>
    <w:basedOn w:val="DefaultParagraphFont"/>
    <w:link w:val="CommentText"/>
    <w:uiPriority w:val="99"/>
    <w:semiHidden/>
    <w:rsid w:val="00CD1E5D"/>
    <w:rPr>
      <w:sz w:val="20"/>
      <w:szCs w:val="20"/>
    </w:rPr>
  </w:style>
  <w:style w:type="paragraph" w:styleId="CommentSubject">
    <w:name w:val="annotation subject"/>
    <w:basedOn w:val="CommentText"/>
    <w:next w:val="CommentText"/>
    <w:link w:val="CommentSubjectChar"/>
    <w:uiPriority w:val="99"/>
    <w:semiHidden/>
    <w:unhideWhenUsed/>
    <w:rsid w:val="00CD1E5D"/>
    <w:rPr>
      <w:b/>
      <w:bCs/>
    </w:rPr>
  </w:style>
  <w:style w:type="character" w:customStyle="1" w:styleId="CommentSubjectChar">
    <w:name w:val="Comment Subject Char"/>
    <w:basedOn w:val="CommentTextChar"/>
    <w:link w:val="CommentSubject"/>
    <w:uiPriority w:val="99"/>
    <w:semiHidden/>
    <w:rsid w:val="00CD1E5D"/>
    <w:rPr>
      <w:b/>
      <w:bCs/>
      <w:sz w:val="20"/>
      <w:szCs w:val="20"/>
    </w:rPr>
  </w:style>
  <w:style w:type="paragraph" w:styleId="BalloonText">
    <w:name w:val="Balloon Text"/>
    <w:basedOn w:val="Normal"/>
    <w:link w:val="BalloonTextChar"/>
    <w:uiPriority w:val="99"/>
    <w:semiHidden/>
    <w:unhideWhenUsed/>
    <w:rsid w:val="00CD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5D"/>
    <w:rPr>
      <w:rFonts w:ascii="Tahoma" w:hAnsi="Tahoma" w:cs="Tahoma"/>
      <w:sz w:val="16"/>
      <w:szCs w:val="16"/>
    </w:rPr>
  </w:style>
  <w:style w:type="paragraph" w:styleId="NormalWeb">
    <w:name w:val="Normal (Web)"/>
    <w:basedOn w:val="Normal"/>
    <w:uiPriority w:val="99"/>
    <w:unhideWhenUsed/>
    <w:rsid w:val="004329D2"/>
    <w:pPr>
      <w:spacing w:before="100" w:beforeAutospacing="1" w:after="100" w:afterAutospacing="1" w:line="240" w:lineRule="auto"/>
    </w:pPr>
    <w:rPr>
      <w:rFonts w:eastAsia="Times New Roman"/>
      <w:sz w:val="24"/>
      <w:szCs w:val="24"/>
      <w:lang w:eastAsia="de-DE"/>
    </w:rPr>
  </w:style>
  <w:style w:type="paragraph" w:customStyle="1" w:styleId="Default">
    <w:name w:val="Default"/>
    <w:rsid w:val="00711C1D"/>
    <w:pPr>
      <w:autoSpaceDE w:val="0"/>
      <w:autoSpaceDN w:val="0"/>
      <w:adjustRightInd w:val="0"/>
    </w:pPr>
    <w:rPr>
      <w:color w:val="000000"/>
      <w:sz w:val="24"/>
      <w:szCs w:val="24"/>
    </w:rPr>
  </w:style>
  <w:style w:type="paragraph" w:customStyle="1" w:styleId="Textbody">
    <w:name w:val="Text body"/>
    <w:basedOn w:val="Normal"/>
    <w:rsid w:val="001C2D5D"/>
    <w:pPr>
      <w:widowControl w:val="0"/>
      <w:suppressAutoHyphens/>
      <w:autoSpaceDN w:val="0"/>
      <w:spacing w:after="120" w:line="240" w:lineRule="auto"/>
      <w:textAlignment w:val="baseline"/>
    </w:pPr>
    <w:rPr>
      <w:rFonts w:eastAsia="Arial Unicode MS" w:cs="Arial Unicode MS"/>
      <w:kern w:val="3"/>
      <w:sz w:val="24"/>
      <w:szCs w:val="24"/>
      <w:lang w:eastAsia="zh-CN" w:bidi="hi-IN"/>
    </w:rPr>
  </w:style>
  <w:style w:type="character" w:customStyle="1" w:styleId="Heading1Char">
    <w:name w:val="Heading 1 Char"/>
    <w:basedOn w:val="DefaultParagraphFont"/>
    <w:link w:val="Heading1"/>
    <w:rsid w:val="00090329"/>
    <w:rPr>
      <w:rFonts w:eastAsia="Times New Roman" w:cs="Mangal"/>
      <w:b/>
      <w:i/>
      <w:kern w:val="3"/>
      <w:sz w:val="22"/>
      <w:szCs w:val="29"/>
      <w:lang w:eastAsia="zh-CN" w:bidi="hi-IN"/>
    </w:rPr>
  </w:style>
  <w:style w:type="paragraph" w:styleId="FootnoteText">
    <w:name w:val="footnote text"/>
    <w:basedOn w:val="Normal"/>
    <w:link w:val="FootnoteTextChar"/>
    <w:uiPriority w:val="99"/>
    <w:rsid w:val="00090329"/>
    <w:pPr>
      <w:widowControl w:val="0"/>
      <w:autoSpaceDN w:val="0"/>
      <w:spacing w:after="0" w:line="240" w:lineRule="auto"/>
      <w:textAlignment w:val="baseline"/>
    </w:pPr>
    <w:rPr>
      <w:rFonts w:eastAsia="Arial Unicode MS" w:cs="Mangal"/>
      <w:kern w:val="3"/>
      <w:sz w:val="20"/>
      <w:szCs w:val="18"/>
      <w:lang w:eastAsia="zh-CN" w:bidi="hi-IN"/>
    </w:rPr>
  </w:style>
  <w:style w:type="character" w:customStyle="1" w:styleId="FootnoteTextChar">
    <w:name w:val="Footnote Text Char"/>
    <w:basedOn w:val="DefaultParagraphFont"/>
    <w:link w:val="FootnoteText"/>
    <w:uiPriority w:val="99"/>
    <w:rsid w:val="00090329"/>
    <w:rPr>
      <w:rFonts w:eastAsia="Arial Unicode MS" w:cs="Mangal"/>
      <w:kern w:val="3"/>
      <w:szCs w:val="18"/>
      <w:lang w:eastAsia="zh-CN" w:bidi="hi-IN"/>
    </w:rPr>
  </w:style>
  <w:style w:type="character" w:styleId="FootnoteReference">
    <w:name w:val="footnote reference"/>
    <w:uiPriority w:val="99"/>
    <w:rsid w:val="00090329"/>
    <w:rPr>
      <w:position w:val="0"/>
      <w:vertAlign w:val="superscript"/>
    </w:rPr>
  </w:style>
  <w:style w:type="paragraph" w:customStyle="1" w:styleId="Footnotes">
    <w:name w:val="Footnotes"/>
    <w:basedOn w:val="Normal"/>
    <w:rsid w:val="00090329"/>
    <w:pPr>
      <w:autoSpaceDN w:val="0"/>
      <w:spacing w:after="0" w:line="240" w:lineRule="auto"/>
      <w:jc w:val="both"/>
    </w:pPr>
    <w:rPr>
      <w:sz w:val="20"/>
      <w:lang w:val="en-US"/>
    </w:rPr>
  </w:style>
  <w:style w:type="character" w:customStyle="1" w:styleId="Hyperlink0">
    <w:name w:val="Hyperlink.0"/>
    <w:rsid w:val="00090329"/>
    <w:rPr>
      <w:color w:val="BE6427"/>
      <w:u w:val="single" w:color="0563C1"/>
    </w:rPr>
  </w:style>
  <w:style w:type="numbering" w:customStyle="1" w:styleId="WWNum8">
    <w:name w:val="WWNum8"/>
    <w:basedOn w:val="NoList"/>
    <w:rsid w:val="002F0734"/>
    <w:pPr>
      <w:numPr>
        <w:numId w:val="10"/>
      </w:numPr>
    </w:pPr>
  </w:style>
  <w:style w:type="numbering" w:customStyle="1" w:styleId="WWNum9">
    <w:name w:val="WWNum9"/>
    <w:basedOn w:val="NoList"/>
    <w:rsid w:val="002F073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744">
      <w:bodyDiv w:val="1"/>
      <w:marLeft w:val="0"/>
      <w:marRight w:val="0"/>
      <w:marTop w:val="0"/>
      <w:marBottom w:val="0"/>
      <w:divBdr>
        <w:top w:val="none" w:sz="0" w:space="0" w:color="auto"/>
        <w:left w:val="none" w:sz="0" w:space="0" w:color="auto"/>
        <w:bottom w:val="none" w:sz="0" w:space="0" w:color="auto"/>
        <w:right w:val="none" w:sz="0" w:space="0" w:color="auto"/>
      </w:divBdr>
    </w:div>
    <w:div w:id="49229066">
      <w:bodyDiv w:val="1"/>
      <w:marLeft w:val="0"/>
      <w:marRight w:val="0"/>
      <w:marTop w:val="0"/>
      <w:marBottom w:val="0"/>
      <w:divBdr>
        <w:top w:val="none" w:sz="0" w:space="0" w:color="auto"/>
        <w:left w:val="none" w:sz="0" w:space="0" w:color="auto"/>
        <w:bottom w:val="none" w:sz="0" w:space="0" w:color="auto"/>
        <w:right w:val="none" w:sz="0" w:space="0" w:color="auto"/>
      </w:divBdr>
    </w:div>
    <w:div w:id="289435421">
      <w:bodyDiv w:val="1"/>
      <w:marLeft w:val="0"/>
      <w:marRight w:val="0"/>
      <w:marTop w:val="0"/>
      <w:marBottom w:val="0"/>
      <w:divBdr>
        <w:top w:val="none" w:sz="0" w:space="0" w:color="auto"/>
        <w:left w:val="none" w:sz="0" w:space="0" w:color="auto"/>
        <w:bottom w:val="none" w:sz="0" w:space="0" w:color="auto"/>
        <w:right w:val="none" w:sz="0" w:space="0" w:color="auto"/>
      </w:divBdr>
    </w:div>
    <w:div w:id="308442638">
      <w:bodyDiv w:val="1"/>
      <w:marLeft w:val="0"/>
      <w:marRight w:val="0"/>
      <w:marTop w:val="0"/>
      <w:marBottom w:val="0"/>
      <w:divBdr>
        <w:top w:val="none" w:sz="0" w:space="0" w:color="auto"/>
        <w:left w:val="none" w:sz="0" w:space="0" w:color="auto"/>
        <w:bottom w:val="none" w:sz="0" w:space="0" w:color="auto"/>
        <w:right w:val="none" w:sz="0" w:space="0" w:color="auto"/>
      </w:divBdr>
    </w:div>
    <w:div w:id="459959733">
      <w:bodyDiv w:val="1"/>
      <w:marLeft w:val="0"/>
      <w:marRight w:val="0"/>
      <w:marTop w:val="0"/>
      <w:marBottom w:val="0"/>
      <w:divBdr>
        <w:top w:val="none" w:sz="0" w:space="0" w:color="auto"/>
        <w:left w:val="none" w:sz="0" w:space="0" w:color="auto"/>
        <w:bottom w:val="none" w:sz="0" w:space="0" w:color="auto"/>
        <w:right w:val="none" w:sz="0" w:space="0" w:color="auto"/>
      </w:divBdr>
    </w:div>
    <w:div w:id="495876685">
      <w:bodyDiv w:val="1"/>
      <w:marLeft w:val="0"/>
      <w:marRight w:val="0"/>
      <w:marTop w:val="0"/>
      <w:marBottom w:val="0"/>
      <w:divBdr>
        <w:top w:val="none" w:sz="0" w:space="0" w:color="auto"/>
        <w:left w:val="none" w:sz="0" w:space="0" w:color="auto"/>
        <w:bottom w:val="none" w:sz="0" w:space="0" w:color="auto"/>
        <w:right w:val="none" w:sz="0" w:space="0" w:color="auto"/>
      </w:divBdr>
    </w:div>
    <w:div w:id="504200476">
      <w:bodyDiv w:val="1"/>
      <w:marLeft w:val="0"/>
      <w:marRight w:val="0"/>
      <w:marTop w:val="0"/>
      <w:marBottom w:val="0"/>
      <w:divBdr>
        <w:top w:val="none" w:sz="0" w:space="0" w:color="auto"/>
        <w:left w:val="none" w:sz="0" w:space="0" w:color="auto"/>
        <w:bottom w:val="none" w:sz="0" w:space="0" w:color="auto"/>
        <w:right w:val="none" w:sz="0" w:space="0" w:color="auto"/>
      </w:divBdr>
    </w:div>
    <w:div w:id="518394024">
      <w:bodyDiv w:val="1"/>
      <w:marLeft w:val="0"/>
      <w:marRight w:val="0"/>
      <w:marTop w:val="0"/>
      <w:marBottom w:val="0"/>
      <w:divBdr>
        <w:top w:val="none" w:sz="0" w:space="0" w:color="auto"/>
        <w:left w:val="none" w:sz="0" w:space="0" w:color="auto"/>
        <w:bottom w:val="none" w:sz="0" w:space="0" w:color="auto"/>
        <w:right w:val="none" w:sz="0" w:space="0" w:color="auto"/>
      </w:divBdr>
    </w:div>
    <w:div w:id="808933961">
      <w:bodyDiv w:val="1"/>
      <w:marLeft w:val="0"/>
      <w:marRight w:val="0"/>
      <w:marTop w:val="0"/>
      <w:marBottom w:val="0"/>
      <w:divBdr>
        <w:top w:val="none" w:sz="0" w:space="0" w:color="auto"/>
        <w:left w:val="none" w:sz="0" w:space="0" w:color="auto"/>
        <w:bottom w:val="none" w:sz="0" w:space="0" w:color="auto"/>
        <w:right w:val="none" w:sz="0" w:space="0" w:color="auto"/>
      </w:divBdr>
    </w:div>
    <w:div w:id="870608007">
      <w:bodyDiv w:val="1"/>
      <w:marLeft w:val="0"/>
      <w:marRight w:val="0"/>
      <w:marTop w:val="0"/>
      <w:marBottom w:val="0"/>
      <w:divBdr>
        <w:top w:val="none" w:sz="0" w:space="0" w:color="auto"/>
        <w:left w:val="none" w:sz="0" w:space="0" w:color="auto"/>
        <w:bottom w:val="none" w:sz="0" w:space="0" w:color="auto"/>
        <w:right w:val="none" w:sz="0" w:space="0" w:color="auto"/>
      </w:divBdr>
    </w:div>
    <w:div w:id="1452747681">
      <w:bodyDiv w:val="1"/>
      <w:marLeft w:val="0"/>
      <w:marRight w:val="0"/>
      <w:marTop w:val="0"/>
      <w:marBottom w:val="0"/>
      <w:divBdr>
        <w:top w:val="none" w:sz="0" w:space="0" w:color="auto"/>
        <w:left w:val="none" w:sz="0" w:space="0" w:color="auto"/>
        <w:bottom w:val="none" w:sz="0" w:space="0" w:color="auto"/>
        <w:right w:val="none" w:sz="0" w:space="0" w:color="auto"/>
      </w:divBdr>
    </w:div>
    <w:div w:id="19554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doctorswithoutborders.org/what-we-do/news-stories/story/yemen-airstrike-hits-msf-cholera-treatment-center-abs" TargetMode="External"/><Relationship Id="rId2" Type="http://schemas.openxmlformats.org/officeDocument/2006/relationships/hyperlink" Target="https://www.sipri.org/databases/national-reports" TargetMode="External"/><Relationship Id="rId1" Type="http://schemas.openxmlformats.org/officeDocument/2006/relationships/hyperlink" Target="https://www.sipri.org/databases/national-reports" TargetMode="External"/><Relationship Id="rId4" Type="http://schemas.openxmlformats.org/officeDocument/2006/relationships/hyperlink" Target="https://www.sipri.org/databases/national-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Z:\ECCHR\LEITLINIEN%20UND%20VORLAGEN\Vorlagen%20und%20Formulare\Vorlage%20Dokumen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3EB57-733E-466F-9611-3CBF3DFC5AAD}">
  <ds:schemaRefs>
    <ds:schemaRef ds:uri="http://schemas.openxmlformats.org/officeDocument/2006/bibliography"/>
  </ds:schemaRefs>
</ds:datastoreItem>
</file>

<file path=customXml/itemProps2.xml><?xml version="1.0" encoding="utf-8"?>
<ds:datastoreItem xmlns:ds="http://schemas.openxmlformats.org/officeDocument/2006/customXml" ds:itemID="{844ECDBC-F761-455E-9AF1-79B378BAFEFA}"/>
</file>

<file path=customXml/itemProps3.xml><?xml version="1.0" encoding="utf-8"?>
<ds:datastoreItem xmlns:ds="http://schemas.openxmlformats.org/officeDocument/2006/customXml" ds:itemID="{352289E8-F9E2-4833-8282-A81C96085B1C}"/>
</file>

<file path=customXml/itemProps4.xml><?xml version="1.0" encoding="utf-8"?>
<ds:datastoreItem xmlns:ds="http://schemas.openxmlformats.org/officeDocument/2006/customXml" ds:itemID="{840458D3-B3C7-4B6D-8384-A61E55B55078}"/>
</file>

<file path=docProps/app.xml><?xml version="1.0" encoding="utf-8"?>
<Properties xmlns="http://schemas.openxmlformats.org/officeDocument/2006/extended-properties" xmlns:vt="http://schemas.openxmlformats.org/officeDocument/2006/docPropsVTypes">
  <Template>Vorlage Dokumente.dotx</Template>
  <TotalTime>0</TotalTime>
  <Pages>6</Pages>
  <Words>2249</Words>
  <Characters>12822</Characters>
  <Application>Microsoft Office Word</Application>
  <DocSecurity>4</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Ecchr</dc:creator>
  <cp:keywords/>
  <dc:description/>
  <cp:lastModifiedBy>SERIDJ Youcef</cp:lastModifiedBy>
  <cp:revision>2</cp:revision>
  <cp:lastPrinted>2010-08-05T13:41:00Z</cp:lastPrinted>
  <dcterms:created xsi:type="dcterms:W3CDTF">2020-02-27T17:30:00Z</dcterms:created>
  <dcterms:modified xsi:type="dcterms:W3CDTF">2020-02-27T17:30:00Z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