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7BA3" w14:textId="77777777" w:rsidR="00764B8E" w:rsidRDefault="00764B8E" w:rsidP="00764B8E">
      <w:pPr>
        <w:jc w:val="center"/>
        <w:rPr>
          <w:rFonts w:ascii="Gill Sans Infant Std" w:hAnsi="Gill Sans Infant Std"/>
          <w:b/>
          <w:sz w:val="28"/>
          <w:szCs w:val="28"/>
          <w:lang w:val="en-US"/>
        </w:rPr>
      </w:pPr>
    </w:p>
    <w:p w14:paraId="7D4DB9BE" w14:textId="4E9FA778" w:rsidR="00187911" w:rsidRPr="00187911" w:rsidRDefault="00BD4882" w:rsidP="00764B8E">
      <w:pPr>
        <w:jc w:val="center"/>
        <w:rPr>
          <w:rFonts w:ascii="Gill Sans Infant Std" w:hAnsi="Gill Sans Infant Std"/>
          <w:b/>
          <w:sz w:val="28"/>
          <w:szCs w:val="28"/>
          <w:lang w:val="en-US"/>
        </w:rPr>
      </w:pPr>
      <w:r>
        <w:rPr>
          <w:rFonts w:ascii="Gill Sans Infant Std" w:hAnsi="Gill Sans Infant Std"/>
          <w:b/>
          <w:sz w:val="28"/>
          <w:szCs w:val="28"/>
          <w:lang w:val="en-US"/>
        </w:rPr>
        <w:t xml:space="preserve">Supplementary info to the </w:t>
      </w:r>
      <w:r w:rsidR="00187911" w:rsidRPr="00187911">
        <w:rPr>
          <w:rFonts w:ascii="Gill Sans Infant Std" w:hAnsi="Gill Sans Infant Std"/>
          <w:b/>
          <w:sz w:val="28"/>
          <w:szCs w:val="28"/>
          <w:lang w:val="en-US"/>
        </w:rPr>
        <w:t>Sixth periodic report submitted by Norway under articles 16 and 17 of the Covenant</w:t>
      </w:r>
    </w:p>
    <w:p w14:paraId="6A44E993" w14:textId="77777777" w:rsidR="00187911" w:rsidRDefault="00187911" w:rsidP="00764B8E">
      <w:pPr>
        <w:jc w:val="center"/>
        <w:rPr>
          <w:rFonts w:ascii="Gill Sans Infant Std" w:hAnsi="Gill Sans Infant Std"/>
          <w:b/>
          <w:sz w:val="28"/>
          <w:szCs w:val="28"/>
          <w:lang w:val="en-US"/>
        </w:rPr>
      </w:pPr>
    </w:p>
    <w:p w14:paraId="3CFDD0C5" w14:textId="76471036" w:rsidR="00A942AB" w:rsidRPr="00BD4882" w:rsidRDefault="004735E6" w:rsidP="00764B8E">
      <w:pPr>
        <w:jc w:val="center"/>
        <w:rPr>
          <w:rFonts w:ascii="Gill Sans Infant Std" w:hAnsi="Gill Sans Infant Std"/>
          <w:b/>
          <w:sz w:val="24"/>
          <w:szCs w:val="24"/>
          <w:lang w:val="en-US"/>
        </w:rPr>
      </w:pPr>
      <w:r w:rsidRPr="00BD4882">
        <w:rPr>
          <w:rFonts w:ascii="Gill Sans Infant Std" w:hAnsi="Gill Sans Infant Std"/>
          <w:b/>
          <w:sz w:val="24"/>
          <w:szCs w:val="24"/>
          <w:lang w:val="en-US"/>
        </w:rPr>
        <w:t xml:space="preserve">Info </w:t>
      </w:r>
      <w:r w:rsidR="001E20D4" w:rsidRPr="00BD4882">
        <w:rPr>
          <w:rFonts w:ascii="Gill Sans Infant Std" w:hAnsi="Gill Sans Infant Std"/>
          <w:b/>
          <w:sz w:val="24"/>
          <w:szCs w:val="24"/>
          <w:lang w:val="en-US"/>
        </w:rPr>
        <w:t xml:space="preserve">from Save the Children Norway </w:t>
      </w:r>
      <w:r w:rsidRPr="00BD4882">
        <w:rPr>
          <w:rFonts w:ascii="Gill Sans Infant Std" w:hAnsi="Gill Sans Infant Std"/>
          <w:b/>
          <w:sz w:val="24"/>
          <w:szCs w:val="24"/>
          <w:lang w:val="en-US"/>
        </w:rPr>
        <w:t xml:space="preserve">on </w:t>
      </w:r>
      <w:r w:rsidR="003A7A20">
        <w:rPr>
          <w:rFonts w:ascii="Gill Sans Infant Std" w:hAnsi="Gill Sans Infant Std"/>
          <w:b/>
          <w:sz w:val="24"/>
          <w:szCs w:val="24"/>
          <w:lang w:val="en-US"/>
        </w:rPr>
        <w:t>three</w:t>
      </w:r>
      <w:r w:rsidRPr="00BD4882">
        <w:rPr>
          <w:rFonts w:ascii="Gill Sans Infant Std" w:hAnsi="Gill Sans Infant Std"/>
          <w:b/>
          <w:sz w:val="24"/>
          <w:szCs w:val="24"/>
          <w:lang w:val="en-US"/>
        </w:rPr>
        <w:t xml:space="preserve"> selected issues</w:t>
      </w:r>
    </w:p>
    <w:p w14:paraId="454752B1" w14:textId="5B56FADF" w:rsidR="00831704" w:rsidRDefault="00831704" w:rsidP="00A942AB">
      <w:pPr>
        <w:rPr>
          <w:rFonts w:ascii="Gill Sans Infant Std" w:hAnsi="Gill Sans Infant Std"/>
          <w:b/>
          <w:sz w:val="24"/>
          <w:szCs w:val="24"/>
          <w:lang w:val="en-US"/>
        </w:rPr>
      </w:pPr>
    </w:p>
    <w:p w14:paraId="32E32217" w14:textId="77777777" w:rsidR="00764B8E" w:rsidRPr="00831704" w:rsidRDefault="00764B8E" w:rsidP="00A942AB">
      <w:pPr>
        <w:rPr>
          <w:rFonts w:ascii="Gill Sans Infant Std" w:hAnsi="Gill Sans Infant Std"/>
          <w:b/>
          <w:sz w:val="24"/>
          <w:szCs w:val="24"/>
          <w:lang w:val="en-US"/>
        </w:rPr>
      </w:pPr>
    </w:p>
    <w:p w14:paraId="08F0525C" w14:textId="77777777" w:rsidR="00831704" w:rsidRPr="00831704" w:rsidRDefault="00831704" w:rsidP="00A942AB">
      <w:pPr>
        <w:rPr>
          <w:rFonts w:ascii="Gill Sans Infant Std" w:hAnsi="Gill Sans Infant Std"/>
          <w:b/>
          <w:sz w:val="24"/>
          <w:szCs w:val="24"/>
          <w:lang w:val="en-US"/>
        </w:rPr>
      </w:pPr>
    </w:p>
    <w:p w14:paraId="6141B773" w14:textId="3636B195" w:rsidR="00AB65CC" w:rsidRPr="00756EBF" w:rsidRDefault="00756EBF" w:rsidP="00A942AB">
      <w:pPr>
        <w:rPr>
          <w:rFonts w:ascii="Gill Sans Infant Std" w:hAnsi="Gill Sans Infant Std"/>
          <w:b/>
          <w:sz w:val="24"/>
          <w:szCs w:val="24"/>
          <w:lang w:val="en-US"/>
        </w:rPr>
      </w:pPr>
      <w:r w:rsidRPr="00756EBF">
        <w:rPr>
          <w:rFonts w:ascii="Gill Sans Infant Std" w:hAnsi="Gill Sans Infant Std"/>
          <w:b/>
          <w:sz w:val="24"/>
          <w:szCs w:val="24"/>
          <w:lang w:val="en-US"/>
        </w:rPr>
        <w:t xml:space="preserve">Children </w:t>
      </w:r>
      <w:r>
        <w:rPr>
          <w:rFonts w:ascii="Gill Sans Infant Std" w:hAnsi="Gill Sans Infant Std"/>
          <w:b/>
          <w:sz w:val="24"/>
          <w:szCs w:val="24"/>
          <w:lang w:val="en-US"/>
        </w:rPr>
        <w:t>gr</w:t>
      </w:r>
      <w:r w:rsidRPr="00756EBF">
        <w:rPr>
          <w:rFonts w:ascii="Gill Sans Infant Std" w:hAnsi="Gill Sans Infant Std"/>
          <w:b/>
          <w:sz w:val="24"/>
          <w:szCs w:val="24"/>
          <w:lang w:val="en-US"/>
        </w:rPr>
        <w:t>owing up in p</w:t>
      </w:r>
      <w:r>
        <w:rPr>
          <w:rFonts w:ascii="Gill Sans Infant Std" w:hAnsi="Gill Sans Infant Std"/>
          <w:b/>
          <w:sz w:val="24"/>
          <w:szCs w:val="24"/>
          <w:lang w:val="en-US"/>
        </w:rPr>
        <w:t>overty</w:t>
      </w:r>
    </w:p>
    <w:p w14:paraId="754D3CBB" w14:textId="2F1FB969" w:rsidR="00AB65CC" w:rsidRPr="00756EBF" w:rsidRDefault="00AB65CC" w:rsidP="00A942AB">
      <w:pPr>
        <w:rPr>
          <w:rFonts w:ascii="Gill Sans Infant Std" w:hAnsi="Gill Sans Infant Std"/>
          <w:lang w:val="en-US"/>
        </w:rPr>
      </w:pPr>
    </w:p>
    <w:p w14:paraId="6F18C523" w14:textId="429E3595" w:rsidR="00AB65CC" w:rsidRPr="00756EBF" w:rsidRDefault="00756EBF" w:rsidP="00A942AB">
      <w:pPr>
        <w:rPr>
          <w:rFonts w:ascii="Gill Sans Infant Std" w:hAnsi="Gill Sans Infant Std"/>
          <w:b/>
          <w:lang w:val="en-US"/>
        </w:rPr>
      </w:pPr>
      <w:r w:rsidRPr="00756EBF">
        <w:rPr>
          <w:rFonts w:ascii="Gill Sans Infant Std" w:hAnsi="Gill Sans Infant Std"/>
          <w:b/>
          <w:lang w:val="en-US"/>
        </w:rPr>
        <w:t>From</w:t>
      </w:r>
      <w:r w:rsidR="00AB65CC" w:rsidRPr="00756EBF">
        <w:rPr>
          <w:rFonts w:ascii="Gill Sans Infant Std" w:hAnsi="Gill Sans Infant Std"/>
          <w:b/>
          <w:lang w:val="en-US"/>
        </w:rPr>
        <w:t xml:space="preserve"> </w:t>
      </w:r>
      <w:r w:rsidR="006266C4">
        <w:rPr>
          <w:rFonts w:ascii="Gill Sans Infant Std" w:hAnsi="Gill Sans Infant Std"/>
          <w:b/>
          <w:lang w:val="en-US"/>
        </w:rPr>
        <w:t xml:space="preserve">the </w:t>
      </w:r>
      <w:r w:rsidR="00AB65CC" w:rsidRPr="00756EBF">
        <w:rPr>
          <w:rFonts w:ascii="Gill Sans Infant Std" w:hAnsi="Gill Sans Infant Std"/>
          <w:b/>
          <w:lang w:val="en-US"/>
        </w:rPr>
        <w:t>list of issues</w:t>
      </w:r>
      <w:r w:rsidR="008A72EE">
        <w:rPr>
          <w:rFonts w:ascii="Gill Sans Infant Std" w:hAnsi="Gill Sans Infant Std"/>
          <w:b/>
          <w:lang w:val="en-US"/>
        </w:rPr>
        <w:t xml:space="preserve"> paragraph 10 a</w:t>
      </w:r>
      <w:r w:rsidR="00AB65CC" w:rsidRPr="00756EBF">
        <w:rPr>
          <w:rFonts w:ascii="Gill Sans Infant Std" w:hAnsi="Gill Sans Infant Std"/>
          <w:b/>
          <w:lang w:val="en-US"/>
        </w:rPr>
        <w:t>:</w:t>
      </w:r>
    </w:p>
    <w:p w14:paraId="0F106867" w14:textId="77777777" w:rsidR="00B92059" w:rsidRPr="00C6159D" w:rsidRDefault="00B92059" w:rsidP="00B92059">
      <w:pPr>
        <w:pStyle w:val="SingleTxtG"/>
      </w:pPr>
      <w:r w:rsidRPr="00C6159D">
        <w:t>10.</w:t>
      </w:r>
      <w:r w:rsidRPr="00C6159D">
        <w:tab/>
        <w:t xml:space="preserve">Please provide information on the evolution over the past 10 years of: </w:t>
      </w:r>
    </w:p>
    <w:p w14:paraId="0381EFC5" w14:textId="77777777" w:rsidR="00B92059" w:rsidRPr="00C6159D" w:rsidRDefault="00B92059" w:rsidP="00B92059">
      <w:pPr>
        <w:pStyle w:val="SingleTxtG"/>
      </w:pPr>
      <w:r>
        <w:tab/>
      </w:r>
      <w:r w:rsidRPr="00C6159D">
        <w:t>(a)</w:t>
      </w:r>
      <w:r w:rsidRPr="00C6159D">
        <w:tab/>
        <w:t>The proportion of the population below the poverty line as defined at the national level and the levels of inequality</w:t>
      </w:r>
      <w:r>
        <w:t>,</w:t>
      </w:r>
      <w:r w:rsidRPr="00C6159D">
        <w:t xml:space="preserve"> defined as the ratio of the total income accruing to the richest decile of the population and the total income of the poorest 40 per cent</w:t>
      </w:r>
      <w:r>
        <w:t xml:space="preserve"> of the population;</w:t>
      </w:r>
    </w:p>
    <w:p w14:paraId="3DA55841" w14:textId="77777777" w:rsidR="005838DD" w:rsidRDefault="005838DD" w:rsidP="00A942AB">
      <w:pPr>
        <w:rPr>
          <w:lang w:val="en-GB"/>
        </w:rPr>
      </w:pPr>
    </w:p>
    <w:p w14:paraId="628E37B8" w14:textId="3B3B5293" w:rsidR="00AB65CC" w:rsidRPr="00F43595" w:rsidRDefault="00024A9B" w:rsidP="00A942AB">
      <w:pPr>
        <w:rPr>
          <w:rFonts w:ascii="Gill Sans Infant Std" w:hAnsi="Gill Sans Infant Std"/>
          <w:b/>
          <w:lang w:val="en-GB"/>
        </w:rPr>
      </w:pPr>
      <w:r>
        <w:rPr>
          <w:rFonts w:ascii="Gill Sans Infant Std" w:hAnsi="Gill Sans Infant Std"/>
          <w:b/>
          <w:lang w:val="en-GB"/>
        </w:rPr>
        <w:t>The State Party’s reply</w:t>
      </w:r>
      <w:r w:rsidR="008A72EE">
        <w:rPr>
          <w:rFonts w:ascii="Gill Sans Infant Std" w:hAnsi="Gill Sans Infant Std"/>
          <w:b/>
          <w:lang w:val="en-GB"/>
        </w:rPr>
        <w:t xml:space="preserve"> to paragraph 10 a</w:t>
      </w:r>
      <w:r w:rsidR="00756EBF">
        <w:rPr>
          <w:rFonts w:ascii="Gill Sans Infant Std" w:hAnsi="Gill Sans Infant Std"/>
          <w:b/>
          <w:lang w:val="en-GB"/>
        </w:rPr>
        <w:t>:</w:t>
      </w:r>
    </w:p>
    <w:p w14:paraId="22B7B543" w14:textId="7CB1A2B4" w:rsidR="00AB65CC" w:rsidRPr="008A72EE" w:rsidRDefault="00AB65CC" w:rsidP="00A942AB">
      <w:pPr>
        <w:rPr>
          <w:lang w:val="en-GB"/>
        </w:rPr>
      </w:pPr>
      <w:bookmarkStart w:id="1" w:name="_GoBack"/>
      <w:bookmarkEnd w:id="1"/>
    </w:p>
    <w:p w14:paraId="3DED4B19" w14:textId="77777777" w:rsidR="00F91E35" w:rsidRDefault="00F91E35" w:rsidP="00F91E35">
      <w:pPr>
        <w:pStyle w:val="SingleTxtG"/>
      </w:pPr>
      <w:r w:rsidRPr="00440646">
        <w:t>10.</w:t>
      </w:r>
      <w:r w:rsidRPr="00440646">
        <w:tab/>
        <w:t xml:space="preserve">(a) Norway does not have an official poverty line, but </w:t>
      </w:r>
      <w:r>
        <w:t xml:space="preserve">the </w:t>
      </w:r>
      <w:r w:rsidRPr="00440646">
        <w:t xml:space="preserve">EU definition </w:t>
      </w:r>
      <w:r>
        <w:t xml:space="preserve">of poverty </w:t>
      </w:r>
      <w:r w:rsidRPr="00440646">
        <w:t>is often applied when mapping out the extent of low income. According to the EU</w:t>
      </w:r>
      <w:r>
        <w:t xml:space="preserve"> At-risk-of-poverty indicator at the </w:t>
      </w:r>
      <w:r w:rsidRPr="00440646">
        <w:t xml:space="preserve">50 </w:t>
      </w:r>
      <w:r>
        <w:t>per cent threshold</w:t>
      </w:r>
      <w:r w:rsidRPr="00440646">
        <w:t xml:space="preserve">, incomes below 50 </w:t>
      </w:r>
      <w:r>
        <w:t>per cent</w:t>
      </w:r>
      <w:r w:rsidRPr="00440646">
        <w:t xml:space="preserve"> of median income are considered to fall below the </w:t>
      </w:r>
      <w:proofErr w:type="gramStart"/>
      <w:r w:rsidRPr="00440646">
        <w:t>low income</w:t>
      </w:r>
      <w:proofErr w:type="gramEnd"/>
      <w:r w:rsidRPr="00440646">
        <w:t xml:space="preserve"> line. Likewise</w:t>
      </w:r>
      <w:r>
        <w:t>,</w:t>
      </w:r>
      <w:r w:rsidRPr="00440646">
        <w:t xml:space="preserve"> the</w:t>
      </w:r>
      <w:r>
        <w:t xml:space="preserve"> </w:t>
      </w:r>
      <w:r w:rsidRPr="00440646">
        <w:t xml:space="preserve">60 </w:t>
      </w:r>
      <w:r>
        <w:t>per cent threshold</w:t>
      </w:r>
      <w:r w:rsidRPr="00440646">
        <w:t xml:space="preserve"> considers incomes below 60 </w:t>
      </w:r>
      <w:r>
        <w:t>per cent</w:t>
      </w:r>
      <w:r w:rsidRPr="00440646">
        <w:t xml:space="preserve"> of median income to fall below the </w:t>
      </w:r>
      <w:proofErr w:type="gramStart"/>
      <w:r w:rsidRPr="00440646">
        <w:t>low income</w:t>
      </w:r>
      <w:proofErr w:type="gramEnd"/>
      <w:r w:rsidRPr="00440646">
        <w:t xml:space="preserve"> line. </w:t>
      </w:r>
    </w:p>
    <w:p w14:paraId="5366CD5B" w14:textId="77777777" w:rsidR="00F91E35" w:rsidRPr="00440646" w:rsidRDefault="00F91E35" w:rsidP="00F91E35">
      <w:pPr>
        <w:pStyle w:val="SingleTxtG"/>
      </w:pPr>
      <w:r w:rsidRPr="00440646">
        <w:rPr>
          <w:rFonts w:ascii="Calibri" w:hAnsi="Calibri" w:cs="Calibri"/>
          <w:b/>
          <w:bCs/>
          <w:color w:val="000000"/>
          <w:sz w:val="22"/>
          <w:szCs w:val="22"/>
          <w:lang w:eastAsia="nb-NO"/>
        </w:rPr>
        <w:t>People in households with yearly income after taxes per consumption unit below 50 and 60 pct. of median income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nb-NO"/>
        </w:rPr>
        <w:t xml:space="preserve"> in</w:t>
      </w:r>
      <w:r w:rsidRPr="00440646">
        <w:rPr>
          <w:rFonts w:ascii="Calibri" w:hAnsi="Calibri" w:cs="Calibri"/>
          <w:b/>
          <w:bCs/>
          <w:color w:val="000000"/>
          <w:sz w:val="22"/>
          <w:szCs w:val="22"/>
          <w:lang w:eastAsia="nb-NO"/>
        </w:rPr>
        <w:t xml:space="preserve"> 2007-2017</w:t>
      </w:r>
      <w:r w:rsidRPr="00440646">
        <w:rPr>
          <w:rStyle w:val="Fotnotereferanse"/>
          <w:rFonts w:cs="Calibri"/>
          <w:b/>
          <w:bCs/>
          <w:color w:val="000000"/>
          <w:szCs w:val="22"/>
          <w:lang w:eastAsia="nb-NO"/>
        </w:rPr>
        <w:footnoteReference w:id="2"/>
      </w:r>
      <w:r w:rsidRPr="00440646">
        <w:rPr>
          <w:rFonts w:ascii="Calibri" w:hAnsi="Calibri" w:cs="Calibri"/>
          <w:b/>
          <w:bCs/>
          <w:color w:val="000000"/>
          <w:sz w:val="22"/>
          <w:szCs w:val="22"/>
          <w:lang w:eastAsia="nb-NO"/>
        </w:rPr>
        <w:t xml:space="preserve">.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nb-NO"/>
        </w:rPr>
        <w:t>In</w:t>
      </w:r>
      <w:r w:rsidRPr="00440646">
        <w:rPr>
          <w:rFonts w:ascii="Calibri" w:hAnsi="Calibri" w:cs="Calibri"/>
          <w:b/>
          <w:bCs/>
          <w:color w:val="000000"/>
          <w:sz w:val="22"/>
          <w:szCs w:val="22"/>
          <w:lang w:eastAsia="nb-NO"/>
        </w:rPr>
        <w:t xml:space="preserve"> pct.</w:t>
      </w:r>
    </w:p>
    <w:tbl>
      <w:tblPr>
        <w:tblW w:w="3922" w:type="pct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F91E35" w:rsidRPr="00E21125" w14:paraId="6E11572B" w14:textId="77777777" w:rsidTr="00AC422F">
        <w:trPr>
          <w:trHeight w:val="288"/>
        </w:trPr>
        <w:tc>
          <w:tcPr>
            <w:tcW w:w="1071" w:type="pct"/>
            <w:shd w:val="clear" w:color="auto" w:fill="auto"/>
            <w:noWrap/>
            <w:vAlign w:val="bottom"/>
            <w:hideMark/>
          </w:tcPr>
          <w:p w14:paraId="29E0FCA5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48FE97" w14:textId="77777777" w:rsidR="00F91E35" w:rsidRPr="00E21125" w:rsidRDefault="00F91E35" w:rsidP="00AC42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bCs/>
                <w:color w:val="000000"/>
                <w:sz w:val="18"/>
                <w:szCs w:val="18"/>
                <w:lang w:eastAsia="nb-NO"/>
              </w:rPr>
              <w:t>2007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065BA6A0" w14:textId="77777777" w:rsidR="00F91E35" w:rsidRPr="00E21125" w:rsidRDefault="00F91E35" w:rsidP="00AC42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bCs/>
                <w:color w:val="000000"/>
                <w:sz w:val="18"/>
                <w:szCs w:val="18"/>
                <w:lang w:eastAsia="nb-NO"/>
              </w:rPr>
              <w:t>2008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0513EB58" w14:textId="77777777" w:rsidR="00F91E35" w:rsidRPr="00E21125" w:rsidRDefault="00F91E35" w:rsidP="00AC42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bCs/>
                <w:color w:val="000000"/>
                <w:sz w:val="18"/>
                <w:szCs w:val="18"/>
                <w:lang w:eastAsia="nb-NO"/>
              </w:rPr>
              <w:t>2009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683850AE" w14:textId="77777777" w:rsidR="00F91E35" w:rsidRPr="00E21125" w:rsidRDefault="00F91E35" w:rsidP="00AC42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bCs/>
                <w:color w:val="000000"/>
                <w:sz w:val="18"/>
                <w:szCs w:val="18"/>
                <w:lang w:eastAsia="nb-NO"/>
              </w:rPr>
              <w:t>2010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537C0883" w14:textId="77777777" w:rsidR="00F91E35" w:rsidRPr="00E21125" w:rsidRDefault="00F91E35" w:rsidP="00AC42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bCs/>
                <w:color w:val="000000"/>
                <w:sz w:val="18"/>
                <w:szCs w:val="18"/>
                <w:lang w:eastAsia="nb-NO"/>
              </w:rPr>
              <w:t>2011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585F799B" w14:textId="77777777" w:rsidR="00F91E35" w:rsidRPr="00E21125" w:rsidRDefault="00F91E35" w:rsidP="00AC42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bCs/>
                <w:color w:val="000000"/>
                <w:sz w:val="18"/>
                <w:szCs w:val="18"/>
                <w:lang w:eastAsia="nb-NO"/>
              </w:rPr>
              <w:t>2012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61C91E5A" w14:textId="77777777" w:rsidR="00F91E35" w:rsidRPr="00E21125" w:rsidRDefault="00F91E35" w:rsidP="00AC42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bCs/>
                <w:color w:val="000000"/>
                <w:sz w:val="18"/>
                <w:szCs w:val="18"/>
                <w:lang w:eastAsia="nb-NO"/>
              </w:rPr>
              <w:t>2013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7B9E43E0" w14:textId="77777777" w:rsidR="00F91E35" w:rsidRPr="00E21125" w:rsidRDefault="00F91E35" w:rsidP="00AC42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bCs/>
                <w:color w:val="000000"/>
                <w:sz w:val="18"/>
                <w:szCs w:val="18"/>
                <w:lang w:eastAsia="nb-NO"/>
              </w:rPr>
              <w:t>2014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019ED8C6" w14:textId="77777777" w:rsidR="00F91E35" w:rsidRPr="00E21125" w:rsidRDefault="00F91E35" w:rsidP="00AC42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bCs/>
                <w:color w:val="000000"/>
                <w:sz w:val="18"/>
                <w:szCs w:val="18"/>
                <w:lang w:eastAsia="nb-NO"/>
              </w:rPr>
              <w:t>2015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45EEC2BA" w14:textId="77777777" w:rsidR="00F91E35" w:rsidRPr="00E21125" w:rsidRDefault="00F91E35" w:rsidP="00AC42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bCs/>
                <w:color w:val="000000"/>
                <w:sz w:val="18"/>
                <w:szCs w:val="18"/>
                <w:lang w:eastAsia="nb-NO"/>
              </w:rPr>
              <w:t>2016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73B12625" w14:textId="77777777" w:rsidR="00F91E35" w:rsidRPr="00E21125" w:rsidRDefault="00F91E35" w:rsidP="00AC42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bCs/>
                <w:color w:val="000000"/>
                <w:sz w:val="18"/>
                <w:szCs w:val="18"/>
                <w:lang w:eastAsia="nb-NO"/>
              </w:rPr>
              <w:t>2017</w:t>
            </w:r>
          </w:p>
        </w:tc>
      </w:tr>
      <w:tr w:rsidR="00F91E35" w:rsidRPr="00E21125" w14:paraId="0E4C7B2C" w14:textId="77777777" w:rsidTr="00AC422F">
        <w:trPr>
          <w:trHeight w:val="288"/>
        </w:trPr>
        <w:tc>
          <w:tcPr>
            <w:tcW w:w="1071" w:type="pct"/>
            <w:shd w:val="clear" w:color="auto" w:fill="auto"/>
            <w:noWrap/>
            <w:vAlign w:val="bottom"/>
            <w:hideMark/>
          </w:tcPr>
          <w:p w14:paraId="2A4A0508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EU </w:t>
            </w:r>
            <w:proofErr w:type="spellStart"/>
            <w:r w:rsidRPr="00E21125">
              <w:rPr>
                <w:color w:val="000000"/>
                <w:sz w:val="18"/>
                <w:szCs w:val="18"/>
                <w:lang w:eastAsia="nb-NO"/>
              </w:rPr>
              <w:t>scale</w:t>
            </w:r>
            <w:proofErr w:type="spellEnd"/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 50 per cent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AFD9D9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5.1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194540C9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5.2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10D328AD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4.7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0FCC3D88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4.6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2961453A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4.7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13A98C1A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4.9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6A70869A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5.2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79E8B4E2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5.4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6F70345D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5.5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3E95D423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5.5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14F82267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5.6</w:t>
            </w:r>
          </w:p>
        </w:tc>
      </w:tr>
      <w:tr w:rsidR="00F91E35" w:rsidRPr="00E21125" w14:paraId="7D747350" w14:textId="77777777" w:rsidTr="00AC422F">
        <w:trPr>
          <w:trHeight w:val="288"/>
        </w:trPr>
        <w:tc>
          <w:tcPr>
            <w:tcW w:w="1071" w:type="pct"/>
            <w:shd w:val="clear" w:color="auto" w:fill="auto"/>
            <w:noWrap/>
            <w:vAlign w:val="bottom"/>
            <w:hideMark/>
          </w:tcPr>
          <w:p w14:paraId="271E11D7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EU </w:t>
            </w:r>
            <w:proofErr w:type="spellStart"/>
            <w:r w:rsidRPr="00E21125">
              <w:rPr>
                <w:color w:val="000000"/>
                <w:sz w:val="18"/>
                <w:szCs w:val="18"/>
                <w:lang w:eastAsia="nb-NO"/>
              </w:rPr>
              <w:t>scale</w:t>
            </w:r>
            <w:proofErr w:type="spellEnd"/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 60 per cent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9F2A30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40225F69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10.2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01B30F2C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9.5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4D59BE29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9.4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06E10710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9.6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01D8A4F7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10.1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6F3D5B63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10.5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1FE7E5FF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10.8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1E6F29F3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10.9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29A91F9A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11.0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582E25FE" w14:textId="77777777" w:rsidR="00F91E35" w:rsidRPr="00E21125" w:rsidRDefault="00F91E35" w:rsidP="00AC422F">
            <w:pPr>
              <w:jc w:val="right"/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>11.2</w:t>
            </w:r>
          </w:p>
        </w:tc>
      </w:tr>
    </w:tbl>
    <w:p w14:paraId="7778AF6F" w14:textId="77777777" w:rsidR="00F91E35" w:rsidRPr="00440646" w:rsidRDefault="00F91E35" w:rsidP="00F91E35">
      <w:pPr>
        <w:pStyle w:val="SingleTxtG"/>
        <w:rPr>
          <w:sz w:val="16"/>
          <w:szCs w:val="16"/>
        </w:rPr>
      </w:pPr>
      <w:r w:rsidRPr="00440646">
        <w:rPr>
          <w:sz w:val="16"/>
          <w:szCs w:val="16"/>
        </w:rPr>
        <w:t>Source: Statistics Norway</w:t>
      </w:r>
    </w:p>
    <w:p w14:paraId="6BEF1A66" w14:textId="77777777" w:rsidR="00F91E35" w:rsidRPr="00440646" w:rsidRDefault="00F91E35" w:rsidP="00F91E35">
      <w:pPr>
        <w:pStyle w:val="SingleTxtG"/>
      </w:pPr>
    </w:p>
    <w:p w14:paraId="4ED4BC9B" w14:textId="77777777" w:rsidR="00F91E35" w:rsidRDefault="00F91E35" w:rsidP="00F91E35">
      <w:pPr>
        <w:pStyle w:val="SingleTxtG"/>
        <w:ind w:right="992"/>
      </w:pPr>
      <w:r w:rsidRPr="00440646">
        <w:t xml:space="preserve">The table below shows the total income (the sum of labour income, capital income, taxable and tax-free transfers in a year) that accrues to the </w:t>
      </w:r>
      <w:r w:rsidRPr="00C11D31">
        <w:t>tenth</w:t>
      </w:r>
      <w:r w:rsidRPr="00440646">
        <w:t xml:space="preserve"> income decile and the poorest 40 pct. </w:t>
      </w:r>
      <w:r>
        <w:t>of</w:t>
      </w:r>
      <w:r w:rsidRPr="00440646">
        <w:t xml:space="preserve"> the population</w:t>
      </w:r>
      <w:r>
        <w:t>, respectively</w:t>
      </w:r>
      <w:r w:rsidRPr="00440646">
        <w:t>.</w:t>
      </w:r>
    </w:p>
    <w:p w14:paraId="52546265" w14:textId="77777777" w:rsidR="00F91E35" w:rsidRPr="00440646" w:rsidRDefault="00F91E35" w:rsidP="00F91E35">
      <w:pPr>
        <w:pStyle w:val="SingleTxtG"/>
      </w:pPr>
    </w:p>
    <w:p w14:paraId="0A4F9F9A" w14:textId="77777777" w:rsidR="00F91E35" w:rsidRPr="00440646" w:rsidRDefault="00F91E35" w:rsidP="00F91E35">
      <w:pPr>
        <w:pStyle w:val="SingleTxtG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</w:pPr>
      <w:r w:rsidRPr="0044064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>Share of total income accruing income decile 1-4 and income decile 10, residents 17 years and above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 xml:space="preserve"> in</w:t>
      </w:r>
      <w:r w:rsidRPr="0044064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 xml:space="preserve"> 2007-2017.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>In p</w:t>
      </w:r>
      <w:r w:rsidRPr="0044064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>ct.</w:t>
      </w:r>
    </w:p>
    <w:tbl>
      <w:tblPr>
        <w:tblW w:w="756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605"/>
        <w:gridCol w:w="605"/>
        <w:gridCol w:w="606"/>
        <w:gridCol w:w="605"/>
        <w:gridCol w:w="606"/>
        <w:gridCol w:w="605"/>
        <w:gridCol w:w="606"/>
        <w:gridCol w:w="605"/>
        <w:gridCol w:w="606"/>
        <w:gridCol w:w="605"/>
        <w:gridCol w:w="606"/>
      </w:tblGrid>
      <w:tr w:rsidR="00F91E35" w:rsidRPr="00E21125" w14:paraId="0CFE3BB5" w14:textId="77777777" w:rsidTr="00AC422F">
        <w:trPr>
          <w:trHeight w:val="12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AA816E" w14:textId="77777777" w:rsidR="00F91E35" w:rsidRPr="00E21125" w:rsidRDefault="00F91E35" w:rsidP="00AC422F">
            <w:pPr>
              <w:rPr>
                <w:b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734326D" w14:textId="77777777" w:rsidR="00F91E35" w:rsidRPr="00E21125" w:rsidRDefault="00F91E35" w:rsidP="00AC422F">
            <w:pPr>
              <w:jc w:val="right"/>
              <w:rPr>
                <w:b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color w:val="000000"/>
                <w:sz w:val="18"/>
                <w:szCs w:val="18"/>
                <w:lang w:eastAsia="nb-NO"/>
              </w:rPr>
              <w:t>2007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7F54CB" w14:textId="77777777" w:rsidR="00F91E35" w:rsidRPr="00E21125" w:rsidRDefault="00F91E35" w:rsidP="00AC422F">
            <w:pPr>
              <w:jc w:val="right"/>
              <w:rPr>
                <w:b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color w:val="000000"/>
                <w:sz w:val="18"/>
                <w:szCs w:val="18"/>
                <w:lang w:eastAsia="nb-NO"/>
              </w:rPr>
              <w:t>2008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7E4B762" w14:textId="77777777" w:rsidR="00F91E35" w:rsidRPr="00E21125" w:rsidRDefault="00F91E35" w:rsidP="00AC422F">
            <w:pPr>
              <w:jc w:val="right"/>
              <w:rPr>
                <w:b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color w:val="000000"/>
                <w:sz w:val="18"/>
                <w:szCs w:val="18"/>
                <w:lang w:eastAsia="nb-NO"/>
              </w:rPr>
              <w:t>2009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C5BD096" w14:textId="77777777" w:rsidR="00F91E35" w:rsidRPr="00E21125" w:rsidRDefault="00F91E35" w:rsidP="00AC422F">
            <w:pPr>
              <w:jc w:val="right"/>
              <w:rPr>
                <w:b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color w:val="000000"/>
                <w:sz w:val="18"/>
                <w:szCs w:val="18"/>
                <w:lang w:eastAsia="nb-NO"/>
              </w:rPr>
              <w:t>2010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195E0E38" w14:textId="77777777" w:rsidR="00F91E35" w:rsidRPr="00E21125" w:rsidRDefault="00F91E35" w:rsidP="00AC422F">
            <w:pPr>
              <w:jc w:val="right"/>
              <w:rPr>
                <w:b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color w:val="000000"/>
                <w:sz w:val="18"/>
                <w:szCs w:val="18"/>
                <w:lang w:eastAsia="nb-NO"/>
              </w:rPr>
              <w:t>2011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8543A68" w14:textId="77777777" w:rsidR="00F91E35" w:rsidRPr="00E21125" w:rsidRDefault="00F91E35" w:rsidP="00AC422F">
            <w:pPr>
              <w:jc w:val="right"/>
              <w:rPr>
                <w:b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color w:val="000000"/>
                <w:sz w:val="18"/>
                <w:szCs w:val="18"/>
                <w:lang w:eastAsia="nb-NO"/>
              </w:rPr>
              <w:t>2012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2518D3B" w14:textId="77777777" w:rsidR="00F91E35" w:rsidRPr="00E21125" w:rsidRDefault="00F91E35" w:rsidP="00AC422F">
            <w:pPr>
              <w:jc w:val="right"/>
              <w:rPr>
                <w:b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color w:val="000000"/>
                <w:sz w:val="18"/>
                <w:szCs w:val="18"/>
                <w:lang w:eastAsia="nb-NO"/>
              </w:rPr>
              <w:t>2013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DA40E63" w14:textId="77777777" w:rsidR="00F91E35" w:rsidRPr="00E21125" w:rsidRDefault="00F91E35" w:rsidP="00AC422F">
            <w:pPr>
              <w:jc w:val="right"/>
              <w:rPr>
                <w:b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color w:val="000000"/>
                <w:sz w:val="18"/>
                <w:szCs w:val="18"/>
                <w:lang w:eastAsia="nb-NO"/>
              </w:rPr>
              <w:t>2014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49C8D2C4" w14:textId="77777777" w:rsidR="00F91E35" w:rsidRPr="00E21125" w:rsidRDefault="00F91E35" w:rsidP="00AC422F">
            <w:pPr>
              <w:jc w:val="right"/>
              <w:rPr>
                <w:b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color w:val="000000"/>
                <w:sz w:val="18"/>
                <w:szCs w:val="18"/>
                <w:lang w:eastAsia="nb-NO"/>
              </w:rPr>
              <w:t>2015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84A8B23" w14:textId="77777777" w:rsidR="00F91E35" w:rsidRPr="00E21125" w:rsidRDefault="00F91E35" w:rsidP="00AC422F">
            <w:pPr>
              <w:jc w:val="right"/>
              <w:rPr>
                <w:b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color w:val="000000"/>
                <w:sz w:val="18"/>
                <w:szCs w:val="18"/>
                <w:lang w:eastAsia="nb-NO"/>
              </w:rPr>
              <w:t>2016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1EC880B4" w14:textId="77777777" w:rsidR="00F91E35" w:rsidRPr="00E21125" w:rsidRDefault="00F91E35" w:rsidP="00AC422F">
            <w:pPr>
              <w:jc w:val="right"/>
              <w:rPr>
                <w:b/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b/>
                <w:color w:val="000000"/>
                <w:sz w:val="18"/>
                <w:szCs w:val="18"/>
                <w:lang w:eastAsia="nb-NO"/>
              </w:rPr>
              <w:t>2017</w:t>
            </w:r>
          </w:p>
        </w:tc>
      </w:tr>
      <w:tr w:rsidR="00F91E35" w:rsidRPr="00E21125" w14:paraId="257FED84" w14:textId="77777777" w:rsidTr="00AC422F">
        <w:trPr>
          <w:trHeight w:val="119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4538B8" w14:textId="77777777" w:rsidR="00F91E35" w:rsidRPr="00E21125" w:rsidRDefault="00F91E35" w:rsidP="00AC422F">
            <w:pPr>
              <w:rPr>
                <w:sz w:val="18"/>
                <w:szCs w:val="18"/>
                <w:lang w:eastAsia="nb-NO"/>
              </w:rPr>
            </w:pPr>
            <w:proofErr w:type="spellStart"/>
            <w:r w:rsidRPr="00E21125">
              <w:rPr>
                <w:sz w:val="18"/>
                <w:szCs w:val="18"/>
                <w:lang w:eastAsia="nb-NO"/>
              </w:rPr>
              <w:t>Decile</w:t>
            </w:r>
            <w:proofErr w:type="spellEnd"/>
            <w:r w:rsidRPr="00E21125">
              <w:rPr>
                <w:sz w:val="18"/>
                <w:szCs w:val="18"/>
                <w:lang w:eastAsia="nb-NO"/>
              </w:rPr>
              <w:t xml:space="preserve"> 1-4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A9D9388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16.45 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A319416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16.40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7B0AD4FF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16.71 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99A4600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16.55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5E7C6882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16.46 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5C21C64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16.35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2C80802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16.19 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EE83335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16.02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1D01431C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15.87 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54784E41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16.14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65EFF96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16.22 </w:t>
            </w:r>
          </w:p>
        </w:tc>
      </w:tr>
      <w:tr w:rsidR="00F91E35" w:rsidRPr="00E21125" w14:paraId="411F7AE1" w14:textId="77777777" w:rsidTr="00AC422F">
        <w:trPr>
          <w:trHeight w:val="119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C7BA7E" w14:textId="77777777" w:rsidR="00F91E35" w:rsidRPr="00E21125" w:rsidRDefault="00F91E35" w:rsidP="00AC422F">
            <w:pPr>
              <w:rPr>
                <w:sz w:val="18"/>
                <w:szCs w:val="18"/>
                <w:lang w:eastAsia="nb-NO"/>
              </w:rPr>
            </w:pPr>
            <w:proofErr w:type="spellStart"/>
            <w:r w:rsidRPr="00E21125">
              <w:rPr>
                <w:sz w:val="18"/>
                <w:szCs w:val="18"/>
                <w:lang w:eastAsia="nb-NO"/>
              </w:rPr>
              <w:t>Decile</w:t>
            </w:r>
            <w:proofErr w:type="spellEnd"/>
            <w:r w:rsidRPr="00E21125">
              <w:rPr>
                <w:sz w:val="18"/>
                <w:szCs w:val="18"/>
                <w:lang w:eastAsia="nb-NO"/>
              </w:rPr>
              <w:t xml:space="preserve"> 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44A4FF0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28.27 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1E96DB3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27.80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32238C1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27.09 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2E81DF4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27.60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DD1EB51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27.72 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93D3574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27.74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4C38715E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27.89 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C61EEE7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28.24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4416DFE5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29.65 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C983513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28.48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3638EE6C" w14:textId="77777777" w:rsidR="00F91E35" w:rsidRPr="00E21125" w:rsidRDefault="00F91E35" w:rsidP="00AC422F">
            <w:pPr>
              <w:rPr>
                <w:color w:val="000000"/>
                <w:sz w:val="18"/>
                <w:szCs w:val="18"/>
                <w:lang w:eastAsia="nb-NO"/>
              </w:rPr>
            </w:pPr>
            <w:r w:rsidRPr="00E21125">
              <w:rPr>
                <w:color w:val="000000"/>
                <w:sz w:val="18"/>
                <w:szCs w:val="18"/>
                <w:lang w:eastAsia="nb-NO"/>
              </w:rPr>
              <w:t xml:space="preserve">28.47 </w:t>
            </w:r>
          </w:p>
        </w:tc>
      </w:tr>
    </w:tbl>
    <w:p w14:paraId="6FB9D4D0" w14:textId="77777777" w:rsidR="00F91E35" w:rsidRPr="00440646" w:rsidRDefault="00F91E35" w:rsidP="00F91E35">
      <w:pPr>
        <w:pStyle w:val="SingleTxtG"/>
        <w:rPr>
          <w:sz w:val="16"/>
          <w:szCs w:val="16"/>
        </w:rPr>
      </w:pPr>
      <w:r w:rsidRPr="00440646">
        <w:rPr>
          <w:sz w:val="16"/>
          <w:szCs w:val="16"/>
        </w:rPr>
        <w:t>Source: Statistics Norway</w:t>
      </w:r>
    </w:p>
    <w:p w14:paraId="47262FEA" w14:textId="77777777" w:rsidR="00F91E35" w:rsidRPr="00440646" w:rsidRDefault="00F91E35" w:rsidP="00F91E35">
      <w:pPr>
        <w:pStyle w:val="SingleTxtG"/>
      </w:pPr>
    </w:p>
    <w:p w14:paraId="1F0903B2" w14:textId="77777777" w:rsidR="00F91E35" w:rsidRPr="00440646" w:rsidRDefault="00F91E35" w:rsidP="00F91E35">
      <w:pPr>
        <w:pStyle w:val="SingleTxtG"/>
        <w:ind w:right="992"/>
      </w:pPr>
      <w:r w:rsidRPr="00440646">
        <w:t>The proportion of the population (students are excluded) living in households with persistently low income, defined by an average income over a three</w:t>
      </w:r>
      <w:r>
        <w:t>-</w:t>
      </w:r>
      <w:r w:rsidRPr="00440646">
        <w:t xml:space="preserve">year period that is below 60 </w:t>
      </w:r>
      <w:r>
        <w:t>per cent</w:t>
      </w:r>
      <w:r w:rsidRPr="00440646">
        <w:t xml:space="preserve"> of the median income according to the EU equivalence scale has slightly augmented </w:t>
      </w:r>
      <w:r>
        <w:t xml:space="preserve">over </w:t>
      </w:r>
      <w:r w:rsidRPr="00440646">
        <w:t>the last ten years:</w:t>
      </w:r>
    </w:p>
    <w:p w14:paraId="37DF756B" w14:textId="77777777" w:rsidR="00F91E35" w:rsidRPr="00440646" w:rsidRDefault="00F91E35" w:rsidP="00F91E35">
      <w:pPr>
        <w:pStyle w:val="SingleTxtG"/>
        <w:ind w:left="0"/>
      </w:pPr>
    </w:p>
    <w:tbl>
      <w:tblPr>
        <w:tblStyle w:val="Tabellrutenett"/>
        <w:tblW w:w="0" w:type="auto"/>
        <w:tblInd w:w="1129" w:type="dxa"/>
        <w:tblLook w:val="04A0" w:firstRow="1" w:lastRow="0" w:firstColumn="1" w:lastColumn="0" w:noHBand="0" w:noVBand="1"/>
      </w:tblPr>
      <w:tblGrid>
        <w:gridCol w:w="3402"/>
        <w:gridCol w:w="4104"/>
      </w:tblGrid>
      <w:tr w:rsidR="00F91E35" w:rsidRPr="00E21125" w14:paraId="196F7AA4" w14:textId="77777777" w:rsidTr="00AC422F">
        <w:tc>
          <w:tcPr>
            <w:tcW w:w="3402" w:type="dxa"/>
          </w:tcPr>
          <w:p w14:paraId="12A854BA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b/>
                <w:sz w:val="18"/>
                <w:szCs w:val="18"/>
              </w:rPr>
              <w:t>Period</w:t>
            </w:r>
          </w:p>
        </w:tc>
        <w:tc>
          <w:tcPr>
            <w:tcW w:w="4104" w:type="dxa"/>
          </w:tcPr>
          <w:p w14:paraId="5EC728A7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b/>
                <w:sz w:val="18"/>
                <w:szCs w:val="18"/>
              </w:rPr>
              <w:t>Proportion of the population (%)</w:t>
            </w:r>
          </w:p>
        </w:tc>
      </w:tr>
      <w:tr w:rsidR="00F91E35" w:rsidRPr="00E21125" w14:paraId="3849A736" w14:textId="77777777" w:rsidTr="00AC422F">
        <w:tc>
          <w:tcPr>
            <w:tcW w:w="3402" w:type="dxa"/>
          </w:tcPr>
          <w:p w14:paraId="64C0B59A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2015-2017</w:t>
            </w:r>
          </w:p>
        </w:tc>
        <w:tc>
          <w:tcPr>
            <w:tcW w:w="4104" w:type="dxa"/>
          </w:tcPr>
          <w:p w14:paraId="5003AE7C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</w:tr>
      <w:tr w:rsidR="00F91E35" w:rsidRPr="00E21125" w14:paraId="69C58251" w14:textId="77777777" w:rsidTr="00AC422F">
        <w:tc>
          <w:tcPr>
            <w:tcW w:w="3402" w:type="dxa"/>
          </w:tcPr>
          <w:p w14:paraId="7CA08620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2014-2016</w:t>
            </w:r>
          </w:p>
        </w:tc>
        <w:tc>
          <w:tcPr>
            <w:tcW w:w="4104" w:type="dxa"/>
          </w:tcPr>
          <w:p w14:paraId="35466CB7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9.4</w:t>
            </w:r>
          </w:p>
        </w:tc>
      </w:tr>
      <w:tr w:rsidR="00F91E35" w:rsidRPr="00E21125" w14:paraId="766ED733" w14:textId="77777777" w:rsidTr="00AC422F">
        <w:tc>
          <w:tcPr>
            <w:tcW w:w="3402" w:type="dxa"/>
          </w:tcPr>
          <w:p w14:paraId="59255576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2013-2015</w:t>
            </w:r>
          </w:p>
        </w:tc>
        <w:tc>
          <w:tcPr>
            <w:tcW w:w="4104" w:type="dxa"/>
          </w:tcPr>
          <w:p w14:paraId="084C6943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9.3</w:t>
            </w:r>
          </w:p>
        </w:tc>
      </w:tr>
      <w:tr w:rsidR="00F91E35" w:rsidRPr="00E21125" w14:paraId="069C4221" w14:textId="77777777" w:rsidTr="00AC422F">
        <w:tc>
          <w:tcPr>
            <w:tcW w:w="3402" w:type="dxa"/>
          </w:tcPr>
          <w:p w14:paraId="1542B1A5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2012-2014</w:t>
            </w:r>
          </w:p>
        </w:tc>
        <w:tc>
          <w:tcPr>
            <w:tcW w:w="4104" w:type="dxa"/>
          </w:tcPr>
          <w:p w14:paraId="3AA5D2FF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9.0</w:t>
            </w:r>
          </w:p>
        </w:tc>
      </w:tr>
      <w:tr w:rsidR="00F91E35" w:rsidRPr="00E21125" w14:paraId="38967E16" w14:textId="77777777" w:rsidTr="00AC422F">
        <w:tc>
          <w:tcPr>
            <w:tcW w:w="3402" w:type="dxa"/>
          </w:tcPr>
          <w:p w14:paraId="33A19606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2011-2013</w:t>
            </w:r>
          </w:p>
        </w:tc>
        <w:tc>
          <w:tcPr>
            <w:tcW w:w="4104" w:type="dxa"/>
          </w:tcPr>
          <w:p w14:paraId="59053A32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8.6</w:t>
            </w:r>
          </w:p>
        </w:tc>
      </w:tr>
      <w:tr w:rsidR="00F91E35" w:rsidRPr="00E21125" w14:paraId="52A50BF6" w14:textId="77777777" w:rsidTr="00AC422F">
        <w:tc>
          <w:tcPr>
            <w:tcW w:w="3402" w:type="dxa"/>
          </w:tcPr>
          <w:p w14:paraId="006FD761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2010-2012</w:t>
            </w:r>
          </w:p>
        </w:tc>
        <w:tc>
          <w:tcPr>
            <w:tcW w:w="4104" w:type="dxa"/>
          </w:tcPr>
          <w:p w14:paraId="5DA65F5B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</w:tr>
      <w:tr w:rsidR="00F91E35" w:rsidRPr="00E21125" w14:paraId="08F7A503" w14:textId="77777777" w:rsidTr="00AC422F">
        <w:tc>
          <w:tcPr>
            <w:tcW w:w="3402" w:type="dxa"/>
          </w:tcPr>
          <w:p w14:paraId="20C8C2DF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2009-2011</w:t>
            </w:r>
          </w:p>
        </w:tc>
        <w:tc>
          <w:tcPr>
            <w:tcW w:w="4104" w:type="dxa"/>
          </w:tcPr>
          <w:p w14:paraId="50E8AB12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7.7</w:t>
            </w:r>
          </w:p>
        </w:tc>
      </w:tr>
      <w:tr w:rsidR="00F91E35" w:rsidRPr="00E21125" w14:paraId="3583BB43" w14:textId="77777777" w:rsidTr="00AC422F">
        <w:tc>
          <w:tcPr>
            <w:tcW w:w="3402" w:type="dxa"/>
          </w:tcPr>
          <w:p w14:paraId="1F8224E8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2008-2010</w:t>
            </w:r>
          </w:p>
        </w:tc>
        <w:tc>
          <w:tcPr>
            <w:tcW w:w="4104" w:type="dxa"/>
          </w:tcPr>
          <w:p w14:paraId="5ECE9053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</w:tr>
      <w:tr w:rsidR="00F91E35" w:rsidRPr="00E21125" w14:paraId="3EC2C797" w14:textId="77777777" w:rsidTr="00AC422F">
        <w:tc>
          <w:tcPr>
            <w:tcW w:w="3402" w:type="dxa"/>
          </w:tcPr>
          <w:p w14:paraId="19B3BD87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2007-2009</w:t>
            </w:r>
          </w:p>
        </w:tc>
        <w:tc>
          <w:tcPr>
            <w:tcW w:w="4104" w:type="dxa"/>
          </w:tcPr>
          <w:p w14:paraId="1F7AA2C3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8.1</w:t>
            </w:r>
          </w:p>
        </w:tc>
      </w:tr>
      <w:tr w:rsidR="00F91E35" w:rsidRPr="00E21125" w14:paraId="33BEB6A1" w14:textId="77777777" w:rsidTr="00AC422F">
        <w:tc>
          <w:tcPr>
            <w:tcW w:w="3402" w:type="dxa"/>
          </w:tcPr>
          <w:p w14:paraId="516FC0E6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2006-2008</w:t>
            </w:r>
          </w:p>
        </w:tc>
        <w:tc>
          <w:tcPr>
            <w:tcW w:w="4104" w:type="dxa"/>
          </w:tcPr>
          <w:p w14:paraId="4748179D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8.2</w:t>
            </w:r>
          </w:p>
        </w:tc>
      </w:tr>
      <w:tr w:rsidR="00F91E35" w:rsidRPr="00E21125" w14:paraId="4E6FF8C8" w14:textId="77777777" w:rsidTr="00AC422F">
        <w:tc>
          <w:tcPr>
            <w:tcW w:w="3402" w:type="dxa"/>
          </w:tcPr>
          <w:p w14:paraId="36711B1A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2005-2007</w:t>
            </w:r>
          </w:p>
        </w:tc>
        <w:tc>
          <w:tcPr>
            <w:tcW w:w="4104" w:type="dxa"/>
          </w:tcPr>
          <w:p w14:paraId="2C297B67" w14:textId="77777777" w:rsidR="00F91E35" w:rsidRPr="00E21125" w:rsidRDefault="00F91E35" w:rsidP="00AC422F">
            <w:pPr>
              <w:pStyle w:val="SingleTxt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25">
              <w:rPr>
                <w:rFonts w:asciiTheme="minorHAnsi" w:hAnsiTheme="minorHAnsi" w:cstheme="minorHAnsi"/>
                <w:sz w:val="18"/>
                <w:szCs w:val="18"/>
              </w:rPr>
              <w:t>8.1</w:t>
            </w:r>
          </w:p>
        </w:tc>
      </w:tr>
    </w:tbl>
    <w:p w14:paraId="45BBCBA7" w14:textId="4F5A0C63" w:rsidR="00AB65CC" w:rsidRPr="00F43595" w:rsidRDefault="00AB65CC" w:rsidP="00A942AB">
      <w:pPr>
        <w:rPr>
          <w:rFonts w:ascii="Gill Sans Infant Std" w:hAnsi="Gill Sans Infant Std"/>
          <w:lang w:val="en-US"/>
        </w:rPr>
      </w:pPr>
    </w:p>
    <w:p w14:paraId="4C9A18D7" w14:textId="4EB7D901" w:rsidR="00F91E35" w:rsidRPr="00F43595" w:rsidRDefault="00F91E35" w:rsidP="00A942AB">
      <w:pPr>
        <w:rPr>
          <w:rFonts w:ascii="Gill Sans Infant Std" w:hAnsi="Gill Sans Infant Std"/>
          <w:lang w:val="en-US"/>
        </w:rPr>
      </w:pPr>
    </w:p>
    <w:p w14:paraId="4993F05D" w14:textId="6C33BF65" w:rsidR="001D7596" w:rsidRDefault="001E20D4" w:rsidP="00A942AB">
      <w:pPr>
        <w:rPr>
          <w:rFonts w:ascii="Gill Sans Infant Std" w:hAnsi="Gill Sans Infant Std"/>
          <w:b/>
          <w:lang w:val="en-US"/>
        </w:rPr>
      </w:pPr>
      <w:r>
        <w:rPr>
          <w:rFonts w:ascii="Gill Sans Infant Std" w:hAnsi="Gill Sans Infant Std"/>
          <w:b/>
          <w:lang w:val="en-US"/>
        </w:rPr>
        <w:t xml:space="preserve">Info from </w:t>
      </w:r>
      <w:r w:rsidR="001D7596" w:rsidRPr="001D7596">
        <w:rPr>
          <w:rFonts w:ascii="Gill Sans Infant Std" w:hAnsi="Gill Sans Infant Std"/>
          <w:b/>
          <w:lang w:val="en-US"/>
        </w:rPr>
        <w:t xml:space="preserve">Save the Children </w:t>
      </w:r>
      <w:r w:rsidR="00831704" w:rsidRPr="001D7596">
        <w:rPr>
          <w:rFonts w:ascii="Gill Sans Infant Std" w:hAnsi="Gill Sans Infant Std"/>
          <w:b/>
          <w:lang w:val="en-US"/>
        </w:rPr>
        <w:t>Norway</w:t>
      </w:r>
      <w:r w:rsidR="001D7596">
        <w:rPr>
          <w:rFonts w:ascii="Gill Sans Infant Std" w:hAnsi="Gill Sans Infant Std"/>
          <w:b/>
          <w:lang w:val="en-US"/>
        </w:rPr>
        <w:t>:</w:t>
      </w:r>
    </w:p>
    <w:p w14:paraId="3CE477B7" w14:textId="6B77251B" w:rsidR="008B506E" w:rsidRDefault="00CE5041" w:rsidP="007C2D12">
      <w:pPr>
        <w:rPr>
          <w:rFonts w:ascii="Gill Sans Infant Std" w:hAnsi="Gill Sans Infant Std"/>
          <w:lang w:val="en-US"/>
        </w:rPr>
      </w:pPr>
      <w:r w:rsidRPr="00A62F2E">
        <w:rPr>
          <w:rFonts w:ascii="Gill Sans Infant Std" w:hAnsi="Gill Sans Infant Std"/>
          <w:lang w:val="en-US"/>
        </w:rPr>
        <w:t xml:space="preserve">Both </w:t>
      </w:r>
      <w:proofErr w:type="gramStart"/>
      <w:r w:rsidR="00A62F2E" w:rsidRPr="00A62F2E">
        <w:rPr>
          <w:rFonts w:ascii="Gill Sans Infant Std" w:hAnsi="Gill Sans Infant Std"/>
          <w:lang w:val="en-US"/>
        </w:rPr>
        <w:t>The</w:t>
      </w:r>
      <w:proofErr w:type="gramEnd"/>
      <w:r w:rsidR="00A62F2E" w:rsidRPr="00A62F2E">
        <w:rPr>
          <w:rFonts w:ascii="Gill Sans Infant Std" w:hAnsi="Gill Sans Infant Std"/>
          <w:lang w:val="en-US"/>
        </w:rPr>
        <w:t xml:space="preserve"> Norwegian National H</w:t>
      </w:r>
      <w:r w:rsidR="00A62F2E">
        <w:rPr>
          <w:rFonts w:ascii="Gill Sans Infant Std" w:hAnsi="Gill Sans Infant Std"/>
          <w:lang w:val="en-US"/>
        </w:rPr>
        <w:t xml:space="preserve">uman Rights Institution (NIM) and </w:t>
      </w:r>
      <w:r w:rsidR="00B853CD">
        <w:rPr>
          <w:rFonts w:ascii="Gill Sans Infant Std" w:hAnsi="Gill Sans Infant Std"/>
          <w:lang w:val="en-US"/>
        </w:rPr>
        <w:t>The Norwegian Red Cross</w:t>
      </w:r>
      <w:r w:rsidR="00530552">
        <w:rPr>
          <w:rFonts w:ascii="Gill Sans Infant Std" w:hAnsi="Gill Sans Infant Std"/>
          <w:lang w:val="en-US"/>
        </w:rPr>
        <w:t xml:space="preserve"> calls for </w:t>
      </w:r>
      <w:r w:rsidR="003C4192">
        <w:rPr>
          <w:rFonts w:ascii="Gill Sans Infant Std" w:hAnsi="Gill Sans Infant Std"/>
          <w:lang w:val="en-US"/>
        </w:rPr>
        <w:t>The State Party</w:t>
      </w:r>
      <w:r w:rsidR="00A15988">
        <w:rPr>
          <w:rFonts w:ascii="Gill Sans Infant Std" w:hAnsi="Gill Sans Infant Std"/>
          <w:lang w:val="en-US"/>
        </w:rPr>
        <w:t>,</w:t>
      </w:r>
      <w:r w:rsidR="000A6B99">
        <w:rPr>
          <w:rFonts w:ascii="Gill Sans Infant Std" w:hAnsi="Gill Sans Infant Std"/>
          <w:lang w:val="en-US"/>
        </w:rPr>
        <w:t xml:space="preserve"> in their reply to The list of issues</w:t>
      </w:r>
      <w:r w:rsidR="00A15988">
        <w:rPr>
          <w:rFonts w:ascii="Gill Sans Infant Std" w:hAnsi="Gill Sans Infant Std"/>
          <w:lang w:val="en-US"/>
        </w:rPr>
        <w:t>, to</w:t>
      </w:r>
      <w:r w:rsidR="000A6B99">
        <w:rPr>
          <w:rFonts w:ascii="Gill Sans Infant Std" w:hAnsi="Gill Sans Infant Std"/>
          <w:lang w:val="en-US"/>
        </w:rPr>
        <w:t xml:space="preserve"> </w:t>
      </w:r>
      <w:r w:rsidR="003D5317">
        <w:rPr>
          <w:rFonts w:ascii="Gill Sans Infant Std" w:hAnsi="Gill Sans Infant Std"/>
          <w:lang w:val="en-US"/>
        </w:rPr>
        <w:t xml:space="preserve">inform the committee that the </w:t>
      </w:r>
      <w:r w:rsidR="0079400A">
        <w:rPr>
          <w:rFonts w:ascii="Gill Sans Infant Std" w:hAnsi="Gill Sans Infant Std"/>
          <w:lang w:val="en-US"/>
        </w:rPr>
        <w:t xml:space="preserve">number of children growing up in poverty is increasing. </w:t>
      </w:r>
      <w:r w:rsidR="00087163">
        <w:rPr>
          <w:rFonts w:ascii="Gill Sans Infant Std" w:hAnsi="Gill Sans Infant Std"/>
          <w:lang w:val="en-US"/>
        </w:rPr>
        <w:t xml:space="preserve">The Norwegian Red Cross also calls for a list of </w:t>
      </w:r>
      <w:r w:rsidR="00150837">
        <w:rPr>
          <w:rFonts w:ascii="Gill Sans Infant Std" w:hAnsi="Gill Sans Infant Std"/>
          <w:lang w:val="en-US"/>
        </w:rPr>
        <w:t xml:space="preserve">all the measures taken by the government to combat </w:t>
      </w:r>
      <w:r w:rsidR="0035459E">
        <w:rPr>
          <w:rFonts w:ascii="Gill Sans Infant Std" w:hAnsi="Gill Sans Infant Std"/>
          <w:lang w:val="en-US"/>
        </w:rPr>
        <w:t>this issue</w:t>
      </w:r>
      <w:r w:rsidR="00803209">
        <w:rPr>
          <w:rFonts w:ascii="Gill Sans Infant Std" w:hAnsi="Gill Sans Infant Std"/>
          <w:lang w:val="en-US"/>
        </w:rPr>
        <w:t>.</w:t>
      </w:r>
      <w:r w:rsidR="00560DB8">
        <w:rPr>
          <w:rStyle w:val="Fotnotereferanse"/>
          <w:lang w:val="en-US"/>
        </w:rPr>
        <w:footnoteReference w:id="3"/>
      </w:r>
      <w:r w:rsidR="00803209">
        <w:rPr>
          <w:rFonts w:ascii="Gill Sans Infant Std" w:hAnsi="Gill Sans Infant Std"/>
          <w:lang w:val="en-US"/>
        </w:rPr>
        <w:t xml:space="preserve"> </w:t>
      </w:r>
      <w:r w:rsidR="00524301">
        <w:rPr>
          <w:rFonts w:ascii="Gill Sans Infant Std" w:hAnsi="Gill Sans Infant Std"/>
          <w:lang w:val="en-US"/>
        </w:rPr>
        <w:t xml:space="preserve">We agree that this list should include </w:t>
      </w:r>
      <w:r w:rsidR="00524301">
        <w:rPr>
          <w:rFonts w:ascii="Gill Sans Infant Std" w:hAnsi="Gill Sans Infant Std"/>
          <w:lang w:val="en-US"/>
        </w:rPr>
        <w:lastRenderedPageBreak/>
        <w:t xml:space="preserve">both </w:t>
      </w:r>
      <w:r w:rsidR="001861F8">
        <w:rPr>
          <w:rFonts w:ascii="Gill Sans Infant Std" w:hAnsi="Gill Sans Infant Std"/>
          <w:lang w:val="en-US"/>
        </w:rPr>
        <w:t xml:space="preserve">preventive measures and </w:t>
      </w:r>
      <w:r w:rsidR="003C3544">
        <w:rPr>
          <w:rFonts w:ascii="Gill Sans Infant Std" w:hAnsi="Gill Sans Infant Std"/>
          <w:lang w:val="en-US"/>
        </w:rPr>
        <w:t>those meant</w:t>
      </w:r>
      <w:r w:rsidR="004F71CE">
        <w:rPr>
          <w:rFonts w:ascii="Gill Sans Infant Std" w:hAnsi="Gill Sans Infant Std"/>
          <w:lang w:val="en-US"/>
        </w:rPr>
        <w:t xml:space="preserve"> to lift the families out of poverty. </w:t>
      </w:r>
      <w:r w:rsidR="00560DB8">
        <w:rPr>
          <w:rFonts w:ascii="Gill Sans Infant Std" w:hAnsi="Gill Sans Infant Std"/>
          <w:lang w:val="en-US"/>
        </w:rPr>
        <w:t xml:space="preserve">Save the Children Norway </w:t>
      </w:r>
      <w:r w:rsidR="00F06FB4">
        <w:rPr>
          <w:rFonts w:ascii="Gill Sans Infant Std" w:hAnsi="Gill Sans Infant Std"/>
          <w:lang w:val="en-US"/>
        </w:rPr>
        <w:t xml:space="preserve">share </w:t>
      </w:r>
      <w:r w:rsidR="008B506E">
        <w:rPr>
          <w:rFonts w:ascii="Gill Sans Infant Std" w:hAnsi="Gill Sans Infant Std"/>
          <w:lang w:val="en-US"/>
        </w:rPr>
        <w:t xml:space="preserve">both NIMs and The Norwegian </w:t>
      </w:r>
      <w:r w:rsidR="00366CBB">
        <w:rPr>
          <w:rFonts w:ascii="Gill Sans Infant Std" w:hAnsi="Gill Sans Infant Std"/>
          <w:lang w:val="en-US"/>
        </w:rPr>
        <w:t>R</w:t>
      </w:r>
      <w:r w:rsidR="008B506E">
        <w:rPr>
          <w:rFonts w:ascii="Gill Sans Infant Std" w:hAnsi="Gill Sans Infant Std"/>
          <w:lang w:val="en-US"/>
        </w:rPr>
        <w:t xml:space="preserve">ed Cross’ opinion. </w:t>
      </w:r>
    </w:p>
    <w:p w14:paraId="376957D1" w14:textId="77777777" w:rsidR="008B506E" w:rsidRDefault="008B506E" w:rsidP="007C2D12">
      <w:pPr>
        <w:rPr>
          <w:rFonts w:ascii="Gill Sans Infant Std" w:hAnsi="Gill Sans Infant Std"/>
          <w:lang w:val="en-US"/>
        </w:rPr>
      </w:pPr>
    </w:p>
    <w:p w14:paraId="68D335E4" w14:textId="4DA8BF51" w:rsidR="007C2D12" w:rsidRDefault="007C2D12" w:rsidP="007C2D12">
      <w:pPr>
        <w:rPr>
          <w:rFonts w:ascii="Gill Sans Infant Std" w:hAnsi="Gill Sans Infant Std"/>
          <w:lang w:val="en-US"/>
        </w:rPr>
      </w:pPr>
      <w:r w:rsidRPr="007C2D12">
        <w:rPr>
          <w:rFonts w:ascii="Gill Sans Infant Std" w:hAnsi="Gill Sans Infant Std"/>
          <w:lang w:val="en-US"/>
        </w:rPr>
        <w:t>The State Party must focus its efforts on the major social</w:t>
      </w:r>
      <w:r w:rsidR="00366CBB">
        <w:rPr>
          <w:rFonts w:ascii="Gill Sans Infant Std" w:hAnsi="Gill Sans Infant Std"/>
          <w:lang w:val="en-US"/>
        </w:rPr>
        <w:t xml:space="preserve"> </w:t>
      </w:r>
      <w:r w:rsidRPr="007C2D12">
        <w:rPr>
          <w:rFonts w:ascii="Gill Sans Infant Std" w:hAnsi="Gill Sans Infant Std"/>
          <w:lang w:val="en-US"/>
        </w:rPr>
        <w:t>structures and systems that create poverty challenges</w:t>
      </w:r>
      <w:r w:rsidR="00431E5A">
        <w:rPr>
          <w:rFonts w:ascii="Gill Sans Infant Std" w:hAnsi="Gill Sans Infant Std"/>
          <w:lang w:val="en-US"/>
        </w:rPr>
        <w:t xml:space="preserve"> </w:t>
      </w:r>
      <w:r w:rsidRPr="007C2D12">
        <w:rPr>
          <w:rFonts w:ascii="Gill Sans Infant Std" w:hAnsi="Gill Sans Infant Std"/>
          <w:lang w:val="en-US"/>
        </w:rPr>
        <w:t>instead of implementing compensatory measures</w:t>
      </w:r>
      <w:r w:rsidR="00431E5A">
        <w:rPr>
          <w:rFonts w:ascii="Gill Sans Infant Std" w:hAnsi="Gill Sans Infant Std"/>
          <w:lang w:val="en-US"/>
        </w:rPr>
        <w:t xml:space="preserve">. We also share the Norwegian </w:t>
      </w:r>
      <w:r w:rsidR="003C4192">
        <w:rPr>
          <w:rFonts w:ascii="Gill Sans Infant Std" w:hAnsi="Gill Sans Infant Std"/>
          <w:lang w:val="en-US"/>
        </w:rPr>
        <w:t>R</w:t>
      </w:r>
      <w:r w:rsidR="00431E5A">
        <w:rPr>
          <w:rFonts w:ascii="Gill Sans Infant Std" w:hAnsi="Gill Sans Infant Std"/>
          <w:lang w:val="en-US"/>
        </w:rPr>
        <w:t>ed</w:t>
      </w:r>
      <w:r w:rsidR="003C4192">
        <w:rPr>
          <w:rFonts w:ascii="Gill Sans Infant Std" w:hAnsi="Gill Sans Infant Std"/>
          <w:lang w:val="en-US"/>
        </w:rPr>
        <w:t xml:space="preserve"> </w:t>
      </w:r>
      <w:r w:rsidR="00431E5A">
        <w:rPr>
          <w:rFonts w:ascii="Gill Sans Infant Std" w:hAnsi="Gill Sans Infant Std"/>
          <w:lang w:val="en-US"/>
        </w:rPr>
        <w:t xml:space="preserve">Cross’ concern that </w:t>
      </w:r>
      <w:r w:rsidR="00213568">
        <w:rPr>
          <w:rFonts w:ascii="Gill Sans Infant Std" w:hAnsi="Gill Sans Infant Std"/>
          <w:lang w:val="en-US"/>
        </w:rPr>
        <w:t>the majority (according to them 85</w:t>
      </w:r>
      <w:r w:rsidR="008648DB">
        <w:rPr>
          <w:rFonts w:ascii="Gill Sans Infant Std" w:hAnsi="Gill Sans Infant Std"/>
          <w:lang w:val="en-US"/>
        </w:rPr>
        <w:t xml:space="preserve">%) of the State </w:t>
      </w:r>
      <w:r w:rsidR="00C50EA5">
        <w:rPr>
          <w:rFonts w:ascii="Gill Sans Infant Std" w:hAnsi="Gill Sans Infant Std"/>
          <w:lang w:val="en-US"/>
        </w:rPr>
        <w:t>Party’s</w:t>
      </w:r>
      <w:r w:rsidR="008648DB">
        <w:rPr>
          <w:rFonts w:ascii="Gill Sans Infant Std" w:hAnsi="Gill Sans Infant Std"/>
          <w:lang w:val="en-US"/>
        </w:rPr>
        <w:t xml:space="preserve"> </w:t>
      </w:r>
      <w:r w:rsidR="008754C3">
        <w:rPr>
          <w:rFonts w:ascii="Gill Sans Infant Std" w:hAnsi="Gill Sans Infant Std"/>
          <w:lang w:val="en-US"/>
        </w:rPr>
        <w:t xml:space="preserve">municipalities </w:t>
      </w:r>
      <w:r w:rsidR="00D36824">
        <w:rPr>
          <w:rFonts w:ascii="Gill Sans Infant Std" w:hAnsi="Gill Sans Infant Std"/>
          <w:lang w:val="en-US"/>
        </w:rPr>
        <w:t xml:space="preserve">take </w:t>
      </w:r>
      <w:r w:rsidR="005433B3">
        <w:rPr>
          <w:rFonts w:ascii="Gill Sans Infant Std" w:hAnsi="Gill Sans Infant Std"/>
          <w:lang w:val="en-US"/>
        </w:rPr>
        <w:t xml:space="preserve">child benefits into account when </w:t>
      </w:r>
      <w:r w:rsidR="00C50EA5">
        <w:rPr>
          <w:rFonts w:ascii="Gill Sans Infant Std" w:hAnsi="Gill Sans Infant Std"/>
          <w:lang w:val="en-US"/>
        </w:rPr>
        <w:t xml:space="preserve">mapping their parents </w:t>
      </w:r>
      <w:r w:rsidR="00CF06B2">
        <w:rPr>
          <w:rFonts w:ascii="Gill Sans Infant Std" w:hAnsi="Gill Sans Infant Std"/>
          <w:lang w:val="en-US"/>
        </w:rPr>
        <w:t xml:space="preserve">needs for social support. </w:t>
      </w:r>
    </w:p>
    <w:p w14:paraId="58E1056B" w14:textId="4B99B788" w:rsidR="008754C3" w:rsidRDefault="008754C3" w:rsidP="007C2D12">
      <w:pPr>
        <w:rPr>
          <w:rFonts w:ascii="Gill Sans Infant Std" w:hAnsi="Gill Sans Infant Std"/>
          <w:lang w:val="en-US"/>
        </w:rPr>
      </w:pPr>
    </w:p>
    <w:p w14:paraId="0FDA3FC0" w14:textId="42CC7195" w:rsidR="00396936" w:rsidRPr="000A0916" w:rsidRDefault="00396936" w:rsidP="00A942AB">
      <w:pPr>
        <w:rPr>
          <w:lang w:val="en-US"/>
        </w:rPr>
      </w:pPr>
    </w:p>
    <w:p w14:paraId="35FAEB57" w14:textId="77777777" w:rsidR="00F43595" w:rsidRPr="000A0916" w:rsidRDefault="00F43595" w:rsidP="00A942AB">
      <w:pPr>
        <w:rPr>
          <w:lang w:val="en-US"/>
        </w:rPr>
      </w:pPr>
    </w:p>
    <w:p w14:paraId="6EC7EEAD" w14:textId="7BA7DAAD" w:rsidR="00AB65CC" w:rsidRPr="00BC6FC5" w:rsidRDefault="006D3D35" w:rsidP="00A942AB">
      <w:pPr>
        <w:rPr>
          <w:rFonts w:ascii="Gill Sans Infant Std" w:hAnsi="Gill Sans Infant Std"/>
          <w:b/>
          <w:sz w:val="24"/>
          <w:szCs w:val="24"/>
          <w:lang w:val="en-US"/>
        </w:rPr>
      </w:pPr>
      <w:r w:rsidRPr="00BC6FC5">
        <w:rPr>
          <w:rFonts w:ascii="Gill Sans Infant Std" w:hAnsi="Gill Sans Infant Std"/>
          <w:b/>
          <w:sz w:val="24"/>
          <w:szCs w:val="24"/>
          <w:lang w:val="en-US"/>
        </w:rPr>
        <w:t>Bullying</w:t>
      </w:r>
      <w:r w:rsidR="00F43595" w:rsidRPr="00BC6FC5">
        <w:rPr>
          <w:rFonts w:ascii="Gill Sans Infant Std" w:hAnsi="Gill Sans Infant Std"/>
          <w:b/>
          <w:sz w:val="24"/>
          <w:szCs w:val="24"/>
          <w:lang w:val="en-US"/>
        </w:rPr>
        <w:t>:</w:t>
      </w:r>
    </w:p>
    <w:p w14:paraId="03F3459C" w14:textId="77777777" w:rsidR="00F43595" w:rsidRPr="00BC6FC5" w:rsidRDefault="00F43595" w:rsidP="00A942AB">
      <w:pPr>
        <w:rPr>
          <w:rFonts w:ascii="Gill Sans Infant Std" w:hAnsi="Gill Sans Infant Std"/>
          <w:lang w:val="en-US"/>
        </w:rPr>
      </w:pPr>
    </w:p>
    <w:p w14:paraId="490D9921" w14:textId="5923B7EC" w:rsidR="00F43595" w:rsidRPr="00BC6FC5" w:rsidRDefault="00BC6FC5" w:rsidP="00A942AB">
      <w:pPr>
        <w:rPr>
          <w:rFonts w:ascii="Gill Sans Infant Std" w:hAnsi="Gill Sans Infant Std"/>
          <w:b/>
          <w:lang w:val="en-US"/>
        </w:rPr>
      </w:pPr>
      <w:r w:rsidRPr="00BC6FC5">
        <w:rPr>
          <w:rFonts w:ascii="Gill Sans Infant Std" w:hAnsi="Gill Sans Infant Std"/>
          <w:b/>
          <w:lang w:val="en-US"/>
        </w:rPr>
        <w:t>From</w:t>
      </w:r>
      <w:r w:rsidR="006266C4">
        <w:rPr>
          <w:rFonts w:ascii="Gill Sans Infant Std" w:hAnsi="Gill Sans Infant Std"/>
          <w:b/>
          <w:lang w:val="en-US"/>
        </w:rPr>
        <w:t xml:space="preserve"> the</w:t>
      </w:r>
      <w:r w:rsidRPr="00BC6FC5">
        <w:rPr>
          <w:rFonts w:ascii="Gill Sans Infant Std" w:hAnsi="Gill Sans Infant Std"/>
          <w:b/>
          <w:lang w:val="en-US"/>
        </w:rPr>
        <w:t xml:space="preserve"> list of issues</w:t>
      </w:r>
      <w:r w:rsidR="008A72EE">
        <w:rPr>
          <w:rFonts w:ascii="Gill Sans Infant Std" w:hAnsi="Gill Sans Infant Std"/>
          <w:b/>
          <w:lang w:val="en-US"/>
        </w:rPr>
        <w:t xml:space="preserve"> paragraph 30 e</w:t>
      </w:r>
      <w:r w:rsidRPr="00BC6FC5">
        <w:rPr>
          <w:rFonts w:ascii="Gill Sans Infant Std" w:hAnsi="Gill Sans Infant Std"/>
          <w:b/>
          <w:lang w:val="en-US"/>
        </w:rPr>
        <w:t>:</w:t>
      </w:r>
    </w:p>
    <w:p w14:paraId="1B86A3C9" w14:textId="77777777" w:rsidR="005D0992" w:rsidRPr="009F64DB" w:rsidRDefault="005D0992" w:rsidP="005D0992">
      <w:pPr>
        <w:pStyle w:val="SingleTxtG"/>
        <w:rPr>
          <w:lang w:val="en-US"/>
        </w:rPr>
      </w:pPr>
      <w:r w:rsidRPr="009F64DB">
        <w:rPr>
          <w:lang w:val="en-US"/>
        </w:rPr>
        <w:t>30.</w:t>
      </w:r>
      <w:r w:rsidRPr="009F64DB">
        <w:rPr>
          <w:lang w:val="en-US"/>
        </w:rPr>
        <w:tab/>
        <w:t>Please provide information on:</w:t>
      </w:r>
    </w:p>
    <w:p w14:paraId="11CB20CC" w14:textId="77777777" w:rsidR="00396936" w:rsidRPr="00C6159D" w:rsidRDefault="00396936" w:rsidP="00396936">
      <w:pPr>
        <w:pStyle w:val="SingleTxtG"/>
      </w:pPr>
      <w:r w:rsidRPr="009F64DB">
        <w:rPr>
          <w:lang w:val="en-US"/>
        </w:rPr>
        <w:tab/>
      </w:r>
      <w:r w:rsidRPr="00C6159D">
        <w:t>(e)</w:t>
      </w:r>
      <w:r w:rsidRPr="00C6159D">
        <w:tab/>
        <w:t>Statistical data on bullying in schools</w:t>
      </w:r>
      <w:r>
        <w:t>,</w:t>
      </w:r>
      <w:r w:rsidRPr="00C6159D">
        <w:t xml:space="preserve"> disaggregated by ethnic group</w:t>
      </w:r>
      <w:r>
        <w:t>,</w:t>
      </w:r>
      <w:r w:rsidRPr="00C6159D">
        <w:t xml:space="preserve"> and the measures taken to combat bullying in schools and their impact (para. 23);</w:t>
      </w:r>
    </w:p>
    <w:p w14:paraId="6EC54A2B" w14:textId="77777777" w:rsidR="00232780" w:rsidRPr="003406FF" w:rsidRDefault="00232780" w:rsidP="00A942AB">
      <w:pPr>
        <w:rPr>
          <w:rFonts w:ascii="Gill Sans Infant Std" w:hAnsi="Gill Sans Infant Std"/>
          <w:lang w:val="en-US"/>
        </w:rPr>
      </w:pPr>
    </w:p>
    <w:p w14:paraId="537AE7BB" w14:textId="2D18E4D9" w:rsidR="00232780" w:rsidRPr="003406FF" w:rsidRDefault="00232780" w:rsidP="00A942AB">
      <w:pPr>
        <w:rPr>
          <w:rFonts w:ascii="Gill Sans Infant Std" w:hAnsi="Gill Sans Infant Std"/>
          <w:lang w:val="en-US"/>
        </w:rPr>
      </w:pPr>
    </w:p>
    <w:p w14:paraId="2F103299" w14:textId="4703199B" w:rsidR="00232780" w:rsidRPr="003406FF" w:rsidRDefault="00024A9B" w:rsidP="00A942AB">
      <w:pPr>
        <w:rPr>
          <w:rFonts w:ascii="Gill Sans Infant Std" w:hAnsi="Gill Sans Infant Std"/>
          <w:b/>
          <w:lang w:val="en-US"/>
        </w:rPr>
      </w:pPr>
      <w:r>
        <w:rPr>
          <w:rFonts w:ascii="Gill Sans Infant Std" w:hAnsi="Gill Sans Infant Std"/>
          <w:b/>
          <w:lang w:val="en-US"/>
        </w:rPr>
        <w:t>The State Party’s reply</w:t>
      </w:r>
      <w:r w:rsidR="008A72EE">
        <w:rPr>
          <w:rFonts w:ascii="Gill Sans Infant Std" w:hAnsi="Gill Sans Infant Std"/>
          <w:b/>
          <w:lang w:val="en-US"/>
        </w:rPr>
        <w:t xml:space="preserve"> to paragraph 30 e</w:t>
      </w:r>
      <w:r>
        <w:rPr>
          <w:rFonts w:ascii="Gill Sans Infant Std" w:hAnsi="Gill Sans Infant Std"/>
          <w:b/>
          <w:lang w:val="en-US"/>
        </w:rPr>
        <w:t>:</w:t>
      </w:r>
    </w:p>
    <w:p w14:paraId="533590AC" w14:textId="48FC0048" w:rsidR="00396936" w:rsidRPr="003406FF" w:rsidRDefault="00396936" w:rsidP="00A942AB">
      <w:pPr>
        <w:rPr>
          <w:rFonts w:ascii="Gill Sans Infant Std" w:hAnsi="Gill Sans Infant Std"/>
          <w:lang w:val="en-US"/>
        </w:rPr>
      </w:pPr>
    </w:p>
    <w:p w14:paraId="0417DDAB" w14:textId="77777777" w:rsidR="00E7782F" w:rsidRPr="00440646" w:rsidRDefault="00E7782F" w:rsidP="00E7782F">
      <w:pPr>
        <w:pStyle w:val="SingleTxtG"/>
      </w:pPr>
      <w:r w:rsidRPr="00440646">
        <w:tab/>
        <w:t>(e)</w:t>
      </w:r>
      <w:r w:rsidRPr="00440646">
        <w:tab/>
        <w:t xml:space="preserve">In the Pupil Survey from autumn 2018, 6.1 per cent of the pupils responded that they were bullied at school 2-3 times a month or more often. This was a decrease of 0.5 per cent compared with the previous year. We do not have data </w:t>
      </w:r>
      <w:r>
        <w:t>that distinguishes between different</w:t>
      </w:r>
      <w:r w:rsidRPr="00440646">
        <w:t xml:space="preserve"> ethnic groups. </w:t>
      </w:r>
    </w:p>
    <w:p w14:paraId="229F93C2" w14:textId="77777777" w:rsidR="00E7782F" w:rsidRPr="00440646" w:rsidRDefault="00E7782F" w:rsidP="00E7782F">
      <w:pPr>
        <w:pStyle w:val="SingleTxtG"/>
      </w:pPr>
      <w:r w:rsidRPr="00440646">
        <w:t xml:space="preserve">In 2017, the </w:t>
      </w:r>
      <w:r w:rsidRPr="006C4151">
        <w:rPr>
          <w:bCs/>
        </w:rPr>
        <w:t>Norwegian Centre</w:t>
      </w:r>
      <w:r w:rsidRPr="0059016F">
        <w:t> against </w:t>
      </w:r>
      <w:r w:rsidRPr="006C4151">
        <w:rPr>
          <w:bCs/>
        </w:rPr>
        <w:t>Racism</w:t>
      </w:r>
      <w:r w:rsidRPr="00440646">
        <w:rPr>
          <w:vertAlign w:val="superscript"/>
        </w:rPr>
        <w:footnoteReference w:id="4"/>
      </w:r>
      <w:r w:rsidRPr="00440646">
        <w:t xml:space="preserve"> published a report on racism experienced </w:t>
      </w:r>
      <w:r>
        <w:t>by</w:t>
      </w:r>
      <w:r w:rsidRPr="00440646">
        <w:t xml:space="preserve"> young people. The report shows that many young people have had experiences with racism at school. Of 247 respondents where one or both parents were born in a country other than Norway, 24 per cent state that they have experienced racism, discrimination or unfair treatment regularly (2-3 times a month or more often) while attending primary school</w:t>
      </w:r>
      <w:r>
        <w:t>, while</w:t>
      </w:r>
      <w:r w:rsidRPr="00440646">
        <w:t xml:space="preserve"> 25.6 per</w:t>
      </w:r>
      <w:r>
        <w:t xml:space="preserve"> </w:t>
      </w:r>
      <w:r w:rsidRPr="00440646">
        <w:t xml:space="preserve">cent experienced the same </w:t>
      </w:r>
      <w:r>
        <w:t>at</w:t>
      </w:r>
      <w:r w:rsidRPr="00440646">
        <w:t xml:space="preserve"> secondary school. </w:t>
      </w:r>
    </w:p>
    <w:p w14:paraId="5EF43A83" w14:textId="77777777" w:rsidR="00E7782F" w:rsidRPr="00440646" w:rsidRDefault="00E7782F" w:rsidP="00E7782F">
      <w:pPr>
        <w:pStyle w:val="SingleTxtG"/>
      </w:pPr>
      <w:r w:rsidRPr="00440646">
        <w:t xml:space="preserve">The Government has launched new measures </w:t>
      </w:r>
      <w:r>
        <w:t>to combat</w:t>
      </w:r>
      <w:r w:rsidRPr="00440646">
        <w:t xml:space="preserve"> bullying in kindergartens and schools. The measures include legislative changes, competence enhancement, </w:t>
      </w:r>
      <w:r>
        <w:t xml:space="preserve">and </w:t>
      </w:r>
      <w:r w:rsidRPr="00440646">
        <w:t xml:space="preserve">support and guidance for children and young people who are exposed to bullying and other offenses, and </w:t>
      </w:r>
      <w:r>
        <w:t>for</w:t>
      </w:r>
      <w:r w:rsidRPr="00440646">
        <w:t xml:space="preserve"> their families. The main effort to strengthen adults' competence to prevent, uncover and </w:t>
      </w:r>
      <w:r>
        <w:t>deal with</w:t>
      </w:r>
      <w:r w:rsidRPr="00440646">
        <w:t xml:space="preserve"> bullying in both kindergartens and schools is a competence package that is now used by more than 800 schools and kindergartens across the country.</w:t>
      </w:r>
    </w:p>
    <w:p w14:paraId="5A75A6E7" w14:textId="4F1D5133" w:rsidR="00E7782F" w:rsidRPr="00440646" w:rsidRDefault="00E7782F" w:rsidP="00E7782F">
      <w:pPr>
        <w:pStyle w:val="SingleTxtG"/>
      </w:pPr>
      <w:proofErr w:type="spellStart"/>
      <w:r w:rsidRPr="00440646">
        <w:lastRenderedPageBreak/>
        <w:t>Dembra</w:t>
      </w:r>
      <w:proofErr w:type="spellEnd"/>
      <w:r w:rsidRPr="00440646">
        <w:rPr>
          <w:vertAlign w:val="superscript"/>
        </w:rPr>
        <w:footnoteReference w:id="5"/>
      </w:r>
      <w:r w:rsidRPr="00440646">
        <w:t xml:space="preserve"> is a professional development </w:t>
      </w:r>
      <w:r>
        <w:t>programme for</w:t>
      </w:r>
      <w:r w:rsidRPr="00440646">
        <w:t xml:space="preserve"> teachers, school leaders and other school staff. Based on the school’s own circumstances, </w:t>
      </w:r>
      <w:proofErr w:type="spellStart"/>
      <w:r w:rsidRPr="00440646">
        <w:t>Dembra</w:t>
      </w:r>
      <w:proofErr w:type="spellEnd"/>
      <w:r w:rsidRPr="00440646">
        <w:t xml:space="preserve"> helps strengthen the school’s work on participation and critical thinking. </w:t>
      </w:r>
      <w:proofErr w:type="spellStart"/>
      <w:r w:rsidRPr="00440646">
        <w:t>Dembra</w:t>
      </w:r>
      <w:proofErr w:type="spellEnd"/>
      <w:r w:rsidRPr="00440646">
        <w:t xml:space="preserve"> is suitable for schools whose leaders and teachers wish to take a more systematic approach to critical thinking, democratic development and inclusion, and/or find that their school has or may come to experience </w:t>
      </w:r>
      <w:proofErr w:type="gramStart"/>
      <w:r w:rsidRPr="00440646">
        <w:t>particular challenges</w:t>
      </w:r>
      <w:proofErr w:type="gramEnd"/>
      <w:r w:rsidRPr="00440646">
        <w:t xml:space="preserve"> relating to group-based hostility.</w:t>
      </w:r>
    </w:p>
    <w:p w14:paraId="2138BCB5" w14:textId="102CBCD1" w:rsidR="00E7782F" w:rsidRPr="009F64DB" w:rsidRDefault="00E7782F" w:rsidP="00A942AB">
      <w:pPr>
        <w:rPr>
          <w:rFonts w:ascii="Gill Sans Infant Std" w:hAnsi="Gill Sans Infant Std"/>
          <w:b/>
          <w:lang w:val="en-US"/>
        </w:rPr>
      </w:pPr>
    </w:p>
    <w:p w14:paraId="29D3BA4D" w14:textId="7422163A" w:rsidR="00BC6FC5" w:rsidRDefault="001E20D4" w:rsidP="00BC6FC5">
      <w:pPr>
        <w:rPr>
          <w:rFonts w:ascii="Gill Sans Infant Std" w:hAnsi="Gill Sans Infant Std"/>
          <w:b/>
          <w:lang w:val="en-US"/>
        </w:rPr>
      </w:pPr>
      <w:r>
        <w:rPr>
          <w:rFonts w:ascii="Gill Sans Infant Std" w:hAnsi="Gill Sans Infant Std"/>
          <w:b/>
          <w:lang w:val="en-US"/>
        </w:rPr>
        <w:t xml:space="preserve">Info from </w:t>
      </w:r>
      <w:r w:rsidR="00BC6FC5" w:rsidRPr="001D7596">
        <w:rPr>
          <w:rFonts w:ascii="Gill Sans Infant Std" w:hAnsi="Gill Sans Infant Std"/>
          <w:b/>
          <w:lang w:val="en-US"/>
        </w:rPr>
        <w:t xml:space="preserve">Save the Children </w:t>
      </w:r>
      <w:r w:rsidR="00681720" w:rsidRPr="001D7596">
        <w:rPr>
          <w:rFonts w:ascii="Gill Sans Infant Std" w:hAnsi="Gill Sans Infant Std"/>
          <w:b/>
          <w:lang w:val="en-US"/>
        </w:rPr>
        <w:t>Norway</w:t>
      </w:r>
      <w:r w:rsidR="00BC6FC5">
        <w:rPr>
          <w:rFonts w:ascii="Gill Sans Infant Std" w:hAnsi="Gill Sans Infant Std"/>
          <w:b/>
          <w:lang w:val="en-US"/>
        </w:rPr>
        <w:t>:</w:t>
      </w:r>
    </w:p>
    <w:p w14:paraId="1F546A48" w14:textId="5743E2DC" w:rsidR="00BC6FC5" w:rsidRDefault="00BC6FC5" w:rsidP="00A942AB">
      <w:pPr>
        <w:rPr>
          <w:rFonts w:ascii="Gill Sans Infant Std" w:hAnsi="Gill Sans Infant Std"/>
          <w:b/>
          <w:lang w:val="en-US"/>
        </w:rPr>
      </w:pPr>
    </w:p>
    <w:p w14:paraId="6262FABF" w14:textId="775495D4" w:rsidR="00882179" w:rsidRDefault="00882179" w:rsidP="00A942AB">
      <w:pPr>
        <w:rPr>
          <w:rFonts w:ascii="Gill Sans Infant Std" w:hAnsi="Gill Sans Infant Std"/>
          <w:lang w:val="en-US"/>
        </w:rPr>
      </w:pPr>
      <w:r w:rsidRPr="00882179">
        <w:rPr>
          <w:rFonts w:ascii="Gill Sans Infant Std" w:hAnsi="Gill Sans Infant Std"/>
          <w:lang w:val="en-US"/>
        </w:rPr>
        <w:t>We recommend</w:t>
      </w:r>
      <w:r>
        <w:rPr>
          <w:rFonts w:ascii="Gill Sans Infant Std" w:hAnsi="Gill Sans Infant Std"/>
          <w:lang w:val="en-US"/>
        </w:rPr>
        <w:t xml:space="preserve"> that bullying </w:t>
      </w:r>
      <w:r w:rsidR="00681720">
        <w:rPr>
          <w:rFonts w:ascii="Gill Sans Infant Std" w:hAnsi="Gill Sans Infant Std"/>
          <w:lang w:val="en-US"/>
        </w:rPr>
        <w:t xml:space="preserve">on the grounds of ethnicity is </w:t>
      </w:r>
      <w:r w:rsidR="00492C34">
        <w:rPr>
          <w:rFonts w:ascii="Gill Sans Infant Std" w:hAnsi="Gill Sans Infant Std"/>
          <w:lang w:val="en-US"/>
        </w:rPr>
        <w:t>included in</w:t>
      </w:r>
      <w:r w:rsidR="00A57234">
        <w:rPr>
          <w:rFonts w:ascii="Gill Sans Infant Std" w:hAnsi="Gill Sans Infant Std"/>
          <w:lang w:val="en-US"/>
        </w:rPr>
        <w:t xml:space="preserve"> </w:t>
      </w:r>
      <w:r w:rsidR="00973212" w:rsidRPr="00973212">
        <w:rPr>
          <w:rFonts w:ascii="Gill Sans Infant Std" w:hAnsi="Gill Sans Infant Std"/>
          <w:lang w:val="en-US"/>
        </w:rPr>
        <w:t>The Norwegian Directorate for Education and Training</w:t>
      </w:r>
      <w:r w:rsidR="00973212">
        <w:rPr>
          <w:rFonts w:ascii="Gill Sans Infant Std" w:hAnsi="Gill Sans Infant Std"/>
          <w:lang w:val="en-US"/>
        </w:rPr>
        <w:t xml:space="preserve">s </w:t>
      </w:r>
      <w:r w:rsidR="008D0725">
        <w:rPr>
          <w:rFonts w:ascii="Gill Sans Infant Std" w:hAnsi="Gill Sans Infant Std"/>
          <w:lang w:val="en-US"/>
        </w:rPr>
        <w:t>yearly survey “</w:t>
      </w:r>
      <w:proofErr w:type="spellStart"/>
      <w:r w:rsidR="008D0725">
        <w:rPr>
          <w:rFonts w:ascii="Gill Sans Infant Std" w:hAnsi="Gill Sans Infant Std"/>
          <w:lang w:val="en-US"/>
        </w:rPr>
        <w:t>Elevundersøkelsen</w:t>
      </w:r>
      <w:proofErr w:type="spellEnd"/>
      <w:r w:rsidR="008D0725">
        <w:rPr>
          <w:rFonts w:ascii="Gill Sans Infant Std" w:hAnsi="Gill Sans Infant Std"/>
          <w:lang w:val="en-US"/>
        </w:rPr>
        <w:t xml:space="preserve">”/ The </w:t>
      </w:r>
      <w:r w:rsidR="00641031">
        <w:rPr>
          <w:rFonts w:ascii="Gill Sans Infant Std" w:hAnsi="Gill Sans Infant Std"/>
          <w:lang w:val="en-US"/>
        </w:rPr>
        <w:t>P</w:t>
      </w:r>
      <w:r w:rsidR="008D0725">
        <w:rPr>
          <w:rFonts w:ascii="Gill Sans Infant Std" w:hAnsi="Gill Sans Infant Std"/>
          <w:lang w:val="en-US"/>
        </w:rPr>
        <w:t>upil Survey.</w:t>
      </w:r>
      <w:r w:rsidR="00641031">
        <w:rPr>
          <w:rFonts w:ascii="Gill Sans Infant Std" w:hAnsi="Gill Sans Infant Std"/>
          <w:lang w:val="en-US"/>
        </w:rPr>
        <w:t xml:space="preserve"> This will secure </w:t>
      </w:r>
      <w:r w:rsidR="00796098">
        <w:rPr>
          <w:rFonts w:ascii="Gill Sans Infant Std" w:hAnsi="Gill Sans Infant Std"/>
          <w:lang w:val="en-US"/>
        </w:rPr>
        <w:t xml:space="preserve">national statistical data in accordance with the </w:t>
      </w:r>
      <w:r w:rsidR="00960601">
        <w:rPr>
          <w:rFonts w:ascii="Gill Sans Infant Std" w:hAnsi="Gill Sans Infant Std"/>
          <w:lang w:val="en-US"/>
        </w:rPr>
        <w:t>Committees request.</w:t>
      </w:r>
    </w:p>
    <w:p w14:paraId="2E1C8AF6" w14:textId="180BC26E" w:rsidR="00960601" w:rsidRDefault="00960601" w:rsidP="00A942AB">
      <w:pPr>
        <w:rPr>
          <w:rFonts w:ascii="Gill Sans Infant Std" w:hAnsi="Gill Sans Infant Std"/>
          <w:lang w:val="en-US"/>
        </w:rPr>
      </w:pPr>
    </w:p>
    <w:p w14:paraId="41E2834B" w14:textId="014E3E10" w:rsidR="00BC6FC5" w:rsidRDefault="00835389" w:rsidP="00A942AB">
      <w:pPr>
        <w:rPr>
          <w:rFonts w:ascii="Gill Sans Infant Std" w:hAnsi="Gill Sans Infant Std"/>
          <w:lang w:val="en-US"/>
        </w:rPr>
      </w:pPr>
      <w:r>
        <w:rPr>
          <w:rFonts w:ascii="Gill Sans Infant Std" w:hAnsi="Gill Sans Infant Std"/>
          <w:lang w:val="en-US"/>
        </w:rPr>
        <w:t xml:space="preserve">Save the Children Norway share The Norwegian Red Cross’ concern when it comes to the </w:t>
      </w:r>
      <w:r w:rsidR="00C1530D">
        <w:rPr>
          <w:rFonts w:ascii="Gill Sans Infant Std" w:hAnsi="Gill Sans Infant Std"/>
          <w:lang w:val="en-US"/>
        </w:rPr>
        <w:t>increase</w:t>
      </w:r>
      <w:r w:rsidR="00053E06">
        <w:rPr>
          <w:rFonts w:ascii="Gill Sans Infant Std" w:hAnsi="Gill Sans Infant Std"/>
          <w:lang w:val="en-US"/>
        </w:rPr>
        <w:t xml:space="preserve">d opportunity to move “the bully” out of the school. </w:t>
      </w:r>
      <w:r w:rsidR="00B77508">
        <w:rPr>
          <w:rFonts w:ascii="Gill Sans Infant Std" w:hAnsi="Gill Sans Infant Std"/>
          <w:lang w:val="en-US"/>
        </w:rPr>
        <w:t>Bullying is first and foremost the responsibil</w:t>
      </w:r>
      <w:r w:rsidR="00BC1B69">
        <w:rPr>
          <w:rFonts w:ascii="Gill Sans Infant Std" w:hAnsi="Gill Sans Infant Std"/>
          <w:lang w:val="en-US"/>
        </w:rPr>
        <w:t xml:space="preserve">ity of the school, and </w:t>
      </w:r>
      <w:r w:rsidR="00687682">
        <w:rPr>
          <w:rFonts w:ascii="Gill Sans Infant Std" w:hAnsi="Gill Sans Infant Std"/>
          <w:lang w:val="en-US"/>
        </w:rPr>
        <w:t>secondly,</w:t>
      </w:r>
      <w:r w:rsidR="00BC1B69">
        <w:rPr>
          <w:rFonts w:ascii="Gill Sans Infant Std" w:hAnsi="Gill Sans Infant Std"/>
          <w:lang w:val="en-US"/>
        </w:rPr>
        <w:t xml:space="preserve"> we are concerned </w:t>
      </w:r>
      <w:r w:rsidR="00687682">
        <w:rPr>
          <w:rFonts w:ascii="Gill Sans Infant Std" w:hAnsi="Gill Sans Infant Std"/>
          <w:lang w:val="en-US"/>
        </w:rPr>
        <w:t xml:space="preserve">of what the effects might be for the </w:t>
      </w:r>
      <w:r w:rsidR="00505C5F">
        <w:rPr>
          <w:rFonts w:ascii="Gill Sans Infant Std" w:hAnsi="Gill Sans Infant Std"/>
          <w:lang w:val="en-US"/>
        </w:rPr>
        <w:t xml:space="preserve">relocated </w:t>
      </w:r>
      <w:r w:rsidR="005B2E4D">
        <w:rPr>
          <w:rFonts w:ascii="Gill Sans Infant Std" w:hAnsi="Gill Sans Infant Std"/>
          <w:lang w:val="en-US"/>
        </w:rPr>
        <w:t>pupil</w:t>
      </w:r>
      <w:r w:rsidR="00687682">
        <w:rPr>
          <w:rFonts w:ascii="Gill Sans Infant Std" w:hAnsi="Gill Sans Infant Std"/>
          <w:lang w:val="en-US"/>
        </w:rPr>
        <w:t xml:space="preserve"> when it comes to stigma. We </w:t>
      </w:r>
      <w:r w:rsidR="004F63F8">
        <w:rPr>
          <w:rFonts w:ascii="Gill Sans Infant Std" w:hAnsi="Gill Sans Infant Std"/>
          <w:lang w:val="en-US"/>
        </w:rPr>
        <w:t xml:space="preserve">know that many of the children that bully others </w:t>
      </w:r>
      <w:r w:rsidR="00222CF3">
        <w:rPr>
          <w:rFonts w:ascii="Gill Sans Infant Std" w:hAnsi="Gill Sans Infant Std"/>
          <w:lang w:val="en-US"/>
        </w:rPr>
        <w:t>face</w:t>
      </w:r>
      <w:r w:rsidR="004F63F8">
        <w:rPr>
          <w:rFonts w:ascii="Gill Sans Infant Std" w:hAnsi="Gill Sans Infant Std"/>
          <w:lang w:val="en-US"/>
        </w:rPr>
        <w:t xml:space="preserve"> the same challenges </w:t>
      </w:r>
      <w:r w:rsidR="00AB308A">
        <w:rPr>
          <w:rFonts w:ascii="Gill Sans Infant Std" w:hAnsi="Gill Sans Infant Std"/>
          <w:lang w:val="en-US"/>
        </w:rPr>
        <w:t xml:space="preserve">as the ones who are subject of bullying. </w:t>
      </w:r>
    </w:p>
    <w:p w14:paraId="31AFAA4E" w14:textId="558D0837" w:rsidR="00222CF3" w:rsidRDefault="00222CF3" w:rsidP="00A942AB">
      <w:pPr>
        <w:rPr>
          <w:rFonts w:ascii="Gill Sans Infant Std" w:hAnsi="Gill Sans Infant Std"/>
          <w:lang w:val="en-US"/>
        </w:rPr>
      </w:pPr>
    </w:p>
    <w:p w14:paraId="2D4D83FC" w14:textId="2BA73D9D" w:rsidR="001F0242" w:rsidRDefault="00222CF3" w:rsidP="00603107">
      <w:pPr>
        <w:rPr>
          <w:rFonts w:ascii="Gill Sans Infant Std" w:hAnsi="Gill Sans Infant Std"/>
          <w:lang w:val="en-US"/>
        </w:rPr>
      </w:pPr>
      <w:r>
        <w:rPr>
          <w:rFonts w:ascii="Gill Sans Infant Std" w:hAnsi="Gill Sans Infant Std"/>
          <w:lang w:val="en-US"/>
        </w:rPr>
        <w:t xml:space="preserve">Save the Children Norway </w:t>
      </w:r>
      <w:r w:rsidR="00A85333">
        <w:rPr>
          <w:rFonts w:ascii="Gill Sans Infant Std" w:hAnsi="Gill Sans Infant Std"/>
          <w:lang w:val="en-US"/>
        </w:rPr>
        <w:t>reco</w:t>
      </w:r>
      <w:r w:rsidR="00065E3E">
        <w:rPr>
          <w:rFonts w:ascii="Gill Sans Infant Std" w:hAnsi="Gill Sans Infant Std"/>
          <w:lang w:val="en-US"/>
        </w:rPr>
        <w:t>mmends</w:t>
      </w:r>
      <w:r w:rsidR="002D10DF">
        <w:rPr>
          <w:rStyle w:val="Fotnotereferanse"/>
          <w:lang w:val="en-US"/>
        </w:rPr>
        <w:footnoteReference w:id="6"/>
      </w:r>
      <w:r w:rsidR="00934A00">
        <w:rPr>
          <w:rFonts w:ascii="Gill Sans Infant Std" w:hAnsi="Gill Sans Infant Std"/>
          <w:lang w:val="en-US"/>
        </w:rPr>
        <w:t>:</w:t>
      </w:r>
      <w:r w:rsidR="002D10DF">
        <w:rPr>
          <w:rFonts w:ascii="Gill Sans Infant Std" w:hAnsi="Gill Sans Infant Std"/>
          <w:lang w:val="en-US"/>
        </w:rPr>
        <w:t xml:space="preserve"> </w:t>
      </w:r>
    </w:p>
    <w:p w14:paraId="0409FD8F" w14:textId="77777777" w:rsidR="001F0242" w:rsidRDefault="001F0242" w:rsidP="00603107">
      <w:pPr>
        <w:rPr>
          <w:rFonts w:ascii="Gill Sans Infant Std" w:hAnsi="Gill Sans Infant Std"/>
          <w:lang w:val="en-US"/>
        </w:rPr>
      </w:pPr>
    </w:p>
    <w:p w14:paraId="39A5C504" w14:textId="3227F54C" w:rsidR="00603107" w:rsidRPr="002E704C" w:rsidRDefault="00603107" w:rsidP="002E704C">
      <w:pPr>
        <w:pStyle w:val="Listeavsnitt"/>
        <w:numPr>
          <w:ilvl w:val="0"/>
          <w:numId w:val="4"/>
        </w:numPr>
        <w:rPr>
          <w:rFonts w:ascii="Gill Sans Infant Std" w:hAnsi="Gill Sans Infant Std"/>
          <w:lang w:val="en-US"/>
        </w:rPr>
      </w:pPr>
      <w:r w:rsidRPr="002E704C">
        <w:rPr>
          <w:rFonts w:ascii="Gill Sans Infant Std" w:hAnsi="Gill Sans Infant Std"/>
          <w:lang w:val="en-US"/>
        </w:rPr>
        <w:t>The State Party must stipulate a requirement that the</w:t>
      </w:r>
      <w:r w:rsidR="000C64F8" w:rsidRPr="002E704C">
        <w:rPr>
          <w:rFonts w:ascii="Gill Sans Infant Std" w:hAnsi="Gill Sans Infant Std"/>
          <w:lang w:val="en-US"/>
        </w:rPr>
        <w:t xml:space="preserve"> </w:t>
      </w:r>
      <w:r w:rsidRPr="002E704C">
        <w:rPr>
          <w:rFonts w:ascii="Gill Sans Infant Std" w:hAnsi="Gill Sans Infant Std"/>
          <w:lang w:val="en-US"/>
        </w:rPr>
        <w:t>Education Act should also regulate who is responsible for</w:t>
      </w:r>
      <w:r w:rsidR="000C64F8" w:rsidRPr="002E704C">
        <w:rPr>
          <w:rFonts w:ascii="Gill Sans Infant Std" w:hAnsi="Gill Sans Infant Std"/>
          <w:lang w:val="en-US"/>
        </w:rPr>
        <w:t xml:space="preserve"> </w:t>
      </w:r>
      <w:r w:rsidRPr="002E704C">
        <w:rPr>
          <w:rFonts w:ascii="Gill Sans Infant Std" w:hAnsi="Gill Sans Infant Std"/>
          <w:lang w:val="en-US"/>
        </w:rPr>
        <w:t>digital bullying that takes place outside school hours and</w:t>
      </w:r>
      <w:r w:rsidR="002E704C" w:rsidRPr="002E704C">
        <w:rPr>
          <w:rFonts w:ascii="Gill Sans Infant Std" w:hAnsi="Gill Sans Infant Std"/>
          <w:lang w:val="en-US"/>
        </w:rPr>
        <w:t xml:space="preserve"> </w:t>
      </w:r>
      <w:r w:rsidRPr="002E704C">
        <w:rPr>
          <w:rFonts w:ascii="Gill Sans Infant Std" w:hAnsi="Gill Sans Infant Std"/>
          <w:lang w:val="en-US"/>
        </w:rPr>
        <w:t>impacts children’s well-being and security in school</w:t>
      </w:r>
      <w:r w:rsidR="000A0916">
        <w:rPr>
          <w:rFonts w:ascii="Gill Sans Infant Std" w:hAnsi="Gill Sans Infant Std"/>
          <w:lang w:val="en-US"/>
        </w:rPr>
        <w:t>.</w:t>
      </w:r>
    </w:p>
    <w:p w14:paraId="032ABFFF" w14:textId="77777777" w:rsidR="002E704C" w:rsidRPr="00603107" w:rsidRDefault="002E704C" w:rsidP="003C74AD">
      <w:pPr>
        <w:ind w:firstLine="708"/>
        <w:rPr>
          <w:rFonts w:ascii="Gill Sans Infant Std" w:hAnsi="Gill Sans Infant Std"/>
          <w:lang w:val="en-US"/>
        </w:rPr>
      </w:pPr>
    </w:p>
    <w:p w14:paraId="2B3B566F" w14:textId="239A0CAB" w:rsidR="00603107" w:rsidRPr="000A0916" w:rsidRDefault="00EA6A6D" w:rsidP="000A0916">
      <w:pPr>
        <w:pStyle w:val="Listeavsnitt"/>
        <w:numPr>
          <w:ilvl w:val="0"/>
          <w:numId w:val="4"/>
        </w:numPr>
        <w:rPr>
          <w:rFonts w:ascii="Gill Sans Infant Std" w:hAnsi="Gill Sans Infant Std"/>
          <w:lang w:val="en-US"/>
        </w:rPr>
      </w:pPr>
      <w:r w:rsidRPr="00EA6A6D">
        <w:rPr>
          <w:rFonts w:ascii="Gill Sans Infant Std" w:hAnsi="Gill Sans Infant Std"/>
          <w:lang w:val="en-US"/>
        </w:rPr>
        <w:t>The State party must ensure that the systematic training measures</w:t>
      </w:r>
      <w:r w:rsidR="00B639CD">
        <w:rPr>
          <w:rStyle w:val="Fotnotereferanse"/>
          <w:lang w:val="en-US"/>
        </w:rPr>
        <w:footnoteReference w:id="7"/>
      </w:r>
      <w:r w:rsidRPr="00EA6A6D">
        <w:rPr>
          <w:rFonts w:ascii="Gill Sans Infant Std" w:hAnsi="Gill Sans Infant Std"/>
          <w:lang w:val="en-US"/>
        </w:rPr>
        <w:t xml:space="preserve"> that improve teachers’ competence in kindergartens and schools about bullying and other offenses, also includes digital bullying and </w:t>
      </w:r>
      <w:r w:rsidR="00827094">
        <w:rPr>
          <w:rFonts w:ascii="Gill Sans Infant Std" w:hAnsi="Gill Sans Infant Std"/>
          <w:lang w:val="en-US"/>
        </w:rPr>
        <w:t>teach</w:t>
      </w:r>
      <w:r w:rsidRPr="00EA6A6D">
        <w:rPr>
          <w:rFonts w:ascii="Gill Sans Infant Std" w:hAnsi="Gill Sans Infant Std"/>
          <w:lang w:val="en-US"/>
        </w:rPr>
        <w:t xml:space="preserve"> them the necessity of involving children in the work.</w:t>
      </w:r>
    </w:p>
    <w:p w14:paraId="176668A5" w14:textId="77777777" w:rsidR="002E704C" w:rsidRDefault="002E704C" w:rsidP="00697E77">
      <w:pPr>
        <w:ind w:left="708"/>
        <w:rPr>
          <w:rFonts w:ascii="Gill Sans Infant Std" w:hAnsi="Gill Sans Infant Std"/>
          <w:lang w:val="en-US"/>
        </w:rPr>
      </w:pPr>
    </w:p>
    <w:p w14:paraId="1E8112B4" w14:textId="1A1449F8" w:rsidR="00222CF3" w:rsidRDefault="00603107" w:rsidP="00697E77">
      <w:pPr>
        <w:ind w:left="708"/>
        <w:rPr>
          <w:rFonts w:ascii="Gill Sans Infant Std" w:hAnsi="Gill Sans Infant Std"/>
          <w:lang w:val="en-US"/>
        </w:rPr>
      </w:pPr>
      <w:r w:rsidRPr="00603107">
        <w:rPr>
          <w:rFonts w:ascii="Gill Sans Infant Std" w:hAnsi="Gill Sans Infant Std"/>
          <w:lang w:val="en-US"/>
        </w:rPr>
        <w:t>• The State Party must ensure that the school’s duty to act</w:t>
      </w:r>
      <w:r w:rsidR="003C74AD">
        <w:rPr>
          <w:rFonts w:ascii="Gill Sans Infant Std" w:hAnsi="Gill Sans Infant Std"/>
          <w:lang w:val="en-US"/>
        </w:rPr>
        <w:t xml:space="preserve"> </w:t>
      </w:r>
      <w:r w:rsidRPr="00603107">
        <w:rPr>
          <w:rFonts w:ascii="Gill Sans Infant Std" w:hAnsi="Gill Sans Infant Std"/>
          <w:lang w:val="en-US"/>
        </w:rPr>
        <w:t>and follow-up, notify and step in with measures also</w:t>
      </w:r>
      <w:r w:rsidR="003C74AD">
        <w:rPr>
          <w:rFonts w:ascii="Gill Sans Infant Std" w:hAnsi="Gill Sans Infant Std"/>
          <w:lang w:val="en-US"/>
        </w:rPr>
        <w:t xml:space="preserve"> </w:t>
      </w:r>
      <w:r w:rsidRPr="00603107">
        <w:rPr>
          <w:rFonts w:ascii="Gill Sans Infant Std" w:hAnsi="Gill Sans Infant Std"/>
          <w:lang w:val="en-US"/>
        </w:rPr>
        <w:t>applies in cases of digital bulling and abuse, even if the</w:t>
      </w:r>
      <w:r w:rsidR="003C74AD">
        <w:rPr>
          <w:rFonts w:ascii="Gill Sans Infant Std" w:hAnsi="Gill Sans Infant Std"/>
          <w:lang w:val="en-US"/>
        </w:rPr>
        <w:t xml:space="preserve"> </w:t>
      </w:r>
      <w:r w:rsidRPr="00603107">
        <w:rPr>
          <w:rFonts w:ascii="Gill Sans Infant Std" w:hAnsi="Gill Sans Infant Std"/>
          <w:lang w:val="en-US"/>
        </w:rPr>
        <w:t>bullying</w:t>
      </w:r>
      <w:r w:rsidR="007C2290">
        <w:rPr>
          <w:rFonts w:ascii="Gill Sans Infant Std" w:hAnsi="Gill Sans Infant Std"/>
          <w:lang w:val="en-US"/>
        </w:rPr>
        <w:t xml:space="preserve"> </w:t>
      </w:r>
      <w:r w:rsidR="007C2290" w:rsidRPr="007C2290">
        <w:rPr>
          <w:rFonts w:ascii="Gill Sans Infant Std" w:hAnsi="Gill Sans Infant Std"/>
          <w:lang w:val="en-US"/>
        </w:rPr>
        <w:t>between the pupils takes place outside school</w:t>
      </w:r>
      <w:r w:rsidR="00697E77">
        <w:rPr>
          <w:rFonts w:ascii="Gill Sans Infant Std" w:hAnsi="Gill Sans Infant Std"/>
          <w:lang w:val="en-US"/>
        </w:rPr>
        <w:t xml:space="preserve"> </w:t>
      </w:r>
      <w:r w:rsidR="007C2290" w:rsidRPr="007C2290">
        <w:rPr>
          <w:rFonts w:ascii="Gill Sans Infant Std" w:hAnsi="Gill Sans Infant Std"/>
          <w:lang w:val="en-US"/>
        </w:rPr>
        <w:t>hours</w:t>
      </w:r>
    </w:p>
    <w:p w14:paraId="1BFD57AF" w14:textId="48C49C47" w:rsidR="00DC4A4E" w:rsidRPr="002E704C" w:rsidRDefault="00DC4A4E" w:rsidP="00DC4A4E">
      <w:pPr>
        <w:rPr>
          <w:rFonts w:ascii="Gill Sans Infant Std" w:hAnsi="Gill Sans Infant Std"/>
          <w:lang w:val="en-US"/>
        </w:rPr>
      </w:pPr>
    </w:p>
    <w:p w14:paraId="56CFB8B0" w14:textId="5A67EA86" w:rsidR="0096608E" w:rsidRDefault="00697E77" w:rsidP="005D435D">
      <w:pPr>
        <w:ind w:left="708"/>
        <w:rPr>
          <w:rFonts w:ascii="Gill Sans Infant Std" w:hAnsi="Gill Sans Infant Std"/>
          <w:lang w:val="en-US"/>
        </w:rPr>
      </w:pPr>
      <w:r w:rsidRPr="00697E77">
        <w:rPr>
          <w:rFonts w:ascii="Gill Sans Infant Std" w:hAnsi="Gill Sans Infant Std"/>
          <w:lang w:val="en-US"/>
        </w:rPr>
        <w:t>• The State Party must ensure that the complaint</w:t>
      </w:r>
      <w:r w:rsidR="005D435D">
        <w:rPr>
          <w:rFonts w:ascii="Gill Sans Infant Std" w:hAnsi="Gill Sans Infant Std"/>
          <w:lang w:val="en-US"/>
        </w:rPr>
        <w:t xml:space="preserve"> </w:t>
      </w:r>
      <w:r w:rsidRPr="00697E77">
        <w:rPr>
          <w:rFonts w:ascii="Gill Sans Infant Std" w:hAnsi="Gill Sans Infant Std"/>
          <w:lang w:val="en-US"/>
        </w:rPr>
        <w:t>procedures are adequately designed for children</w:t>
      </w:r>
      <w:r w:rsidR="00934A00">
        <w:rPr>
          <w:rFonts w:ascii="Gill Sans Infant Std" w:hAnsi="Gill Sans Infant Std"/>
          <w:lang w:val="en-US"/>
        </w:rPr>
        <w:t xml:space="preserve"> and </w:t>
      </w:r>
      <w:r w:rsidR="00FD1D96">
        <w:rPr>
          <w:rFonts w:ascii="Gill Sans Infant Std" w:hAnsi="Gill Sans Infant Std"/>
          <w:lang w:val="en-US"/>
        </w:rPr>
        <w:t xml:space="preserve">that equal cases are </w:t>
      </w:r>
      <w:r w:rsidR="00EE3A13">
        <w:rPr>
          <w:rFonts w:ascii="Gill Sans Infant Std" w:hAnsi="Gill Sans Infant Std"/>
          <w:lang w:val="en-US"/>
        </w:rPr>
        <w:t>treated the same away in the different counties</w:t>
      </w:r>
      <w:r w:rsidR="00A7708B">
        <w:rPr>
          <w:rStyle w:val="Fotnotereferanse"/>
          <w:lang w:val="en-US"/>
        </w:rPr>
        <w:footnoteReference w:id="8"/>
      </w:r>
    </w:p>
    <w:p w14:paraId="2AF55078" w14:textId="77777777" w:rsidR="0031672F" w:rsidRPr="007C2290" w:rsidRDefault="0031672F" w:rsidP="00A942AB">
      <w:pPr>
        <w:rPr>
          <w:rFonts w:ascii="Gill Sans Infant Std" w:hAnsi="Gill Sans Infant Std"/>
          <w:lang w:val="en-US"/>
        </w:rPr>
      </w:pPr>
    </w:p>
    <w:p w14:paraId="1737F14F" w14:textId="77777777" w:rsidR="0031672F" w:rsidRPr="002E704C" w:rsidRDefault="0031672F" w:rsidP="00A942AB">
      <w:pPr>
        <w:rPr>
          <w:rFonts w:ascii="Gill Sans Infant Std" w:hAnsi="Gill Sans Infant Std"/>
          <w:lang w:val="en-US"/>
        </w:rPr>
      </w:pPr>
    </w:p>
    <w:p w14:paraId="5569F2CF" w14:textId="104E79CE" w:rsidR="00232780" w:rsidRPr="002E704C" w:rsidRDefault="005A1E43" w:rsidP="00A942AB">
      <w:pPr>
        <w:rPr>
          <w:rFonts w:ascii="Gill Sans Infant Std" w:hAnsi="Gill Sans Infant Std"/>
          <w:b/>
          <w:sz w:val="24"/>
          <w:szCs w:val="24"/>
          <w:lang w:val="en-US"/>
        </w:rPr>
      </w:pPr>
      <w:r w:rsidRPr="002E704C">
        <w:rPr>
          <w:rFonts w:ascii="Gill Sans Infant Std" w:hAnsi="Gill Sans Infant Std"/>
          <w:b/>
          <w:sz w:val="24"/>
          <w:szCs w:val="24"/>
          <w:lang w:val="en-US"/>
        </w:rPr>
        <w:t xml:space="preserve">Unaccompanied asylum-seeking children </w:t>
      </w:r>
    </w:p>
    <w:p w14:paraId="5F2327DB" w14:textId="77777777" w:rsidR="00232780" w:rsidRPr="002E704C" w:rsidRDefault="00232780" w:rsidP="00232780">
      <w:pPr>
        <w:rPr>
          <w:rFonts w:ascii="Gill Sans Infant Std" w:hAnsi="Gill Sans Infant Std"/>
          <w:b/>
          <w:lang w:val="en-US"/>
        </w:rPr>
      </w:pPr>
    </w:p>
    <w:p w14:paraId="4B6C48D0" w14:textId="5FC97E51" w:rsidR="00232780" w:rsidRPr="002E704C" w:rsidRDefault="009047E0" w:rsidP="00232780">
      <w:pPr>
        <w:rPr>
          <w:rFonts w:ascii="Gill Sans Infant Std" w:hAnsi="Gill Sans Infant Std"/>
          <w:b/>
          <w:lang w:val="en-US"/>
        </w:rPr>
      </w:pPr>
      <w:r w:rsidRPr="002E704C">
        <w:rPr>
          <w:rFonts w:ascii="Gill Sans Infant Std" w:hAnsi="Gill Sans Infant Std"/>
          <w:b/>
          <w:lang w:val="en-US"/>
        </w:rPr>
        <w:t xml:space="preserve">From </w:t>
      </w:r>
      <w:r w:rsidR="006266C4">
        <w:rPr>
          <w:rFonts w:ascii="Gill Sans Infant Std" w:hAnsi="Gill Sans Infant Std"/>
          <w:b/>
          <w:lang w:val="en-US"/>
        </w:rPr>
        <w:t xml:space="preserve">the </w:t>
      </w:r>
      <w:r w:rsidRPr="002E704C">
        <w:rPr>
          <w:rFonts w:ascii="Gill Sans Infant Std" w:hAnsi="Gill Sans Infant Std"/>
          <w:b/>
          <w:lang w:val="en-US"/>
        </w:rPr>
        <w:t>list of issues</w:t>
      </w:r>
      <w:r w:rsidR="008A72EE">
        <w:rPr>
          <w:rFonts w:ascii="Gill Sans Infant Std" w:hAnsi="Gill Sans Infant Std"/>
          <w:b/>
          <w:lang w:val="en-US"/>
        </w:rPr>
        <w:t xml:space="preserve"> paragraph 15 b</w:t>
      </w:r>
      <w:r w:rsidR="00232780" w:rsidRPr="002E704C">
        <w:rPr>
          <w:rFonts w:ascii="Gill Sans Infant Std" w:hAnsi="Gill Sans Infant Std"/>
          <w:b/>
          <w:lang w:val="en-US"/>
        </w:rPr>
        <w:t>:</w:t>
      </w:r>
    </w:p>
    <w:p w14:paraId="14323439" w14:textId="3FB44DE7" w:rsidR="00232780" w:rsidRPr="00856903" w:rsidRDefault="00865060" w:rsidP="00856903">
      <w:pPr>
        <w:pStyle w:val="SingleTxtG"/>
      </w:pPr>
      <w:r w:rsidRPr="00C6159D">
        <w:t>15.</w:t>
      </w:r>
      <w:r w:rsidRPr="00C6159D">
        <w:tab/>
        <w:t xml:space="preserve">Please provide information </w:t>
      </w:r>
      <w:proofErr w:type="gramStart"/>
      <w:r w:rsidRPr="00C6159D">
        <w:t>on the situation of</w:t>
      </w:r>
      <w:proofErr w:type="gramEnd"/>
      <w:r w:rsidRPr="00C6159D">
        <w:t xml:space="preserve"> asylum seekers</w:t>
      </w:r>
      <w:r>
        <w:t>,</w:t>
      </w:r>
      <w:r w:rsidRPr="00C6159D">
        <w:t xml:space="preserve"> in particular: </w:t>
      </w:r>
    </w:p>
    <w:p w14:paraId="40FBB434" w14:textId="77777777" w:rsidR="00856903" w:rsidRPr="00C6159D" w:rsidRDefault="00856903" w:rsidP="00856903">
      <w:pPr>
        <w:pStyle w:val="SingleTxtG"/>
      </w:pPr>
      <w:r>
        <w:tab/>
      </w:r>
      <w:r w:rsidRPr="00C6159D">
        <w:t>(b)</w:t>
      </w:r>
      <w:r w:rsidRPr="00C6159D">
        <w:tab/>
        <w:t>The steps taken or envisaged to ensure that the protection and care of all unaccompanied asylum-seeking children under the age of 18 are provided by the Child Welfare Services (para. 12);</w:t>
      </w:r>
      <w:r>
        <w:t xml:space="preserve"> </w:t>
      </w:r>
    </w:p>
    <w:p w14:paraId="162E4231" w14:textId="77777777" w:rsidR="00865060" w:rsidRPr="00865060" w:rsidRDefault="00865060" w:rsidP="00232780">
      <w:pPr>
        <w:rPr>
          <w:rFonts w:ascii="Gill Sans Infant Std" w:hAnsi="Gill Sans Infant Std"/>
          <w:lang w:val="en-US"/>
        </w:rPr>
      </w:pPr>
    </w:p>
    <w:p w14:paraId="650A2E52" w14:textId="69D4AFC5" w:rsidR="00232780" w:rsidRDefault="009047E0" w:rsidP="00232780">
      <w:pPr>
        <w:rPr>
          <w:rFonts w:ascii="Gill Sans Infant Std" w:hAnsi="Gill Sans Infant Std"/>
          <w:b/>
          <w:lang w:val="en-US"/>
        </w:rPr>
      </w:pPr>
      <w:r>
        <w:rPr>
          <w:rFonts w:ascii="Gill Sans Infant Std" w:hAnsi="Gill Sans Infant Std"/>
          <w:b/>
          <w:lang w:val="en-US"/>
        </w:rPr>
        <w:t>The State Party’s reply</w:t>
      </w:r>
      <w:r w:rsidR="00953515">
        <w:rPr>
          <w:rFonts w:ascii="Gill Sans Infant Std" w:hAnsi="Gill Sans Infant Std"/>
          <w:b/>
          <w:lang w:val="en-US"/>
        </w:rPr>
        <w:t xml:space="preserve"> to paragraph </w:t>
      </w:r>
      <w:r w:rsidR="008A72EE">
        <w:rPr>
          <w:rFonts w:ascii="Gill Sans Infant Std" w:hAnsi="Gill Sans Infant Std"/>
          <w:b/>
          <w:lang w:val="en-US"/>
        </w:rPr>
        <w:t>15 b</w:t>
      </w:r>
      <w:r w:rsidR="00232780" w:rsidRPr="00847715">
        <w:rPr>
          <w:rFonts w:ascii="Gill Sans Infant Std" w:hAnsi="Gill Sans Infant Std"/>
          <w:b/>
          <w:lang w:val="en-US"/>
        </w:rPr>
        <w:t>:</w:t>
      </w:r>
    </w:p>
    <w:p w14:paraId="1F277646" w14:textId="77777777" w:rsidR="00847715" w:rsidRPr="00847715" w:rsidRDefault="00847715" w:rsidP="00232780">
      <w:pPr>
        <w:rPr>
          <w:rFonts w:ascii="Gill Sans Infant Std" w:hAnsi="Gill Sans Infant Std"/>
          <w:b/>
          <w:lang w:val="en-US"/>
        </w:rPr>
      </w:pPr>
    </w:p>
    <w:p w14:paraId="66DE7B6D" w14:textId="77777777" w:rsidR="00847715" w:rsidRPr="00440646" w:rsidRDefault="00847715" w:rsidP="00847715">
      <w:pPr>
        <w:pStyle w:val="SingleTxtG"/>
      </w:pPr>
      <w:r w:rsidRPr="00440646">
        <w:t xml:space="preserve">(b) The Child Welfare Act applies to all children in Norway, regardless of their status, nationality or citizenship. Minor asylum seekers are offered health </w:t>
      </w:r>
      <w:r>
        <w:t xml:space="preserve">and care </w:t>
      </w:r>
      <w:r w:rsidRPr="00440646">
        <w:t xml:space="preserve">services and education in compliance with the UN Convention on the Rights of the Child. The responsibility for the care of unaccompanied asylum-seeking minors is shared between the child welfare service and the immigration authorities. </w:t>
      </w:r>
    </w:p>
    <w:p w14:paraId="0031F2E5" w14:textId="77777777" w:rsidR="00847715" w:rsidRPr="00440646" w:rsidRDefault="00847715" w:rsidP="00847715">
      <w:pPr>
        <w:pStyle w:val="SingleTxtG"/>
      </w:pPr>
      <w:r w:rsidRPr="00440646">
        <w:t xml:space="preserve">Unaccompanied asylum-seeking minors below the age of 15 are offered accommodation in care centres provided by </w:t>
      </w:r>
      <w:r>
        <w:t>t</w:t>
      </w:r>
      <w:r w:rsidRPr="00440646">
        <w:t>he Norwegian Office for Children, Youth and Family Affairs (</w:t>
      </w:r>
      <w:proofErr w:type="spellStart"/>
      <w:r w:rsidRPr="00440646">
        <w:t>Bufetat</w:t>
      </w:r>
      <w:proofErr w:type="spellEnd"/>
      <w:r w:rsidRPr="00440646">
        <w:t>)</w:t>
      </w:r>
      <w:r>
        <w:t>.</w:t>
      </w:r>
      <w:r w:rsidRPr="00440646">
        <w:rPr>
          <w:rStyle w:val="Fotnotereferanse"/>
        </w:rPr>
        <w:footnoteReference w:id="9"/>
      </w:r>
      <w:r w:rsidRPr="00440646">
        <w:t xml:space="preserve"> The immigration authorities have the primary responsibility for housing and care services for unaccompanied asylum-seeking minors above 15 years of age. </w:t>
      </w:r>
    </w:p>
    <w:p w14:paraId="173FFD0E" w14:textId="77777777" w:rsidR="00847715" w:rsidRPr="00440646" w:rsidRDefault="00847715" w:rsidP="00847715">
      <w:pPr>
        <w:pStyle w:val="SingleTxtG"/>
      </w:pPr>
      <w:r w:rsidRPr="00440646">
        <w:t xml:space="preserve">The Norwegian Government is not currently considering transferring care </w:t>
      </w:r>
      <w:r>
        <w:t xml:space="preserve">responsibility </w:t>
      </w:r>
      <w:r w:rsidRPr="00440646">
        <w:t xml:space="preserve">for unaccompanied minors aged 15–18 to the child welfare service. Norway acknowledges that all unaccompanied asylum-seeking minors </w:t>
      </w:r>
      <w:r>
        <w:t>require</w:t>
      </w:r>
      <w:r w:rsidRPr="00440646">
        <w:t xml:space="preserve"> a level of care and accommodation designated for their special needs. However, younger children normally require a higher level of care than older children. Norway accordingly has an age-adjusted reception offer. The reception facilities offered to unaccompanied minors aged 15–18 are designed to meet the needs of this group. The Norwegian </w:t>
      </w:r>
      <w:r>
        <w:t>G</w:t>
      </w:r>
      <w:r w:rsidRPr="00440646">
        <w:t xml:space="preserve">overnment is working systematically to ensure that the care </w:t>
      </w:r>
      <w:r>
        <w:t xml:space="preserve">provided </w:t>
      </w:r>
      <w:r w:rsidRPr="00440646">
        <w:t xml:space="preserve">for all unaccompanied children is managed in the best possible way.  </w:t>
      </w:r>
    </w:p>
    <w:p w14:paraId="6935EF8D" w14:textId="3ADBFC46" w:rsidR="00847715" w:rsidRDefault="00847715" w:rsidP="00232780">
      <w:pPr>
        <w:rPr>
          <w:rFonts w:ascii="Gill Sans Infant Std" w:hAnsi="Gill Sans Infant Std"/>
          <w:lang w:val="en-US"/>
        </w:rPr>
      </w:pPr>
    </w:p>
    <w:p w14:paraId="2469DE07" w14:textId="0C7768CB" w:rsidR="00764B8E" w:rsidRDefault="00764B8E" w:rsidP="00232780">
      <w:pPr>
        <w:rPr>
          <w:rFonts w:ascii="Gill Sans Infant Std" w:hAnsi="Gill Sans Infant Std"/>
          <w:lang w:val="en-US"/>
        </w:rPr>
      </w:pPr>
    </w:p>
    <w:p w14:paraId="5BFBFAB4" w14:textId="6CCDA5C0" w:rsidR="00764B8E" w:rsidRDefault="00764B8E" w:rsidP="00232780">
      <w:pPr>
        <w:rPr>
          <w:rFonts w:ascii="Gill Sans Infant Std" w:hAnsi="Gill Sans Infant Std"/>
          <w:lang w:val="en-US"/>
        </w:rPr>
      </w:pPr>
    </w:p>
    <w:p w14:paraId="285CB934" w14:textId="0839BC83" w:rsidR="00764B8E" w:rsidRDefault="00764B8E" w:rsidP="00232780">
      <w:pPr>
        <w:rPr>
          <w:rFonts w:ascii="Gill Sans Infant Std" w:hAnsi="Gill Sans Infant Std"/>
          <w:lang w:val="en-US"/>
        </w:rPr>
      </w:pPr>
    </w:p>
    <w:p w14:paraId="2A019F0B" w14:textId="77777777" w:rsidR="00764B8E" w:rsidRPr="009F64DB" w:rsidRDefault="00764B8E" w:rsidP="00232780">
      <w:pPr>
        <w:rPr>
          <w:rFonts w:ascii="Gill Sans Infant Std" w:hAnsi="Gill Sans Infant Std"/>
          <w:lang w:val="en-US"/>
        </w:rPr>
      </w:pPr>
    </w:p>
    <w:p w14:paraId="40526387" w14:textId="77777777" w:rsidR="00847715" w:rsidRPr="009F64DB" w:rsidRDefault="00847715" w:rsidP="00232780">
      <w:pPr>
        <w:rPr>
          <w:rFonts w:ascii="Gill Sans Infant Std" w:hAnsi="Gill Sans Infant Std"/>
          <w:lang w:val="en-US"/>
        </w:rPr>
      </w:pPr>
    </w:p>
    <w:p w14:paraId="1070C513" w14:textId="4A11B8C5" w:rsidR="00F942F0" w:rsidRDefault="001E20D4" w:rsidP="00F942F0">
      <w:pPr>
        <w:rPr>
          <w:rFonts w:ascii="Gill Sans Infant Std" w:hAnsi="Gill Sans Infant Std"/>
          <w:b/>
          <w:lang w:val="en-US"/>
        </w:rPr>
      </w:pPr>
      <w:r>
        <w:rPr>
          <w:rFonts w:ascii="Gill Sans Infant Std" w:hAnsi="Gill Sans Infant Std"/>
          <w:b/>
          <w:lang w:val="en-US"/>
        </w:rPr>
        <w:lastRenderedPageBreak/>
        <w:t>In</w:t>
      </w:r>
      <w:r w:rsidR="003418AC">
        <w:rPr>
          <w:rFonts w:ascii="Gill Sans Infant Std" w:hAnsi="Gill Sans Infant Std"/>
          <w:b/>
          <w:lang w:val="en-US"/>
        </w:rPr>
        <w:t xml:space="preserve">fo from </w:t>
      </w:r>
      <w:r w:rsidR="00F942F0" w:rsidRPr="001D7596">
        <w:rPr>
          <w:rFonts w:ascii="Gill Sans Infant Std" w:hAnsi="Gill Sans Infant Std"/>
          <w:b/>
          <w:lang w:val="en-US"/>
        </w:rPr>
        <w:t>Save the Children Norway</w:t>
      </w:r>
      <w:r w:rsidR="00F942F0">
        <w:rPr>
          <w:rFonts w:ascii="Gill Sans Infant Std" w:hAnsi="Gill Sans Infant Std"/>
          <w:b/>
          <w:lang w:val="en-US"/>
        </w:rPr>
        <w:t>:</w:t>
      </w:r>
    </w:p>
    <w:p w14:paraId="298E5523" w14:textId="715A0945" w:rsidR="00E66ECA" w:rsidRPr="00F942F0" w:rsidRDefault="00E66ECA" w:rsidP="009A4035">
      <w:pPr>
        <w:rPr>
          <w:rFonts w:ascii="Gill Sans Infant Std" w:hAnsi="Gill Sans Infant Std"/>
          <w:lang w:val="en-US"/>
        </w:rPr>
      </w:pPr>
    </w:p>
    <w:p w14:paraId="73A73BE5" w14:textId="1EA1AE4E" w:rsidR="00380653" w:rsidRPr="00EA3560" w:rsidRDefault="00214F53" w:rsidP="00380653">
      <w:pPr>
        <w:rPr>
          <w:rStyle w:val="normaltextrun1"/>
          <w:sz w:val="20"/>
          <w:szCs w:val="20"/>
          <w:lang w:val="en-US"/>
        </w:rPr>
      </w:pPr>
      <w:r w:rsidRPr="00214F53">
        <w:rPr>
          <w:rFonts w:ascii="Gill Sans Infant Std" w:hAnsi="Gill Sans Infant Std"/>
          <w:lang w:val="en-US"/>
        </w:rPr>
        <w:t>The State Party must ensure child welfare services are</w:t>
      </w:r>
      <w:r w:rsidR="008149E2">
        <w:rPr>
          <w:rFonts w:ascii="Gill Sans Infant Std" w:hAnsi="Gill Sans Infant Std"/>
          <w:lang w:val="en-US"/>
        </w:rPr>
        <w:t xml:space="preserve"> </w:t>
      </w:r>
      <w:r w:rsidRPr="00214F53">
        <w:rPr>
          <w:rFonts w:ascii="Gill Sans Infant Std" w:hAnsi="Gill Sans Infant Std"/>
          <w:lang w:val="en-US"/>
        </w:rPr>
        <w:t>given responsibility for all unaccompanied refugee minors</w:t>
      </w:r>
      <w:r w:rsidR="008149E2">
        <w:rPr>
          <w:rFonts w:ascii="Gill Sans Infant Std" w:hAnsi="Gill Sans Infant Std"/>
          <w:lang w:val="en-US"/>
        </w:rPr>
        <w:t xml:space="preserve"> </w:t>
      </w:r>
      <w:r w:rsidRPr="00214F53">
        <w:rPr>
          <w:rFonts w:ascii="Gill Sans Infant Std" w:hAnsi="Gill Sans Infant Std"/>
          <w:lang w:val="en-US"/>
        </w:rPr>
        <w:t>under 18, the care provision is regulated by the Child</w:t>
      </w:r>
      <w:r w:rsidR="008149E2">
        <w:rPr>
          <w:rFonts w:ascii="Gill Sans Infant Std" w:hAnsi="Gill Sans Infant Std"/>
          <w:lang w:val="en-US"/>
        </w:rPr>
        <w:t xml:space="preserve"> </w:t>
      </w:r>
      <w:r w:rsidRPr="00214F53">
        <w:rPr>
          <w:rFonts w:ascii="Gill Sans Infant Std" w:hAnsi="Gill Sans Infant Std"/>
          <w:lang w:val="en-US"/>
        </w:rPr>
        <w:t>Welfare Act</w:t>
      </w:r>
      <w:r w:rsidR="008149E2">
        <w:rPr>
          <w:rFonts w:ascii="Gill Sans Infant Std" w:hAnsi="Gill Sans Infant Std"/>
          <w:lang w:val="en-US"/>
        </w:rPr>
        <w:t xml:space="preserve">. </w:t>
      </w:r>
      <w:r w:rsidR="00601080">
        <w:rPr>
          <w:rFonts w:ascii="Gill Sans Infant Std" w:hAnsi="Gill Sans Infant Std"/>
          <w:lang w:val="en-US"/>
        </w:rPr>
        <w:t xml:space="preserve">We strongly disagree to The State Party’s </w:t>
      </w:r>
      <w:r w:rsidR="00FC6736">
        <w:rPr>
          <w:rFonts w:ascii="Gill Sans Infant Std" w:hAnsi="Gill Sans Infant Std"/>
          <w:lang w:val="en-US"/>
        </w:rPr>
        <w:t xml:space="preserve">description </w:t>
      </w:r>
      <w:r w:rsidR="009E2CD7" w:rsidRPr="009E2CD7">
        <w:rPr>
          <w:rFonts w:ascii="Gill Sans Infant Std" w:hAnsi="Gill Sans Infant Std"/>
          <w:lang w:val="en-US"/>
        </w:rPr>
        <w:t>that “</w:t>
      </w:r>
      <w:r w:rsidR="00380653" w:rsidRPr="009E2CD7">
        <w:rPr>
          <w:rFonts w:ascii="Gill Sans Infant Std" w:hAnsi="Gill Sans Infant Std" w:cs="Arial"/>
          <w:lang w:val="en-US"/>
        </w:rPr>
        <w:t>The reception facilities offered to unaccompanied minors aged 15–</w:t>
      </w:r>
      <w:r w:rsidR="00380653" w:rsidRPr="00EA3560">
        <w:rPr>
          <w:rFonts w:ascii="Gill Sans Infant Std" w:hAnsi="Gill Sans Infant Std" w:cs="Arial"/>
          <w:lang w:val="en-US"/>
        </w:rPr>
        <w:t xml:space="preserve">18 are designed to meet the needs of this group”. </w:t>
      </w:r>
      <w:r w:rsidR="00DB5D39" w:rsidRPr="00EA3560">
        <w:rPr>
          <w:rFonts w:ascii="Gill Sans Infant Std" w:hAnsi="Gill Sans Infant Std" w:cs="Arial"/>
          <w:lang w:val="en-US"/>
        </w:rPr>
        <w:t xml:space="preserve">In our experience the care provided for this group is not adequate. </w:t>
      </w:r>
      <w:r w:rsidR="00C94CFF" w:rsidRPr="00EA3560">
        <w:rPr>
          <w:rFonts w:ascii="Gill Sans Infant Std" w:hAnsi="Gill Sans Infant Std" w:cs="Arial"/>
          <w:lang w:val="en-US"/>
        </w:rPr>
        <w:t xml:space="preserve">This report from the </w:t>
      </w:r>
      <w:proofErr w:type="spellStart"/>
      <w:r w:rsidR="00B360EA" w:rsidRPr="00EA3560">
        <w:rPr>
          <w:rFonts w:ascii="Gill Sans Infant Std" w:hAnsi="Gill Sans Infant Std" w:cs="Arial"/>
          <w:lang w:val="en-US"/>
        </w:rPr>
        <w:t>Fafo</w:t>
      </w:r>
      <w:proofErr w:type="spellEnd"/>
      <w:r w:rsidR="00B360EA" w:rsidRPr="00EA3560">
        <w:rPr>
          <w:rFonts w:ascii="Gill Sans Infant Std" w:hAnsi="Gill Sans Infant Std" w:cs="Arial"/>
          <w:lang w:val="en-US"/>
        </w:rPr>
        <w:t xml:space="preserve"> Research Foundation </w:t>
      </w:r>
      <w:r w:rsidR="00EA3560" w:rsidRPr="00EA3560">
        <w:rPr>
          <w:rFonts w:ascii="Gill Sans Infant Std" w:hAnsi="Gill Sans Infant Std" w:cs="Arial"/>
          <w:lang w:val="en-US"/>
        </w:rPr>
        <w:t xml:space="preserve">confirms </w:t>
      </w:r>
      <w:r w:rsidR="008C4381">
        <w:rPr>
          <w:rFonts w:ascii="Gill Sans Infant Std" w:hAnsi="Gill Sans Infant Std" w:cs="Arial"/>
          <w:lang w:val="en-US"/>
        </w:rPr>
        <w:t>this</w:t>
      </w:r>
      <w:r w:rsidR="00EA3560" w:rsidRPr="00EA3560">
        <w:rPr>
          <w:rFonts w:ascii="Gill Sans Infant Std" w:hAnsi="Gill Sans Infant Std" w:cs="Arial"/>
          <w:lang w:val="en-US"/>
        </w:rPr>
        <w:t>.</w:t>
      </w:r>
      <w:r w:rsidR="00C94CFF" w:rsidRPr="00EA3560">
        <w:rPr>
          <w:rStyle w:val="Fotnotereferanse"/>
          <w:rFonts w:ascii="Gill Sans Infant Std" w:hAnsi="Gill Sans Infant Std" w:cs="Arial"/>
        </w:rPr>
        <w:footnoteReference w:id="10"/>
      </w:r>
    </w:p>
    <w:p w14:paraId="26229E25" w14:textId="2BE9009E" w:rsidR="00214F53" w:rsidRPr="00EA3560" w:rsidRDefault="00214F53" w:rsidP="008149E2">
      <w:pPr>
        <w:rPr>
          <w:rFonts w:ascii="Gill Sans Infant Std" w:hAnsi="Gill Sans Infant Std"/>
          <w:lang w:val="en-US"/>
        </w:rPr>
      </w:pPr>
    </w:p>
    <w:p w14:paraId="5E56AEDF" w14:textId="77777777" w:rsidR="008149E2" w:rsidRPr="00EA3560" w:rsidRDefault="008149E2" w:rsidP="009A4035">
      <w:pPr>
        <w:rPr>
          <w:rFonts w:ascii="Gill Sans Infant Std" w:hAnsi="Gill Sans Infant Std"/>
          <w:lang w:val="en-US"/>
        </w:rPr>
      </w:pPr>
    </w:p>
    <w:p w14:paraId="7B74D888" w14:textId="5C28F547" w:rsidR="009A4035" w:rsidRPr="00322C64" w:rsidRDefault="00310A38" w:rsidP="009A4035">
      <w:pPr>
        <w:rPr>
          <w:rFonts w:ascii="Gill Sans Infant Std" w:hAnsi="Gill Sans Infant Std"/>
          <w:lang w:val="en-US"/>
        </w:rPr>
      </w:pPr>
      <w:r w:rsidRPr="00B76CFF">
        <w:rPr>
          <w:rFonts w:ascii="Gill Sans Infant Std" w:hAnsi="Gill Sans Infant Std"/>
          <w:lang w:val="en-US"/>
        </w:rPr>
        <w:t xml:space="preserve">The State Party has been recommended </w:t>
      </w:r>
      <w:r w:rsidR="008C32B0" w:rsidRPr="00B76CFF">
        <w:rPr>
          <w:rFonts w:ascii="Gill Sans Infant Std" w:hAnsi="Gill Sans Infant Std"/>
          <w:lang w:val="en-US"/>
        </w:rPr>
        <w:t xml:space="preserve">that the protection and care </w:t>
      </w:r>
      <w:r w:rsidR="006C3DC3" w:rsidRPr="00B76CFF">
        <w:rPr>
          <w:rFonts w:ascii="Gill Sans Infant Std" w:hAnsi="Gill Sans Infant Std"/>
          <w:lang w:val="en-US"/>
        </w:rPr>
        <w:t>for these children are provided by the Child Welfare Services</w:t>
      </w:r>
      <w:r w:rsidR="00B76CFF" w:rsidRPr="00B76CFF">
        <w:rPr>
          <w:rFonts w:ascii="Gill Sans Infant Std" w:hAnsi="Gill Sans Infant Std"/>
          <w:lang w:val="en-US"/>
        </w:rPr>
        <w:t xml:space="preserve"> by </w:t>
      </w:r>
      <w:r w:rsidR="00304122">
        <w:rPr>
          <w:rFonts w:ascii="Gill Sans Infant Std" w:hAnsi="Gill Sans Infant Std"/>
          <w:lang w:val="en-US"/>
        </w:rPr>
        <w:t>T</w:t>
      </w:r>
      <w:r w:rsidR="00B76CFF" w:rsidRPr="00B76CFF">
        <w:rPr>
          <w:rFonts w:ascii="Gill Sans Infant Std" w:hAnsi="Gill Sans Infant Std"/>
          <w:lang w:val="en-US"/>
        </w:rPr>
        <w:t xml:space="preserve">he </w:t>
      </w:r>
      <w:r w:rsidR="007B0FDF">
        <w:rPr>
          <w:rFonts w:ascii="Gill Sans Infant Std" w:hAnsi="Gill Sans Infant Std"/>
          <w:lang w:val="en-US"/>
        </w:rPr>
        <w:t xml:space="preserve">UN Committee Against Torture </w:t>
      </w:r>
      <w:r w:rsidR="009A4035" w:rsidRPr="00B76CFF">
        <w:rPr>
          <w:rFonts w:ascii="Gill Sans Infant Std" w:hAnsi="Gill Sans Infant Std"/>
          <w:lang w:val="en-US"/>
        </w:rPr>
        <w:t xml:space="preserve">(2018), </w:t>
      </w:r>
      <w:r w:rsidR="00534C26" w:rsidRPr="00534C26">
        <w:rPr>
          <w:rFonts w:ascii="Gill Sans Infant Std" w:hAnsi="Gill Sans Infant Std"/>
          <w:lang w:val="en-US"/>
        </w:rPr>
        <w:t xml:space="preserve">The </w:t>
      </w:r>
      <w:r w:rsidR="00304122">
        <w:rPr>
          <w:rFonts w:ascii="Gill Sans Infant Std" w:hAnsi="Gill Sans Infant Std"/>
          <w:lang w:val="en-US"/>
        </w:rPr>
        <w:t xml:space="preserve">UN </w:t>
      </w:r>
      <w:r w:rsidR="00534C26" w:rsidRPr="00534C26">
        <w:rPr>
          <w:rFonts w:ascii="Gill Sans Infant Std" w:hAnsi="Gill Sans Infant Std"/>
          <w:lang w:val="en-US"/>
        </w:rPr>
        <w:t>Committee on the Elimination of Racial Discriminatio</w:t>
      </w:r>
      <w:r w:rsidR="00534C26">
        <w:rPr>
          <w:rFonts w:ascii="Gill Sans Infant Std" w:hAnsi="Gill Sans Infant Std"/>
          <w:lang w:val="en-US"/>
        </w:rPr>
        <w:t xml:space="preserve">n </w:t>
      </w:r>
      <w:r w:rsidR="009A4035" w:rsidRPr="00B76CFF">
        <w:rPr>
          <w:rFonts w:ascii="Gill Sans Infant Std" w:hAnsi="Gill Sans Infant Std"/>
          <w:lang w:val="en-US"/>
        </w:rPr>
        <w:t xml:space="preserve">(2019), </w:t>
      </w:r>
      <w:r w:rsidR="00304122">
        <w:rPr>
          <w:rFonts w:ascii="Gill Sans Infant Std" w:hAnsi="Gill Sans Infant Std"/>
          <w:lang w:val="en-US"/>
        </w:rPr>
        <w:t xml:space="preserve">The </w:t>
      </w:r>
      <w:r w:rsidR="00534C26">
        <w:rPr>
          <w:rFonts w:ascii="Gill Sans Infant Std" w:hAnsi="Gill Sans Infant Std"/>
          <w:lang w:val="en-US"/>
        </w:rPr>
        <w:t xml:space="preserve">UN Committee on the Rights of the Child </w:t>
      </w:r>
      <w:r w:rsidR="009A4035" w:rsidRPr="00B76CFF">
        <w:rPr>
          <w:rFonts w:ascii="Gill Sans Infant Std" w:hAnsi="Gill Sans Infant Std"/>
          <w:lang w:val="en-US"/>
        </w:rPr>
        <w:t>(2018)</w:t>
      </w:r>
      <w:r w:rsidR="00304122">
        <w:rPr>
          <w:rFonts w:ascii="Gill Sans Infant Std" w:hAnsi="Gill Sans Infant Std"/>
          <w:lang w:val="en-US"/>
        </w:rPr>
        <w:t xml:space="preserve">, The </w:t>
      </w:r>
      <w:r w:rsidR="00161C60">
        <w:rPr>
          <w:rFonts w:ascii="Gill Sans Infant Std" w:hAnsi="Gill Sans Infant Std"/>
          <w:lang w:val="en-US"/>
        </w:rPr>
        <w:t xml:space="preserve">Human Rights Committee </w:t>
      </w:r>
      <w:r w:rsidR="009A4035" w:rsidRPr="00B76CFF">
        <w:rPr>
          <w:rFonts w:ascii="Gill Sans Infant Std" w:hAnsi="Gill Sans Infant Std"/>
          <w:lang w:val="en-US"/>
        </w:rPr>
        <w:t xml:space="preserve">(2018) </w:t>
      </w:r>
      <w:r w:rsidR="00D07829">
        <w:rPr>
          <w:rFonts w:ascii="Gill Sans Infant Std" w:hAnsi="Gill Sans Infant Std"/>
          <w:lang w:val="en-US"/>
        </w:rPr>
        <w:t xml:space="preserve">and </w:t>
      </w:r>
      <w:r w:rsidR="00D07829" w:rsidRPr="00D07829">
        <w:rPr>
          <w:rFonts w:ascii="Gill Sans Infant Std" w:hAnsi="Gill Sans Infant Std"/>
          <w:lang w:val="en-US"/>
        </w:rPr>
        <w:t>the UN Human Rights Council</w:t>
      </w:r>
      <w:r w:rsidR="00D80971">
        <w:rPr>
          <w:rFonts w:ascii="Gill Sans Infant Std" w:hAnsi="Gill Sans Infant Std"/>
          <w:lang w:val="en-US"/>
        </w:rPr>
        <w:t xml:space="preserve"> earlier this year.</w:t>
      </w:r>
    </w:p>
    <w:sectPr w:rsidR="009A4035" w:rsidRPr="00322C6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8B2B" w14:textId="77777777" w:rsidR="00F80E38" w:rsidRDefault="00F80E38" w:rsidP="00F91E35">
      <w:r>
        <w:separator/>
      </w:r>
    </w:p>
  </w:endnote>
  <w:endnote w:type="continuationSeparator" w:id="0">
    <w:p w14:paraId="0F2FE3B1" w14:textId="77777777" w:rsidR="00F80E38" w:rsidRDefault="00F80E38" w:rsidP="00F91E35">
      <w:r>
        <w:continuationSeparator/>
      </w:r>
    </w:p>
  </w:endnote>
  <w:endnote w:type="continuationNotice" w:id="1">
    <w:p w14:paraId="6DCEA272" w14:textId="77777777" w:rsidR="00F80E38" w:rsidRDefault="00F80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Infant Std" w:hAnsi="Gill Sans Infant Std"/>
      </w:rPr>
      <w:id w:val="-1445928205"/>
      <w:docPartObj>
        <w:docPartGallery w:val="Page Numbers (Bottom of Page)"/>
        <w:docPartUnique/>
      </w:docPartObj>
    </w:sdtPr>
    <w:sdtContent>
      <w:p w14:paraId="7B76D0AB" w14:textId="0C198D8F" w:rsidR="001736C6" w:rsidRPr="006313D8" w:rsidRDefault="001736C6">
        <w:pPr>
          <w:pStyle w:val="Bunntekst"/>
          <w:jc w:val="right"/>
          <w:rPr>
            <w:rFonts w:ascii="Gill Sans Infant Std" w:hAnsi="Gill Sans Infant Std"/>
          </w:rPr>
        </w:pPr>
        <w:r w:rsidRPr="006313D8">
          <w:rPr>
            <w:rFonts w:ascii="Gill Sans Infant Std" w:hAnsi="Gill Sans Infant Std"/>
          </w:rPr>
          <w:fldChar w:fldCharType="begin"/>
        </w:r>
        <w:r w:rsidRPr="006313D8">
          <w:rPr>
            <w:rFonts w:ascii="Gill Sans Infant Std" w:hAnsi="Gill Sans Infant Std"/>
          </w:rPr>
          <w:instrText>PAGE   \* MERGEFORMAT</w:instrText>
        </w:r>
        <w:r w:rsidRPr="006313D8">
          <w:rPr>
            <w:rFonts w:ascii="Gill Sans Infant Std" w:hAnsi="Gill Sans Infant Std"/>
          </w:rPr>
          <w:fldChar w:fldCharType="separate"/>
        </w:r>
        <w:r w:rsidRPr="006313D8">
          <w:rPr>
            <w:rFonts w:ascii="Gill Sans Infant Std" w:hAnsi="Gill Sans Infant Std"/>
          </w:rPr>
          <w:t>2</w:t>
        </w:r>
        <w:r w:rsidRPr="006313D8">
          <w:rPr>
            <w:rFonts w:ascii="Gill Sans Infant Std" w:hAnsi="Gill Sans Infant Std"/>
          </w:rPr>
          <w:fldChar w:fldCharType="end"/>
        </w:r>
      </w:p>
    </w:sdtContent>
  </w:sdt>
  <w:tbl>
    <w:tblPr>
      <w:tblStyle w:val="Tabellrutenett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552"/>
      <w:gridCol w:w="2551"/>
      <w:gridCol w:w="1980"/>
    </w:tblGrid>
    <w:tr w:rsidR="0072782B" w:rsidRPr="006313D8" w14:paraId="70BA3A5F" w14:textId="77777777" w:rsidTr="006313D8">
      <w:tc>
        <w:tcPr>
          <w:tcW w:w="2268" w:type="dxa"/>
          <w:tcMar>
            <w:left w:w="113" w:type="dxa"/>
          </w:tcMar>
        </w:tcPr>
        <w:p w14:paraId="02D6AFBA" w14:textId="77777777" w:rsidR="006313D8" w:rsidRDefault="006313D8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</w:p>
        <w:p w14:paraId="1EE30BB9" w14:textId="77777777" w:rsidR="006313D8" w:rsidRDefault="006313D8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</w:p>
        <w:p w14:paraId="55CF776B" w14:textId="77777777" w:rsidR="006313D8" w:rsidRDefault="006313D8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</w:p>
        <w:p w14:paraId="618960AF" w14:textId="7DF908B1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  <w:r w:rsidRPr="006313D8">
            <w:rPr>
              <w:rFonts w:ascii="Gill Sans Infant Std" w:eastAsiaTheme="majorEastAsia" w:hAnsi="Gill Sans Infant Std" w:cstheme="majorBidi"/>
              <w:lang w:val="nb-NO"/>
            </w:rPr>
            <w:t>Besøksadresse:</w:t>
          </w:r>
        </w:p>
        <w:p w14:paraId="6E4EFF79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  <w:r w:rsidRPr="006313D8">
            <w:rPr>
              <w:rFonts w:ascii="Gill Sans Infant Std" w:eastAsiaTheme="majorEastAsia" w:hAnsi="Gill Sans Infant Std" w:cstheme="majorBidi"/>
              <w:lang w:val="nb-NO"/>
            </w:rPr>
            <w:t>Redd Barna</w:t>
          </w:r>
        </w:p>
        <w:p w14:paraId="67ABC65B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  <w:r w:rsidRPr="006313D8">
            <w:rPr>
              <w:rFonts w:ascii="Gill Sans Infant Std" w:eastAsiaTheme="majorEastAsia" w:hAnsi="Gill Sans Infant Std" w:cstheme="majorBidi"/>
              <w:lang w:val="nb-NO"/>
            </w:rPr>
            <w:t>Storgata 38</w:t>
          </w:r>
        </w:p>
        <w:p w14:paraId="43E58592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  <w:r w:rsidRPr="006313D8">
            <w:rPr>
              <w:rFonts w:ascii="Gill Sans Infant Std" w:eastAsiaTheme="majorEastAsia" w:hAnsi="Gill Sans Infant Std" w:cstheme="majorBidi"/>
              <w:lang w:val="nb-NO"/>
            </w:rPr>
            <w:t>0182 Oslo</w:t>
          </w:r>
        </w:p>
      </w:tc>
      <w:tc>
        <w:tcPr>
          <w:tcW w:w="2552" w:type="dxa"/>
        </w:tcPr>
        <w:p w14:paraId="68202A54" w14:textId="77777777" w:rsidR="006313D8" w:rsidRDefault="006313D8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</w:p>
        <w:p w14:paraId="5DE34757" w14:textId="77777777" w:rsidR="006313D8" w:rsidRDefault="006313D8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</w:p>
        <w:p w14:paraId="53C91263" w14:textId="77777777" w:rsidR="006313D8" w:rsidRDefault="006313D8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</w:p>
        <w:p w14:paraId="57421D2F" w14:textId="09D88DEA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  <w:r w:rsidRPr="006313D8">
            <w:rPr>
              <w:rFonts w:ascii="Gill Sans Infant Std" w:eastAsiaTheme="majorEastAsia" w:hAnsi="Gill Sans Infant Std" w:cstheme="majorBidi"/>
              <w:lang w:val="nb-NO"/>
            </w:rPr>
            <w:t>Postadresse:</w:t>
          </w:r>
        </w:p>
        <w:p w14:paraId="1E668A8A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  <w:r w:rsidRPr="006313D8">
            <w:rPr>
              <w:rFonts w:ascii="Gill Sans Infant Std" w:eastAsiaTheme="majorEastAsia" w:hAnsi="Gill Sans Infant Std" w:cstheme="majorBidi"/>
              <w:lang w:val="nb-NO"/>
            </w:rPr>
            <w:t>Redd Barna</w:t>
          </w:r>
        </w:p>
        <w:p w14:paraId="5EDD8A47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  <w:r w:rsidRPr="006313D8">
            <w:rPr>
              <w:rFonts w:ascii="Gill Sans Infant Std" w:eastAsiaTheme="majorEastAsia" w:hAnsi="Gill Sans Infant Std" w:cstheme="majorBidi"/>
              <w:lang w:val="nb-NO"/>
            </w:rPr>
            <w:t>Postboks 6902, St. Olavs plass</w:t>
          </w:r>
        </w:p>
        <w:p w14:paraId="740E9DD5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</w:rPr>
          </w:pPr>
          <w:r w:rsidRPr="006313D8">
            <w:rPr>
              <w:rFonts w:ascii="Gill Sans Infant Std" w:eastAsiaTheme="majorEastAsia" w:hAnsi="Gill Sans Infant Std" w:cstheme="majorBidi"/>
            </w:rPr>
            <w:t>0130 Oslo</w:t>
          </w:r>
        </w:p>
      </w:tc>
      <w:tc>
        <w:tcPr>
          <w:tcW w:w="2551" w:type="dxa"/>
        </w:tcPr>
        <w:p w14:paraId="2C32DCE2" w14:textId="77777777" w:rsidR="006313D8" w:rsidRDefault="006313D8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</w:p>
        <w:p w14:paraId="66AD4100" w14:textId="77777777" w:rsidR="006313D8" w:rsidRDefault="006313D8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</w:p>
        <w:p w14:paraId="01E8B1A3" w14:textId="77777777" w:rsidR="006313D8" w:rsidRDefault="006313D8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</w:p>
        <w:p w14:paraId="6FC9DEA0" w14:textId="543149CA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  <w:r w:rsidRPr="006313D8">
            <w:rPr>
              <w:rFonts w:ascii="Gill Sans Infant Std" w:eastAsiaTheme="majorEastAsia" w:hAnsi="Gill Sans Infant Std" w:cstheme="majorBidi"/>
              <w:lang w:val="nb-NO"/>
            </w:rPr>
            <w:t>Telefon: 22 99 09 00</w:t>
          </w:r>
        </w:p>
        <w:p w14:paraId="2E6E8FD8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  <w:r w:rsidRPr="006313D8">
            <w:rPr>
              <w:rFonts w:ascii="Gill Sans Infant Std" w:eastAsiaTheme="majorEastAsia" w:hAnsi="Gill Sans Infant Std" w:cstheme="majorBidi"/>
              <w:lang w:val="nb-NO"/>
            </w:rPr>
            <w:t>post@reddbarna.no</w:t>
          </w:r>
        </w:p>
        <w:p w14:paraId="629124B6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  <w:r w:rsidRPr="006313D8">
            <w:rPr>
              <w:rFonts w:ascii="Gill Sans Infant Std" w:eastAsiaTheme="majorEastAsia" w:hAnsi="Gill Sans Infant Std" w:cstheme="majorBidi"/>
              <w:lang w:val="nb-NO"/>
            </w:rPr>
            <w:t>www.reddbarna.no</w:t>
          </w:r>
        </w:p>
      </w:tc>
      <w:tc>
        <w:tcPr>
          <w:tcW w:w="1980" w:type="dxa"/>
        </w:tcPr>
        <w:p w14:paraId="6ADE5F94" w14:textId="77777777" w:rsidR="006313D8" w:rsidRDefault="006313D8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</w:p>
        <w:p w14:paraId="37E7A853" w14:textId="77777777" w:rsidR="006313D8" w:rsidRDefault="006313D8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</w:p>
        <w:p w14:paraId="226F11CE" w14:textId="77777777" w:rsidR="006313D8" w:rsidRDefault="006313D8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</w:p>
        <w:p w14:paraId="753A52C0" w14:textId="561944BE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  <w:r w:rsidRPr="006313D8">
            <w:rPr>
              <w:rFonts w:ascii="Gill Sans Infant Std" w:eastAsiaTheme="majorEastAsia" w:hAnsi="Gill Sans Infant Std" w:cstheme="majorBidi"/>
              <w:lang w:val="nb-NO"/>
            </w:rPr>
            <w:t>Org.nr.: 941 296 459</w:t>
          </w:r>
        </w:p>
        <w:p w14:paraId="59857A86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  <w:lang w:val="nb-NO"/>
            </w:rPr>
          </w:pPr>
          <w:r w:rsidRPr="006313D8">
            <w:rPr>
              <w:rFonts w:ascii="Gill Sans Infant Std" w:eastAsiaTheme="majorEastAsia" w:hAnsi="Gill Sans Infant Std" w:cstheme="majorBidi"/>
              <w:lang w:val="nb-NO"/>
            </w:rPr>
            <w:t>Redd Barna er medlem av</w:t>
          </w:r>
          <w:r w:rsidRPr="006313D8">
            <w:rPr>
              <w:rFonts w:ascii="Gill Sans Infant Std" w:hAnsi="Gill Sans Infant Std"/>
              <w:szCs w:val="14"/>
              <w:lang w:val="nb-NO"/>
            </w:rPr>
            <w:br/>
          </w:r>
          <w:r w:rsidRPr="006313D8">
            <w:rPr>
              <w:rFonts w:ascii="Gill Sans Infant Std" w:eastAsiaTheme="majorEastAsia" w:hAnsi="Gill Sans Infant Std" w:cstheme="majorBidi"/>
              <w:lang w:val="nb-NO"/>
            </w:rPr>
            <w:t>internasjonale Redd Barna</w:t>
          </w:r>
          <w:r w:rsidRPr="006313D8">
            <w:rPr>
              <w:rFonts w:ascii="Gill Sans Infant Std" w:hAnsi="Gill Sans Infant Std"/>
              <w:szCs w:val="14"/>
              <w:lang w:val="nb-NO"/>
            </w:rPr>
            <w:br/>
          </w:r>
          <w:r w:rsidRPr="006313D8">
            <w:rPr>
              <w:rFonts w:ascii="Gill Sans Infant Std" w:eastAsiaTheme="majorEastAsia" w:hAnsi="Gill Sans Infant Std" w:cstheme="majorBidi"/>
              <w:lang w:val="nb-NO"/>
            </w:rPr>
            <w:t xml:space="preserve">(Save </w:t>
          </w:r>
          <w:proofErr w:type="spellStart"/>
          <w:r w:rsidRPr="006313D8">
            <w:rPr>
              <w:rFonts w:ascii="Gill Sans Infant Std" w:eastAsiaTheme="majorEastAsia" w:hAnsi="Gill Sans Infant Std" w:cstheme="majorBidi"/>
              <w:lang w:val="nb-NO"/>
            </w:rPr>
            <w:t>the</w:t>
          </w:r>
          <w:proofErr w:type="spellEnd"/>
          <w:r w:rsidRPr="006313D8">
            <w:rPr>
              <w:rFonts w:ascii="Gill Sans Infant Std" w:eastAsiaTheme="majorEastAsia" w:hAnsi="Gill Sans Infant Std" w:cstheme="majorBidi"/>
              <w:lang w:val="nb-NO"/>
            </w:rPr>
            <w:t xml:space="preserve"> </w:t>
          </w:r>
          <w:proofErr w:type="spellStart"/>
          <w:r w:rsidRPr="006313D8">
            <w:rPr>
              <w:rFonts w:ascii="Gill Sans Infant Std" w:eastAsiaTheme="majorEastAsia" w:hAnsi="Gill Sans Infant Std" w:cstheme="majorBidi"/>
              <w:lang w:val="nb-NO"/>
            </w:rPr>
            <w:t>Children</w:t>
          </w:r>
          <w:proofErr w:type="spellEnd"/>
          <w:r w:rsidRPr="006313D8">
            <w:rPr>
              <w:rFonts w:ascii="Gill Sans Infant Std" w:eastAsiaTheme="majorEastAsia" w:hAnsi="Gill Sans Infant Std" w:cstheme="majorBidi"/>
              <w:lang w:val="nb-NO"/>
            </w:rPr>
            <w:t>)</w:t>
          </w:r>
        </w:p>
      </w:tc>
    </w:tr>
    <w:tr w:rsidR="0072782B" w:rsidRPr="006313D8" w14:paraId="3CE087D3" w14:textId="77777777" w:rsidTr="006313D8">
      <w:tc>
        <w:tcPr>
          <w:tcW w:w="2268" w:type="dxa"/>
          <w:tcMar>
            <w:left w:w="113" w:type="dxa"/>
          </w:tcMar>
        </w:tcPr>
        <w:p w14:paraId="4B06781D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</w:rPr>
          </w:pPr>
        </w:p>
      </w:tc>
      <w:tc>
        <w:tcPr>
          <w:tcW w:w="2552" w:type="dxa"/>
        </w:tcPr>
        <w:p w14:paraId="523AD949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</w:rPr>
          </w:pPr>
        </w:p>
      </w:tc>
      <w:tc>
        <w:tcPr>
          <w:tcW w:w="2551" w:type="dxa"/>
        </w:tcPr>
        <w:p w14:paraId="36AE9CD0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</w:rPr>
          </w:pPr>
        </w:p>
      </w:tc>
      <w:tc>
        <w:tcPr>
          <w:tcW w:w="1980" w:type="dxa"/>
        </w:tcPr>
        <w:p w14:paraId="63C2A27D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</w:rPr>
          </w:pPr>
        </w:p>
      </w:tc>
    </w:tr>
    <w:tr w:rsidR="0072782B" w:rsidRPr="006313D8" w14:paraId="439AD7AA" w14:textId="77777777" w:rsidTr="006313D8">
      <w:tc>
        <w:tcPr>
          <w:tcW w:w="2268" w:type="dxa"/>
          <w:tcMar>
            <w:left w:w="113" w:type="dxa"/>
          </w:tcMar>
        </w:tcPr>
        <w:p w14:paraId="26C39C70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</w:rPr>
          </w:pPr>
        </w:p>
      </w:tc>
      <w:tc>
        <w:tcPr>
          <w:tcW w:w="2552" w:type="dxa"/>
        </w:tcPr>
        <w:p w14:paraId="3955295D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</w:rPr>
          </w:pPr>
        </w:p>
      </w:tc>
      <w:tc>
        <w:tcPr>
          <w:tcW w:w="2551" w:type="dxa"/>
        </w:tcPr>
        <w:p w14:paraId="1320A2DD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</w:rPr>
          </w:pPr>
        </w:p>
      </w:tc>
      <w:tc>
        <w:tcPr>
          <w:tcW w:w="1980" w:type="dxa"/>
        </w:tcPr>
        <w:p w14:paraId="6614B619" w14:textId="77777777" w:rsidR="0072782B" w:rsidRPr="006313D8" w:rsidRDefault="0072782B" w:rsidP="0072782B">
          <w:pPr>
            <w:pStyle w:val="Bunntekst"/>
            <w:spacing w:line="200" w:lineRule="atLeast"/>
            <w:rPr>
              <w:rFonts w:ascii="Gill Sans Infant Std" w:eastAsiaTheme="majorEastAsia" w:hAnsi="Gill Sans Infant Std" w:cstheme="majorBidi"/>
            </w:rPr>
          </w:pPr>
        </w:p>
      </w:tc>
    </w:tr>
  </w:tbl>
  <w:p w14:paraId="301A446F" w14:textId="58B7C3F1" w:rsidR="001736C6" w:rsidRPr="006313D8" w:rsidRDefault="0072782B" w:rsidP="0072782B">
    <w:pPr>
      <w:pStyle w:val="Bunntekst"/>
      <w:rPr>
        <w:rFonts w:ascii="Gill Sans Infant Std" w:hAnsi="Gill Sans Infant Std"/>
        <w:szCs w:val="14"/>
      </w:rPr>
    </w:pPr>
    <w:r w:rsidRPr="006313D8">
      <w:rPr>
        <w:rFonts w:ascii="Gill Sans Infant Std" w:hAnsi="Gill Sans Infant Std"/>
        <w:noProof/>
        <w:szCs w:val="14"/>
      </w:rPr>
      <w:drawing>
        <wp:anchor distT="0" distB="0" distL="114300" distR="114300" simplePos="0" relativeHeight="251666432" behindDoc="1" locked="1" layoutInCell="1" allowOverlap="1" wp14:anchorId="43607B44" wp14:editId="7164C621">
          <wp:simplePos x="0" y="0"/>
          <wp:positionH relativeFrom="margin">
            <wp:align>center</wp:align>
          </wp:positionH>
          <wp:positionV relativeFrom="bottomMargin">
            <wp:posOffset>832485</wp:posOffset>
          </wp:positionV>
          <wp:extent cx="6940550" cy="8274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597F" w14:textId="77777777" w:rsidR="00F80E38" w:rsidRDefault="00F80E38" w:rsidP="00F91E35">
      <w:bookmarkStart w:id="0" w:name="_Hlk31009482"/>
      <w:bookmarkEnd w:id="0"/>
      <w:r>
        <w:separator/>
      </w:r>
    </w:p>
  </w:footnote>
  <w:footnote w:type="continuationSeparator" w:id="0">
    <w:p w14:paraId="48DA48F3" w14:textId="77777777" w:rsidR="00F80E38" w:rsidRDefault="00F80E38" w:rsidP="00F91E35">
      <w:r>
        <w:continuationSeparator/>
      </w:r>
    </w:p>
  </w:footnote>
  <w:footnote w:type="continuationNotice" w:id="1">
    <w:p w14:paraId="5EC78A80" w14:textId="77777777" w:rsidR="00F80E38" w:rsidRDefault="00F80E38"/>
  </w:footnote>
  <w:footnote w:id="2">
    <w:p w14:paraId="38A7ECBE" w14:textId="77777777" w:rsidR="00F91E35" w:rsidRPr="00E21125" w:rsidRDefault="00F91E35" w:rsidP="00F91E35">
      <w:pPr>
        <w:pStyle w:val="SingleTxtG"/>
        <w:rPr>
          <w:rStyle w:val="FotnotetekstTegn"/>
        </w:rPr>
      </w:pPr>
      <w:r>
        <w:rPr>
          <w:rStyle w:val="Fotnotereferanse"/>
        </w:rPr>
        <w:footnoteRef/>
      </w:r>
      <w:r w:rsidRPr="00E21125">
        <w:rPr>
          <w:rStyle w:val="FotnotetekstTegn"/>
        </w:rPr>
        <w:t xml:space="preserve"> Student households and children below the age of 18 that live alone are excluded.</w:t>
      </w:r>
    </w:p>
    <w:p w14:paraId="1D3217EE" w14:textId="77777777" w:rsidR="00F91E35" w:rsidRPr="001F38F6" w:rsidRDefault="00F91E35" w:rsidP="00F91E35">
      <w:pPr>
        <w:pStyle w:val="Fotnotetekst"/>
      </w:pPr>
    </w:p>
  </w:footnote>
  <w:footnote w:id="3">
    <w:p w14:paraId="5026DF68" w14:textId="3C2A3B21" w:rsidR="00560DB8" w:rsidRPr="001977E7" w:rsidRDefault="00560DB8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>
        <w:t xml:space="preserve"> </w:t>
      </w:r>
      <w:r w:rsidR="00DB3A30" w:rsidRPr="00DB3A30">
        <w:rPr>
          <w:lang w:val="en-US"/>
        </w:rPr>
        <w:t>Meeting with</w:t>
      </w:r>
      <w:r w:rsidR="001977E7">
        <w:rPr>
          <w:lang w:val="en-US"/>
        </w:rPr>
        <w:t xml:space="preserve"> the</w:t>
      </w:r>
      <w:r w:rsidR="00DB3A30" w:rsidRPr="00DB3A30">
        <w:rPr>
          <w:lang w:val="en-US"/>
        </w:rPr>
        <w:t xml:space="preserve"> </w:t>
      </w:r>
      <w:r w:rsidR="001977E7" w:rsidRPr="001977E7">
        <w:rPr>
          <w:lang w:val="en-US"/>
        </w:rPr>
        <w:t>Norwegian Ministry of Foreign Affairs</w:t>
      </w:r>
      <w:r w:rsidR="001977E7">
        <w:rPr>
          <w:lang w:val="en-US"/>
        </w:rPr>
        <w:t>, September 16</w:t>
      </w:r>
      <w:r w:rsidR="001977E7" w:rsidRPr="001977E7">
        <w:rPr>
          <w:vertAlign w:val="superscript"/>
          <w:lang w:val="en-US"/>
        </w:rPr>
        <w:t>th</w:t>
      </w:r>
      <w:r w:rsidR="008848A6">
        <w:rPr>
          <w:lang w:val="en-US"/>
        </w:rPr>
        <w:t>, 2019</w:t>
      </w:r>
      <w:r w:rsidR="001977E7">
        <w:rPr>
          <w:lang w:val="en-US"/>
        </w:rPr>
        <w:t>.</w:t>
      </w:r>
    </w:p>
  </w:footnote>
  <w:footnote w:id="4">
    <w:p w14:paraId="6E90DAA9" w14:textId="77777777" w:rsidR="00E7782F" w:rsidRPr="009F64DB" w:rsidRDefault="00E7782F" w:rsidP="00E7782F">
      <w:pPr>
        <w:pStyle w:val="Fotnotetekst"/>
        <w:ind w:left="567" w:firstLine="0"/>
        <w:rPr>
          <w:lang w:val="nb-NO"/>
        </w:rPr>
      </w:pPr>
      <w:r>
        <w:rPr>
          <w:rStyle w:val="Fotnotereferanse"/>
        </w:rPr>
        <w:footnoteRef/>
      </w:r>
      <w:r w:rsidRPr="009F64DB">
        <w:rPr>
          <w:lang w:val="nb-NO"/>
        </w:rPr>
        <w:t xml:space="preserve"> Antirasistisk senter (2017)</w:t>
      </w:r>
    </w:p>
  </w:footnote>
  <w:footnote w:id="5">
    <w:p w14:paraId="46217111" w14:textId="77777777" w:rsidR="00E7782F" w:rsidRPr="001040C5" w:rsidRDefault="00E7782F" w:rsidP="00E7782F">
      <w:pPr>
        <w:pStyle w:val="Fotnotetekst"/>
        <w:ind w:left="1701"/>
        <w:rPr>
          <w:lang w:val="nb-NO"/>
        </w:rPr>
      </w:pPr>
      <w:r>
        <w:rPr>
          <w:rStyle w:val="Fotnotereferanse"/>
        </w:rPr>
        <w:footnoteRef/>
      </w:r>
      <w:r w:rsidRPr="001040C5">
        <w:rPr>
          <w:lang w:val="nb-NO"/>
        </w:rPr>
        <w:t xml:space="preserve"> https://dembra.no/en/om-dembra/</w:t>
      </w:r>
    </w:p>
  </w:footnote>
  <w:footnote w:id="6">
    <w:p w14:paraId="1DA811D7" w14:textId="69D0F0DF" w:rsidR="002D10DF" w:rsidRPr="005357FC" w:rsidRDefault="002D10DF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5357FC">
        <w:rPr>
          <w:lang w:val="en-US"/>
        </w:rPr>
        <w:t xml:space="preserve"> </w:t>
      </w:r>
      <w:r w:rsidR="005357FC" w:rsidRPr="005357FC">
        <w:rPr>
          <w:lang w:val="en-US"/>
        </w:rPr>
        <w:t xml:space="preserve">See </w:t>
      </w:r>
      <w:r w:rsidR="005357FC">
        <w:rPr>
          <w:lang w:val="en-US"/>
        </w:rPr>
        <w:t xml:space="preserve">also our supplementary report to </w:t>
      </w:r>
      <w:r w:rsidR="00834F5C">
        <w:rPr>
          <w:lang w:val="en-US"/>
        </w:rPr>
        <w:t>UN Committee on the Rights of the Child</w:t>
      </w:r>
      <w:r w:rsidR="00AD0F9F">
        <w:rPr>
          <w:lang w:val="en-US"/>
        </w:rPr>
        <w:t xml:space="preserve"> (2017)</w:t>
      </w:r>
      <w:r w:rsidR="00FB1444" w:rsidRPr="005357FC">
        <w:rPr>
          <w:lang w:val="en-US"/>
        </w:rPr>
        <w:tab/>
      </w:r>
      <w:hyperlink r:id="rId1" w:history="1">
        <w:r w:rsidR="00FB1444" w:rsidRPr="005357FC">
          <w:rPr>
            <w:rStyle w:val="Hyperkobling"/>
            <w:lang w:val="en-US"/>
          </w:rPr>
          <w:t>http://forumforbarnekonvensjonen.no/onewebmedia/Supplerende%20rapport%20engelks%20endelig.pdf</w:t>
        </w:r>
      </w:hyperlink>
    </w:p>
  </w:footnote>
  <w:footnote w:id="7">
    <w:p w14:paraId="1F5526D8" w14:textId="17374050" w:rsidR="00B639CD" w:rsidRPr="00B639CD" w:rsidRDefault="00B639CD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B639CD">
        <w:rPr>
          <w:lang w:val="en-US"/>
        </w:rPr>
        <w:t xml:space="preserve"> </w:t>
      </w:r>
      <w:hyperlink r:id="rId2" w:history="1">
        <w:r w:rsidR="00FB1444" w:rsidRPr="00E82217">
          <w:rPr>
            <w:rStyle w:val="Hyperkobling"/>
            <w:lang w:val="en-US"/>
          </w:rPr>
          <w:t>https://www.udir.no/kvalitet-og-kompetanse/nasjonale-satsinger/tilbud-om-kompetanseutvikling-miljo-og mobbing/</w:t>
        </w:r>
      </w:hyperlink>
      <w:r w:rsidRPr="00B639CD">
        <w:rPr>
          <w:rStyle w:val="Hyperkobling"/>
          <w:lang w:val="en-US"/>
        </w:rPr>
        <w:t xml:space="preserve"> (in</w:t>
      </w:r>
      <w:r>
        <w:rPr>
          <w:rStyle w:val="Hyperkobling"/>
          <w:lang w:val="en-US"/>
        </w:rPr>
        <w:t xml:space="preserve"> Norwegian)</w:t>
      </w:r>
    </w:p>
  </w:footnote>
  <w:footnote w:id="8">
    <w:p w14:paraId="343C3B7B" w14:textId="261C8973" w:rsidR="00FB1444" w:rsidRPr="002706FE" w:rsidRDefault="00A7708B" w:rsidP="00FB1444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>
        <w:t xml:space="preserve"> </w:t>
      </w:r>
      <w:r w:rsidR="000D0342" w:rsidRPr="002706FE">
        <w:rPr>
          <w:lang w:val="en-US"/>
        </w:rPr>
        <w:t>An evaluation by Deloitte</w:t>
      </w:r>
      <w:r w:rsidR="002706FE" w:rsidRPr="002706FE">
        <w:rPr>
          <w:lang w:val="en-US"/>
        </w:rPr>
        <w:t xml:space="preserve"> (2019) c</w:t>
      </w:r>
      <w:r w:rsidR="002706FE">
        <w:rPr>
          <w:lang w:val="en-US"/>
        </w:rPr>
        <w:t xml:space="preserve">oncludes that national measures must be </w:t>
      </w:r>
      <w:r w:rsidR="00982F88">
        <w:rPr>
          <w:lang w:val="en-US"/>
        </w:rPr>
        <w:t>taken to ensure equal practice</w:t>
      </w:r>
      <w:r w:rsidR="00FB1444">
        <w:rPr>
          <w:lang w:val="en-US"/>
        </w:rPr>
        <w:t xml:space="preserve"> </w:t>
      </w:r>
      <w:r w:rsidR="00982F88">
        <w:rPr>
          <w:lang w:val="en-US"/>
        </w:rPr>
        <w:t xml:space="preserve">throughout </w:t>
      </w:r>
      <w:r w:rsidR="00FB1444">
        <w:rPr>
          <w:lang w:val="en-US"/>
        </w:rPr>
        <w:t>Norway</w:t>
      </w:r>
      <w:r w:rsidR="00EE3A13">
        <w:rPr>
          <w:lang w:val="en-US"/>
        </w:rPr>
        <w:t>.</w:t>
      </w:r>
      <w:r w:rsidR="00FB1444">
        <w:rPr>
          <w:lang w:val="en-US"/>
        </w:rPr>
        <w:t xml:space="preserve"> </w:t>
      </w:r>
    </w:p>
  </w:footnote>
  <w:footnote w:id="9">
    <w:p w14:paraId="0CDBCEF8" w14:textId="77777777" w:rsidR="00847715" w:rsidRPr="00B63DCC" w:rsidRDefault="00847715" w:rsidP="00847715">
      <w:pPr>
        <w:pStyle w:val="Fotnotetekst"/>
      </w:pPr>
      <w:r w:rsidRPr="00B639CD">
        <w:rPr>
          <w:lang w:val="en-US"/>
        </w:rPr>
        <w:tab/>
      </w:r>
      <w:r>
        <w:rPr>
          <w:rStyle w:val="Fotnotereferanse"/>
        </w:rPr>
        <w:footnoteRef/>
      </w:r>
      <w:r w:rsidRPr="00B63DCC">
        <w:t xml:space="preserve"> </w:t>
      </w:r>
      <w:r>
        <w:tab/>
      </w:r>
      <w:r w:rsidRPr="00B63DCC">
        <w:t xml:space="preserve">These provide care services appropriate to the </w:t>
      </w:r>
      <w:proofErr w:type="gramStart"/>
      <w:r w:rsidRPr="00B63DCC">
        <w:t>particular needs</w:t>
      </w:r>
      <w:proofErr w:type="gramEnd"/>
      <w:r w:rsidRPr="00B63DCC">
        <w:t xml:space="preserve"> of the child. The provision is governed by </w:t>
      </w:r>
      <w:r>
        <w:t>C</w:t>
      </w:r>
      <w:r w:rsidRPr="00B63DCC">
        <w:t>hapter 5A of the Child Welfare Act. The rules for approval, quality, residents' rights, and supervision in care centres are identical to those of other child welfare institutions.</w:t>
      </w:r>
      <w:r w:rsidRPr="00B63DCC">
        <w:tab/>
      </w:r>
      <w:r w:rsidRPr="00B63DCC">
        <w:tab/>
      </w:r>
    </w:p>
  </w:footnote>
  <w:footnote w:id="10">
    <w:p w14:paraId="5E0BC232" w14:textId="70470B05" w:rsidR="00C94CFF" w:rsidRPr="008C4381" w:rsidRDefault="00C94CFF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8C4381">
        <w:rPr>
          <w:lang w:val="en-US"/>
        </w:rPr>
        <w:t xml:space="preserve"> </w:t>
      </w:r>
      <w:hyperlink r:id="rId3" w:history="1">
        <w:r w:rsidRPr="008C4381">
          <w:rPr>
            <w:rStyle w:val="Hyperkobling"/>
            <w:sz w:val="20"/>
            <w:lang w:val="en-US"/>
          </w:rPr>
          <w:t>https://www.fafo.no/index.php/zoo-publikasjoner/fafo-rapporter/item/et-trygt-sted-a-vente</w:t>
        </w:r>
      </w:hyperlink>
      <w:r w:rsidR="008C4381" w:rsidRPr="008C4381">
        <w:rPr>
          <w:rStyle w:val="normaltextrun1"/>
          <w:sz w:val="20"/>
          <w:lang w:val="en-US"/>
        </w:rPr>
        <w:t xml:space="preserve"> Engl</w:t>
      </w:r>
      <w:r w:rsidR="008C4381">
        <w:rPr>
          <w:rStyle w:val="normaltextrun1"/>
          <w:sz w:val="20"/>
          <w:lang w:val="en-US"/>
        </w:rPr>
        <w:t xml:space="preserve">ish summary: </w:t>
      </w:r>
      <w:hyperlink r:id="rId4" w:history="1">
        <w:r w:rsidR="00EE11D6" w:rsidRPr="00EE11D6">
          <w:rPr>
            <w:rStyle w:val="Hyperkobling"/>
            <w:sz w:val="20"/>
            <w:lang w:val="en-US"/>
          </w:rPr>
          <w:t>https://www.fafo.no/index.php/zoo-publikasjoner/fafo-rapporter/item/et-trygt-sted-a-vente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74B2" w14:textId="7D30B331" w:rsidR="00650477" w:rsidRDefault="00650477" w:rsidP="00650477">
    <w:pPr>
      <w:pStyle w:val="Topptekst"/>
    </w:pPr>
    <w:r>
      <w:rPr>
        <w:noProof/>
        <w:lang w:eastAsia="nb-NO"/>
      </w:rPr>
      <w:ptab w:relativeTo="margin" w:alignment="right" w:leader="none"/>
    </w:r>
    <w:r w:rsidR="004D32E4">
      <w:rPr>
        <w:noProof/>
      </w:rPr>
      <w:drawing>
        <wp:inline distT="0" distB="0" distL="0" distR="0" wp14:anchorId="50575C61" wp14:editId="427FDF90">
          <wp:extent cx="2080800" cy="7020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dB_Logo_Horiz_Col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70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b-NO"/>
      </w:rPr>
      <w:ptab w:relativeTo="margin" w:alignment="right" w:leader="none"/>
    </w:r>
  </w:p>
  <w:p w14:paraId="191073D6" w14:textId="77777777" w:rsidR="00650477" w:rsidRDefault="006504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1285"/>
    <w:multiLevelType w:val="hybridMultilevel"/>
    <w:tmpl w:val="784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241A"/>
    <w:multiLevelType w:val="hybridMultilevel"/>
    <w:tmpl w:val="4A32D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18A5"/>
    <w:multiLevelType w:val="hybridMultilevel"/>
    <w:tmpl w:val="50368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102915"/>
    <w:multiLevelType w:val="hybridMultilevel"/>
    <w:tmpl w:val="7062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85"/>
    <w:rsid w:val="00024A9B"/>
    <w:rsid w:val="0004113A"/>
    <w:rsid w:val="00053E06"/>
    <w:rsid w:val="00065E3E"/>
    <w:rsid w:val="00087163"/>
    <w:rsid w:val="00095B3E"/>
    <w:rsid w:val="000A0916"/>
    <w:rsid w:val="000A6B99"/>
    <w:rsid w:val="000C575C"/>
    <w:rsid w:val="000C64F8"/>
    <w:rsid w:val="000D0342"/>
    <w:rsid w:val="000D119D"/>
    <w:rsid w:val="000D7D0D"/>
    <w:rsid w:val="001174D3"/>
    <w:rsid w:val="00123B56"/>
    <w:rsid w:val="001307AF"/>
    <w:rsid w:val="00143954"/>
    <w:rsid w:val="00150837"/>
    <w:rsid w:val="001578E0"/>
    <w:rsid w:val="00161C60"/>
    <w:rsid w:val="001736C6"/>
    <w:rsid w:val="00181DDB"/>
    <w:rsid w:val="001861F8"/>
    <w:rsid w:val="00187911"/>
    <w:rsid w:val="00195EE5"/>
    <w:rsid w:val="001977E7"/>
    <w:rsid w:val="001979DD"/>
    <w:rsid w:val="001C5FD6"/>
    <w:rsid w:val="001C6FB9"/>
    <w:rsid w:val="001D7596"/>
    <w:rsid w:val="001E20D4"/>
    <w:rsid w:val="001F0242"/>
    <w:rsid w:val="001F33FB"/>
    <w:rsid w:val="00213568"/>
    <w:rsid w:val="00214F53"/>
    <w:rsid w:val="00222CF3"/>
    <w:rsid w:val="00232780"/>
    <w:rsid w:val="00236AF9"/>
    <w:rsid w:val="00244BB2"/>
    <w:rsid w:val="002706FE"/>
    <w:rsid w:val="00277BFB"/>
    <w:rsid w:val="00281A58"/>
    <w:rsid w:val="00283F91"/>
    <w:rsid w:val="00284368"/>
    <w:rsid w:val="002843E8"/>
    <w:rsid w:val="00290721"/>
    <w:rsid w:val="002D10DF"/>
    <w:rsid w:val="002D4181"/>
    <w:rsid w:val="002E704C"/>
    <w:rsid w:val="00301337"/>
    <w:rsid w:val="00304122"/>
    <w:rsid w:val="00310A38"/>
    <w:rsid w:val="003125AB"/>
    <w:rsid w:val="0031672F"/>
    <w:rsid w:val="00322C64"/>
    <w:rsid w:val="003406FF"/>
    <w:rsid w:val="003418AC"/>
    <w:rsid w:val="0035260E"/>
    <w:rsid w:val="0035459E"/>
    <w:rsid w:val="00366CBB"/>
    <w:rsid w:val="00380653"/>
    <w:rsid w:val="00382C47"/>
    <w:rsid w:val="00396936"/>
    <w:rsid w:val="003A7A20"/>
    <w:rsid w:val="003C3544"/>
    <w:rsid w:val="003C4192"/>
    <w:rsid w:val="003C74AD"/>
    <w:rsid w:val="003C7535"/>
    <w:rsid w:val="003D1A7E"/>
    <w:rsid w:val="003D5317"/>
    <w:rsid w:val="003E6CB1"/>
    <w:rsid w:val="004038CC"/>
    <w:rsid w:val="004051F0"/>
    <w:rsid w:val="004067B5"/>
    <w:rsid w:val="004141FC"/>
    <w:rsid w:val="00415939"/>
    <w:rsid w:val="0042149C"/>
    <w:rsid w:val="00426EF8"/>
    <w:rsid w:val="00431E5A"/>
    <w:rsid w:val="004332F5"/>
    <w:rsid w:val="0043634C"/>
    <w:rsid w:val="00442467"/>
    <w:rsid w:val="004612AE"/>
    <w:rsid w:val="004735E6"/>
    <w:rsid w:val="00484F28"/>
    <w:rsid w:val="00492C34"/>
    <w:rsid w:val="004A1585"/>
    <w:rsid w:val="004A2B47"/>
    <w:rsid w:val="004B050D"/>
    <w:rsid w:val="004B0939"/>
    <w:rsid w:val="004B31E3"/>
    <w:rsid w:val="004B3B7A"/>
    <w:rsid w:val="004C3C58"/>
    <w:rsid w:val="004D32E4"/>
    <w:rsid w:val="004D6972"/>
    <w:rsid w:val="004F1AF7"/>
    <w:rsid w:val="004F63F8"/>
    <w:rsid w:val="004F71CE"/>
    <w:rsid w:val="004F781A"/>
    <w:rsid w:val="00500263"/>
    <w:rsid w:val="00505C5F"/>
    <w:rsid w:val="00511799"/>
    <w:rsid w:val="005217A7"/>
    <w:rsid w:val="00524301"/>
    <w:rsid w:val="00527A8D"/>
    <w:rsid w:val="00530552"/>
    <w:rsid w:val="00534C26"/>
    <w:rsid w:val="005357FC"/>
    <w:rsid w:val="00536CF5"/>
    <w:rsid w:val="005433B3"/>
    <w:rsid w:val="00560DB8"/>
    <w:rsid w:val="005837A8"/>
    <w:rsid w:val="005838DD"/>
    <w:rsid w:val="00592E82"/>
    <w:rsid w:val="005A1E43"/>
    <w:rsid w:val="005B2E4D"/>
    <w:rsid w:val="005B4504"/>
    <w:rsid w:val="005D0992"/>
    <w:rsid w:val="005D2E9A"/>
    <w:rsid w:val="005D435D"/>
    <w:rsid w:val="005E6825"/>
    <w:rsid w:val="00601080"/>
    <w:rsid w:val="00603107"/>
    <w:rsid w:val="0061180D"/>
    <w:rsid w:val="006266C4"/>
    <w:rsid w:val="006313D8"/>
    <w:rsid w:val="00641031"/>
    <w:rsid w:val="006428D2"/>
    <w:rsid w:val="00645A67"/>
    <w:rsid w:val="00650477"/>
    <w:rsid w:val="006655B8"/>
    <w:rsid w:val="00666E40"/>
    <w:rsid w:val="00681720"/>
    <w:rsid w:val="00687682"/>
    <w:rsid w:val="00687950"/>
    <w:rsid w:val="0069637E"/>
    <w:rsid w:val="00697E77"/>
    <w:rsid w:val="006C3DC3"/>
    <w:rsid w:val="006D15B6"/>
    <w:rsid w:val="006D3D35"/>
    <w:rsid w:val="006F20F4"/>
    <w:rsid w:val="006F7EE4"/>
    <w:rsid w:val="0070614B"/>
    <w:rsid w:val="0072782B"/>
    <w:rsid w:val="0073591D"/>
    <w:rsid w:val="007447FA"/>
    <w:rsid w:val="00756EBF"/>
    <w:rsid w:val="00757BA7"/>
    <w:rsid w:val="00760042"/>
    <w:rsid w:val="00764B8E"/>
    <w:rsid w:val="00765CA7"/>
    <w:rsid w:val="00767A2D"/>
    <w:rsid w:val="0079400A"/>
    <w:rsid w:val="00794833"/>
    <w:rsid w:val="00795347"/>
    <w:rsid w:val="00796098"/>
    <w:rsid w:val="007B0FDF"/>
    <w:rsid w:val="007B2182"/>
    <w:rsid w:val="007C2290"/>
    <w:rsid w:val="007C2D12"/>
    <w:rsid w:val="007F69A6"/>
    <w:rsid w:val="0080318A"/>
    <w:rsid w:val="00803209"/>
    <w:rsid w:val="008149E2"/>
    <w:rsid w:val="00816C72"/>
    <w:rsid w:val="00820F85"/>
    <w:rsid w:val="00827094"/>
    <w:rsid w:val="00831704"/>
    <w:rsid w:val="00834F5C"/>
    <w:rsid w:val="00835389"/>
    <w:rsid w:val="00837E94"/>
    <w:rsid w:val="00846EC8"/>
    <w:rsid w:val="00847715"/>
    <w:rsid w:val="0085305F"/>
    <w:rsid w:val="00855DF1"/>
    <w:rsid w:val="00856497"/>
    <w:rsid w:val="00856903"/>
    <w:rsid w:val="008648DB"/>
    <w:rsid w:val="00864E1B"/>
    <w:rsid w:val="00865060"/>
    <w:rsid w:val="008736BB"/>
    <w:rsid w:val="008754C3"/>
    <w:rsid w:val="00882179"/>
    <w:rsid w:val="008848A6"/>
    <w:rsid w:val="0089182C"/>
    <w:rsid w:val="008A2A9E"/>
    <w:rsid w:val="008A4EF0"/>
    <w:rsid w:val="008A72EE"/>
    <w:rsid w:val="008B1969"/>
    <w:rsid w:val="008B1AF0"/>
    <w:rsid w:val="008B506E"/>
    <w:rsid w:val="008C32B0"/>
    <w:rsid w:val="008C4381"/>
    <w:rsid w:val="008D0725"/>
    <w:rsid w:val="008E2E48"/>
    <w:rsid w:val="008E53D7"/>
    <w:rsid w:val="00902937"/>
    <w:rsid w:val="009047E0"/>
    <w:rsid w:val="00925C64"/>
    <w:rsid w:val="0092609C"/>
    <w:rsid w:val="00934A00"/>
    <w:rsid w:val="009428A8"/>
    <w:rsid w:val="00943E4D"/>
    <w:rsid w:val="00953515"/>
    <w:rsid w:val="00960601"/>
    <w:rsid w:val="0096608E"/>
    <w:rsid w:val="009728E4"/>
    <w:rsid w:val="00973212"/>
    <w:rsid w:val="00982F88"/>
    <w:rsid w:val="00987840"/>
    <w:rsid w:val="00997BF8"/>
    <w:rsid w:val="009A4035"/>
    <w:rsid w:val="009B46E7"/>
    <w:rsid w:val="009D1B9F"/>
    <w:rsid w:val="009D23C2"/>
    <w:rsid w:val="009E2CD7"/>
    <w:rsid w:val="009F3994"/>
    <w:rsid w:val="009F64DB"/>
    <w:rsid w:val="00A15988"/>
    <w:rsid w:val="00A3497A"/>
    <w:rsid w:val="00A34C6E"/>
    <w:rsid w:val="00A37147"/>
    <w:rsid w:val="00A4319F"/>
    <w:rsid w:val="00A47A41"/>
    <w:rsid w:val="00A50E9D"/>
    <w:rsid w:val="00A51717"/>
    <w:rsid w:val="00A57234"/>
    <w:rsid w:val="00A62F2E"/>
    <w:rsid w:val="00A702B4"/>
    <w:rsid w:val="00A7708B"/>
    <w:rsid w:val="00A8196E"/>
    <w:rsid w:val="00A85333"/>
    <w:rsid w:val="00A917FA"/>
    <w:rsid w:val="00A942AB"/>
    <w:rsid w:val="00AA6FC5"/>
    <w:rsid w:val="00AB308A"/>
    <w:rsid w:val="00AB616D"/>
    <w:rsid w:val="00AB65CC"/>
    <w:rsid w:val="00AC1312"/>
    <w:rsid w:val="00AC422F"/>
    <w:rsid w:val="00AD0F9F"/>
    <w:rsid w:val="00AF248D"/>
    <w:rsid w:val="00B00530"/>
    <w:rsid w:val="00B02325"/>
    <w:rsid w:val="00B15940"/>
    <w:rsid w:val="00B24595"/>
    <w:rsid w:val="00B30352"/>
    <w:rsid w:val="00B33B0A"/>
    <w:rsid w:val="00B360EA"/>
    <w:rsid w:val="00B52672"/>
    <w:rsid w:val="00B60C18"/>
    <w:rsid w:val="00B639CD"/>
    <w:rsid w:val="00B70C7E"/>
    <w:rsid w:val="00B76CFF"/>
    <w:rsid w:val="00B77508"/>
    <w:rsid w:val="00B81571"/>
    <w:rsid w:val="00B853CD"/>
    <w:rsid w:val="00B92059"/>
    <w:rsid w:val="00BA3C5B"/>
    <w:rsid w:val="00BC1B69"/>
    <w:rsid w:val="00BC6FC5"/>
    <w:rsid w:val="00BC7585"/>
    <w:rsid w:val="00BD3185"/>
    <w:rsid w:val="00BD34B3"/>
    <w:rsid w:val="00BD3ECB"/>
    <w:rsid w:val="00BD4882"/>
    <w:rsid w:val="00C1530D"/>
    <w:rsid w:val="00C40F97"/>
    <w:rsid w:val="00C46F9F"/>
    <w:rsid w:val="00C4737E"/>
    <w:rsid w:val="00C50EA5"/>
    <w:rsid w:val="00C5398C"/>
    <w:rsid w:val="00C87CE1"/>
    <w:rsid w:val="00C90786"/>
    <w:rsid w:val="00C91288"/>
    <w:rsid w:val="00C94CFF"/>
    <w:rsid w:val="00C96626"/>
    <w:rsid w:val="00C977C7"/>
    <w:rsid w:val="00CA1DF6"/>
    <w:rsid w:val="00CB09E0"/>
    <w:rsid w:val="00CB442A"/>
    <w:rsid w:val="00CC70B3"/>
    <w:rsid w:val="00CC7EE8"/>
    <w:rsid w:val="00CE5041"/>
    <w:rsid w:val="00CE7139"/>
    <w:rsid w:val="00CF06B2"/>
    <w:rsid w:val="00CF27D6"/>
    <w:rsid w:val="00D027C3"/>
    <w:rsid w:val="00D07829"/>
    <w:rsid w:val="00D16C05"/>
    <w:rsid w:val="00D36824"/>
    <w:rsid w:val="00D45F90"/>
    <w:rsid w:val="00D526E2"/>
    <w:rsid w:val="00D674E0"/>
    <w:rsid w:val="00D76BFD"/>
    <w:rsid w:val="00D80971"/>
    <w:rsid w:val="00D80C55"/>
    <w:rsid w:val="00D8337D"/>
    <w:rsid w:val="00D92B54"/>
    <w:rsid w:val="00DA2021"/>
    <w:rsid w:val="00DB3A30"/>
    <w:rsid w:val="00DB44D5"/>
    <w:rsid w:val="00DB5D39"/>
    <w:rsid w:val="00DB5F6D"/>
    <w:rsid w:val="00DC4A4E"/>
    <w:rsid w:val="00DC5467"/>
    <w:rsid w:val="00E20C13"/>
    <w:rsid w:val="00E21B2C"/>
    <w:rsid w:val="00E61A5E"/>
    <w:rsid w:val="00E66ECA"/>
    <w:rsid w:val="00E7782F"/>
    <w:rsid w:val="00EA2AF3"/>
    <w:rsid w:val="00EA3560"/>
    <w:rsid w:val="00EA6A6D"/>
    <w:rsid w:val="00EB6A18"/>
    <w:rsid w:val="00EC798F"/>
    <w:rsid w:val="00EE11D6"/>
    <w:rsid w:val="00EE3A13"/>
    <w:rsid w:val="00EE737E"/>
    <w:rsid w:val="00EF659D"/>
    <w:rsid w:val="00F06FB4"/>
    <w:rsid w:val="00F15E25"/>
    <w:rsid w:val="00F25149"/>
    <w:rsid w:val="00F25E5E"/>
    <w:rsid w:val="00F43595"/>
    <w:rsid w:val="00F51AEC"/>
    <w:rsid w:val="00F72F73"/>
    <w:rsid w:val="00F80E38"/>
    <w:rsid w:val="00F91E35"/>
    <w:rsid w:val="00F942F0"/>
    <w:rsid w:val="00F9487A"/>
    <w:rsid w:val="00FB1444"/>
    <w:rsid w:val="00FB4D2F"/>
    <w:rsid w:val="00FC21AC"/>
    <w:rsid w:val="00FC6736"/>
    <w:rsid w:val="00FD16D5"/>
    <w:rsid w:val="00FD1D96"/>
    <w:rsid w:val="00FD7F88"/>
    <w:rsid w:val="00FE76E6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45BF"/>
  <w15:chartTrackingRefBased/>
  <w15:docId w15:val="{CEDF1D74-EF06-4E6E-BBF6-09202B6E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03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42AB"/>
    <w:pPr>
      <w:ind w:left="720"/>
      <w:contextualSpacing/>
    </w:pPr>
  </w:style>
  <w:style w:type="paragraph" w:customStyle="1" w:styleId="SingleTxtG">
    <w:name w:val="_ Single Txt_G"/>
    <w:basedOn w:val="Normal"/>
    <w:link w:val="SingleTxtGChar"/>
    <w:qFormat/>
    <w:rsid w:val="00B9205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basedOn w:val="Standardskriftforavsnitt"/>
    <w:link w:val="SingleTxtG"/>
    <w:rsid w:val="00B9205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tnotetekst">
    <w:name w:val="footnote text"/>
    <w:aliases w:val="5_G"/>
    <w:basedOn w:val="Normal"/>
    <w:link w:val="FotnotetekstTegn"/>
    <w:uiPriority w:val="99"/>
    <w:rsid w:val="00F91E35"/>
    <w:pPr>
      <w:tabs>
        <w:tab w:val="right" w:pos="1021"/>
      </w:tabs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20"/>
      <w:lang w:val="en-GB" w:eastAsia="zh-CN"/>
    </w:rPr>
  </w:style>
  <w:style w:type="character" w:customStyle="1" w:styleId="FotnotetekstTegn">
    <w:name w:val="Fotnotetekst Tegn"/>
    <w:aliases w:val="5_G Tegn"/>
    <w:basedOn w:val="Standardskriftforavsnitt"/>
    <w:link w:val="Fotnotetekst"/>
    <w:uiPriority w:val="99"/>
    <w:rsid w:val="00F91E35"/>
    <w:rPr>
      <w:rFonts w:ascii="Times New Roman" w:eastAsia="SimSun" w:hAnsi="Times New Roman" w:cs="Times New Roman"/>
      <w:sz w:val="18"/>
      <w:szCs w:val="20"/>
      <w:lang w:val="en-GB" w:eastAsia="zh-CN"/>
    </w:rPr>
  </w:style>
  <w:style w:type="character" w:styleId="Fotnotereferanse">
    <w:name w:val="footnote reference"/>
    <w:aliases w:val="4_G"/>
    <w:link w:val="16Point"/>
    <w:uiPriority w:val="99"/>
    <w:rsid w:val="00F91E35"/>
    <w:rPr>
      <w:rFonts w:ascii="Times New Roman" w:hAnsi="Times New Roman"/>
      <w:sz w:val="18"/>
      <w:vertAlign w:val="superscript"/>
    </w:rPr>
  </w:style>
  <w:style w:type="table" w:styleId="Tabellrutenett">
    <w:name w:val="Table Grid"/>
    <w:basedOn w:val="Vanligtabell"/>
    <w:uiPriority w:val="39"/>
    <w:rsid w:val="00F91E3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Point">
    <w:name w:val="16 Point"/>
    <w:aliases w:val="Superscript 6 Point,4_G Char Char,Footnote Reference1 Char Char,Footnotes refss Char Char,ftref Char Char,BVI fnr Char Char,BVI fnr Car Car Char Char,BVI fnr Car Char Char,BVI fnr Car Car Car Car Char Char1"/>
    <w:basedOn w:val="Normal"/>
    <w:link w:val="Fotnotereferanse"/>
    <w:uiPriority w:val="99"/>
    <w:rsid w:val="00F91E35"/>
    <w:pPr>
      <w:spacing w:after="160" w:line="240" w:lineRule="exact"/>
      <w:jc w:val="both"/>
    </w:pPr>
    <w:rPr>
      <w:rFonts w:ascii="Times New Roman" w:hAnsi="Times New Roman" w:cstheme="minorBidi"/>
      <w:sz w:val="18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484F28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4F28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484F28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4F28"/>
    <w:rPr>
      <w:rFonts w:ascii="Calibri" w:hAnsi="Calibri" w:cs="Calibri"/>
    </w:rPr>
  </w:style>
  <w:style w:type="character" w:styleId="Utheving">
    <w:name w:val="Emphasis"/>
    <w:basedOn w:val="Standardskriftforavsnitt"/>
    <w:uiPriority w:val="20"/>
    <w:qFormat/>
    <w:rsid w:val="00D8337D"/>
    <w:rPr>
      <w:i/>
      <w:iCs/>
    </w:rPr>
  </w:style>
  <w:style w:type="paragraph" w:customStyle="1" w:styleId="mortaga">
    <w:name w:val="mortag_a"/>
    <w:basedOn w:val="Normal"/>
    <w:rsid w:val="00D833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0C57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575C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16D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16D5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9F3994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39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F399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F3994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39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3994"/>
    <w:rPr>
      <w:rFonts w:ascii="Calibri" w:hAnsi="Calibri" w:cs="Calibri"/>
      <w:b/>
      <w:bCs/>
      <w:sz w:val="20"/>
      <w:szCs w:val="20"/>
    </w:rPr>
  </w:style>
  <w:style w:type="character" w:customStyle="1" w:styleId="normaltextrun1">
    <w:name w:val="normaltextrun1"/>
    <w:basedOn w:val="Standardskriftforavsnitt"/>
    <w:rsid w:val="009F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24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fo.no/index.php/zoo-publikasjoner/fafo-rapporter/item/et-trygt-sted-a-vente" TargetMode="External"/><Relationship Id="rId2" Type="http://schemas.openxmlformats.org/officeDocument/2006/relationships/hyperlink" Target="https://www.udir.no/kvalitet-og-kompetanse/nasjonale-satsinger/tilbud-om-kompetanseutvikling-miljo-og%20mobbing/" TargetMode="External"/><Relationship Id="rId1" Type="http://schemas.openxmlformats.org/officeDocument/2006/relationships/hyperlink" Target="http://forumforbarnekonvensjonen.no/onewebmedia/Supplerende%20rapport%20engelks%20endelig.pdf" TargetMode="External"/><Relationship Id="rId4" Type="http://schemas.openxmlformats.org/officeDocument/2006/relationships/hyperlink" Target="https://www.fafo.no/index.php/zoo-publikasjoner/fafo-rapporter/item/et-trygt-sted-a-ven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5c421e79169b6bba174fb07424eb6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B4FD-3C39-4E17-BE88-6B18C3B17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6DB84-223E-4EBD-A2E5-44BA77092E77}"/>
</file>

<file path=customXml/itemProps3.xml><?xml version="1.0" encoding="utf-8"?>
<ds:datastoreItem xmlns:ds="http://schemas.openxmlformats.org/officeDocument/2006/customXml" ds:itemID="{E3FB921E-4A0C-41B9-8EE3-C6EF24D9C3BA}">
  <ds:schemaRefs>
    <ds:schemaRef ds:uri="http://schemas.microsoft.com/office/2006/metadata/properties"/>
    <ds:schemaRef ds:uri="http://purl.org/dc/elements/1.1/"/>
    <ds:schemaRef ds:uri="http://purl.org/dc/dcmitype/"/>
    <ds:schemaRef ds:uri="5f5ad775-51f8-4e7c-b1f3-5528d32e660a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d019fea-8c94-41b4-999c-e3218a1f094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44EED67-C274-44C0-9A18-D024BDAF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Eline Grønvold</dc:creator>
  <cp:keywords/>
  <dc:description/>
  <cp:lastModifiedBy>Sara Eline Grønvold</cp:lastModifiedBy>
  <cp:revision>2</cp:revision>
  <dcterms:created xsi:type="dcterms:W3CDTF">2020-01-27T08:36:00Z</dcterms:created>
  <dcterms:modified xsi:type="dcterms:W3CDTF">2020-01-27T08:36:00Z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