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30FB" w14:textId="77777777" w:rsidR="001E5C20" w:rsidRDefault="001E5C20" w:rsidP="00CB5412">
      <w:pPr>
        <w:spacing w:line="360" w:lineRule="auto"/>
        <w:jc w:val="center"/>
        <w:rPr>
          <w:rFonts w:ascii="Garamond" w:hAnsi="Garamond" w:cs="Arial"/>
          <w:b/>
          <w:color w:val="000000"/>
          <w:sz w:val="32"/>
          <w:szCs w:val="32"/>
          <w:lang w:eastAsia="en-GB"/>
        </w:rPr>
      </w:pPr>
      <w:bookmarkStart w:id="0" w:name="_Hlk523312033"/>
      <w:bookmarkEnd w:id="0"/>
    </w:p>
    <w:p w14:paraId="4C13FEB3" w14:textId="77777777" w:rsidR="001E5C20" w:rsidRDefault="001E5C20" w:rsidP="00CB5412">
      <w:pPr>
        <w:spacing w:line="360" w:lineRule="auto"/>
        <w:jc w:val="center"/>
        <w:rPr>
          <w:rFonts w:ascii="Garamond" w:hAnsi="Garamond" w:cs="Arial"/>
          <w:b/>
          <w:color w:val="000000"/>
          <w:sz w:val="32"/>
          <w:szCs w:val="32"/>
          <w:lang w:eastAsia="en-GB"/>
        </w:rPr>
      </w:pPr>
    </w:p>
    <w:p w14:paraId="361EF9FC" w14:textId="77777777" w:rsidR="001E5C20" w:rsidRDefault="001E5C20" w:rsidP="00CB5412">
      <w:pPr>
        <w:spacing w:line="360" w:lineRule="auto"/>
        <w:jc w:val="center"/>
        <w:rPr>
          <w:rFonts w:ascii="Garamond" w:hAnsi="Garamond" w:cs="Arial"/>
          <w:b/>
          <w:color w:val="000000"/>
          <w:sz w:val="32"/>
          <w:szCs w:val="32"/>
          <w:lang w:eastAsia="en-GB"/>
        </w:rPr>
      </w:pPr>
    </w:p>
    <w:p w14:paraId="5D691408" w14:textId="77777777" w:rsidR="00BD7ACB" w:rsidRPr="00E85456" w:rsidRDefault="00A33AE8" w:rsidP="00CB5412">
      <w:pPr>
        <w:spacing w:line="360" w:lineRule="auto"/>
        <w:jc w:val="center"/>
        <w:rPr>
          <w:rFonts w:ascii="Garamond" w:hAnsi="Garamond" w:cs="Arial"/>
          <w:b/>
          <w:color w:val="000000"/>
          <w:sz w:val="32"/>
          <w:szCs w:val="32"/>
          <w:lang w:val="en-US" w:eastAsia="en-GB"/>
        </w:rPr>
      </w:pPr>
      <w:r>
        <w:rPr>
          <w:rFonts w:ascii="Garamond" w:hAnsi="Garamond" w:cs="Arial"/>
          <w:b/>
          <w:color w:val="000000"/>
          <w:sz w:val="32"/>
          <w:szCs w:val="32"/>
          <w:lang w:val="en-US" w:eastAsia="en-GB"/>
        </w:rPr>
        <w:t>CONTRIBUTION</w:t>
      </w:r>
      <w:r w:rsidR="001E5C20" w:rsidRPr="00E85456">
        <w:rPr>
          <w:rFonts w:ascii="Garamond" w:hAnsi="Garamond" w:cs="Arial"/>
          <w:b/>
          <w:color w:val="000000"/>
          <w:sz w:val="32"/>
          <w:szCs w:val="32"/>
          <w:lang w:val="en-US" w:eastAsia="en-GB"/>
        </w:rPr>
        <w:t xml:space="preserve"> OF THE </w:t>
      </w:r>
    </w:p>
    <w:p w14:paraId="23326ECB" w14:textId="77777777" w:rsidR="00A33AE8" w:rsidRDefault="001E5C20" w:rsidP="00CB5412">
      <w:pPr>
        <w:spacing w:line="360" w:lineRule="auto"/>
        <w:jc w:val="center"/>
        <w:rPr>
          <w:rFonts w:ascii="Garamond" w:hAnsi="Garamond" w:cs="Arial"/>
          <w:b/>
          <w:color w:val="000000"/>
          <w:sz w:val="32"/>
          <w:szCs w:val="32"/>
          <w:lang w:val="en-US" w:eastAsia="en-GB"/>
        </w:rPr>
      </w:pPr>
      <w:r w:rsidRPr="00E85456">
        <w:rPr>
          <w:rFonts w:ascii="Garamond" w:hAnsi="Garamond" w:cs="Arial"/>
          <w:b/>
          <w:color w:val="000000"/>
          <w:sz w:val="32"/>
          <w:szCs w:val="32"/>
          <w:lang w:val="en-US" w:eastAsia="en-GB"/>
        </w:rPr>
        <w:t>PORTUGUESE OMBUDSMAN</w:t>
      </w:r>
    </w:p>
    <w:p w14:paraId="60D12D32" w14:textId="77777777" w:rsidR="00A33AE8" w:rsidRDefault="00A33AE8" w:rsidP="00CB5412">
      <w:pPr>
        <w:spacing w:line="360" w:lineRule="auto"/>
        <w:jc w:val="center"/>
        <w:rPr>
          <w:rFonts w:ascii="Garamond" w:hAnsi="Garamond" w:cs="Arial"/>
          <w:b/>
          <w:color w:val="000000"/>
          <w:sz w:val="32"/>
          <w:szCs w:val="32"/>
          <w:lang w:val="en-US" w:eastAsia="en-GB"/>
        </w:rPr>
      </w:pPr>
    </w:p>
    <w:p w14:paraId="0134A8A5" w14:textId="019D40FE" w:rsidR="001E5C20" w:rsidRDefault="001E5C20" w:rsidP="00CB5412">
      <w:pPr>
        <w:spacing w:line="360" w:lineRule="auto"/>
        <w:jc w:val="center"/>
        <w:rPr>
          <w:rFonts w:ascii="Garamond" w:hAnsi="Garamond" w:cs="Arial"/>
          <w:b/>
          <w:color w:val="000000"/>
          <w:sz w:val="32"/>
          <w:szCs w:val="32"/>
          <w:lang w:val="en-US" w:eastAsia="en-GB"/>
        </w:rPr>
      </w:pPr>
    </w:p>
    <w:p w14:paraId="08D2F046" w14:textId="77777777" w:rsidR="00D76F79" w:rsidRPr="00E85456" w:rsidRDefault="00D76F79" w:rsidP="00CB5412">
      <w:pPr>
        <w:spacing w:line="360" w:lineRule="auto"/>
        <w:jc w:val="center"/>
        <w:rPr>
          <w:rFonts w:ascii="Garamond" w:hAnsi="Garamond" w:cs="Arial"/>
          <w:b/>
          <w:color w:val="000000"/>
          <w:sz w:val="32"/>
          <w:szCs w:val="32"/>
          <w:lang w:val="en-US" w:eastAsia="en-GB"/>
        </w:rPr>
      </w:pPr>
    </w:p>
    <w:p w14:paraId="7014244C" w14:textId="289907FC" w:rsidR="001E5C20" w:rsidRPr="00A33AE8" w:rsidRDefault="00B17373" w:rsidP="00CB5412">
      <w:pPr>
        <w:spacing w:line="360" w:lineRule="auto"/>
        <w:jc w:val="center"/>
        <w:rPr>
          <w:rFonts w:ascii="Garamond" w:hAnsi="Garamond" w:cs="Arial"/>
          <w:b/>
          <w:color w:val="000000"/>
          <w:sz w:val="28"/>
          <w:szCs w:val="28"/>
          <w:lang w:val="en-US" w:eastAsia="en-GB"/>
        </w:rPr>
      </w:pPr>
      <w:bookmarkStart w:id="1" w:name="_Hlk5898638"/>
      <w:r>
        <w:rPr>
          <w:rFonts w:ascii="Garamond" w:hAnsi="Garamond" w:cs="Arial"/>
          <w:b/>
          <w:color w:val="000000"/>
          <w:sz w:val="32"/>
          <w:szCs w:val="32"/>
          <w:lang w:val="en-US" w:eastAsia="en-GB"/>
        </w:rPr>
        <w:t>to the List of Issues in relation to the fifth periodic report of Portugal on the International Covenant on Civil and Political Rights</w:t>
      </w:r>
    </w:p>
    <w:bookmarkEnd w:id="1"/>
    <w:p w14:paraId="4FC16873" w14:textId="77777777" w:rsidR="005C0E7A" w:rsidRDefault="005C0E7A" w:rsidP="00CB5412">
      <w:pPr>
        <w:spacing w:line="360" w:lineRule="auto"/>
        <w:jc w:val="center"/>
        <w:rPr>
          <w:rFonts w:ascii="Garamond" w:hAnsi="Garamond" w:cs="Arial"/>
          <w:b/>
          <w:color w:val="000000"/>
          <w:sz w:val="32"/>
          <w:szCs w:val="32"/>
          <w:lang w:val="en-US" w:eastAsia="en-GB"/>
        </w:rPr>
      </w:pPr>
    </w:p>
    <w:p w14:paraId="49D0F2E5" w14:textId="77777777" w:rsidR="00A33AE8" w:rsidRDefault="00A33AE8" w:rsidP="00CB5412">
      <w:pPr>
        <w:spacing w:line="360" w:lineRule="auto"/>
        <w:jc w:val="center"/>
        <w:rPr>
          <w:rFonts w:ascii="Garamond" w:hAnsi="Garamond" w:cs="Arial"/>
          <w:b/>
          <w:color w:val="000000"/>
          <w:sz w:val="32"/>
          <w:szCs w:val="32"/>
          <w:lang w:val="en-US" w:eastAsia="en-GB"/>
        </w:rPr>
      </w:pPr>
    </w:p>
    <w:p w14:paraId="70032357" w14:textId="77777777" w:rsidR="00A33AE8" w:rsidRDefault="00A33AE8" w:rsidP="00CB5412">
      <w:pPr>
        <w:spacing w:line="360" w:lineRule="auto"/>
        <w:jc w:val="center"/>
        <w:rPr>
          <w:rFonts w:ascii="Garamond" w:hAnsi="Garamond" w:cs="Arial"/>
          <w:b/>
          <w:color w:val="000000"/>
          <w:sz w:val="32"/>
          <w:szCs w:val="32"/>
          <w:lang w:val="en-US" w:eastAsia="en-GB"/>
        </w:rPr>
      </w:pPr>
    </w:p>
    <w:p w14:paraId="436FACE1" w14:textId="77777777" w:rsidR="00A33AE8" w:rsidRDefault="00A33AE8" w:rsidP="00CB5412">
      <w:pPr>
        <w:spacing w:line="360" w:lineRule="auto"/>
        <w:jc w:val="right"/>
        <w:rPr>
          <w:rFonts w:ascii="Garamond" w:hAnsi="Garamond" w:cs="Arial"/>
          <w:b/>
          <w:color w:val="000000"/>
          <w:sz w:val="32"/>
          <w:szCs w:val="32"/>
          <w:lang w:val="en-US" w:eastAsia="en-GB"/>
        </w:rPr>
      </w:pPr>
    </w:p>
    <w:p w14:paraId="2E47F959" w14:textId="59BD605E" w:rsidR="00A33AE8" w:rsidRDefault="00182FB8" w:rsidP="00CB5412">
      <w:pPr>
        <w:spacing w:line="360" w:lineRule="auto"/>
        <w:jc w:val="right"/>
        <w:rPr>
          <w:rFonts w:ascii="Garamond" w:hAnsi="Garamond" w:cs="Arial"/>
          <w:b/>
          <w:color w:val="000000"/>
          <w:sz w:val="32"/>
          <w:szCs w:val="32"/>
          <w:lang w:val="en-US" w:eastAsia="en-GB"/>
        </w:rPr>
      </w:pPr>
      <w:r>
        <w:rPr>
          <w:rFonts w:ascii="Garamond" w:hAnsi="Garamond" w:cs="Arial"/>
          <w:b/>
          <w:color w:val="000000"/>
          <w:sz w:val="32"/>
          <w:szCs w:val="32"/>
          <w:lang w:val="en-US" w:eastAsia="en-GB"/>
        </w:rPr>
        <w:t>Februar</w:t>
      </w:r>
      <w:r w:rsidR="00B17373">
        <w:rPr>
          <w:rFonts w:ascii="Garamond" w:hAnsi="Garamond" w:cs="Arial"/>
          <w:b/>
          <w:color w:val="000000"/>
          <w:sz w:val="32"/>
          <w:szCs w:val="32"/>
          <w:lang w:val="en-US" w:eastAsia="en-GB"/>
        </w:rPr>
        <w:t>y</w:t>
      </w:r>
      <w:r w:rsidR="00A33AE8">
        <w:rPr>
          <w:rFonts w:ascii="Garamond" w:hAnsi="Garamond" w:cs="Arial"/>
          <w:b/>
          <w:color w:val="000000"/>
          <w:sz w:val="32"/>
          <w:szCs w:val="32"/>
          <w:lang w:val="en-US" w:eastAsia="en-GB"/>
        </w:rPr>
        <w:t xml:space="preserve"> 20</w:t>
      </w:r>
      <w:r w:rsidR="00B17373">
        <w:rPr>
          <w:rFonts w:ascii="Garamond" w:hAnsi="Garamond" w:cs="Arial"/>
          <w:b/>
          <w:color w:val="000000"/>
          <w:sz w:val="32"/>
          <w:szCs w:val="32"/>
          <w:lang w:val="en-US" w:eastAsia="en-GB"/>
        </w:rPr>
        <w:t>20</w:t>
      </w:r>
    </w:p>
    <w:p w14:paraId="1A359B5C" w14:textId="77777777" w:rsidR="005C0E7A" w:rsidRPr="00E85456" w:rsidRDefault="005C0E7A" w:rsidP="00CB5412">
      <w:pPr>
        <w:spacing w:line="360" w:lineRule="auto"/>
        <w:jc w:val="center"/>
        <w:rPr>
          <w:rFonts w:ascii="Garamond" w:hAnsi="Garamond" w:cs="Arial"/>
          <w:b/>
          <w:color w:val="000000"/>
          <w:sz w:val="32"/>
          <w:szCs w:val="32"/>
          <w:lang w:val="en-US" w:eastAsia="en-GB"/>
        </w:rPr>
      </w:pPr>
    </w:p>
    <w:p w14:paraId="1595CB9A" w14:textId="77777777" w:rsidR="001E5C20" w:rsidRPr="00E85456" w:rsidRDefault="001E5C20" w:rsidP="00CB5412">
      <w:pPr>
        <w:spacing w:line="360" w:lineRule="auto"/>
        <w:rPr>
          <w:rFonts w:ascii="Garamond" w:hAnsi="Garamond" w:cs="Arial"/>
          <w:b/>
          <w:color w:val="000000"/>
          <w:sz w:val="28"/>
          <w:szCs w:val="28"/>
          <w:lang w:val="en-US" w:eastAsia="en-GB"/>
        </w:rPr>
      </w:pPr>
      <w:bookmarkStart w:id="2" w:name="_GoBack"/>
      <w:bookmarkEnd w:id="2"/>
    </w:p>
    <w:p w14:paraId="2EB088BF" w14:textId="77777777" w:rsidR="001E5C20" w:rsidRPr="00E85456" w:rsidRDefault="001E5C20" w:rsidP="00CB5412">
      <w:pPr>
        <w:spacing w:line="360" w:lineRule="auto"/>
        <w:rPr>
          <w:rFonts w:ascii="Garamond" w:hAnsi="Garamond" w:cs="Arial"/>
          <w:b/>
          <w:color w:val="000000"/>
          <w:sz w:val="28"/>
          <w:szCs w:val="28"/>
          <w:lang w:val="en-US" w:eastAsia="en-GB"/>
        </w:rPr>
      </w:pPr>
    </w:p>
    <w:p w14:paraId="457ACAE6" w14:textId="77777777" w:rsidR="001E5C20" w:rsidRPr="00E85456" w:rsidRDefault="001E5C20" w:rsidP="00CB5412">
      <w:pPr>
        <w:spacing w:after="200" w:line="360" w:lineRule="auto"/>
        <w:rPr>
          <w:rFonts w:ascii="Garamond" w:hAnsi="Garamond" w:cs="Arial"/>
          <w:b/>
          <w:i/>
          <w:color w:val="000000"/>
          <w:sz w:val="28"/>
          <w:szCs w:val="28"/>
          <w:lang w:val="en-US" w:eastAsia="en-GB"/>
        </w:rPr>
      </w:pPr>
      <w:r w:rsidRPr="00E85456">
        <w:rPr>
          <w:rFonts w:ascii="Garamond" w:hAnsi="Garamond" w:cs="Arial"/>
          <w:b/>
          <w:i/>
          <w:color w:val="000000"/>
          <w:sz w:val="28"/>
          <w:szCs w:val="28"/>
          <w:lang w:val="en-US" w:eastAsia="en-GB"/>
        </w:rPr>
        <w:br w:type="page"/>
      </w:r>
    </w:p>
    <w:p w14:paraId="4564BA05" w14:textId="77777777" w:rsidR="001E5C20" w:rsidRPr="00541431" w:rsidRDefault="001E5C20" w:rsidP="00541431">
      <w:pPr>
        <w:spacing w:line="360" w:lineRule="auto"/>
        <w:ind w:firstLine="708"/>
        <w:rPr>
          <w:rFonts w:ascii="Garamond" w:hAnsi="Garamond" w:cs="Arial"/>
          <w:b/>
          <w:color w:val="000000"/>
          <w:sz w:val="26"/>
          <w:szCs w:val="26"/>
          <w:lang w:val="en-US" w:eastAsia="en-GB"/>
        </w:rPr>
      </w:pPr>
      <w:r w:rsidRPr="00541431">
        <w:rPr>
          <w:rFonts w:ascii="Garamond" w:hAnsi="Garamond" w:cs="Arial"/>
          <w:b/>
          <w:color w:val="000000"/>
          <w:sz w:val="26"/>
          <w:szCs w:val="26"/>
          <w:lang w:val="en-US" w:eastAsia="en-GB"/>
        </w:rPr>
        <w:lastRenderedPageBreak/>
        <w:t>Introduction</w:t>
      </w:r>
    </w:p>
    <w:p w14:paraId="4441225D" w14:textId="77777777" w:rsidR="001E5C20" w:rsidRPr="00541431" w:rsidRDefault="001E5C20" w:rsidP="00CB5412">
      <w:pPr>
        <w:spacing w:line="360" w:lineRule="auto"/>
        <w:rPr>
          <w:rFonts w:ascii="Garamond" w:hAnsi="Garamond" w:cs="Arial"/>
          <w:b/>
          <w:color w:val="000000"/>
          <w:lang w:val="en-US" w:eastAsia="en-GB"/>
        </w:rPr>
      </w:pPr>
    </w:p>
    <w:p w14:paraId="11D02DBE" w14:textId="77777777" w:rsidR="001E5C20" w:rsidRPr="00541431" w:rsidRDefault="001E5C20" w:rsidP="00CB5412">
      <w:pPr>
        <w:spacing w:line="360" w:lineRule="auto"/>
        <w:rPr>
          <w:rFonts w:ascii="Garamond" w:hAnsi="Garamond" w:cs="Arial"/>
          <w:color w:val="000000"/>
          <w:lang w:val="en-US" w:eastAsia="en-GB"/>
        </w:rPr>
      </w:pPr>
    </w:p>
    <w:p w14:paraId="7A779156" w14:textId="07412378" w:rsidR="00B22E15" w:rsidRPr="00541431" w:rsidRDefault="00B22E15" w:rsidP="00CB5412">
      <w:pPr>
        <w:pStyle w:val="PargrafodaLista"/>
        <w:spacing w:line="360" w:lineRule="auto"/>
        <w:ind w:left="0" w:firstLine="708"/>
        <w:contextualSpacing w:val="0"/>
        <w:jc w:val="both"/>
        <w:rPr>
          <w:rFonts w:ascii="Garamond" w:eastAsia="Times New Roman" w:hAnsi="Garamond" w:cs="Arial"/>
          <w:bCs/>
          <w:color w:val="000000"/>
          <w:sz w:val="24"/>
          <w:szCs w:val="24"/>
          <w:lang w:eastAsia="en-GB"/>
        </w:rPr>
      </w:pPr>
      <w:r w:rsidRPr="00541431">
        <w:rPr>
          <w:rFonts w:ascii="Garamond" w:eastAsia="Times New Roman" w:hAnsi="Garamond" w:cs="Arial"/>
          <w:bCs/>
          <w:color w:val="000000"/>
          <w:sz w:val="24"/>
          <w:szCs w:val="24"/>
          <w:lang w:eastAsia="en-GB"/>
        </w:rPr>
        <w:t xml:space="preserve">The Portuguese Ombudsman, in </w:t>
      </w:r>
      <w:r w:rsidR="001A4F3A" w:rsidRPr="00541431">
        <w:rPr>
          <w:rFonts w:ascii="Garamond" w:eastAsia="Times New Roman" w:hAnsi="Garamond" w:cs="Arial"/>
          <w:bCs/>
          <w:color w:val="000000"/>
          <w:sz w:val="24"/>
          <w:szCs w:val="24"/>
          <w:lang w:eastAsia="en-GB"/>
        </w:rPr>
        <w:t>its</w:t>
      </w:r>
      <w:r w:rsidRPr="00541431">
        <w:rPr>
          <w:rFonts w:ascii="Garamond" w:eastAsia="Times New Roman" w:hAnsi="Garamond" w:cs="Arial"/>
          <w:bCs/>
          <w:color w:val="000000"/>
          <w:sz w:val="24"/>
          <w:szCs w:val="24"/>
          <w:lang w:eastAsia="en-GB"/>
        </w:rPr>
        <w:t xml:space="preserve"> capacity as National Human Rights Institution and National Preventive Mechanism, would like to stress the importance it attaches to the collaboration with UN monitoring bodies in the area of human rights and to welcome</w:t>
      </w:r>
      <w:r w:rsidR="001A4F3A" w:rsidRPr="00541431">
        <w:rPr>
          <w:rFonts w:ascii="Garamond" w:eastAsia="Times New Roman" w:hAnsi="Garamond" w:cs="Arial"/>
          <w:bCs/>
          <w:color w:val="000000"/>
          <w:sz w:val="24"/>
          <w:szCs w:val="24"/>
          <w:lang w:eastAsia="en-GB"/>
        </w:rPr>
        <w:t xml:space="preserve"> </w:t>
      </w:r>
      <w:r w:rsidRPr="00541431">
        <w:rPr>
          <w:rFonts w:ascii="Garamond" w:eastAsia="Times New Roman" w:hAnsi="Garamond" w:cs="Arial"/>
          <w:bCs/>
          <w:color w:val="000000"/>
          <w:sz w:val="24"/>
          <w:szCs w:val="24"/>
          <w:lang w:eastAsia="en-GB"/>
        </w:rPr>
        <w:t xml:space="preserve">this opportunity to share with the </w:t>
      </w:r>
      <w:r w:rsidR="00B17373" w:rsidRPr="00541431">
        <w:rPr>
          <w:rFonts w:ascii="Garamond" w:eastAsia="Times New Roman" w:hAnsi="Garamond" w:cs="Arial"/>
          <w:bCs/>
          <w:color w:val="000000"/>
          <w:sz w:val="24"/>
          <w:szCs w:val="24"/>
          <w:lang w:eastAsia="en-GB"/>
        </w:rPr>
        <w:t>Human Rights Committee</w:t>
      </w:r>
      <w:r w:rsidRPr="00541431">
        <w:rPr>
          <w:rFonts w:ascii="Garamond" w:eastAsia="Times New Roman" w:hAnsi="Garamond" w:cs="Arial"/>
          <w:bCs/>
          <w:color w:val="000000"/>
          <w:sz w:val="24"/>
          <w:szCs w:val="24"/>
          <w:lang w:eastAsia="en-GB"/>
        </w:rPr>
        <w:t xml:space="preserve"> </w:t>
      </w:r>
      <w:r w:rsidR="00E20938" w:rsidRPr="00541431">
        <w:rPr>
          <w:rFonts w:ascii="Garamond" w:eastAsia="Times New Roman" w:hAnsi="Garamond" w:cs="Arial"/>
          <w:bCs/>
          <w:color w:val="000000"/>
          <w:sz w:val="24"/>
          <w:szCs w:val="24"/>
          <w:lang w:eastAsia="en-GB"/>
        </w:rPr>
        <w:t>its</w:t>
      </w:r>
      <w:r w:rsidRPr="00541431">
        <w:rPr>
          <w:rFonts w:ascii="Garamond" w:eastAsia="Times New Roman" w:hAnsi="Garamond" w:cs="Arial"/>
          <w:bCs/>
          <w:color w:val="000000"/>
          <w:sz w:val="24"/>
          <w:szCs w:val="24"/>
          <w:lang w:eastAsia="en-GB"/>
        </w:rPr>
        <w:t xml:space="preserve"> views </w:t>
      </w:r>
      <w:r w:rsidR="00B17373" w:rsidRPr="00541431">
        <w:rPr>
          <w:rFonts w:ascii="Garamond" w:eastAsia="Times New Roman" w:hAnsi="Garamond" w:cs="Arial"/>
          <w:bCs/>
          <w:color w:val="000000"/>
          <w:sz w:val="24"/>
          <w:szCs w:val="24"/>
          <w:lang w:eastAsia="en-GB"/>
        </w:rPr>
        <w:t>on some of the topics covered by the list of issues in relation to the fifth periodic report of Portugal</w:t>
      </w:r>
      <w:r w:rsidRPr="00541431">
        <w:rPr>
          <w:rFonts w:ascii="Garamond" w:eastAsia="Times New Roman" w:hAnsi="Garamond" w:cs="Arial"/>
          <w:bCs/>
          <w:color w:val="000000"/>
          <w:sz w:val="24"/>
          <w:szCs w:val="24"/>
          <w:lang w:eastAsia="en-GB"/>
        </w:rPr>
        <w:t>.</w:t>
      </w:r>
      <w:r w:rsidR="008F7EB0" w:rsidRPr="00541431">
        <w:rPr>
          <w:rFonts w:ascii="Garamond" w:eastAsia="Times New Roman" w:hAnsi="Garamond" w:cs="Arial"/>
          <w:bCs/>
          <w:color w:val="000000"/>
          <w:sz w:val="24"/>
          <w:szCs w:val="24"/>
          <w:lang w:eastAsia="en-GB"/>
        </w:rPr>
        <w:t xml:space="preserve"> </w:t>
      </w:r>
    </w:p>
    <w:p w14:paraId="68FA7487" w14:textId="35389CAE" w:rsidR="00B17373" w:rsidRPr="00541431" w:rsidRDefault="00B17373" w:rsidP="00CB5412">
      <w:pPr>
        <w:pStyle w:val="PargrafodaLista"/>
        <w:spacing w:line="360" w:lineRule="auto"/>
        <w:ind w:left="0" w:firstLine="708"/>
        <w:contextualSpacing w:val="0"/>
        <w:jc w:val="both"/>
        <w:rPr>
          <w:rFonts w:ascii="Garamond" w:eastAsia="Times New Roman" w:hAnsi="Garamond" w:cs="Arial"/>
          <w:bCs/>
          <w:color w:val="000000"/>
          <w:sz w:val="24"/>
          <w:szCs w:val="24"/>
          <w:lang w:eastAsia="en-GB"/>
        </w:rPr>
      </w:pPr>
      <w:r w:rsidRPr="00541431">
        <w:rPr>
          <w:rFonts w:ascii="Garamond" w:eastAsia="Times New Roman" w:hAnsi="Garamond" w:cs="Arial"/>
          <w:bCs/>
          <w:color w:val="000000"/>
          <w:sz w:val="24"/>
          <w:szCs w:val="24"/>
          <w:lang w:eastAsia="en-GB"/>
        </w:rPr>
        <w:t xml:space="preserve">For this purpose, the Portuguese Ombudsman would like to present some comments as regards </w:t>
      </w:r>
      <w:r w:rsidR="00197E72" w:rsidRPr="00541431">
        <w:rPr>
          <w:rFonts w:ascii="Garamond" w:eastAsia="Times New Roman" w:hAnsi="Garamond" w:cs="Arial"/>
          <w:bCs/>
          <w:color w:val="000000"/>
          <w:sz w:val="24"/>
          <w:szCs w:val="24"/>
          <w:lang w:eastAsia="en-GB"/>
        </w:rPr>
        <w:t xml:space="preserve">the issues with </w:t>
      </w:r>
      <w:r w:rsidR="00BA009E" w:rsidRPr="00541431">
        <w:rPr>
          <w:rFonts w:ascii="Garamond" w:eastAsia="Times New Roman" w:hAnsi="Garamond" w:cs="Arial"/>
          <w:bCs/>
          <w:color w:val="000000"/>
          <w:sz w:val="24"/>
          <w:szCs w:val="24"/>
          <w:lang w:eastAsia="en-GB"/>
        </w:rPr>
        <w:t>which</w:t>
      </w:r>
      <w:r w:rsidR="00197E72" w:rsidRPr="00541431">
        <w:rPr>
          <w:rFonts w:ascii="Garamond" w:eastAsia="Times New Roman" w:hAnsi="Garamond" w:cs="Arial"/>
          <w:bCs/>
          <w:color w:val="000000"/>
          <w:sz w:val="24"/>
          <w:szCs w:val="24"/>
          <w:lang w:eastAsia="en-GB"/>
        </w:rPr>
        <w:t xml:space="preserve"> it has a particular concern, due to its activity. </w:t>
      </w:r>
    </w:p>
    <w:p w14:paraId="580F7CBD" w14:textId="77777777" w:rsidR="00B22E15" w:rsidRPr="00541431" w:rsidRDefault="00B22E15" w:rsidP="00CB5412">
      <w:pPr>
        <w:pStyle w:val="PargrafodaLista"/>
        <w:spacing w:line="360" w:lineRule="auto"/>
        <w:ind w:left="0"/>
        <w:contextualSpacing w:val="0"/>
        <w:jc w:val="both"/>
        <w:rPr>
          <w:rFonts w:ascii="Garamond" w:eastAsia="Times New Roman" w:hAnsi="Garamond" w:cs="Arial"/>
          <w:bCs/>
          <w:color w:val="000000"/>
          <w:sz w:val="24"/>
          <w:szCs w:val="24"/>
          <w:lang w:eastAsia="en-GB"/>
        </w:rPr>
      </w:pPr>
    </w:p>
    <w:p w14:paraId="40F9D0EB" w14:textId="77777777" w:rsidR="00B17373" w:rsidRPr="00541431" w:rsidRDefault="00B17373" w:rsidP="00CB5412">
      <w:pPr>
        <w:pStyle w:val="PargrafodaLista"/>
        <w:suppressAutoHyphens w:val="0"/>
        <w:spacing w:line="360" w:lineRule="auto"/>
        <w:contextualSpacing w:val="0"/>
        <w:rPr>
          <w:rFonts w:ascii="Garamond" w:eastAsia="Times New Roman" w:hAnsi="Garamond" w:cs="Arial"/>
          <w:b/>
          <w:color w:val="000000"/>
          <w:sz w:val="24"/>
          <w:szCs w:val="24"/>
          <w:lang w:eastAsia="en-GB"/>
        </w:rPr>
      </w:pPr>
      <w:bookmarkStart w:id="3" w:name="_Hlk21285455"/>
    </w:p>
    <w:p w14:paraId="1045AA27" w14:textId="012C4349" w:rsidR="00B22E15" w:rsidRPr="00541431" w:rsidRDefault="00B17373" w:rsidP="00CB5412">
      <w:pPr>
        <w:pStyle w:val="PargrafodaLista"/>
        <w:spacing w:line="360" w:lineRule="auto"/>
        <w:contextualSpacing w:val="0"/>
        <w:rPr>
          <w:rFonts w:ascii="Garamond" w:eastAsia="Times New Roman" w:hAnsi="Garamond" w:cs="Arial"/>
          <w:b/>
          <w:color w:val="000000"/>
          <w:sz w:val="24"/>
          <w:szCs w:val="24"/>
          <w:lang w:eastAsia="en-GB"/>
        </w:rPr>
      </w:pPr>
      <w:r w:rsidRPr="00541431">
        <w:rPr>
          <w:rFonts w:ascii="Garamond" w:eastAsia="Times New Roman" w:hAnsi="Garamond" w:cs="Arial"/>
          <w:b/>
          <w:color w:val="000000"/>
          <w:sz w:val="24"/>
          <w:szCs w:val="24"/>
          <w:lang w:eastAsia="en-GB"/>
        </w:rPr>
        <w:t>1</w:t>
      </w:r>
      <w:r w:rsidR="001E5C20" w:rsidRPr="00541431">
        <w:rPr>
          <w:rFonts w:ascii="Garamond" w:eastAsia="Times New Roman" w:hAnsi="Garamond" w:cs="Arial"/>
          <w:b/>
          <w:color w:val="000000"/>
          <w:sz w:val="24"/>
          <w:szCs w:val="24"/>
          <w:lang w:eastAsia="en-GB"/>
        </w:rPr>
        <w:t xml:space="preserve">. </w:t>
      </w:r>
      <w:r w:rsidR="00CB5412" w:rsidRPr="00541431">
        <w:rPr>
          <w:rFonts w:ascii="Garamond" w:eastAsia="Times New Roman" w:hAnsi="Garamond" w:cs="Arial"/>
          <w:b/>
          <w:color w:val="000000"/>
          <w:sz w:val="24"/>
          <w:szCs w:val="24"/>
          <w:lang w:eastAsia="en-GB"/>
        </w:rPr>
        <w:t>Constitutional and legal framework within which the Covenant is implemented (art. 2)</w:t>
      </w:r>
    </w:p>
    <w:bookmarkEnd w:id="3"/>
    <w:p w14:paraId="5B9D5AD4" w14:textId="77777777" w:rsidR="001E5C20" w:rsidRPr="00541431" w:rsidRDefault="001E5C20" w:rsidP="00CB5412">
      <w:pPr>
        <w:pStyle w:val="PargrafodaLista"/>
        <w:suppressAutoHyphens w:val="0"/>
        <w:spacing w:line="360" w:lineRule="auto"/>
        <w:contextualSpacing w:val="0"/>
        <w:rPr>
          <w:rFonts w:ascii="Garamond" w:eastAsia="Times New Roman" w:hAnsi="Garamond" w:cs="Arial"/>
          <w:b/>
          <w:color w:val="000000"/>
          <w:sz w:val="24"/>
          <w:szCs w:val="24"/>
          <w:lang w:eastAsia="en-GB"/>
        </w:rPr>
      </w:pPr>
    </w:p>
    <w:p w14:paraId="7D005E17" w14:textId="4583FC6B" w:rsidR="003376A9" w:rsidRPr="00167BAF" w:rsidRDefault="00B226D8" w:rsidP="00CB5412">
      <w:pPr>
        <w:spacing w:line="360" w:lineRule="auto"/>
        <w:ind w:firstLine="708"/>
        <w:jc w:val="both"/>
        <w:rPr>
          <w:rFonts w:ascii="Garamond" w:hAnsi="Garamond"/>
          <w:b/>
          <w:bCs/>
          <w:i/>
          <w:u w:val="single"/>
          <w:lang w:val="en-GB"/>
        </w:rPr>
      </w:pPr>
      <w:r w:rsidRPr="00167BAF">
        <w:rPr>
          <w:rFonts w:ascii="Garamond" w:hAnsi="Garamond"/>
          <w:b/>
          <w:bCs/>
          <w:i/>
          <w:u w:val="single"/>
          <w:lang w:val="en-GB"/>
        </w:rPr>
        <w:t>Issue 3</w:t>
      </w:r>
    </w:p>
    <w:p w14:paraId="73ECF856" w14:textId="2ACCF2CE" w:rsidR="0031705F" w:rsidRPr="00541431" w:rsidRDefault="003376A9" w:rsidP="00CB5412">
      <w:pPr>
        <w:spacing w:line="360" w:lineRule="auto"/>
        <w:ind w:firstLine="708"/>
        <w:jc w:val="both"/>
        <w:rPr>
          <w:rFonts w:ascii="Garamond" w:hAnsi="Garamond"/>
          <w:lang w:val="en-GB"/>
        </w:rPr>
      </w:pPr>
      <w:r w:rsidRPr="00541431">
        <w:rPr>
          <w:rFonts w:ascii="Garamond" w:hAnsi="Garamond"/>
          <w:lang w:val="en-GB"/>
        </w:rPr>
        <w:t xml:space="preserve">The Ombudsman’s </w:t>
      </w:r>
      <w:r w:rsidR="00763E41" w:rsidRPr="00541431">
        <w:rPr>
          <w:rFonts w:ascii="Garamond" w:hAnsi="Garamond"/>
          <w:lang w:val="en-GB"/>
        </w:rPr>
        <w:t xml:space="preserve">current </w:t>
      </w:r>
      <w:r w:rsidRPr="00541431">
        <w:rPr>
          <w:rFonts w:ascii="Garamond" w:hAnsi="Garamond"/>
          <w:lang w:val="en-GB"/>
        </w:rPr>
        <w:t>structure</w:t>
      </w:r>
      <w:r w:rsidR="00763E41" w:rsidRPr="00541431">
        <w:rPr>
          <w:rFonts w:ascii="Garamond" w:hAnsi="Garamond"/>
          <w:lang w:val="en-GB"/>
        </w:rPr>
        <w:t xml:space="preserve"> </w:t>
      </w:r>
      <w:r w:rsidRPr="00541431">
        <w:rPr>
          <w:rFonts w:ascii="Garamond" w:hAnsi="Garamond"/>
          <w:lang w:val="en-GB"/>
        </w:rPr>
        <w:t>was approved in 1991, through the Law no. 9/91</w:t>
      </w:r>
      <w:r w:rsidR="006126A3">
        <w:rPr>
          <w:rFonts w:ascii="Garamond" w:hAnsi="Garamond"/>
          <w:lang w:val="en-GB"/>
        </w:rPr>
        <w:t>,</w:t>
      </w:r>
      <w:r w:rsidRPr="00541431">
        <w:rPr>
          <w:rFonts w:ascii="Garamond" w:hAnsi="Garamond"/>
          <w:lang w:val="en-GB"/>
        </w:rPr>
        <w:t xml:space="preserve"> of 9 April.  </w:t>
      </w:r>
      <w:r w:rsidR="00E17848" w:rsidRPr="00541431">
        <w:rPr>
          <w:rFonts w:ascii="Garamond" w:hAnsi="Garamond"/>
          <w:lang w:val="en-GB"/>
        </w:rPr>
        <w:t>In 1999, the Ombudsman was designated as National Human Rights Institution</w:t>
      </w:r>
      <w:r w:rsidR="009B6C75" w:rsidRPr="00541431">
        <w:rPr>
          <w:rFonts w:ascii="Garamond" w:hAnsi="Garamond"/>
          <w:lang w:val="en-GB"/>
        </w:rPr>
        <w:t xml:space="preserve"> (NHRI)</w:t>
      </w:r>
      <w:r w:rsidR="00E17848" w:rsidRPr="00541431">
        <w:rPr>
          <w:rFonts w:ascii="Garamond" w:hAnsi="Garamond"/>
          <w:lang w:val="en-GB"/>
        </w:rPr>
        <w:t xml:space="preserve"> and, since then, </w:t>
      </w:r>
      <w:r w:rsidR="006126A3">
        <w:rPr>
          <w:rFonts w:ascii="Garamond" w:hAnsi="Garamond"/>
          <w:lang w:val="en-GB"/>
        </w:rPr>
        <w:t xml:space="preserve">it </w:t>
      </w:r>
      <w:r w:rsidR="00E17848" w:rsidRPr="00541431">
        <w:rPr>
          <w:rFonts w:ascii="Garamond" w:hAnsi="Garamond"/>
          <w:lang w:val="en-GB"/>
        </w:rPr>
        <w:t>has been accredited with “A” status by GANHR</w:t>
      </w:r>
      <w:r w:rsidR="0031705F" w:rsidRPr="00541431">
        <w:rPr>
          <w:rFonts w:ascii="Garamond" w:hAnsi="Garamond"/>
          <w:lang w:val="en-GB"/>
        </w:rPr>
        <w:t>I</w:t>
      </w:r>
      <w:r w:rsidR="00E17848" w:rsidRPr="00541431">
        <w:rPr>
          <w:rFonts w:ascii="Garamond" w:hAnsi="Garamond"/>
          <w:lang w:val="en-GB"/>
        </w:rPr>
        <w:t xml:space="preserve"> for being fully in line with the Paris </w:t>
      </w:r>
      <w:r w:rsidR="00D47987" w:rsidRPr="00541431">
        <w:rPr>
          <w:rFonts w:ascii="Garamond" w:hAnsi="Garamond"/>
          <w:lang w:val="en-GB"/>
        </w:rPr>
        <w:t>P</w:t>
      </w:r>
      <w:r w:rsidR="00E17848" w:rsidRPr="00541431">
        <w:rPr>
          <w:rFonts w:ascii="Garamond" w:hAnsi="Garamond"/>
          <w:lang w:val="en-GB"/>
        </w:rPr>
        <w:t xml:space="preserve">rinciples. </w:t>
      </w:r>
      <w:r w:rsidR="0031705F" w:rsidRPr="00541431">
        <w:rPr>
          <w:rFonts w:ascii="Garamond" w:hAnsi="Garamond"/>
          <w:lang w:val="en-GB"/>
        </w:rPr>
        <w:t>In 201</w:t>
      </w:r>
      <w:r w:rsidR="00733241" w:rsidRPr="00541431">
        <w:rPr>
          <w:rFonts w:ascii="Garamond" w:hAnsi="Garamond"/>
          <w:lang w:val="en-GB"/>
        </w:rPr>
        <w:t>3</w:t>
      </w:r>
      <w:r w:rsidR="0031705F" w:rsidRPr="00541431">
        <w:rPr>
          <w:rFonts w:ascii="Garamond" w:hAnsi="Garamond"/>
          <w:lang w:val="en-GB"/>
        </w:rPr>
        <w:t>, it was appointed as the National Preventive Mechanism</w:t>
      </w:r>
      <w:r w:rsidR="00DB4B22">
        <w:rPr>
          <w:rFonts w:ascii="Garamond" w:hAnsi="Garamond"/>
          <w:lang w:val="en-GB"/>
        </w:rPr>
        <w:t xml:space="preserve"> (NPM)</w:t>
      </w:r>
      <w:r w:rsidR="0031705F" w:rsidRPr="00541431">
        <w:rPr>
          <w:rFonts w:ascii="Garamond" w:hAnsi="Garamond"/>
          <w:lang w:val="en-GB"/>
        </w:rPr>
        <w:t xml:space="preserve">, </w:t>
      </w:r>
      <w:r w:rsidR="006126A3">
        <w:rPr>
          <w:rFonts w:ascii="Garamond" w:hAnsi="Garamond"/>
          <w:lang w:val="en-GB"/>
        </w:rPr>
        <w:t>pursuant to</w:t>
      </w:r>
      <w:r w:rsidR="0031705F" w:rsidRPr="00541431">
        <w:rPr>
          <w:rFonts w:ascii="Garamond" w:hAnsi="Garamond"/>
          <w:lang w:val="en-GB"/>
        </w:rPr>
        <w:t xml:space="preserve"> the Optional Protocol to the Convention against Torture. Thus, it also became responsible to </w:t>
      </w:r>
      <w:r w:rsidR="009B6C75" w:rsidRPr="00541431">
        <w:rPr>
          <w:rFonts w:ascii="Garamond" w:hAnsi="Garamond"/>
          <w:lang w:val="en-GB"/>
        </w:rPr>
        <w:t xml:space="preserve">monitor </w:t>
      </w:r>
      <w:r w:rsidR="0031705F" w:rsidRPr="00541431">
        <w:rPr>
          <w:rFonts w:ascii="Garamond" w:hAnsi="Garamond"/>
          <w:lang w:val="en-GB"/>
        </w:rPr>
        <w:t>all places of deprivation of liberty in the Portuguese territory.</w:t>
      </w:r>
    </w:p>
    <w:p w14:paraId="07CF95DE" w14:textId="66936F79" w:rsidR="009B6C75" w:rsidRPr="00541431" w:rsidRDefault="00D47987" w:rsidP="00CB5412">
      <w:pPr>
        <w:spacing w:line="360" w:lineRule="auto"/>
        <w:ind w:firstLine="708"/>
        <w:jc w:val="both"/>
        <w:rPr>
          <w:rFonts w:ascii="Garamond" w:hAnsi="Garamond"/>
          <w:lang w:val="en-GB"/>
        </w:rPr>
      </w:pPr>
      <w:r w:rsidRPr="00541431">
        <w:rPr>
          <w:rFonts w:ascii="Garamond" w:hAnsi="Garamond"/>
          <w:lang w:val="en-GB"/>
        </w:rPr>
        <w:t xml:space="preserve">Neither </w:t>
      </w:r>
      <w:r w:rsidR="00733241" w:rsidRPr="00541431">
        <w:rPr>
          <w:rFonts w:ascii="Garamond" w:hAnsi="Garamond"/>
          <w:lang w:val="en-GB"/>
        </w:rPr>
        <w:t>the Ombudsman’s designation</w:t>
      </w:r>
      <w:r w:rsidRPr="00541431">
        <w:rPr>
          <w:rFonts w:ascii="Garamond" w:hAnsi="Garamond"/>
          <w:lang w:val="en-GB"/>
        </w:rPr>
        <w:t xml:space="preserve"> as NHRI nor its </w:t>
      </w:r>
      <w:r w:rsidR="00BA009E" w:rsidRPr="00541431">
        <w:rPr>
          <w:rFonts w:ascii="Garamond" w:hAnsi="Garamond"/>
          <w:lang w:val="en-GB"/>
        </w:rPr>
        <w:t>appointment</w:t>
      </w:r>
      <w:r w:rsidRPr="00541431">
        <w:rPr>
          <w:rFonts w:ascii="Garamond" w:hAnsi="Garamond"/>
          <w:lang w:val="en-GB"/>
        </w:rPr>
        <w:t xml:space="preserve"> as NPM were followed by measures</w:t>
      </w:r>
      <w:r w:rsidR="003376A9" w:rsidRPr="00541431">
        <w:rPr>
          <w:rFonts w:ascii="Garamond" w:hAnsi="Garamond"/>
          <w:lang w:val="en-GB"/>
        </w:rPr>
        <w:t xml:space="preserve"> </w:t>
      </w:r>
      <w:r w:rsidR="009B6C75" w:rsidRPr="00541431">
        <w:rPr>
          <w:rFonts w:ascii="Garamond" w:hAnsi="Garamond"/>
          <w:lang w:val="en-GB"/>
        </w:rPr>
        <w:t xml:space="preserve">(namely, the reinforcement of financial and human resources) </w:t>
      </w:r>
      <w:r w:rsidR="003376A9" w:rsidRPr="00541431">
        <w:rPr>
          <w:rFonts w:ascii="Garamond" w:hAnsi="Garamond"/>
          <w:lang w:val="en-GB"/>
        </w:rPr>
        <w:t>aimed at strengthening its monitoring functions</w:t>
      </w:r>
      <w:r w:rsidRPr="00541431">
        <w:rPr>
          <w:rFonts w:ascii="Garamond" w:hAnsi="Garamond"/>
          <w:lang w:val="en-GB"/>
        </w:rPr>
        <w:t xml:space="preserve">. </w:t>
      </w:r>
      <w:r w:rsidR="006126A3">
        <w:rPr>
          <w:rFonts w:ascii="Garamond" w:hAnsi="Garamond"/>
          <w:lang w:val="en-GB"/>
        </w:rPr>
        <w:t xml:space="preserve">As a result, </w:t>
      </w:r>
      <w:r w:rsidR="009B6C75" w:rsidRPr="00541431">
        <w:rPr>
          <w:rFonts w:ascii="Garamond" w:hAnsi="Garamond"/>
          <w:lang w:val="en-GB"/>
        </w:rPr>
        <w:t>new functions as the p</w:t>
      </w:r>
      <w:r w:rsidRPr="00541431">
        <w:rPr>
          <w:rFonts w:ascii="Garamond" w:hAnsi="Garamond"/>
          <w:lang w:val="en-GB"/>
        </w:rPr>
        <w:t>romotion of Human Rights, dialogue with international in</w:t>
      </w:r>
      <w:r w:rsidR="00933029" w:rsidRPr="00541431">
        <w:rPr>
          <w:rFonts w:ascii="Garamond" w:hAnsi="Garamond"/>
          <w:lang w:val="en-GB"/>
        </w:rPr>
        <w:t>s</w:t>
      </w:r>
      <w:r w:rsidRPr="00541431">
        <w:rPr>
          <w:rFonts w:ascii="Garamond" w:hAnsi="Garamond"/>
          <w:lang w:val="en-GB"/>
        </w:rPr>
        <w:t>titu</w:t>
      </w:r>
      <w:r w:rsidR="00933029" w:rsidRPr="00541431">
        <w:rPr>
          <w:rFonts w:ascii="Garamond" w:hAnsi="Garamond"/>
          <w:lang w:val="en-GB"/>
        </w:rPr>
        <w:t>t</w:t>
      </w:r>
      <w:r w:rsidRPr="00541431">
        <w:rPr>
          <w:rFonts w:ascii="Garamond" w:hAnsi="Garamond"/>
          <w:lang w:val="en-GB"/>
        </w:rPr>
        <w:t>ions (UN bodies, Council of Europe and</w:t>
      </w:r>
      <w:r w:rsidR="00933029" w:rsidRPr="00541431">
        <w:rPr>
          <w:rFonts w:ascii="Garamond" w:hAnsi="Garamond"/>
          <w:lang w:val="en-GB"/>
        </w:rPr>
        <w:t xml:space="preserve"> others),</w:t>
      </w:r>
      <w:r w:rsidRPr="00541431">
        <w:rPr>
          <w:rFonts w:ascii="Garamond" w:hAnsi="Garamond"/>
          <w:lang w:val="en-GB"/>
        </w:rPr>
        <w:t xml:space="preserve"> </w:t>
      </w:r>
      <w:r w:rsidR="00933029" w:rsidRPr="00541431">
        <w:rPr>
          <w:rFonts w:ascii="Garamond" w:hAnsi="Garamond"/>
          <w:lang w:val="en-GB"/>
        </w:rPr>
        <w:t>m</w:t>
      </w:r>
      <w:r w:rsidR="003376A9" w:rsidRPr="00541431">
        <w:rPr>
          <w:rFonts w:ascii="Garamond" w:hAnsi="Garamond"/>
          <w:lang w:val="en-GB"/>
        </w:rPr>
        <w:t xml:space="preserve">onitoring </w:t>
      </w:r>
      <w:r w:rsidR="00933029" w:rsidRPr="00541431">
        <w:rPr>
          <w:rFonts w:ascii="Garamond" w:hAnsi="Garamond"/>
          <w:lang w:val="en-GB"/>
        </w:rPr>
        <w:t>duties</w:t>
      </w:r>
      <w:r w:rsidR="003376A9" w:rsidRPr="00541431">
        <w:rPr>
          <w:rFonts w:ascii="Garamond" w:hAnsi="Garamond"/>
          <w:lang w:val="en-GB"/>
        </w:rPr>
        <w:t>, visits, coordination</w:t>
      </w:r>
      <w:r w:rsidR="006126A3">
        <w:rPr>
          <w:rFonts w:ascii="Garamond" w:hAnsi="Garamond"/>
          <w:lang w:val="en-GB"/>
        </w:rPr>
        <w:t>,</w:t>
      </w:r>
      <w:r w:rsidR="00933029" w:rsidRPr="00541431">
        <w:rPr>
          <w:rFonts w:ascii="Garamond" w:hAnsi="Garamond"/>
          <w:lang w:val="en-GB"/>
        </w:rPr>
        <w:t xml:space="preserve"> and </w:t>
      </w:r>
      <w:r w:rsidR="003376A9" w:rsidRPr="00541431">
        <w:rPr>
          <w:rFonts w:ascii="Garamond" w:hAnsi="Garamond"/>
          <w:lang w:val="en-GB"/>
        </w:rPr>
        <w:t xml:space="preserve">reports are done by the same staff that deals </w:t>
      </w:r>
      <w:r w:rsidR="00933029" w:rsidRPr="00541431">
        <w:rPr>
          <w:rFonts w:ascii="Garamond" w:hAnsi="Garamond"/>
          <w:lang w:val="en-GB"/>
        </w:rPr>
        <w:t>the traditional tasks of the Ombudsman</w:t>
      </w:r>
      <w:r w:rsidR="003376A9" w:rsidRPr="00541431">
        <w:rPr>
          <w:rFonts w:ascii="Garamond" w:hAnsi="Garamond"/>
          <w:lang w:val="en-GB"/>
        </w:rPr>
        <w:t xml:space="preserve">. </w:t>
      </w:r>
    </w:p>
    <w:p w14:paraId="1C396B12" w14:textId="4A0A143B" w:rsidR="002C212A" w:rsidRPr="00541431" w:rsidRDefault="003376A9" w:rsidP="00CB5412">
      <w:pPr>
        <w:spacing w:line="360" w:lineRule="auto"/>
        <w:ind w:firstLine="708"/>
        <w:jc w:val="both"/>
        <w:rPr>
          <w:rFonts w:ascii="Garamond" w:hAnsi="Garamond"/>
          <w:lang w:val="en-GB"/>
        </w:rPr>
      </w:pPr>
      <w:r w:rsidRPr="00541431">
        <w:rPr>
          <w:rFonts w:ascii="Garamond" w:hAnsi="Garamond"/>
          <w:lang w:val="en-GB"/>
        </w:rPr>
        <w:t xml:space="preserve">The </w:t>
      </w:r>
      <w:r w:rsidR="00933029" w:rsidRPr="00541431">
        <w:rPr>
          <w:rFonts w:ascii="Garamond" w:hAnsi="Garamond"/>
          <w:lang w:val="en-GB"/>
        </w:rPr>
        <w:t>Ombudsman</w:t>
      </w:r>
      <w:r w:rsidRPr="00541431">
        <w:rPr>
          <w:rFonts w:ascii="Garamond" w:hAnsi="Garamond"/>
          <w:lang w:val="en-GB"/>
        </w:rPr>
        <w:t xml:space="preserve"> has repeatedly claimed that its material and human resources are clearly insufficient</w:t>
      </w:r>
      <w:r w:rsidR="009B6C75" w:rsidRPr="00541431">
        <w:rPr>
          <w:rFonts w:ascii="Garamond" w:hAnsi="Garamond"/>
          <w:lang w:val="en-GB"/>
        </w:rPr>
        <w:t xml:space="preserve">. </w:t>
      </w:r>
      <w:r w:rsidR="0066058B" w:rsidRPr="00541431">
        <w:rPr>
          <w:rFonts w:ascii="Garamond" w:hAnsi="Garamond"/>
          <w:lang w:val="en-GB"/>
        </w:rPr>
        <w:t>This insufficiency ha</w:t>
      </w:r>
      <w:r w:rsidR="00AF543F">
        <w:rPr>
          <w:rFonts w:ascii="Garamond" w:hAnsi="Garamond"/>
          <w:lang w:val="en-GB"/>
        </w:rPr>
        <w:t>s also</w:t>
      </w:r>
      <w:r w:rsidR="00AF543F" w:rsidRPr="00541431">
        <w:rPr>
          <w:rFonts w:ascii="Garamond" w:hAnsi="Garamond"/>
          <w:lang w:val="en-GB"/>
        </w:rPr>
        <w:t xml:space="preserve"> </w:t>
      </w:r>
      <w:r w:rsidR="0066058B" w:rsidRPr="00541431">
        <w:rPr>
          <w:rFonts w:ascii="Garamond" w:hAnsi="Garamond"/>
          <w:lang w:val="en-GB"/>
        </w:rPr>
        <w:t>bee</w:t>
      </w:r>
      <w:r w:rsidR="00AF543F">
        <w:rPr>
          <w:rFonts w:ascii="Garamond" w:hAnsi="Garamond"/>
          <w:lang w:val="en-GB"/>
        </w:rPr>
        <w:t xml:space="preserve">n </w:t>
      </w:r>
      <w:r w:rsidR="0066058B" w:rsidRPr="00541431">
        <w:rPr>
          <w:rFonts w:ascii="Garamond" w:hAnsi="Garamond"/>
          <w:lang w:val="en-GB"/>
        </w:rPr>
        <w:t xml:space="preserve">highlighted </w:t>
      </w:r>
      <w:r w:rsidR="00AF543F" w:rsidRPr="00541431">
        <w:rPr>
          <w:rFonts w:ascii="Garamond" w:hAnsi="Garamond"/>
          <w:lang w:val="en-GB"/>
        </w:rPr>
        <w:t xml:space="preserve">by several international bodies </w:t>
      </w:r>
      <w:r w:rsidR="0066058B" w:rsidRPr="00541431">
        <w:rPr>
          <w:rFonts w:ascii="Garamond" w:hAnsi="Garamond"/>
          <w:lang w:val="en-GB"/>
        </w:rPr>
        <w:t>such as, for example, the Committee on the Rights of the Child</w:t>
      </w:r>
      <w:r w:rsidR="0003586B" w:rsidRPr="00541431">
        <w:rPr>
          <w:rFonts w:ascii="Garamond" w:hAnsi="Garamond"/>
          <w:lang w:val="en-GB"/>
        </w:rPr>
        <w:t xml:space="preserve">, which </w:t>
      </w:r>
      <w:r w:rsidR="0066058B" w:rsidRPr="00541431">
        <w:rPr>
          <w:rFonts w:ascii="Garamond" w:hAnsi="Garamond"/>
          <w:lang w:val="en-GB"/>
        </w:rPr>
        <w:t>recommended the Portuguese State to “</w:t>
      </w:r>
      <w:r w:rsidR="0066058B" w:rsidRPr="00541431">
        <w:rPr>
          <w:rFonts w:ascii="Garamond" w:hAnsi="Garamond"/>
          <w:i/>
          <w:iCs/>
          <w:lang w:val="en-GB"/>
        </w:rPr>
        <w:t>provide adequate human, technical and financial resources to the Office of the Ombudsman for the effective implementation of its mandated functions</w:t>
      </w:r>
      <w:r w:rsidR="0066058B" w:rsidRPr="00541431">
        <w:rPr>
          <w:rFonts w:ascii="Garamond" w:hAnsi="Garamond"/>
          <w:lang w:val="en-GB"/>
        </w:rPr>
        <w:t xml:space="preserve">” (Concluding observations on the combined fifth and sixth periodic report of Portugal, CRC/C/PRT/CO/5-6, para. 12 (b)). </w:t>
      </w:r>
      <w:r w:rsidR="00DB4B22">
        <w:rPr>
          <w:rFonts w:ascii="Garamond" w:hAnsi="Garamond"/>
          <w:lang w:val="en-GB"/>
        </w:rPr>
        <w:t>The</w:t>
      </w:r>
      <w:r w:rsidR="0066058B" w:rsidRPr="00541431">
        <w:rPr>
          <w:rFonts w:ascii="Garamond" w:hAnsi="Garamond"/>
          <w:lang w:val="en-GB"/>
        </w:rPr>
        <w:t xml:space="preserve"> </w:t>
      </w:r>
      <w:r w:rsidR="00DB4B22" w:rsidRPr="00541431">
        <w:rPr>
          <w:rFonts w:ascii="Garamond" w:hAnsi="Garamond"/>
          <w:lang w:val="en-GB"/>
        </w:rPr>
        <w:t>S</w:t>
      </w:r>
      <w:r w:rsidR="00DB4B22">
        <w:rPr>
          <w:rFonts w:ascii="Garamond" w:hAnsi="Garamond"/>
          <w:lang w:val="en-GB"/>
        </w:rPr>
        <w:t xml:space="preserve">ubcommittee on </w:t>
      </w:r>
      <w:r w:rsidR="00DB4B22">
        <w:rPr>
          <w:rFonts w:ascii="Garamond" w:hAnsi="Garamond"/>
          <w:lang w:val="en-GB"/>
        </w:rPr>
        <w:lastRenderedPageBreak/>
        <w:t>Prevention of Torture (S</w:t>
      </w:r>
      <w:r w:rsidR="0066058B" w:rsidRPr="00541431">
        <w:rPr>
          <w:rFonts w:ascii="Garamond" w:hAnsi="Garamond"/>
          <w:lang w:val="en-GB"/>
        </w:rPr>
        <w:t>PT</w:t>
      </w:r>
      <w:r w:rsidR="00DB4B22">
        <w:rPr>
          <w:rFonts w:ascii="Garamond" w:hAnsi="Garamond"/>
          <w:lang w:val="en-GB"/>
        </w:rPr>
        <w:t>)</w:t>
      </w:r>
      <w:r w:rsidR="0066058B" w:rsidRPr="00541431">
        <w:rPr>
          <w:rFonts w:ascii="Garamond" w:hAnsi="Garamond"/>
          <w:lang w:val="en-GB"/>
        </w:rPr>
        <w:t xml:space="preserve"> has </w:t>
      </w:r>
      <w:r w:rsidR="00AF543F">
        <w:rPr>
          <w:rFonts w:ascii="Garamond" w:hAnsi="Garamond"/>
          <w:lang w:val="en-GB"/>
        </w:rPr>
        <w:t>reaffirmed</w:t>
      </w:r>
      <w:r w:rsidR="00AF543F" w:rsidRPr="00541431">
        <w:rPr>
          <w:rFonts w:ascii="Garamond" w:hAnsi="Garamond"/>
          <w:lang w:val="en-GB"/>
        </w:rPr>
        <w:t xml:space="preserve"> </w:t>
      </w:r>
      <w:r w:rsidR="0066058B" w:rsidRPr="00541431">
        <w:rPr>
          <w:rFonts w:ascii="Garamond" w:hAnsi="Garamond"/>
          <w:lang w:val="en-GB"/>
        </w:rPr>
        <w:t xml:space="preserve">this need, </w:t>
      </w:r>
      <w:r w:rsidR="0003586B" w:rsidRPr="00541431">
        <w:rPr>
          <w:rFonts w:ascii="Garamond" w:hAnsi="Garamond"/>
          <w:lang w:val="en-GB"/>
        </w:rPr>
        <w:t>i</w:t>
      </w:r>
      <w:r w:rsidR="00933029" w:rsidRPr="00541431">
        <w:rPr>
          <w:rFonts w:ascii="Garamond" w:hAnsi="Garamond"/>
          <w:lang w:val="en-GB"/>
        </w:rPr>
        <w:t xml:space="preserve">n </w:t>
      </w:r>
      <w:r w:rsidR="0003586B" w:rsidRPr="00541431">
        <w:rPr>
          <w:rFonts w:ascii="Garamond" w:hAnsi="Garamond"/>
          <w:lang w:val="en-GB"/>
        </w:rPr>
        <w:t>the</w:t>
      </w:r>
      <w:r w:rsidRPr="00541431">
        <w:rPr>
          <w:rFonts w:ascii="Garamond" w:hAnsi="Garamond"/>
          <w:lang w:val="en-GB"/>
        </w:rPr>
        <w:t xml:space="preserve"> report following its visit to </w:t>
      </w:r>
      <w:r w:rsidR="00AF543F">
        <w:rPr>
          <w:rFonts w:ascii="Garamond" w:hAnsi="Garamond"/>
          <w:lang w:val="en-GB"/>
        </w:rPr>
        <w:t>Portugal (</w:t>
      </w:r>
      <w:r w:rsidRPr="00541431">
        <w:rPr>
          <w:rFonts w:ascii="Garamond" w:hAnsi="Garamond"/>
          <w:lang w:val="en-GB"/>
        </w:rPr>
        <w:t>May 2018</w:t>
      </w:r>
      <w:r w:rsidR="00AF543F">
        <w:rPr>
          <w:rFonts w:ascii="Garamond" w:hAnsi="Garamond"/>
          <w:lang w:val="en-GB"/>
        </w:rPr>
        <w:t>)</w:t>
      </w:r>
      <w:r w:rsidRPr="00541431">
        <w:rPr>
          <w:rFonts w:ascii="Garamond" w:hAnsi="Garamond"/>
          <w:lang w:val="en-GB"/>
        </w:rPr>
        <w:t xml:space="preserve">: </w:t>
      </w:r>
      <w:r w:rsidRPr="00541431">
        <w:rPr>
          <w:rFonts w:ascii="Garamond" w:hAnsi="Garamond"/>
          <w:i/>
          <w:iCs/>
          <w:lang w:val="en-GB"/>
        </w:rPr>
        <w:t>“recalling that OPCAT article 18 (3) obliges States parties to provide NPMs with the necessary financial and human resources to undertake their work, the SPT reiterates that the NPM shall be provided with a budget sufficient for accomplishing all mandated tasks, in addition to granting the NPM the institutional autonomy to use its resources. This funding should be provided through a separate line in the national annual budget referring specifically to the NPM and not through the general budget of the Ombudsperson. This funding shall be at such a level as to allow the NPM to carry out its visiting programme, to engage outside experts as and when appropriate, to increase its human resources and to regularly access training, in accordance with its own work plan</w:t>
      </w:r>
      <w:r w:rsidRPr="00541431">
        <w:rPr>
          <w:rFonts w:ascii="Garamond" w:hAnsi="Garamond"/>
          <w:lang w:val="en-GB"/>
        </w:rPr>
        <w:t>” (CAT/OP/PRT/R.2, para. 16).</w:t>
      </w:r>
      <w:r w:rsidR="006D4A56" w:rsidRPr="00541431">
        <w:rPr>
          <w:rFonts w:ascii="Garamond" w:hAnsi="Garamond"/>
          <w:lang w:val="en-GB"/>
        </w:rPr>
        <w:t xml:space="preserve"> </w:t>
      </w:r>
      <w:r w:rsidR="006B1354" w:rsidRPr="00541431">
        <w:rPr>
          <w:rFonts w:ascii="Garamond" w:hAnsi="Garamond"/>
          <w:lang w:val="en-GB"/>
        </w:rPr>
        <w:t>Finally, the Committee against Torture</w:t>
      </w:r>
      <w:r w:rsidR="00DB4B22">
        <w:rPr>
          <w:rFonts w:ascii="Garamond" w:hAnsi="Garamond"/>
          <w:lang w:val="en-GB"/>
        </w:rPr>
        <w:t xml:space="preserve"> (CAT)</w:t>
      </w:r>
      <w:r w:rsidR="006B1354" w:rsidRPr="00541431">
        <w:rPr>
          <w:rFonts w:ascii="Garamond" w:hAnsi="Garamond"/>
          <w:lang w:val="en-GB"/>
        </w:rPr>
        <w:t xml:space="preserve"> mentioned </w:t>
      </w:r>
      <w:r w:rsidR="0066058B" w:rsidRPr="00541431">
        <w:rPr>
          <w:rFonts w:ascii="Garamond" w:hAnsi="Garamond"/>
          <w:lang w:val="en-GB"/>
        </w:rPr>
        <w:t xml:space="preserve">in its Concluding Observations on the seventh periodic report of Portugal, </w:t>
      </w:r>
      <w:r w:rsidR="00DB4B22">
        <w:rPr>
          <w:rFonts w:ascii="Garamond" w:hAnsi="Garamond"/>
          <w:lang w:val="en-GB"/>
        </w:rPr>
        <w:t xml:space="preserve">from December 2019 (CAT/C/PRT/CO/7, para. 16), </w:t>
      </w:r>
      <w:r w:rsidR="0066058B" w:rsidRPr="00541431">
        <w:rPr>
          <w:rFonts w:ascii="Garamond" w:hAnsi="Garamond"/>
          <w:lang w:val="en-GB"/>
        </w:rPr>
        <w:t xml:space="preserve">that </w:t>
      </w:r>
      <w:r w:rsidR="006B1354" w:rsidRPr="00541431">
        <w:rPr>
          <w:rFonts w:ascii="Garamond" w:hAnsi="Garamond"/>
          <w:lang w:val="en-GB"/>
        </w:rPr>
        <w:t>“</w:t>
      </w:r>
      <w:r w:rsidR="006B1354" w:rsidRPr="00541431">
        <w:rPr>
          <w:rFonts w:ascii="Garamond" w:hAnsi="Garamond"/>
          <w:i/>
          <w:iCs/>
          <w:lang w:val="en-GB"/>
        </w:rPr>
        <w:t xml:space="preserve">The State party should ensure the operational autonomy of the national preventive mechanism and provide it with the necessary earmarked financial and personnel resources for the performance of its work, in accordance with article 18 (1) and (3) of the Optional Protocol (see also CAT/OP/12/5, paras. 11–12). </w:t>
      </w:r>
    </w:p>
    <w:p w14:paraId="2E305FC8" w14:textId="53394D7A" w:rsidR="0066058B" w:rsidRPr="00541431" w:rsidRDefault="0066058B" w:rsidP="00CB5412">
      <w:pPr>
        <w:pStyle w:val="PargrafodaLista"/>
        <w:suppressAutoHyphens w:val="0"/>
        <w:spacing w:line="360" w:lineRule="auto"/>
        <w:ind w:left="0" w:firstLine="708"/>
        <w:contextualSpacing w:val="0"/>
        <w:jc w:val="both"/>
        <w:rPr>
          <w:rFonts w:ascii="Garamond" w:hAnsi="Garamond"/>
          <w:sz w:val="24"/>
          <w:szCs w:val="24"/>
        </w:rPr>
      </w:pPr>
      <w:r w:rsidRPr="00541431">
        <w:rPr>
          <w:rFonts w:ascii="Garamond" w:hAnsi="Garamond"/>
          <w:sz w:val="24"/>
          <w:szCs w:val="24"/>
        </w:rPr>
        <w:t xml:space="preserve">It is, then, generally recognised that the Ombudsman is not endowed with the sufficient means that allow it to fully pursue </w:t>
      </w:r>
      <w:r w:rsidR="009B6C75" w:rsidRPr="00541431">
        <w:rPr>
          <w:rFonts w:ascii="Garamond" w:hAnsi="Garamond"/>
          <w:sz w:val="24"/>
          <w:szCs w:val="24"/>
        </w:rPr>
        <w:t>all its</w:t>
      </w:r>
      <w:r w:rsidRPr="00541431">
        <w:rPr>
          <w:rFonts w:ascii="Garamond" w:hAnsi="Garamond"/>
          <w:sz w:val="24"/>
          <w:szCs w:val="24"/>
        </w:rPr>
        <w:t xml:space="preserve"> competences. </w:t>
      </w:r>
      <w:r w:rsidR="00AF543F" w:rsidRPr="00AF543F">
        <w:rPr>
          <w:rFonts w:ascii="Garamond" w:hAnsi="Garamond"/>
          <w:sz w:val="24"/>
          <w:szCs w:val="24"/>
        </w:rPr>
        <w:t xml:space="preserve">As a result, in order to adequately perform its duties as NHRI and as NPM, the Institution would need to strengthen its financial and human resources. In the case of the NPM, it has suggested and will continue to stress the need to create a specific structure within the Ombudsman’s Office, comprised of, at least, a coordinator and two </w:t>
      </w:r>
      <w:r w:rsidR="006126A3">
        <w:rPr>
          <w:rFonts w:ascii="Garamond" w:hAnsi="Garamond"/>
          <w:sz w:val="24"/>
          <w:szCs w:val="24"/>
        </w:rPr>
        <w:t xml:space="preserve">support </w:t>
      </w:r>
      <w:r w:rsidR="00AF543F" w:rsidRPr="00AF543F">
        <w:rPr>
          <w:rFonts w:ascii="Garamond" w:hAnsi="Garamond"/>
          <w:sz w:val="24"/>
          <w:szCs w:val="24"/>
        </w:rPr>
        <w:t>officers. Currently, the NPM has solely one fully dedicated staff member, who is part of the Cabinet of the Ombudsperson.</w:t>
      </w:r>
    </w:p>
    <w:p w14:paraId="66670761" w14:textId="77777777" w:rsidR="003376A9" w:rsidRPr="00541431" w:rsidRDefault="003376A9" w:rsidP="00CB5412">
      <w:pPr>
        <w:spacing w:after="200" w:line="360" w:lineRule="auto"/>
        <w:ind w:firstLine="708"/>
        <w:jc w:val="both"/>
        <w:rPr>
          <w:rFonts w:ascii="Garamond" w:hAnsi="Garamond"/>
          <w:lang w:val="en-GB" w:eastAsia="en-US"/>
        </w:rPr>
      </w:pPr>
    </w:p>
    <w:p w14:paraId="1AB1A10E" w14:textId="3C41C4E5" w:rsidR="0003586B" w:rsidRPr="00541431" w:rsidRDefault="003376A9" w:rsidP="00CB5412">
      <w:pPr>
        <w:pStyle w:val="PargrafodaLista"/>
        <w:spacing w:line="360" w:lineRule="auto"/>
        <w:contextualSpacing w:val="0"/>
        <w:rPr>
          <w:rFonts w:ascii="Garamond" w:eastAsia="Times New Roman" w:hAnsi="Garamond" w:cs="Arial"/>
          <w:b/>
          <w:color w:val="000000"/>
          <w:sz w:val="24"/>
          <w:szCs w:val="24"/>
          <w:lang w:eastAsia="en-GB"/>
        </w:rPr>
      </w:pPr>
      <w:r w:rsidRPr="00541431">
        <w:rPr>
          <w:rFonts w:ascii="Garamond" w:eastAsia="Times New Roman" w:hAnsi="Garamond" w:cs="Arial"/>
          <w:b/>
          <w:color w:val="000000"/>
          <w:sz w:val="24"/>
          <w:szCs w:val="24"/>
          <w:lang w:eastAsia="en-GB"/>
        </w:rPr>
        <w:t xml:space="preserve">2. </w:t>
      </w:r>
      <w:r w:rsidR="00CB5412" w:rsidRPr="00541431">
        <w:rPr>
          <w:rFonts w:ascii="Garamond" w:eastAsia="Times New Roman" w:hAnsi="Garamond" w:cs="Arial"/>
          <w:b/>
          <w:color w:val="000000"/>
          <w:sz w:val="24"/>
          <w:szCs w:val="24"/>
          <w:lang w:eastAsia="en-GB"/>
        </w:rPr>
        <w:t>Non-discrimination (arts. 2, 7, 24, 25 and 26)</w:t>
      </w:r>
    </w:p>
    <w:p w14:paraId="139FAC32" w14:textId="7C8C2445" w:rsidR="00CB5412" w:rsidRPr="00167BAF" w:rsidRDefault="00977836" w:rsidP="00977836">
      <w:pPr>
        <w:spacing w:line="360" w:lineRule="auto"/>
        <w:ind w:firstLine="708"/>
        <w:jc w:val="both"/>
        <w:rPr>
          <w:rFonts w:ascii="Garamond" w:hAnsi="Garamond"/>
          <w:b/>
          <w:bCs/>
          <w:i/>
          <w:u w:val="single"/>
          <w:lang w:val="en-GB"/>
        </w:rPr>
      </w:pPr>
      <w:r w:rsidRPr="00167BAF">
        <w:rPr>
          <w:rFonts w:ascii="Garamond" w:hAnsi="Garamond"/>
          <w:b/>
          <w:bCs/>
          <w:i/>
          <w:u w:val="single"/>
          <w:lang w:val="en-GB"/>
        </w:rPr>
        <w:t>Issue 11</w:t>
      </w:r>
    </w:p>
    <w:p w14:paraId="2400BD78" w14:textId="29989FB8" w:rsidR="009C54EB" w:rsidRPr="009C54EB" w:rsidRDefault="009C54EB" w:rsidP="009C54EB">
      <w:pPr>
        <w:spacing w:line="360" w:lineRule="auto"/>
        <w:ind w:firstLine="708"/>
        <w:jc w:val="both"/>
        <w:rPr>
          <w:rFonts w:ascii="Garamond" w:hAnsi="Garamond"/>
          <w:iCs/>
          <w:lang w:val="en-GB"/>
        </w:rPr>
      </w:pPr>
      <w:r>
        <w:rPr>
          <w:rFonts w:ascii="Garamond" w:hAnsi="Garamond"/>
          <w:iCs/>
          <w:lang w:val="en-GB"/>
        </w:rPr>
        <w:t>T</w:t>
      </w:r>
      <w:r w:rsidRPr="009C54EB">
        <w:rPr>
          <w:rFonts w:ascii="Garamond" w:hAnsi="Garamond"/>
          <w:iCs/>
          <w:lang w:val="en-GB"/>
        </w:rPr>
        <w:t>he Portuguese legal system provides for various types of social benefits</w:t>
      </w:r>
      <w:r>
        <w:rPr>
          <w:rFonts w:ascii="Garamond" w:hAnsi="Garamond"/>
          <w:iCs/>
          <w:lang w:val="en-GB"/>
        </w:rPr>
        <w:t xml:space="preserve"> aimed at protecting persons with</w:t>
      </w:r>
      <w:r w:rsidRPr="009C54EB">
        <w:rPr>
          <w:rFonts w:ascii="Garamond" w:hAnsi="Garamond"/>
          <w:iCs/>
          <w:lang w:val="en-GB"/>
        </w:rPr>
        <w:t xml:space="preserve"> disabilit</w:t>
      </w:r>
      <w:r>
        <w:rPr>
          <w:rFonts w:ascii="Garamond" w:hAnsi="Garamond"/>
          <w:iCs/>
          <w:lang w:val="en-GB"/>
        </w:rPr>
        <w:t>ies. In order to benefit from them, applicants shall present a</w:t>
      </w:r>
      <w:r w:rsidRPr="009C54EB">
        <w:rPr>
          <w:rFonts w:ascii="Garamond" w:hAnsi="Garamond"/>
          <w:iCs/>
          <w:lang w:val="en-GB"/>
        </w:rPr>
        <w:t xml:space="preserve"> medical certification of the disability, </w:t>
      </w:r>
      <w:r>
        <w:rPr>
          <w:rFonts w:ascii="Garamond" w:hAnsi="Garamond"/>
          <w:iCs/>
          <w:lang w:val="en-GB"/>
        </w:rPr>
        <w:t xml:space="preserve">of the </w:t>
      </w:r>
      <w:r w:rsidRPr="009C54EB">
        <w:rPr>
          <w:rFonts w:ascii="Garamond" w:hAnsi="Garamond"/>
          <w:iCs/>
          <w:lang w:val="en-GB"/>
        </w:rPr>
        <w:t xml:space="preserve">permanent incapacity or </w:t>
      </w:r>
      <w:r>
        <w:rPr>
          <w:rFonts w:ascii="Garamond" w:hAnsi="Garamond"/>
          <w:iCs/>
          <w:lang w:val="en-GB"/>
        </w:rPr>
        <w:t xml:space="preserve">of the </w:t>
      </w:r>
      <w:r w:rsidRPr="009C54EB">
        <w:rPr>
          <w:rFonts w:ascii="Garamond" w:hAnsi="Garamond"/>
          <w:iCs/>
          <w:lang w:val="en-GB"/>
        </w:rPr>
        <w:t>dependency.</w:t>
      </w:r>
    </w:p>
    <w:p w14:paraId="27586893" w14:textId="5554E089" w:rsidR="009C54EB" w:rsidRDefault="009C54EB" w:rsidP="00CF26E7">
      <w:pPr>
        <w:spacing w:line="360" w:lineRule="auto"/>
        <w:ind w:firstLine="708"/>
        <w:jc w:val="both"/>
        <w:rPr>
          <w:rFonts w:ascii="Garamond" w:hAnsi="Garamond"/>
          <w:iCs/>
          <w:lang w:val="en-GB"/>
        </w:rPr>
      </w:pPr>
      <w:r>
        <w:rPr>
          <w:rFonts w:ascii="Garamond" w:hAnsi="Garamond"/>
          <w:iCs/>
          <w:lang w:val="en-GB"/>
        </w:rPr>
        <w:t xml:space="preserve">In this context, </w:t>
      </w:r>
      <w:r w:rsidRPr="004A78C6">
        <w:rPr>
          <w:rFonts w:ascii="Garamond" w:hAnsi="Garamond"/>
          <w:iCs/>
          <w:lang w:val="en-GB"/>
        </w:rPr>
        <w:t xml:space="preserve">the Ombudsman has received </w:t>
      </w:r>
      <w:r>
        <w:rPr>
          <w:rFonts w:ascii="Garamond" w:hAnsi="Garamond"/>
          <w:iCs/>
          <w:lang w:val="en-GB"/>
        </w:rPr>
        <w:t>several</w:t>
      </w:r>
      <w:r w:rsidRPr="004A78C6">
        <w:rPr>
          <w:rFonts w:ascii="Garamond" w:hAnsi="Garamond"/>
          <w:iCs/>
          <w:lang w:val="en-GB"/>
        </w:rPr>
        <w:t xml:space="preserve"> complaints</w:t>
      </w:r>
      <w:r>
        <w:rPr>
          <w:rFonts w:ascii="Garamond" w:hAnsi="Garamond"/>
          <w:iCs/>
          <w:lang w:val="en-GB"/>
        </w:rPr>
        <w:t xml:space="preserve">, mostly concerning </w:t>
      </w:r>
      <w:r w:rsidRPr="009C54EB">
        <w:rPr>
          <w:rFonts w:ascii="Garamond" w:hAnsi="Garamond"/>
          <w:iCs/>
          <w:lang w:val="en-GB"/>
        </w:rPr>
        <w:t>constraints in the timely allocation of the social benefits.</w:t>
      </w:r>
      <w:r>
        <w:rPr>
          <w:rFonts w:ascii="Garamond" w:hAnsi="Garamond"/>
          <w:iCs/>
          <w:lang w:val="en-GB"/>
        </w:rPr>
        <w:t xml:space="preserve"> One of the most affected </w:t>
      </w:r>
      <w:r w:rsidR="00CF26E7">
        <w:rPr>
          <w:rFonts w:ascii="Garamond" w:hAnsi="Garamond"/>
          <w:iCs/>
          <w:lang w:val="en-GB"/>
        </w:rPr>
        <w:t xml:space="preserve">benefits is </w:t>
      </w:r>
      <w:r w:rsidR="00D17E9C">
        <w:rPr>
          <w:rFonts w:ascii="Garamond" w:hAnsi="Garamond"/>
          <w:iCs/>
          <w:lang w:val="en-GB"/>
        </w:rPr>
        <w:t>the Social</w:t>
      </w:r>
      <w:r w:rsidRPr="009C54EB">
        <w:rPr>
          <w:rFonts w:ascii="Garamond" w:hAnsi="Garamond"/>
          <w:iCs/>
          <w:lang w:val="en-GB"/>
        </w:rPr>
        <w:t xml:space="preserve"> </w:t>
      </w:r>
      <w:r w:rsidR="00CF26E7">
        <w:rPr>
          <w:rFonts w:ascii="Garamond" w:hAnsi="Garamond"/>
          <w:iCs/>
          <w:lang w:val="en-GB"/>
        </w:rPr>
        <w:t>B</w:t>
      </w:r>
      <w:r w:rsidRPr="009C54EB">
        <w:rPr>
          <w:rFonts w:ascii="Garamond" w:hAnsi="Garamond"/>
          <w:iCs/>
          <w:lang w:val="en-GB"/>
        </w:rPr>
        <w:t xml:space="preserve">enefit for </w:t>
      </w:r>
      <w:r w:rsidR="00CF26E7">
        <w:rPr>
          <w:rFonts w:ascii="Garamond" w:hAnsi="Garamond"/>
          <w:iCs/>
          <w:lang w:val="en-GB"/>
        </w:rPr>
        <w:t>I</w:t>
      </w:r>
      <w:r w:rsidRPr="009C54EB">
        <w:rPr>
          <w:rFonts w:ascii="Garamond" w:hAnsi="Garamond"/>
          <w:iCs/>
          <w:lang w:val="en-GB"/>
        </w:rPr>
        <w:t>nclusion</w:t>
      </w:r>
      <w:r w:rsidR="00CF26E7">
        <w:rPr>
          <w:rFonts w:ascii="Garamond" w:hAnsi="Garamond"/>
          <w:iCs/>
          <w:lang w:val="en-GB"/>
        </w:rPr>
        <w:t xml:space="preserve">. </w:t>
      </w:r>
      <w:r w:rsidR="00D17E9C">
        <w:rPr>
          <w:rFonts w:ascii="Garamond" w:hAnsi="Garamond"/>
          <w:iCs/>
          <w:lang w:val="en-GB"/>
        </w:rPr>
        <w:t>Its acknowledgment</w:t>
      </w:r>
      <w:r w:rsidR="00CF26E7" w:rsidRPr="00CF26E7">
        <w:rPr>
          <w:rFonts w:ascii="Garamond" w:hAnsi="Garamond"/>
          <w:iCs/>
          <w:lang w:val="en-GB"/>
        </w:rPr>
        <w:t xml:space="preserve"> is subject to the verification of a certain degree of disability (equal to or greater than 60%), duly certified by a Multiuse Disability Medical Certificate, issued by the Health Authority (Ministry of Health).</w:t>
      </w:r>
      <w:r w:rsidR="00CF26E7">
        <w:rPr>
          <w:rFonts w:ascii="Garamond" w:hAnsi="Garamond"/>
          <w:iCs/>
          <w:lang w:val="en-GB"/>
        </w:rPr>
        <w:t xml:space="preserve"> </w:t>
      </w:r>
      <w:r w:rsidR="001739FD">
        <w:rPr>
          <w:rFonts w:ascii="Garamond" w:hAnsi="Garamond"/>
          <w:iCs/>
          <w:lang w:val="en-GB"/>
        </w:rPr>
        <w:t>D</w:t>
      </w:r>
      <w:r w:rsidR="00CF26E7" w:rsidRPr="00CF26E7">
        <w:rPr>
          <w:rFonts w:ascii="Garamond" w:hAnsi="Garamond"/>
          <w:iCs/>
          <w:lang w:val="en-GB"/>
        </w:rPr>
        <w:t>elays in the issuance of these documents</w:t>
      </w:r>
      <w:r w:rsidR="00CF26E7">
        <w:rPr>
          <w:rFonts w:ascii="Garamond" w:hAnsi="Garamond"/>
          <w:iCs/>
          <w:lang w:val="en-GB"/>
        </w:rPr>
        <w:t xml:space="preserve"> hinder </w:t>
      </w:r>
      <w:r w:rsidR="00CF26E7" w:rsidRPr="00CF26E7">
        <w:rPr>
          <w:rFonts w:ascii="Garamond" w:hAnsi="Garamond"/>
          <w:iCs/>
          <w:lang w:val="en-GB"/>
        </w:rPr>
        <w:t xml:space="preserve">the access to this social benefit, since, pursuant to paragraph 5 of article 23 of </w:t>
      </w:r>
      <w:r w:rsidR="00CF26E7" w:rsidRPr="00CF26E7">
        <w:rPr>
          <w:rFonts w:ascii="Garamond" w:hAnsi="Garamond"/>
          <w:iCs/>
          <w:lang w:val="en-GB"/>
        </w:rPr>
        <w:lastRenderedPageBreak/>
        <w:t xml:space="preserve">Decree-Law no. 126-A / 2017, of October 6, this </w:t>
      </w:r>
      <w:r w:rsidR="00D17E9C">
        <w:rPr>
          <w:rFonts w:ascii="Garamond" w:hAnsi="Garamond"/>
          <w:iCs/>
          <w:lang w:val="en-GB"/>
        </w:rPr>
        <w:t>benefit</w:t>
      </w:r>
      <w:r w:rsidR="00CF26E7" w:rsidRPr="00CF26E7">
        <w:rPr>
          <w:rFonts w:ascii="Garamond" w:hAnsi="Garamond"/>
          <w:iCs/>
          <w:lang w:val="en-GB"/>
        </w:rPr>
        <w:t xml:space="preserve"> is only due </w:t>
      </w:r>
      <w:r w:rsidR="00D17E9C">
        <w:rPr>
          <w:rFonts w:ascii="Garamond" w:hAnsi="Garamond"/>
          <w:iCs/>
          <w:lang w:val="en-GB"/>
        </w:rPr>
        <w:t>after</w:t>
      </w:r>
      <w:r w:rsidR="00CF26E7" w:rsidRPr="00CF26E7">
        <w:rPr>
          <w:rFonts w:ascii="Garamond" w:hAnsi="Garamond"/>
          <w:iCs/>
          <w:lang w:val="en-GB"/>
        </w:rPr>
        <w:t xml:space="preserve"> the month of delivery of the certification document.</w:t>
      </w:r>
      <w:r w:rsidR="00CF26E7">
        <w:rPr>
          <w:rFonts w:ascii="Garamond" w:hAnsi="Garamond"/>
          <w:iCs/>
          <w:lang w:val="en-GB"/>
        </w:rPr>
        <w:t xml:space="preserve"> </w:t>
      </w:r>
      <w:r w:rsidR="00CF26E7" w:rsidRPr="00CF26E7">
        <w:rPr>
          <w:rFonts w:ascii="Garamond" w:hAnsi="Garamond"/>
          <w:iCs/>
          <w:lang w:val="en-GB"/>
        </w:rPr>
        <w:t xml:space="preserve">Following </w:t>
      </w:r>
      <w:r w:rsidR="00E507A2">
        <w:rPr>
          <w:rFonts w:ascii="Garamond" w:hAnsi="Garamond"/>
          <w:iCs/>
          <w:lang w:val="en-GB"/>
        </w:rPr>
        <w:t>several</w:t>
      </w:r>
      <w:r w:rsidR="00CF26E7" w:rsidRPr="00CF26E7">
        <w:rPr>
          <w:rFonts w:ascii="Garamond" w:hAnsi="Garamond"/>
          <w:iCs/>
          <w:lang w:val="en-GB"/>
        </w:rPr>
        <w:t xml:space="preserve"> complaints received by the Ombudsman, the Social Security Institute, IP </w:t>
      </w:r>
      <w:r w:rsidR="00CF26E7">
        <w:rPr>
          <w:rFonts w:ascii="Garamond" w:hAnsi="Garamond"/>
          <w:iCs/>
          <w:lang w:val="en-GB"/>
        </w:rPr>
        <w:t xml:space="preserve">informed that, </w:t>
      </w:r>
      <w:r w:rsidR="00CF26E7" w:rsidRPr="00CF26E7">
        <w:rPr>
          <w:rFonts w:ascii="Garamond" w:hAnsi="Garamond"/>
          <w:iCs/>
          <w:lang w:val="en-GB"/>
        </w:rPr>
        <w:t xml:space="preserve">on </w:t>
      </w:r>
      <w:r w:rsidR="00CF26E7">
        <w:rPr>
          <w:rFonts w:ascii="Garamond" w:hAnsi="Garamond"/>
          <w:iCs/>
          <w:lang w:val="en-GB"/>
        </w:rPr>
        <w:t>0</w:t>
      </w:r>
      <w:r w:rsidR="00CF26E7" w:rsidRPr="00CF26E7">
        <w:rPr>
          <w:rFonts w:ascii="Garamond" w:hAnsi="Garamond"/>
          <w:iCs/>
          <w:lang w:val="en-GB"/>
        </w:rPr>
        <w:t>1/01/2020, 1</w:t>
      </w:r>
      <w:r w:rsidR="00CF26E7">
        <w:rPr>
          <w:rFonts w:ascii="Garamond" w:hAnsi="Garamond"/>
          <w:iCs/>
          <w:lang w:val="en-GB"/>
        </w:rPr>
        <w:t>.</w:t>
      </w:r>
      <w:r w:rsidR="00CF26E7" w:rsidRPr="00CF26E7">
        <w:rPr>
          <w:rFonts w:ascii="Garamond" w:hAnsi="Garamond"/>
          <w:iCs/>
          <w:lang w:val="en-GB"/>
        </w:rPr>
        <w:t xml:space="preserve">313 citizens were waiting for the issuance of certification to be able to access </w:t>
      </w:r>
      <w:r w:rsidR="00CF26E7">
        <w:rPr>
          <w:rFonts w:ascii="Garamond" w:hAnsi="Garamond"/>
          <w:iCs/>
          <w:lang w:val="en-GB"/>
        </w:rPr>
        <w:t>to the Social Benefit for Inclusion</w:t>
      </w:r>
      <w:r w:rsidR="00CF26E7">
        <w:rPr>
          <w:rStyle w:val="Refdenotaderodap"/>
          <w:rFonts w:ascii="Garamond" w:hAnsi="Garamond"/>
          <w:iCs/>
          <w:lang w:val="en-GB"/>
        </w:rPr>
        <w:footnoteReference w:id="1"/>
      </w:r>
      <w:r w:rsidR="00CF26E7" w:rsidRPr="00CF26E7">
        <w:rPr>
          <w:rFonts w:ascii="Garamond" w:hAnsi="Garamond"/>
          <w:iCs/>
          <w:lang w:val="en-GB"/>
        </w:rPr>
        <w:t>.</w:t>
      </w:r>
      <w:r w:rsidR="00D17E9C">
        <w:rPr>
          <w:rFonts w:ascii="Garamond" w:hAnsi="Garamond"/>
          <w:iCs/>
          <w:lang w:val="en-GB"/>
        </w:rPr>
        <w:t xml:space="preserve"> Even though, after this certificate, other delays may affect the procedure. According to </w:t>
      </w:r>
      <w:r w:rsidR="00D17E9C" w:rsidRPr="00CF26E7">
        <w:rPr>
          <w:rFonts w:ascii="Garamond" w:hAnsi="Garamond"/>
          <w:iCs/>
          <w:lang w:val="en-GB"/>
        </w:rPr>
        <w:t xml:space="preserve">the </w:t>
      </w:r>
      <w:r w:rsidR="00D17E9C">
        <w:rPr>
          <w:rFonts w:ascii="Garamond" w:hAnsi="Garamond"/>
          <w:iCs/>
          <w:lang w:val="en-GB"/>
        </w:rPr>
        <w:t xml:space="preserve">same data provided by the </w:t>
      </w:r>
      <w:r w:rsidR="00D17E9C" w:rsidRPr="00CF26E7">
        <w:rPr>
          <w:rFonts w:ascii="Garamond" w:hAnsi="Garamond"/>
          <w:iCs/>
          <w:lang w:val="en-GB"/>
        </w:rPr>
        <w:t>Social Security Institute, IP</w:t>
      </w:r>
      <w:r w:rsidR="00D17E9C">
        <w:rPr>
          <w:rFonts w:ascii="Garamond" w:hAnsi="Garamond"/>
          <w:iCs/>
          <w:lang w:val="en-GB"/>
        </w:rPr>
        <w:t xml:space="preserve">, 1.596 applications – which were already issued with a medical certificate - were still pending in the Social Security Institute for a final decision. </w:t>
      </w:r>
    </w:p>
    <w:p w14:paraId="7D68975F" w14:textId="16E16C57" w:rsidR="00582001" w:rsidRPr="00582001" w:rsidRDefault="00341F51" w:rsidP="00E507A2">
      <w:pPr>
        <w:spacing w:line="360" w:lineRule="auto"/>
        <w:ind w:firstLine="708"/>
        <w:jc w:val="both"/>
        <w:rPr>
          <w:rFonts w:ascii="Garamond" w:hAnsi="Garamond"/>
          <w:iCs/>
          <w:lang w:val="en-GB"/>
        </w:rPr>
      </w:pPr>
      <w:r>
        <w:rPr>
          <w:rFonts w:ascii="Garamond" w:hAnsi="Garamond"/>
          <w:iCs/>
          <w:lang w:val="en-GB"/>
        </w:rPr>
        <w:t xml:space="preserve">Another social benefit worth mentioning is the </w:t>
      </w:r>
      <w:r w:rsidRPr="00341F51">
        <w:rPr>
          <w:rFonts w:ascii="Garamond" w:hAnsi="Garamond"/>
          <w:iCs/>
          <w:lang w:val="en-GB"/>
        </w:rPr>
        <w:t xml:space="preserve">Disability </w:t>
      </w:r>
      <w:r>
        <w:rPr>
          <w:rFonts w:ascii="Garamond" w:hAnsi="Garamond"/>
          <w:iCs/>
          <w:lang w:val="en-GB"/>
        </w:rPr>
        <w:t>P</w:t>
      </w:r>
      <w:r w:rsidRPr="00341F51">
        <w:rPr>
          <w:rFonts w:ascii="Garamond" w:hAnsi="Garamond"/>
          <w:iCs/>
          <w:lang w:val="en-GB"/>
        </w:rPr>
        <w:t>ension</w:t>
      </w:r>
      <w:r>
        <w:rPr>
          <w:rFonts w:ascii="Garamond" w:hAnsi="Garamond"/>
          <w:iCs/>
          <w:lang w:val="en-GB"/>
        </w:rPr>
        <w:t xml:space="preserve">. </w:t>
      </w:r>
      <w:r w:rsidRPr="00341F51">
        <w:rPr>
          <w:rFonts w:ascii="Garamond" w:hAnsi="Garamond"/>
          <w:iCs/>
          <w:lang w:val="en-GB"/>
        </w:rPr>
        <w:t>In addition to other legal</w:t>
      </w:r>
      <w:r>
        <w:rPr>
          <w:rFonts w:ascii="Garamond" w:hAnsi="Garamond"/>
          <w:iCs/>
          <w:lang w:val="en-GB"/>
        </w:rPr>
        <w:t xml:space="preserve"> </w:t>
      </w:r>
      <w:r w:rsidRPr="00341F51">
        <w:rPr>
          <w:rFonts w:ascii="Garamond" w:hAnsi="Garamond"/>
          <w:iCs/>
          <w:lang w:val="en-GB"/>
        </w:rPr>
        <w:t>requirements, access to this benefit is subject to the certification of the situation of permanent incapacity for work, through the Disability Verification System</w:t>
      </w:r>
      <w:r w:rsidR="008526B3">
        <w:rPr>
          <w:rStyle w:val="Refdenotaderodap"/>
          <w:rFonts w:ascii="Garamond" w:hAnsi="Garamond"/>
          <w:iCs/>
          <w:lang w:val="en-GB"/>
        </w:rPr>
        <w:footnoteReference w:id="2"/>
      </w:r>
      <w:r w:rsidR="00E507A2">
        <w:rPr>
          <w:rFonts w:ascii="Garamond" w:hAnsi="Garamond"/>
          <w:iCs/>
          <w:lang w:val="en-GB"/>
        </w:rPr>
        <w:t>.</w:t>
      </w:r>
      <w:r w:rsidR="008526B3">
        <w:rPr>
          <w:rFonts w:ascii="Garamond" w:hAnsi="Garamond"/>
          <w:iCs/>
          <w:lang w:val="en-GB"/>
        </w:rPr>
        <w:t xml:space="preserve"> </w:t>
      </w:r>
      <w:r>
        <w:rPr>
          <w:rFonts w:ascii="Garamond" w:hAnsi="Garamond"/>
          <w:iCs/>
          <w:lang w:val="en-GB"/>
        </w:rPr>
        <w:t xml:space="preserve"> According to art. 4 (2) of the </w:t>
      </w:r>
      <w:r w:rsidRPr="00341F51">
        <w:rPr>
          <w:rFonts w:ascii="Garamond" w:hAnsi="Garamond"/>
          <w:iCs/>
          <w:lang w:val="en-GB"/>
        </w:rPr>
        <w:t xml:space="preserve">Decree-Law No. 360/87, </w:t>
      </w:r>
      <w:r w:rsidR="008526B3" w:rsidRPr="00341F51">
        <w:rPr>
          <w:rFonts w:ascii="Garamond" w:hAnsi="Garamond"/>
          <w:iCs/>
          <w:lang w:val="en-GB"/>
        </w:rPr>
        <w:t xml:space="preserve">verification commissions and appeal commissions </w:t>
      </w:r>
      <w:r w:rsidR="008526B3">
        <w:rPr>
          <w:rFonts w:ascii="Garamond" w:hAnsi="Garamond"/>
          <w:iCs/>
          <w:lang w:val="en-GB"/>
        </w:rPr>
        <w:t xml:space="preserve">are competent to attest the </w:t>
      </w:r>
      <w:r w:rsidRPr="00341F51">
        <w:rPr>
          <w:rFonts w:ascii="Garamond" w:hAnsi="Garamond"/>
          <w:iCs/>
          <w:lang w:val="en-GB"/>
        </w:rPr>
        <w:t>permanent incapacity for work</w:t>
      </w:r>
      <w:r w:rsidR="008526B3">
        <w:rPr>
          <w:rFonts w:ascii="Garamond" w:hAnsi="Garamond"/>
          <w:iCs/>
          <w:lang w:val="en-GB"/>
        </w:rPr>
        <w:t xml:space="preserve">. </w:t>
      </w:r>
      <w:r w:rsidR="00E507A2">
        <w:rPr>
          <w:rFonts w:ascii="Garamond" w:hAnsi="Garamond"/>
          <w:iCs/>
          <w:lang w:val="en-GB"/>
        </w:rPr>
        <w:t>T</w:t>
      </w:r>
      <w:r w:rsidR="008526B3">
        <w:rPr>
          <w:rFonts w:ascii="Garamond" w:hAnsi="Garamond"/>
          <w:iCs/>
          <w:lang w:val="en-GB"/>
        </w:rPr>
        <w:t xml:space="preserve">he Ombudsman has received </w:t>
      </w:r>
      <w:r w:rsidRPr="00341F51">
        <w:rPr>
          <w:rFonts w:ascii="Garamond" w:hAnsi="Garamond"/>
          <w:iCs/>
          <w:lang w:val="en-GB"/>
        </w:rPr>
        <w:t xml:space="preserve">complaints </w:t>
      </w:r>
      <w:r w:rsidR="008526B3">
        <w:rPr>
          <w:rFonts w:ascii="Garamond" w:hAnsi="Garamond"/>
          <w:iCs/>
          <w:lang w:val="en-GB"/>
        </w:rPr>
        <w:t>on</w:t>
      </w:r>
      <w:r w:rsidRPr="00341F51">
        <w:rPr>
          <w:rFonts w:ascii="Garamond" w:hAnsi="Garamond"/>
          <w:iCs/>
          <w:lang w:val="en-GB"/>
        </w:rPr>
        <w:t xml:space="preserve"> delays</w:t>
      </w:r>
      <w:r w:rsidR="00E507A2">
        <w:rPr>
          <w:rFonts w:ascii="Garamond" w:hAnsi="Garamond"/>
          <w:iCs/>
          <w:lang w:val="en-GB"/>
        </w:rPr>
        <w:t xml:space="preserve"> also in this context. These delays are related</w:t>
      </w:r>
      <w:r w:rsidRPr="00341F51">
        <w:rPr>
          <w:rFonts w:ascii="Garamond" w:hAnsi="Garamond"/>
          <w:iCs/>
          <w:lang w:val="en-GB"/>
        </w:rPr>
        <w:t xml:space="preserve"> not only</w:t>
      </w:r>
      <w:r w:rsidR="008526B3">
        <w:rPr>
          <w:rFonts w:ascii="Garamond" w:hAnsi="Garamond"/>
          <w:iCs/>
          <w:lang w:val="en-GB"/>
        </w:rPr>
        <w:t xml:space="preserve"> </w:t>
      </w:r>
      <w:r w:rsidR="00E507A2">
        <w:rPr>
          <w:rFonts w:ascii="Garamond" w:hAnsi="Garamond"/>
          <w:iCs/>
          <w:lang w:val="en-GB"/>
        </w:rPr>
        <w:t>to</w:t>
      </w:r>
      <w:r w:rsidR="008526B3">
        <w:rPr>
          <w:rFonts w:ascii="Garamond" w:hAnsi="Garamond"/>
          <w:iCs/>
          <w:lang w:val="en-GB"/>
        </w:rPr>
        <w:t xml:space="preserve"> </w:t>
      </w:r>
      <w:r w:rsidRPr="00341F51">
        <w:rPr>
          <w:rFonts w:ascii="Garamond" w:hAnsi="Garamond"/>
          <w:iCs/>
          <w:lang w:val="en-GB"/>
        </w:rPr>
        <w:t xml:space="preserve">medical examinations by the commissions, but also in the processing and subsequent payment of </w:t>
      </w:r>
      <w:r w:rsidR="008526B3">
        <w:rPr>
          <w:rFonts w:ascii="Garamond" w:hAnsi="Garamond"/>
          <w:iCs/>
          <w:lang w:val="en-GB"/>
        </w:rPr>
        <w:t xml:space="preserve">the respective </w:t>
      </w:r>
      <w:r w:rsidRPr="00341F51">
        <w:rPr>
          <w:rFonts w:ascii="Garamond" w:hAnsi="Garamond"/>
          <w:iCs/>
          <w:lang w:val="en-GB"/>
        </w:rPr>
        <w:t>pensions.</w:t>
      </w:r>
      <w:r w:rsidR="00582001" w:rsidRPr="00582001">
        <w:rPr>
          <w:rFonts w:ascii="Garamond" w:hAnsi="Garamond"/>
          <w:iCs/>
          <w:lang w:val="en-GB"/>
        </w:rPr>
        <w:t xml:space="preserve"> The same can be said regarding the </w:t>
      </w:r>
      <w:r w:rsidR="00582001">
        <w:rPr>
          <w:rFonts w:ascii="Garamond" w:hAnsi="Garamond"/>
          <w:iCs/>
          <w:lang w:val="en-GB"/>
        </w:rPr>
        <w:t>d</w:t>
      </w:r>
      <w:r w:rsidR="00582001" w:rsidRPr="00582001">
        <w:rPr>
          <w:rFonts w:ascii="Garamond" w:hAnsi="Garamond"/>
          <w:iCs/>
          <w:lang w:val="en-GB"/>
        </w:rPr>
        <w:t xml:space="preserve">ependency supplement </w:t>
      </w:r>
      <w:r w:rsidR="00582001">
        <w:rPr>
          <w:rFonts w:ascii="Garamond" w:hAnsi="Garamond"/>
          <w:iCs/>
          <w:lang w:val="en-GB"/>
        </w:rPr>
        <w:t>(</w:t>
      </w:r>
      <w:r w:rsidR="00582001" w:rsidRPr="00582001">
        <w:rPr>
          <w:rFonts w:ascii="Garamond" w:hAnsi="Garamond"/>
          <w:iCs/>
          <w:lang w:val="en-GB"/>
        </w:rPr>
        <w:t>benefit attributed to pensioners who are in a situation of dependency and who need the help of another person to meet the basic needs of daily life</w:t>
      </w:r>
      <w:r w:rsidR="00582001">
        <w:rPr>
          <w:rFonts w:ascii="Garamond" w:hAnsi="Garamond"/>
          <w:iCs/>
          <w:lang w:val="en-GB"/>
        </w:rPr>
        <w:t xml:space="preserve">), which also </w:t>
      </w:r>
      <w:r w:rsidR="00582001" w:rsidRPr="00582001">
        <w:rPr>
          <w:rFonts w:ascii="Garamond" w:hAnsi="Garamond"/>
          <w:iCs/>
          <w:lang w:val="en-GB"/>
        </w:rPr>
        <w:t>must be recognized by the verification commissions and appeal commissions.</w:t>
      </w:r>
      <w:r w:rsidR="00E507A2">
        <w:rPr>
          <w:rFonts w:ascii="Garamond" w:hAnsi="Garamond"/>
          <w:iCs/>
          <w:lang w:val="en-GB"/>
        </w:rPr>
        <w:t xml:space="preserve"> In all these cases, </w:t>
      </w:r>
      <w:r w:rsidR="001739FD">
        <w:rPr>
          <w:rFonts w:ascii="Garamond" w:hAnsi="Garamond"/>
          <w:iCs/>
          <w:lang w:val="en-GB"/>
        </w:rPr>
        <w:t xml:space="preserve">due to systematic delays, </w:t>
      </w:r>
      <w:r w:rsidR="00582001" w:rsidRPr="00582001">
        <w:rPr>
          <w:rFonts w:ascii="Garamond" w:hAnsi="Garamond"/>
          <w:iCs/>
          <w:lang w:val="en-GB"/>
        </w:rPr>
        <w:t xml:space="preserve">persons with disabilities may have to live unprotected for long periods of time. </w:t>
      </w:r>
    </w:p>
    <w:p w14:paraId="732A9655" w14:textId="5220ED90" w:rsidR="00582001" w:rsidRDefault="00582001" w:rsidP="00582001">
      <w:pPr>
        <w:spacing w:line="360" w:lineRule="auto"/>
        <w:ind w:firstLine="708"/>
        <w:jc w:val="both"/>
        <w:rPr>
          <w:rFonts w:ascii="Garamond" w:hAnsi="Garamond"/>
          <w:iCs/>
          <w:lang w:val="en-GB"/>
        </w:rPr>
      </w:pPr>
      <w:r>
        <w:rPr>
          <w:rFonts w:ascii="Garamond" w:hAnsi="Garamond"/>
          <w:iCs/>
          <w:lang w:val="en-GB"/>
        </w:rPr>
        <w:t xml:space="preserve">Finally, the Ombudsman has also received several complaints regarding the </w:t>
      </w:r>
      <w:r w:rsidRPr="00582001">
        <w:rPr>
          <w:rFonts w:ascii="Garamond" w:hAnsi="Garamond"/>
          <w:iCs/>
          <w:lang w:val="en-GB"/>
        </w:rPr>
        <w:t>Special education allowance</w:t>
      </w:r>
      <w:r>
        <w:rPr>
          <w:rFonts w:ascii="Garamond" w:hAnsi="Garamond"/>
          <w:iCs/>
          <w:lang w:val="en-GB"/>
        </w:rPr>
        <w:t xml:space="preserve"> - </w:t>
      </w:r>
      <w:r w:rsidRPr="00582001">
        <w:rPr>
          <w:rFonts w:ascii="Garamond" w:hAnsi="Garamond"/>
          <w:iCs/>
          <w:lang w:val="en-GB"/>
        </w:rPr>
        <w:t>a subsidy for children and young people (up to the age of 24) with permanent disabilities</w:t>
      </w:r>
      <w:r>
        <w:rPr>
          <w:rFonts w:ascii="Garamond" w:hAnsi="Garamond"/>
          <w:iCs/>
          <w:lang w:val="en-GB"/>
        </w:rPr>
        <w:t>, which is intended to</w:t>
      </w:r>
      <w:r w:rsidRPr="00582001">
        <w:rPr>
          <w:rFonts w:ascii="Garamond" w:hAnsi="Garamond"/>
          <w:iCs/>
          <w:lang w:val="en-GB"/>
        </w:rPr>
        <w:t xml:space="preserve"> compensat</w:t>
      </w:r>
      <w:r>
        <w:rPr>
          <w:rFonts w:ascii="Garamond" w:hAnsi="Garamond"/>
          <w:iCs/>
          <w:lang w:val="en-GB"/>
        </w:rPr>
        <w:t>e</w:t>
      </w:r>
      <w:r w:rsidRPr="00582001">
        <w:rPr>
          <w:rFonts w:ascii="Garamond" w:hAnsi="Garamond"/>
          <w:iCs/>
          <w:lang w:val="en-GB"/>
        </w:rPr>
        <w:t xml:space="preserve"> charges resulting from the frequency of suitable establishments or individual support by a specialized technician.</w:t>
      </w:r>
      <w:r>
        <w:rPr>
          <w:rFonts w:ascii="Garamond" w:hAnsi="Garamond"/>
          <w:iCs/>
          <w:lang w:val="en-GB"/>
        </w:rPr>
        <w:t xml:space="preserve"> </w:t>
      </w:r>
      <w:r w:rsidRPr="00582001">
        <w:rPr>
          <w:rFonts w:ascii="Garamond" w:hAnsi="Garamond"/>
          <w:iCs/>
          <w:lang w:val="en-GB"/>
        </w:rPr>
        <w:t xml:space="preserve">In accordance with the </w:t>
      </w:r>
      <w:r>
        <w:rPr>
          <w:rFonts w:ascii="Garamond" w:hAnsi="Garamond"/>
          <w:iCs/>
          <w:lang w:val="en-GB"/>
        </w:rPr>
        <w:t>law</w:t>
      </w:r>
      <w:r>
        <w:rPr>
          <w:rStyle w:val="Refdenotaderodap"/>
          <w:rFonts w:ascii="Garamond" w:hAnsi="Garamond"/>
          <w:iCs/>
          <w:lang w:val="en-GB"/>
        </w:rPr>
        <w:footnoteReference w:id="3"/>
      </w:r>
      <w:r w:rsidRPr="00582001">
        <w:rPr>
          <w:rFonts w:ascii="Garamond" w:hAnsi="Garamond"/>
          <w:iCs/>
          <w:lang w:val="en-GB"/>
        </w:rPr>
        <w:t xml:space="preserve">, the application must always be accompanied by a statement from the specialist physician that proves the permanent reduction </w:t>
      </w:r>
      <w:r>
        <w:rPr>
          <w:rFonts w:ascii="Garamond" w:hAnsi="Garamond"/>
          <w:iCs/>
          <w:lang w:val="en-GB"/>
        </w:rPr>
        <w:t xml:space="preserve">of the applicant’s capacity (whether </w:t>
      </w:r>
      <w:r w:rsidRPr="00582001">
        <w:rPr>
          <w:rFonts w:ascii="Garamond" w:hAnsi="Garamond"/>
          <w:iCs/>
          <w:lang w:val="en-GB"/>
        </w:rPr>
        <w:t>physical, sensor</w:t>
      </w:r>
      <w:r>
        <w:rPr>
          <w:rFonts w:ascii="Garamond" w:hAnsi="Garamond"/>
          <w:iCs/>
          <w:lang w:val="en-GB"/>
        </w:rPr>
        <w:t>ial</w:t>
      </w:r>
      <w:r w:rsidRPr="00582001">
        <w:rPr>
          <w:rFonts w:ascii="Garamond" w:hAnsi="Garamond"/>
          <w:iCs/>
          <w:lang w:val="en-GB"/>
        </w:rPr>
        <w:t xml:space="preserve"> or intellectual</w:t>
      </w:r>
      <w:r>
        <w:rPr>
          <w:rFonts w:ascii="Garamond" w:hAnsi="Garamond"/>
          <w:iCs/>
          <w:lang w:val="en-GB"/>
        </w:rPr>
        <w:t xml:space="preserve">). </w:t>
      </w:r>
      <w:r w:rsidRPr="00582001">
        <w:rPr>
          <w:rFonts w:ascii="Garamond" w:hAnsi="Garamond"/>
          <w:iCs/>
          <w:lang w:val="en-GB"/>
        </w:rPr>
        <w:t>Nevertheless, social security services can subject children and young people with disabilities to multidisciplinary medical and pedagogical assessment teams.</w:t>
      </w:r>
      <w:r>
        <w:rPr>
          <w:rFonts w:ascii="Garamond" w:hAnsi="Garamond"/>
          <w:iCs/>
          <w:lang w:val="en-GB"/>
        </w:rPr>
        <w:t xml:space="preserve"> </w:t>
      </w:r>
      <w:r w:rsidRPr="00582001">
        <w:rPr>
          <w:rFonts w:ascii="Garamond" w:hAnsi="Garamond"/>
          <w:iCs/>
          <w:lang w:val="en-GB"/>
        </w:rPr>
        <w:t>The complaints received refer to the intervention and assessment made by these multidisciplinary teams, which, in some cases, do not confirm the medical declaration submitted by the interested parties, resulting in the rejection of the requirements.</w:t>
      </w:r>
    </w:p>
    <w:p w14:paraId="5D01A9BF" w14:textId="0287C006" w:rsidR="0003586B" w:rsidRDefault="0003586B" w:rsidP="00CB5412">
      <w:pPr>
        <w:pStyle w:val="PargrafodaLista"/>
        <w:spacing w:line="360" w:lineRule="auto"/>
        <w:contextualSpacing w:val="0"/>
        <w:rPr>
          <w:rFonts w:ascii="Garamond" w:eastAsia="Times New Roman" w:hAnsi="Garamond" w:cs="Arial"/>
          <w:b/>
          <w:color w:val="000000"/>
          <w:sz w:val="24"/>
          <w:szCs w:val="24"/>
          <w:lang w:eastAsia="en-GB"/>
        </w:rPr>
      </w:pPr>
    </w:p>
    <w:p w14:paraId="2CDE6186" w14:textId="77777777" w:rsidR="00E507A2" w:rsidRPr="00541431" w:rsidRDefault="00E507A2" w:rsidP="00CB5412">
      <w:pPr>
        <w:pStyle w:val="PargrafodaLista"/>
        <w:spacing w:line="360" w:lineRule="auto"/>
        <w:contextualSpacing w:val="0"/>
        <w:rPr>
          <w:rFonts w:ascii="Garamond" w:eastAsia="Times New Roman" w:hAnsi="Garamond" w:cs="Arial"/>
          <w:b/>
          <w:color w:val="000000"/>
          <w:sz w:val="24"/>
          <w:szCs w:val="24"/>
          <w:lang w:eastAsia="en-GB"/>
        </w:rPr>
      </w:pPr>
    </w:p>
    <w:p w14:paraId="199313C5" w14:textId="1D7A6517" w:rsidR="003376A9" w:rsidRPr="00541431" w:rsidRDefault="0003586B" w:rsidP="00CB5412">
      <w:pPr>
        <w:pStyle w:val="PargrafodaLista"/>
        <w:spacing w:line="360" w:lineRule="auto"/>
        <w:contextualSpacing w:val="0"/>
        <w:rPr>
          <w:rFonts w:ascii="Garamond" w:eastAsia="Times New Roman" w:hAnsi="Garamond" w:cs="Arial"/>
          <w:b/>
          <w:color w:val="000000"/>
          <w:sz w:val="24"/>
          <w:szCs w:val="24"/>
          <w:lang w:eastAsia="en-GB"/>
        </w:rPr>
      </w:pPr>
      <w:r w:rsidRPr="00541431">
        <w:rPr>
          <w:rFonts w:ascii="Garamond" w:eastAsia="Times New Roman" w:hAnsi="Garamond" w:cs="Arial"/>
          <w:b/>
          <w:color w:val="000000"/>
          <w:sz w:val="24"/>
          <w:szCs w:val="24"/>
          <w:lang w:eastAsia="en-GB"/>
        </w:rPr>
        <w:t xml:space="preserve">3. </w:t>
      </w:r>
      <w:r w:rsidR="00CB5412" w:rsidRPr="00541431">
        <w:rPr>
          <w:rFonts w:ascii="Garamond" w:eastAsia="Times New Roman" w:hAnsi="Garamond" w:cs="Arial"/>
          <w:b/>
          <w:color w:val="000000"/>
          <w:sz w:val="24"/>
          <w:szCs w:val="24"/>
          <w:lang w:eastAsia="en-GB"/>
        </w:rPr>
        <w:t xml:space="preserve">Violence against women, including sexual and domestic violence (arts. 2, 3, 6, 7 and 26) </w:t>
      </w:r>
    </w:p>
    <w:p w14:paraId="765214D1" w14:textId="4716DD26" w:rsidR="00CB5412" w:rsidRPr="00167BAF" w:rsidRDefault="00B226D8" w:rsidP="00CB5412">
      <w:pPr>
        <w:spacing w:after="200" w:line="360" w:lineRule="auto"/>
        <w:ind w:firstLine="708"/>
        <w:jc w:val="both"/>
        <w:rPr>
          <w:rFonts w:ascii="Garamond" w:hAnsi="Garamond"/>
          <w:b/>
          <w:bCs/>
          <w:i/>
          <w:u w:val="single"/>
          <w:lang w:val="en-GB" w:eastAsia="en-US"/>
        </w:rPr>
      </w:pPr>
      <w:r w:rsidRPr="00167BAF">
        <w:rPr>
          <w:rFonts w:ascii="Garamond" w:hAnsi="Garamond"/>
          <w:b/>
          <w:bCs/>
          <w:i/>
          <w:u w:val="single"/>
          <w:lang w:val="en-GB" w:eastAsia="en-US"/>
        </w:rPr>
        <w:t>Issue 13</w:t>
      </w:r>
    </w:p>
    <w:p w14:paraId="07659C27" w14:textId="148BAFE5" w:rsidR="007F3E3E" w:rsidRPr="00541431" w:rsidRDefault="00CB5412" w:rsidP="00CB5412">
      <w:pPr>
        <w:spacing w:after="200" w:line="360" w:lineRule="auto"/>
        <w:ind w:firstLine="708"/>
        <w:jc w:val="both"/>
        <w:rPr>
          <w:rFonts w:ascii="Garamond" w:eastAsiaTheme="minorHAnsi" w:hAnsi="Garamond"/>
          <w:color w:val="222222"/>
          <w:lang w:val="en-US"/>
        </w:rPr>
      </w:pPr>
      <w:r w:rsidRPr="00541431">
        <w:rPr>
          <w:rFonts w:ascii="Garamond" w:hAnsi="Garamond"/>
          <w:lang w:val="en-GB" w:eastAsia="en-US"/>
        </w:rPr>
        <w:t xml:space="preserve">The </w:t>
      </w:r>
      <w:r w:rsidR="00D219B2" w:rsidRPr="00541431">
        <w:rPr>
          <w:rFonts w:ascii="Garamond" w:hAnsi="Garamond"/>
          <w:lang w:val="en-US"/>
        </w:rPr>
        <w:t>O</w:t>
      </w:r>
      <w:r w:rsidR="0098421C" w:rsidRPr="00541431">
        <w:rPr>
          <w:rFonts w:ascii="Garamond" w:hAnsi="Garamond"/>
          <w:lang w:val="en-US"/>
        </w:rPr>
        <w:t>mbudsman</w:t>
      </w:r>
      <w:r w:rsidRPr="00541431">
        <w:rPr>
          <w:rFonts w:ascii="Garamond" w:hAnsi="Garamond"/>
          <w:lang w:val="en-US"/>
        </w:rPr>
        <w:t xml:space="preserve"> </w:t>
      </w:r>
      <w:r w:rsidR="00BA009E" w:rsidRPr="00541431">
        <w:rPr>
          <w:rFonts w:ascii="Garamond" w:hAnsi="Garamond"/>
          <w:lang w:val="en-US"/>
        </w:rPr>
        <w:t>recognizes</w:t>
      </w:r>
      <w:r w:rsidR="007F3E3E" w:rsidRPr="00541431">
        <w:rPr>
          <w:rFonts w:ascii="Garamond" w:hAnsi="Garamond"/>
          <w:lang w:val="en-US"/>
        </w:rPr>
        <w:t xml:space="preserve"> all the efforts made during the reporting period to raise awareness and prevent domestic violence and other types of gender-based violence. </w:t>
      </w:r>
      <w:r w:rsidR="007F3E3E" w:rsidRPr="00541431">
        <w:rPr>
          <w:rFonts w:ascii="Garamond" w:eastAsiaTheme="minorHAnsi" w:hAnsi="Garamond"/>
          <w:color w:val="222222"/>
          <w:lang w:val="en-US"/>
        </w:rPr>
        <w:t xml:space="preserve">However, it is still concerned with the extremely high numbers of </w:t>
      </w:r>
      <w:r w:rsidR="001875B7" w:rsidRPr="00541431">
        <w:rPr>
          <w:rFonts w:ascii="Garamond" w:eastAsiaTheme="minorHAnsi" w:hAnsi="Garamond"/>
          <w:color w:val="222222"/>
          <w:lang w:val="en-US"/>
        </w:rPr>
        <w:t xml:space="preserve">cases of </w:t>
      </w:r>
      <w:r w:rsidR="007F3E3E" w:rsidRPr="00541431">
        <w:rPr>
          <w:rFonts w:ascii="Garamond" w:eastAsiaTheme="minorHAnsi" w:hAnsi="Garamond"/>
          <w:color w:val="222222"/>
          <w:lang w:val="en-US"/>
        </w:rPr>
        <w:t xml:space="preserve">domestic violence reported in </w:t>
      </w:r>
      <w:r w:rsidR="006126A3">
        <w:rPr>
          <w:rFonts w:ascii="Garamond" w:eastAsiaTheme="minorHAnsi" w:hAnsi="Garamond"/>
          <w:color w:val="222222"/>
          <w:lang w:val="en-US"/>
        </w:rPr>
        <w:t>recent</w:t>
      </w:r>
      <w:r w:rsidR="007F3E3E" w:rsidRPr="00541431">
        <w:rPr>
          <w:rFonts w:ascii="Garamond" w:eastAsiaTheme="minorHAnsi" w:hAnsi="Garamond"/>
          <w:color w:val="222222"/>
          <w:lang w:val="en-US"/>
        </w:rPr>
        <w:t xml:space="preserve"> years. According to the </w:t>
      </w:r>
      <w:r w:rsidR="00FD2425" w:rsidRPr="00541431">
        <w:rPr>
          <w:rFonts w:ascii="Garamond" w:eastAsiaTheme="minorHAnsi" w:hAnsi="Garamond"/>
          <w:color w:val="222222"/>
          <w:lang w:val="en-US"/>
        </w:rPr>
        <w:t>la</w:t>
      </w:r>
      <w:r w:rsidR="00FD2425">
        <w:rPr>
          <w:rFonts w:ascii="Garamond" w:eastAsiaTheme="minorHAnsi" w:hAnsi="Garamond"/>
          <w:color w:val="222222"/>
          <w:lang w:val="en-US"/>
        </w:rPr>
        <w:t>test</w:t>
      </w:r>
      <w:r w:rsidR="00FD2425" w:rsidRPr="00541431">
        <w:rPr>
          <w:rFonts w:ascii="Garamond" w:eastAsiaTheme="minorHAnsi" w:hAnsi="Garamond"/>
          <w:color w:val="222222"/>
          <w:lang w:val="en-US"/>
        </w:rPr>
        <w:t xml:space="preserve"> </w:t>
      </w:r>
      <w:r w:rsidR="007F3E3E" w:rsidRPr="00541431">
        <w:rPr>
          <w:rFonts w:ascii="Garamond" w:eastAsiaTheme="minorHAnsi" w:hAnsi="Garamond"/>
          <w:color w:val="222222"/>
          <w:lang w:val="en-US"/>
        </w:rPr>
        <w:t xml:space="preserve">Annual Security Report, </w:t>
      </w:r>
      <w:r w:rsidR="00C71B59" w:rsidRPr="00C71B59">
        <w:rPr>
          <w:rFonts w:ascii="Garamond" w:eastAsiaTheme="minorHAnsi" w:hAnsi="Garamond"/>
          <w:color w:val="222222"/>
          <w:lang w:val="en-US"/>
        </w:rPr>
        <w:t xml:space="preserve">26.483 </w:t>
      </w:r>
      <w:r w:rsidR="007F3E3E" w:rsidRPr="00541431">
        <w:rPr>
          <w:rFonts w:ascii="Garamond" w:eastAsiaTheme="minorHAnsi" w:hAnsi="Garamond"/>
          <w:color w:val="222222"/>
          <w:lang w:val="en-US"/>
        </w:rPr>
        <w:t>crimes of domestic violence were reported in 2018</w:t>
      </w:r>
      <w:r w:rsidR="007F3E3E" w:rsidRPr="00541431">
        <w:rPr>
          <w:rFonts w:ascii="Garamond" w:eastAsiaTheme="minorHAnsi" w:hAnsi="Garamond"/>
          <w:color w:val="222222"/>
          <w:vertAlign w:val="superscript"/>
        </w:rPr>
        <w:footnoteReference w:id="4"/>
      </w:r>
      <w:r w:rsidR="007F3E3E" w:rsidRPr="00541431">
        <w:rPr>
          <w:rFonts w:ascii="Garamond" w:eastAsiaTheme="minorHAnsi" w:hAnsi="Garamond"/>
          <w:color w:val="222222"/>
          <w:lang w:val="en-US"/>
        </w:rPr>
        <w:t>.</w:t>
      </w:r>
      <w:r w:rsidR="00D413E0" w:rsidRPr="00541431">
        <w:rPr>
          <w:rFonts w:ascii="Garamond" w:eastAsiaTheme="minorHAnsi" w:hAnsi="Garamond"/>
          <w:color w:val="222222"/>
          <w:lang w:val="en-US"/>
        </w:rPr>
        <w:t xml:space="preserve"> </w:t>
      </w:r>
    </w:p>
    <w:p w14:paraId="60244A73" w14:textId="4D020D00" w:rsidR="007F3E3E" w:rsidRPr="00541431" w:rsidRDefault="007F3E3E" w:rsidP="00CB5412">
      <w:pPr>
        <w:spacing w:after="200" w:line="360" w:lineRule="auto"/>
        <w:ind w:firstLine="708"/>
        <w:jc w:val="both"/>
        <w:rPr>
          <w:rFonts w:ascii="Garamond" w:eastAsiaTheme="minorHAnsi" w:hAnsi="Garamond"/>
          <w:color w:val="222222"/>
          <w:lang w:val="en-US"/>
        </w:rPr>
      </w:pPr>
      <w:r w:rsidRPr="00541431">
        <w:rPr>
          <w:rFonts w:ascii="Garamond" w:eastAsiaTheme="minorHAnsi" w:hAnsi="Garamond"/>
          <w:color w:val="222222"/>
          <w:lang w:val="en-US"/>
        </w:rPr>
        <w:t>The Ministry of Justice website presents data on convictions for domestic violence against Spouse/Similar, Domestic Vio</w:t>
      </w:r>
      <w:r w:rsidR="005F0412" w:rsidRPr="00541431">
        <w:rPr>
          <w:rFonts w:ascii="Garamond" w:eastAsiaTheme="minorHAnsi" w:hAnsi="Garamond"/>
          <w:color w:val="222222"/>
          <w:lang w:val="en-US"/>
        </w:rPr>
        <w:t>lence against Minors and “other</w:t>
      </w:r>
      <w:r w:rsidRPr="00541431">
        <w:rPr>
          <w:rFonts w:ascii="Garamond" w:eastAsiaTheme="minorHAnsi" w:hAnsi="Garamond"/>
          <w:color w:val="222222"/>
          <w:lang w:val="en-US"/>
        </w:rPr>
        <w:t xml:space="preserve"> Domestic Violence”. In the reporting period, the following numbers of convictions were published in the Ministry of Justice website:</w:t>
      </w:r>
    </w:p>
    <w:tbl>
      <w:tblPr>
        <w:tblStyle w:val="TabelacomGrelha"/>
        <w:tblW w:w="0" w:type="auto"/>
        <w:tblInd w:w="866" w:type="dxa"/>
        <w:tblLook w:val="04A0" w:firstRow="1" w:lastRow="0" w:firstColumn="1" w:lastColumn="0" w:noHBand="0" w:noVBand="1"/>
      </w:tblPr>
      <w:tblGrid>
        <w:gridCol w:w="2447"/>
        <w:gridCol w:w="2158"/>
        <w:gridCol w:w="2158"/>
      </w:tblGrid>
      <w:tr w:rsidR="00212718" w:rsidRPr="00541431" w14:paraId="2B2D1E26" w14:textId="77777777" w:rsidTr="001875B7">
        <w:tc>
          <w:tcPr>
            <w:tcW w:w="2447" w:type="dxa"/>
          </w:tcPr>
          <w:p w14:paraId="6B490626" w14:textId="77777777" w:rsidR="00212718" w:rsidRPr="00541431" w:rsidRDefault="00212718" w:rsidP="00CB5412">
            <w:pPr>
              <w:spacing w:after="200" w:line="360" w:lineRule="auto"/>
              <w:jc w:val="center"/>
              <w:rPr>
                <w:rFonts w:ascii="Garamond" w:eastAsiaTheme="minorHAnsi" w:hAnsi="Garamond"/>
                <w:color w:val="222222"/>
                <w:sz w:val="20"/>
                <w:szCs w:val="20"/>
                <w:lang w:val="en-US"/>
              </w:rPr>
            </w:pPr>
          </w:p>
        </w:tc>
        <w:tc>
          <w:tcPr>
            <w:tcW w:w="2158" w:type="dxa"/>
          </w:tcPr>
          <w:p w14:paraId="57CF2FE6" w14:textId="2051D894"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hAnsi="Garamond"/>
                <w:b/>
                <w:sz w:val="20"/>
                <w:szCs w:val="20"/>
              </w:rPr>
              <w:t>2016</w:t>
            </w:r>
          </w:p>
        </w:tc>
        <w:tc>
          <w:tcPr>
            <w:tcW w:w="2158" w:type="dxa"/>
          </w:tcPr>
          <w:p w14:paraId="6F1C4918" w14:textId="1949624E"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eastAsiaTheme="minorHAnsi" w:hAnsi="Garamond"/>
                <w:b/>
                <w:color w:val="222222"/>
                <w:sz w:val="20"/>
                <w:szCs w:val="20"/>
              </w:rPr>
              <w:t>2017</w:t>
            </w:r>
          </w:p>
        </w:tc>
      </w:tr>
      <w:tr w:rsidR="00212718" w:rsidRPr="00541431" w14:paraId="7D8343B9" w14:textId="77777777" w:rsidTr="001875B7">
        <w:tc>
          <w:tcPr>
            <w:tcW w:w="2447" w:type="dxa"/>
          </w:tcPr>
          <w:p w14:paraId="7CEA582A" w14:textId="77777777" w:rsidR="00212718" w:rsidRPr="00541431" w:rsidRDefault="00212718" w:rsidP="00CB5412">
            <w:pPr>
              <w:spacing w:after="200" w:line="360" w:lineRule="auto"/>
              <w:jc w:val="center"/>
              <w:rPr>
                <w:rFonts w:ascii="Garamond" w:eastAsiaTheme="minorHAnsi" w:hAnsi="Garamond"/>
                <w:color w:val="222222"/>
                <w:sz w:val="20"/>
                <w:szCs w:val="20"/>
              </w:rPr>
            </w:pPr>
            <w:proofErr w:type="spellStart"/>
            <w:r w:rsidRPr="00541431">
              <w:rPr>
                <w:rFonts w:ascii="Garamond" w:eastAsiaTheme="minorHAnsi" w:hAnsi="Garamond"/>
                <w:color w:val="222222"/>
                <w:sz w:val="20"/>
                <w:szCs w:val="20"/>
              </w:rPr>
              <w:t>Domestic</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Violence</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Spouse</w:t>
            </w:r>
            <w:proofErr w:type="spellEnd"/>
            <w:r w:rsidRPr="00541431">
              <w:rPr>
                <w:rFonts w:ascii="Garamond" w:eastAsiaTheme="minorHAnsi" w:hAnsi="Garamond"/>
                <w:color w:val="222222"/>
                <w:sz w:val="20"/>
                <w:szCs w:val="20"/>
              </w:rPr>
              <w:t xml:space="preserve"> / similar)</w:t>
            </w:r>
          </w:p>
        </w:tc>
        <w:tc>
          <w:tcPr>
            <w:tcW w:w="2158" w:type="dxa"/>
          </w:tcPr>
          <w:p w14:paraId="7E1815AA" w14:textId="7EEE660D"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hAnsi="Garamond"/>
                <w:b/>
                <w:sz w:val="20"/>
                <w:szCs w:val="20"/>
              </w:rPr>
              <w:t>1.528</w:t>
            </w:r>
          </w:p>
        </w:tc>
        <w:tc>
          <w:tcPr>
            <w:tcW w:w="2158" w:type="dxa"/>
          </w:tcPr>
          <w:p w14:paraId="7534969F" w14:textId="4E3049F8"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eastAsiaTheme="minorHAnsi" w:hAnsi="Garamond"/>
                <w:b/>
                <w:color w:val="222222"/>
                <w:sz w:val="20"/>
                <w:szCs w:val="20"/>
              </w:rPr>
              <w:t>1.</w:t>
            </w:r>
            <w:r w:rsidR="00BD362B" w:rsidRPr="00541431">
              <w:rPr>
                <w:rFonts w:ascii="Garamond" w:eastAsiaTheme="minorHAnsi" w:hAnsi="Garamond"/>
                <w:b/>
                <w:color w:val="222222"/>
                <w:sz w:val="20"/>
                <w:szCs w:val="20"/>
              </w:rPr>
              <w:t>461</w:t>
            </w:r>
          </w:p>
        </w:tc>
      </w:tr>
      <w:tr w:rsidR="00212718" w:rsidRPr="00541431" w14:paraId="3B09BA06" w14:textId="77777777" w:rsidTr="001875B7">
        <w:tc>
          <w:tcPr>
            <w:tcW w:w="2447" w:type="dxa"/>
          </w:tcPr>
          <w:p w14:paraId="2FCA1B0D" w14:textId="77777777" w:rsidR="00212718" w:rsidRPr="00541431" w:rsidRDefault="00212718" w:rsidP="00CB5412">
            <w:pPr>
              <w:spacing w:after="200" w:line="360" w:lineRule="auto"/>
              <w:jc w:val="center"/>
              <w:rPr>
                <w:rFonts w:ascii="Garamond" w:eastAsiaTheme="minorHAnsi" w:hAnsi="Garamond"/>
                <w:color w:val="222222"/>
                <w:sz w:val="20"/>
                <w:szCs w:val="20"/>
              </w:rPr>
            </w:pPr>
            <w:proofErr w:type="spellStart"/>
            <w:r w:rsidRPr="00541431">
              <w:rPr>
                <w:rFonts w:ascii="Garamond" w:eastAsiaTheme="minorHAnsi" w:hAnsi="Garamond"/>
                <w:color w:val="222222"/>
                <w:sz w:val="20"/>
                <w:szCs w:val="20"/>
              </w:rPr>
              <w:t>Domestic</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Violence</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against</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Children</w:t>
            </w:r>
            <w:proofErr w:type="spellEnd"/>
          </w:p>
        </w:tc>
        <w:tc>
          <w:tcPr>
            <w:tcW w:w="2158" w:type="dxa"/>
          </w:tcPr>
          <w:p w14:paraId="20D8E922" w14:textId="1ACDFB15"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hAnsi="Garamond"/>
                <w:b/>
                <w:sz w:val="20"/>
                <w:szCs w:val="20"/>
              </w:rPr>
              <w:t>47</w:t>
            </w:r>
          </w:p>
        </w:tc>
        <w:tc>
          <w:tcPr>
            <w:tcW w:w="2158" w:type="dxa"/>
          </w:tcPr>
          <w:p w14:paraId="57177C55" w14:textId="6B737549"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eastAsiaTheme="minorHAnsi" w:hAnsi="Garamond"/>
                <w:b/>
                <w:color w:val="222222"/>
                <w:sz w:val="20"/>
                <w:szCs w:val="20"/>
              </w:rPr>
              <w:t>4</w:t>
            </w:r>
            <w:r w:rsidR="00BD362B" w:rsidRPr="00541431">
              <w:rPr>
                <w:rFonts w:ascii="Garamond" w:eastAsiaTheme="minorHAnsi" w:hAnsi="Garamond"/>
                <w:b/>
                <w:color w:val="222222"/>
                <w:sz w:val="20"/>
                <w:szCs w:val="20"/>
              </w:rPr>
              <w:t>9</w:t>
            </w:r>
          </w:p>
        </w:tc>
      </w:tr>
      <w:tr w:rsidR="00212718" w:rsidRPr="00541431" w14:paraId="16940E69" w14:textId="77777777" w:rsidTr="001875B7">
        <w:tc>
          <w:tcPr>
            <w:tcW w:w="2447" w:type="dxa"/>
          </w:tcPr>
          <w:p w14:paraId="7F324427" w14:textId="77777777" w:rsidR="00212718" w:rsidRPr="00541431" w:rsidRDefault="00212718" w:rsidP="00CB5412">
            <w:pPr>
              <w:spacing w:after="200" w:line="360" w:lineRule="auto"/>
              <w:jc w:val="center"/>
              <w:rPr>
                <w:rFonts w:ascii="Garamond" w:eastAsiaTheme="minorHAnsi" w:hAnsi="Garamond"/>
                <w:color w:val="222222"/>
                <w:sz w:val="20"/>
                <w:szCs w:val="20"/>
              </w:rPr>
            </w:pPr>
            <w:proofErr w:type="spellStart"/>
            <w:r w:rsidRPr="00541431">
              <w:rPr>
                <w:rFonts w:ascii="Garamond" w:eastAsiaTheme="minorHAnsi" w:hAnsi="Garamond"/>
                <w:color w:val="222222"/>
                <w:sz w:val="20"/>
                <w:szCs w:val="20"/>
              </w:rPr>
              <w:t>Others</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Domestic</w:t>
            </w:r>
            <w:proofErr w:type="spellEnd"/>
            <w:r w:rsidRPr="00541431">
              <w:rPr>
                <w:rFonts w:ascii="Garamond" w:eastAsiaTheme="minorHAnsi" w:hAnsi="Garamond"/>
                <w:color w:val="222222"/>
                <w:sz w:val="20"/>
                <w:szCs w:val="20"/>
              </w:rPr>
              <w:t xml:space="preserve"> </w:t>
            </w:r>
            <w:proofErr w:type="spellStart"/>
            <w:r w:rsidRPr="00541431">
              <w:rPr>
                <w:rFonts w:ascii="Garamond" w:eastAsiaTheme="minorHAnsi" w:hAnsi="Garamond"/>
                <w:color w:val="222222"/>
                <w:sz w:val="20"/>
                <w:szCs w:val="20"/>
              </w:rPr>
              <w:t>Violence</w:t>
            </w:r>
            <w:proofErr w:type="spellEnd"/>
          </w:p>
        </w:tc>
        <w:tc>
          <w:tcPr>
            <w:tcW w:w="2158" w:type="dxa"/>
          </w:tcPr>
          <w:p w14:paraId="5EE1CF98" w14:textId="6B261FEE"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hAnsi="Garamond"/>
                <w:b/>
                <w:sz w:val="20"/>
                <w:szCs w:val="20"/>
              </w:rPr>
              <w:t>409</w:t>
            </w:r>
          </w:p>
        </w:tc>
        <w:tc>
          <w:tcPr>
            <w:tcW w:w="2158" w:type="dxa"/>
          </w:tcPr>
          <w:p w14:paraId="1638A80F" w14:textId="62E50198" w:rsidR="00212718" w:rsidRPr="00541431" w:rsidRDefault="00212718" w:rsidP="00CB5412">
            <w:pPr>
              <w:spacing w:after="200" w:line="360" w:lineRule="auto"/>
              <w:jc w:val="center"/>
              <w:rPr>
                <w:rFonts w:ascii="Garamond" w:eastAsiaTheme="minorHAnsi" w:hAnsi="Garamond"/>
                <w:b/>
                <w:color w:val="222222"/>
                <w:sz w:val="20"/>
                <w:szCs w:val="20"/>
              </w:rPr>
            </w:pPr>
            <w:r w:rsidRPr="00541431">
              <w:rPr>
                <w:rFonts w:ascii="Garamond" w:eastAsiaTheme="minorHAnsi" w:hAnsi="Garamond"/>
                <w:b/>
                <w:color w:val="222222"/>
                <w:sz w:val="20"/>
                <w:szCs w:val="20"/>
              </w:rPr>
              <w:t>40</w:t>
            </w:r>
            <w:r w:rsidR="00BD362B" w:rsidRPr="00541431">
              <w:rPr>
                <w:rFonts w:ascii="Garamond" w:eastAsiaTheme="minorHAnsi" w:hAnsi="Garamond"/>
                <w:b/>
                <w:color w:val="222222"/>
                <w:sz w:val="20"/>
                <w:szCs w:val="20"/>
              </w:rPr>
              <w:t>3</w:t>
            </w:r>
          </w:p>
        </w:tc>
      </w:tr>
    </w:tbl>
    <w:p w14:paraId="48F98625" w14:textId="77777777" w:rsidR="007F3E3E" w:rsidRPr="00541431" w:rsidRDefault="007F3E3E" w:rsidP="00CB5412">
      <w:pPr>
        <w:spacing w:after="200" w:line="360" w:lineRule="auto"/>
        <w:ind w:firstLine="708"/>
        <w:jc w:val="center"/>
        <w:rPr>
          <w:rFonts w:ascii="Garamond" w:eastAsiaTheme="minorHAnsi" w:hAnsi="Garamond"/>
          <w:color w:val="222222"/>
        </w:rPr>
      </w:pPr>
    </w:p>
    <w:p w14:paraId="6A9EA57C" w14:textId="67ACE9D0" w:rsidR="00681B54" w:rsidRDefault="00681B54" w:rsidP="00CB5412">
      <w:pPr>
        <w:spacing w:after="200" w:line="360" w:lineRule="auto"/>
        <w:ind w:firstLine="708"/>
        <w:jc w:val="both"/>
        <w:rPr>
          <w:rFonts w:ascii="Garamond" w:hAnsi="Garamond"/>
          <w:lang w:val="en-GB" w:eastAsia="en-US"/>
        </w:rPr>
      </w:pPr>
      <w:r>
        <w:rPr>
          <w:rFonts w:ascii="Garamond" w:hAnsi="Garamond"/>
          <w:lang w:val="en-GB" w:eastAsia="en-US"/>
        </w:rPr>
        <w:t>The latest update refers to a total number of 1.845 convictions in 2018 (although no detailed numbers according to the types of domestic violence are available yet)</w:t>
      </w:r>
      <w:r>
        <w:rPr>
          <w:rStyle w:val="Refdenotaderodap"/>
          <w:rFonts w:ascii="Garamond" w:hAnsi="Garamond"/>
          <w:lang w:val="en-GB" w:eastAsia="en-US"/>
        </w:rPr>
        <w:footnoteReference w:id="5"/>
      </w:r>
      <w:r>
        <w:rPr>
          <w:rFonts w:ascii="Garamond" w:hAnsi="Garamond"/>
          <w:lang w:val="en-GB" w:eastAsia="en-US"/>
        </w:rPr>
        <w:t>.</w:t>
      </w:r>
    </w:p>
    <w:p w14:paraId="2F0BC41B" w14:textId="04835846" w:rsidR="00E620E0" w:rsidRPr="00541431" w:rsidRDefault="00D661A7" w:rsidP="00CB5412">
      <w:pPr>
        <w:spacing w:after="200" w:line="360" w:lineRule="auto"/>
        <w:ind w:firstLine="708"/>
        <w:jc w:val="both"/>
        <w:rPr>
          <w:rFonts w:ascii="Garamond" w:hAnsi="Garamond"/>
          <w:lang w:val="en-GB" w:eastAsia="en-US"/>
        </w:rPr>
      </w:pPr>
      <w:r w:rsidRPr="00541431">
        <w:rPr>
          <w:rFonts w:ascii="Garamond" w:hAnsi="Garamond"/>
          <w:lang w:val="en-GB" w:eastAsia="en-US"/>
        </w:rPr>
        <w:t xml:space="preserve">Although it is worth noting that the State has been developing several measures aimed </w:t>
      </w:r>
      <w:r w:rsidR="008F7EB0" w:rsidRPr="00541431">
        <w:rPr>
          <w:rFonts w:ascii="Garamond" w:hAnsi="Garamond"/>
          <w:lang w:val="en-GB" w:eastAsia="en-US"/>
        </w:rPr>
        <w:t>at raising</w:t>
      </w:r>
      <w:r w:rsidRPr="00541431">
        <w:rPr>
          <w:rFonts w:ascii="Garamond" w:hAnsi="Garamond"/>
          <w:lang w:val="en-GB" w:eastAsia="en-US"/>
        </w:rPr>
        <w:t xml:space="preserve"> awareness on domestic violence against women, some victims remain </w:t>
      </w:r>
      <w:r w:rsidR="00E40BFB" w:rsidRPr="00541431">
        <w:rPr>
          <w:rFonts w:ascii="Garamond" w:hAnsi="Garamond"/>
          <w:lang w:val="en-GB" w:eastAsia="en-US"/>
        </w:rPr>
        <w:t>less visible</w:t>
      </w:r>
      <w:r w:rsidRPr="00541431">
        <w:rPr>
          <w:rFonts w:ascii="Garamond" w:hAnsi="Garamond"/>
          <w:lang w:val="en-GB" w:eastAsia="en-US"/>
        </w:rPr>
        <w:t xml:space="preserve">. </w:t>
      </w:r>
      <w:r w:rsidR="00082FA3" w:rsidRPr="00541431">
        <w:rPr>
          <w:rFonts w:ascii="Garamond" w:hAnsi="Garamond"/>
          <w:lang w:val="en-GB" w:eastAsia="en-US"/>
        </w:rPr>
        <w:t xml:space="preserve">That is the case of older </w:t>
      </w:r>
      <w:r w:rsidR="00541431" w:rsidRPr="00541431">
        <w:rPr>
          <w:rFonts w:ascii="Garamond" w:hAnsi="Garamond"/>
          <w:lang w:val="en-GB" w:eastAsia="en-US"/>
        </w:rPr>
        <w:t>women</w:t>
      </w:r>
      <w:r w:rsidR="00082FA3" w:rsidRPr="00541431">
        <w:rPr>
          <w:rFonts w:ascii="Garamond" w:hAnsi="Garamond"/>
          <w:lang w:val="en-GB" w:eastAsia="en-US"/>
        </w:rPr>
        <w:t>, who</w:t>
      </w:r>
      <w:r w:rsidR="00D051A0" w:rsidRPr="00541431">
        <w:rPr>
          <w:rFonts w:ascii="Garamond" w:hAnsi="Garamond"/>
          <w:lang w:val="en-GB" w:eastAsia="en-US"/>
        </w:rPr>
        <w:t xml:space="preserve"> are also particularly vulnerable to fall victim</w:t>
      </w:r>
      <w:r w:rsidR="00476AB6" w:rsidRPr="00541431">
        <w:rPr>
          <w:rFonts w:ascii="Garamond" w:hAnsi="Garamond"/>
          <w:lang w:val="en-GB" w:eastAsia="en-US"/>
        </w:rPr>
        <w:t>s</w:t>
      </w:r>
      <w:r w:rsidR="00D051A0" w:rsidRPr="00541431">
        <w:rPr>
          <w:rFonts w:ascii="Garamond" w:hAnsi="Garamond"/>
          <w:lang w:val="en-GB" w:eastAsia="en-US"/>
        </w:rPr>
        <w:t xml:space="preserve"> of </w:t>
      </w:r>
      <w:r w:rsidR="004528B2" w:rsidRPr="00541431">
        <w:rPr>
          <w:rFonts w:ascii="Garamond" w:hAnsi="Garamond"/>
          <w:lang w:val="en-GB" w:eastAsia="en-US"/>
        </w:rPr>
        <w:t>such</w:t>
      </w:r>
      <w:r w:rsidR="00D051A0" w:rsidRPr="00541431">
        <w:rPr>
          <w:rFonts w:ascii="Garamond" w:hAnsi="Garamond"/>
          <w:lang w:val="en-GB" w:eastAsia="en-US"/>
        </w:rPr>
        <w:t xml:space="preserve"> crime</w:t>
      </w:r>
      <w:r w:rsidR="00082FA3" w:rsidRPr="00541431">
        <w:rPr>
          <w:rFonts w:ascii="Garamond" w:hAnsi="Garamond"/>
          <w:lang w:val="en-GB" w:eastAsia="en-US"/>
        </w:rPr>
        <w:t xml:space="preserve">. </w:t>
      </w:r>
      <w:r w:rsidR="00BC0825" w:rsidRPr="00BC0825">
        <w:rPr>
          <w:rFonts w:ascii="Garamond" w:hAnsi="Garamond"/>
          <w:lang w:val="en-GB" w:eastAsia="en-US"/>
        </w:rPr>
        <w:t xml:space="preserve">In 2018, the Hotline for Older Persons, run by the Ombudsman, received 39 calls reporting cases of domestic violence. Moreover, they are also particular vulnerable to other types of ill-treatment. The Ombudsman received 76 phone calls on abuse (whether perpetrated by the family or by the </w:t>
      </w:r>
      <w:r w:rsidR="00BC0825" w:rsidRPr="00BC0825">
        <w:rPr>
          <w:rFonts w:ascii="Garamond" w:hAnsi="Garamond"/>
          <w:lang w:val="en-GB" w:eastAsia="en-US"/>
        </w:rPr>
        <w:lastRenderedPageBreak/>
        <w:t xml:space="preserve">Institutions), 96 calls reporting negligence of care, 27 calls on material and financial abuse, and 10 calls on abandonment. </w:t>
      </w:r>
      <w:r w:rsidR="00D051A0" w:rsidRPr="00541431">
        <w:rPr>
          <w:rFonts w:ascii="Garamond" w:hAnsi="Garamond"/>
          <w:lang w:val="en-GB" w:eastAsia="en-US"/>
        </w:rPr>
        <w:t>I</w:t>
      </w:r>
      <w:r w:rsidR="00082FA3" w:rsidRPr="00541431">
        <w:rPr>
          <w:rFonts w:ascii="Garamond" w:hAnsi="Garamond"/>
          <w:lang w:val="en-GB" w:eastAsia="en-US"/>
        </w:rPr>
        <w:t>n 201</w:t>
      </w:r>
      <w:r w:rsidR="00D41B62">
        <w:rPr>
          <w:rFonts w:ascii="Garamond" w:hAnsi="Garamond"/>
          <w:lang w:val="en-GB" w:eastAsia="en-US"/>
        </w:rPr>
        <w:t>9</w:t>
      </w:r>
      <w:r w:rsidR="00082FA3" w:rsidRPr="00541431">
        <w:rPr>
          <w:rFonts w:ascii="Garamond" w:hAnsi="Garamond"/>
          <w:lang w:val="en-GB" w:eastAsia="en-US"/>
        </w:rPr>
        <w:t xml:space="preserve">, </w:t>
      </w:r>
      <w:r w:rsidR="00BC0825">
        <w:rPr>
          <w:rFonts w:ascii="Garamond" w:hAnsi="Garamond"/>
          <w:lang w:val="en-GB" w:eastAsia="en-US"/>
        </w:rPr>
        <w:t>there were</w:t>
      </w:r>
      <w:r w:rsidR="00082FA3" w:rsidRPr="00541431">
        <w:rPr>
          <w:rFonts w:ascii="Garamond" w:hAnsi="Garamond"/>
          <w:lang w:val="en-GB" w:eastAsia="en-US"/>
        </w:rPr>
        <w:t xml:space="preserve"> </w:t>
      </w:r>
      <w:r w:rsidR="00D41B62">
        <w:rPr>
          <w:rFonts w:ascii="Garamond" w:hAnsi="Garamond"/>
          <w:lang w:val="en-GB" w:eastAsia="en-US"/>
        </w:rPr>
        <w:t xml:space="preserve">63 </w:t>
      </w:r>
      <w:r w:rsidR="00476AB6" w:rsidRPr="00541431">
        <w:rPr>
          <w:rFonts w:ascii="Garamond" w:hAnsi="Garamond"/>
          <w:lang w:val="en-GB" w:eastAsia="en-US"/>
        </w:rPr>
        <w:t>calls reporting cases of domestic violence</w:t>
      </w:r>
      <w:r w:rsidR="00BC0825">
        <w:rPr>
          <w:rFonts w:ascii="Garamond" w:hAnsi="Garamond"/>
          <w:lang w:val="en-GB" w:eastAsia="en-US"/>
        </w:rPr>
        <w:t xml:space="preserve">, which represented an </w:t>
      </w:r>
      <w:r w:rsidR="00F67A0B">
        <w:rPr>
          <w:rFonts w:ascii="Garamond" w:hAnsi="Garamond"/>
          <w:lang w:val="en-GB" w:eastAsia="en-US"/>
        </w:rPr>
        <w:t xml:space="preserve">big </w:t>
      </w:r>
      <w:r w:rsidR="00BC0825">
        <w:rPr>
          <w:rFonts w:ascii="Garamond" w:hAnsi="Garamond"/>
          <w:lang w:val="en-GB" w:eastAsia="en-US"/>
        </w:rPr>
        <w:t>increase comparing to 2018</w:t>
      </w:r>
      <w:r w:rsidR="00476AB6" w:rsidRPr="00541431">
        <w:rPr>
          <w:rFonts w:ascii="Garamond" w:hAnsi="Garamond"/>
          <w:lang w:val="en-GB" w:eastAsia="en-US"/>
        </w:rPr>
        <w:t xml:space="preserve">. </w:t>
      </w:r>
      <w:r w:rsidR="00BC0825">
        <w:rPr>
          <w:rFonts w:ascii="Garamond" w:hAnsi="Garamond"/>
          <w:lang w:val="en-GB" w:eastAsia="en-US"/>
        </w:rPr>
        <w:t xml:space="preserve">As for other types of ill-treatment, there were also more cases in 2019, which reached a total of </w:t>
      </w:r>
      <w:r w:rsidR="00ED70DC">
        <w:rPr>
          <w:rFonts w:ascii="Garamond" w:hAnsi="Garamond"/>
          <w:lang w:val="en-GB" w:eastAsia="en-US"/>
        </w:rPr>
        <w:t>218 (121 calls on negligence of care, 44 on physical and emotional abuse, 42 calls on material and financial abuse, and 11 calls on abandonment)</w:t>
      </w:r>
      <w:r w:rsidR="007F7205" w:rsidRPr="00541431">
        <w:rPr>
          <w:rFonts w:ascii="Garamond" w:hAnsi="Garamond"/>
          <w:lang w:val="en-GB" w:eastAsia="en-US"/>
        </w:rPr>
        <w:t xml:space="preserve">. </w:t>
      </w:r>
    </w:p>
    <w:p w14:paraId="43FC49C6" w14:textId="16237CFC" w:rsidR="009D0BC6" w:rsidRPr="00541431" w:rsidRDefault="009D0BC6" w:rsidP="00CB5412">
      <w:pPr>
        <w:spacing w:after="200" w:line="360" w:lineRule="auto"/>
        <w:ind w:firstLine="708"/>
        <w:jc w:val="both"/>
        <w:rPr>
          <w:rFonts w:ascii="Garamond" w:hAnsi="Garamond"/>
          <w:lang w:val="en-GB" w:eastAsia="en-US"/>
        </w:rPr>
      </w:pPr>
      <w:r w:rsidRPr="00541431">
        <w:rPr>
          <w:rFonts w:ascii="Garamond" w:eastAsiaTheme="minorHAnsi" w:hAnsi="Garamond"/>
          <w:color w:val="222222"/>
          <w:lang w:val="en-US"/>
        </w:rPr>
        <w:t xml:space="preserve">Children affected by domestic violence in the household </w:t>
      </w:r>
      <w:r w:rsidR="00F67A0B">
        <w:rPr>
          <w:rFonts w:ascii="Garamond" w:eastAsiaTheme="minorHAnsi" w:hAnsi="Garamond"/>
          <w:color w:val="222222"/>
          <w:lang w:val="en-US"/>
        </w:rPr>
        <w:t xml:space="preserve">also </w:t>
      </w:r>
      <w:r w:rsidRPr="00541431">
        <w:rPr>
          <w:rFonts w:ascii="Garamond" w:eastAsiaTheme="minorHAnsi" w:hAnsi="Garamond"/>
          <w:color w:val="222222"/>
          <w:lang w:val="en-US"/>
        </w:rPr>
        <w:t xml:space="preserve">remain </w:t>
      </w:r>
      <w:r w:rsidR="0010068F" w:rsidRPr="00541431">
        <w:rPr>
          <w:rFonts w:ascii="Garamond" w:eastAsiaTheme="minorHAnsi" w:hAnsi="Garamond"/>
          <w:color w:val="222222"/>
          <w:lang w:val="en-US"/>
        </w:rPr>
        <w:t xml:space="preserve">particularly fragile. </w:t>
      </w:r>
      <w:r w:rsidR="00ED70DC">
        <w:rPr>
          <w:rFonts w:ascii="Garamond" w:eastAsiaTheme="minorHAnsi" w:hAnsi="Garamond"/>
          <w:color w:val="222222"/>
          <w:lang w:val="en-US"/>
        </w:rPr>
        <w:t>A</w:t>
      </w:r>
      <w:r w:rsidRPr="00541431">
        <w:rPr>
          <w:rFonts w:ascii="Garamond" w:eastAsiaTheme="minorHAnsi" w:hAnsi="Garamond"/>
          <w:color w:val="222222"/>
          <w:lang w:val="en-US"/>
        </w:rPr>
        <w:t>ccording to</w:t>
      </w:r>
      <w:r w:rsidR="000C1112" w:rsidRPr="00541431">
        <w:rPr>
          <w:rFonts w:ascii="Garamond" w:eastAsiaTheme="minorHAnsi" w:hAnsi="Garamond"/>
          <w:color w:val="222222"/>
          <w:lang w:val="en-US"/>
        </w:rPr>
        <w:t xml:space="preserve"> </w:t>
      </w:r>
      <w:r w:rsidRPr="00541431">
        <w:rPr>
          <w:rFonts w:ascii="Garamond" w:eastAsiaTheme="minorHAnsi" w:hAnsi="Garamond"/>
          <w:color w:val="222222"/>
          <w:lang w:val="en-US"/>
        </w:rPr>
        <w:t>annual reports of the National C</w:t>
      </w:r>
      <w:r w:rsidR="0010068F" w:rsidRPr="00541431">
        <w:rPr>
          <w:rFonts w:ascii="Garamond" w:eastAsiaTheme="minorHAnsi" w:hAnsi="Garamond"/>
          <w:color w:val="222222"/>
          <w:lang w:val="en-US"/>
        </w:rPr>
        <w:t>ommission for the Promotion of R</w:t>
      </w:r>
      <w:r w:rsidRPr="00541431">
        <w:rPr>
          <w:rFonts w:ascii="Garamond" w:eastAsiaTheme="minorHAnsi" w:hAnsi="Garamond"/>
          <w:color w:val="222222"/>
          <w:lang w:val="en-US"/>
        </w:rPr>
        <w:t>ights and the Protection of Children and Youth, in 2017</w:t>
      </w:r>
      <w:r w:rsidR="0010068F" w:rsidRPr="00541431">
        <w:rPr>
          <w:rFonts w:ascii="Garamond" w:eastAsiaTheme="minorHAnsi" w:hAnsi="Garamond"/>
          <w:color w:val="222222"/>
          <w:lang w:val="en-US"/>
        </w:rPr>
        <w:t xml:space="preserve"> there were</w:t>
      </w:r>
      <w:r w:rsidRPr="00541431">
        <w:rPr>
          <w:rFonts w:ascii="Garamond" w:eastAsiaTheme="minorHAnsi" w:hAnsi="Garamond"/>
          <w:color w:val="222222"/>
          <w:lang w:val="en-US"/>
        </w:rPr>
        <w:t xml:space="preserve"> 8.695 children exposed to domestic</w:t>
      </w:r>
      <w:r w:rsidR="0010068F" w:rsidRPr="00541431">
        <w:rPr>
          <w:rFonts w:ascii="Garamond" w:eastAsiaTheme="minorHAnsi" w:hAnsi="Garamond"/>
          <w:color w:val="222222"/>
          <w:lang w:val="en-US"/>
        </w:rPr>
        <w:t xml:space="preserve"> violence</w:t>
      </w:r>
      <w:r w:rsidRPr="00541431">
        <w:rPr>
          <w:rFonts w:ascii="Garamond" w:eastAsiaTheme="minorHAnsi" w:hAnsi="Garamond"/>
          <w:color w:val="222222"/>
          <w:lang w:val="en-US"/>
        </w:rPr>
        <w:t>.</w:t>
      </w:r>
      <w:r w:rsidR="00B124E5">
        <w:rPr>
          <w:rFonts w:ascii="Garamond" w:eastAsiaTheme="minorHAnsi" w:hAnsi="Garamond"/>
          <w:color w:val="222222"/>
          <w:lang w:val="en-US"/>
        </w:rPr>
        <w:t xml:space="preserve"> In 2018, this number rose to 8.801.</w:t>
      </w:r>
      <w:r w:rsidRPr="00541431">
        <w:rPr>
          <w:rFonts w:ascii="Garamond" w:eastAsiaTheme="minorHAnsi" w:hAnsi="Garamond"/>
          <w:color w:val="222222"/>
          <w:lang w:val="en-US"/>
        </w:rPr>
        <w:t xml:space="preserve"> </w:t>
      </w:r>
      <w:r w:rsidR="00ED70DC">
        <w:rPr>
          <w:rFonts w:ascii="Garamond" w:hAnsi="Garamond"/>
          <w:lang w:val="en-GB" w:eastAsia="en-US"/>
        </w:rPr>
        <w:t xml:space="preserve">The </w:t>
      </w:r>
      <w:r w:rsidR="0010068F" w:rsidRPr="00541431">
        <w:rPr>
          <w:rFonts w:ascii="Garamond" w:hAnsi="Garamond"/>
          <w:lang w:val="en-GB" w:eastAsia="en-US"/>
        </w:rPr>
        <w:t xml:space="preserve">Children Hotline, run by the </w:t>
      </w:r>
      <w:r w:rsidR="00D219B2" w:rsidRPr="00541431">
        <w:rPr>
          <w:rFonts w:ascii="Garamond" w:hAnsi="Garamond"/>
          <w:lang w:val="en-GB" w:eastAsia="en-US"/>
        </w:rPr>
        <w:t>O</w:t>
      </w:r>
      <w:r w:rsidR="007D4AD5" w:rsidRPr="00541431">
        <w:rPr>
          <w:rFonts w:ascii="Garamond" w:hAnsi="Garamond"/>
          <w:lang w:val="en-GB" w:eastAsia="en-US"/>
        </w:rPr>
        <w:t>mbudsman</w:t>
      </w:r>
      <w:r w:rsidR="0010068F" w:rsidRPr="00541431">
        <w:rPr>
          <w:rFonts w:ascii="Garamond" w:hAnsi="Garamond"/>
          <w:lang w:val="en-GB" w:eastAsia="en-US"/>
        </w:rPr>
        <w:t>, received</w:t>
      </w:r>
      <w:r w:rsidR="00ED70DC">
        <w:rPr>
          <w:rFonts w:ascii="Garamond" w:hAnsi="Garamond"/>
          <w:lang w:val="en-GB" w:eastAsia="en-US"/>
        </w:rPr>
        <w:t xml:space="preserve">, in 2018, </w:t>
      </w:r>
      <w:r w:rsidR="00BC0825" w:rsidRPr="00BC0825">
        <w:rPr>
          <w:rFonts w:ascii="Garamond" w:hAnsi="Garamond"/>
          <w:lang w:val="en-GB" w:eastAsia="en-US"/>
        </w:rPr>
        <w:t>10 calls reporting cases of expos</w:t>
      </w:r>
      <w:r w:rsidR="00BC0825">
        <w:rPr>
          <w:rFonts w:ascii="Garamond" w:hAnsi="Garamond"/>
          <w:lang w:val="en-GB" w:eastAsia="en-US"/>
        </w:rPr>
        <w:t>ure</w:t>
      </w:r>
      <w:r w:rsidR="00BC0825" w:rsidRPr="00BC0825">
        <w:rPr>
          <w:rFonts w:ascii="Garamond" w:hAnsi="Garamond"/>
          <w:lang w:val="en-GB" w:eastAsia="en-US"/>
        </w:rPr>
        <w:t xml:space="preserve"> of children to domestic violence</w:t>
      </w:r>
      <w:r w:rsidR="00BC0825">
        <w:rPr>
          <w:rFonts w:ascii="Garamond" w:hAnsi="Garamond"/>
          <w:lang w:val="en-GB" w:eastAsia="en-US"/>
        </w:rPr>
        <w:t xml:space="preserve"> and</w:t>
      </w:r>
      <w:r w:rsidR="00BC0825" w:rsidRPr="00BC0825">
        <w:rPr>
          <w:rFonts w:ascii="Garamond" w:hAnsi="Garamond"/>
          <w:lang w:val="en-GB" w:eastAsia="en-US"/>
        </w:rPr>
        <w:t xml:space="preserve"> 102 calls on ill-treatment and negligence</w:t>
      </w:r>
      <w:r w:rsidR="00BC0825">
        <w:rPr>
          <w:rFonts w:ascii="Garamond" w:hAnsi="Garamond"/>
          <w:lang w:val="en-GB" w:eastAsia="en-US"/>
        </w:rPr>
        <w:t>. As for 2</w:t>
      </w:r>
      <w:r w:rsidR="00ED70DC">
        <w:rPr>
          <w:rFonts w:ascii="Garamond" w:hAnsi="Garamond"/>
          <w:lang w:val="en-GB" w:eastAsia="en-US"/>
        </w:rPr>
        <w:t>019, the numbers were</w:t>
      </w:r>
      <w:r w:rsidR="00BC0825">
        <w:rPr>
          <w:rFonts w:ascii="Garamond" w:hAnsi="Garamond"/>
          <w:lang w:val="en-GB" w:eastAsia="en-US"/>
        </w:rPr>
        <w:t xml:space="preserve"> of</w:t>
      </w:r>
      <w:r w:rsidR="00D41B62">
        <w:rPr>
          <w:rFonts w:ascii="Garamond" w:hAnsi="Garamond"/>
          <w:lang w:val="en-GB" w:eastAsia="en-US"/>
        </w:rPr>
        <w:t xml:space="preserve"> </w:t>
      </w:r>
      <w:r w:rsidR="00BC0825">
        <w:rPr>
          <w:rFonts w:ascii="Garamond" w:hAnsi="Garamond"/>
          <w:lang w:val="en-GB" w:eastAsia="en-US"/>
        </w:rPr>
        <w:t xml:space="preserve">5 calls on exposure to domestic violence, and 116 calls on other types of ill-treatment, including sexual abuse, and negligence. </w:t>
      </w:r>
    </w:p>
    <w:p w14:paraId="708AB7EE" w14:textId="14583921" w:rsidR="000A5959" w:rsidRPr="00541431" w:rsidRDefault="000A5959" w:rsidP="00CB5412">
      <w:pPr>
        <w:spacing w:after="200" w:line="360" w:lineRule="auto"/>
        <w:ind w:firstLine="708"/>
        <w:jc w:val="both"/>
        <w:rPr>
          <w:rFonts w:ascii="Garamond" w:eastAsiaTheme="minorHAnsi" w:hAnsi="Garamond"/>
          <w:color w:val="222222"/>
          <w:lang w:val="en-US"/>
        </w:rPr>
      </w:pPr>
      <w:r w:rsidRPr="00541431">
        <w:rPr>
          <w:rFonts w:ascii="Garamond" w:hAnsi="Garamond"/>
          <w:lang w:val="en-GB" w:eastAsia="en-US"/>
        </w:rPr>
        <w:t xml:space="preserve">The </w:t>
      </w:r>
      <w:r w:rsidR="00D219B2" w:rsidRPr="00541431">
        <w:rPr>
          <w:rFonts w:ascii="Garamond" w:hAnsi="Garamond"/>
          <w:lang w:val="en-GB" w:eastAsia="en-US"/>
        </w:rPr>
        <w:t>O</w:t>
      </w:r>
      <w:r w:rsidR="007D4AD5" w:rsidRPr="00541431">
        <w:rPr>
          <w:rFonts w:ascii="Garamond" w:hAnsi="Garamond"/>
          <w:lang w:val="en-GB" w:eastAsia="en-US"/>
        </w:rPr>
        <w:t>mbudsman</w:t>
      </w:r>
      <w:r w:rsidRPr="00541431">
        <w:rPr>
          <w:rFonts w:ascii="Garamond" w:hAnsi="Garamond"/>
          <w:lang w:val="en-GB" w:eastAsia="en-US"/>
        </w:rPr>
        <w:t xml:space="preserve"> also runs a Hotline for Persons with Disabilities.</w:t>
      </w:r>
      <w:r w:rsidR="00BC0825">
        <w:rPr>
          <w:rFonts w:ascii="Garamond" w:hAnsi="Garamond"/>
          <w:lang w:val="en-GB" w:eastAsia="en-US"/>
        </w:rPr>
        <w:t xml:space="preserve"> Although in 2018 there were no calls to the Hotline reporting</w:t>
      </w:r>
      <w:r w:rsidRPr="00541431">
        <w:rPr>
          <w:rFonts w:ascii="Garamond" w:hAnsi="Garamond"/>
          <w:lang w:val="en-GB" w:eastAsia="en-US"/>
        </w:rPr>
        <w:t xml:space="preserve"> </w:t>
      </w:r>
      <w:r w:rsidR="00BC0825" w:rsidRPr="00541431">
        <w:rPr>
          <w:rFonts w:ascii="Garamond" w:hAnsi="Garamond"/>
          <w:lang w:val="en-GB" w:eastAsia="en-US"/>
        </w:rPr>
        <w:t>cases of violence against these persons</w:t>
      </w:r>
      <w:r w:rsidR="00BC0825">
        <w:rPr>
          <w:rFonts w:ascii="Garamond" w:hAnsi="Garamond"/>
          <w:lang w:val="en-GB" w:eastAsia="en-US"/>
        </w:rPr>
        <w:t xml:space="preserve">, in </w:t>
      </w:r>
      <w:r w:rsidR="004B7495">
        <w:rPr>
          <w:rFonts w:ascii="Garamond" w:hAnsi="Garamond"/>
          <w:lang w:val="en-GB" w:eastAsia="en-US"/>
        </w:rPr>
        <w:t>2019 there</w:t>
      </w:r>
      <w:r w:rsidR="005755FA" w:rsidRPr="00541431">
        <w:rPr>
          <w:rFonts w:ascii="Garamond" w:hAnsi="Garamond"/>
          <w:lang w:val="en-GB" w:eastAsia="en-US"/>
        </w:rPr>
        <w:t xml:space="preserve"> </w:t>
      </w:r>
      <w:r w:rsidR="00F67A0B">
        <w:rPr>
          <w:rFonts w:ascii="Garamond" w:hAnsi="Garamond"/>
          <w:lang w:val="en-GB" w:eastAsia="en-US"/>
        </w:rPr>
        <w:t>4</w:t>
      </w:r>
      <w:r w:rsidR="004B7495">
        <w:rPr>
          <w:rFonts w:ascii="Garamond" w:hAnsi="Garamond"/>
          <w:lang w:val="en-GB" w:eastAsia="en-US"/>
        </w:rPr>
        <w:t xml:space="preserve"> calls</w:t>
      </w:r>
      <w:r w:rsidR="00BC0825">
        <w:rPr>
          <w:rFonts w:ascii="Garamond" w:hAnsi="Garamond"/>
          <w:lang w:val="en-GB" w:eastAsia="en-US"/>
        </w:rPr>
        <w:t xml:space="preserve">. The Ombudsman recalls, nonetheless, that these persons are </w:t>
      </w:r>
      <w:r w:rsidR="0041695E" w:rsidRPr="00541431">
        <w:rPr>
          <w:rFonts w:ascii="Garamond" w:hAnsi="Garamond"/>
          <w:lang w:val="en-GB" w:eastAsia="en-US"/>
        </w:rPr>
        <w:t>particularly vulnerable to this phenomenon and, in some cases, face more difficulties in reporting cases that affect them.</w:t>
      </w:r>
    </w:p>
    <w:p w14:paraId="42D3CC2D" w14:textId="3C335F9F" w:rsidR="0010068F" w:rsidRPr="00541431" w:rsidRDefault="0010068F" w:rsidP="00CB5412">
      <w:pPr>
        <w:spacing w:after="200" w:line="360" w:lineRule="auto"/>
        <w:ind w:firstLine="708"/>
        <w:jc w:val="both"/>
        <w:rPr>
          <w:rFonts w:ascii="Garamond" w:eastAsiaTheme="minorHAnsi" w:hAnsi="Garamond"/>
          <w:color w:val="222222"/>
          <w:lang w:val="en-US"/>
        </w:rPr>
      </w:pPr>
      <w:r w:rsidRPr="00541431">
        <w:rPr>
          <w:rFonts w:ascii="Garamond" w:eastAsiaTheme="minorHAnsi" w:hAnsi="Garamond"/>
          <w:color w:val="222222"/>
          <w:lang w:val="en-US"/>
        </w:rPr>
        <w:t>Finally,</w:t>
      </w:r>
      <w:r w:rsidR="005F0412" w:rsidRPr="00541431">
        <w:rPr>
          <w:rFonts w:ascii="Garamond" w:eastAsiaTheme="minorHAnsi" w:hAnsi="Garamond"/>
          <w:color w:val="222222"/>
          <w:lang w:val="en-US"/>
        </w:rPr>
        <w:t xml:space="preserve"> m</w:t>
      </w:r>
      <w:r w:rsidRPr="00541431">
        <w:rPr>
          <w:rFonts w:ascii="Garamond" w:eastAsiaTheme="minorHAnsi" w:hAnsi="Garamond"/>
          <w:color w:val="222222"/>
          <w:lang w:val="en-US"/>
        </w:rPr>
        <w:t>igrants and asylum seekers with temporary, precarious</w:t>
      </w:r>
      <w:r w:rsidR="00FD2425">
        <w:rPr>
          <w:rFonts w:ascii="Garamond" w:eastAsiaTheme="minorHAnsi" w:hAnsi="Garamond"/>
          <w:color w:val="222222"/>
          <w:lang w:val="en-US"/>
        </w:rPr>
        <w:t>,</w:t>
      </w:r>
      <w:r w:rsidRPr="00541431">
        <w:rPr>
          <w:rFonts w:ascii="Garamond" w:eastAsiaTheme="minorHAnsi" w:hAnsi="Garamond"/>
          <w:color w:val="222222"/>
          <w:lang w:val="en-US"/>
        </w:rPr>
        <w:t xml:space="preserve"> or irregular status in the country may also </w:t>
      </w:r>
      <w:r w:rsidR="00FD2425">
        <w:rPr>
          <w:rFonts w:ascii="Garamond" w:eastAsiaTheme="minorHAnsi" w:hAnsi="Garamond"/>
          <w:color w:val="222222"/>
          <w:lang w:val="en-US"/>
        </w:rPr>
        <w:t>be victims of</w:t>
      </w:r>
      <w:r w:rsidR="0041695E" w:rsidRPr="00541431">
        <w:rPr>
          <w:rFonts w:ascii="Garamond" w:eastAsiaTheme="minorHAnsi" w:hAnsi="Garamond"/>
          <w:color w:val="222222"/>
          <w:lang w:val="en-US"/>
        </w:rPr>
        <w:t xml:space="preserve"> domestic violence or other types of gender-based violence. Their situation is particularly worrisome as, due to lack of information of the Portuguese legal system</w:t>
      </w:r>
      <w:r w:rsidR="00625BC0" w:rsidRPr="00541431">
        <w:rPr>
          <w:rFonts w:ascii="Garamond" w:eastAsiaTheme="minorHAnsi" w:hAnsi="Garamond"/>
          <w:color w:val="222222"/>
          <w:lang w:val="en-US"/>
        </w:rPr>
        <w:t xml:space="preserve"> </w:t>
      </w:r>
      <w:r w:rsidR="0041695E" w:rsidRPr="00541431">
        <w:rPr>
          <w:rFonts w:ascii="Garamond" w:eastAsiaTheme="minorHAnsi" w:hAnsi="Garamond"/>
          <w:color w:val="222222"/>
          <w:lang w:val="en-US"/>
        </w:rPr>
        <w:t>or fear to report their cases to the authorities (namely for fearing deportation), they may be particularly unprotected.</w:t>
      </w:r>
    </w:p>
    <w:p w14:paraId="28ABD0EB" w14:textId="77777777" w:rsidR="000239D5" w:rsidRPr="00541431" w:rsidRDefault="000239D5" w:rsidP="00CB5412">
      <w:pPr>
        <w:spacing w:after="200" w:line="360" w:lineRule="auto"/>
        <w:ind w:firstLine="708"/>
        <w:jc w:val="both"/>
        <w:rPr>
          <w:rFonts w:ascii="Garamond" w:hAnsi="Garamond" w:cs="Arial"/>
          <w:b/>
          <w:color w:val="000000"/>
          <w:lang w:val="en-GB" w:eastAsia="en-GB"/>
        </w:rPr>
      </w:pPr>
      <w:bookmarkStart w:id="4" w:name="_Hlk31120456"/>
    </w:p>
    <w:p w14:paraId="26C273E1" w14:textId="77777777" w:rsidR="00E61495" w:rsidRDefault="00E61495" w:rsidP="00E61495">
      <w:pPr>
        <w:pStyle w:val="PargrafodaLista"/>
        <w:spacing w:line="360" w:lineRule="auto"/>
        <w:rPr>
          <w:rFonts w:ascii="Garamond" w:eastAsia="Times New Roman" w:hAnsi="Garamond" w:cs="Arial"/>
          <w:b/>
          <w:color w:val="000000"/>
          <w:sz w:val="24"/>
          <w:szCs w:val="24"/>
          <w:lang w:eastAsia="en-GB"/>
        </w:rPr>
      </w:pPr>
      <w:bookmarkStart w:id="5" w:name="_Hlk21285543"/>
      <w:bookmarkEnd w:id="4"/>
      <w:r>
        <w:rPr>
          <w:rFonts w:ascii="Garamond" w:eastAsia="Times New Roman" w:hAnsi="Garamond" w:cs="Arial"/>
          <w:b/>
          <w:color w:val="000000"/>
          <w:sz w:val="24"/>
          <w:szCs w:val="24"/>
          <w:lang w:eastAsia="en-GB"/>
        </w:rPr>
        <w:t xml:space="preserve">4. Right to life, prohibition of torture and cruel, inhuman or degrading treatment, conduct of the security forces and treatment of persons deprived of their liberty </w:t>
      </w:r>
    </w:p>
    <w:p w14:paraId="0CE43EBB" w14:textId="77777777" w:rsidR="00E61495" w:rsidRDefault="00E61495" w:rsidP="00E61495">
      <w:pPr>
        <w:pStyle w:val="PargrafodaLista"/>
        <w:spacing w:line="360" w:lineRule="auto"/>
        <w:rPr>
          <w:rFonts w:ascii="Garamond" w:eastAsia="Times New Roman" w:hAnsi="Garamond" w:cs="Arial"/>
          <w:b/>
          <w:color w:val="000000"/>
          <w:sz w:val="24"/>
          <w:szCs w:val="24"/>
          <w:lang w:eastAsia="en-GB"/>
        </w:rPr>
      </w:pPr>
      <w:r>
        <w:rPr>
          <w:rFonts w:ascii="Garamond" w:eastAsia="Times New Roman" w:hAnsi="Garamond" w:cs="Arial"/>
          <w:b/>
          <w:color w:val="000000"/>
          <w:sz w:val="24"/>
          <w:szCs w:val="24"/>
          <w:lang w:eastAsia="en-GB"/>
        </w:rPr>
        <w:t>(arts. 6, 7 and 10)</w:t>
      </w:r>
    </w:p>
    <w:p w14:paraId="2B47440E" w14:textId="77777777" w:rsidR="00E61495" w:rsidRDefault="00E61495" w:rsidP="00E61495">
      <w:pPr>
        <w:spacing w:line="360" w:lineRule="auto"/>
        <w:ind w:firstLine="708"/>
        <w:rPr>
          <w:rFonts w:ascii="Garamond" w:hAnsi="Garamond"/>
          <w:lang w:val="en-GB" w:eastAsia="en-US"/>
        </w:rPr>
      </w:pPr>
    </w:p>
    <w:p w14:paraId="680AA8CC" w14:textId="77777777" w:rsidR="00E61495" w:rsidRDefault="00E61495" w:rsidP="00E61495">
      <w:pPr>
        <w:spacing w:line="360" w:lineRule="auto"/>
        <w:ind w:firstLine="708"/>
        <w:rPr>
          <w:rFonts w:ascii="Garamond" w:hAnsi="Garamond"/>
          <w:b/>
          <w:i/>
          <w:u w:val="single"/>
          <w:lang w:val="en-US" w:eastAsia="en-US"/>
        </w:rPr>
      </w:pPr>
      <w:r>
        <w:rPr>
          <w:rFonts w:ascii="Garamond" w:hAnsi="Garamond"/>
          <w:b/>
          <w:i/>
          <w:u w:val="single"/>
          <w:lang w:val="en-US" w:eastAsia="en-US"/>
        </w:rPr>
        <w:t>Issues 14 and 15:</w:t>
      </w:r>
    </w:p>
    <w:p w14:paraId="5421ED39" w14:textId="77777777" w:rsidR="00E61495" w:rsidRDefault="00E61495" w:rsidP="00E61495">
      <w:pPr>
        <w:spacing w:line="360" w:lineRule="auto"/>
        <w:ind w:firstLine="708"/>
        <w:jc w:val="both"/>
        <w:rPr>
          <w:rFonts w:ascii="Garamond" w:hAnsi="Garamond"/>
          <w:lang w:val="en-US"/>
        </w:rPr>
      </w:pPr>
      <w:r>
        <w:rPr>
          <w:rFonts w:ascii="Garamond" w:hAnsi="Garamond"/>
          <w:lang w:val="en-US"/>
        </w:rPr>
        <w:t xml:space="preserve">The NPM acknowledges that the time of apprehension and the first days of detention – either with time spent in police stations or in detention </w:t>
      </w:r>
      <w:proofErr w:type="spellStart"/>
      <w:r>
        <w:rPr>
          <w:rFonts w:ascii="Garamond" w:hAnsi="Garamond"/>
          <w:lang w:val="en-US"/>
        </w:rPr>
        <w:t>centres</w:t>
      </w:r>
      <w:proofErr w:type="spellEnd"/>
      <w:r>
        <w:rPr>
          <w:rFonts w:ascii="Garamond" w:hAnsi="Garamond"/>
          <w:lang w:val="en-US"/>
        </w:rPr>
        <w:t xml:space="preserve"> – are particularly sensitive with </w:t>
      </w:r>
      <w:r>
        <w:rPr>
          <w:rFonts w:ascii="Garamond" w:hAnsi="Garamond"/>
          <w:lang w:val="en-US"/>
        </w:rPr>
        <w:lastRenderedPageBreak/>
        <w:t>regards to the risk of torture and ill-treatment. These are moments in which the appropriate use of force and firearms by law enforcement and security forces is of key importance. The NPM monitors these situations by visiting police stations and interviewing persons deprived of their liberty therein. In addition, in its prison visits, the NPM seeks to talk to those that have most recently arrived into custody. The NPM has heard some complaints related to the use of force by the police, in particular related to the unnecessary use of handcuffs. Recognizing the difficult balance between protecting the rights of the individual and security concerns, the NPM stresses the need to ensure maximum respect for the rights of all by restricting the use of</w:t>
      </w:r>
      <w:r>
        <w:rPr>
          <w:rFonts w:ascii="Garamond" w:hAnsi="Garamond"/>
          <w:b/>
          <w:lang w:val="en-US"/>
        </w:rPr>
        <w:t xml:space="preserve"> </w:t>
      </w:r>
      <w:r>
        <w:rPr>
          <w:rFonts w:ascii="Garamond" w:hAnsi="Garamond"/>
          <w:lang w:val="en-US"/>
        </w:rPr>
        <w:t xml:space="preserve">force to the minimum required and necessary in the particular case, taking into account the proportionality and seriousness of the offense. </w:t>
      </w:r>
    </w:p>
    <w:p w14:paraId="34967B73" w14:textId="77777777" w:rsidR="00E61495" w:rsidRDefault="00E61495" w:rsidP="00E61495">
      <w:pPr>
        <w:spacing w:line="360" w:lineRule="auto"/>
        <w:jc w:val="both"/>
        <w:rPr>
          <w:rFonts w:ascii="Garamond" w:hAnsi="Garamond"/>
          <w:lang w:val="en-US"/>
        </w:rPr>
      </w:pPr>
    </w:p>
    <w:p w14:paraId="0C0AB928" w14:textId="77777777" w:rsidR="00E61495" w:rsidRDefault="00E61495" w:rsidP="00E61495">
      <w:pPr>
        <w:spacing w:line="360" w:lineRule="auto"/>
        <w:ind w:firstLine="708"/>
        <w:jc w:val="both"/>
        <w:rPr>
          <w:rFonts w:ascii="Garamond" w:hAnsi="Garamond"/>
          <w:lang w:val="en-US"/>
        </w:rPr>
      </w:pPr>
      <w:r>
        <w:rPr>
          <w:rFonts w:ascii="Garamond" w:hAnsi="Garamond"/>
          <w:lang w:val="en-US"/>
        </w:rPr>
        <w:t xml:space="preserve">Furthermore, the NPM recalls that instances of ill-treatment include but are not limited to abuses in the use of force by the authorities. Degrading material conditions and uncertain or punitive regimes of detention, witnessed by the NPM in some of its visits, are also within the topics to be considered in this context. </w:t>
      </w:r>
    </w:p>
    <w:p w14:paraId="126DE6DC" w14:textId="77777777" w:rsidR="00E61495" w:rsidRDefault="00E61495" w:rsidP="00E61495">
      <w:pPr>
        <w:spacing w:line="360" w:lineRule="auto"/>
        <w:jc w:val="both"/>
        <w:rPr>
          <w:rFonts w:ascii="Garamond" w:hAnsi="Garamond"/>
          <w:lang w:val="en-US"/>
        </w:rPr>
      </w:pPr>
    </w:p>
    <w:p w14:paraId="1D3E49A9" w14:textId="77777777" w:rsidR="00E61495" w:rsidRDefault="00E61495" w:rsidP="00E61495">
      <w:pPr>
        <w:spacing w:line="360" w:lineRule="auto"/>
        <w:ind w:firstLine="708"/>
        <w:jc w:val="both"/>
        <w:rPr>
          <w:rFonts w:ascii="Garamond" w:hAnsi="Garamond"/>
          <w:lang w:val="en-US"/>
        </w:rPr>
      </w:pPr>
      <w:r>
        <w:rPr>
          <w:rFonts w:ascii="Garamond" w:hAnsi="Garamond"/>
          <w:lang w:val="en-US"/>
        </w:rPr>
        <w:t>In police stations, conditions of cells are often very poor, with insufficient ventilation and lack to access to natural light or even artificial light. During these visits, the NPM observed that there are no clear rules regarding access to outdoor exercise for persons detained for 24 hours or more, being these rights granted on a case-by-case basis. Besides poor conditions of cells, some of these places lack privacy for detainees awaiting identification and interrogation, leading to unnecessary exposure of people who are already vulnerable, exacerbating the psychological pressure that these moments tend to generate. The NPM also recognizes the need to provide better working conditions for agents.</w:t>
      </w:r>
    </w:p>
    <w:p w14:paraId="799C93A9" w14:textId="77777777" w:rsidR="00E61495" w:rsidRDefault="00E61495" w:rsidP="00E61495">
      <w:pPr>
        <w:spacing w:line="360" w:lineRule="auto"/>
        <w:jc w:val="both"/>
        <w:rPr>
          <w:rFonts w:ascii="Garamond" w:hAnsi="Garamond"/>
          <w:lang w:val="en-US"/>
        </w:rPr>
      </w:pPr>
    </w:p>
    <w:p w14:paraId="06D9AE3D" w14:textId="77777777" w:rsidR="00E61495" w:rsidRDefault="00E61495" w:rsidP="00E61495">
      <w:pPr>
        <w:spacing w:after="200" w:line="360" w:lineRule="auto"/>
        <w:ind w:firstLine="708"/>
        <w:jc w:val="both"/>
        <w:rPr>
          <w:rFonts w:ascii="Garamond" w:hAnsi="Garamond"/>
          <w:lang w:val="en-US"/>
        </w:rPr>
      </w:pPr>
      <w:r>
        <w:rPr>
          <w:rFonts w:ascii="Garamond" w:hAnsi="Garamond"/>
          <w:lang w:val="en-US"/>
        </w:rPr>
        <w:t xml:space="preserve">With regards to prisons, some buildings are too old and require urgent intervention to guarantee that minimum requirements of health and safety are complied with. The NPM has visited several prisons with decaying conditions and amongst these are prisons mentioned in the Committee’s Report and visited in 2019: as examples, in </w:t>
      </w:r>
      <w:proofErr w:type="spellStart"/>
      <w:r>
        <w:rPr>
          <w:rFonts w:ascii="Garamond" w:hAnsi="Garamond"/>
          <w:lang w:val="en-US"/>
        </w:rPr>
        <w:t>Montijo</w:t>
      </w:r>
      <w:proofErr w:type="spellEnd"/>
      <w:r>
        <w:rPr>
          <w:rFonts w:ascii="Garamond" w:hAnsi="Garamond"/>
          <w:lang w:val="en-US"/>
        </w:rPr>
        <w:t xml:space="preserve"> there were severe issues with cockroaches and other bugs; in Lisbon Central, cells in some of the wings had decaying conditions, which included, inter alia, being small, humid, lacking adequate lighting, being either too cold or too warm; Caxias prison, contrarily to the Mandela Rules, lacks cells of single occupancy, with implications in terms of space, comfort and privacy, as well as potential impact on prisoners' mental health; other visits, such as the one to </w:t>
      </w:r>
      <w:proofErr w:type="spellStart"/>
      <w:r>
        <w:rPr>
          <w:rFonts w:ascii="Garamond" w:hAnsi="Garamond"/>
          <w:lang w:val="en-US"/>
        </w:rPr>
        <w:t>Alcoentre</w:t>
      </w:r>
      <w:proofErr w:type="spellEnd"/>
      <w:r>
        <w:rPr>
          <w:rFonts w:ascii="Garamond" w:hAnsi="Garamond"/>
          <w:lang w:val="en-US"/>
        </w:rPr>
        <w:t xml:space="preserve">, highlighted the fact that </w:t>
      </w:r>
      <w:r>
        <w:rPr>
          <w:rFonts w:ascii="Garamond" w:hAnsi="Garamond"/>
          <w:lang w:val="en-US"/>
        </w:rPr>
        <w:lastRenderedPageBreak/>
        <w:t>some buildings are simply inadequate to hold persons deprived of their liberty, raising safety and security concerns. Concerns related to overcrowding and solitary confinement will be analyzed under Issues 16 and 17.</w:t>
      </w:r>
    </w:p>
    <w:p w14:paraId="67FE06BE" w14:textId="77777777" w:rsidR="00E61495" w:rsidRDefault="00E61495" w:rsidP="00E61495">
      <w:pPr>
        <w:spacing w:after="200" w:line="360" w:lineRule="auto"/>
        <w:ind w:firstLine="708"/>
        <w:jc w:val="both"/>
        <w:rPr>
          <w:rFonts w:ascii="Garamond" w:hAnsi="Garamond"/>
          <w:lang w:val="en-US"/>
        </w:rPr>
      </w:pPr>
      <w:r>
        <w:rPr>
          <w:rFonts w:ascii="Garamond" w:hAnsi="Garamond"/>
          <w:lang w:val="en-US"/>
        </w:rPr>
        <w:t>The NPM is further worried as some of these issues were at the basis of the decision by the European Court of Human Rights in the case of Petrescu v. Portugal (application no. 23190/17) that held that there had been several violations to Article 3 of the European Convention of Human Rights (prohibition of inhuman or degrading treatment) on account of the conditions of detention in the Lisbon police prison and in Pinheiro da Cruz prison, where the applicant was detained between 2012 and 2016.</w:t>
      </w:r>
      <w:r>
        <w:rPr>
          <w:rStyle w:val="Refdenotaderodap"/>
          <w:rFonts w:ascii="Garamond" w:hAnsi="Garamond"/>
          <w:lang w:val="en-US"/>
        </w:rPr>
        <w:footnoteReference w:id="6"/>
      </w:r>
      <w:r>
        <w:rPr>
          <w:rFonts w:ascii="Garamond" w:hAnsi="Garamond"/>
          <w:lang w:val="en-US"/>
        </w:rPr>
        <w:t xml:space="preserve"> The judgment also considered that Portuguese domestic law did not provide sufficiently accessible and effective complaint mechanisms and remedies to prevent the continuation of the alleged ill-treatment</w:t>
      </w:r>
      <w:r>
        <w:rPr>
          <w:rStyle w:val="Refdenotaderodap"/>
          <w:rFonts w:ascii="Garamond" w:hAnsi="Garamond"/>
          <w:lang w:val="en-US"/>
        </w:rPr>
        <w:footnoteReference w:id="7"/>
      </w:r>
      <w:r>
        <w:rPr>
          <w:rFonts w:ascii="Garamond" w:hAnsi="Garamond"/>
          <w:lang w:val="en-US"/>
        </w:rPr>
        <w:t>. Given the fact that the problems raised by the applicant affect other prisons and their inmates, the NPM will continue monitoring Portugal’s response to the case, both its judicial aspects and its practical consequences, as the State is recommended to adopt different measures to improve the detention conditions it offers to citizens. Its impact, thus, remains to be seen.</w:t>
      </w:r>
    </w:p>
    <w:p w14:paraId="175583CA" w14:textId="77777777" w:rsidR="00E61495" w:rsidRDefault="00E61495" w:rsidP="00E61495">
      <w:pPr>
        <w:spacing w:line="360" w:lineRule="auto"/>
        <w:jc w:val="both"/>
        <w:rPr>
          <w:rFonts w:ascii="Garamond" w:hAnsi="Garamond"/>
          <w:lang w:val="en-US"/>
        </w:rPr>
      </w:pPr>
      <w:r>
        <w:rPr>
          <w:rFonts w:ascii="Garamond" w:hAnsi="Garamond"/>
          <w:lang w:val="en-US"/>
        </w:rPr>
        <w:tab/>
        <w:t>With reference to the information available on the number of complaints lodged and cases initiated against officials who have disrespected the safeguards to persons deprived of their liberty, the NPM reiterates its position that this data is of the utmost importance, as it is related to violations of the detainees’ guarantees and is an important instrument to monitor the compliance with all these guarantees. As did the Committee’s Report, it urges further data collection and publicity of such data.</w:t>
      </w:r>
    </w:p>
    <w:p w14:paraId="46AD8AEA" w14:textId="77777777" w:rsidR="00E61495" w:rsidRDefault="00E61495" w:rsidP="00E61495">
      <w:pPr>
        <w:spacing w:line="360" w:lineRule="auto"/>
        <w:jc w:val="both"/>
        <w:rPr>
          <w:rFonts w:ascii="Garamond" w:hAnsi="Garamond"/>
          <w:lang w:val="en-US"/>
        </w:rPr>
      </w:pPr>
    </w:p>
    <w:p w14:paraId="0AB70522" w14:textId="77777777" w:rsidR="00E61495" w:rsidRDefault="00E61495" w:rsidP="00E61495">
      <w:pPr>
        <w:spacing w:line="360" w:lineRule="auto"/>
        <w:jc w:val="both"/>
        <w:rPr>
          <w:rFonts w:ascii="Garamond" w:hAnsi="Garamond"/>
          <w:lang w:val="en-US"/>
        </w:rPr>
      </w:pPr>
      <w:r>
        <w:rPr>
          <w:rFonts w:ascii="Garamond" w:hAnsi="Garamond"/>
          <w:lang w:val="en-US"/>
        </w:rPr>
        <w:tab/>
        <w:t xml:space="preserve">Finally, when it comes to prompt medical examinations being carried out during the investigations of allegations of inflictions of torture or ill-treatment, the NPM has witnessed situations in prisons in which the legal framework is complied with when it comes to the flagging </w:t>
      </w:r>
      <w:r>
        <w:rPr>
          <w:rFonts w:ascii="Garamond" w:hAnsi="Garamond"/>
          <w:lang w:val="en-US"/>
        </w:rPr>
        <w:lastRenderedPageBreak/>
        <w:t>of such situations, with adequate reporting that includes the use of photographs. However, it has received reports that at times such exams are conducted by nurses instead of doctors, due to unavailable staff at the time of arrival to the prison. This can have negative consequences for the adequacy of proper evaluation.</w:t>
      </w:r>
    </w:p>
    <w:p w14:paraId="2A4C9FD3" w14:textId="77777777" w:rsidR="00E61495" w:rsidRDefault="00E61495" w:rsidP="00E61495">
      <w:pPr>
        <w:rPr>
          <w:lang w:val="en-US"/>
        </w:rPr>
      </w:pPr>
    </w:p>
    <w:p w14:paraId="589C3D83" w14:textId="77777777" w:rsidR="00E61495" w:rsidRDefault="00E61495" w:rsidP="00E61495">
      <w:pPr>
        <w:rPr>
          <w:lang w:val="en-US"/>
        </w:rPr>
      </w:pPr>
    </w:p>
    <w:p w14:paraId="7CF0BEF3" w14:textId="77777777" w:rsidR="00E61495" w:rsidRDefault="00E61495" w:rsidP="00167BAF">
      <w:pPr>
        <w:spacing w:line="360" w:lineRule="auto"/>
        <w:ind w:firstLine="708"/>
        <w:rPr>
          <w:rFonts w:ascii="Garamond" w:hAnsi="Garamond"/>
          <w:b/>
          <w:i/>
          <w:u w:val="single"/>
          <w:lang w:val="en-US" w:eastAsia="en-US"/>
        </w:rPr>
      </w:pPr>
      <w:r>
        <w:rPr>
          <w:rFonts w:ascii="Garamond" w:hAnsi="Garamond"/>
          <w:b/>
          <w:i/>
          <w:u w:val="single"/>
          <w:lang w:val="en-US" w:eastAsia="en-US"/>
        </w:rPr>
        <w:t>Issue 16</w:t>
      </w:r>
    </w:p>
    <w:p w14:paraId="699B4A89" w14:textId="228F9540"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 xml:space="preserve">The Ombudsman welcomes the measures that have been leading to a decrease of the Portuguese prison population since 2016. The reduction in the number of prisoners has ensured that, despite being close to 100% occupancy rate, there is no overall overcrowding in the Portuguese prison system. Nonetheless, while overall there is no overcrowding, there are numerous overcrowded prisons, in particular smaller institutions, which requires rethinking the distribution of prisoners within the system. Further, Portugal is still well above European average and median in number of prisoners per 100,000 inhabitants. The Ombudsman believes that reducing the prison population is fundamental to preventing situations of torture and ill-treatment, and thus applauds the current trend that was supported by recent legal developments (namely, the adoption of the Law No. 94/2017, of August 23, referred to in the Portuguese State’s response to the Committee’s Report) that created non-custodial alternatives to enforce prison sentences under two years. The same can be said regarding the </w:t>
      </w:r>
      <w:r w:rsidRPr="00E61495">
        <w:rPr>
          <w:rFonts w:ascii="Garamond" w:hAnsi="Garamond" w:cs="Times"/>
          <w:color w:val="000000"/>
          <w:lang w:val="en-GB"/>
        </w:rPr>
        <w:t>revocation of the</w:t>
      </w:r>
      <w:r>
        <w:rPr>
          <w:rFonts w:ascii="Garamond" w:hAnsi="Garamond" w:cs="Times"/>
          <w:color w:val="000000"/>
          <w:lang w:val="en-GB"/>
        </w:rPr>
        <w:t xml:space="preserve"> prison</w:t>
      </w:r>
      <w:r w:rsidRPr="00E61495">
        <w:rPr>
          <w:rFonts w:ascii="Garamond" w:hAnsi="Garamond" w:cs="Times"/>
          <w:color w:val="000000"/>
          <w:lang w:val="en-GB"/>
        </w:rPr>
        <w:t xml:space="preserve"> </w:t>
      </w:r>
      <w:r>
        <w:rPr>
          <w:rFonts w:ascii="Garamond" w:hAnsi="Garamond" w:cs="Times"/>
          <w:color w:val="000000"/>
          <w:lang w:val="en-GB"/>
        </w:rPr>
        <w:t xml:space="preserve">punishment </w:t>
      </w:r>
      <w:r w:rsidRPr="00E61495">
        <w:rPr>
          <w:rFonts w:ascii="Garamond" w:hAnsi="Garamond" w:cs="Times"/>
          <w:color w:val="000000"/>
          <w:lang w:val="en-GB"/>
        </w:rPr>
        <w:t>carried out on free days</w:t>
      </w:r>
      <w:r>
        <w:rPr>
          <w:rFonts w:ascii="Garamond" w:hAnsi="Garamond" w:cs="Times"/>
          <w:color w:val="000000"/>
          <w:lang w:val="en-GB"/>
        </w:rPr>
        <w:t xml:space="preserve">. </w:t>
      </w:r>
    </w:p>
    <w:p w14:paraId="05874988" w14:textId="77777777"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 xml:space="preserve">The Ombudsman also takes the opportunity to welcome the 2017 multi-annual strategy for requalification and modernization of the prison system (also referred to in the State’s response), including the closure of eight prison establishments. The NPM has noted in its visit reports that other establishments not mentioned therein – such as the psychiatric clinic at Santa Cruz do </w:t>
      </w:r>
      <w:proofErr w:type="spellStart"/>
      <w:r>
        <w:rPr>
          <w:rFonts w:ascii="Garamond" w:hAnsi="Garamond" w:cs="Times"/>
          <w:color w:val="000000"/>
          <w:lang w:val="en-GB"/>
        </w:rPr>
        <w:t>Bispo</w:t>
      </w:r>
      <w:proofErr w:type="spellEnd"/>
      <w:r>
        <w:rPr>
          <w:rFonts w:ascii="Garamond" w:hAnsi="Garamond" w:cs="Times"/>
          <w:color w:val="000000"/>
          <w:lang w:val="en-GB"/>
        </w:rPr>
        <w:t xml:space="preserve"> Prison, the main block of </w:t>
      </w:r>
      <w:proofErr w:type="spellStart"/>
      <w:r>
        <w:rPr>
          <w:rFonts w:ascii="Garamond" w:hAnsi="Garamond" w:cs="Times"/>
          <w:color w:val="000000"/>
          <w:lang w:val="en-GB"/>
        </w:rPr>
        <w:t>Alcoentre</w:t>
      </w:r>
      <w:proofErr w:type="spellEnd"/>
      <w:r>
        <w:rPr>
          <w:rFonts w:ascii="Garamond" w:hAnsi="Garamond" w:cs="Times"/>
          <w:color w:val="000000"/>
          <w:lang w:val="en-GB"/>
        </w:rPr>
        <w:t xml:space="preserve"> Prison and </w:t>
      </w:r>
      <w:proofErr w:type="spellStart"/>
      <w:r>
        <w:rPr>
          <w:rFonts w:ascii="Garamond" w:hAnsi="Garamond" w:cs="Times"/>
          <w:color w:val="000000"/>
          <w:lang w:val="en-GB"/>
        </w:rPr>
        <w:t>Montijo</w:t>
      </w:r>
      <w:proofErr w:type="spellEnd"/>
      <w:r>
        <w:rPr>
          <w:rFonts w:ascii="Garamond" w:hAnsi="Garamond" w:cs="Times"/>
          <w:color w:val="000000"/>
          <w:lang w:val="en-GB"/>
        </w:rPr>
        <w:t xml:space="preserve"> prison – also lack adequate conditions for housing detainees and should thus be either closed or subject to significant reform in the near future. In addition, as stated by the Portuguese State’s response, there are advanced plans to build two new prisons for around 600 inmates each, with innovative designs inspired by evidence-based research on prison architecture. This is, of course, encouraging news and a step in the right direction.</w:t>
      </w:r>
    </w:p>
    <w:p w14:paraId="321C9F21" w14:textId="77777777"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 xml:space="preserve">Despite these developments, the uncertainty about how and when the changes will occur, with no clear schedule for their implementation, can block efforts to improve the prisons that are to be closed, something that the NPM observed during recent visits to the Lisbon and </w:t>
      </w:r>
      <w:proofErr w:type="spellStart"/>
      <w:r>
        <w:rPr>
          <w:rFonts w:ascii="Garamond" w:hAnsi="Garamond" w:cs="Times"/>
          <w:color w:val="000000"/>
          <w:lang w:val="en-GB"/>
        </w:rPr>
        <w:t>Setúbal</w:t>
      </w:r>
      <w:proofErr w:type="spellEnd"/>
      <w:r>
        <w:rPr>
          <w:rFonts w:ascii="Garamond" w:hAnsi="Garamond" w:cs="Times"/>
          <w:color w:val="000000"/>
          <w:lang w:val="en-GB"/>
        </w:rPr>
        <w:t xml:space="preserve"> </w:t>
      </w:r>
      <w:r>
        <w:rPr>
          <w:rFonts w:ascii="Garamond" w:hAnsi="Garamond" w:cs="Times"/>
          <w:color w:val="000000"/>
          <w:lang w:val="en-GB"/>
        </w:rPr>
        <w:lastRenderedPageBreak/>
        <w:t>prisons. Without knowing for how long they will remain open, it becomes harder to decide what investments to make. Furthermore, it would be useful to understand when the two new prisons are expected to open, as it could better inform the allocation of resources within the prison system as well as the distribution of the prison population. Indeed, the distribution of inmates can lead to added strains to the prisons’ network, both between prisons and within prisons. It has led to some challenges in separating remand and convicted detainees, vulnerable populations, young and older offenders, among others. Moreover, the lack of clear purposes and criteria can be detrimental to the effective sense of progression within the system, impacting both life in custody and reintegration efforts. Due to the heterogeneity of the Portuguese prisons – in terms of size, occupancy rate, and occupational opportunities (</w:t>
      </w:r>
      <w:proofErr w:type="spellStart"/>
      <w:r>
        <w:rPr>
          <w:rFonts w:ascii="Garamond" w:hAnsi="Garamond" w:cs="Times"/>
          <w:color w:val="000000"/>
          <w:lang w:val="en-GB"/>
        </w:rPr>
        <w:t>labor</w:t>
      </w:r>
      <w:proofErr w:type="spellEnd"/>
      <w:r>
        <w:rPr>
          <w:rFonts w:ascii="Garamond" w:hAnsi="Garamond" w:cs="Times"/>
          <w:color w:val="000000"/>
          <w:lang w:val="en-GB"/>
        </w:rPr>
        <w:t>, education, leisure) – and its impact on (different) incarceration experiences, rethinking these matters is all the more relevant and could add more consistency to the prison system as a whole.</w:t>
      </w:r>
    </w:p>
    <w:p w14:paraId="0F117BB9" w14:textId="4C112B9C"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With regards to the fact that the inmate is a user of the National Health Service like any other citizen, as stated in the State’s report, the NPM notes with apprehension that, while this is true, the lack of human resources – most notably prison guards – and also material resources, has had negative consequences on inmates’ access to health care. There were multiple occasions in which medical (and other) appointments had to be cancelled or postponed, sometimes last minute, due to the absence of available staff to supervise transportation, generating feelings of frustration and anger in the prison population, who often reported not being looked after. The potential health consequences cannot be taken lightly. As various prison staff explained to the NPM, there is a need to prioritise urgent appointments, which often means overlooking others. The lack of prison guards is indeed one of the themes the NPM is most concerned with in relation to prisons, as its effects are felt in multiple areas of prison life.</w:t>
      </w:r>
    </w:p>
    <w:p w14:paraId="2CC42DAB" w14:textId="3185C58B" w:rsidR="00E61495" w:rsidRDefault="00E61495" w:rsidP="00E61495">
      <w:pPr>
        <w:widowControl w:val="0"/>
        <w:autoSpaceDE w:val="0"/>
        <w:autoSpaceDN w:val="0"/>
        <w:adjustRightInd w:val="0"/>
        <w:spacing w:after="240" w:line="400" w:lineRule="atLeast"/>
        <w:ind w:firstLine="708"/>
        <w:jc w:val="both"/>
        <w:rPr>
          <w:rFonts w:ascii="Garamond" w:hAnsi="Garamond"/>
          <w:lang w:val="en-US"/>
        </w:rPr>
      </w:pPr>
      <w:r>
        <w:rPr>
          <w:rFonts w:ascii="Garamond" w:hAnsi="Garamond" w:cs="Times"/>
          <w:color w:val="000000"/>
          <w:lang w:val="en-GB"/>
        </w:rPr>
        <w:t xml:space="preserve">When it comes to drug abuse in prisons, the NPM ought to praise </w:t>
      </w:r>
      <w:r>
        <w:rPr>
          <w:rFonts w:ascii="Garamond" w:hAnsi="Garamond"/>
          <w:lang w:val="en-US"/>
        </w:rPr>
        <w:t xml:space="preserve">successful initiatives in this regard that have been implemented. The therapeutic programs that include drug-free units that separate those who suffer from addiction from the rest of the prison population are good examples, such as the G Wing of the Lisbon Prison: in a separate building and with conditions that greatly contrast with the grave deficiencies of the main building, the atmosphere itself felt humane. The NPM knows that for logistical reasons such initiatives are not always possible, but they do point towards the desirable path when thinking of penal reform. These initiatives, among others that have been recently discussed by the Directorate-General, such as measures that facilitate contact with the outside world, or legislative changes as the Decree-Law No. 97/2019, that regulates the prioritizing of non-carceral alternatives to the deprivation of liberty of </w:t>
      </w:r>
      <w:r>
        <w:rPr>
          <w:rFonts w:ascii="Garamond" w:hAnsi="Garamond"/>
          <w:lang w:val="en-US"/>
        </w:rPr>
        <w:lastRenderedPageBreak/>
        <w:t>unimputable individuals, are also noteworthy positive developments.</w:t>
      </w:r>
    </w:p>
    <w:p w14:paraId="7D18BB34" w14:textId="77777777" w:rsidR="00E61495" w:rsidRDefault="00E61495" w:rsidP="00E61495">
      <w:pPr>
        <w:spacing w:line="360" w:lineRule="auto"/>
        <w:rPr>
          <w:rFonts w:ascii="Garamond" w:hAnsi="Garamond"/>
          <w:b/>
          <w:lang w:val="en-US" w:eastAsia="en-US"/>
        </w:rPr>
      </w:pPr>
    </w:p>
    <w:p w14:paraId="38D2C209" w14:textId="77777777" w:rsidR="00E61495" w:rsidRDefault="00E61495" w:rsidP="00167BAF">
      <w:pPr>
        <w:spacing w:line="360" w:lineRule="auto"/>
        <w:ind w:firstLine="708"/>
        <w:rPr>
          <w:rFonts w:ascii="Garamond" w:hAnsi="Garamond"/>
          <w:b/>
          <w:i/>
          <w:u w:val="single"/>
          <w:lang w:val="en-US" w:eastAsia="en-US"/>
        </w:rPr>
      </w:pPr>
      <w:r>
        <w:rPr>
          <w:rFonts w:ascii="Garamond" w:hAnsi="Garamond"/>
          <w:b/>
          <w:i/>
          <w:u w:val="single"/>
          <w:lang w:val="en-US" w:eastAsia="en-US"/>
        </w:rPr>
        <w:t>Issue 17</w:t>
      </w:r>
    </w:p>
    <w:p w14:paraId="086AAEC3" w14:textId="77777777"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lang w:val="en-US"/>
        </w:rPr>
        <w:t xml:space="preserve">As mentioned in the State’s Report, a recent recommendation issued in November 2019 by the Director-General has exhorted prison establishments’ directors to refrain from imposing the disciplinary sanction of solitary confinement for periods over 15 days. In practice, this aligns Portugal with international jurisprudence on the matter and represents a positive change. However, the law has yet to be amended, as the article 105 of the Code of Execution of Sentences and Custodial Security Measures was not changed pursuant to this recommendation. </w:t>
      </w:r>
      <w:r>
        <w:rPr>
          <w:rFonts w:ascii="Garamond" w:hAnsi="Garamond" w:cs="Times"/>
          <w:color w:val="000000"/>
          <w:lang w:val="en-GB"/>
        </w:rPr>
        <w:t>Thus, the legally maximum duration for the sanction continues to be 21 days, although the SPT has recommended that “ensure, including through changes in legislation if necessary, that the maximum period of placement in solitary confinement does not exceed 15 consecutive days” (CAT/OP/PRT/1, para. 81). In addition, its regime is no different for minors under the age of 18, even if its application is “very exceptional and usually does not exceed 15 days”, as argued in the State’s Report. The NPM believes that the content of the recommendation and its practice should be enshrined in the Code and should not include in its provisions the possibility of its application to minors.</w:t>
      </w:r>
    </w:p>
    <w:p w14:paraId="7FBF19FF" w14:textId="77777777"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Indeed, the NPM is particularly worried, in the realm of the Administration of child justice, that child confinement in a disciplinary room may still be applicable. Although such disciplinary measure is not foreseen as such in the cast of disciplinary measures enshrined in art. 194 of the Educational Guardianship Law, it is still referred in art. 205 (3)(a)), and disciplinary rooms exist in the Educational Centres that were visited by the NPM. Moreover, art. 183 foresees the precautionary isolation measure, which may take place in a specific room. Recently, the Committee on the Rights of the Child urged the State to prohibit and abolish the use of solitary confinement to punish children and immediately remove all children held in solitary confinement (CRC/C/PRT/CO/5- 6, para. 44 (c)).</w:t>
      </w:r>
    </w:p>
    <w:p w14:paraId="61553D73" w14:textId="77777777" w:rsidR="00E61495" w:rsidRDefault="00E61495" w:rsidP="00E61495">
      <w:pPr>
        <w:widowControl w:val="0"/>
        <w:autoSpaceDE w:val="0"/>
        <w:autoSpaceDN w:val="0"/>
        <w:adjustRightInd w:val="0"/>
        <w:spacing w:after="240" w:line="400" w:lineRule="atLeast"/>
        <w:ind w:firstLine="708"/>
        <w:jc w:val="both"/>
        <w:rPr>
          <w:rFonts w:ascii="Garamond" w:hAnsi="Garamond" w:cs="Times"/>
          <w:color w:val="000000"/>
          <w:lang w:val="en-GB"/>
        </w:rPr>
      </w:pPr>
      <w:r>
        <w:rPr>
          <w:rFonts w:ascii="Garamond" w:hAnsi="Garamond" w:cs="Times"/>
          <w:color w:val="000000"/>
          <w:lang w:val="en-GB"/>
        </w:rPr>
        <w:t xml:space="preserve">The Ombudsman has received several complaints regarding disciplinary procedures in prisons over the recent years. As its 2018 annual report points out, the role that the legal protection system plays in the disciplinary action is not clear, in particular at the stage prior to any appeal to the Courts. Although several local social security services show due diligence in analysing the submitted applications, their articulation with the disciplinary proceedings is not always straightforward. On the other hand, the length of the procedures is usually long and </w:t>
      </w:r>
      <w:r>
        <w:rPr>
          <w:rFonts w:ascii="Garamond" w:hAnsi="Garamond" w:cs="Times"/>
          <w:color w:val="000000"/>
          <w:lang w:val="en-GB"/>
        </w:rPr>
        <w:lastRenderedPageBreak/>
        <w:t xml:space="preserve">unpredictable. This contributes to the perception that the disciplinary procedures are obscure and not transparent to inmates.  In this context, the Ombudsman highlights that the SPT recommended Portugal that “the disciplinary proceedings in prisons are speedily processed and that measures are put in place to allow prisoners to appeal against the imposition of disciplinary sanction” (CAT/OP/PRT/1, para. 81). </w:t>
      </w:r>
    </w:p>
    <w:p w14:paraId="1E2361AF" w14:textId="77777777" w:rsidR="00E61495" w:rsidRPr="00B94FA7" w:rsidRDefault="00E61495" w:rsidP="00E61495">
      <w:pPr>
        <w:rPr>
          <w:lang w:val="en-GB"/>
        </w:rPr>
      </w:pPr>
    </w:p>
    <w:p w14:paraId="1E916F8C" w14:textId="77777777" w:rsidR="00D16438" w:rsidRPr="005626F1" w:rsidRDefault="00D16438" w:rsidP="005626F1">
      <w:pPr>
        <w:spacing w:line="360" w:lineRule="auto"/>
        <w:rPr>
          <w:rFonts w:ascii="Garamond" w:hAnsi="Garamond"/>
          <w:b/>
          <w:lang w:val="en-US" w:eastAsia="en-US"/>
        </w:rPr>
      </w:pPr>
    </w:p>
    <w:bookmarkEnd w:id="5"/>
    <w:p w14:paraId="106683E5" w14:textId="77777777" w:rsidR="00CB5412" w:rsidRPr="00541431" w:rsidRDefault="00CB5412" w:rsidP="00CB5412">
      <w:pPr>
        <w:spacing w:line="360" w:lineRule="auto"/>
        <w:ind w:firstLine="708"/>
        <w:jc w:val="both"/>
        <w:rPr>
          <w:rFonts w:ascii="Garamond" w:hAnsi="Garamond" w:cs="Arial"/>
          <w:b/>
          <w:color w:val="000000"/>
          <w:lang w:val="en-GB" w:eastAsia="en-GB"/>
        </w:rPr>
      </w:pPr>
      <w:r w:rsidRPr="00541431">
        <w:rPr>
          <w:rFonts w:ascii="Garamond" w:hAnsi="Garamond" w:cs="Arial"/>
          <w:b/>
          <w:color w:val="000000"/>
          <w:lang w:val="en-GB" w:eastAsia="en-GB"/>
        </w:rPr>
        <w:t xml:space="preserve">5. Treatment of aliens, including refugees and asylum seekers </w:t>
      </w:r>
    </w:p>
    <w:p w14:paraId="5DF481C6" w14:textId="47DE98D2" w:rsidR="00DC31E3" w:rsidRPr="00541431" w:rsidRDefault="00CB5412" w:rsidP="00CB5412">
      <w:pPr>
        <w:spacing w:line="360" w:lineRule="auto"/>
        <w:ind w:firstLine="708"/>
        <w:jc w:val="both"/>
        <w:rPr>
          <w:rFonts w:ascii="Garamond" w:hAnsi="Garamond" w:cs="Arial"/>
          <w:b/>
          <w:color w:val="000000"/>
          <w:lang w:val="en-GB" w:eastAsia="en-GB"/>
        </w:rPr>
      </w:pPr>
      <w:r w:rsidRPr="00541431">
        <w:rPr>
          <w:rFonts w:ascii="Garamond" w:hAnsi="Garamond" w:cs="Arial"/>
          <w:b/>
          <w:color w:val="000000"/>
          <w:lang w:val="en-GB" w:eastAsia="en-GB"/>
        </w:rPr>
        <w:t>(arts. 7, 9, 10, 13, 24 and 26)</w:t>
      </w:r>
    </w:p>
    <w:p w14:paraId="419985B5" w14:textId="77777777" w:rsidR="00CB5412" w:rsidRPr="00541431" w:rsidRDefault="00CB5412" w:rsidP="00CB5412">
      <w:pPr>
        <w:spacing w:line="360" w:lineRule="auto"/>
        <w:ind w:firstLine="708"/>
        <w:jc w:val="both"/>
        <w:rPr>
          <w:rFonts w:ascii="Garamond" w:hAnsi="Garamond" w:cs="Arial"/>
          <w:b/>
          <w:color w:val="000000"/>
          <w:lang w:val="en-GB" w:eastAsia="en-GB"/>
        </w:rPr>
      </w:pPr>
    </w:p>
    <w:p w14:paraId="0BD435A7" w14:textId="64B908E2" w:rsidR="00B226D8" w:rsidRPr="00541431" w:rsidRDefault="00B226D8" w:rsidP="00CB5412">
      <w:pPr>
        <w:spacing w:after="200" w:line="360" w:lineRule="auto"/>
        <w:ind w:firstLine="708"/>
        <w:jc w:val="both"/>
        <w:rPr>
          <w:rFonts w:ascii="Garamond" w:hAnsi="Garamond"/>
          <w:b/>
          <w:lang w:val="en-GB" w:eastAsia="en-US"/>
        </w:rPr>
      </w:pPr>
      <w:r w:rsidRPr="00541431">
        <w:rPr>
          <w:rFonts w:ascii="Garamond" w:hAnsi="Garamond"/>
          <w:b/>
          <w:i/>
          <w:u w:val="single"/>
          <w:lang w:val="en-GB" w:eastAsia="en-US"/>
        </w:rPr>
        <w:t>Issue 20:</w:t>
      </w:r>
    </w:p>
    <w:p w14:paraId="308F61F6" w14:textId="1FBEFEA5" w:rsidR="009A54F5" w:rsidRDefault="009A54F5" w:rsidP="00CB5412">
      <w:pPr>
        <w:spacing w:after="200" w:line="360" w:lineRule="auto"/>
        <w:ind w:firstLine="708"/>
        <w:jc w:val="both"/>
        <w:rPr>
          <w:rFonts w:ascii="Garamond" w:hAnsi="Garamond"/>
          <w:lang w:val="en-GB" w:eastAsia="en-US"/>
        </w:rPr>
      </w:pPr>
      <w:r w:rsidRPr="00541431">
        <w:rPr>
          <w:rFonts w:ascii="Garamond" w:hAnsi="Garamond"/>
          <w:lang w:val="en-GB" w:eastAsia="en-US"/>
        </w:rPr>
        <w:t>Over the last two years, the Ombudsman’s activity</w:t>
      </w:r>
      <w:r w:rsidR="007040E5" w:rsidRPr="00541431">
        <w:rPr>
          <w:rFonts w:ascii="Garamond" w:hAnsi="Garamond"/>
          <w:lang w:val="en-GB" w:eastAsia="en-US"/>
        </w:rPr>
        <w:t>,</w:t>
      </w:r>
      <w:r w:rsidRPr="00541431">
        <w:rPr>
          <w:rFonts w:ascii="Garamond" w:hAnsi="Garamond"/>
          <w:lang w:val="en-GB" w:eastAsia="en-US"/>
        </w:rPr>
        <w:t xml:space="preserve"> </w:t>
      </w:r>
      <w:r w:rsidR="007040E5" w:rsidRPr="00541431">
        <w:rPr>
          <w:rFonts w:ascii="Garamond" w:hAnsi="Garamond"/>
          <w:lang w:val="en-GB" w:eastAsia="en-US"/>
        </w:rPr>
        <w:t>i</w:t>
      </w:r>
      <w:r w:rsidRPr="00541431">
        <w:rPr>
          <w:rFonts w:ascii="Garamond" w:hAnsi="Garamond"/>
          <w:lang w:val="en-GB" w:eastAsia="en-US"/>
        </w:rPr>
        <w:t>n its quality as NPM</w:t>
      </w:r>
      <w:r w:rsidR="007040E5" w:rsidRPr="00541431">
        <w:rPr>
          <w:rFonts w:ascii="Garamond" w:hAnsi="Garamond"/>
          <w:lang w:val="en-GB" w:eastAsia="en-US"/>
        </w:rPr>
        <w:t>,</w:t>
      </w:r>
      <w:r w:rsidRPr="00541431">
        <w:rPr>
          <w:rFonts w:ascii="Garamond" w:hAnsi="Garamond"/>
          <w:lang w:val="en-GB" w:eastAsia="en-US"/>
        </w:rPr>
        <w:t xml:space="preserve"> has focused with special acuteness on migrants’ temporary detention centres. Its main </w:t>
      </w:r>
      <w:r w:rsidR="00C05F43" w:rsidRPr="00541431">
        <w:rPr>
          <w:rFonts w:ascii="Garamond" w:hAnsi="Garamond"/>
          <w:lang w:val="en-GB" w:eastAsia="en-US"/>
        </w:rPr>
        <w:t>attention</w:t>
      </w:r>
      <w:r w:rsidRPr="00541431">
        <w:rPr>
          <w:rFonts w:ascii="Garamond" w:hAnsi="Garamond"/>
          <w:lang w:val="en-GB" w:eastAsia="en-US"/>
        </w:rPr>
        <w:t xml:space="preserve"> has been</w:t>
      </w:r>
      <w:r w:rsidR="00C05F43" w:rsidRPr="00541431">
        <w:rPr>
          <w:rFonts w:ascii="Garamond" w:hAnsi="Garamond"/>
          <w:lang w:val="en-GB" w:eastAsia="en-US"/>
        </w:rPr>
        <w:t xml:space="preserve"> devoted to the</w:t>
      </w:r>
      <w:r w:rsidRPr="00541431">
        <w:rPr>
          <w:rFonts w:ascii="Garamond" w:hAnsi="Garamond"/>
          <w:lang w:val="en-GB" w:eastAsia="en-US"/>
        </w:rPr>
        <w:t xml:space="preserve"> detention centres located at the external borders (airports). </w:t>
      </w:r>
      <w:r w:rsidR="00BF5B54" w:rsidRPr="00541431">
        <w:rPr>
          <w:rFonts w:ascii="Garamond" w:hAnsi="Garamond"/>
          <w:lang w:val="en-GB" w:eastAsia="en-US"/>
        </w:rPr>
        <w:t>In Portugal</w:t>
      </w:r>
      <w:r w:rsidR="001B0C04" w:rsidRPr="00541431">
        <w:rPr>
          <w:rFonts w:ascii="Garamond" w:hAnsi="Garamond"/>
          <w:lang w:val="en-GB" w:eastAsia="en-US"/>
        </w:rPr>
        <w:t>,</w:t>
      </w:r>
      <w:r w:rsidR="00BF5B54" w:rsidRPr="00541431">
        <w:rPr>
          <w:rFonts w:ascii="Garamond" w:hAnsi="Garamond"/>
          <w:lang w:val="en-GB" w:eastAsia="en-US"/>
        </w:rPr>
        <w:t xml:space="preserve"> there is </w:t>
      </w:r>
      <w:r w:rsidR="001B0C04" w:rsidRPr="00541431">
        <w:rPr>
          <w:rFonts w:ascii="Garamond" w:hAnsi="Garamond"/>
          <w:lang w:val="en-GB" w:eastAsia="en-US"/>
        </w:rPr>
        <w:t>o</w:t>
      </w:r>
      <w:r w:rsidR="00BF5B54" w:rsidRPr="00541431">
        <w:rPr>
          <w:rFonts w:ascii="Garamond" w:hAnsi="Garamond"/>
          <w:lang w:val="en-GB" w:eastAsia="en-US"/>
        </w:rPr>
        <w:t xml:space="preserve">nly one </w:t>
      </w:r>
      <w:r w:rsidR="00541431">
        <w:rPr>
          <w:rFonts w:ascii="Garamond" w:hAnsi="Garamond"/>
          <w:lang w:val="en-GB" w:eastAsia="en-US"/>
        </w:rPr>
        <w:t>“</w:t>
      </w:r>
      <w:r w:rsidR="00B226D8" w:rsidRPr="00541431">
        <w:rPr>
          <w:rFonts w:ascii="Garamond" w:hAnsi="Garamond"/>
          <w:lang w:val="en-GB" w:eastAsia="en-US"/>
        </w:rPr>
        <w:t>ordinary</w:t>
      </w:r>
      <w:r w:rsidR="00541431">
        <w:rPr>
          <w:rFonts w:ascii="Garamond" w:hAnsi="Garamond"/>
          <w:lang w:val="en-GB" w:eastAsia="en-US"/>
        </w:rPr>
        <w:t>”</w:t>
      </w:r>
      <w:r w:rsidR="00BF5B54" w:rsidRPr="00541431">
        <w:rPr>
          <w:rFonts w:ascii="Garamond" w:hAnsi="Garamond"/>
          <w:lang w:val="en-GB" w:eastAsia="en-US"/>
        </w:rPr>
        <w:t xml:space="preserve"> </w:t>
      </w:r>
      <w:r w:rsidR="00B226D8" w:rsidRPr="00541431">
        <w:rPr>
          <w:rFonts w:ascii="Garamond" w:hAnsi="Garamond"/>
          <w:lang w:val="en-GB" w:eastAsia="en-US"/>
        </w:rPr>
        <w:t xml:space="preserve">reception centre </w:t>
      </w:r>
      <w:r w:rsidR="005D0094" w:rsidRPr="00541431">
        <w:rPr>
          <w:rFonts w:ascii="Garamond" w:hAnsi="Garamond"/>
          <w:lang w:val="en-GB" w:eastAsia="en-US"/>
        </w:rPr>
        <w:t>–</w:t>
      </w:r>
      <w:r w:rsidR="00BF5B54" w:rsidRPr="00541431">
        <w:rPr>
          <w:rFonts w:ascii="Garamond" w:hAnsi="Garamond"/>
          <w:lang w:val="en-GB" w:eastAsia="en-US"/>
        </w:rPr>
        <w:t xml:space="preserve"> the Santo António do Porto Housing Unit (UHSA). All other centres </w:t>
      </w:r>
      <w:r w:rsidR="00FD4011">
        <w:rPr>
          <w:rFonts w:ascii="Garamond" w:hAnsi="Garamond"/>
          <w:lang w:val="en-GB" w:eastAsia="en-US"/>
        </w:rPr>
        <w:t xml:space="preserve">are </w:t>
      </w:r>
      <w:r w:rsidRPr="00541431">
        <w:rPr>
          <w:rFonts w:ascii="Garamond" w:hAnsi="Garamond"/>
          <w:lang w:val="en-GB" w:eastAsia="en-US"/>
        </w:rPr>
        <w:t xml:space="preserve">detention centres located at the </w:t>
      </w:r>
      <w:r w:rsidR="00FD4011">
        <w:rPr>
          <w:rFonts w:ascii="Garamond" w:hAnsi="Garamond"/>
          <w:lang w:val="en-GB" w:eastAsia="en-US"/>
        </w:rPr>
        <w:t xml:space="preserve">airport’s </w:t>
      </w:r>
      <w:r w:rsidRPr="00541431">
        <w:rPr>
          <w:rFonts w:ascii="Garamond" w:hAnsi="Garamond"/>
          <w:lang w:val="en-GB" w:eastAsia="en-US"/>
        </w:rPr>
        <w:t>external borders (</w:t>
      </w:r>
      <w:r w:rsidR="00BF5B54" w:rsidRPr="00541431">
        <w:rPr>
          <w:rFonts w:ascii="Garamond" w:hAnsi="Garamond"/>
          <w:lang w:val="en-GB" w:eastAsia="en-US"/>
        </w:rPr>
        <w:t>EECIT</w:t>
      </w:r>
      <w:r w:rsidRPr="00541431">
        <w:rPr>
          <w:rFonts w:ascii="Garamond" w:hAnsi="Garamond"/>
          <w:lang w:val="en-GB" w:eastAsia="en-US"/>
        </w:rPr>
        <w:t>)</w:t>
      </w:r>
      <w:r w:rsidR="00BF5B54" w:rsidRPr="00541431">
        <w:rPr>
          <w:rFonts w:ascii="Garamond" w:hAnsi="Garamond"/>
          <w:lang w:val="en-GB" w:eastAsia="en-US"/>
        </w:rPr>
        <w:t xml:space="preserve">. </w:t>
      </w:r>
      <w:r w:rsidR="0025232F" w:rsidRPr="00541431">
        <w:rPr>
          <w:rFonts w:ascii="Garamond" w:hAnsi="Garamond"/>
          <w:lang w:val="en-GB" w:eastAsia="en-US"/>
        </w:rPr>
        <w:t xml:space="preserve">The </w:t>
      </w:r>
      <w:r w:rsidR="00BF5B54" w:rsidRPr="00541431">
        <w:rPr>
          <w:rFonts w:ascii="Garamond" w:hAnsi="Garamond"/>
          <w:lang w:val="en-GB" w:eastAsia="en-US"/>
        </w:rPr>
        <w:t xml:space="preserve">UHSA is intended primarily for the detention of immigrants awaiting </w:t>
      </w:r>
      <w:r w:rsidR="001B0C04" w:rsidRPr="00541431">
        <w:rPr>
          <w:rFonts w:ascii="Garamond" w:hAnsi="Garamond"/>
          <w:lang w:val="en-GB" w:eastAsia="en-US"/>
        </w:rPr>
        <w:t xml:space="preserve">the </w:t>
      </w:r>
      <w:r w:rsidR="00BF5B54" w:rsidRPr="00541431">
        <w:rPr>
          <w:rFonts w:ascii="Garamond" w:hAnsi="Garamond"/>
          <w:lang w:val="en-GB" w:eastAsia="en-US"/>
        </w:rPr>
        <w:t xml:space="preserve">execution of a removal order </w:t>
      </w:r>
      <w:r w:rsidR="00FD4011">
        <w:rPr>
          <w:rFonts w:ascii="Garamond" w:hAnsi="Garamond"/>
          <w:lang w:val="en-GB" w:eastAsia="en-US"/>
        </w:rPr>
        <w:t>or expulsion decision</w:t>
      </w:r>
      <w:r w:rsidR="00BF5B54" w:rsidRPr="00541431">
        <w:rPr>
          <w:rFonts w:ascii="Garamond" w:hAnsi="Garamond"/>
          <w:lang w:val="en-GB" w:eastAsia="en-US"/>
        </w:rPr>
        <w:t>. As a rule, foreigners whose entry into the country is refused, as well as asylum seekers to whom detention applies</w:t>
      </w:r>
      <w:r w:rsidR="00A52B8F" w:rsidRPr="00541431">
        <w:rPr>
          <w:rFonts w:ascii="Garamond" w:hAnsi="Garamond"/>
          <w:lang w:val="en-GB" w:eastAsia="en-US"/>
        </w:rPr>
        <w:t>,</w:t>
      </w:r>
      <w:r w:rsidR="00BF5B54" w:rsidRPr="00541431">
        <w:rPr>
          <w:rFonts w:ascii="Garamond" w:hAnsi="Garamond"/>
          <w:lang w:val="en-GB" w:eastAsia="en-US"/>
        </w:rPr>
        <w:t xml:space="preserve"> are held in the airports’ EECIT. </w:t>
      </w:r>
    </w:p>
    <w:p w14:paraId="7F21A315" w14:textId="288FE3C2" w:rsidR="00C26D09" w:rsidRPr="00541431" w:rsidRDefault="00C05F43" w:rsidP="00C26D09">
      <w:pPr>
        <w:spacing w:after="200" w:line="360" w:lineRule="auto"/>
        <w:ind w:firstLine="708"/>
        <w:jc w:val="both"/>
        <w:rPr>
          <w:rFonts w:ascii="Garamond" w:hAnsi="Garamond"/>
          <w:lang w:val="en-GB" w:eastAsia="en-US"/>
        </w:rPr>
      </w:pPr>
      <w:r w:rsidRPr="00541431">
        <w:rPr>
          <w:rFonts w:ascii="Garamond" w:hAnsi="Garamond"/>
          <w:lang w:val="en-GB" w:eastAsia="en-US"/>
        </w:rPr>
        <w:t>T</w:t>
      </w:r>
      <w:r w:rsidR="00803F37" w:rsidRPr="00541431">
        <w:rPr>
          <w:rFonts w:ascii="Garamond" w:hAnsi="Garamond"/>
          <w:lang w:val="en-GB" w:eastAsia="en-US"/>
        </w:rPr>
        <w:t xml:space="preserve">hese </w:t>
      </w:r>
      <w:r w:rsidR="008F7EB0" w:rsidRPr="00541431">
        <w:rPr>
          <w:rFonts w:ascii="Garamond" w:hAnsi="Garamond"/>
          <w:lang w:val="en-GB" w:eastAsia="en-US"/>
        </w:rPr>
        <w:t>centres</w:t>
      </w:r>
      <w:r w:rsidR="00803F37" w:rsidRPr="00541431">
        <w:rPr>
          <w:rFonts w:ascii="Garamond" w:hAnsi="Garamond"/>
          <w:lang w:val="en-GB" w:eastAsia="en-US"/>
        </w:rPr>
        <w:t xml:space="preserve"> present several </w:t>
      </w:r>
      <w:r w:rsidR="00F67D5B" w:rsidRPr="00541431">
        <w:rPr>
          <w:rFonts w:ascii="Garamond" w:hAnsi="Garamond"/>
          <w:lang w:val="en-GB" w:eastAsia="en-US"/>
        </w:rPr>
        <w:t xml:space="preserve">challenges </w:t>
      </w:r>
      <w:r w:rsidR="00803F37" w:rsidRPr="00541431">
        <w:rPr>
          <w:rFonts w:ascii="Garamond" w:hAnsi="Garamond"/>
          <w:lang w:val="en-GB" w:eastAsia="en-US"/>
        </w:rPr>
        <w:t xml:space="preserve">that </w:t>
      </w:r>
      <w:r w:rsidR="00C02C4A" w:rsidRPr="00541431">
        <w:rPr>
          <w:rFonts w:ascii="Garamond" w:hAnsi="Garamond"/>
          <w:lang w:val="en-GB" w:eastAsia="en-US"/>
        </w:rPr>
        <w:t>may encompass risks for the personal integrity of</w:t>
      </w:r>
      <w:r w:rsidR="00803F37" w:rsidRPr="00541431">
        <w:rPr>
          <w:rFonts w:ascii="Garamond" w:hAnsi="Garamond"/>
          <w:lang w:val="en-GB" w:eastAsia="en-US"/>
        </w:rPr>
        <w:t xml:space="preserve"> </w:t>
      </w:r>
      <w:r w:rsidR="00C02C4A" w:rsidRPr="00541431">
        <w:rPr>
          <w:rFonts w:ascii="Garamond" w:hAnsi="Garamond"/>
          <w:lang w:val="en-GB" w:eastAsia="en-US"/>
        </w:rPr>
        <w:t>the detainees</w:t>
      </w:r>
      <w:r w:rsidRPr="00541431">
        <w:rPr>
          <w:rFonts w:ascii="Garamond" w:hAnsi="Garamond"/>
          <w:lang w:val="en-GB" w:eastAsia="en-US"/>
        </w:rPr>
        <w:t>. They</w:t>
      </w:r>
      <w:r w:rsidR="00D54FC5" w:rsidRPr="00541431">
        <w:rPr>
          <w:rFonts w:ascii="Garamond" w:hAnsi="Garamond"/>
          <w:lang w:val="en-GB" w:eastAsia="en-US"/>
        </w:rPr>
        <w:t xml:space="preserve"> have </w:t>
      </w:r>
      <w:r w:rsidRPr="00541431">
        <w:rPr>
          <w:rFonts w:ascii="Garamond" w:hAnsi="Garamond"/>
          <w:lang w:val="en-GB" w:eastAsia="en-US"/>
        </w:rPr>
        <w:t xml:space="preserve">only </w:t>
      </w:r>
      <w:r w:rsidR="00D54FC5" w:rsidRPr="00541431">
        <w:rPr>
          <w:rFonts w:ascii="Garamond" w:hAnsi="Garamond"/>
          <w:lang w:val="en-GB" w:eastAsia="en-US"/>
        </w:rPr>
        <w:t>two wings</w:t>
      </w:r>
      <w:r w:rsidR="00C26D09" w:rsidRPr="00541431">
        <w:rPr>
          <w:rFonts w:ascii="Garamond" w:hAnsi="Garamond"/>
          <w:lang w:val="en-GB" w:eastAsia="en-US"/>
        </w:rPr>
        <w:t>,</w:t>
      </w:r>
      <w:r w:rsidR="00D54FC5" w:rsidRPr="00541431">
        <w:rPr>
          <w:rFonts w:ascii="Garamond" w:hAnsi="Garamond"/>
          <w:lang w:val="en-GB" w:eastAsia="en-US"/>
        </w:rPr>
        <w:t xml:space="preserve"> </w:t>
      </w:r>
      <w:r w:rsidR="00C26D09" w:rsidRPr="00541431">
        <w:rPr>
          <w:rFonts w:ascii="Garamond" w:hAnsi="Garamond"/>
          <w:lang w:val="en-GB" w:eastAsia="en-US"/>
        </w:rPr>
        <w:t>which</w:t>
      </w:r>
      <w:r w:rsidR="00D54FC5" w:rsidRPr="00541431">
        <w:rPr>
          <w:rFonts w:ascii="Garamond" w:hAnsi="Garamond"/>
          <w:lang w:val="en-GB" w:eastAsia="en-US"/>
        </w:rPr>
        <w:t xml:space="preserve"> separate asylum seekers and other migrants whose entry in the </w:t>
      </w:r>
      <w:r w:rsidR="00C26D09" w:rsidRPr="00541431">
        <w:rPr>
          <w:rFonts w:ascii="Garamond" w:hAnsi="Garamond"/>
          <w:lang w:val="en-GB" w:eastAsia="en-US"/>
        </w:rPr>
        <w:t>national territory was refused</w:t>
      </w:r>
      <w:r w:rsidR="004A78C6">
        <w:rPr>
          <w:rFonts w:ascii="Garamond" w:hAnsi="Garamond"/>
          <w:lang w:val="en-GB" w:eastAsia="en-US"/>
        </w:rPr>
        <w:t xml:space="preserve"> (in Lisbon) or Men and Women migrants (as it is the case in Porto)</w:t>
      </w:r>
      <w:r w:rsidR="00C26D09" w:rsidRPr="00541431">
        <w:rPr>
          <w:rFonts w:ascii="Garamond" w:hAnsi="Garamond"/>
          <w:lang w:val="en-GB" w:eastAsia="en-US"/>
        </w:rPr>
        <w:t xml:space="preserve">. </w:t>
      </w:r>
      <w:r w:rsidR="001B4EF1">
        <w:rPr>
          <w:rFonts w:ascii="Garamond" w:hAnsi="Garamond"/>
          <w:lang w:val="en-GB" w:eastAsia="en-US"/>
        </w:rPr>
        <w:t>In the case of the Lisbon’s EECIT, e</w:t>
      </w:r>
      <w:r w:rsidR="00C26D09" w:rsidRPr="00541431">
        <w:rPr>
          <w:rFonts w:ascii="Garamond" w:hAnsi="Garamond"/>
          <w:lang w:val="en-GB" w:eastAsia="en-US"/>
        </w:rPr>
        <w:t xml:space="preserve">ach wing has only two dormitories: one for men and other for women, which have </w:t>
      </w:r>
      <w:r w:rsidR="00BC241A" w:rsidRPr="00541431">
        <w:rPr>
          <w:rFonts w:ascii="Garamond" w:hAnsi="Garamond"/>
          <w:lang w:val="en-GB" w:eastAsia="en-US"/>
        </w:rPr>
        <w:t>several bunk beds</w:t>
      </w:r>
      <w:r w:rsidR="00C77664" w:rsidRPr="00541431">
        <w:rPr>
          <w:rFonts w:ascii="Garamond" w:hAnsi="Garamond"/>
          <w:lang w:val="en-GB" w:eastAsia="en-US"/>
        </w:rPr>
        <w:t xml:space="preserve"> </w:t>
      </w:r>
      <w:r w:rsidR="00C26D09" w:rsidRPr="00541431">
        <w:rPr>
          <w:rFonts w:ascii="Garamond" w:hAnsi="Garamond"/>
          <w:lang w:val="en-GB" w:eastAsia="en-US"/>
        </w:rPr>
        <w:t xml:space="preserve">and also accommodate children. </w:t>
      </w:r>
      <w:r w:rsidR="00C93AF0">
        <w:rPr>
          <w:rFonts w:ascii="Garamond" w:hAnsi="Garamond"/>
          <w:lang w:val="en-GB" w:eastAsia="en-US"/>
        </w:rPr>
        <w:t>These places are often overcrowded</w:t>
      </w:r>
      <w:r w:rsidR="00C26D09" w:rsidRPr="00541431">
        <w:rPr>
          <w:rFonts w:ascii="Garamond" w:hAnsi="Garamond"/>
          <w:lang w:val="en-GB" w:eastAsia="en-US"/>
        </w:rPr>
        <w:t xml:space="preserve">. In the worst </w:t>
      </w:r>
      <w:r w:rsidR="00C93AF0">
        <w:rPr>
          <w:rFonts w:ascii="Garamond" w:hAnsi="Garamond"/>
          <w:lang w:val="en-GB" w:eastAsia="en-US"/>
        </w:rPr>
        <w:t>cases</w:t>
      </w:r>
      <w:r w:rsidR="00C26D09" w:rsidRPr="00541431">
        <w:rPr>
          <w:rFonts w:ascii="Garamond" w:hAnsi="Garamond"/>
          <w:lang w:val="en-GB" w:eastAsia="en-US"/>
        </w:rPr>
        <w:t>, migrants have to sleep in mattresses on the floor – both in the dormitories, the corridors and the dining room. T</w:t>
      </w:r>
      <w:r w:rsidR="00C77664" w:rsidRPr="00541431">
        <w:rPr>
          <w:rFonts w:ascii="Garamond" w:hAnsi="Garamond"/>
          <w:lang w:val="en-GB" w:eastAsia="en-US"/>
        </w:rPr>
        <w:t xml:space="preserve">here </w:t>
      </w:r>
      <w:r w:rsidR="00D91441" w:rsidRPr="00541431">
        <w:rPr>
          <w:rFonts w:ascii="Garamond" w:hAnsi="Garamond"/>
          <w:lang w:val="en-GB" w:eastAsia="en-US"/>
        </w:rPr>
        <w:t xml:space="preserve">are </w:t>
      </w:r>
      <w:r w:rsidR="0059305F" w:rsidRPr="00541431">
        <w:rPr>
          <w:rFonts w:ascii="Garamond" w:hAnsi="Garamond"/>
          <w:lang w:val="en-GB" w:eastAsia="en-US"/>
        </w:rPr>
        <w:t>no</w:t>
      </w:r>
      <w:r w:rsidR="00BC241A" w:rsidRPr="00541431">
        <w:rPr>
          <w:rFonts w:ascii="Garamond" w:hAnsi="Garamond"/>
          <w:lang w:val="en-GB" w:eastAsia="en-US"/>
        </w:rPr>
        <w:t xml:space="preserve"> </w:t>
      </w:r>
      <w:r w:rsidR="0059305F" w:rsidRPr="00541431">
        <w:rPr>
          <w:rFonts w:ascii="Garamond" w:hAnsi="Garamond"/>
          <w:lang w:val="en-GB" w:eastAsia="en-US"/>
        </w:rPr>
        <w:t>leisure area</w:t>
      </w:r>
      <w:r w:rsidR="00F67D5B" w:rsidRPr="00541431">
        <w:rPr>
          <w:rFonts w:ascii="Garamond" w:hAnsi="Garamond"/>
          <w:lang w:val="en-GB" w:eastAsia="en-US"/>
        </w:rPr>
        <w:t>s</w:t>
      </w:r>
      <w:r w:rsidR="00C77664" w:rsidRPr="00541431">
        <w:rPr>
          <w:rFonts w:ascii="Garamond" w:hAnsi="Garamond"/>
          <w:lang w:val="en-GB" w:eastAsia="en-US"/>
        </w:rPr>
        <w:t>,</w:t>
      </w:r>
      <w:r w:rsidR="0059305F" w:rsidRPr="00541431">
        <w:rPr>
          <w:rFonts w:ascii="Garamond" w:hAnsi="Garamond"/>
          <w:lang w:val="en-GB" w:eastAsia="en-US"/>
        </w:rPr>
        <w:t xml:space="preserve"> apa</w:t>
      </w:r>
      <w:r w:rsidR="009A54F5" w:rsidRPr="00541431">
        <w:rPr>
          <w:rFonts w:ascii="Garamond" w:hAnsi="Garamond"/>
          <w:lang w:val="en-GB" w:eastAsia="en-US"/>
        </w:rPr>
        <w:t xml:space="preserve">rt from a small concrete patio. Moreover, </w:t>
      </w:r>
      <w:r w:rsidR="00BC241A" w:rsidRPr="00541431">
        <w:rPr>
          <w:rFonts w:ascii="Garamond" w:hAnsi="Garamond"/>
          <w:lang w:val="en-GB" w:eastAsia="en-US"/>
        </w:rPr>
        <w:t xml:space="preserve">detainees </w:t>
      </w:r>
      <w:r w:rsidR="00D91441" w:rsidRPr="00541431">
        <w:rPr>
          <w:rFonts w:ascii="Garamond" w:hAnsi="Garamond"/>
          <w:lang w:val="en-GB" w:eastAsia="en-US"/>
        </w:rPr>
        <w:t>barely hold personal goods</w:t>
      </w:r>
      <w:r w:rsidR="00BC241A" w:rsidRPr="00541431">
        <w:rPr>
          <w:rFonts w:ascii="Garamond" w:hAnsi="Garamond"/>
          <w:lang w:val="en-GB" w:eastAsia="en-US"/>
        </w:rPr>
        <w:t xml:space="preserve"> besides clothes</w:t>
      </w:r>
      <w:r w:rsidR="00B226D8" w:rsidRPr="00541431">
        <w:rPr>
          <w:rFonts w:ascii="Garamond" w:hAnsi="Garamond"/>
          <w:lang w:val="en-GB" w:eastAsia="en-US"/>
        </w:rPr>
        <w:t>,</w:t>
      </w:r>
      <w:r w:rsidR="00BC241A" w:rsidRPr="00541431">
        <w:rPr>
          <w:rFonts w:ascii="Garamond" w:hAnsi="Garamond"/>
          <w:lang w:val="en-GB" w:eastAsia="en-US"/>
        </w:rPr>
        <w:t xml:space="preserve"> </w:t>
      </w:r>
      <w:r w:rsidR="009A54F5" w:rsidRPr="00541431">
        <w:rPr>
          <w:rFonts w:ascii="Garamond" w:hAnsi="Garamond"/>
          <w:lang w:val="en-GB" w:eastAsia="en-US"/>
        </w:rPr>
        <w:t xml:space="preserve">and </w:t>
      </w:r>
      <w:r w:rsidR="00B226D8" w:rsidRPr="00541431">
        <w:rPr>
          <w:rFonts w:ascii="Garamond" w:hAnsi="Garamond"/>
          <w:lang w:val="en-GB" w:eastAsia="en-US"/>
        </w:rPr>
        <w:t>contacts by phone are severely</w:t>
      </w:r>
      <w:r w:rsidR="009A54F5" w:rsidRPr="00541431">
        <w:rPr>
          <w:rFonts w:ascii="Garamond" w:hAnsi="Garamond"/>
          <w:lang w:val="en-GB" w:eastAsia="en-US"/>
        </w:rPr>
        <w:t xml:space="preserve"> restricted</w:t>
      </w:r>
      <w:r w:rsidR="004A78C6">
        <w:rPr>
          <w:rStyle w:val="Refdenotaderodap"/>
          <w:rFonts w:ascii="Garamond" w:hAnsi="Garamond"/>
          <w:lang w:val="en-GB" w:eastAsia="en-US"/>
        </w:rPr>
        <w:footnoteReference w:id="8"/>
      </w:r>
      <w:r w:rsidR="009A54F5" w:rsidRPr="00541431">
        <w:rPr>
          <w:rFonts w:ascii="Garamond" w:hAnsi="Garamond"/>
          <w:lang w:val="en-GB" w:eastAsia="en-US"/>
        </w:rPr>
        <w:t xml:space="preserve">. </w:t>
      </w:r>
      <w:r w:rsidR="00C26D09" w:rsidRPr="00541431">
        <w:rPr>
          <w:rFonts w:ascii="Garamond" w:hAnsi="Garamond"/>
          <w:lang w:val="en-GB" w:eastAsia="en-US"/>
        </w:rPr>
        <w:t>The NPM is extremely concerned with the manifestly insufficient contact</w:t>
      </w:r>
      <w:r w:rsidR="0026308C">
        <w:rPr>
          <w:rFonts w:ascii="Garamond" w:hAnsi="Garamond"/>
          <w:lang w:val="en-GB" w:eastAsia="en-US"/>
        </w:rPr>
        <w:t>s</w:t>
      </w:r>
      <w:r w:rsidR="00C26D09" w:rsidRPr="00541431">
        <w:rPr>
          <w:rFonts w:ascii="Garamond" w:hAnsi="Garamond"/>
          <w:lang w:val="en-GB" w:eastAsia="en-US"/>
        </w:rPr>
        <w:t xml:space="preserve"> with the outside world and the lack of psychological monitoring. Besides the periodic visits of the </w:t>
      </w:r>
      <w:r w:rsidR="00C26D09" w:rsidRPr="00FD4011">
        <w:rPr>
          <w:rFonts w:ascii="Garamond" w:hAnsi="Garamond"/>
          <w:i/>
          <w:lang w:val="en-GB" w:eastAsia="en-US"/>
        </w:rPr>
        <w:t>World Doctors</w:t>
      </w:r>
      <w:r w:rsidR="00C26D09" w:rsidRPr="00541431">
        <w:rPr>
          <w:rFonts w:ascii="Garamond" w:hAnsi="Garamond"/>
          <w:lang w:val="en-GB" w:eastAsia="en-US"/>
        </w:rPr>
        <w:t xml:space="preserve"> NGO, no </w:t>
      </w:r>
      <w:r w:rsidR="00C93AF0">
        <w:rPr>
          <w:rFonts w:ascii="Garamond" w:hAnsi="Garamond"/>
          <w:lang w:val="en-GB" w:eastAsia="en-US"/>
        </w:rPr>
        <w:t xml:space="preserve">regular </w:t>
      </w:r>
      <w:r w:rsidR="00C26D09" w:rsidRPr="00541431">
        <w:rPr>
          <w:rFonts w:ascii="Garamond" w:hAnsi="Garamond"/>
          <w:lang w:val="en-GB" w:eastAsia="en-US"/>
        </w:rPr>
        <w:t xml:space="preserve">health care is provided to detainees. </w:t>
      </w:r>
      <w:r w:rsidR="00B34F52" w:rsidRPr="00541431">
        <w:rPr>
          <w:rFonts w:ascii="Garamond" w:hAnsi="Garamond"/>
          <w:lang w:val="en-GB" w:eastAsia="en-US"/>
        </w:rPr>
        <w:t xml:space="preserve">These conditions are particular worrisome due to the fact </w:t>
      </w:r>
      <w:r w:rsidR="00B34F52" w:rsidRPr="00541431">
        <w:rPr>
          <w:rFonts w:ascii="Garamond" w:hAnsi="Garamond"/>
          <w:lang w:val="en-GB" w:eastAsia="en-US"/>
        </w:rPr>
        <w:lastRenderedPageBreak/>
        <w:t xml:space="preserve">that, according to the Portuguese Immigration and Asylum laws, detention can last for a maximum period of 60 days. </w:t>
      </w:r>
    </w:p>
    <w:p w14:paraId="629A1A69" w14:textId="67053E25" w:rsidR="00C05F43" w:rsidRPr="00541431" w:rsidRDefault="00C05F43" w:rsidP="00C05F43">
      <w:pPr>
        <w:spacing w:after="200" w:line="360" w:lineRule="auto"/>
        <w:ind w:firstLine="708"/>
        <w:jc w:val="both"/>
        <w:rPr>
          <w:rFonts w:ascii="Garamond" w:hAnsi="Garamond"/>
          <w:lang w:val="en-GB" w:eastAsia="en-US"/>
        </w:rPr>
      </w:pPr>
      <w:r w:rsidRPr="00541431">
        <w:rPr>
          <w:rFonts w:ascii="Garamond" w:hAnsi="Garamond"/>
          <w:lang w:val="en-GB" w:eastAsia="en-US"/>
        </w:rPr>
        <w:t xml:space="preserve">Following NPM’s visits and conclusions, which were dully discussed with the Ministry of Internal Affairs, the latter has made a compromise to open a new </w:t>
      </w:r>
      <w:r w:rsidR="00FD4011">
        <w:rPr>
          <w:rFonts w:ascii="Garamond" w:hAnsi="Garamond"/>
          <w:lang w:val="en-GB" w:eastAsia="en-US"/>
        </w:rPr>
        <w:t xml:space="preserve">detention </w:t>
      </w:r>
      <w:r w:rsidR="00BA009E">
        <w:rPr>
          <w:rFonts w:ascii="Garamond" w:hAnsi="Garamond"/>
          <w:lang w:val="en-GB" w:eastAsia="en-US"/>
        </w:rPr>
        <w:t>centre</w:t>
      </w:r>
      <w:r w:rsidRPr="00541431">
        <w:rPr>
          <w:rFonts w:ascii="Garamond" w:hAnsi="Garamond"/>
          <w:lang w:val="en-GB" w:eastAsia="en-US"/>
        </w:rPr>
        <w:t xml:space="preserve"> in </w:t>
      </w:r>
      <w:proofErr w:type="spellStart"/>
      <w:r w:rsidRPr="00541431">
        <w:rPr>
          <w:rFonts w:ascii="Garamond" w:hAnsi="Garamond"/>
          <w:lang w:val="en-GB" w:eastAsia="en-US"/>
        </w:rPr>
        <w:t>Almoçageme</w:t>
      </w:r>
      <w:proofErr w:type="spellEnd"/>
      <w:r w:rsidRPr="00541431">
        <w:rPr>
          <w:rFonts w:ascii="Garamond" w:hAnsi="Garamond"/>
          <w:lang w:val="en-GB" w:eastAsia="en-US"/>
        </w:rPr>
        <w:t xml:space="preserve"> during 2019, mostly to receive people that currently are admitted by the Lisbon</w:t>
      </w:r>
      <w:r w:rsidR="00FD4011">
        <w:rPr>
          <w:rFonts w:ascii="Garamond" w:hAnsi="Garamond"/>
          <w:lang w:val="en-GB" w:eastAsia="en-US"/>
        </w:rPr>
        <w:t>’s airport</w:t>
      </w:r>
      <w:r w:rsidR="00FD4011" w:rsidRPr="00FD4011">
        <w:rPr>
          <w:rFonts w:ascii="Garamond" w:hAnsi="Garamond"/>
          <w:lang w:val="en-GB" w:eastAsia="en-US"/>
        </w:rPr>
        <w:t xml:space="preserve"> </w:t>
      </w:r>
      <w:r w:rsidR="00FD4011">
        <w:rPr>
          <w:rFonts w:ascii="Garamond" w:hAnsi="Garamond"/>
          <w:lang w:val="en-GB" w:eastAsia="en-US"/>
        </w:rPr>
        <w:t xml:space="preserve">EECIT. </w:t>
      </w:r>
      <w:r w:rsidRPr="00541431">
        <w:rPr>
          <w:rFonts w:ascii="Garamond" w:hAnsi="Garamond"/>
          <w:lang w:val="en-GB" w:eastAsia="en-US"/>
        </w:rPr>
        <w:t xml:space="preserve">However, to the present date, the new centre has </w:t>
      </w:r>
      <w:r w:rsidR="00C93AF0">
        <w:rPr>
          <w:rFonts w:ascii="Garamond" w:hAnsi="Garamond"/>
          <w:lang w:val="en-GB" w:eastAsia="en-US"/>
        </w:rPr>
        <w:t xml:space="preserve">yet to </w:t>
      </w:r>
      <w:r w:rsidRPr="00541431">
        <w:rPr>
          <w:rFonts w:ascii="Garamond" w:hAnsi="Garamond"/>
          <w:lang w:val="en-GB" w:eastAsia="en-US"/>
        </w:rPr>
        <w:t>open</w:t>
      </w:r>
      <w:r w:rsidR="00C26D09" w:rsidRPr="00541431">
        <w:rPr>
          <w:rFonts w:ascii="Garamond" w:hAnsi="Garamond"/>
          <w:lang w:val="en-GB" w:eastAsia="en-US"/>
        </w:rPr>
        <w:t xml:space="preserve"> (mostly due to a judicial </w:t>
      </w:r>
      <w:r w:rsidR="009F58D5">
        <w:rPr>
          <w:rFonts w:ascii="Garamond" w:hAnsi="Garamond"/>
          <w:lang w:val="en-GB" w:eastAsia="en-US"/>
        </w:rPr>
        <w:t>injunction</w:t>
      </w:r>
      <w:r w:rsidR="009F58D5" w:rsidRPr="00541431">
        <w:rPr>
          <w:rFonts w:ascii="Garamond" w:hAnsi="Garamond"/>
          <w:lang w:val="en-GB" w:eastAsia="en-US"/>
        </w:rPr>
        <w:t xml:space="preserve"> </w:t>
      </w:r>
      <w:r w:rsidR="00C26D09" w:rsidRPr="00541431">
        <w:rPr>
          <w:rFonts w:ascii="Garamond" w:hAnsi="Garamond"/>
          <w:lang w:val="en-GB" w:eastAsia="en-US"/>
        </w:rPr>
        <w:t xml:space="preserve">decision, following a request by the residents living in the area), </w:t>
      </w:r>
      <w:r w:rsidR="00FD4011">
        <w:rPr>
          <w:rFonts w:ascii="Garamond" w:hAnsi="Garamond"/>
          <w:lang w:val="en-GB" w:eastAsia="en-US"/>
        </w:rPr>
        <w:t xml:space="preserve">and </w:t>
      </w:r>
      <w:r w:rsidR="00C26D09" w:rsidRPr="00541431">
        <w:rPr>
          <w:rFonts w:ascii="Garamond" w:hAnsi="Garamond"/>
          <w:lang w:val="en-GB" w:eastAsia="en-US"/>
        </w:rPr>
        <w:t xml:space="preserve">detained migrants and asylum seekers are maintained </w:t>
      </w:r>
      <w:r w:rsidRPr="00541431">
        <w:rPr>
          <w:rFonts w:ascii="Garamond" w:hAnsi="Garamond"/>
          <w:lang w:val="en-GB" w:eastAsia="en-US"/>
        </w:rPr>
        <w:t>in the EECIT’s facilities</w:t>
      </w:r>
      <w:r w:rsidR="00FD4011">
        <w:rPr>
          <w:rFonts w:ascii="Garamond" w:hAnsi="Garamond"/>
          <w:lang w:val="en-GB" w:eastAsia="en-US"/>
        </w:rPr>
        <w:t xml:space="preserve"> for up to 60 days</w:t>
      </w:r>
      <w:r w:rsidR="00C93AF0">
        <w:rPr>
          <w:rFonts w:ascii="Garamond" w:hAnsi="Garamond"/>
          <w:lang w:val="en-GB" w:eastAsia="en-US"/>
        </w:rPr>
        <w:t xml:space="preserve"> in most of the cases, according to reports received by the NPM during its visits.</w:t>
      </w:r>
    </w:p>
    <w:p w14:paraId="01A8C3BC" w14:textId="77777777" w:rsidR="00B226D8" w:rsidRPr="00541431" w:rsidRDefault="00B226D8" w:rsidP="00CB5412">
      <w:pPr>
        <w:spacing w:after="200" w:line="360" w:lineRule="auto"/>
        <w:ind w:firstLine="708"/>
        <w:jc w:val="both"/>
        <w:rPr>
          <w:rFonts w:ascii="Garamond" w:hAnsi="Garamond"/>
          <w:lang w:val="en-GB" w:eastAsia="en-US"/>
        </w:rPr>
      </w:pPr>
    </w:p>
    <w:p w14:paraId="34E8E975" w14:textId="696994FB" w:rsidR="00C05F43" w:rsidRPr="00541431" w:rsidRDefault="00C05F43" w:rsidP="00CB5412">
      <w:pPr>
        <w:spacing w:after="200" w:line="360" w:lineRule="auto"/>
        <w:ind w:firstLine="708"/>
        <w:jc w:val="both"/>
        <w:rPr>
          <w:rFonts w:ascii="Garamond" w:hAnsi="Garamond"/>
          <w:b/>
          <w:i/>
          <w:u w:val="single"/>
          <w:lang w:val="en-GB" w:eastAsia="en-US"/>
        </w:rPr>
      </w:pPr>
      <w:r w:rsidRPr="00541431">
        <w:rPr>
          <w:rFonts w:ascii="Garamond" w:hAnsi="Garamond"/>
          <w:b/>
          <w:i/>
          <w:u w:val="single"/>
          <w:lang w:val="en-GB" w:eastAsia="en-US"/>
        </w:rPr>
        <w:t>Issue 21</w:t>
      </w:r>
    </w:p>
    <w:p w14:paraId="1A00C7E0" w14:textId="126BA037" w:rsidR="00A57927" w:rsidRDefault="00B34F52" w:rsidP="00CB5412">
      <w:pPr>
        <w:spacing w:after="200" w:line="360" w:lineRule="auto"/>
        <w:ind w:firstLine="708"/>
        <w:jc w:val="both"/>
        <w:rPr>
          <w:rFonts w:ascii="Garamond" w:hAnsi="Garamond"/>
          <w:lang w:val="en-GB" w:eastAsia="en-US"/>
        </w:rPr>
      </w:pPr>
      <w:r w:rsidRPr="00541431">
        <w:rPr>
          <w:rFonts w:ascii="Garamond" w:hAnsi="Garamond"/>
          <w:lang w:val="en-GB" w:eastAsia="en-US"/>
        </w:rPr>
        <w:t xml:space="preserve">The Ombudsman is also concerned with </w:t>
      </w:r>
      <w:r w:rsidR="00E41410">
        <w:rPr>
          <w:rFonts w:ascii="Garamond" w:hAnsi="Garamond"/>
          <w:lang w:val="en-GB" w:eastAsia="en-US"/>
        </w:rPr>
        <w:t xml:space="preserve">the </w:t>
      </w:r>
      <w:r w:rsidR="00382ED8">
        <w:rPr>
          <w:rFonts w:ascii="Garamond" w:hAnsi="Garamond"/>
          <w:lang w:val="en-GB" w:eastAsia="en-US"/>
        </w:rPr>
        <w:t>fairness</w:t>
      </w:r>
      <w:r w:rsidRPr="00541431">
        <w:rPr>
          <w:rFonts w:ascii="Garamond" w:hAnsi="Garamond"/>
          <w:lang w:val="en-GB" w:eastAsia="en-US"/>
        </w:rPr>
        <w:t xml:space="preserve"> of administrative procedures on immigration and asylum</w:t>
      </w:r>
      <w:r w:rsidR="00BC524C" w:rsidRPr="00541431">
        <w:rPr>
          <w:rFonts w:ascii="Garamond" w:hAnsi="Garamond"/>
          <w:lang w:val="en-GB" w:eastAsia="en-US"/>
        </w:rPr>
        <w:t xml:space="preserve">, due to the high number of complaints received </w:t>
      </w:r>
      <w:r w:rsidR="00E41410">
        <w:rPr>
          <w:rFonts w:ascii="Garamond" w:hAnsi="Garamond"/>
          <w:lang w:val="en-GB" w:eastAsia="en-US"/>
        </w:rPr>
        <w:t xml:space="preserve">due to </w:t>
      </w:r>
      <w:r w:rsidR="00BC524C" w:rsidRPr="00541431">
        <w:rPr>
          <w:rFonts w:ascii="Garamond" w:hAnsi="Garamond"/>
          <w:lang w:val="en-GB" w:eastAsia="en-US"/>
        </w:rPr>
        <w:t xml:space="preserve">delays </w:t>
      </w:r>
      <w:r w:rsidR="00FD4011">
        <w:rPr>
          <w:rFonts w:ascii="Garamond" w:hAnsi="Garamond"/>
          <w:lang w:val="en-GB" w:eastAsia="en-US"/>
        </w:rPr>
        <w:t xml:space="preserve">on the decision-making </w:t>
      </w:r>
      <w:r w:rsidR="00BA009E">
        <w:rPr>
          <w:rFonts w:ascii="Garamond" w:hAnsi="Garamond"/>
          <w:lang w:val="en-GB" w:eastAsia="en-US"/>
        </w:rPr>
        <w:t>process</w:t>
      </w:r>
      <w:r w:rsidRPr="00541431">
        <w:rPr>
          <w:rFonts w:ascii="Garamond" w:hAnsi="Garamond"/>
          <w:lang w:val="en-GB" w:eastAsia="en-US"/>
        </w:rPr>
        <w:t xml:space="preserve">. </w:t>
      </w:r>
      <w:r w:rsidR="00443E3C">
        <w:rPr>
          <w:rFonts w:ascii="Garamond" w:hAnsi="Garamond"/>
          <w:lang w:val="en-GB" w:eastAsia="en-US"/>
        </w:rPr>
        <w:t>Most</w:t>
      </w:r>
      <w:r w:rsidR="00DF27E4">
        <w:rPr>
          <w:rFonts w:ascii="Garamond" w:hAnsi="Garamond"/>
          <w:lang w:val="en-GB" w:eastAsia="en-US"/>
        </w:rPr>
        <w:t xml:space="preserve"> complaints </w:t>
      </w:r>
      <w:r w:rsidR="00443E3C">
        <w:rPr>
          <w:rFonts w:ascii="Garamond" w:hAnsi="Garamond"/>
          <w:lang w:val="en-GB" w:eastAsia="en-US"/>
        </w:rPr>
        <w:t xml:space="preserve">received </w:t>
      </w:r>
      <w:r w:rsidR="00DF27E4">
        <w:rPr>
          <w:rFonts w:ascii="Garamond" w:hAnsi="Garamond"/>
          <w:lang w:val="en-GB" w:eastAsia="en-US"/>
        </w:rPr>
        <w:t xml:space="preserve">in 2019 concerned delays in </w:t>
      </w:r>
      <w:r w:rsidR="00443E3C">
        <w:rPr>
          <w:rFonts w:ascii="Garamond" w:hAnsi="Garamond"/>
          <w:lang w:val="en-GB" w:eastAsia="en-US"/>
        </w:rPr>
        <w:t>decisions on</w:t>
      </w:r>
      <w:r w:rsidR="00DF27E4">
        <w:rPr>
          <w:rFonts w:ascii="Garamond" w:hAnsi="Garamond"/>
          <w:lang w:val="en-GB" w:eastAsia="en-US"/>
        </w:rPr>
        <w:t xml:space="preserve"> </w:t>
      </w:r>
      <w:r w:rsidR="00E41410">
        <w:rPr>
          <w:rFonts w:ascii="Garamond" w:hAnsi="Garamond"/>
          <w:lang w:val="en-GB" w:eastAsia="en-US"/>
        </w:rPr>
        <w:t xml:space="preserve">the </w:t>
      </w:r>
      <w:r w:rsidR="00443E3C">
        <w:rPr>
          <w:rFonts w:ascii="Garamond" w:hAnsi="Garamond"/>
          <w:lang w:val="en-GB" w:eastAsia="en-US"/>
        </w:rPr>
        <w:t xml:space="preserve">regularisation </w:t>
      </w:r>
      <w:r w:rsidR="00382ED8">
        <w:rPr>
          <w:rFonts w:ascii="Garamond" w:hAnsi="Garamond"/>
          <w:lang w:val="en-GB" w:eastAsia="en-US"/>
        </w:rPr>
        <w:t>of the migrant</w:t>
      </w:r>
      <w:r w:rsidR="00E41410">
        <w:rPr>
          <w:rFonts w:ascii="Garamond" w:hAnsi="Garamond"/>
          <w:lang w:val="en-GB" w:eastAsia="en-US"/>
        </w:rPr>
        <w:t xml:space="preserve">s’ </w:t>
      </w:r>
      <w:r w:rsidR="00382ED8">
        <w:rPr>
          <w:rFonts w:ascii="Garamond" w:hAnsi="Garamond"/>
          <w:lang w:val="en-GB" w:eastAsia="en-US"/>
        </w:rPr>
        <w:t>status due to</w:t>
      </w:r>
      <w:r w:rsidR="00443E3C">
        <w:rPr>
          <w:rFonts w:ascii="Garamond" w:hAnsi="Garamond"/>
          <w:lang w:val="en-GB" w:eastAsia="en-US"/>
        </w:rPr>
        <w:t xml:space="preserve"> humanitarian grounds (art. 123 of the Immigration Law</w:t>
      </w:r>
      <w:r w:rsidR="00CE0BFD">
        <w:rPr>
          <w:rStyle w:val="Refdenotaderodap"/>
          <w:rFonts w:ascii="Garamond" w:hAnsi="Garamond"/>
          <w:lang w:val="en-GB" w:eastAsia="en-US"/>
        </w:rPr>
        <w:footnoteReference w:id="9"/>
      </w:r>
      <w:r w:rsidR="00443E3C">
        <w:rPr>
          <w:rFonts w:ascii="Garamond" w:hAnsi="Garamond"/>
          <w:lang w:val="en-GB" w:eastAsia="en-US"/>
        </w:rPr>
        <w:t xml:space="preserve">). </w:t>
      </w:r>
      <w:r w:rsidR="00CE0BFD">
        <w:rPr>
          <w:rFonts w:ascii="Garamond" w:hAnsi="Garamond"/>
          <w:lang w:val="en-GB" w:eastAsia="en-US"/>
        </w:rPr>
        <w:t xml:space="preserve">This </w:t>
      </w:r>
      <w:r w:rsidR="00382ED8">
        <w:rPr>
          <w:rFonts w:ascii="Garamond" w:hAnsi="Garamond"/>
          <w:lang w:val="en-GB" w:eastAsia="en-US"/>
        </w:rPr>
        <w:t>regularisation possibility</w:t>
      </w:r>
      <w:r w:rsidR="00CE0BFD">
        <w:rPr>
          <w:rFonts w:ascii="Garamond" w:hAnsi="Garamond"/>
          <w:lang w:val="en-GB" w:eastAsia="en-US"/>
        </w:rPr>
        <w:t xml:space="preserve"> </w:t>
      </w:r>
      <w:r w:rsidR="00443E3C">
        <w:rPr>
          <w:rFonts w:ascii="Garamond" w:hAnsi="Garamond"/>
          <w:lang w:val="en-GB" w:eastAsia="en-US"/>
        </w:rPr>
        <w:t xml:space="preserve">does not correspond to a subjective right of the applicant, </w:t>
      </w:r>
      <w:r w:rsidR="00E23676">
        <w:rPr>
          <w:rFonts w:ascii="Garamond" w:hAnsi="Garamond"/>
          <w:lang w:val="en-GB" w:eastAsia="en-US"/>
        </w:rPr>
        <w:t>but to</w:t>
      </w:r>
      <w:r w:rsidR="00443E3C">
        <w:rPr>
          <w:rFonts w:ascii="Garamond" w:hAnsi="Garamond"/>
          <w:lang w:val="en-GB" w:eastAsia="en-US"/>
        </w:rPr>
        <w:t xml:space="preserve"> a discretionary power of the Minister of Home Affairs. Even though</w:t>
      </w:r>
      <w:r w:rsidR="00E23676">
        <w:rPr>
          <w:rFonts w:ascii="Garamond" w:hAnsi="Garamond"/>
          <w:lang w:val="en-GB" w:eastAsia="en-US"/>
        </w:rPr>
        <w:t>,</w:t>
      </w:r>
      <w:r w:rsidR="00443E3C">
        <w:rPr>
          <w:rFonts w:ascii="Garamond" w:hAnsi="Garamond"/>
          <w:lang w:val="en-GB" w:eastAsia="en-US"/>
        </w:rPr>
        <w:t xml:space="preserve"> </w:t>
      </w:r>
      <w:r w:rsidR="00A57927">
        <w:rPr>
          <w:rFonts w:ascii="Garamond" w:hAnsi="Garamond"/>
          <w:lang w:val="en-GB" w:eastAsia="en-US"/>
        </w:rPr>
        <w:t>its</w:t>
      </w:r>
      <w:r w:rsidR="00382ED8">
        <w:rPr>
          <w:rFonts w:ascii="Garamond" w:hAnsi="Garamond"/>
          <w:lang w:val="en-GB" w:eastAsia="en-US"/>
        </w:rPr>
        <w:t xml:space="preserve"> procedure </w:t>
      </w:r>
      <w:r w:rsidR="00A57927">
        <w:rPr>
          <w:rFonts w:ascii="Garamond" w:hAnsi="Garamond"/>
          <w:lang w:val="en-GB" w:eastAsia="en-US"/>
        </w:rPr>
        <w:t xml:space="preserve">frequently </w:t>
      </w:r>
      <w:r w:rsidR="00382ED8">
        <w:rPr>
          <w:rFonts w:ascii="Garamond" w:hAnsi="Garamond"/>
          <w:lang w:val="en-GB" w:eastAsia="en-US"/>
        </w:rPr>
        <w:t xml:space="preserve">starts with an application from the interested person. After this application, the Administration </w:t>
      </w:r>
      <w:r w:rsidR="00E23676">
        <w:rPr>
          <w:rFonts w:ascii="Garamond" w:hAnsi="Garamond"/>
          <w:lang w:val="en-GB" w:eastAsia="en-US"/>
        </w:rPr>
        <w:t>is</w:t>
      </w:r>
      <w:r w:rsidR="00382ED8">
        <w:rPr>
          <w:rFonts w:ascii="Garamond" w:hAnsi="Garamond"/>
          <w:lang w:val="en-GB" w:eastAsia="en-US"/>
        </w:rPr>
        <w:t xml:space="preserve"> tak</w:t>
      </w:r>
      <w:r w:rsidR="00E23676">
        <w:rPr>
          <w:rFonts w:ascii="Garamond" w:hAnsi="Garamond"/>
          <w:lang w:val="en-GB" w:eastAsia="en-US"/>
        </w:rPr>
        <w:t>ing</w:t>
      </w:r>
      <w:r w:rsidR="00382ED8">
        <w:rPr>
          <w:rFonts w:ascii="Garamond" w:hAnsi="Garamond"/>
          <w:lang w:val="en-GB" w:eastAsia="en-US"/>
        </w:rPr>
        <w:t xml:space="preserve"> many months – sometimes even more than a year – to </w:t>
      </w:r>
      <w:r w:rsidR="00A57927">
        <w:rPr>
          <w:rFonts w:ascii="Garamond" w:hAnsi="Garamond"/>
          <w:lang w:val="en-GB" w:eastAsia="en-US"/>
        </w:rPr>
        <w:t>reach a final answer</w:t>
      </w:r>
      <w:r w:rsidR="00382ED8">
        <w:rPr>
          <w:rFonts w:ascii="Garamond" w:hAnsi="Garamond"/>
          <w:lang w:val="en-GB" w:eastAsia="en-US"/>
        </w:rPr>
        <w:t>. T</w:t>
      </w:r>
      <w:r w:rsidR="00443E3C">
        <w:rPr>
          <w:rFonts w:ascii="Garamond" w:hAnsi="Garamond"/>
          <w:lang w:val="en-GB" w:eastAsia="en-US"/>
        </w:rPr>
        <w:t>he high number of complaints</w:t>
      </w:r>
      <w:r w:rsidR="00382ED8">
        <w:rPr>
          <w:rFonts w:ascii="Garamond" w:hAnsi="Garamond"/>
          <w:lang w:val="en-GB" w:eastAsia="en-US"/>
        </w:rPr>
        <w:t xml:space="preserve"> against this situation</w:t>
      </w:r>
      <w:r w:rsidR="00443E3C">
        <w:rPr>
          <w:rFonts w:ascii="Garamond" w:hAnsi="Garamond"/>
          <w:lang w:val="en-GB" w:eastAsia="en-US"/>
        </w:rPr>
        <w:t xml:space="preserve"> (</w:t>
      </w:r>
      <w:r w:rsidR="005C297A">
        <w:rPr>
          <w:rFonts w:ascii="Garamond" w:hAnsi="Garamond"/>
          <w:lang w:val="en-GB" w:eastAsia="en-US"/>
        </w:rPr>
        <w:t>169 complaints in 2019</w:t>
      </w:r>
      <w:r w:rsidR="00443E3C">
        <w:rPr>
          <w:rFonts w:ascii="Garamond" w:hAnsi="Garamond"/>
          <w:lang w:val="en-GB" w:eastAsia="en-US"/>
        </w:rPr>
        <w:t>) is worrisome</w:t>
      </w:r>
      <w:r w:rsidR="00F60C71">
        <w:rPr>
          <w:rFonts w:ascii="Garamond" w:hAnsi="Garamond"/>
          <w:lang w:val="en-GB" w:eastAsia="en-US"/>
        </w:rPr>
        <w:t xml:space="preserve">, </w:t>
      </w:r>
      <w:r w:rsidR="00382ED8">
        <w:rPr>
          <w:rFonts w:ascii="Garamond" w:hAnsi="Garamond"/>
          <w:lang w:val="en-GB" w:eastAsia="en-US"/>
        </w:rPr>
        <w:t>especially</w:t>
      </w:r>
      <w:r w:rsidR="00F60C71">
        <w:rPr>
          <w:rFonts w:ascii="Garamond" w:hAnsi="Garamond"/>
          <w:lang w:val="en-GB" w:eastAsia="en-US"/>
        </w:rPr>
        <w:t xml:space="preserve"> d</w:t>
      </w:r>
      <w:r w:rsidR="00CE0BFD">
        <w:rPr>
          <w:rFonts w:ascii="Garamond" w:hAnsi="Garamond"/>
          <w:lang w:val="en-GB" w:eastAsia="en-US"/>
        </w:rPr>
        <w:t>u</w:t>
      </w:r>
      <w:r w:rsidR="00F60C71">
        <w:rPr>
          <w:rFonts w:ascii="Garamond" w:hAnsi="Garamond"/>
          <w:lang w:val="en-GB" w:eastAsia="en-US"/>
        </w:rPr>
        <w:t xml:space="preserve">e to </w:t>
      </w:r>
      <w:r w:rsidR="00A57927">
        <w:rPr>
          <w:rFonts w:ascii="Garamond" w:hAnsi="Garamond"/>
          <w:lang w:val="en-GB" w:eastAsia="en-US"/>
        </w:rPr>
        <w:t>the</w:t>
      </w:r>
      <w:r w:rsidR="00F60C71">
        <w:rPr>
          <w:rFonts w:ascii="Garamond" w:hAnsi="Garamond"/>
          <w:lang w:val="en-GB" w:eastAsia="en-US"/>
        </w:rPr>
        <w:t xml:space="preserve"> lack of </w:t>
      </w:r>
      <w:r w:rsidR="00CE0BFD">
        <w:rPr>
          <w:rFonts w:ascii="Garamond" w:hAnsi="Garamond"/>
          <w:lang w:val="en-GB" w:eastAsia="en-US"/>
        </w:rPr>
        <w:t>transparency</w:t>
      </w:r>
      <w:r w:rsidR="00A57927">
        <w:rPr>
          <w:rFonts w:ascii="Garamond" w:hAnsi="Garamond"/>
          <w:lang w:val="en-GB" w:eastAsia="en-US"/>
        </w:rPr>
        <w:t xml:space="preserve"> of this particular procedure</w:t>
      </w:r>
      <w:r w:rsidR="00443E3C">
        <w:rPr>
          <w:rFonts w:ascii="Garamond" w:hAnsi="Garamond"/>
          <w:lang w:val="en-GB" w:eastAsia="en-US"/>
        </w:rPr>
        <w:t xml:space="preserve">. </w:t>
      </w:r>
    </w:p>
    <w:p w14:paraId="6B77E408" w14:textId="0089E171" w:rsidR="00443E3C" w:rsidRDefault="00443E3C" w:rsidP="00CB5412">
      <w:pPr>
        <w:spacing w:after="200" w:line="360" w:lineRule="auto"/>
        <w:ind w:firstLine="708"/>
        <w:jc w:val="both"/>
        <w:rPr>
          <w:rFonts w:ascii="Garamond" w:hAnsi="Garamond"/>
          <w:lang w:val="en-GB" w:eastAsia="en-US"/>
        </w:rPr>
      </w:pPr>
      <w:r>
        <w:rPr>
          <w:rFonts w:ascii="Garamond" w:hAnsi="Garamond"/>
          <w:lang w:val="en-GB" w:eastAsia="en-US"/>
        </w:rPr>
        <w:t>A high number o</w:t>
      </w:r>
      <w:r w:rsidR="00E23676">
        <w:rPr>
          <w:rFonts w:ascii="Garamond" w:hAnsi="Garamond"/>
          <w:lang w:val="en-GB" w:eastAsia="en-US"/>
        </w:rPr>
        <w:t>f</w:t>
      </w:r>
      <w:r>
        <w:rPr>
          <w:rFonts w:ascii="Garamond" w:hAnsi="Garamond"/>
          <w:lang w:val="en-GB" w:eastAsia="en-US"/>
        </w:rPr>
        <w:t xml:space="preserve"> delays is also verified in decisions </w:t>
      </w:r>
      <w:r w:rsidR="00E23676">
        <w:rPr>
          <w:rFonts w:ascii="Garamond" w:hAnsi="Garamond"/>
          <w:lang w:val="en-GB" w:eastAsia="en-US"/>
        </w:rPr>
        <w:t>on</w:t>
      </w:r>
      <w:r>
        <w:rPr>
          <w:rFonts w:ascii="Garamond" w:hAnsi="Garamond"/>
          <w:lang w:val="en-GB" w:eastAsia="en-US"/>
        </w:rPr>
        <w:t xml:space="preserve"> regularisations for work purposes</w:t>
      </w:r>
      <w:r w:rsidR="000820C7">
        <w:rPr>
          <w:rFonts w:ascii="Garamond" w:hAnsi="Garamond"/>
          <w:lang w:val="en-GB" w:eastAsia="en-US"/>
        </w:rPr>
        <w:t>, foreseen in art. 88</w:t>
      </w:r>
      <w:r w:rsidR="00E23676">
        <w:rPr>
          <w:rFonts w:ascii="Garamond" w:hAnsi="Garamond"/>
          <w:lang w:val="en-GB" w:eastAsia="en-US"/>
        </w:rPr>
        <w:t xml:space="preserve"> of the Immigration Law</w:t>
      </w:r>
      <w:r w:rsidR="000820C7">
        <w:rPr>
          <w:rFonts w:ascii="Garamond" w:hAnsi="Garamond"/>
          <w:lang w:val="en-GB" w:eastAsia="en-US"/>
        </w:rPr>
        <w:t xml:space="preserve"> (</w:t>
      </w:r>
      <w:r w:rsidR="00A57927">
        <w:rPr>
          <w:rFonts w:ascii="Garamond" w:hAnsi="Garamond"/>
          <w:lang w:val="en-GB" w:eastAsia="en-US"/>
        </w:rPr>
        <w:t xml:space="preserve">the Ombudsman has received </w:t>
      </w:r>
      <w:r w:rsidR="005C297A">
        <w:rPr>
          <w:rFonts w:ascii="Garamond" w:hAnsi="Garamond"/>
          <w:lang w:val="en-GB" w:eastAsia="en-US"/>
        </w:rPr>
        <w:t>67</w:t>
      </w:r>
      <w:r w:rsidR="00A57927">
        <w:rPr>
          <w:rFonts w:ascii="Garamond" w:hAnsi="Garamond"/>
          <w:lang w:val="en-GB" w:eastAsia="en-US"/>
        </w:rPr>
        <w:t xml:space="preserve"> complaints</w:t>
      </w:r>
      <w:r w:rsidR="000820C7">
        <w:rPr>
          <w:rFonts w:ascii="Garamond" w:hAnsi="Garamond"/>
          <w:lang w:val="en-GB" w:eastAsia="en-US"/>
        </w:rPr>
        <w:t xml:space="preserve"> in 2019), </w:t>
      </w:r>
      <w:r w:rsidR="00AA5837">
        <w:rPr>
          <w:rFonts w:ascii="Garamond" w:hAnsi="Garamond"/>
          <w:lang w:val="en-GB" w:eastAsia="en-US"/>
        </w:rPr>
        <w:t xml:space="preserve">in decisions </w:t>
      </w:r>
      <w:r w:rsidR="00E23676">
        <w:rPr>
          <w:rFonts w:ascii="Garamond" w:hAnsi="Garamond"/>
          <w:lang w:val="en-GB" w:eastAsia="en-US"/>
        </w:rPr>
        <w:t>on</w:t>
      </w:r>
      <w:r w:rsidR="00AA5837">
        <w:rPr>
          <w:rFonts w:ascii="Garamond" w:hAnsi="Garamond"/>
          <w:lang w:val="en-GB" w:eastAsia="en-US"/>
        </w:rPr>
        <w:t xml:space="preserve"> family reunification (2</w:t>
      </w:r>
      <w:r w:rsidR="005C297A">
        <w:rPr>
          <w:rFonts w:ascii="Garamond" w:hAnsi="Garamond"/>
          <w:lang w:val="en-GB" w:eastAsia="en-US"/>
        </w:rPr>
        <w:t>6</w:t>
      </w:r>
      <w:r w:rsidR="00AA5837">
        <w:rPr>
          <w:rFonts w:ascii="Garamond" w:hAnsi="Garamond"/>
          <w:lang w:val="en-GB" w:eastAsia="en-US"/>
        </w:rPr>
        <w:t xml:space="preserve"> complaints, in the same </w:t>
      </w:r>
      <w:r w:rsidR="005C297A">
        <w:rPr>
          <w:rFonts w:ascii="Garamond" w:hAnsi="Garamond"/>
          <w:lang w:val="en-GB" w:eastAsia="en-US"/>
        </w:rPr>
        <w:t>year</w:t>
      </w:r>
      <w:r w:rsidR="00AA5837">
        <w:rPr>
          <w:rFonts w:ascii="Garamond" w:hAnsi="Garamond"/>
          <w:lang w:val="en-GB" w:eastAsia="en-US"/>
        </w:rPr>
        <w:t xml:space="preserve">), and on </w:t>
      </w:r>
      <w:r w:rsidR="00E23676">
        <w:rPr>
          <w:rFonts w:ascii="Garamond" w:hAnsi="Garamond"/>
          <w:lang w:val="en-GB" w:eastAsia="en-US"/>
        </w:rPr>
        <w:t xml:space="preserve">the </w:t>
      </w:r>
      <w:r w:rsidR="00AA5837">
        <w:rPr>
          <w:rFonts w:ascii="Garamond" w:hAnsi="Garamond"/>
          <w:lang w:val="en-GB" w:eastAsia="en-US"/>
        </w:rPr>
        <w:t>renewal of residence permits</w:t>
      </w:r>
      <w:r w:rsidR="005C297A">
        <w:rPr>
          <w:rFonts w:ascii="Garamond" w:hAnsi="Garamond"/>
          <w:lang w:val="en-GB" w:eastAsia="en-US"/>
        </w:rPr>
        <w:t xml:space="preserve"> (22 complaints)</w:t>
      </w:r>
      <w:r w:rsidR="00AA5837">
        <w:rPr>
          <w:rFonts w:ascii="Garamond" w:hAnsi="Garamond"/>
          <w:lang w:val="en-GB" w:eastAsia="en-US"/>
        </w:rPr>
        <w:t>.</w:t>
      </w:r>
      <w:r w:rsidR="00382ED8">
        <w:rPr>
          <w:rFonts w:ascii="Garamond" w:hAnsi="Garamond"/>
          <w:lang w:val="en-GB" w:eastAsia="en-US"/>
        </w:rPr>
        <w:t xml:space="preserve"> </w:t>
      </w:r>
      <w:r w:rsidR="00E23676">
        <w:rPr>
          <w:rFonts w:ascii="Garamond" w:hAnsi="Garamond"/>
          <w:lang w:val="en-GB" w:eastAsia="en-US"/>
        </w:rPr>
        <w:t>T</w:t>
      </w:r>
      <w:r w:rsidR="00382ED8">
        <w:rPr>
          <w:rFonts w:ascii="Garamond" w:hAnsi="Garamond"/>
          <w:lang w:val="en-GB" w:eastAsia="en-US"/>
        </w:rPr>
        <w:t>he reported delays in th</w:t>
      </w:r>
      <w:r w:rsidR="00E23676">
        <w:rPr>
          <w:rFonts w:ascii="Garamond" w:hAnsi="Garamond"/>
          <w:lang w:val="en-GB" w:eastAsia="en-US"/>
        </w:rPr>
        <w:t>ese</w:t>
      </w:r>
      <w:r w:rsidR="00382ED8">
        <w:rPr>
          <w:rFonts w:ascii="Garamond" w:hAnsi="Garamond"/>
          <w:lang w:val="en-GB" w:eastAsia="en-US"/>
        </w:rPr>
        <w:t xml:space="preserve"> realm</w:t>
      </w:r>
      <w:r w:rsidR="00E23676">
        <w:rPr>
          <w:rFonts w:ascii="Garamond" w:hAnsi="Garamond"/>
          <w:lang w:val="en-GB" w:eastAsia="en-US"/>
        </w:rPr>
        <w:t>s</w:t>
      </w:r>
      <w:r w:rsidR="00382ED8">
        <w:rPr>
          <w:rFonts w:ascii="Garamond" w:hAnsi="Garamond"/>
          <w:lang w:val="en-GB" w:eastAsia="en-US"/>
        </w:rPr>
        <w:t xml:space="preserve"> </w:t>
      </w:r>
      <w:r w:rsidR="00A57927">
        <w:rPr>
          <w:rFonts w:ascii="Garamond" w:hAnsi="Garamond"/>
          <w:lang w:val="en-GB" w:eastAsia="en-US"/>
        </w:rPr>
        <w:t xml:space="preserve">may </w:t>
      </w:r>
      <w:r w:rsidR="00E23676">
        <w:rPr>
          <w:rFonts w:ascii="Garamond" w:hAnsi="Garamond"/>
          <w:lang w:val="en-GB" w:eastAsia="en-US"/>
        </w:rPr>
        <w:t xml:space="preserve">also </w:t>
      </w:r>
      <w:r w:rsidR="00A57927">
        <w:rPr>
          <w:rFonts w:ascii="Garamond" w:hAnsi="Garamond"/>
          <w:lang w:val="en-GB" w:eastAsia="en-US"/>
        </w:rPr>
        <w:t xml:space="preserve">last from several months up to </w:t>
      </w:r>
      <w:r w:rsidR="00E23676">
        <w:rPr>
          <w:rFonts w:ascii="Garamond" w:hAnsi="Garamond"/>
          <w:lang w:val="en-GB" w:eastAsia="en-US"/>
        </w:rPr>
        <w:t>one</w:t>
      </w:r>
      <w:r w:rsidR="00A57927">
        <w:rPr>
          <w:rFonts w:ascii="Garamond" w:hAnsi="Garamond"/>
          <w:lang w:val="en-GB" w:eastAsia="en-US"/>
        </w:rPr>
        <w:t xml:space="preserve"> year</w:t>
      </w:r>
      <w:r w:rsidR="00382ED8">
        <w:rPr>
          <w:rFonts w:ascii="Garamond" w:hAnsi="Garamond"/>
          <w:lang w:val="en-GB" w:eastAsia="en-US"/>
        </w:rPr>
        <w:t>.</w:t>
      </w:r>
      <w:r w:rsidR="00AA5837">
        <w:rPr>
          <w:rFonts w:ascii="Garamond" w:hAnsi="Garamond"/>
          <w:lang w:val="en-GB" w:eastAsia="en-US"/>
        </w:rPr>
        <w:t xml:space="preserve"> </w:t>
      </w:r>
      <w:r w:rsidR="00382ED8">
        <w:rPr>
          <w:rFonts w:ascii="Garamond" w:hAnsi="Garamond"/>
          <w:lang w:val="en-GB" w:eastAsia="en-US"/>
        </w:rPr>
        <w:t xml:space="preserve">Cases of family reunification and </w:t>
      </w:r>
      <w:r w:rsidR="00E23676">
        <w:rPr>
          <w:rFonts w:ascii="Garamond" w:hAnsi="Garamond"/>
          <w:lang w:val="en-GB" w:eastAsia="en-US"/>
        </w:rPr>
        <w:t xml:space="preserve">residence permits’ </w:t>
      </w:r>
      <w:r w:rsidR="00382ED8">
        <w:rPr>
          <w:rFonts w:ascii="Garamond" w:hAnsi="Garamond"/>
          <w:lang w:val="en-GB" w:eastAsia="en-US"/>
        </w:rPr>
        <w:t>renewals</w:t>
      </w:r>
      <w:r w:rsidR="00AA5837">
        <w:rPr>
          <w:rFonts w:ascii="Garamond" w:hAnsi="Garamond"/>
          <w:lang w:val="en-GB" w:eastAsia="en-US"/>
        </w:rPr>
        <w:t xml:space="preserve"> are </w:t>
      </w:r>
      <w:r w:rsidR="00382ED8">
        <w:rPr>
          <w:rFonts w:ascii="Garamond" w:hAnsi="Garamond"/>
          <w:lang w:val="en-GB" w:eastAsia="en-US"/>
        </w:rPr>
        <w:t xml:space="preserve">particularly </w:t>
      </w:r>
      <w:r w:rsidR="00A57927">
        <w:rPr>
          <w:rFonts w:ascii="Garamond" w:hAnsi="Garamond"/>
          <w:lang w:val="en-GB" w:eastAsia="en-US"/>
        </w:rPr>
        <w:t>troubling</w:t>
      </w:r>
      <w:r w:rsidR="00AA5837">
        <w:rPr>
          <w:rFonts w:ascii="Garamond" w:hAnsi="Garamond"/>
          <w:lang w:val="en-GB" w:eastAsia="en-US"/>
        </w:rPr>
        <w:t xml:space="preserve">, since they compromise the enjoyment of the human rights to family unity and to private life, as enshrined in Article 17 of the Covenant. </w:t>
      </w:r>
      <w:r w:rsidRPr="00541431">
        <w:rPr>
          <w:rFonts w:ascii="Garamond" w:hAnsi="Garamond"/>
          <w:lang w:val="en-GB" w:eastAsia="en-US"/>
        </w:rPr>
        <w:t>Although the majority of these complaints are related to immigration</w:t>
      </w:r>
      <w:r w:rsidR="00E23676">
        <w:rPr>
          <w:rFonts w:ascii="Garamond" w:hAnsi="Garamond"/>
          <w:lang w:val="en-GB" w:eastAsia="en-US"/>
        </w:rPr>
        <w:t xml:space="preserve"> law</w:t>
      </w:r>
      <w:r w:rsidRPr="00541431">
        <w:rPr>
          <w:rFonts w:ascii="Garamond" w:hAnsi="Garamond"/>
          <w:lang w:val="en-GB" w:eastAsia="en-US"/>
        </w:rPr>
        <w:t>, t</w:t>
      </w:r>
      <w:r>
        <w:rPr>
          <w:rFonts w:ascii="Garamond" w:hAnsi="Garamond"/>
          <w:lang w:val="en-GB" w:eastAsia="en-US"/>
        </w:rPr>
        <w:t xml:space="preserve">here are also some </w:t>
      </w:r>
      <w:r w:rsidRPr="00541431">
        <w:rPr>
          <w:rFonts w:ascii="Garamond" w:hAnsi="Garamond"/>
          <w:lang w:val="en-GB" w:eastAsia="en-US"/>
        </w:rPr>
        <w:t xml:space="preserve">complaints on delays </w:t>
      </w:r>
      <w:r w:rsidR="00E23676">
        <w:rPr>
          <w:rFonts w:ascii="Garamond" w:hAnsi="Garamond"/>
          <w:lang w:val="en-GB" w:eastAsia="en-US"/>
        </w:rPr>
        <w:t>regarding</w:t>
      </w:r>
      <w:r w:rsidRPr="00541431">
        <w:rPr>
          <w:rFonts w:ascii="Garamond" w:hAnsi="Garamond"/>
          <w:lang w:val="en-GB" w:eastAsia="en-US"/>
        </w:rPr>
        <w:t xml:space="preserve"> </w:t>
      </w:r>
      <w:r w:rsidR="00AA5837">
        <w:rPr>
          <w:rFonts w:ascii="Garamond" w:hAnsi="Garamond"/>
          <w:lang w:val="en-GB" w:eastAsia="en-US"/>
        </w:rPr>
        <w:t xml:space="preserve">authorisations for family reunification of refugees or </w:t>
      </w:r>
      <w:r w:rsidR="00A57927">
        <w:rPr>
          <w:rFonts w:ascii="Garamond" w:hAnsi="Garamond"/>
          <w:lang w:val="en-GB" w:eastAsia="en-US"/>
        </w:rPr>
        <w:t xml:space="preserve">renewals of the </w:t>
      </w:r>
      <w:r w:rsidR="00382ED8">
        <w:rPr>
          <w:rFonts w:ascii="Garamond" w:hAnsi="Garamond"/>
          <w:lang w:val="en-GB" w:eastAsia="en-US"/>
        </w:rPr>
        <w:t xml:space="preserve">international protection’s </w:t>
      </w:r>
      <w:r w:rsidR="00AA5837">
        <w:rPr>
          <w:rFonts w:ascii="Garamond" w:hAnsi="Garamond"/>
          <w:lang w:val="en-GB" w:eastAsia="en-US"/>
        </w:rPr>
        <w:lastRenderedPageBreak/>
        <w:t xml:space="preserve">status. Finally, although less abundant, the Ombudsman has also received some complaints </w:t>
      </w:r>
      <w:r w:rsidR="00E23676">
        <w:rPr>
          <w:rFonts w:ascii="Garamond" w:hAnsi="Garamond"/>
          <w:lang w:val="en-GB" w:eastAsia="en-US"/>
        </w:rPr>
        <w:t>about</w:t>
      </w:r>
      <w:r w:rsidR="00AA5837">
        <w:rPr>
          <w:rFonts w:ascii="Garamond" w:hAnsi="Garamond"/>
          <w:lang w:val="en-GB" w:eastAsia="en-US"/>
        </w:rPr>
        <w:t xml:space="preserve"> delays in the </w:t>
      </w:r>
      <w:r w:rsidRPr="00541431">
        <w:rPr>
          <w:rFonts w:ascii="Garamond" w:hAnsi="Garamond"/>
          <w:lang w:val="en-GB" w:eastAsia="en-US"/>
        </w:rPr>
        <w:t xml:space="preserve">recognition of refugee or subsidiary </w:t>
      </w:r>
      <w:r>
        <w:rPr>
          <w:rFonts w:ascii="Garamond" w:hAnsi="Garamond"/>
          <w:lang w:val="en-GB" w:eastAsia="en-US"/>
        </w:rPr>
        <w:t xml:space="preserve">international </w:t>
      </w:r>
      <w:r w:rsidRPr="00541431">
        <w:rPr>
          <w:rFonts w:ascii="Garamond" w:hAnsi="Garamond"/>
          <w:lang w:val="en-GB" w:eastAsia="en-US"/>
        </w:rPr>
        <w:t>protection status</w:t>
      </w:r>
      <w:r w:rsidR="00F60C71">
        <w:rPr>
          <w:rFonts w:ascii="Garamond" w:hAnsi="Garamond"/>
          <w:lang w:val="en-GB" w:eastAsia="en-US"/>
        </w:rPr>
        <w:t xml:space="preserve">. This last scenario is also of the utmost importance, since asylum seekers may remain in the territory for large periods of time without </w:t>
      </w:r>
      <w:r w:rsidR="00E23676">
        <w:rPr>
          <w:rFonts w:ascii="Garamond" w:hAnsi="Garamond"/>
          <w:lang w:val="en-GB" w:eastAsia="en-US"/>
        </w:rPr>
        <w:t xml:space="preserve">them </w:t>
      </w:r>
      <w:r w:rsidR="00F60C71">
        <w:rPr>
          <w:rFonts w:ascii="Garamond" w:hAnsi="Garamond"/>
          <w:lang w:val="en-GB" w:eastAsia="en-US"/>
        </w:rPr>
        <w:t xml:space="preserve">being recognised </w:t>
      </w:r>
      <w:r w:rsidR="00E23676">
        <w:rPr>
          <w:rFonts w:ascii="Garamond" w:hAnsi="Garamond"/>
          <w:lang w:val="en-GB" w:eastAsia="en-US"/>
        </w:rPr>
        <w:t>as refugees of subsidiary protection holders</w:t>
      </w:r>
      <w:r w:rsidR="00F60C71">
        <w:rPr>
          <w:rFonts w:ascii="Garamond" w:hAnsi="Garamond"/>
          <w:lang w:val="en-GB" w:eastAsia="en-US"/>
        </w:rPr>
        <w:t>.</w:t>
      </w:r>
    </w:p>
    <w:p w14:paraId="0903C80D" w14:textId="77777777" w:rsidR="00167BAF" w:rsidRPr="00541431" w:rsidRDefault="00167BAF" w:rsidP="00CB5412">
      <w:pPr>
        <w:spacing w:after="200" w:line="360" w:lineRule="auto"/>
        <w:ind w:firstLine="708"/>
        <w:jc w:val="both"/>
        <w:rPr>
          <w:rFonts w:ascii="Garamond" w:hAnsi="Garamond"/>
          <w:lang w:val="en-GB" w:eastAsia="en-US"/>
        </w:rPr>
      </w:pPr>
    </w:p>
    <w:p w14:paraId="08B8E34C" w14:textId="711E5564" w:rsidR="00B34F52" w:rsidRDefault="00B34F52" w:rsidP="00B34F52">
      <w:pPr>
        <w:spacing w:after="200" w:line="360" w:lineRule="auto"/>
        <w:ind w:firstLine="708"/>
        <w:jc w:val="both"/>
        <w:rPr>
          <w:rFonts w:ascii="Garamond" w:hAnsi="Garamond"/>
          <w:lang w:val="en-GB" w:eastAsia="en-US"/>
        </w:rPr>
      </w:pPr>
      <w:r w:rsidRPr="00541431">
        <w:rPr>
          <w:rFonts w:ascii="Garamond" w:hAnsi="Garamond"/>
          <w:lang w:val="en-GB" w:eastAsia="en-US"/>
        </w:rPr>
        <w:t xml:space="preserve">As for measures taken to ensure that </w:t>
      </w:r>
      <w:r w:rsidR="00DC5A16">
        <w:rPr>
          <w:rFonts w:ascii="Garamond" w:hAnsi="Garamond"/>
          <w:lang w:val="en-GB" w:eastAsia="en-US"/>
        </w:rPr>
        <w:t>every person</w:t>
      </w:r>
      <w:r w:rsidRPr="00541431">
        <w:rPr>
          <w:rFonts w:ascii="Garamond" w:hAnsi="Garamond"/>
          <w:lang w:val="en-GB" w:eastAsia="en-US"/>
        </w:rPr>
        <w:t xml:space="preserve"> seeking asylum enjoy</w:t>
      </w:r>
      <w:r w:rsidR="004655E6">
        <w:rPr>
          <w:rFonts w:ascii="Garamond" w:hAnsi="Garamond"/>
          <w:lang w:val="en-GB" w:eastAsia="en-US"/>
        </w:rPr>
        <w:t>s</w:t>
      </w:r>
      <w:r w:rsidRPr="00541431">
        <w:rPr>
          <w:rFonts w:ascii="Garamond" w:hAnsi="Garamond"/>
          <w:lang w:val="en-GB" w:eastAsia="en-US"/>
        </w:rPr>
        <w:t xml:space="preserve"> all </w:t>
      </w:r>
      <w:r w:rsidR="004655E6">
        <w:rPr>
          <w:rFonts w:ascii="Garamond" w:hAnsi="Garamond"/>
          <w:lang w:val="en-GB" w:eastAsia="en-US"/>
        </w:rPr>
        <w:t xml:space="preserve">existing </w:t>
      </w:r>
      <w:r w:rsidRPr="00541431">
        <w:rPr>
          <w:rFonts w:ascii="Garamond" w:hAnsi="Garamond"/>
          <w:lang w:val="en-GB" w:eastAsia="en-US"/>
        </w:rPr>
        <w:t xml:space="preserve">procedural guarantees, </w:t>
      </w:r>
      <w:r w:rsidR="00FF2EED" w:rsidRPr="00541431">
        <w:rPr>
          <w:rFonts w:ascii="Garamond" w:hAnsi="Garamond"/>
          <w:lang w:val="en-GB" w:eastAsia="en-US"/>
        </w:rPr>
        <w:t xml:space="preserve">several asylum seekers </w:t>
      </w:r>
      <w:r w:rsidR="00D62F64" w:rsidRPr="00541431">
        <w:rPr>
          <w:rFonts w:ascii="Garamond" w:hAnsi="Garamond"/>
          <w:lang w:val="en-GB" w:eastAsia="en-US"/>
        </w:rPr>
        <w:t xml:space="preserve">who were detained </w:t>
      </w:r>
      <w:r w:rsidR="00FF2EED" w:rsidRPr="00541431">
        <w:rPr>
          <w:rFonts w:ascii="Garamond" w:hAnsi="Garamond"/>
          <w:lang w:val="en-GB" w:eastAsia="en-US"/>
        </w:rPr>
        <w:t xml:space="preserve">reported </w:t>
      </w:r>
      <w:r w:rsidR="00B85BEF" w:rsidRPr="00541431">
        <w:rPr>
          <w:rFonts w:ascii="Garamond" w:hAnsi="Garamond"/>
          <w:lang w:val="en-GB" w:eastAsia="en-US"/>
        </w:rPr>
        <w:t xml:space="preserve">to the NPM </w:t>
      </w:r>
      <w:r w:rsidR="00FF2EED" w:rsidRPr="00541431">
        <w:rPr>
          <w:rFonts w:ascii="Garamond" w:hAnsi="Garamond"/>
          <w:lang w:val="en-GB" w:eastAsia="en-US"/>
        </w:rPr>
        <w:t xml:space="preserve">that they </w:t>
      </w:r>
      <w:r w:rsidRPr="00541431">
        <w:rPr>
          <w:rFonts w:ascii="Garamond" w:hAnsi="Garamond"/>
          <w:lang w:val="en-GB" w:eastAsia="en-US"/>
        </w:rPr>
        <w:t>were unaware of whether a decision had already been taken on their case, or wh</w:t>
      </w:r>
      <w:r w:rsidR="00DC5A16">
        <w:rPr>
          <w:rFonts w:ascii="Garamond" w:hAnsi="Garamond"/>
          <w:lang w:val="en-GB" w:eastAsia="en-US"/>
        </w:rPr>
        <w:t>ich was</w:t>
      </w:r>
      <w:r w:rsidRPr="00541431">
        <w:rPr>
          <w:rFonts w:ascii="Garamond" w:hAnsi="Garamond"/>
          <w:lang w:val="en-GB" w:eastAsia="en-US"/>
        </w:rPr>
        <w:t xml:space="preserve"> its content. </w:t>
      </w:r>
      <w:r w:rsidR="00DC5A16">
        <w:rPr>
          <w:rFonts w:ascii="Garamond" w:hAnsi="Garamond"/>
          <w:lang w:val="en-GB" w:eastAsia="en-US"/>
        </w:rPr>
        <w:t>L</w:t>
      </w:r>
      <w:r w:rsidRPr="00541431">
        <w:rPr>
          <w:rFonts w:ascii="Garamond" w:hAnsi="Garamond"/>
          <w:lang w:val="en-GB" w:eastAsia="en-US"/>
        </w:rPr>
        <w:t xml:space="preserve">egal information </w:t>
      </w:r>
      <w:r w:rsidR="00D62F64" w:rsidRPr="00541431">
        <w:rPr>
          <w:rFonts w:ascii="Garamond" w:hAnsi="Garamond"/>
          <w:lang w:val="en-GB" w:eastAsia="en-US"/>
        </w:rPr>
        <w:t xml:space="preserve">to asylum seekers </w:t>
      </w:r>
      <w:r w:rsidRPr="00541431">
        <w:rPr>
          <w:rFonts w:ascii="Garamond" w:hAnsi="Garamond"/>
          <w:lang w:val="en-GB" w:eastAsia="en-US"/>
        </w:rPr>
        <w:t>is normally given by the Portuguese Refugee Council, an NGO that provides support to asylum seekers</w:t>
      </w:r>
      <w:r w:rsidR="004655E6">
        <w:rPr>
          <w:rFonts w:ascii="Garamond" w:hAnsi="Garamond"/>
          <w:lang w:val="en-GB" w:eastAsia="en-US"/>
        </w:rPr>
        <w:t xml:space="preserve"> and</w:t>
      </w:r>
      <w:r w:rsidRPr="00541431">
        <w:rPr>
          <w:rFonts w:ascii="Garamond" w:hAnsi="Garamond"/>
          <w:lang w:val="en-GB" w:eastAsia="en-US"/>
        </w:rPr>
        <w:t xml:space="preserve"> </w:t>
      </w:r>
      <w:r w:rsidR="004655E6" w:rsidRPr="00541431">
        <w:rPr>
          <w:rFonts w:ascii="Garamond" w:hAnsi="Garamond"/>
          <w:lang w:val="en-GB" w:eastAsia="en-US"/>
        </w:rPr>
        <w:t>assist</w:t>
      </w:r>
      <w:r w:rsidR="004655E6">
        <w:rPr>
          <w:rFonts w:ascii="Garamond" w:hAnsi="Garamond"/>
          <w:lang w:val="en-GB" w:eastAsia="en-US"/>
        </w:rPr>
        <w:t>s</w:t>
      </w:r>
      <w:r w:rsidR="004655E6" w:rsidRPr="00541431">
        <w:rPr>
          <w:rFonts w:ascii="Garamond" w:hAnsi="Garamond"/>
          <w:lang w:val="en-GB" w:eastAsia="en-US"/>
        </w:rPr>
        <w:t xml:space="preserve"> </w:t>
      </w:r>
      <w:r w:rsidRPr="00541431">
        <w:rPr>
          <w:rFonts w:ascii="Garamond" w:hAnsi="Garamond"/>
          <w:lang w:val="en-GB" w:eastAsia="en-US"/>
        </w:rPr>
        <w:t>them d</w:t>
      </w:r>
      <w:r w:rsidR="00FF2EED" w:rsidRPr="00541431">
        <w:rPr>
          <w:rFonts w:ascii="Garamond" w:hAnsi="Garamond"/>
          <w:lang w:val="en-GB" w:eastAsia="en-US"/>
        </w:rPr>
        <w:t xml:space="preserve">uring the judicial appeal phase. However, this organisation </w:t>
      </w:r>
      <w:r w:rsidRPr="00541431">
        <w:rPr>
          <w:rFonts w:ascii="Garamond" w:hAnsi="Garamond"/>
          <w:lang w:val="en-GB" w:eastAsia="en-US"/>
        </w:rPr>
        <w:t xml:space="preserve">only </w:t>
      </w:r>
      <w:r w:rsidR="00FF2EED" w:rsidRPr="00541431">
        <w:rPr>
          <w:rFonts w:ascii="Garamond" w:hAnsi="Garamond"/>
          <w:lang w:val="en-GB" w:eastAsia="en-US"/>
        </w:rPr>
        <w:t xml:space="preserve">participates in the procedure </w:t>
      </w:r>
      <w:r w:rsidRPr="00541431">
        <w:rPr>
          <w:rFonts w:ascii="Garamond" w:hAnsi="Garamond"/>
          <w:i/>
          <w:iCs/>
          <w:lang w:val="en-GB" w:eastAsia="en-US"/>
        </w:rPr>
        <w:t>after</w:t>
      </w:r>
      <w:r w:rsidRPr="00541431">
        <w:rPr>
          <w:rFonts w:ascii="Garamond" w:hAnsi="Garamond"/>
          <w:lang w:val="en-GB" w:eastAsia="en-US"/>
        </w:rPr>
        <w:t xml:space="preserve"> a decision refusing to grant asylum</w:t>
      </w:r>
      <w:r w:rsidR="00FD4011">
        <w:rPr>
          <w:rFonts w:ascii="Garamond" w:hAnsi="Garamond"/>
          <w:lang w:val="en-GB" w:eastAsia="en-US"/>
        </w:rPr>
        <w:t xml:space="preserve"> has</w:t>
      </w:r>
      <w:r w:rsidR="00FF2EED" w:rsidRPr="00541431">
        <w:rPr>
          <w:rFonts w:ascii="Garamond" w:hAnsi="Garamond"/>
          <w:lang w:val="en-GB" w:eastAsia="en-US"/>
        </w:rPr>
        <w:t xml:space="preserve"> been issued</w:t>
      </w:r>
      <w:r w:rsidRPr="00541431">
        <w:rPr>
          <w:rFonts w:ascii="Garamond" w:hAnsi="Garamond"/>
          <w:lang w:val="en-GB" w:eastAsia="en-US"/>
        </w:rPr>
        <w:t xml:space="preserve">. </w:t>
      </w:r>
      <w:r w:rsidR="00B85BEF" w:rsidRPr="00541431">
        <w:rPr>
          <w:rFonts w:ascii="Garamond" w:hAnsi="Garamond"/>
          <w:lang w:val="en-GB" w:eastAsia="en-US"/>
        </w:rPr>
        <w:t>Thus, until such decision, asylum seekers are fully dependent on the information provided by the Aliens and Borders police.</w:t>
      </w:r>
    </w:p>
    <w:p w14:paraId="33BEBFC9" w14:textId="77777777" w:rsidR="00167BAF" w:rsidRPr="00541431" w:rsidRDefault="00167BAF" w:rsidP="00B34F52">
      <w:pPr>
        <w:spacing w:after="200" w:line="360" w:lineRule="auto"/>
        <w:ind w:firstLine="708"/>
        <w:jc w:val="both"/>
        <w:rPr>
          <w:rFonts w:ascii="Garamond" w:hAnsi="Garamond"/>
          <w:lang w:val="en-GB" w:eastAsia="en-US"/>
        </w:rPr>
      </w:pPr>
    </w:p>
    <w:p w14:paraId="0448C322" w14:textId="39B384EA" w:rsidR="00B85BEF" w:rsidRPr="00541431" w:rsidRDefault="00B85BEF" w:rsidP="00FF2EED">
      <w:pPr>
        <w:spacing w:after="200" w:line="360" w:lineRule="auto"/>
        <w:ind w:firstLine="708"/>
        <w:jc w:val="both"/>
        <w:rPr>
          <w:rFonts w:ascii="Garamond" w:hAnsi="Garamond"/>
          <w:lang w:val="en-GB" w:eastAsia="en-US"/>
        </w:rPr>
      </w:pPr>
      <w:r w:rsidRPr="00541431">
        <w:rPr>
          <w:rFonts w:ascii="Garamond" w:hAnsi="Garamond"/>
          <w:lang w:val="en-GB" w:eastAsia="en-US"/>
        </w:rPr>
        <w:t>T</w:t>
      </w:r>
      <w:r w:rsidR="00FF2EED" w:rsidRPr="00541431">
        <w:rPr>
          <w:rFonts w:ascii="Garamond" w:hAnsi="Garamond"/>
          <w:lang w:val="en-GB" w:eastAsia="en-US"/>
        </w:rPr>
        <w:t xml:space="preserve">he right to </w:t>
      </w:r>
      <w:r w:rsidRPr="00541431">
        <w:rPr>
          <w:rFonts w:ascii="Garamond" w:hAnsi="Garamond"/>
          <w:lang w:val="en-GB" w:eastAsia="en-US"/>
        </w:rPr>
        <w:t xml:space="preserve">promptly </w:t>
      </w:r>
      <w:r w:rsidR="00FF2EED" w:rsidRPr="00541431">
        <w:rPr>
          <w:rFonts w:ascii="Garamond" w:hAnsi="Garamond"/>
          <w:lang w:val="en-GB" w:eastAsia="en-US"/>
        </w:rPr>
        <w:t>access to a lawyer</w:t>
      </w:r>
      <w:r w:rsidRPr="00541431">
        <w:rPr>
          <w:rFonts w:ascii="Garamond" w:hAnsi="Garamond"/>
          <w:lang w:val="en-GB" w:eastAsia="en-US"/>
        </w:rPr>
        <w:t xml:space="preserve"> is also </w:t>
      </w:r>
      <w:r w:rsidR="00216174">
        <w:rPr>
          <w:rFonts w:ascii="Garamond" w:hAnsi="Garamond"/>
          <w:lang w:val="en-GB" w:eastAsia="en-US"/>
        </w:rPr>
        <w:t>jeopardized</w:t>
      </w:r>
      <w:r w:rsidRPr="00541431">
        <w:rPr>
          <w:rFonts w:ascii="Garamond" w:hAnsi="Garamond"/>
          <w:lang w:val="en-GB" w:eastAsia="en-US"/>
        </w:rPr>
        <w:t xml:space="preserve"> in some cases</w:t>
      </w:r>
      <w:r w:rsidR="00A57927">
        <w:rPr>
          <w:rFonts w:ascii="Garamond" w:hAnsi="Garamond"/>
          <w:lang w:val="en-GB" w:eastAsia="en-US"/>
        </w:rPr>
        <w:t xml:space="preserve"> where migrants are detained</w:t>
      </w:r>
      <w:r w:rsidRPr="00541431">
        <w:rPr>
          <w:rFonts w:ascii="Garamond" w:hAnsi="Garamond"/>
          <w:lang w:val="en-GB" w:eastAsia="en-US"/>
        </w:rPr>
        <w:t xml:space="preserve">. </w:t>
      </w:r>
      <w:r w:rsidR="00BA009E" w:rsidRPr="00541431">
        <w:rPr>
          <w:rFonts w:ascii="Garamond" w:hAnsi="Garamond"/>
          <w:lang w:val="en-GB" w:eastAsia="en-US"/>
        </w:rPr>
        <w:t>Although</w:t>
      </w:r>
      <w:r w:rsidRPr="00541431">
        <w:rPr>
          <w:rFonts w:ascii="Garamond" w:hAnsi="Garamond"/>
          <w:lang w:val="en-GB" w:eastAsia="en-US"/>
        </w:rPr>
        <w:t xml:space="preserve"> the law guarantees that detainees must </w:t>
      </w:r>
      <w:r w:rsidR="00FF2EED" w:rsidRPr="00541431">
        <w:rPr>
          <w:rFonts w:ascii="Garamond" w:hAnsi="Garamond"/>
          <w:lang w:val="en-GB" w:eastAsia="en-US"/>
        </w:rPr>
        <w:t xml:space="preserve">be informed at the outset, in a language that they understand, </w:t>
      </w:r>
      <w:r w:rsidR="004655E6" w:rsidRPr="00541431">
        <w:rPr>
          <w:rFonts w:ascii="Garamond" w:hAnsi="Garamond"/>
          <w:lang w:val="en-GB" w:eastAsia="en-US"/>
        </w:rPr>
        <w:t>o</w:t>
      </w:r>
      <w:r w:rsidR="004655E6">
        <w:rPr>
          <w:rFonts w:ascii="Garamond" w:hAnsi="Garamond"/>
          <w:lang w:val="en-GB" w:eastAsia="en-US"/>
        </w:rPr>
        <w:t>f</w:t>
      </w:r>
      <w:r w:rsidR="004655E6" w:rsidRPr="00541431">
        <w:rPr>
          <w:rFonts w:ascii="Garamond" w:hAnsi="Garamond"/>
          <w:lang w:val="en-GB" w:eastAsia="en-US"/>
        </w:rPr>
        <w:t xml:space="preserve"> </w:t>
      </w:r>
      <w:r w:rsidR="00FF2EED" w:rsidRPr="00541431">
        <w:rPr>
          <w:rFonts w:ascii="Garamond" w:hAnsi="Garamond"/>
          <w:lang w:val="en-GB" w:eastAsia="en-US"/>
        </w:rPr>
        <w:t xml:space="preserve">the right to a lawyer at all stages of the procedure and </w:t>
      </w:r>
      <w:r w:rsidR="004655E6">
        <w:rPr>
          <w:rFonts w:ascii="Garamond" w:hAnsi="Garamond"/>
          <w:lang w:val="en-GB" w:eastAsia="en-US"/>
        </w:rPr>
        <w:t xml:space="preserve">of </w:t>
      </w:r>
      <w:r w:rsidR="00FF2EED" w:rsidRPr="00541431">
        <w:rPr>
          <w:rFonts w:ascii="Garamond" w:hAnsi="Garamond"/>
          <w:lang w:val="en-GB" w:eastAsia="en-US"/>
        </w:rPr>
        <w:t>the right t</w:t>
      </w:r>
      <w:r w:rsidRPr="00541431">
        <w:rPr>
          <w:rFonts w:ascii="Garamond" w:hAnsi="Garamond"/>
          <w:lang w:val="en-GB" w:eastAsia="en-US"/>
        </w:rPr>
        <w:t xml:space="preserve">o contact with them in private, some practices have been adopted – mainly in the Lisbon EECIT centre – that </w:t>
      </w:r>
      <w:r w:rsidR="00FD4011" w:rsidRPr="00541431">
        <w:rPr>
          <w:rFonts w:ascii="Garamond" w:hAnsi="Garamond"/>
          <w:lang w:val="en-GB" w:eastAsia="en-US"/>
        </w:rPr>
        <w:t>hamper</w:t>
      </w:r>
      <w:r w:rsidRPr="00541431">
        <w:rPr>
          <w:rFonts w:ascii="Garamond" w:hAnsi="Garamond"/>
          <w:lang w:val="en-GB" w:eastAsia="en-US"/>
        </w:rPr>
        <w:t xml:space="preserve"> this right. According to the understanding of the Aliens and Borders Police, a foreigner may only contact a lawyer after lodging an asylum application. </w:t>
      </w:r>
      <w:r w:rsidR="004655E6">
        <w:rPr>
          <w:rFonts w:ascii="Garamond" w:hAnsi="Garamond"/>
          <w:lang w:val="en-GB" w:eastAsia="en-US"/>
        </w:rPr>
        <w:t>As a consequence,</w:t>
      </w:r>
      <w:r w:rsidRPr="00541431">
        <w:rPr>
          <w:rFonts w:ascii="Garamond" w:hAnsi="Garamond"/>
          <w:lang w:val="en-GB" w:eastAsia="en-US"/>
        </w:rPr>
        <w:t xml:space="preserve"> the administration prevent</w:t>
      </w:r>
      <w:r w:rsidR="00C11DA3">
        <w:rPr>
          <w:rFonts w:ascii="Garamond" w:hAnsi="Garamond"/>
          <w:lang w:val="en-GB" w:eastAsia="en-US"/>
        </w:rPr>
        <w:t>s</w:t>
      </w:r>
      <w:r w:rsidRPr="00541431">
        <w:rPr>
          <w:rFonts w:ascii="Garamond" w:hAnsi="Garamond"/>
          <w:lang w:val="en-GB" w:eastAsia="en-US"/>
        </w:rPr>
        <w:t xml:space="preserve"> migrants to be accompanied by a lawyer </w:t>
      </w:r>
      <w:r w:rsidR="00BC524C" w:rsidRPr="00541431">
        <w:rPr>
          <w:rFonts w:ascii="Garamond" w:hAnsi="Garamond"/>
          <w:lang w:val="en-GB" w:eastAsia="en-US"/>
        </w:rPr>
        <w:t xml:space="preserve">while making their first statements at the borders. </w:t>
      </w:r>
      <w:r w:rsidR="004655E6">
        <w:rPr>
          <w:rFonts w:ascii="Garamond" w:hAnsi="Garamond"/>
          <w:lang w:val="en-GB" w:eastAsia="en-US"/>
        </w:rPr>
        <w:t>Notwithstanding</w:t>
      </w:r>
      <w:r w:rsidR="00BC524C" w:rsidRPr="00541431">
        <w:rPr>
          <w:rFonts w:ascii="Garamond" w:hAnsi="Garamond"/>
          <w:lang w:val="en-GB" w:eastAsia="en-US"/>
        </w:rPr>
        <w:t xml:space="preserve">, legal assistance at that stage may be essential, as it helps to articulate a consistent justification for international protection. The presence of a lawyer can also </w:t>
      </w:r>
      <w:r w:rsidR="004655E6">
        <w:rPr>
          <w:rFonts w:ascii="Garamond" w:hAnsi="Garamond"/>
          <w:lang w:val="en-GB" w:eastAsia="en-US"/>
        </w:rPr>
        <w:t>contribute to the proper registration of an</w:t>
      </w:r>
      <w:r w:rsidR="00C11DA3">
        <w:rPr>
          <w:rFonts w:ascii="Garamond" w:hAnsi="Garamond"/>
          <w:lang w:val="en-GB" w:eastAsia="en-US"/>
        </w:rPr>
        <w:t xml:space="preserve"> asylum</w:t>
      </w:r>
      <w:r w:rsidR="00BC524C" w:rsidRPr="00541431">
        <w:rPr>
          <w:rFonts w:ascii="Garamond" w:hAnsi="Garamond"/>
          <w:lang w:val="en-GB" w:eastAsia="en-US"/>
        </w:rPr>
        <w:t xml:space="preserve"> application. In fact, in the </w:t>
      </w:r>
      <w:r w:rsidR="004655E6" w:rsidRPr="00541431">
        <w:rPr>
          <w:rFonts w:ascii="Garamond" w:hAnsi="Garamond"/>
          <w:lang w:val="en-GB" w:eastAsia="en-US"/>
        </w:rPr>
        <w:t>la</w:t>
      </w:r>
      <w:r w:rsidR="004655E6">
        <w:rPr>
          <w:rFonts w:ascii="Garamond" w:hAnsi="Garamond"/>
          <w:lang w:val="en-GB" w:eastAsia="en-US"/>
        </w:rPr>
        <w:t>test</w:t>
      </w:r>
      <w:r w:rsidR="004655E6" w:rsidRPr="00541431">
        <w:rPr>
          <w:rFonts w:ascii="Garamond" w:hAnsi="Garamond"/>
          <w:lang w:val="en-GB" w:eastAsia="en-US"/>
        </w:rPr>
        <w:t xml:space="preserve"> </w:t>
      </w:r>
      <w:r w:rsidR="00BC524C" w:rsidRPr="00541431">
        <w:rPr>
          <w:rFonts w:ascii="Garamond" w:hAnsi="Garamond"/>
          <w:lang w:val="en-GB" w:eastAsia="en-US"/>
        </w:rPr>
        <w:t>NPM’s visit to th</w:t>
      </w:r>
      <w:r w:rsidR="009F58D5">
        <w:rPr>
          <w:rFonts w:ascii="Garamond" w:hAnsi="Garamond"/>
          <w:lang w:val="en-GB" w:eastAsia="en-US"/>
        </w:rPr>
        <w:t xml:space="preserve">e </w:t>
      </w:r>
      <w:r w:rsidR="004655E6">
        <w:rPr>
          <w:rFonts w:ascii="Garamond" w:hAnsi="Garamond"/>
          <w:lang w:val="en-GB" w:eastAsia="en-US"/>
        </w:rPr>
        <w:t>centre Lisbon EECIT</w:t>
      </w:r>
      <w:r w:rsidR="00BC524C" w:rsidRPr="00541431">
        <w:rPr>
          <w:rFonts w:ascii="Garamond" w:hAnsi="Garamond"/>
          <w:lang w:val="en-GB" w:eastAsia="en-US"/>
        </w:rPr>
        <w:t xml:space="preserve">, two women claimed that they had </w:t>
      </w:r>
      <w:r w:rsidR="00D06E3C" w:rsidRPr="00541431">
        <w:rPr>
          <w:rFonts w:ascii="Garamond" w:hAnsi="Garamond"/>
          <w:lang w:val="en-GB" w:eastAsia="en-US"/>
        </w:rPr>
        <w:t>requested</w:t>
      </w:r>
      <w:r w:rsidR="00BC524C" w:rsidRPr="00541431">
        <w:rPr>
          <w:rFonts w:ascii="Garamond" w:hAnsi="Garamond"/>
          <w:lang w:val="en-GB" w:eastAsia="en-US"/>
        </w:rPr>
        <w:t xml:space="preserve"> asylum for several times, but the Aliens and Borders Police had not yet register</w:t>
      </w:r>
      <w:r w:rsidR="00FD4011">
        <w:rPr>
          <w:rFonts w:ascii="Garamond" w:hAnsi="Garamond"/>
          <w:lang w:val="en-GB" w:eastAsia="en-US"/>
        </w:rPr>
        <w:t>e</w:t>
      </w:r>
      <w:r w:rsidR="00BC524C" w:rsidRPr="00541431">
        <w:rPr>
          <w:rFonts w:ascii="Garamond" w:hAnsi="Garamond"/>
          <w:lang w:val="en-GB" w:eastAsia="en-US"/>
        </w:rPr>
        <w:t>d the application</w:t>
      </w:r>
      <w:r w:rsidR="004655E6">
        <w:rPr>
          <w:rFonts w:ascii="Garamond" w:hAnsi="Garamond"/>
          <w:lang w:val="en-GB" w:eastAsia="en-US"/>
        </w:rPr>
        <w:t xml:space="preserve"> – a situation which was corrected during the NPM visit</w:t>
      </w:r>
      <w:r w:rsidR="00BC524C" w:rsidRPr="00541431">
        <w:rPr>
          <w:rFonts w:ascii="Garamond" w:hAnsi="Garamond"/>
          <w:lang w:val="en-GB" w:eastAsia="en-US"/>
        </w:rPr>
        <w:t xml:space="preserve">. </w:t>
      </w:r>
      <w:r w:rsidR="00216174">
        <w:rPr>
          <w:rFonts w:ascii="Garamond" w:hAnsi="Garamond"/>
          <w:lang w:val="en-GB" w:eastAsia="en-US"/>
        </w:rPr>
        <w:t xml:space="preserve">Although the lack of registry was not proven, assuring that a lawyer may be present may provide legal certainty to both parts. </w:t>
      </w:r>
      <w:r w:rsidR="00D62F64" w:rsidRPr="00541431">
        <w:rPr>
          <w:rFonts w:ascii="Garamond" w:hAnsi="Garamond"/>
          <w:lang w:val="en-GB" w:eastAsia="en-US"/>
        </w:rPr>
        <w:t>This is especially serious because</w:t>
      </w:r>
      <w:r w:rsidR="00FD4011">
        <w:rPr>
          <w:rFonts w:ascii="Garamond" w:hAnsi="Garamond"/>
          <w:lang w:val="en-GB" w:eastAsia="en-US"/>
        </w:rPr>
        <w:t>,</w:t>
      </w:r>
      <w:r w:rsidR="00D62F64" w:rsidRPr="00541431">
        <w:rPr>
          <w:rFonts w:ascii="Garamond" w:hAnsi="Garamond"/>
          <w:lang w:val="en-GB" w:eastAsia="en-US"/>
        </w:rPr>
        <w:t xml:space="preserve"> until the </w:t>
      </w:r>
      <w:r w:rsidR="004655E6" w:rsidRPr="00541431">
        <w:rPr>
          <w:rFonts w:ascii="Garamond" w:hAnsi="Garamond"/>
          <w:lang w:val="en-GB" w:eastAsia="en-US"/>
        </w:rPr>
        <w:t>registr</w:t>
      </w:r>
      <w:r w:rsidR="004655E6">
        <w:rPr>
          <w:rFonts w:ascii="Garamond" w:hAnsi="Garamond"/>
          <w:lang w:val="en-GB" w:eastAsia="en-US"/>
        </w:rPr>
        <w:t>ation</w:t>
      </w:r>
      <w:r w:rsidR="004655E6" w:rsidRPr="00541431">
        <w:rPr>
          <w:rFonts w:ascii="Garamond" w:hAnsi="Garamond"/>
          <w:lang w:val="en-GB" w:eastAsia="en-US"/>
        </w:rPr>
        <w:t xml:space="preserve"> </w:t>
      </w:r>
      <w:r w:rsidR="00D62F64" w:rsidRPr="00541431">
        <w:rPr>
          <w:rFonts w:ascii="Garamond" w:hAnsi="Garamond"/>
          <w:lang w:val="en-GB" w:eastAsia="en-US"/>
        </w:rPr>
        <w:t xml:space="preserve">of an asylum application, migrants may remain </w:t>
      </w:r>
      <w:r w:rsidR="00C11DA3">
        <w:rPr>
          <w:rFonts w:ascii="Garamond" w:hAnsi="Garamond"/>
          <w:lang w:val="en-GB" w:eastAsia="en-US"/>
        </w:rPr>
        <w:t>i</w:t>
      </w:r>
      <w:r w:rsidR="00D62F64" w:rsidRPr="00541431">
        <w:rPr>
          <w:rFonts w:ascii="Garamond" w:hAnsi="Garamond"/>
          <w:lang w:val="en-GB" w:eastAsia="en-US"/>
        </w:rPr>
        <w:t>n the EECIT’s wing of entry refusals</w:t>
      </w:r>
      <w:r w:rsidR="00D06E3C" w:rsidRPr="00541431">
        <w:rPr>
          <w:rFonts w:ascii="Garamond" w:hAnsi="Garamond"/>
          <w:lang w:val="en-GB" w:eastAsia="en-US"/>
        </w:rPr>
        <w:t xml:space="preserve"> and </w:t>
      </w:r>
      <w:r w:rsidR="00C11DA3">
        <w:rPr>
          <w:rFonts w:ascii="Garamond" w:hAnsi="Garamond"/>
          <w:lang w:val="en-GB" w:eastAsia="en-US"/>
        </w:rPr>
        <w:t xml:space="preserve">be </w:t>
      </w:r>
      <w:r w:rsidR="00D62F64" w:rsidRPr="00541431">
        <w:rPr>
          <w:rFonts w:ascii="Garamond" w:hAnsi="Garamond"/>
          <w:lang w:val="en-GB" w:eastAsia="en-US"/>
        </w:rPr>
        <w:t xml:space="preserve">returned </w:t>
      </w:r>
      <w:r w:rsidR="00FD4011">
        <w:rPr>
          <w:rFonts w:ascii="Garamond" w:hAnsi="Garamond"/>
          <w:lang w:val="en-GB" w:eastAsia="en-US"/>
        </w:rPr>
        <w:t xml:space="preserve">to their country of origin </w:t>
      </w:r>
      <w:r w:rsidR="00D62F64" w:rsidRPr="00541431">
        <w:rPr>
          <w:rFonts w:ascii="Garamond" w:hAnsi="Garamond"/>
          <w:lang w:val="en-GB" w:eastAsia="en-US"/>
        </w:rPr>
        <w:t xml:space="preserve">at any time. </w:t>
      </w:r>
    </w:p>
    <w:p w14:paraId="1D57FF1A" w14:textId="44DA4A6A" w:rsidR="00D06E3C" w:rsidRPr="00541431" w:rsidRDefault="004655E6" w:rsidP="00D06E3C">
      <w:pPr>
        <w:spacing w:after="200" w:line="360" w:lineRule="auto"/>
        <w:ind w:firstLine="708"/>
        <w:jc w:val="both"/>
        <w:rPr>
          <w:rFonts w:ascii="Garamond" w:hAnsi="Garamond"/>
          <w:lang w:val="en-GB" w:eastAsia="en-US"/>
        </w:rPr>
      </w:pPr>
      <w:r>
        <w:rPr>
          <w:rFonts w:ascii="Garamond" w:hAnsi="Garamond"/>
          <w:lang w:val="en-GB" w:eastAsia="en-US"/>
        </w:rPr>
        <w:lastRenderedPageBreak/>
        <w:t>Nonetheless</w:t>
      </w:r>
      <w:r w:rsidR="00FF2EED" w:rsidRPr="00541431">
        <w:rPr>
          <w:rFonts w:ascii="Garamond" w:hAnsi="Garamond"/>
          <w:lang w:val="en-GB" w:eastAsia="en-US"/>
        </w:rPr>
        <w:t xml:space="preserve">, </w:t>
      </w:r>
      <w:r w:rsidR="00BC524C" w:rsidRPr="00541431">
        <w:rPr>
          <w:rFonts w:ascii="Garamond" w:hAnsi="Garamond"/>
          <w:lang w:val="en-GB" w:eastAsia="en-US"/>
        </w:rPr>
        <w:t xml:space="preserve">the right to access to a lawyer may be hindered at the Lisbon EECIT even at later stages of the procedure. In order to enter into the international airport’s international area, </w:t>
      </w:r>
      <w:r>
        <w:rPr>
          <w:rFonts w:ascii="Garamond" w:hAnsi="Garamond"/>
          <w:lang w:val="en-GB" w:eastAsia="en-US"/>
        </w:rPr>
        <w:t>lawyers</w:t>
      </w:r>
      <w:r w:rsidRPr="00541431">
        <w:rPr>
          <w:rFonts w:ascii="Garamond" w:hAnsi="Garamond"/>
          <w:lang w:val="en-GB" w:eastAsia="en-US"/>
        </w:rPr>
        <w:t xml:space="preserve"> </w:t>
      </w:r>
      <w:r w:rsidR="00BC524C" w:rsidRPr="00541431">
        <w:rPr>
          <w:rFonts w:ascii="Garamond" w:hAnsi="Garamond"/>
          <w:lang w:val="en-GB" w:eastAsia="en-US"/>
        </w:rPr>
        <w:t>must be accredited by the airport’s administration</w:t>
      </w:r>
      <w:r w:rsidR="00D06E3C" w:rsidRPr="00541431">
        <w:rPr>
          <w:rFonts w:ascii="Garamond" w:hAnsi="Garamond"/>
          <w:lang w:val="en-GB" w:eastAsia="en-US"/>
        </w:rPr>
        <w:t xml:space="preserve"> and</w:t>
      </w:r>
      <w:r w:rsidR="00BC524C" w:rsidRPr="00541431">
        <w:rPr>
          <w:rFonts w:ascii="Garamond" w:hAnsi="Garamond"/>
          <w:lang w:val="en-GB" w:eastAsia="en-US"/>
        </w:rPr>
        <w:t xml:space="preserve"> </w:t>
      </w:r>
      <w:r w:rsidR="00FF2EED" w:rsidRPr="00541431">
        <w:rPr>
          <w:rFonts w:ascii="Garamond" w:hAnsi="Garamond"/>
          <w:lang w:val="en-GB" w:eastAsia="en-US"/>
        </w:rPr>
        <w:t>pay a</w:t>
      </w:r>
      <w:r w:rsidR="00BC524C" w:rsidRPr="00541431">
        <w:rPr>
          <w:rFonts w:ascii="Garamond" w:hAnsi="Garamond"/>
          <w:lang w:val="en-GB" w:eastAsia="en-US"/>
        </w:rPr>
        <w:t xml:space="preserve"> daily</w:t>
      </w:r>
      <w:r w:rsidR="00FF2EED" w:rsidRPr="00541431">
        <w:rPr>
          <w:rFonts w:ascii="Garamond" w:hAnsi="Garamond"/>
          <w:lang w:val="en-GB" w:eastAsia="en-US"/>
        </w:rPr>
        <w:t xml:space="preserve"> fee</w:t>
      </w:r>
      <w:r w:rsidR="00BC524C" w:rsidRPr="00541431">
        <w:rPr>
          <w:rFonts w:ascii="Garamond" w:hAnsi="Garamond"/>
          <w:lang w:val="en-GB" w:eastAsia="en-US"/>
        </w:rPr>
        <w:t xml:space="preserve"> – which currently amounts to 13 </w:t>
      </w:r>
      <w:r w:rsidR="00FD4011">
        <w:rPr>
          <w:rFonts w:ascii="Garamond" w:hAnsi="Garamond"/>
          <w:lang w:val="en-GB" w:eastAsia="en-US"/>
        </w:rPr>
        <w:t>euro</w:t>
      </w:r>
      <w:r w:rsidR="00FF2EED" w:rsidRPr="00541431">
        <w:rPr>
          <w:rFonts w:ascii="Garamond" w:hAnsi="Garamond"/>
          <w:lang w:val="en-GB" w:eastAsia="en-US"/>
        </w:rPr>
        <w:t xml:space="preserve">. </w:t>
      </w:r>
      <w:r w:rsidR="00D06E3C" w:rsidRPr="00541431">
        <w:rPr>
          <w:rFonts w:ascii="Garamond" w:hAnsi="Garamond"/>
          <w:lang w:val="en-GB" w:eastAsia="en-US"/>
        </w:rPr>
        <w:t xml:space="preserve">This accreditation procedure is often </w:t>
      </w:r>
      <w:r w:rsidR="00FD4011" w:rsidRPr="00541431">
        <w:rPr>
          <w:rFonts w:ascii="Garamond" w:hAnsi="Garamond"/>
          <w:lang w:val="en-GB" w:eastAsia="en-US"/>
        </w:rPr>
        <w:t>lengthy</w:t>
      </w:r>
      <w:r w:rsidR="00D06E3C" w:rsidRPr="00541431">
        <w:rPr>
          <w:rFonts w:ascii="Garamond" w:hAnsi="Garamond"/>
          <w:lang w:val="en-GB" w:eastAsia="en-US"/>
        </w:rPr>
        <w:t xml:space="preserve">. The Ombudsman received reports of detainees who claimed that their lawyers had to wait several hours before being allowed to enter in the EECIT. In cases concerning to aliens detained in entry refusals’ wing, this </w:t>
      </w:r>
      <w:r w:rsidR="00BA009E" w:rsidRPr="00541431">
        <w:rPr>
          <w:rFonts w:ascii="Garamond" w:hAnsi="Garamond"/>
          <w:lang w:val="en-GB" w:eastAsia="en-US"/>
        </w:rPr>
        <w:t>led</w:t>
      </w:r>
      <w:r w:rsidR="00D06E3C" w:rsidRPr="00541431">
        <w:rPr>
          <w:rFonts w:ascii="Garamond" w:hAnsi="Garamond"/>
          <w:lang w:val="en-GB" w:eastAsia="en-US"/>
        </w:rPr>
        <w:t xml:space="preserve"> to situations where lawyers were only admitted </w:t>
      </w:r>
      <w:r w:rsidR="00BA009E" w:rsidRPr="00541431">
        <w:rPr>
          <w:rFonts w:ascii="Garamond" w:hAnsi="Garamond"/>
          <w:lang w:val="en-GB" w:eastAsia="en-US"/>
        </w:rPr>
        <w:t>entering</w:t>
      </w:r>
      <w:r w:rsidR="00D06E3C" w:rsidRPr="00541431">
        <w:rPr>
          <w:rFonts w:ascii="Garamond" w:hAnsi="Garamond"/>
          <w:lang w:val="en-GB" w:eastAsia="en-US"/>
        </w:rPr>
        <w:t xml:space="preserve"> after the migrant </w:t>
      </w:r>
      <w:r w:rsidR="00FD4011">
        <w:rPr>
          <w:rFonts w:ascii="Garamond" w:hAnsi="Garamond"/>
          <w:lang w:val="en-GB" w:eastAsia="en-US"/>
        </w:rPr>
        <w:t>had already been</w:t>
      </w:r>
      <w:r w:rsidR="00D06E3C" w:rsidRPr="00541431">
        <w:rPr>
          <w:rFonts w:ascii="Garamond" w:hAnsi="Garamond"/>
          <w:lang w:val="en-GB" w:eastAsia="en-US"/>
        </w:rPr>
        <w:t xml:space="preserve"> removed to his or her country of </w:t>
      </w:r>
      <w:r w:rsidR="00BA009E" w:rsidRPr="00541431">
        <w:rPr>
          <w:rFonts w:ascii="Garamond" w:hAnsi="Garamond"/>
          <w:lang w:val="en-GB" w:eastAsia="en-US"/>
        </w:rPr>
        <w:t>origin</w:t>
      </w:r>
      <w:r w:rsidR="00D06E3C" w:rsidRPr="00541431">
        <w:rPr>
          <w:rFonts w:ascii="Garamond" w:hAnsi="Garamond"/>
          <w:lang w:val="en-GB" w:eastAsia="en-US"/>
        </w:rPr>
        <w:t xml:space="preserve">.  </w:t>
      </w:r>
    </w:p>
    <w:p w14:paraId="2C2778B4" w14:textId="77777777" w:rsidR="00D06E3C" w:rsidRPr="00541431" w:rsidRDefault="00D06E3C" w:rsidP="00D06E3C">
      <w:pPr>
        <w:spacing w:after="200" w:line="360" w:lineRule="auto"/>
        <w:ind w:firstLine="708"/>
        <w:jc w:val="both"/>
        <w:rPr>
          <w:rFonts w:ascii="Garamond" w:hAnsi="Garamond"/>
          <w:lang w:val="en-GB" w:eastAsia="en-US"/>
        </w:rPr>
      </w:pPr>
    </w:p>
    <w:p w14:paraId="32782D85" w14:textId="0E995A3C" w:rsidR="004B33BA" w:rsidRPr="00541431" w:rsidRDefault="00D06E3C" w:rsidP="00CB5412">
      <w:pPr>
        <w:spacing w:after="200" w:line="360" w:lineRule="auto"/>
        <w:ind w:firstLine="708"/>
        <w:jc w:val="both"/>
        <w:rPr>
          <w:rFonts w:ascii="Garamond" w:hAnsi="Garamond"/>
          <w:b/>
          <w:i/>
          <w:u w:val="single"/>
          <w:lang w:val="en-GB" w:eastAsia="en-US"/>
        </w:rPr>
      </w:pPr>
      <w:r w:rsidRPr="00541431">
        <w:rPr>
          <w:rFonts w:ascii="Garamond" w:hAnsi="Garamond"/>
          <w:lang w:val="en-GB" w:eastAsia="en-US"/>
        </w:rPr>
        <w:t xml:space="preserve"> </w:t>
      </w:r>
      <w:r w:rsidR="00C05F43" w:rsidRPr="00541431">
        <w:rPr>
          <w:rFonts w:ascii="Garamond" w:hAnsi="Garamond"/>
          <w:b/>
          <w:i/>
          <w:u w:val="single"/>
          <w:lang w:val="en-GB" w:eastAsia="en-US"/>
        </w:rPr>
        <w:t>Issue 22</w:t>
      </w:r>
    </w:p>
    <w:p w14:paraId="0411516C" w14:textId="34BD77BA" w:rsidR="00FD4011" w:rsidRDefault="00D06E3C" w:rsidP="00E67B32">
      <w:pPr>
        <w:spacing w:after="200" w:line="360" w:lineRule="auto"/>
        <w:ind w:firstLine="708"/>
        <w:jc w:val="both"/>
        <w:rPr>
          <w:rFonts w:ascii="Garamond" w:hAnsi="Garamond"/>
          <w:lang w:val="en-GB" w:eastAsia="en-US"/>
        </w:rPr>
      </w:pPr>
      <w:r w:rsidRPr="00541431">
        <w:rPr>
          <w:rFonts w:ascii="Garamond" w:hAnsi="Garamond"/>
          <w:lang w:val="en-GB" w:eastAsia="en-US"/>
        </w:rPr>
        <w:t>According to</w:t>
      </w:r>
      <w:r w:rsidR="00C05F43" w:rsidRPr="00541431">
        <w:rPr>
          <w:rFonts w:ascii="Garamond" w:hAnsi="Garamond"/>
          <w:lang w:val="en-GB" w:eastAsia="en-US"/>
        </w:rPr>
        <w:t xml:space="preserve"> Article 35-A, </w:t>
      </w:r>
      <w:r w:rsidR="002C23AB">
        <w:rPr>
          <w:rFonts w:ascii="Garamond" w:hAnsi="Garamond"/>
          <w:lang w:val="en-GB" w:eastAsia="en-US"/>
        </w:rPr>
        <w:t>§</w:t>
      </w:r>
      <w:r w:rsidR="00C05F43" w:rsidRPr="00541431">
        <w:rPr>
          <w:rFonts w:ascii="Garamond" w:hAnsi="Garamond"/>
          <w:lang w:val="en-GB" w:eastAsia="en-US"/>
        </w:rPr>
        <w:t>1</w:t>
      </w:r>
      <w:r w:rsidR="002C23AB">
        <w:rPr>
          <w:rFonts w:ascii="Garamond" w:hAnsi="Garamond"/>
          <w:lang w:val="en-GB" w:eastAsia="en-US"/>
        </w:rPr>
        <w:t>,</w:t>
      </w:r>
      <w:r w:rsidR="00C05F43" w:rsidRPr="00541431">
        <w:rPr>
          <w:rFonts w:ascii="Garamond" w:hAnsi="Garamond"/>
          <w:lang w:val="en-GB" w:eastAsia="en-US"/>
        </w:rPr>
        <w:t xml:space="preserve"> of the Asylum Law</w:t>
      </w:r>
      <w:r w:rsidR="00E67B32">
        <w:rPr>
          <w:rStyle w:val="Refdenotaderodap"/>
          <w:rFonts w:ascii="Garamond" w:hAnsi="Garamond"/>
          <w:lang w:val="en-GB" w:eastAsia="en-US"/>
        </w:rPr>
        <w:footnoteReference w:id="10"/>
      </w:r>
      <w:r w:rsidR="009F58D5">
        <w:rPr>
          <w:rFonts w:ascii="Garamond" w:hAnsi="Garamond"/>
          <w:lang w:val="en-GB" w:eastAsia="en-US"/>
        </w:rPr>
        <w:t xml:space="preserve">, </w:t>
      </w:r>
      <w:r w:rsidRPr="00FD4011">
        <w:rPr>
          <w:rFonts w:ascii="Garamond" w:hAnsi="Garamond"/>
          <w:lang w:val="en-GB" w:eastAsia="en-US"/>
        </w:rPr>
        <w:t>asylum</w:t>
      </w:r>
      <w:r w:rsidRPr="00541431">
        <w:rPr>
          <w:rFonts w:ascii="Garamond" w:hAnsi="Garamond"/>
          <w:i/>
          <w:lang w:val="en-GB" w:eastAsia="en-US"/>
        </w:rPr>
        <w:t xml:space="preserve"> </w:t>
      </w:r>
      <w:r w:rsidRPr="00541431">
        <w:rPr>
          <w:rFonts w:ascii="Garamond" w:hAnsi="Garamond"/>
          <w:lang w:val="en-GB" w:eastAsia="en-US"/>
        </w:rPr>
        <w:t>seekers are not subject to detention solely based on the fact that they</w:t>
      </w:r>
      <w:r w:rsidR="00FD4011">
        <w:rPr>
          <w:rFonts w:ascii="Garamond" w:hAnsi="Garamond"/>
          <w:lang w:val="en-GB" w:eastAsia="en-US"/>
        </w:rPr>
        <w:t xml:space="preserve"> have applied</w:t>
      </w:r>
      <w:r w:rsidRPr="00541431">
        <w:rPr>
          <w:rFonts w:ascii="Garamond" w:hAnsi="Garamond"/>
          <w:lang w:val="en-GB" w:eastAsia="en-US"/>
        </w:rPr>
        <w:t xml:space="preserve"> for international protection. </w:t>
      </w:r>
      <w:r w:rsidR="00FD4011">
        <w:rPr>
          <w:rFonts w:ascii="Garamond" w:hAnsi="Garamond"/>
          <w:lang w:val="en-GB" w:eastAsia="en-US"/>
        </w:rPr>
        <w:t>However, n. 3 of that Article allows the detention of</w:t>
      </w:r>
      <w:r w:rsidRPr="00541431">
        <w:rPr>
          <w:rFonts w:ascii="Garamond" w:hAnsi="Garamond"/>
          <w:lang w:val="en-GB" w:eastAsia="en-US"/>
        </w:rPr>
        <w:t xml:space="preserve"> asylum</w:t>
      </w:r>
      <w:r w:rsidR="0026308C">
        <w:rPr>
          <w:rFonts w:ascii="Garamond" w:hAnsi="Garamond"/>
          <w:lang w:val="en-GB" w:eastAsia="en-US"/>
        </w:rPr>
        <w:t>-seekers</w:t>
      </w:r>
      <w:r w:rsidRPr="00541431">
        <w:rPr>
          <w:rFonts w:ascii="Garamond" w:hAnsi="Garamond"/>
          <w:lang w:val="en-GB" w:eastAsia="en-US"/>
        </w:rPr>
        <w:t xml:space="preserve"> </w:t>
      </w:r>
      <w:r w:rsidR="00FD4011">
        <w:rPr>
          <w:rFonts w:ascii="Garamond" w:hAnsi="Garamond"/>
          <w:lang w:val="en-GB" w:eastAsia="en-US"/>
        </w:rPr>
        <w:t>who have lodged their application a</w:t>
      </w:r>
      <w:r w:rsidRPr="00541431">
        <w:rPr>
          <w:rFonts w:ascii="Garamond" w:hAnsi="Garamond"/>
          <w:lang w:val="en-GB" w:eastAsia="en-US"/>
        </w:rPr>
        <w:t xml:space="preserve">t </w:t>
      </w:r>
      <w:r w:rsidR="00FD4011">
        <w:rPr>
          <w:rFonts w:ascii="Garamond" w:hAnsi="Garamond"/>
          <w:lang w:val="en-GB" w:eastAsia="en-US"/>
        </w:rPr>
        <w:t xml:space="preserve">the </w:t>
      </w:r>
      <w:r w:rsidRPr="00541431">
        <w:rPr>
          <w:rFonts w:ascii="Garamond" w:hAnsi="Garamond"/>
          <w:lang w:val="en-GB" w:eastAsia="en-US"/>
        </w:rPr>
        <w:t xml:space="preserve">border posts or in the context of applications made following a decision </w:t>
      </w:r>
      <w:r w:rsidR="00491352">
        <w:rPr>
          <w:rFonts w:ascii="Garamond" w:hAnsi="Garamond"/>
          <w:lang w:val="en-GB" w:eastAsia="en-US"/>
        </w:rPr>
        <w:t>on removal from the</w:t>
      </w:r>
      <w:r w:rsidRPr="00541431">
        <w:rPr>
          <w:rFonts w:ascii="Garamond" w:hAnsi="Garamond"/>
          <w:lang w:val="en-GB" w:eastAsia="en-US"/>
        </w:rPr>
        <w:t xml:space="preserve"> national territory. These provisions were added by the</w:t>
      </w:r>
      <w:r w:rsidR="00B94FA7">
        <w:rPr>
          <w:rFonts w:ascii="Garamond" w:hAnsi="Garamond"/>
          <w:lang w:val="en-GB" w:eastAsia="en-US"/>
        </w:rPr>
        <w:t xml:space="preserve"> Law no.</w:t>
      </w:r>
      <w:r w:rsidR="00B94FA7" w:rsidRPr="00B94FA7">
        <w:rPr>
          <w:rFonts w:ascii="Garamond" w:hAnsi="Garamond"/>
          <w:lang w:val="en-GB" w:eastAsia="en-US"/>
        </w:rPr>
        <w:t xml:space="preserve"> 26/2014</w:t>
      </w:r>
      <w:r w:rsidR="00B94FA7">
        <w:rPr>
          <w:rFonts w:ascii="Garamond" w:hAnsi="Garamond"/>
          <w:lang w:val="en-GB" w:eastAsia="en-US"/>
        </w:rPr>
        <w:t xml:space="preserve">, which amended the Asylum Law. </w:t>
      </w:r>
      <w:r w:rsidRPr="00541431">
        <w:rPr>
          <w:rFonts w:ascii="Garamond" w:hAnsi="Garamond"/>
          <w:lang w:val="en-GB" w:eastAsia="en-US"/>
        </w:rPr>
        <w:t xml:space="preserve">While Article 35-A states that such measures can only be applied in cases where “no other less serious alternative measures can be effectively implemented”, the </w:t>
      </w:r>
      <w:r w:rsidR="00FD4011">
        <w:rPr>
          <w:rFonts w:ascii="Garamond" w:hAnsi="Garamond"/>
          <w:lang w:val="en-GB" w:eastAsia="en-US"/>
        </w:rPr>
        <w:t>Ombudsman</w:t>
      </w:r>
      <w:r w:rsidRPr="00541431">
        <w:rPr>
          <w:rFonts w:ascii="Garamond" w:hAnsi="Garamond"/>
          <w:lang w:val="en-GB" w:eastAsia="en-US"/>
        </w:rPr>
        <w:t xml:space="preserve"> has witnessed that detention is applicable in a systematic basis</w:t>
      </w:r>
      <w:r w:rsidR="00FD4011">
        <w:rPr>
          <w:rFonts w:ascii="Garamond" w:hAnsi="Garamond"/>
          <w:lang w:val="en-GB" w:eastAsia="en-US"/>
        </w:rPr>
        <w:t xml:space="preserve"> and by default to every irregular migrant or asylum seeker that </w:t>
      </w:r>
      <w:r w:rsidR="00BA009E">
        <w:rPr>
          <w:rFonts w:ascii="Garamond" w:hAnsi="Garamond"/>
          <w:lang w:val="en-GB" w:eastAsia="en-US"/>
        </w:rPr>
        <w:t>presents</w:t>
      </w:r>
      <w:r w:rsidR="00FD4011">
        <w:rPr>
          <w:rFonts w:ascii="Garamond" w:hAnsi="Garamond"/>
          <w:lang w:val="en-GB" w:eastAsia="en-US"/>
        </w:rPr>
        <w:t xml:space="preserve"> </w:t>
      </w:r>
      <w:r w:rsidR="00C11DA3">
        <w:rPr>
          <w:rFonts w:ascii="Garamond" w:hAnsi="Garamond"/>
          <w:lang w:val="en-GB" w:eastAsia="en-US"/>
        </w:rPr>
        <w:t>themselves</w:t>
      </w:r>
      <w:r w:rsidR="00FD4011">
        <w:rPr>
          <w:rFonts w:ascii="Garamond" w:hAnsi="Garamond"/>
          <w:lang w:val="en-GB" w:eastAsia="en-US"/>
        </w:rPr>
        <w:t xml:space="preserve"> at the border</w:t>
      </w:r>
      <w:r w:rsidRPr="00541431">
        <w:rPr>
          <w:rFonts w:ascii="Garamond" w:hAnsi="Garamond"/>
          <w:lang w:val="en-GB" w:eastAsia="en-US"/>
        </w:rPr>
        <w:t>.</w:t>
      </w:r>
      <w:r w:rsidR="00FD4011">
        <w:rPr>
          <w:rFonts w:ascii="Garamond" w:hAnsi="Garamond"/>
          <w:lang w:val="en-GB" w:eastAsia="en-US"/>
        </w:rPr>
        <w:t xml:space="preserve"> </w:t>
      </w:r>
    </w:p>
    <w:p w14:paraId="4D896DCD" w14:textId="77777777" w:rsidR="00167BAF" w:rsidRDefault="00167BAF" w:rsidP="00E67B32">
      <w:pPr>
        <w:spacing w:after="200" w:line="360" w:lineRule="auto"/>
        <w:ind w:firstLine="708"/>
        <w:jc w:val="both"/>
        <w:rPr>
          <w:rFonts w:ascii="Garamond" w:hAnsi="Garamond"/>
          <w:lang w:val="en-GB" w:eastAsia="en-US"/>
        </w:rPr>
      </w:pPr>
    </w:p>
    <w:p w14:paraId="276AE377" w14:textId="691E7A35" w:rsidR="00E326AD" w:rsidRPr="00541431" w:rsidRDefault="00B95824" w:rsidP="00E326AD">
      <w:pPr>
        <w:spacing w:after="200" w:line="360" w:lineRule="auto"/>
        <w:ind w:firstLine="708"/>
        <w:jc w:val="both"/>
        <w:rPr>
          <w:rFonts w:ascii="Garamond" w:hAnsi="Garamond"/>
          <w:lang w:val="en-GB" w:eastAsia="en-US"/>
        </w:rPr>
      </w:pPr>
      <w:r>
        <w:rPr>
          <w:rFonts w:ascii="Garamond" w:hAnsi="Garamond"/>
          <w:lang w:val="en-GB" w:eastAsia="en-US"/>
        </w:rPr>
        <w:t xml:space="preserve">Stays </w:t>
      </w:r>
      <w:r w:rsidRPr="00541431">
        <w:rPr>
          <w:rFonts w:ascii="Garamond" w:hAnsi="Garamond"/>
          <w:lang w:val="en-GB" w:eastAsia="en-US"/>
        </w:rPr>
        <w:t xml:space="preserve">in these temporary centres </w:t>
      </w:r>
      <w:r>
        <w:rPr>
          <w:rFonts w:ascii="Garamond" w:hAnsi="Garamond"/>
          <w:lang w:val="en-GB" w:eastAsia="en-US"/>
        </w:rPr>
        <w:t xml:space="preserve">that </w:t>
      </w:r>
      <w:r w:rsidR="00E326AD" w:rsidRPr="00541431">
        <w:rPr>
          <w:rFonts w:ascii="Garamond" w:hAnsi="Garamond"/>
          <w:lang w:val="en-GB" w:eastAsia="en-US"/>
        </w:rPr>
        <w:t xml:space="preserve">exceed 48 hours must be authorized by the competent court. </w:t>
      </w:r>
      <w:r w:rsidR="002C23AB">
        <w:rPr>
          <w:rFonts w:ascii="Garamond" w:hAnsi="Garamond"/>
          <w:lang w:val="en-GB" w:eastAsia="en-US"/>
        </w:rPr>
        <w:t>Yet</w:t>
      </w:r>
      <w:r w:rsidR="00FD4011">
        <w:rPr>
          <w:rFonts w:ascii="Garamond" w:hAnsi="Garamond"/>
          <w:lang w:val="en-GB" w:eastAsia="en-US"/>
        </w:rPr>
        <w:t xml:space="preserve">, this guarantee has not been sufficient to </w:t>
      </w:r>
      <w:r>
        <w:rPr>
          <w:rFonts w:ascii="Garamond" w:hAnsi="Garamond"/>
          <w:lang w:val="en-GB" w:eastAsia="en-US"/>
        </w:rPr>
        <w:t xml:space="preserve">reduce the number </w:t>
      </w:r>
      <w:r w:rsidR="002C23AB">
        <w:rPr>
          <w:rFonts w:ascii="Garamond" w:hAnsi="Garamond"/>
          <w:lang w:val="en-GB" w:eastAsia="en-US"/>
        </w:rPr>
        <w:t xml:space="preserve">nor the </w:t>
      </w:r>
      <w:r>
        <w:rPr>
          <w:rFonts w:ascii="Garamond" w:hAnsi="Garamond"/>
          <w:lang w:val="en-GB" w:eastAsia="en-US"/>
        </w:rPr>
        <w:t xml:space="preserve">frequency of administrative detentions. That is because – as already confirmed by the </w:t>
      </w:r>
      <w:r w:rsidR="00D50395">
        <w:rPr>
          <w:rFonts w:ascii="Garamond" w:hAnsi="Garamond"/>
          <w:lang w:val="en-GB" w:eastAsia="en-US"/>
        </w:rPr>
        <w:t xml:space="preserve">Aliens and Borders Service </w:t>
      </w:r>
      <w:r w:rsidR="00C11DA3">
        <w:rPr>
          <w:rFonts w:ascii="Garamond" w:hAnsi="Garamond"/>
          <w:lang w:val="en-GB" w:eastAsia="en-US"/>
        </w:rPr>
        <w:t>and by</w:t>
      </w:r>
      <w:r>
        <w:rPr>
          <w:rFonts w:ascii="Garamond" w:hAnsi="Garamond"/>
          <w:lang w:val="en-GB" w:eastAsia="en-US"/>
        </w:rPr>
        <w:t xml:space="preserve"> judges of the competent court </w:t>
      </w:r>
      <w:r w:rsidR="001739FD">
        <w:rPr>
          <w:rFonts w:ascii="Garamond" w:hAnsi="Garamond"/>
          <w:lang w:val="en-GB" w:eastAsia="en-US"/>
        </w:rPr>
        <w:t>– judicial</w:t>
      </w:r>
      <w:r>
        <w:rPr>
          <w:rFonts w:ascii="Garamond" w:hAnsi="Garamond"/>
          <w:lang w:val="en-GB" w:eastAsia="en-US"/>
        </w:rPr>
        <w:t xml:space="preserve"> authorisations</w:t>
      </w:r>
      <w:r w:rsidR="00C11DA3">
        <w:rPr>
          <w:rFonts w:ascii="Garamond" w:hAnsi="Garamond"/>
          <w:lang w:val="en-GB" w:eastAsia="en-US"/>
        </w:rPr>
        <w:t xml:space="preserve"> to remain in the </w:t>
      </w:r>
      <w:r w:rsidR="00BA009E">
        <w:rPr>
          <w:rFonts w:ascii="Garamond" w:hAnsi="Garamond"/>
          <w:lang w:val="en-GB" w:eastAsia="en-US"/>
        </w:rPr>
        <w:t>centre</w:t>
      </w:r>
      <w:r>
        <w:rPr>
          <w:rFonts w:ascii="Garamond" w:hAnsi="Garamond"/>
          <w:lang w:val="en-GB" w:eastAsia="en-US"/>
        </w:rPr>
        <w:t xml:space="preserve"> are requested </w:t>
      </w:r>
      <w:r w:rsidR="002C23AB">
        <w:rPr>
          <w:rFonts w:ascii="Garamond" w:hAnsi="Garamond"/>
          <w:lang w:val="en-GB" w:eastAsia="en-US"/>
        </w:rPr>
        <w:t>and given</w:t>
      </w:r>
      <w:r>
        <w:rPr>
          <w:rFonts w:ascii="Garamond" w:hAnsi="Garamond"/>
          <w:lang w:val="en-GB" w:eastAsia="en-US"/>
        </w:rPr>
        <w:t xml:space="preserve"> </w:t>
      </w:r>
      <w:r w:rsidRPr="00541431">
        <w:rPr>
          <w:rFonts w:ascii="Garamond" w:hAnsi="Garamond"/>
          <w:lang w:val="en-GB" w:eastAsia="en-US"/>
        </w:rPr>
        <w:t>by fax, without hearing the detainee in person</w:t>
      </w:r>
      <w:r>
        <w:rPr>
          <w:rFonts w:ascii="Garamond" w:hAnsi="Garamond"/>
          <w:lang w:val="en-GB" w:eastAsia="en-US"/>
        </w:rPr>
        <w:t xml:space="preserve">. Judicial control may then be </w:t>
      </w:r>
      <w:r w:rsidR="002C23AB">
        <w:rPr>
          <w:rFonts w:ascii="Garamond" w:hAnsi="Garamond"/>
          <w:lang w:val="en-GB" w:eastAsia="en-US"/>
        </w:rPr>
        <w:t xml:space="preserve">reduced </w:t>
      </w:r>
      <w:r>
        <w:rPr>
          <w:rFonts w:ascii="Garamond" w:hAnsi="Garamond"/>
          <w:lang w:val="en-GB" w:eastAsia="en-US"/>
        </w:rPr>
        <w:t xml:space="preserve">to a </w:t>
      </w:r>
      <w:r w:rsidR="002C23AB">
        <w:rPr>
          <w:rFonts w:ascii="Garamond" w:hAnsi="Garamond"/>
          <w:lang w:val="en-GB" w:eastAsia="en-US"/>
        </w:rPr>
        <w:t>mer</w:t>
      </w:r>
      <w:r>
        <w:rPr>
          <w:rFonts w:ascii="Garamond" w:hAnsi="Garamond"/>
          <w:lang w:val="en-GB" w:eastAsia="en-US"/>
        </w:rPr>
        <w:t xml:space="preserve">e formal step. Without hearing the person </w:t>
      </w:r>
      <w:r w:rsidR="002C23AB">
        <w:rPr>
          <w:rFonts w:ascii="Garamond" w:hAnsi="Garamond"/>
          <w:lang w:val="en-GB" w:eastAsia="en-US"/>
        </w:rPr>
        <w:t>whose claim is at stake</w:t>
      </w:r>
      <w:r>
        <w:rPr>
          <w:rFonts w:ascii="Garamond" w:hAnsi="Garamond"/>
          <w:lang w:val="en-GB" w:eastAsia="en-US"/>
        </w:rPr>
        <w:t>, the judge will be prevented from achieving</w:t>
      </w:r>
      <w:r w:rsidR="00E326AD" w:rsidRPr="00541431">
        <w:rPr>
          <w:rFonts w:ascii="Garamond" w:hAnsi="Garamond"/>
          <w:lang w:val="en-GB" w:eastAsia="en-US"/>
        </w:rPr>
        <w:t xml:space="preserve"> a broad understanding of the personal circumstances of the detainees, including accompanying family members, their possible consideration as “especially vulnerable persons”, </w:t>
      </w:r>
      <w:r w:rsidR="002C23AB">
        <w:rPr>
          <w:rFonts w:ascii="Garamond" w:hAnsi="Garamond"/>
          <w:lang w:val="en-GB" w:eastAsia="en-US"/>
        </w:rPr>
        <w:t>and so forth</w:t>
      </w:r>
      <w:r w:rsidR="00E326AD" w:rsidRPr="00541431">
        <w:rPr>
          <w:rFonts w:ascii="Garamond" w:hAnsi="Garamond"/>
          <w:lang w:val="en-GB" w:eastAsia="en-US"/>
        </w:rPr>
        <w:t xml:space="preserve">. It </w:t>
      </w:r>
      <w:r w:rsidR="002C23AB">
        <w:rPr>
          <w:rFonts w:ascii="Garamond" w:hAnsi="Garamond"/>
          <w:lang w:val="en-GB" w:eastAsia="en-US"/>
        </w:rPr>
        <w:t>may also</w:t>
      </w:r>
      <w:r w:rsidR="00E326AD" w:rsidRPr="00541431">
        <w:rPr>
          <w:rFonts w:ascii="Garamond" w:hAnsi="Garamond"/>
          <w:lang w:val="en-GB" w:eastAsia="en-US"/>
        </w:rPr>
        <w:t xml:space="preserve"> prevent the application of alternative </w:t>
      </w:r>
      <w:r w:rsidR="00E326AD" w:rsidRPr="00541431">
        <w:rPr>
          <w:rFonts w:ascii="Garamond" w:hAnsi="Garamond"/>
          <w:lang w:val="en-GB" w:eastAsia="en-US"/>
        </w:rPr>
        <w:lastRenderedPageBreak/>
        <w:t xml:space="preserve">measures to detention, thus contributing to the systematic detention of migrants at the border posts. </w:t>
      </w:r>
    </w:p>
    <w:p w14:paraId="44EF5238" w14:textId="1F43CBC3" w:rsidR="00D06E3C" w:rsidRPr="00541431" w:rsidRDefault="00D06E3C" w:rsidP="00D06E3C">
      <w:pPr>
        <w:spacing w:after="200" w:line="360" w:lineRule="auto"/>
        <w:ind w:firstLine="708"/>
        <w:jc w:val="both"/>
        <w:rPr>
          <w:rFonts w:ascii="Garamond" w:hAnsi="Garamond"/>
          <w:lang w:val="en-GB" w:eastAsia="en-US"/>
        </w:rPr>
      </w:pPr>
      <w:r w:rsidRPr="00541431">
        <w:rPr>
          <w:rFonts w:ascii="Garamond" w:hAnsi="Garamond"/>
          <w:lang w:val="en-GB" w:eastAsia="en-US"/>
        </w:rPr>
        <w:t xml:space="preserve">In its visits to EECIT’s detention </w:t>
      </w:r>
      <w:r w:rsidR="00BA009E" w:rsidRPr="00541431">
        <w:rPr>
          <w:rFonts w:ascii="Garamond" w:hAnsi="Garamond"/>
          <w:lang w:val="en-GB" w:eastAsia="en-US"/>
        </w:rPr>
        <w:t>centres</w:t>
      </w:r>
      <w:r w:rsidRPr="00541431">
        <w:rPr>
          <w:rFonts w:ascii="Garamond" w:hAnsi="Garamond"/>
          <w:lang w:val="en-GB" w:eastAsia="en-US"/>
        </w:rPr>
        <w:t xml:space="preserve">, the NPM has constantly asked the administration whether there </w:t>
      </w:r>
      <w:r w:rsidR="00CE2A76" w:rsidRPr="00541431">
        <w:rPr>
          <w:rFonts w:ascii="Garamond" w:hAnsi="Garamond"/>
          <w:lang w:val="en-GB" w:eastAsia="en-US"/>
        </w:rPr>
        <w:t>w</w:t>
      </w:r>
      <w:r w:rsidR="00CE2A76">
        <w:rPr>
          <w:rFonts w:ascii="Garamond" w:hAnsi="Garamond"/>
          <w:lang w:val="en-GB" w:eastAsia="en-US"/>
        </w:rPr>
        <w:t>ere</w:t>
      </w:r>
      <w:r w:rsidR="00CE2A76" w:rsidRPr="00541431">
        <w:rPr>
          <w:rFonts w:ascii="Garamond" w:hAnsi="Garamond"/>
          <w:lang w:val="en-GB" w:eastAsia="en-US"/>
        </w:rPr>
        <w:t xml:space="preserve"> </w:t>
      </w:r>
      <w:r w:rsidRPr="00541431">
        <w:rPr>
          <w:rFonts w:ascii="Garamond" w:hAnsi="Garamond"/>
          <w:lang w:val="en-GB" w:eastAsia="en-US"/>
        </w:rPr>
        <w:t>any procedur</w:t>
      </w:r>
      <w:r w:rsidR="003F4D87">
        <w:rPr>
          <w:rFonts w:ascii="Garamond" w:hAnsi="Garamond"/>
          <w:lang w:val="en-GB" w:eastAsia="en-US"/>
        </w:rPr>
        <w:t>es</w:t>
      </w:r>
      <w:r w:rsidRPr="00541431">
        <w:rPr>
          <w:rFonts w:ascii="Garamond" w:hAnsi="Garamond"/>
          <w:lang w:val="en-GB" w:eastAsia="en-US"/>
        </w:rPr>
        <w:t xml:space="preserve"> put in place in order to systematically </w:t>
      </w:r>
      <w:r w:rsidR="00BA009E" w:rsidRPr="00541431">
        <w:rPr>
          <w:rFonts w:ascii="Garamond" w:hAnsi="Garamond"/>
          <w:lang w:val="en-GB" w:eastAsia="en-US"/>
        </w:rPr>
        <w:t>identify</w:t>
      </w:r>
      <w:r w:rsidRPr="00541431">
        <w:rPr>
          <w:rFonts w:ascii="Garamond" w:hAnsi="Garamond"/>
          <w:lang w:val="en-GB" w:eastAsia="en-US"/>
        </w:rPr>
        <w:t xml:space="preserve"> particular vulnerable persons. The Aliens and </w:t>
      </w:r>
      <w:r w:rsidR="00BA009E" w:rsidRPr="00541431">
        <w:rPr>
          <w:rFonts w:ascii="Garamond" w:hAnsi="Garamond"/>
          <w:lang w:val="en-GB" w:eastAsia="en-US"/>
        </w:rPr>
        <w:t>Borders</w:t>
      </w:r>
      <w:r w:rsidRPr="00541431">
        <w:rPr>
          <w:rFonts w:ascii="Garamond" w:hAnsi="Garamond"/>
          <w:lang w:val="en-GB" w:eastAsia="en-US"/>
        </w:rPr>
        <w:t xml:space="preserve"> </w:t>
      </w:r>
      <w:r w:rsidR="003F4D87" w:rsidRPr="00541431">
        <w:rPr>
          <w:rFonts w:ascii="Garamond" w:hAnsi="Garamond"/>
          <w:lang w:val="en-GB" w:eastAsia="en-US"/>
        </w:rPr>
        <w:t>Service</w:t>
      </w:r>
      <w:r w:rsidR="003F4D87">
        <w:rPr>
          <w:rFonts w:ascii="Garamond" w:hAnsi="Garamond"/>
          <w:lang w:val="en-GB" w:eastAsia="en-US"/>
        </w:rPr>
        <w:t xml:space="preserve"> </w:t>
      </w:r>
      <w:r w:rsidR="003F4D87" w:rsidRPr="00541431">
        <w:rPr>
          <w:rFonts w:ascii="Garamond" w:hAnsi="Garamond"/>
          <w:lang w:val="en-GB" w:eastAsia="en-US"/>
        </w:rPr>
        <w:t>informed</w:t>
      </w:r>
      <w:r w:rsidRPr="00541431">
        <w:rPr>
          <w:rFonts w:ascii="Garamond" w:hAnsi="Garamond"/>
          <w:lang w:val="en-GB" w:eastAsia="en-US"/>
        </w:rPr>
        <w:t xml:space="preserve"> that no standards existed and </w:t>
      </w:r>
      <w:r w:rsidR="00CE2A76">
        <w:rPr>
          <w:rFonts w:ascii="Garamond" w:hAnsi="Garamond"/>
          <w:lang w:val="en-GB" w:eastAsia="en-US"/>
        </w:rPr>
        <w:t xml:space="preserve">that </w:t>
      </w:r>
      <w:r w:rsidRPr="00541431">
        <w:rPr>
          <w:rFonts w:ascii="Garamond" w:hAnsi="Garamond"/>
          <w:lang w:val="en-GB" w:eastAsia="en-US"/>
        </w:rPr>
        <w:t xml:space="preserve">such an identification would depend on the </w:t>
      </w:r>
      <w:r w:rsidRPr="00B95824">
        <w:rPr>
          <w:rFonts w:ascii="Garamond" w:hAnsi="Garamond"/>
          <w:i/>
          <w:lang w:val="en-GB" w:eastAsia="en-US"/>
        </w:rPr>
        <w:t>ad hoc</w:t>
      </w:r>
      <w:r w:rsidRPr="00541431">
        <w:rPr>
          <w:rFonts w:ascii="Garamond" w:hAnsi="Garamond"/>
          <w:lang w:val="en-GB" w:eastAsia="en-US"/>
        </w:rPr>
        <w:t xml:space="preserve"> evaluation </w:t>
      </w:r>
      <w:r w:rsidR="00CE2A76">
        <w:rPr>
          <w:rFonts w:ascii="Garamond" w:hAnsi="Garamond"/>
          <w:lang w:val="en-GB" w:eastAsia="en-US"/>
        </w:rPr>
        <w:t>made by</w:t>
      </w:r>
      <w:r w:rsidRPr="00541431">
        <w:rPr>
          <w:rFonts w:ascii="Garamond" w:hAnsi="Garamond"/>
          <w:lang w:val="en-GB" w:eastAsia="en-US"/>
        </w:rPr>
        <w:t xml:space="preserve"> official. The Ombudsman is particularly concerned with detention of migrant children </w:t>
      </w:r>
      <w:r w:rsidR="00E326AD" w:rsidRPr="00541431">
        <w:rPr>
          <w:rFonts w:ascii="Garamond" w:hAnsi="Garamond"/>
          <w:lang w:val="en-GB" w:eastAsia="en-US"/>
        </w:rPr>
        <w:t>– whether ac</w:t>
      </w:r>
      <w:r w:rsidRPr="00541431">
        <w:rPr>
          <w:rFonts w:ascii="Garamond" w:hAnsi="Garamond"/>
          <w:lang w:val="en-GB" w:eastAsia="en-US"/>
        </w:rPr>
        <w:t xml:space="preserve">companied </w:t>
      </w:r>
      <w:r w:rsidR="00E326AD" w:rsidRPr="00541431">
        <w:rPr>
          <w:rFonts w:ascii="Garamond" w:hAnsi="Garamond"/>
          <w:lang w:val="en-GB" w:eastAsia="en-US"/>
        </w:rPr>
        <w:t xml:space="preserve">or </w:t>
      </w:r>
      <w:r w:rsidR="00BA009E" w:rsidRPr="00541431">
        <w:rPr>
          <w:rFonts w:ascii="Garamond" w:hAnsi="Garamond"/>
          <w:lang w:val="en-GB" w:eastAsia="en-US"/>
        </w:rPr>
        <w:t>unaccompanied</w:t>
      </w:r>
      <w:r w:rsidRPr="00541431">
        <w:rPr>
          <w:rFonts w:ascii="Garamond" w:hAnsi="Garamond"/>
          <w:lang w:val="en-GB" w:eastAsia="en-US"/>
        </w:rPr>
        <w:t xml:space="preserve">. </w:t>
      </w:r>
      <w:r w:rsidR="00D50395">
        <w:rPr>
          <w:rFonts w:ascii="Garamond" w:hAnsi="Garamond"/>
          <w:lang w:val="en-GB" w:eastAsia="en-US"/>
        </w:rPr>
        <w:t xml:space="preserve">Although </w:t>
      </w:r>
      <w:r w:rsidR="00614454">
        <w:rPr>
          <w:rFonts w:ascii="Garamond" w:hAnsi="Garamond"/>
          <w:lang w:val="en-GB" w:eastAsia="en-US"/>
        </w:rPr>
        <w:t xml:space="preserve">in its response to the list of issues, </w:t>
      </w:r>
      <w:r w:rsidR="00D50395">
        <w:rPr>
          <w:rFonts w:ascii="Garamond" w:hAnsi="Garamond"/>
          <w:lang w:val="en-GB" w:eastAsia="en-US"/>
        </w:rPr>
        <w:t>the Government claims that such detention is not allowed, i</w:t>
      </w:r>
      <w:r w:rsidRPr="00541431">
        <w:rPr>
          <w:rFonts w:ascii="Garamond" w:hAnsi="Garamond"/>
          <w:lang w:val="en-GB" w:eastAsia="en-US"/>
        </w:rPr>
        <w:t xml:space="preserve">n </w:t>
      </w:r>
      <w:r w:rsidR="00E326AD" w:rsidRPr="00541431">
        <w:rPr>
          <w:rFonts w:ascii="Garamond" w:hAnsi="Garamond"/>
          <w:lang w:val="en-GB" w:eastAsia="en-US"/>
        </w:rPr>
        <w:t xml:space="preserve">almost </w:t>
      </w:r>
      <w:r w:rsidR="00CE2A76">
        <w:rPr>
          <w:rFonts w:ascii="Garamond" w:hAnsi="Garamond"/>
          <w:lang w:val="en-GB" w:eastAsia="en-US"/>
        </w:rPr>
        <w:t>all visits</w:t>
      </w:r>
      <w:r w:rsidR="00E326AD" w:rsidRPr="00541431">
        <w:rPr>
          <w:rFonts w:ascii="Garamond" w:hAnsi="Garamond"/>
          <w:lang w:val="en-GB" w:eastAsia="en-US"/>
        </w:rPr>
        <w:t xml:space="preserve"> </w:t>
      </w:r>
      <w:r w:rsidR="00CE2A76">
        <w:rPr>
          <w:rFonts w:ascii="Garamond" w:hAnsi="Garamond"/>
          <w:lang w:val="en-GB" w:eastAsia="en-US"/>
        </w:rPr>
        <w:t>conducted</w:t>
      </w:r>
      <w:r w:rsidR="00CE2A76" w:rsidRPr="00541431">
        <w:rPr>
          <w:rFonts w:ascii="Garamond" w:hAnsi="Garamond"/>
          <w:lang w:val="en-GB" w:eastAsia="en-US"/>
        </w:rPr>
        <w:t xml:space="preserve"> </w:t>
      </w:r>
      <w:r w:rsidR="00E326AD" w:rsidRPr="00541431">
        <w:rPr>
          <w:rFonts w:ascii="Garamond" w:hAnsi="Garamond"/>
          <w:lang w:val="en-GB" w:eastAsia="en-US"/>
        </w:rPr>
        <w:t xml:space="preserve">to the </w:t>
      </w:r>
      <w:r w:rsidR="00BA009E" w:rsidRPr="00541431">
        <w:rPr>
          <w:rFonts w:ascii="Garamond" w:hAnsi="Garamond"/>
          <w:lang w:val="en-GB" w:eastAsia="en-US"/>
        </w:rPr>
        <w:t>Lisbon’s</w:t>
      </w:r>
      <w:r w:rsidR="00E326AD" w:rsidRPr="00541431">
        <w:rPr>
          <w:rFonts w:ascii="Garamond" w:hAnsi="Garamond"/>
          <w:lang w:val="en-GB" w:eastAsia="en-US"/>
        </w:rPr>
        <w:t xml:space="preserve"> airport EECIT the N</w:t>
      </w:r>
      <w:r w:rsidR="00B95824">
        <w:rPr>
          <w:rFonts w:ascii="Garamond" w:hAnsi="Garamond"/>
          <w:lang w:val="en-GB" w:eastAsia="en-US"/>
        </w:rPr>
        <w:t>P</w:t>
      </w:r>
      <w:r w:rsidR="00E326AD" w:rsidRPr="00541431">
        <w:rPr>
          <w:rFonts w:ascii="Garamond" w:hAnsi="Garamond"/>
          <w:lang w:val="en-GB" w:eastAsia="en-US"/>
        </w:rPr>
        <w:t xml:space="preserve">M </w:t>
      </w:r>
      <w:r w:rsidRPr="00541431">
        <w:rPr>
          <w:rFonts w:ascii="Garamond" w:hAnsi="Garamond"/>
          <w:lang w:val="en-GB" w:eastAsia="en-US"/>
        </w:rPr>
        <w:t xml:space="preserve">could </w:t>
      </w:r>
      <w:r w:rsidR="00E326AD" w:rsidRPr="00541431">
        <w:rPr>
          <w:rFonts w:ascii="Garamond" w:hAnsi="Garamond"/>
          <w:lang w:val="en-GB" w:eastAsia="en-US"/>
        </w:rPr>
        <w:t xml:space="preserve">witness children – </w:t>
      </w:r>
      <w:r w:rsidR="00B95824">
        <w:rPr>
          <w:rFonts w:ascii="Garamond" w:hAnsi="Garamond"/>
          <w:lang w:val="en-GB" w:eastAsia="en-US"/>
        </w:rPr>
        <w:t xml:space="preserve">who </w:t>
      </w:r>
      <w:r w:rsidR="00CE2A76">
        <w:rPr>
          <w:rFonts w:ascii="Garamond" w:hAnsi="Garamond"/>
          <w:lang w:val="en-GB" w:eastAsia="en-US"/>
        </w:rPr>
        <w:t xml:space="preserve">were </w:t>
      </w:r>
      <w:r w:rsidR="00BA009E" w:rsidRPr="00541431">
        <w:rPr>
          <w:rFonts w:ascii="Garamond" w:hAnsi="Garamond"/>
          <w:lang w:val="en-GB" w:eastAsia="en-US"/>
        </w:rPr>
        <w:t>often</w:t>
      </w:r>
      <w:r w:rsidR="00E326AD" w:rsidRPr="00541431">
        <w:rPr>
          <w:rFonts w:ascii="Garamond" w:hAnsi="Garamond"/>
          <w:lang w:val="en-GB" w:eastAsia="en-US"/>
        </w:rPr>
        <w:t xml:space="preserve"> very youn</w:t>
      </w:r>
      <w:r w:rsidR="00B95824">
        <w:rPr>
          <w:rFonts w:ascii="Garamond" w:hAnsi="Garamond"/>
          <w:lang w:val="en-GB" w:eastAsia="en-US"/>
        </w:rPr>
        <w:t>g</w:t>
      </w:r>
      <w:r w:rsidR="00E326AD" w:rsidRPr="00541431">
        <w:rPr>
          <w:rFonts w:ascii="Garamond" w:hAnsi="Garamond"/>
          <w:lang w:val="en-GB" w:eastAsia="en-US"/>
        </w:rPr>
        <w:t xml:space="preserve"> – </w:t>
      </w:r>
      <w:r w:rsidR="001F7B35">
        <w:rPr>
          <w:rFonts w:ascii="Garamond" w:hAnsi="Garamond"/>
          <w:lang w:val="en-GB" w:eastAsia="en-US"/>
        </w:rPr>
        <w:t>detained therein</w:t>
      </w:r>
      <w:r w:rsidR="00E326AD" w:rsidRPr="00541431">
        <w:rPr>
          <w:rFonts w:ascii="Garamond" w:hAnsi="Garamond"/>
          <w:lang w:val="en-GB" w:eastAsia="en-US"/>
        </w:rPr>
        <w:t xml:space="preserve">. </w:t>
      </w:r>
      <w:r w:rsidR="001F7B35">
        <w:rPr>
          <w:rFonts w:ascii="Garamond" w:hAnsi="Garamond"/>
          <w:lang w:val="en-GB" w:eastAsia="en-US"/>
        </w:rPr>
        <w:t>In this context, t</w:t>
      </w:r>
      <w:r w:rsidRPr="00541431">
        <w:rPr>
          <w:rFonts w:ascii="Garamond" w:hAnsi="Garamond"/>
          <w:lang w:val="en-GB" w:eastAsia="en-US"/>
        </w:rPr>
        <w:t>he Minister of Home Affairs issued</w:t>
      </w:r>
      <w:r w:rsidR="00E326AD" w:rsidRPr="00541431">
        <w:rPr>
          <w:rFonts w:ascii="Garamond" w:hAnsi="Garamond"/>
          <w:lang w:val="en-GB" w:eastAsia="en-US"/>
        </w:rPr>
        <w:t>, in 2018,</w:t>
      </w:r>
      <w:r w:rsidRPr="00541431">
        <w:rPr>
          <w:rFonts w:ascii="Garamond" w:hAnsi="Garamond"/>
          <w:lang w:val="en-GB" w:eastAsia="en-US"/>
        </w:rPr>
        <w:t xml:space="preserve"> an order stating that the maximum stay in the EECIT of minors under 16 years would be of seven days. After this deadline, children must be received by the Refugee Shelter House managed by the </w:t>
      </w:r>
      <w:r w:rsidR="00CE2A76">
        <w:rPr>
          <w:rFonts w:ascii="Garamond" w:hAnsi="Garamond"/>
          <w:lang w:val="en-GB" w:eastAsia="en-US"/>
        </w:rPr>
        <w:t xml:space="preserve">Portuguese </w:t>
      </w:r>
      <w:r w:rsidRPr="00541431">
        <w:rPr>
          <w:rFonts w:ascii="Garamond" w:hAnsi="Garamond"/>
          <w:lang w:val="en-GB" w:eastAsia="en-US"/>
        </w:rPr>
        <w:t>Refugee Council and their parents should accompany them. Despite recognizing that this development is positive, the NP</w:t>
      </w:r>
      <w:r w:rsidR="00E326AD" w:rsidRPr="00541431">
        <w:rPr>
          <w:rFonts w:ascii="Garamond" w:hAnsi="Garamond"/>
          <w:lang w:val="en-GB" w:eastAsia="en-US"/>
        </w:rPr>
        <w:t>M</w:t>
      </w:r>
      <w:r w:rsidRPr="00541431">
        <w:rPr>
          <w:rFonts w:ascii="Garamond" w:hAnsi="Garamond"/>
          <w:lang w:val="en-GB" w:eastAsia="en-US"/>
        </w:rPr>
        <w:t xml:space="preserve"> considers that the best interests of children always conflicts with their deprivation of liberty</w:t>
      </w:r>
      <w:r w:rsidR="00E326AD" w:rsidRPr="00541431">
        <w:rPr>
          <w:rFonts w:ascii="Garamond" w:hAnsi="Garamond"/>
          <w:lang w:val="en-GB" w:eastAsia="en-US"/>
        </w:rPr>
        <w:t>,</w:t>
      </w:r>
      <w:r w:rsidRPr="00541431">
        <w:rPr>
          <w:rFonts w:ascii="Garamond" w:hAnsi="Garamond"/>
          <w:lang w:val="en-GB" w:eastAsia="en-US"/>
        </w:rPr>
        <w:t xml:space="preserve"> even though it understands the difficulty of pondering some situations, namely regarding suspicions of human trafficking or fear of escape. </w:t>
      </w:r>
    </w:p>
    <w:p w14:paraId="2FF5A989" w14:textId="77777777" w:rsidR="00D06E3C" w:rsidRDefault="00D06E3C" w:rsidP="00C05F43">
      <w:pPr>
        <w:spacing w:after="200" w:line="360" w:lineRule="auto"/>
        <w:ind w:firstLine="708"/>
        <w:jc w:val="both"/>
        <w:rPr>
          <w:rFonts w:ascii="Garamond" w:hAnsi="Garamond"/>
          <w:sz w:val="26"/>
          <w:szCs w:val="26"/>
          <w:lang w:val="en-GB" w:eastAsia="en-US"/>
        </w:rPr>
      </w:pPr>
    </w:p>
    <w:sectPr w:rsidR="00D06E3C" w:rsidSect="00254F12">
      <w:headerReference w:type="default" r:id="rId9"/>
      <w:footerReference w:type="default" r:id="rId10"/>
      <w:pgSz w:w="11906" w:h="16838" w:code="9"/>
      <w:pgMar w:top="2089" w:right="1274" w:bottom="568"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8675" w14:textId="77777777" w:rsidR="00542C74" w:rsidRDefault="00542C74">
      <w:r>
        <w:separator/>
      </w:r>
    </w:p>
  </w:endnote>
  <w:endnote w:type="continuationSeparator" w:id="0">
    <w:p w14:paraId="6289F70E" w14:textId="77777777" w:rsidR="00542C74" w:rsidRDefault="0054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25979"/>
      <w:docPartObj>
        <w:docPartGallery w:val="Page Numbers (Bottom of Page)"/>
        <w:docPartUnique/>
      </w:docPartObj>
    </w:sdtPr>
    <w:sdtEndPr/>
    <w:sdtContent>
      <w:p w14:paraId="5960CC41" w14:textId="77777777" w:rsidR="001E07A2" w:rsidRDefault="001E07A2">
        <w:pPr>
          <w:pStyle w:val="Rodap"/>
          <w:jc w:val="right"/>
        </w:pPr>
        <w:r>
          <w:fldChar w:fldCharType="begin"/>
        </w:r>
        <w:r>
          <w:instrText>PAGE   \* MERGEFORMAT</w:instrText>
        </w:r>
        <w:r>
          <w:fldChar w:fldCharType="separate"/>
        </w:r>
        <w:r w:rsidR="00357DFE">
          <w:rPr>
            <w:noProof/>
          </w:rPr>
          <w:t>1</w:t>
        </w:r>
        <w:r>
          <w:fldChar w:fldCharType="end"/>
        </w:r>
      </w:p>
      <w:p w14:paraId="7188C32F" w14:textId="77777777" w:rsidR="001E07A2" w:rsidRDefault="001E07A2">
        <w:pPr>
          <w:pStyle w:val="Rodap"/>
          <w:jc w:val="right"/>
        </w:pPr>
      </w:p>
      <w:p w14:paraId="26B4DFA8" w14:textId="77777777" w:rsidR="001E07A2" w:rsidRDefault="00542C74">
        <w:pPr>
          <w:pStyle w:val="Rodap"/>
          <w:jc w:val="right"/>
        </w:pPr>
      </w:p>
    </w:sdtContent>
  </w:sdt>
  <w:p w14:paraId="03F4F3FF" w14:textId="77777777" w:rsidR="001E07A2" w:rsidRDefault="001E07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304F" w14:textId="77777777" w:rsidR="00542C74" w:rsidRDefault="00542C74">
      <w:r>
        <w:separator/>
      </w:r>
    </w:p>
  </w:footnote>
  <w:footnote w:type="continuationSeparator" w:id="0">
    <w:p w14:paraId="2B4D4C3D" w14:textId="77777777" w:rsidR="00542C74" w:rsidRDefault="00542C74">
      <w:r>
        <w:continuationSeparator/>
      </w:r>
    </w:p>
  </w:footnote>
  <w:footnote w:id="1">
    <w:p w14:paraId="7045F85A" w14:textId="072AEA81" w:rsidR="00CF26E7" w:rsidRPr="00CF26E7" w:rsidRDefault="00CF26E7">
      <w:pPr>
        <w:pStyle w:val="Textodenotaderodap"/>
        <w:rPr>
          <w:lang w:val="en-GB"/>
        </w:rPr>
      </w:pPr>
      <w:r>
        <w:rPr>
          <w:rStyle w:val="Refdenotaderodap"/>
        </w:rPr>
        <w:footnoteRef/>
      </w:r>
      <w:r w:rsidRPr="00CF26E7">
        <w:rPr>
          <w:lang w:val="en-GB"/>
        </w:rPr>
        <w:t xml:space="preserve"> </w:t>
      </w:r>
      <w:r w:rsidRPr="00CF26E7">
        <w:rPr>
          <w:rFonts w:ascii="Garamond" w:eastAsia="Times New Roman" w:hAnsi="Garamond" w:cs="Times New Roman"/>
          <w:lang w:val="en-US" w:eastAsia="pt-PT"/>
        </w:rPr>
        <w:t>The oldest requirement dated of 2018.</w:t>
      </w:r>
    </w:p>
  </w:footnote>
  <w:footnote w:id="2">
    <w:p w14:paraId="27AB898E" w14:textId="1830096E" w:rsidR="008526B3" w:rsidRPr="008526B3" w:rsidRDefault="008526B3">
      <w:pPr>
        <w:pStyle w:val="Textodenotaderodap"/>
        <w:rPr>
          <w:lang w:val="en-GB"/>
        </w:rPr>
      </w:pPr>
      <w:r>
        <w:rPr>
          <w:rStyle w:val="Refdenotaderodap"/>
        </w:rPr>
        <w:footnoteRef/>
      </w:r>
      <w:r w:rsidRPr="008526B3">
        <w:rPr>
          <w:lang w:val="en-GB"/>
        </w:rPr>
        <w:t xml:space="preserve"> </w:t>
      </w:r>
      <w:r w:rsidRPr="008526B3">
        <w:rPr>
          <w:rFonts w:ascii="Garamond" w:eastAsia="Times New Roman" w:hAnsi="Garamond" w:cs="Times New Roman"/>
          <w:lang w:val="en-US" w:eastAsia="pt-PT"/>
        </w:rPr>
        <w:t>Article 17 of Decree-Law No. 187 / 2007, of May 3.</w:t>
      </w:r>
    </w:p>
  </w:footnote>
  <w:footnote w:id="3">
    <w:p w14:paraId="41601419" w14:textId="37E1A4A7" w:rsidR="00582001" w:rsidRPr="00582001" w:rsidRDefault="00582001">
      <w:pPr>
        <w:pStyle w:val="Textodenotaderodap"/>
        <w:rPr>
          <w:lang w:val="en-GB"/>
        </w:rPr>
      </w:pPr>
      <w:r>
        <w:rPr>
          <w:rStyle w:val="Refdenotaderodap"/>
        </w:rPr>
        <w:footnoteRef/>
      </w:r>
      <w:r w:rsidRPr="00582001">
        <w:rPr>
          <w:lang w:val="en-GB"/>
        </w:rPr>
        <w:t xml:space="preserve"> </w:t>
      </w:r>
      <w:r w:rsidRPr="00582001">
        <w:rPr>
          <w:rFonts w:ascii="Garamond" w:eastAsia="Times New Roman" w:hAnsi="Garamond" w:cs="Times New Roman"/>
          <w:lang w:val="en-US" w:eastAsia="pt-PT"/>
        </w:rPr>
        <w:t>Article 4 of Regulatory Decree no. 3/2016, of 23 August.</w:t>
      </w:r>
      <w:r>
        <w:rPr>
          <w:lang w:val="en-GB"/>
        </w:rPr>
        <w:t xml:space="preserve"> </w:t>
      </w:r>
    </w:p>
  </w:footnote>
  <w:footnote w:id="4">
    <w:p w14:paraId="32934217" w14:textId="75D9CCC6" w:rsidR="001E07A2" w:rsidRPr="007F3E3E" w:rsidRDefault="001E07A2" w:rsidP="007F3E3E">
      <w:pPr>
        <w:jc w:val="both"/>
        <w:rPr>
          <w:rFonts w:ascii="Garamond" w:hAnsi="Garamond"/>
          <w:sz w:val="20"/>
          <w:szCs w:val="20"/>
          <w:lang w:val="en-US"/>
        </w:rPr>
      </w:pPr>
      <w:r w:rsidRPr="00C53548">
        <w:rPr>
          <w:rStyle w:val="Refdenotaderodap"/>
          <w:sz w:val="20"/>
          <w:szCs w:val="20"/>
        </w:rPr>
        <w:footnoteRef/>
      </w:r>
      <w:r w:rsidRPr="00C53548">
        <w:rPr>
          <w:sz w:val="20"/>
          <w:szCs w:val="20"/>
          <w:lang w:val="en-US"/>
        </w:rPr>
        <w:t xml:space="preserve"> </w:t>
      </w:r>
      <w:r w:rsidRPr="00C53548">
        <w:rPr>
          <w:rFonts w:ascii="Garamond" w:hAnsi="Garamond"/>
          <w:i/>
          <w:sz w:val="20"/>
          <w:szCs w:val="20"/>
          <w:lang w:val="en-US"/>
        </w:rPr>
        <w:t>The Annual Security Report 201</w:t>
      </w:r>
      <w:r w:rsidR="00C71B59">
        <w:rPr>
          <w:rFonts w:ascii="Garamond" w:hAnsi="Garamond"/>
          <w:i/>
          <w:sz w:val="20"/>
          <w:szCs w:val="20"/>
          <w:lang w:val="en-US"/>
        </w:rPr>
        <w:t>8</w:t>
      </w:r>
      <w:r w:rsidRPr="00C53548">
        <w:rPr>
          <w:rFonts w:ascii="Garamond" w:hAnsi="Garamond"/>
          <w:i/>
          <w:sz w:val="20"/>
          <w:szCs w:val="20"/>
          <w:lang w:val="en-US"/>
        </w:rPr>
        <w:t xml:space="preserve"> of the Portuguese Government</w:t>
      </w:r>
      <w:r w:rsidRPr="00C53548">
        <w:rPr>
          <w:rFonts w:ascii="Garamond" w:hAnsi="Garamond"/>
          <w:sz w:val="20"/>
          <w:szCs w:val="20"/>
          <w:lang w:val="en-US"/>
        </w:rPr>
        <w:t xml:space="preserve">, p. 14. </w:t>
      </w:r>
      <w:r w:rsidRPr="00C53548">
        <w:rPr>
          <w:rFonts w:ascii="Garamond" w:hAnsi="Garamond"/>
          <w:i/>
          <w:sz w:val="20"/>
          <w:szCs w:val="20"/>
          <w:lang w:val="en-US"/>
        </w:rPr>
        <w:t xml:space="preserve"> </w:t>
      </w:r>
      <w:r w:rsidRPr="00C53548">
        <w:rPr>
          <w:rFonts w:ascii="Garamond" w:hAnsi="Garamond"/>
          <w:sz w:val="20"/>
          <w:szCs w:val="20"/>
          <w:lang w:val="en-US"/>
        </w:rPr>
        <w:t>Available at:</w:t>
      </w:r>
      <w:r w:rsidRPr="00C53548">
        <w:rPr>
          <w:i/>
          <w:sz w:val="20"/>
          <w:szCs w:val="20"/>
          <w:lang w:val="en-US"/>
        </w:rPr>
        <w:t xml:space="preserve"> </w:t>
      </w:r>
      <w:r w:rsidR="00542C74">
        <w:fldChar w:fldCharType="begin"/>
      </w:r>
      <w:r w:rsidR="00542C74" w:rsidRPr="00182FB8">
        <w:rPr>
          <w:lang w:val="en-GB"/>
        </w:rPr>
        <w:instrText xml:space="preserve"> HYPERLINK "https://www.portugal.gov.pt/download-ficheiros/ficheiro.aspx?v=ad5cfe37-0d52-412e-83fb-7f098448dba7" </w:instrText>
      </w:r>
      <w:r w:rsidR="00542C74">
        <w:fldChar w:fldCharType="separate"/>
      </w:r>
      <w:r w:rsidRPr="000239D5">
        <w:rPr>
          <w:rFonts w:ascii="Garamond" w:hAnsi="Garamond"/>
          <w:sz w:val="20"/>
          <w:szCs w:val="20"/>
          <w:lang w:val="en-US"/>
        </w:rPr>
        <w:t>https://www.portugal.gov.pt/download-ficheiros/ficheiro.aspx?v=ad5cfe37-0d52-412e-83fb-7f098448dba7</w:t>
      </w:r>
      <w:r w:rsidR="00542C74">
        <w:rPr>
          <w:rFonts w:ascii="Garamond" w:hAnsi="Garamond"/>
          <w:sz w:val="20"/>
          <w:szCs w:val="20"/>
          <w:lang w:val="en-US"/>
        </w:rPr>
        <w:fldChar w:fldCharType="end"/>
      </w:r>
    </w:p>
  </w:footnote>
  <w:footnote w:id="5">
    <w:p w14:paraId="6F92B903" w14:textId="6BDAB325" w:rsidR="00681B54" w:rsidRPr="00681B54" w:rsidRDefault="00681B54">
      <w:pPr>
        <w:pStyle w:val="Textodenotaderodap"/>
        <w:rPr>
          <w:lang w:val="en-GB"/>
        </w:rPr>
      </w:pPr>
      <w:r>
        <w:rPr>
          <w:rStyle w:val="Refdenotaderodap"/>
        </w:rPr>
        <w:footnoteRef/>
      </w:r>
      <w:r w:rsidRPr="00681B54">
        <w:rPr>
          <w:lang w:val="en-GB"/>
        </w:rPr>
        <w:t xml:space="preserve"> </w:t>
      </w:r>
      <w:r w:rsidRPr="00681B54">
        <w:rPr>
          <w:rFonts w:ascii="Garamond" w:eastAsia="Times New Roman" w:hAnsi="Garamond" w:cs="Times New Roman"/>
          <w:lang w:val="en-US" w:eastAsia="pt-PT"/>
        </w:rPr>
        <w:t>https://estatisticas.justica.gov.pt/sites/siej/pt-pt/Paginas/Violencia_domestica.aspx</w:t>
      </w:r>
    </w:p>
  </w:footnote>
  <w:footnote w:id="6">
    <w:p w14:paraId="2E4F457F" w14:textId="77777777" w:rsidR="00E61495" w:rsidRDefault="00E61495" w:rsidP="00E61495">
      <w:pPr>
        <w:pStyle w:val="Textodenotaderodap"/>
        <w:jc w:val="both"/>
        <w:rPr>
          <w:rFonts w:ascii="Garamond" w:hAnsi="Garamond"/>
          <w:lang w:val="en-GB"/>
        </w:rPr>
      </w:pPr>
      <w:r>
        <w:rPr>
          <w:rStyle w:val="Refdenotaderodap"/>
          <w:rFonts w:ascii="Garamond" w:hAnsi="Garamond"/>
          <w:lang w:val="en-GB"/>
        </w:rPr>
        <w:footnoteRef/>
      </w:r>
      <w:r>
        <w:rPr>
          <w:rFonts w:ascii="Garamond" w:hAnsi="Garamond"/>
          <w:lang w:val="en-GB"/>
        </w:rPr>
        <w:t xml:space="preserve"> Under Articles 43 and 44 of the Convention, the Chamber judgment is not final. During the three-month period following its delivery in early December 2019, any party may request that the case be referred to the Grand Chamber of the Court.</w:t>
      </w:r>
    </w:p>
  </w:footnote>
  <w:footnote w:id="7">
    <w:p w14:paraId="3229D980" w14:textId="77777777" w:rsidR="00E61495" w:rsidRDefault="00E61495" w:rsidP="00E61495">
      <w:pPr>
        <w:jc w:val="both"/>
        <w:rPr>
          <w:rFonts w:ascii="Garamond" w:hAnsi="Garamond"/>
          <w:sz w:val="20"/>
          <w:szCs w:val="20"/>
          <w:lang w:val="en-GB"/>
        </w:rPr>
      </w:pPr>
      <w:r>
        <w:rPr>
          <w:rStyle w:val="Refdenotaderodap"/>
          <w:rFonts w:ascii="Garamond" w:hAnsi="Garamond"/>
          <w:sz w:val="20"/>
          <w:szCs w:val="20"/>
        </w:rPr>
        <w:footnoteRef/>
      </w:r>
      <w:r>
        <w:rPr>
          <w:rFonts w:ascii="Garamond" w:hAnsi="Garamond"/>
          <w:sz w:val="20"/>
          <w:szCs w:val="20"/>
          <w:lang w:val="en-GB"/>
        </w:rPr>
        <w:t xml:space="preserve"> </w:t>
      </w:r>
      <w:r>
        <w:rPr>
          <w:rFonts w:ascii="Garamond" w:hAnsi="Garamond" w:cs="Times"/>
          <w:color w:val="000000"/>
          <w:sz w:val="20"/>
          <w:szCs w:val="20"/>
          <w:lang w:val="en-GB"/>
        </w:rPr>
        <w:t xml:space="preserve">In the context of measures taken to raise awareness of detainees about the existence of complaint mechanisms regarding cases of alleged torture or ill-treatment by State officials, the Ombudsman applauds the measure adopted by the Directorate-General for Reinsertion and Prison Services for reinforcing the diffusion of the Ombudsman's Blue Line number, usually placed near telephone booths. However, the NPM has already been to prison facilities where the connection to the Ombudsman’s office was not successful. Therefore, it is paramount to reinforce the information of the NPM / Ombudsman’s role, and to confirm that all means to address this entity are effectively granted. The NPM has started distributing leaflets during its visits, to increase its visibility. In the </w:t>
      </w:r>
      <w:r>
        <w:rPr>
          <w:rFonts w:ascii="Garamond" w:hAnsi="Garamond" w:cs="Times"/>
          <w:i/>
          <w:iCs/>
          <w:color w:val="000000"/>
          <w:sz w:val="20"/>
          <w:szCs w:val="20"/>
          <w:lang w:val="en-GB"/>
        </w:rPr>
        <w:t>Petrescu v. Portugal</w:t>
      </w:r>
      <w:r>
        <w:rPr>
          <w:rFonts w:ascii="Garamond" w:hAnsi="Garamond" w:cs="Times"/>
          <w:color w:val="000000"/>
          <w:sz w:val="20"/>
          <w:szCs w:val="20"/>
          <w:lang w:val="en-GB"/>
        </w:rPr>
        <w:t xml:space="preserve"> case, the Court’s decision argued that Portugal had not shown that the Ombudsman’s non-binding recommendations would make it possible to secure rapid improvements in the conditions of detention that lead to the complaints.</w:t>
      </w:r>
    </w:p>
  </w:footnote>
  <w:footnote w:id="8">
    <w:p w14:paraId="048D5F5F" w14:textId="56A9595F" w:rsidR="004A78C6" w:rsidRPr="00D00E3E" w:rsidRDefault="004A78C6" w:rsidP="00883106">
      <w:pPr>
        <w:pStyle w:val="Textodenotaderodap"/>
        <w:jc w:val="both"/>
        <w:rPr>
          <w:lang w:val="en-GB"/>
        </w:rPr>
      </w:pPr>
      <w:r>
        <w:rPr>
          <w:rStyle w:val="Refdenotaderodap"/>
        </w:rPr>
        <w:footnoteRef/>
      </w:r>
      <w:r w:rsidRPr="00D00E3E">
        <w:rPr>
          <w:lang w:val="en-GB"/>
        </w:rPr>
        <w:t xml:space="preserve"> </w:t>
      </w:r>
      <w:r w:rsidRPr="00883106">
        <w:rPr>
          <w:rFonts w:ascii="Garamond" w:hAnsi="Garamond"/>
          <w:lang w:val="en-GB"/>
        </w:rPr>
        <w:t xml:space="preserve">In this </w:t>
      </w:r>
      <w:r w:rsidR="00DA180C" w:rsidRPr="00883106">
        <w:rPr>
          <w:rFonts w:ascii="Garamond" w:hAnsi="Garamond"/>
          <w:lang w:val="en-GB"/>
        </w:rPr>
        <w:t>aspect</w:t>
      </w:r>
      <w:r w:rsidRPr="00883106">
        <w:rPr>
          <w:rFonts w:ascii="Garamond" w:hAnsi="Garamond"/>
          <w:lang w:val="en-GB"/>
        </w:rPr>
        <w:t>, see the National Preventive Mechanism Annual Report of 2018</w:t>
      </w:r>
      <w:r w:rsidR="001C3154" w:rsidRPr="00883106">
        <w:rPr>
          <w:rFonts w:ascii="Garamond" w:hAnsi="Garamond"/>
          <w:lang w:val="en-GB"/>
        </w:rPr>
        <w:t xml:space="preserve"> (p. 43)</w:t>
      </w:r>
      <w:r w:rsidRPr="00883106">
        <w:rPr>
          <w:rFonts w:ascii="Garamond" w:hAnsi="Garamond"/>
          <w:lang w:val="en-GB"/>
        </w:rPr>
        <w:t xml:space="preserve">, which states, </w:t>
      </w:r>
      <w:r w:rsidRPr="00655726">
        <w:rPr>
          <w:rFonts w:ascii="Garamond" w:hAnsi="Garamond"/>
          <w:i/>
          <w:iCs/>
          <w:lang w:val="en-GB"/>
        </w:rPr>
        <w:t>inter alia</w:t>
      </w:r>
      <w:r w:rsidRPr="00883106">
        <w:rPr>
          <w:rFonts w:ascii="Garamond" w:hAnsi="Garamond"/>
          <w:lang w:val="en-GB"/>
        </w:rPr>
        <w:t>, that phone contacts were allowed, in the Lisbon EECIT, only for a maximum period of 5 minutes during the whole sta</w:t>
      </w:r>
      <w:r w:rsidR="001C3154" w:rsidRPr="00883106">
        <w:rPr>
          <w:rFonts w:ascii="Garamond" w:hAnsi="Garamond"/>
          <w:lang w:val="en-GB"/>
        </w:rPr>
        <w:t>y.</w:t>
      </w:r>
    </w:p>
  </w:footnote>
  <w:footnote w:id="9">
    <w:p w14:paraId="201DFE49" w14:textId="6B2D0701" w:rsidR="00CE0BFD" w:rsidRPr="00CE0BFD" w:rsidRDefault="00CE0BFD">
      <w:pPr>
        <w:pStyle w:val="Textodenotaderodap"/>
        <w:rPr>
          <w:lang w:val="en-GB"/>
        </w:rPr>
      </w:pPr>
      <w:r>
        <w:rPr>
          <w:rStyle w:val="Refdenotaderodap"/>
        </w:rPr>
        <w:footnoteRef/>
      </w:r>
      <w:r w:rsidRPr="00CE0BFD">
        <w:rPr>
          <w:lang w:val="en-GB"/>
        </w:rPr>
        <w:t xml:space="preserve"> </w:t>
      </w:r>
      <w:r w:rsidRPr="00CE0BFD">
        <w:rPr>
          <w:rFonts w:ascii="Garamond" w:hAnsi="Garamond"/>
          <w:lang w:val="en-GB"/>
        </w:rPr>
        <w:t>Law no. 23/2007, as last amended by Law no. 28/2019, de 29/03.</w:t>
      </w:r>
    </w:p>
  </w:footnote>
  <w:footnote w:id="10">
    <w:p w14:paraId="46C93C88" w14:textId="5EFD24C9" w:rsidR="00E67B32" w:rsidRPr="00E67B32" w:rsidRDefault="00E67B32">
      <w:pPr>
        <w:pStyle w:val="Textodenotaderodap"/>
        <w:rPr>
          <w:lang w:val="en-GB"/>
        </w:rPr>
      </w:pPr>
      <w:r>
        <w:rPr>
          <w:rStyle w:val="Refdenotaderodap"/>
        </w:rPr>
        <w:footnoteRef/>
      </w:r>
      <w:r w:rsidRPr="00E67B32">
        <w:rPr>
          <w:lang w:val="en-GB"/>
        </w:rPr>
        <w:t xml:space="preserve"> </w:t>
      </w:r>
      <w:r w:rsidRPr="00E67B32">
        <w:rPr>
          <w:rFonts w:ascii="Garamond" w:hAnsi="Garamond"/>
          <w:lang w:val="en-GB"/>
        </w:rPr>
        <w:t>Law No. 27/2008, of 30 June, as last amended by Law n. 26/2014, of 05 May.</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B27C" w14:textId="77777777" w:rsidR="001E07A2" w:rsidRDefault="001E07A2" w:rsidP="005373FB">
    <w:pPr>
      <w:ind w:hanging="1276"/>
    </w:pPr>
    <w:r>
      <w:rPr>
        <w:noProof/>
      </w:rPr>
      <w:drawing>
        <wp:anchor distT="0" distB="0" distL="114300" distR="114300" simplePos="0" relativeHeight="251659264" behindDoc="1" locked="0" layoutInCell="1" allowOverlap="1" wp14:anchorId="2D6E29C0" wp14:editId="76446F02">
          <wp:simplePos x="0" y="0"/>
          <wp:positionH relativeFrom="column">
            <wp:posOffset>-720401</wp:posOffset>
          </wp:positionH>
          <wp:positionV relativeFrom="page">
            <wp:posOffset>257810</wp:posOffset>
          </wp:positionV>
          <wp:extent cx="1764000" cy="619200"/>
          <wp:effectExtent l="0" t="0" r="8255" b="0"/>
          <wp:wrapNone/>
          <wp:docPr id="1" name="Imagem 1"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82B3E" w14:textId="77777777" w:rsidR="001E07A2" w:rsidRDefault="001E07A2" w:rsidP="005373FB">
    <w:pPr>
      <w:ind w:hanging="1276"/>
      <w:rPr>
        <w:rFonts w:ascii="Garamond" w:hAnsi="Garamond"/>
        <w:b/>
        <w:color w:val="4F6228" w:themeColor="accent3" w:themeShade="80"/>
        <w:sz w:val="20"/>
      </w:rPr>
    </w:pPr>
  </w:p>
  <w:p w14:paraId="072FCE75" w14:textId="77777777" w:rsidR="001E07A2" w:rsidRDefault="001E07A2" w:rsidP="005373FB">
    <w:pPr>
      <w:ind w:hanging="1276"/>
      <w:rPr>
        <w:rFonts w:ascii="Garamond" w:hAnsi="Garamond"/>
        <w:b/>
        <w:color w:val="4F6228" w:themeColor="accent3" w:themeShade="80"/>
        <w:sz w:val="20"/>
      </w:rPr>
    </w:pPr>
  </w:p>
  <w:p w14:paraId="50100551" w14:textId="77777777" w:rsidR="001E07A2" w:rsidRDefault="001E07A2" w:rsidP="005373FB">
    <w:pPr>
      <w:ind w:hanging="1276"/>
      <w:rPr>
        <w:rFonts w:ascii="Garamond" w:hAnsi="Garamond"/>
        <w:b/>
        <w:color w:val="4F6228" w:themeColor="accent3" w:themeShade="80"/>
        <w:sz w:val="20"/>
      </w:rPr>
    </w:pPr>
  </w:p>
  <w:p w14:paraId="11A8D1B7" w14:textId="77777777" w:rsidR="001E07A2" w:rsidRPr="00513481" w:rsidRDefault="001E07A2" w:rsidP="004E0DF2">
    <w:pPr>
      <w:ind w:hanging="1134"/>
      <w:rPr>
        <w:rFonts w:ascii="Garamond" w:hAnsi="Garamond"/>
        <w:b/>
        <w:color w:val="4F6228" w:themeColor="accent3" w:themeShade="80"/>
        <w:sz w:val="20"/>
      </w:rPr>
    </w:pPr>
    <w:r w:rsidRPr="00513481">
      <w:rPr>
        <w:rFonts w:ascii="Garamond" w:hAnsi="Garamond"/>
        <w:b/>
        <w:color w:val="4F6228" w:themeColor="accent3" w:themeShade="80"/>
        <w:sz w:val="20"/>
      </w:rPr>
      <w:t>Gabinete d</w:t>
    </w:r>
    <w:r>
      <w:rPr>
        <w:rFonts w:ascii="Garamond" w:hAnsi="Garamond"/>
        <w:b/>
        <w:color w:val="4F6228" w:themeColor="accent3" w:themeShade="80"/>
        <w:sz w:val="20"/>
      </w:rPr>
      <w:t>a</w:t>
    </w:r>
    <w:r w:rsidRPr="00513481">
      <w:rPr>
        <w:rFonts w:ascii="Garamond" w:hAnsi="Garamond"/>
        <w:b/>
        <w:color w:val="4F6228" w:themeColor="accent3" w:themeShade="80"/>
        <w:sz w:val="20"/>
      </w:rPr>
      <w:t xml:space="preserve"> Provedor</w:t>
    </w:r>
    <w:r>
      <w:rPr>
        <w:rFonts w:ascii="Garamond" w:hAnsi="Garamond"/>
        <w:b/>
        <w:color w:val="4F6228" w:themeColor="accent3" w:themeShade="80"/>
        <w:sz w:val="20"/>
      </w:rPr>
      <w:t>a</w:t>
    </w:r>
  </w:p>
  <w:p w14:paraId="1482126E" w14:textId="77777777" w:rsidR="001E07A2" w:rsidRPr="00F91520" w:rsidRDefault="001E07A2" w:rsidP="004E0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39F"/>
    <w:multiLevelType w:val="hybridMultilevel"/>
    <w:tmpl w:val="DF380C52"/>
    <w:lvl w:ilvl="0" w:tplc="40DEF0EA">
      <w:start w:val="1"/>
      <w:numFmt w:val="upp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058F78EC"/>
    <w:multiLevelType w:val="hybridMultilevel"/>
    <w:tmpl w:val="546075F0"/>
    <w:lvl w:ilvl="0" w:tplc="B8064FD6">
      <w:start w:val="2"/>
      <w:numFmt w:val="upperLetter"/>
      <w:lvlText w:val="%1."/>
      <w:lvlJc w:val="left"/>
      <w:pPr>
        <w:ind w:left="1068" w:hanging="360"/>
      </w:pPr>
      <w:rPr>
        <w:rFonts w:hint="default"/>
        <w:b/>
        <w:sz w:val="28"/>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0F5C5DD4"/>
    <w:multiLevelType w:val="hybridMultilevel"/>
    <w:tmpl w:val="246C8746"/>
    <w:lvl w:ilvl="0" w:tplc="753C107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437620"/>
    <w:multiLevelType w:val="hybridMultilevel"/>
    <w:tmpl w:val="BAE206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2AD7FAD"/>
    <w:multiLevelType w:val="multilevel"/>
    <w:tmpl w:val="40882016"/>
    <w:lvl w:ilvl="0">
      <w:start w:val="1"/>
      <w:numFmt w:val="decimal"/>
      <w:lvlText w:val="%1."/>
      <w:lvlJc w:val="left"/>
      <w:pPr>
        <w:ind w:left="1080" w:hanging="360"/>
      </w:pPr>
      <w:rPr>
        <w:rFonts w:hint="default"/>
        <w:i/>
      </w:rPr>
    </w:lvl>
    <w:lvl w:ilvl="1">
      <w:start w:val="1"/>
      <w:numFmt w:val="decimal"/>
      <w:isLgl/>
      <w:lvlText w:val="%1.%2."/>
      <w:lvlJc w:val="left"/>
      <w:pPr>
        <w:ind w:left="1800" w:hanging="720"/>
      </w:pPr>
      <w:rPr>
        <w:rFonts w:hint="default"/>
        <w:i/>
      </w:rPr>
    </w:lvl>
    <w:lvl w:ilvl="2">
      <w:start w:val="1"/>
      <w:numFmt w:val="decimal"/>
      <w:isLgl/>
      <w:lvlText w:val="%1.%2.%3."/>
      <w:lvlJc w:val="left"/>
      <w:pPr>
        <w:ind w:left="2520" w:hanging="1080"/>
      </w:pPr>
      <w:rPr>
        <w:rFonts w:hint="default"/>
        <w:i/>
      </w:rPr>
    </w:lvl>
    <w:lvl w:ilvl="3">
      <w:start w:val="1"/>
      <w:numFmt w:val="decimal"/>
      <w:isLgl/>
      <w:lvlText w:val="%1.%2.%3.%4."/>
      <w:lvlJc w:val="left"/>
      <w:pPr>
        <w:ind w:left="2880" w:hanging="1080"/>
      </w:pPr>
      <w:rPr>
        <w:rFonts w:hint="default"/>
        <w:i/>
      </w:rPr>
    </w:lvl>
    <w:lvl w:ilvl="4">
      <w:start w:val="1"/>
      <w:numFmt w:val="decimal"/>
      <w:isLgl/>
      <w:lvlText w:val="%1.%2.%3.%4.%5."/>
      <w:lvlJc w:val="left"/>
      <w:pPr>
        <w:ind w:left="3600" w:hanging="1440"/>
      </w:pPr>
      <w:rPr>
        <w:rFonts w:hint="default"/>
        <w:i/>
      </w:rPr>
    </w:lvl>
    <w:lvl w:ilvl="5">
      <w:start w:val="1"/>
      <w:numFmt w:val="decimal"/>
      <w:isLgl/>
      <w:lvlText w:val="%1.%2.%3.%4.%5.%6."/>
      <w:lvlJc w:val="left"/>
      <w:pPr>
        <w:ind w:left="4320" w:hanging="1800"/>
      </w:pPr>
      <w:rPr>
        <w:rFonts w:hint="default"/>
        <w:i/>
      </w:rPr>
    </w:lvl>
    <w:lvl w:ilvl="6">
      <w:start w:val="1"/>
      <w:numFmt w:val="decimal"/>
      <w:isLgl/>
      <w:lvlText w:val="%1.%2.%3.%4.%5.%6.%7."/>
      <w:lvlJc w:val="left"/>
      <w:pPr>
        <w:ind w:left="4680" w:hanging="1800"/>
      </w:pPr>
      <w:rPr>
        <w:rFonts w:hint="default"/>
        <w:i/>
      </w:rPr>
    </w:lvl>
    <w:lvl w:ilvl="7">
      <w:start w:val="1"/>
      <w:numFmt w:val="decimal"/>
      <w:isLgl/>
      <w:lvlText w:val="%1.%2.%3.%4.%5.%6.%7.%8."/>
      <w:lvlJc w:val="left"/>
      <w:pPr>
        <w:ind w:left="5400" w:hanging="2160"/>
      </w:pPr>
      <w:rPr>
        <w:rFonts w:hint="default"/>
        <w:i/>
      </w:rPr>
    </w:lvl>
    <w:lvl w:ilvl="8">
      <w:start w:val="1"/>
      <w:numFmt w:val="decimal"/>
      <w:isLgl/>
      <w:lvlText w:val="%1.%2.%3.%4.%5.%6.%7.%8.%9."/>
      <w:lvlJc w:val="left"/>
      <w:pPr>
        <w:ind w:left="6120" w:hanging="2520"/>
      </w:pPr>
      <w:rPr>
        <w:rFonts w:hint="default"/>
        <w:i/>
      </w:rPr>
    </w:lvl>
  </w:abstractNum>
  <w:abstractNum w:abstractNumId="5" w15:restartNumberingAfterBreak="0">
    <w:nsid w:val="25310745"/>
    <w:multiLevelType w:val="hybridMultilevel"/>
    <w:tmpl w:val="72129D36"/>
    <w:lvl w:ilvl="0" w:tplc="A7A6F486">
      <w:start w:val="1"/>
      <w:numFmt w:val="decimal"/>
      <w:lvlText w:val="%1."/>
      <w:lvlJc w:val="left"/>
      <w:pPr>
        <w:ind w:left="1068" w:hanging="360"/>
      </w:pPr>
      <w:rPr>
        <w:rFonts w:hint="default"/>
        <w:i/>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3F70BF8"/>
    <w:multiLevelType w:val="hybridMultilevel"/>
    <w:tmpl w:val="E0907FDC"/>
    <w:lvl w:ilvl="0" w:tplc="C9B4BB38">
      <w:start w:val="8"/>
      <w:numFmt w:val="bullet"/>
      <w:lvlText w:val="-"/>
      <w:lvlJc w:val="left"/>
      <w:pPr>
        <w:ind w:left="720" w:hanging="360"/>
      </w:pPr>
      <w:rPr>
        <w:rFonts w:ascii="Garamond" w:eastAsiaTheme="minorHAnsi" w:hAnsi="Garamond"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656557"/>
    <w:multiLevelType w:val="multilevel"/>
    <w:tmpl w:val="40882016"/>
    <w:lvl w:ilvl="0">
      <w:start w:val="1"/>
      <w:numFmt w:val="decimal"/>
      <w:lvlText w:val="%1."/>
      <w:lvlJc w:val="left"/>
      <w:pPr>
        <w:ind w:left="1080" w:hanging="360"/>
      </w:pPr>
      <w:rPr>
        <w:rFonts w:hint="default"/>
        <w:i/>
      </w:rPr>
    </w:lvl>
    <w:lvl w:ilvl="1">
      <w:start w:val="1"/>
      <w:numFmt w:val="decimal"/>
      <w:isLgl/>
      <w:lvlText w:val="%1.%2."/>
      <w:lvlJc w:val="left"/>
      <w:pPr>
        <w:ind w:left="1800" w:hanging="720"/>
      </w:pPr>
      <w:rPr>
        <w:rFonts w:hint="default"/>
        <w:i/>
      </w:rPr>
    </w:lvl>
    <w:lvl w:ilvl="2">
      <w:start w:val="1"/>
      <w:numFmt w:val="decimal"/>
      <w:isLgl/>
      <w:lvlText w:val="%1.%2.%3."/>
      <w:lvlJc w:val="left"/>
      <w:pPr>
        <w:ind w:left="2520" w:hanging="1080"/>
      </w:pPr>
      <w:rPr>
        <w:rFonts w:hint="default"/>
        <w:i/>
      </w:rPr>
    </w:lvl>
    <w:lvl w:ilvl="3">
      <w:start w:val="1"/>
      <w:numFmt w:val="decimal"/>
      <w:isLgl/>
      <w:lvlText w:val="%1.%2.%3.%4."/>
      <w:lvlJc w:val="left"/>
      <w:pPr>
        <w:ind w:left="2880" w:hanging="1080"/>
      </w:pPr>
      <w:rPr>
        <w:rFonts w:hint="default"/>
        <w:i/>
      </w:rPr>
    </w:lvl>
    <w:lvl w:ilvl="4">
      <w:start w:val="1"/>
      <w:numFmt w:val="decimal"/>
      <w:isLgl/>
      <w:lvlText w:val="%1.%2.%3.%4.%5."/>
      <w:lvlJc w:val="left"/>
      <w:pPr>
        <w:ind w:left="3600" w:hanging="1440"/>
      </w:pPr>
      <w:rPr>
        <w:rFonts w:hint="default"/>
        <w:i/>
      </w:rPr>
    </w:lvl>
    <w:lvl w:ilvl="5">
      <w:start w:val="1"/>
      <w:numFmt w:val="decimal"/>
      <w:isLgl/>
      <w:lvlText w:val="%1.%2.%3.%4.%5.%6."/>
      <w:lvlJc w:val="left"/>
      <w:pPr>
        <w:ind w:left="4320" w:hanging="1800"/>
      </w:pPr>
      <w:rPr>
        <w:rFonts w:hint="default"/>
        <w:i/>
      </w:rPr>
    </w:lvl>
    <w:lvl w:ilvl="6">
      <w:start w:val="1"/>
      <w:numFmt w:val="decimal"/>
      <w:isLgl/>
      <w:lvlText w:val="%1.%2.%3.%4.%5.%6.%7."/>
      <w:lvlJc w:val="left"/>
      <w:pPr>
        <w:ind w:left="4680" w:hanging="1800"/>
      </w:pPr>
      <w:rPr>
        <w:rFonts w:hint="default"/>
        <w:i/>
      </w:rPr>
    </w:lvl>
    <w:lvl w:ilvl="7">
      <w:start w:val="1"/>
      <w:numFmt w:val="decimal"/>
      <w:isLgl/>
      <w:lvlText w:val="%1.%2.%3.%4.%5.%6.%7.%8."/>
      <w:lvlJc w:val="left"/>
      <w:pPr>
        <w:ind w:left="5400" w:hanging="2160"/>
      </w:pPr>
      <w:rPr>
        <w:rFonts w:hint="default"/>
        <w:i/>
      </w:rPr>
    </w:lvl>
    <w:lvl w:ilvl="8">
      <w:start w:val="1"/>
      <w:numFmt w:val="decimal"/>
      <w:isLgl/>
      <w:lvlText w:val="%1.%2.%3.%4.%5.%6.%7.%8.%9."/>
      <w:lvlJc w:val="left"/>
      <w:pPr>
        <w:ind w:left="6120" w:hanging="2520"/>
      </w:pPr>
      <w:rPr>
        <w:rFonts w:hint="default"/>
        <w:i/>
      </w:rPr>
    </w:lvl>
  </w:abstractNum>
  <w:abstractNum w:abstractNumId="8" w15:restartNumberingAfterBreak="0">
    <w:nsid w:val="62E36622"/>
    <w:multiLevelType w:val="hybridMultilevel"/>
    <w:tmpl w:val="81C4B00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3074142"/>
    <w:multiLevelType w:val="hybridMultilevel"/>
    <w:tmpl w:val="A9302964"/>
    <w:lvl w:ilvl="0" w:tplc="04090001">
      <w:start w:val="1"/>
      <w:numFmt w:val="bullet"/>
      <w:lvlText w:val=""/>
      <w:lvlJc w:val="left"/>
      <w:pPr>
        <w:tabs>
          <w:tab w:val="num" w:pos="720"/>
        </w:tabs>
        <w:ind w:left="720" w:hanging="360"/>
      </w:pPr>
      <w:rPr>
        <w:rFonts w:ascii="Symbol" w:hAnsi="Symbol" w:hint="default"/>
      </w:rPr>
    </w:lvl>
    <w:lvl w:ilvl="1" w:tplc="5C7200EA">
      <w:start w:val="1"/>
      <w:numFmt w:val="bullet"/>
      <w:lvlText w:val="•"/>
      <w:lvlJc w:val="left"/>
      <w:pPr>
        <w:tabs>
          <w:tab w:val="num" w:pos="1440"/>
        </w:tabs>
        <w:ind w:left="1440" w:hanging="360"/>
      </w:pPr>
      <w:rPr>
        <w:rFonts w:ascii="Arial" w:hAnsi="Arial" w:hint="default"/>
      </w:rPr>
    </w:lvl>
    <w:lvl w:ilvl="2" w:tplc="7ADA7DEE" w:tentative="1">
      <w:start w:val="1"/>
      <w:numFmt w:val="bullet"/>
      <w:lvlText w:val="•"/>
      <w:lvlJc w:val="left"/>
      <w:pPr>
        <w:tabs>
          <w:tab w:val="num" w:pos="2160"/>
        </w:tabs>
        <w:ind w:left="2160" w:hanging="360"/>
      </w:pPr>
      <w:rPr>
        <w:rFonts w:ascii="Arial" w:hAnsi="Arial" w:hint="default"/>
      </w:rPr>
    </w:lvl>
    <w:lvl w:ilvl="3" w:tplc="7322785A" w:tentative="1">
      <w:start w:val="1"/>
      <w:numFmt w:val="bullet"/>
      <w:lvlText w:val="•"/>
      <w:lvlJc w:val="left"/>
      <w:pPr>
        <w:tabs>
          <w:tab w:val="num" w:pos="2880"/>
        </w:tabs>
        <w:ind w:left="2880" w:hanging="360"/>
      </w:pPr>
      <w:rPr>
        <w:rFonts w:ascii="Arial" w:hAnsi="Arial" w:hint="default"/>
      </w:rPr>
    </w:lvl>
    <w:lvl w:ilvl="4" w:tplc="8D4E61F2" w:tentative="1">
      <w:start w:val="1"/>
      <w:numFmt w:val="bullet"/>
      <w:lvlText w:val="•"/>
      <w:lvlJc w:val="left"/>
      <w:pPr>
        <w:tabs>
          <w:tab w:val="num" w:pos="3600"/>
        </w:tabs>
        <w:ind w:left="3600" w:hanging="360"/>
      </w:pPr>
      <w:rPr>
        <w:rFonts w:ascii="Arial" w:hAnsi="Arial" w:hint="default"/>
      </w:rPr>
    </w:lvl>
    <w:lvl w:ilvl="5" w:tplc="0152FCF6" w:tentative="1">
      <w:start w:val="1"/>
      <w:numFmt w:val="bullet"/>
      <w:lvlText w:val="•"/>
      <w:lvlJc w:val="left"/>
      <w:pPr>
        <w:tabs>
          <w:tab w:val="num" w:pos="4320"/>
        </w:tabs>
        <w:ind w:left="4320" w:hanging="360"/>
      </w:pPr>
      <w:rPr>
        <w:rFonts w:ascii="Arial" w:hAnsi="Arial" w:hint="default"/>
      </w:rPr>
    </w:lvl>
    <w:lvl w:ilvl="6" w:tplc="350EC2F8" w:tentative="1">
      <w:start w:val="1"/>
      <w:numFmt w:val="bullet"/>
      <w:lvlText w:val="•"/>
      <w:lvlJc w:val="left"/>
      <w:pPr>
        <w:tabs>
          <w:tab w:val="num" w:pos="5040"/>
        </w:tabs>
        <w:ind w:left="5040" w:hanging="360"/>
      </w:pPr>
      <w:rPr>
        <w:rFonts w:ascii="Arial" w:hAnsi="Arial" w:hint="default"/>
      </w:rPr>
    </w:lvl>
    <w:lvl w:ilvl="7" w:tplc="57828B90" w:tentative="1">
      <w:start w:val="1"/>
      <w:numFmt w:val="bullet"/>
      <w:lvlText w:val="•"/>
      <w:lvlJc w:val="left"/>
      <w:pPr>
        <w:tabs>
          <w:tab w:val="num" w:pos="5760"/>
        </w:tabs>
        <w:ind w:left="5760" w:hanging="360"/>
      </w:pPr>
      <w:rPr>
        <w:rFonts w:ascii="Arial" w:hAnsi="Arial" w:hint="default"/>
      </w:rPr>
    </w:lvl>
    <w:lvl w:ilvl="8" w:tplc="8AA8B9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231C3B"/>
    <w:multiLevelType w:val="hybridMultilevel"/>
    <w:tmpl w:val="966E6616"/>
    <w:lvl w:ilvl="0" w:tplc="C2D618AA">
      <w:start w:val="2"/>
      <w:numFmt w:val="lowerLetter"/>
      <w:lvlText w:val="%1."/>
      <w:lvlJc w:val="left"/>
      <w:pPr>
        <w:ind w:left="720" w:hanging="360"/>
      </w:pPr>
      <w:rPr>
        <w:rFonts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6"/>
  </w:num>
  <w:num w:numId="6">
    <w:abstractNumId w:val="10"/>
  </w:num>
  <w:num w:numId="7">
    <w:abstractNumId w:val="1"/>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68"/>
    <w:rsid w:val="000014CB"/>
    <w:rsid w:val="00001FA1"/>
    <w:rsid w:val="00017765"/>
    <w:rsid w:val="000239D5"/>
    <w:rsid w:val="000258F8"/>
    <w:rsid w:val="00030084"/>
    <w:rsid w:val="000337AF"/>
    <w:rsid w:val="0003391C"/>
    <w:rsid w:val="000341D0"/>
    <w:rsid w:val="0003586B"/>
    <w:rsid w:val="000366CB"/>
    <w:rsid w:val="0003691D"/>
    <w:rsid w:val="0004050C"/>
    <w:rsid w:val="00041990"/>
    <w:rsid w:val="0004469F"/>
    <w:rsid w:val="000504CB"/>
    <w:rsid w:val="000524B7"/>
    <w:rsid w:val="000538A0"/>
    <w:rsid w:val="000543D6"/>
    <w:rsid w:val="00057984"/>
    <w:rsid w:val="00060ABC"/>
    <w:rsid w:val="00065CA1"/>
    <w:rsid w:val="000701FB"/>
    <w:rsid w:val="00070DB5"/>
    <w:rsid w:val="00072731"/>
    <w:rsid w:val="000800F8"/>
    <w:rsid w:val="00080A50"/>
    <w:rsid w:val="000812CA"/>
    <w:rsid w:val="000820C7"/>
    <w:rsid w:val="00082FA3"/>
    <w:rsid w:val="000839F1"/>
    <w:rsid w:val="00083FEC"/>
    <w:rsid w:val="0008629C"/>
    <w:rsid w:val="00093088"/>
    <w:rsid w:val="000A0609"/>
    <w:rsid w:val="000A09F7"/>
    <w:rsid w:val="000A271E"/>
    <w:rsid w:val="000A5959"/>
    <w:rsid w:val="000B0154"/>
    <w:rsid w:val="000B4B76"/>
    <w:rsid w:val="000B71BC"/>
    <w:rsid w:val="000C05BF"/>
    <w:rsid w:val="000C1112"/>
    <w:rsid w:val="000D24F3"/>
    <w:rsid w:val="000D2A69"/>
    <w:rsid w:val="000D38C2"/>
    <w:rsid w:val="000D54FB"/>
    <w:rsid w:val="000D768D"/>
    <w:rsid w:val="000E0930"/>
    <w:rsid w:val="000E2D14"/>
    <w:rsid w:val="000F2F61"/>
    <w:rsid w:val="000F5C9F"/>
    <w:rsid w:val="000F706B"/>
    <w:rsid w:val="0010068F"/>
    <w:rsid w:val="00102074"/>
    <w:rsid w:val="00111EBB"/>
    <w:rsid w:val="00112441"/>
    <w:rsid w:val="0011275E"/>
    <w:rsid w:val="00115549"/>
    <w:rsid w:val="00116348"/>
    <w:rsid w:val="0012003A"/>
    <w:rsid w:val="0012005E"/>
    <w:rsid w:val="00121FE7"/>
    <w:rsid w:val="00124D37"/>
    <w:rsid w:val="0012667C"/>
    <w:rsid w:val="00132C5D"/>
    <w:rsid w:val="00134B59"/>
    <w:rsid w:val="0013516B"/>
    <w:rsid w:val="00136986"/>
    <w:rsid w:val="00140B07"/>
    <w:rsid w:val="00140B98"/>
    <w:rsid w:val="00144E58"/>
    <w:rsid w:val="00153F5B"/>
    <w:rsid w:val="00156CCD"/>
    <w:rsid w:val="00157B90"/>
    <w:rsid w:val="0016193B"/>
    <w:rsid w:val="0016230B"/>
    <w:rsid w:val="00162670"/>
    <w:rsid w:val="00163857"/>
    <w:rsid w:val="00165242"/>
    <w:rsid w:val="00165A2B"/>
    <w:rsid w:val="00165D2D"/>
    <w:rsid w:val="00167B07"/>
    <w:rsid w:val="00167BAF"/>
    <w:rsid w:val="00171BD2"/>
    <w:rsid w:val="00171FD9"/>
    <w:rsid w:val="001739FD"/>
    <w:rsid w:val="00175EEB"/>
    <w:rsid w:val="00176C8E"/>
    <w:rsid w:val="00182FB8"/>
    <w:rsid w:val="00186A43"/>
    <w:rsid w:val="00186BD9"/>
    <w:rsid w:val="001875B7"/>
    <w:rsid w:val="00194DB5"/>
    <w:rsid w:val="00197E72"/>
    <w:rsid w:val="00197F31"/>
    <w:rsid w:val="001A0D79"/>
    <w:rsid w:val="001A3995"/>
    <w:rsid w:val="001A4F3A"/>
    <w:rsid w:val="001A5346"/>
    <w:rsid w:val="001B0C04"/>
    <w:rsid w:val="001B38E3"/>
    <w:rsid w:val="001B4B00"/>
    <w:rsid w:val="001B4EF1"/>
    <w:rsid w:val="001C0513"/>
    <w:rsid w:val="001C2B22"/>
    <w:rsid w:val="001C3154"/>
    <w:rsid w:val="001C4E5D"/>
    <w:rsid w:val="001C7A56"/>
    <w:rsid w:val="001E07A2"/>
    <w:rsid w:val="001E5C20"/>
    <w:rsid w:val="001E6536"/>
    <w:rsid w:val="001F4BB2"/>
    <w:rsid w:val="001F72DB"/>
    <w:rsid w:val="001F7B35"/>
    <w:rsid w:val="001F7CDF"/>
    <w:rsid w:val="00201535"/>
    <w:rsid w:val="0021236F"/>
    <w:rsid w:val="00212718"/>
    <w:rsid w:val="002160C1"/>
    <w:rsid w:val="00216174"/>
    <w:rsid w:val="0021746B"/>
    <w:rsid w:val="00220971"/>
    <w:rsid w:val="00221489"/>
    <w:rsid w:val="002246F5"/>
    <w:rsid w:val="0022599D"/>
    <w:rsid w:val="00225B6F"/>
    <w:rsid w:val="00227155"/>
    <w:rsid w:val="00230BE9"/>
    <w:rsid w:val="00233261"/>
    <w:rsid w:val="00236140"/>
    <w:rsid w:val="0023709D"/>
    <w:rsid w:val="002373F7"/>
    <w:rsid w:val="00241C43"/>
    <w:rsid w:val="0024213C"/>
    <w:rsid w:val="00251435"/>
    <w:rsid w:val="0025232F"/>
    <w:rsid w:val="00254A20"/>
    <w:rsid w:val="00254F12"/>
    <w:rsid w:val="0026308C"/>
    <w:rsid w:val="002648A4"/>
    <w:rsid w:val="00272B40"/>
    <w:rsid w:val="00280C0D"/>
    <w:rsid w:val="00280CA7"/>
    <w:rsid w:val="00282465"/>
    <w:rsid w:val="002853B6"/>
    <w:rsid w:val="002916D8"/>
    <w:rsid w:val="00293ECF"/>
    <w:rsid w:val="0029640F"/>
    <w:rsid w:val="002967FA"/>
    <w:rsid w:val="00296FEC"/>
    <w:rsid w:val="0029763F"/>
    <w:rsid w:val="002A0CFC"/>
    <w:rsid w:val="002A3F73"/>
    <w:rsid w:val="002A5D14"/>
    <w:rsid w:val="002A6A91"/>
    <w:rsid w:val="002B1F19"/>
    <w:rsid w:val="002B2267"/>
    <w:rsid w:val="002B55C5"/>
    <w:rsid w:val="002C00BE"/>
    <w:rsid w:val="002C212A"/>
    <w:rsid w:val="002C23AB"/>
    <w:rsid w:val="002C39D7"/>
    <w:rsid w:val="002D35CC"/>
    <w:rsid w:val="002D3E8C"/>
    <w:rsid w:val="002D783C"/>
    <w:rsid w:val="002D7C8D"/>
    <w:rsid w:val="002D7DBB"/>
    <w:rsid w:val="002E2346"/>
    <w:rsid w:val="002E280B"/>
    <w:rsid w:val="002E582C"/>
    <w:rsid w:val="002E5F85"/>
    <w:rsid w:val="002F2E38"/>
    <w:rsid w:val="002F3475"/>
    <w:rsid w:val="002F3FC2"/>
    <w:rsid w:val="002F4EA0"/>
    <w:rsid w:val="002F522D"/>
    <w:rsid w:val="00306C24"/>
    <w:rsid w:val="0030744D"/>
    <w:rsid w:val="0031049D"/>
    <w:rsid w:val="00312CAB"/>
    <w:rsid w:val="0031705F"/>
    <w:rsid w:val="00317C72"/>
    <w:rsid w:val="00322730"/>
    <w:rsid w:val="003249A1"/>
    <w:rsid w:val="00326F10"/>
    <w:rsid w:val="0033114D"/>
    <w:rsid w:val="0033200A"/>
    <w:rsid w:val="00332D06"/>
    <w:rsid w:val="0033351D"/>
    <w:rsid w:val="0033414D"/>
    <w:rsid w:val="003343F7"/>
    <w:rsid w:val="003361C3"/>
    <w:rsid w:val="0033729D"/>
    <w:rsid w:val="003376A9"/>
    <w:rsid w:val="003409C6"/>
    <w:rsid w:val="00341169"/>
    <w:rsid w:val="00341F51"/>
    <w:rsid w:val="0035355D"/>
    <w:rsid w:val="0035428E"/>
    <w:rsid w:val="00357AC2"/>
    <w:rsid w:val="00357DFE"/>
    <w:rsid w:val="003601F3"/>
    <w:rsid w:val="00360AF8"/>
    <w:rsid w:val="00361E4F"/>
    <w:rsid w:val="0036332F"/>
    <w:rsid w:val="00363A5E"/>
    <w:rsid w:val="003643AF"/>
    <w:rsid w:val="003727C7"/>
    <w:rsid w:val="00373433"/>
    <w:rsid w:val="00376DE2"/>
    <w:rsid w:val="0037725B"/>
    <w:rsid w:val="003774D0"/>
    <w:rsid w:val="003802CF"/>
    <w:rsid w:val="0038114E"/>
    <w:rsid w:val="00382ED8"/>
    <w:rsid w:val="00393B62"/>
    <w:rsid w:val="00395825"/>
    <w:rsid w:val="003970F7"/>
    <w:rsid w:val="003A118B"/>
    <w:rsid w:val="003A4315"/>
    <w:rsid w:val="003B1968"/>
    <w:rsid w:val="003B5E0E"/>
    <w:rsid w:val="003B7B59"/>
    <w:rsid w:val="003B7F48"/>
    <w:rsid w:val="003C13FC"/>
    <w:rsid w:val="003C31C2"/>
    <w:rsid w:val="003C5650"/>
    <w:rsid w:val="003C66D5"/>
    <w:rsid w:val="003C6DE7"/>
    <w:rsid w:val="003D5AB1"/>
    <w:rsid w:val="003E51AC"/>
    <w:rsid w:val="003E6811"/>
    <w:rsid w:val="003E6F36"/>
    <w:rsid w:val="003F0FEA"/>
    <w:rsid w:val="003F383F"/>
    <w:rsid w:val="003F4D87"/>
    <w:rsid w:val="0040387B"/>
    <w:rsid w:val="00404569"/>
    <w:rsid w:val="00404A42"/>
    <w:rsid w:val="004109F9"/>
    <w:rsid w:val="00410EDE"/>
    <w:rsid w:val="00414774"/>
    <w:rsid w:val="0041695E"/>
    <w:rsid w:val="00424AE5"/>
    <w:rsid w:val="00425737"/>
    <w:rsid w:val="00431FD0"/>
    <w:rsid w:val="00434F8A"/>
    <w:rsid w:val="004413D3"/>
    <w:rsid w:val="00443E3C"/>
    <w:rsid w:val="004442ED"/>
    <w:rsid w:val="004458FC"/>
    <w:rsid w:val="00447353"/>
    <w:rsid w:val="004528B2"/>
    <w:rsid w:val="00455A00"/>
    <w:rsid w:val="00456943"/>
    <w:rsid w:val="00457DE9"/>
    <w:rsid w:val="0046155A"/>
    <w:rsid w:val="00461882"/>
    <w:rsid w:val="00462F93"/>
    <w:rsid w:val="004655E6"/>
    <w:rsid w:val="00466B82"/>
    <w:rsid w:val="004672E5"/>
    <w:rsid w:val="00470FEB"/>
    <w:rsid w:val="00472B7E"/>
    <w:rsid w:val="00476AB6"/>
    <w:rsid w:val="00477FDB"/>
    <w:rsid w:val="00484F33"/>
    <w:rsid w:val="00485CD5"/>
    <w:rsid w:val="00491227"/>
    <w:rsid w:val="00491352"/>
    <w:rsid w:val="004968D3"/>
    <w:rsid w:val="004A78C6"/>
    <w:rsid w:val="004B2A6D"/>
    <w:rsid w:val="004B33BA"/>
    <w:rsid w:val="004B38A9"/>
    <w:rsid w:val="004B3D02"/>
    <w:rsid w:val="004B4168"/>
    <w:rsid w:val="004B6099"/>
    <w:rsid w:val="004B722F"/>
    <w:rsid w:val="004B7495"/>
    <w:rsid w:val="004C2E3C"/>
    <w:rsid w:val="004D2733"/>
    <w:rsid w:val="004D6CB7"/>
    <w:rsid w:val="004E0C7C"/>
    <w:rsid w:val="004E0DF2"/>
    <w:rsid w:val="004E3E21"/>
    <w:rsid w:val="004E6288"/>
    <w:rsid w:val="004E6854"/>
    <w:rsid w:val="004F10FE"/>
    <w:rsid w:val="004F23EC"/>
    <w:rsid w:val="004F28CA"/>
    <w:rsid w:val="004F5434"/>
    <w:rsid w:val="004F5949"/>
    <w:rsid w:val="004F5CFA"/>
    <w:rsid w:val="00500662"/>
    <w:rsid w:val="0050081C"/>
    <w:rsid w:val="0050160A"/>
    <w:rsid w:val="00501A52"/>
    <w:rsid w:val="00503B1C"/>
    <w:rsid w:val="0050785D"/>
    <w:rsid w:val="00510FC8"/>
    <w:rsid w:val="00511205"/>
    <w:rsid w:val="00515FE2"/>
    <w:rsid w:val="00521045"/>
    <w:rsid w:val="0052141A"/>
    <w:rsid w:val="00524819"/>
    <w:rsid w:val="005302A0"/>
    <w:rsid w:val="005310A9"/>
    <w:rsid w:val="005360E0"/>
    <w:rsid w:val="005373FB"/>
    <w:rsid w:val="00541431"/>
    <w:rsid w:val="00541A37"/>
    <w:rsid w:val="005425B8"/>
    <w:rsid w:val="00542C74"/>
    <w:rsid w:val="00544096"/>
    <w:rsid w:val="005449BC"/>
    <w:rsid w:val="00545272"/>
    <w:rsid w:val="005453BE"/>
    <w:rsid w:val="00545CD8"/>
    <w:rsid w:val="00545FBF"/>
    <w:rsid w:val="005603F5"/>
    <w:rsid w:val="005603FA"/>
    <w:rsid w:val="00561401"/>
    <w:rsid w:val="005626F1"/>
    <w:rsid w:val="00564D15"/>
    <w:rsid w:val="005679FD"/>
    <w:rsid w:val="005755FA"/>
    <w:rsid w:val="005815E3"/>
    <w:rsid w:val="00582001"/>
    <w:rsid w:val="005830CE"/>
    <w:rsid w:val="0059305F"/>
    <w:rsid w:val="00594110"/>
    <w:rsid w:val="00595AF2"/>
    <w:rsid w:val="00595B91"/>
    <w:rsid w:val="00596BF1"/>
    <w:rsid w:val="00597FB3"/>
    <w:rsid w:val="005A0D39"/>
    <w:rsid w:val="005A24F1"/>
    <w:rsid w:val="005A27AC"/>
    <w:rsid w:val="005A347E"/>
    <w:rsid w:val="005A45A0"/>
    <w:rsid w:val="005A5DD2"/>
    <w:rsid w:val="005B0F38"/>
    <w:rsid w:val="005B31B3"/>
    <w:rsid w:val="005B3D63"/>
    <w:rsid w:val="005B50E5"/>
    <w:rsid w:val="005C0E7A"/>
    <w:rsid w:val="005C10A3"/>
    <w:rsid w:val="005C170D"/>
    <w:rsid w:val="005C297A"/>
    <w:rsid w:val="005C3D26"/>
    <w:rsid w:val="005C4244"/>
    <w:rsid w:val="005C7317"/>
    <w:rsid w:val="005D0094"/>
    <w:rsid w:val="005D08B3"/>
    <w:rsid w:val="005D40C9"/>
    <w:rsid w:val="005D5C08"/>
    <w:rsid w:val="005E09E1"/>
    <w:rsid w:val="005E551D"/>
    <w:rsid w:val="005F0412"/>
    <w:rsid w:val="0060079D"/>
    <w:rsid w:val="00602219"/>
    <w:rsid w:val="00602446"/>
    <w:rsid w:val="00603B15"/>
    <w:rsid w:val="00604DDA"/>
    <w:rsid w:val="00604EA4"/>
    <w:rsid w:val="00604FCC"/>
    <w:rsid w:val="00607B10"/>
    <w:rsid w:val="006126A3"/>
    <w:rsid w:val="00614454"/>
    <w:rsid w:val="006163FC"/>
    <w:rsid w:val="00617D68"/>
    <w:rsid w:val="00623AA3"/>
    <w:rsid w:val="00625BC0"/>
    <w:rsid w:val="00627F78"/>
    <w:rsid w:val="006313F3"/>
    <w:rsid w:val="00631A17"/>
    <w:rsid w:val="006329BB"/>
    <w:rsid w:val="00635E51"/>
    <w:rsid w:val="00636DDE"/>
    <w:rsid w:val="00641345"/>
    <w:rsid w:val="00641CE8"/>
    <w:rsid w:val="00641EA9"/>
    <w:rsid w:val="00643767"/>
    <w:rsid w:val="006533D7"/>
    <w:rsid w:val="00655726"/>
    <w:rsid w:val="00657251"/>
    <w:rsid w:val="0066058B"/>
    <w:rsid w:val="00664266"/>
    <w:rsid w:val="0066643A"/>
    <w:rsid w:val="00671484"/>
    <w:rsid w:val="0067152C"/>
    <w:rsid w:val="00672021"/>
    <w:rsid w:val="00673F48"/>
    <w:rsid w:val="00675477"/>
    <w:rsid w:val="00681B54"/>
    <w:rsid w:val="0068412C"/>
    <w:rsid w:val="00690472"/>
    <w:rsid w:val="00695032"/>
    <w:rsid w:val="00695673"/>
    <w:rsid w:val="006956E3"/>
    <w:rsid w:val="00695AF8"/>
    <w:rsid w:val="00695D69"/>
    <w:rsid w:val="0069678F"/>
    <w:rsid w:val="00697501"/>
    <w:rsid w:val="006A3E74"/>
    <w:rsid w:val="006B1354"/>
    <w:rsid w:val="006B4F3E"/>
    <w:rsid w:val="006C1261"/>
    <w:rsid w:val="006C217F"/>
    <w:rsid w:val="006C295E"/>
    <w:rsid w:val="006C5B12"/>
    <w:rsid w:val="006C6983"/>
    <w:rsid w:val="006D1EB7"/>
    <w:rsid w:val="006D4A56"/>
    <w:rsid w:val="006D6C3F"/>
    <w:rsid w:val="006D73A9"/>
    <w:rsid w:val="006E07A2"/>
    <w:rsid w:val="006E4B03"/>
    <w:rsid w:val="006F2C0D"/>
    <w:rsid w:val="006F35D5"/>
    <w:rsid w:val="006F488B"/>
    <w:rsid w:val="007040E5"/>
    <w:rsid w:val="00704D2B"/>
    <w:rsid w:val="00705FFB"/>
    <w:rsid w:val="0070765E"/>
    <w:rsid w:val="0070799C"/>
    <w:rsid w:val="00712C7D"/>
    <w:rsid w:val="00713FF7"/>
    <w:rsid w:val="00715DDC"/>
    <w:rsid w:val="00716CFA"/>
    <w:rsid w:val="007179D6"/>
    <w:rsid w:val="00720284"/>
    <w:rsid w:val="007233DD"/>
    <w:rsid w:val="00723A0E"/>
    <w:rsid w:val="00724B0E"/>
    <w:rsid w:val="00725B9B"/>
    <w:rsid w:val="007260C3"/>
    <w:rsid w:val="0072712B"/>
    <w:rsid w:val="00730146"/>
    <w:rsid w:val="00730167"/>
    <w:rsid w:val="00733241"/>
    <w:rsid w:val="00733495"/>
    <w:rsid w:val="007367D2"/>
    <w:rsid w:val="00740CDF"/>
    <w:rsid w:val="007415EE"/>
    <w:rsid w:val="00743654"/>
    <w:rsid w:val="00743CB1"/>
    <w:rsid w:val="00747396"/>
    <w:rsid w:val="0075285E"/>
    <w:rsid w:val="00754BC6"/>
    <w:rsid w:val="00756690"/>
    <w:rsid w:val="00757E86"/>
    <w:rsid w:val="007608DD"/>
    <w:rsid w:val="00761C5D"/>
    <w:rsid w:val="007620C3"/>
    <w:rsid w:val="00763E41"/>
    <w:rsid w:val="00765089"/>
    <w:rsid w:val="007717A3"/>
    <w:rsid w:val="00774234"/>
    <w:rsid w:val="0077449B"/>
    <w:rsid w:val="00776AE0"/>
    <w:rsid w:val="00776BE3"/>
    <w:rsid w:val="00781837"/>
    <w:rsid w:val="00782F9D"/>
    <w:rsid w:val="0078578D"/>
    <w:rsid w:val="00786F24"/>
    <w:rsid w:val="00793706"/>
    <w:rsid w:val="007949E3"/>
    <w:rsid w:val="007950C7"/>
    <w:rsid w:val="00796295"/>
    <w:rsid w:val="00796E95"/>
    <w:rsid w:val="007A11FA"/>
    <w:rsid w:val="007A45AD"/>
    <w:rsid w:val="007A6D1E"/>
    <w:rsid w:val="007A7F7E"/>
    <w:rsid w:val="007B03BE"/>
    <w:rsid w:val="007B0F90"/>
    <w:rsid w:val="007B4B38"/>
    <w:rsid w:val="007B56F0"/>
    <w:rsid w:val="007B6A69"/>
    <w:rsid w:val="007B7CF0"/>
    <w:rsid w:val="007C09EB"/>
    <w:rsid w:val="007C1278"/>
    <w:rsid w:val="007C12C4"/>
    <w:rsid w:val="007C499C"/>
    <w:rsid w:val="007C56B0"/>
    <w:rsid w:val="007D0003"/>
    <w:rsid w:val="007D4AD5"/>
    <w:rsid w:val="007D4C8B"/>
    <w:rsid w:val="007D6288"/>
    <w:rsid w:val="007E0889"/>
    <w:rsid w:val="007E1EC0"/>
    <w:rsid w:val="007E294E"/>
    <w:rsid w:val="007E5A30"/>
    <w:rsid w:val="007E7A6A"/>
    <w:rsid w:val="007F0E44"/>
    <w:rsid w:val="007F36E5"/>
    <w:rsid w:val="007F3E3E"/>
    <w:rsid w:val="007F43F3"/>
    <w:rsid w:val="007F7205"/>
    <w:rsid w:val="007F79B5"/>
    <w:rsid w:val="00800990"/>
    <w:rsid w:val="00802C64"/>
    <w:rsid w:val="00803F37"/>
    <w:rsid w:val="00810541"/>
    <w:rsid w:val="008118E0"/>
    <w:rsid w:val="00816D2E"/>
    <w:rsid w:val="00821A3C"/>
    <w:rsid w:val="0083091E"/>
    <w:rsid w:val="00832320"/>
    <w:rsid w:val="00833051"/>
    <w:rsid w:val="00840F8E"/>
    <w:rsid w:val="00843B34"/>
    <w:rsid w:val="008474D9"/>
    <w:rsid w:val="008526B3"/>
    <w:rsid w:val="008561DA"/>
    <w:rsid w:val="008615B3"/>
    <w:rsid w:val="00864538"/>
    <w:rsid w:val="008645B1"/>
    <w:rsid w:val="008659B0"/>
    <w:rsid w:val="0087093B"/>
    <w:rsid w:val="0087140A"/>
    <w:rsid w:val="00871E8E"/>
    <w:rsid w:val="00872451"/>
    <w:rsid w:val="00883106"/>
    <w:rsid w:val="008875F7"/>
    <w:rsid w:val="00887AFF"/>
    <w:rsid w:val="00893C34"/>
    <w:rsid w:val="00896D4D"/>
    <w:rsid w:val="00897D4B"/>
    <w:rsid w:val="008A1604"/>
    <w:rsid w:val="008A2E6D"/>
    <w:rsid w:val="008A3975"/>
    <w:rsid w:val="008A45CF"/>
    <w:rsid w:val="008B00E0"/>
    <w:rsid w:val="008B0B54"/>
    <w:rsid w:val="008B4F5F"/>
    <w:rsid w:val="008B5991"/>
    <w:rsid w:val="008C6285"/>
    <w:rsid w:val="008D13DF"/>
    <w:rsid w:val="008D192A"/>
    <w:rsid w:val="008D1AA0"/>
    <w:rsid w:val="008D4D70"/>
    <w:rsid w:val="008D5C6B"/>
    <w:rsid w:val="008E56FB"/>
    <w:rsid w:val="008F65D4"/>
    <w:rsid w:val="008F7D6B"/>
    <w:rsid w:val="008F7EB0"/>
    <w:rsid w:val="00902B81"/>
    <w:rsid w:val="00905215"/>
    <w:rsid w:val="009055B5"/>
    <w:rsid w:val="00905E41"/>
    <w:rsid w:val="0091180E"/>
    <w:rsid w:val="00912DB9"/>
    <w:rsid w:val="00933029"/>
    <w:rsid w:val="009359BF"/>
    <w:rsid w:val="009372AA"/>
    <w:rsid w:val="009373BD"/>
    <w:rsid w:val="00937D0A"/>
    <w:rsid w:val="00940360"/>
    <w:rsid w:val="00940B32"/>
    <w:rsid w:val="00941DE1"/>
    <w:rsid w:val="0094202C"/>
    <w:rsid w:val="0094349B"/>
    <w:rsid w:val="0094621F"/>
    <w:rsid w:val="0095764D"/>
    <w:rsid w:val="0096293C"/>
    <w:rsid w:val="009652E0"/>
    <w:rsid w:val="00965640"/>
    <w:rsid w:val="009704BC"/>
    <w:rsid w:val="009740EE"/>
    <w:rsid w:val="00977836"/>
    <w:rsid w:val="00980AF9"/>
    <w:rsid w:val="00981AD5"/>
    <w:rsid w:val="009828BC"/>
    <w:rsid w:val="0098421C"/>
    <w:rsid w:val="00990CBB"/>
    <w:rsid w:val="00992914"/>
    <w:rsid w:val="00995E79"/>
    <w:rsid w:val="009A0847"/>
    <w:rsid w:val="009A1145"/>
    <w:rsid w:val="009A2475"/>
    <w:rsid w:val="009A54F5"/>
    <w:rsid w:val="009A5E30"/>
    <w:rsid w:val="009A6824"/>
    <w:rsid w:val="009B3836"/>
    <w:rsid w:val="009B6832"/>
    <w:rsid w:val="009B6C75"/>
    <w:rsid w:val="009C1A44"/>
    <w:rsid w:val="009C4FAE"/>
    <w:rsid w:val="009C54EB"/>
    <w:rsid w:val="009C6623"/>
    <w:rsid w:val="009C6FE5"/>
    <w:rsid w:val="009C7B0A"/>
    <w:rsid w:val="009D0BC6"/>
    <w:rsid w:val="009D14C2"/>
    <w:rsid w:val="009D3474"/>
    <w:rsid w:val="009D4527"/>
    <w:rsid w:val="009D6016"/>
    <w:rsid w:val="009D7404"/>
    <w:rsid w:val="009E02BD"/>
    <w:rsid w:val="009E154A"/>
    <w:rsid w:val="009E1AEE"/>
    <w:rsid w:val="009E5E47"/>
    <w:rsid w:val="009F26DE"/>
    <w:rsid w:val="009F58D5"/>
    <w:rsid w:val="009F5B07"/>
    <w:rsid w:val="009F7750"/>
    <w:rsid w:val="00A0019A"/>
    <w:rsid w:val="00A05D14"/>
    <w:rsid w:val="00A073C4"/>
    <w:rsid w:val="00A07DE9"/>
    <w:rsid w:val="00A1791F"/>
    <w:rsid w:val="00A211E5"/>
    <w:rsid w:val="00A21803"/>
    <w:rsid w:val="00A24A62"/>
    <w:rsid w:val="00A24D65"/>
    <w:rsid w:val="00A311FE"/>
    <w:rsid w:val="00A33706"/>
    <w:rsid w:val="00A33AE8"/>
    <w:rsid w:val="00A355C7"/>
    <w:rsid w:val="00A408AB"/>
    <w:rsid w:val="00A44E60"/>
    <w:rsid w:val="00A45804"/>
    <w:rsid w:val="00A468BF"/>
    <w:rsid w:val="00A46DE4"/>
    <w:rsid w:val="00A52322"/>
    <w:rsid w:val="00A52B8F"/>
    <w:rsid w:val="00A52F74"/>
    <w:rsid w:val="00A538DF"/>
    <w:rsid w:val="00A57927"/>
    <w:rsid w:val="00A62FDD"/>
    <w:rsid w:val="00A750A5"/>
    <w:rsid w:val="00A8021F"/>
    <w:rsid w:val="00A828A7"/>
    <w:rsid w:val="00A82E4E"/>
    <w:rsid w:val="00A877A0"/>
    <w:rsid w:val="00A91DBE"/>
    <w:rsid w:val="00A92F43"/>
    <w:rsid w:val="00A95DA6"/>
    <w:rsid w:val="00A97328"/>
    <w:rsid w:val="00A97780"/>
    <w:rsid w:val="00AA06A4"/>
    <w:rsid w:val="00AA22BD"/>
    <w:rsid w:val="00AA30C6"/>
    <w:rsid w:val="00AA5837"/>
    <w:rsid w:val="00AA6E5C"/>
    <w:rsid w:val="00AA7467"/>
    <w:rsid w:val="00AA74D8"/>
    <w:rsid w:val="00AB3317"/>
    <w:rsid w:val="00AB6E5A"/>
    <w:rsid w:val="00AC6C56"/>
    <w:rsid w:val="00AD204F"/>
    <w:rsid w:val="00AD3A72"/>
    <w:rsid w:val="00AD3C0C"/>
    <w:rsid w:val="00AE0B7B"/>
    <w:rsid w:val="00AE6750"/>
    <w:rsid w:val="00AE7CBA"/>
    <w:rsid w:val="00AF38F0"/>
    <w:rsid w:val="00AF3E87"/>
    <w:rsid w:val="00AF4DAB"/>
    <w:rsid w:val="00AF543F"/>
    <w:rsid w:val="00AF604C"/>
    <w:rsid w:val="00B006D6"/>
    <w:rsid w:val="00B02282"/>
    <w:rsid w:val="00B103EA"/>
    <w:rsid w:val="00B10630"/>
    <w:rsid w:val="00B124E5"/>
    <w:rsid w:val="00B1345B"/>
    <w:rsid w:val="00B13936"/>
    <w:rsid w:val="00B14EDE"/>
    <w:rsid w:val="00B1658A"/>
    <w:rsid w:val="00B17373"/>
    <w:rsid w:val="00B208B0"/>
    <w:rsid w:val="00B22583"/>
    <w:rsid w:val="00B226D8"/>
    <w:rsid w:val="00B22E15"/>
    <w:rsid w:val="00B23A02"/>
    <w:rsid w:val="00B23B9B"/>
    <w:rsid w:val="00B26B3F"/>
    <w:rsid w:val="00B34F52"/>
    <w:rsid w:val="00B424FD"/>
    <w:rsid w:val="00B437EB"/>
    <w:rsid w:val="00B43FEA"/>
    <w:rsid w:val="00B505CC"/>
    <w:rsid w:val="00B529B5"/>
    <w:rsid w:val="00B569CF"/>
    <w:rsid w:val="00B60D93"/>
    <w:rsid w:val="00B61FE7"/>
    <w:rsid w:val="00B62C55"/>
    <w:rsid w:val="00B81DED"/>
    <w:rsid w:val="00B82598"/>
    <w:rsid w:val="00B82FA2"/>
    <w:rsid w:val="00B8387F"/>
    <w:rsid w:val="00B85BEF"/>
    <w:rsid w:val="00B87AD0"/>
    <w:rsid w:val="00B87FBC"/>
    <w:rsid w:val="00B90EB1"/>
    <w:rsid w:val="00B91B40"/>
    <w:rsid w:val="00B94FA7"/>
    <w:rsid w:val="00B95824"/>
    <w:rsid w:val="00B97202"/>
    <w:rsid w:val="00BA009E"/>
    <w:rsid w:val="00BA22D1"/>
    <w:rsid w:val="00BA4D5F"/>
    <w:rsid w:val="00BA4E02"/>
    <w:rsid w:val="00BB08A1"/>
    <w:rsid w:val="00BB3DC7"/>
    <w:rsid w:val="00BB4B58"/>
    <w:rsid w:val="00BB5FC1"/>
    <w:rsid w:val="00BB66C9"/>
    <w:rsid w:val="00BB7EE4"/>
    <w:rsid w:val="00BC0825"/>
    <w:rsid w:val="00BC241A"/>
    <w:rsid w:val="00BC524C"/>
    <w:rsid w:val="00BC73A2"/>
    <w:rsid w:val="00BD239F"/>
    <w:rsid w:val="00BD362B"/>
    <w:rsid w:val="00BD7ACB"/>
    <w:rsid w:val="00BE22D3"/>
    <w:rsid w:val="00BE37FB"/>
    <w:rsid w:val="00BE4115"/>
    <w:rsid w:val="00BE5122"/>
    <w:rsid w:val="00BF5A5B"/>
    <w:rsid w:val="00BF5B54"/>
    <w:rsid w:val="00C01337"/>
    <w:rsid w:val="00C02C4A"/>
    <w:rsid w:val="00C05B1B"/>
    <w:rsid w:val="00C05F43"/>
    <w:rsid w:val="00C062FC"/>
    <w:rsid w:val="00C074C8"/>
    <w:rsid w:val="00C11CD8"/>
    <w:rsid w:val="00C11DA3"/>
    <w:rsid w:val="00C168FF"/>
    <w:rsid w:val="00C16A9A"/>
    <w:rsid w:val="00C16C34"/>
    <w:rsid w:val="00C21295"/>
    <w:rsid w:val="00C2154B"/>
    <w:rsid w:val="00C2250E"/>
    <w:rsid w:val="00C26D09"/>
    <w:rsid w:val="00C30E83"/>
    <w:rsid w:val="00C32A23"/>
    <w:rsid w:val="00C34B9B"/>
    <w:rsid w:val="00C43D9A"/>
    <w:rsid w:val="00C446A8"/>
    <w:rsid w:val="00C46162"/>
    <w:rsid w:val="00C47E3D"/>
    <w:rsid w:val="00C510CD"/>
    <w:rsid w:val="00C53548"/>
    <w:rsid w:val="00C6118B"/>
    <w:rsid w:val="00C6376B"/>
    <w:rsid w:val="00C67E63"/>
    <w:rsid w:val="00C71B59"/>
    <w:rsid w:val="00C7479E"/>
    <w:rsid w:val="00C75B29"/>
    <w:rsid w:val="00C75ECE"/>
    <w:rsid w:val="00C75F78"/>
    <w:rsid w:val="00C76401"/>
    <w:rsid w:val="00C77664"/>
    <w:rsid w:val="00C80AA4"/>
    <w:rsid w:val="00C81C2A"/>
    <w:rsid w:val="00C91986"/>
    <w:rsid w:val="00C93AF0"/>
    <w:rsid w:val="00C94ED7"/>
    <w:rsid w:val="00C976BE"/>
    <w:rsid w:val="00C97F1C"/>
    <w:rsid w:val="00CB0300"/>
    <w:rsid w:val="00CB116A"/>
    <w:rsid w:val="00CB4AF3"/>
    <w:rsid w:val="00CB5412"/>
    <w:rsid w:val="00CB7C5C"/>
    <w:rsid w:val="00CC4607"/>
    <w:rsid w:val="00CC4A40"/>
    <w:rsid w:val="00CC7C88"/>
    <w:rsid w:val="00CD06D2"/>
    <w:rsid w:val="00CD18FF"/>
    <w:rsid w:val="00CD50FC"/>
    <w:rsid w:val="00CE0BFD"/>
    <w:rsid w:val="00CE102E"/>
    <w:rsid w:val="00CE2A76"/>
    <w:rsid w:val="00CE3983"/>
    <w:rsid w:val="00CE515D"/>
    <w:rsid w:val="00CF129A"/>
    <w:rsid w:val="00CF194A"/>
    <w:rsid w:val="00CF26E7"/>
    <w:rsid w:val="00CF55A3"/>
    <w:rsid w:val="00CF6CCD"/>
    <w:rsid w:val="00CF7C33"/>
    <w:rsid w:val="00D00D6F"/>
    <w:rsid w:val="00D00E3E"/>
    <w:rsid w:val="00D025A7"/>
    <w:rsid w:val="00D02641"/>
    <w:rsid w:val="00D051A0"/>
    <w:rsid w:val="00D05CAB"/>
    <w:rsid w:val="00D06E3C"/>
    <w:rsid w:val="00D07543"/>
    <w:rsid w:val="00D122C6"/>
    <w:rsid w:val="00D12DF3"/>
    <w:rsid w:val="00D16438"/>
    <w:rsid w:val="00D17E9C"/>
    <w:rsid w:val="00D219B2"/>
    <w:rsid w:val="00D225D7"/>
    <w:rsid w:val="00D248AC"/>
    <w:rsid w:val="00D329E0"/>
    <w:rsid w:val="00D3320A"/>
    <w:rsid w:val="00D342CB"/>
    <w:rsid w:val="00D3549F"/>
    <w:rsid w:val="00D40819"/>
    <w:rsid w:val="00D413E0"/>
    <w:rsid w:val="00D41B62"/>
    <w:rsid w:val="00D43531"/>
    <w:rsid w:val="00D43E5C"/>
    <w:rsid w:val="00D44CC9"/>
    <w:rsid w:val="00D4556C"/>
    <w:rsid w:val="00D45C90"/>
    <w:rsid w:val="00D47987"/>
    <w:rsid w:val="00D50395"/>
    <w:rsid w:val="00D50F94"/>
    <w:rsid w:val="00D54900"/>
    <w:rsid w:val="00D54FC5"/>
    <w:rsid w:val="00D55D4B"/>
    <w:rsid w:val="00D62F64"/>
    <w:rsid w:val="00D63037"/>
    <w:rsid w:val="00D63D7F"/>
    <w:rsid w:val="00D64D1E"/>
    <w:rsid w:val="00D65802"/>
    <w:rsid w:val="00D6601E"/>
    <w:rsid w:val="00D661A7"/>
    <w:rsid w:val="00D76AB2"/>
    <w:rsid w:val="00D76F79"/>
    <w:rsid w:val="00D777F1"/>
    <w:rsid w:val="00D83339"/>
    <w:rsid w:val="00D91441"/>
    <w:rsid w:val="00D93267"/>
    <w:rsid w:val="00D956AE"/>
    <w:rsid w:val="00D96B81"/>
    <w:rsid w:val="00D97A75"/>
    <w:rsid w:val="00DA0688"/>
    <w:rsid w:val="00DA180C"/>
    <w:rsid w:val="00DA446C"/>
    <w:rsid w:val="00DB1407"/>
    <w:rsid w:val="00DB1E11"/>
    <w:rsid w:val="00DB4B22"/>
    <w:rsid w:val="00DB7CFA"/>
    <w:rsid w:val="00DC31E3"/>
    <w:rsid w:val="00DC5A16"/>
    <w:rsid w:val="00DC6C6C"/>
    <w:rsid w:val="00DC6F36"/>
    <w:rsid w:val="00DC7E33"/>
    <w:rsid w:val="00DC7F7C"/>
    <w:rsid w:val="00DD02C0"/>
    <w:rsid w:val="00DD1DBC"/>
    <w:rsid w:val="00DE0214"/>
    <w:rsid w:val="00DE18B2"/>
    <w:rsid w:val="00DE2233"/>
    <w:rsid w:val="00DE3DAB"/>
    <w:rsid w:val="00DE47BB"/>
    <w:rsid w:val="00DF27E4"/>
    <w:rsid w:val="00DF3C48"/>
    <w:rsid w:val="00DF7DC1"/>
    <w:rsid w:val="00E07478"/>
    <w:rsid w:val="00E13647"/>
    <w:rsid w:val="00E13B7B"/>
    <w:rsid w:val="00E17848"/>
    <w:rsid w:val="00E20938"/>
    <w:rsid w:val="00E210AA"/>
    <w:rsid w:val="00E2111F"/>
    <w:rsid w:val="00E23676"/>
    <w:rsid w:val="00E24781"/>
    <w:rsid w:val="00E26D45"/>
    <w:rsid w:val="00E302CB"/>
    <w:rsid w:val="00E326AD"/>
    <w:rsid w:val="00E34449"/>
    <w:rsid w:val="00E36050"/>
    <w:rsid w:val="00E40BFB"/>
    <w:rsid w:val="00E41410"/>
    <w:rsid w:val="00E4337A"/>
    <w:rsid w:val="00E43C5C"/>
    <w:rsid w:val="00E44D0B"/>
    <w:rsid w:val="00E45BE2"/>
    <w:rsid w:val="00E46B52"/>
    <w:rsid w:val="00E507A2"/>
    <w:rsid w:val="00E51D94"/>
    <w:rsid w:val="00E52D17"/>
    <w:rsid w:val="00E53C43"/>
    <w:rsid w:val="00E544FD"/>
    <w:rsid w:val="00E61495"/>
    <w:rsid w:val="00E620E0"/>
    <w:rsid w:val="00E65198"/>
    <w:rsid w:val="00E66B8C"/>
    <w:rsid w:val="00E67B32"/>
    <w:rsid w:val="00E7010D"/>
    <w:rsid w:val="00E776E9"/>
    <w:rsid w:val="00E77C4B"/>
    <w:rsid w:val="00E81E90"/>
    <w:rsid w:val="00E85073"/>
    <w:rsid w:val="00E85456"/>
    <w:rsid w:val="00E85A59"/>
    <w:rsid w:val="00E85D32"/>
    <w:rsid w:val="00E910BA"/>
    <w:rsid w:val="00E95A14"/>
    <w:rsid w:val="00E96DB6"/>
    <w:rsid w:val="00E97275"/>
    <w:rsid w:val="00EA44FD"/>
    <w:rsid w:val="00EA5F55"/>
    <w:rsid w:val="00EA6AC9"/>
    <w:rsid w:val="00EA6CD1"/>
    <w:rsid w:val="00EA7798"/>
    <w:rsid w:val="00EB6907"/>
    <w:rsid w:val="00EB7198"/>
    <w:rsid w:val="00EC069A"/>
    <w:rsid w:val="00EC1C29"/>
    <w:rsid w:val="00EC4038"/>
    <w:rsid w:val="00EC4404"/>
    <w:rsid w:val="00EC58DC"/>
    <w:rsid w:val="00ED1FF8"/>
    <w:rsid w:val="00ED58C0"/>
    <w:rsid w:val="00ED70DC"/>
    <w:rsid w:val="00EE2C3E"/>
    <w:rsid w:val="00EE4D36"/>
    <w:rsid w:val="00EF1437"/>
    <w:rsid w:val="00EF2CE4"/>
    <w:rsid w:val="00EF2EE4"/>
    <w:rsid w:val="00EF6327"/>
    <w:rsid w:val="00EF6415"/>
    <w:rsid w:val="00EF7914"/>
    <w:rsid w:val="00F02348"/>
    <w:rsid w:val="00F051A1"/>
    <w:rsid w:val="00F06585"/>
    <w:rsid w:val="00F11434"/>
    <w:rsid w:val="00F11767"/>
    <w:rsid w:val="00F129E4"/>
    <w:rsid w:val="00F176D1"/>
    <w:rsid w:val="00F20026"/>
    <w:rsid w:val="00F268BA"/>
    <w:rsid w:val="00F2799F"/>
    <w:rsid w:val="00F27E25"/>
    <w:rsid w:val="00F30C83"/>
    <w:rsid w:val="00F32C1B"/>
    <w:rsid w:val="00F3408A"/>
    <w:rsid w:val="00F416A9"/>
    <w:rsid w:val="00F50153"/>
    <w:rsid w:val="00F50F7D"/>
    <w:rsid w:val="00F52E8D"/>
    <w:rsid w:val="00F55BBF"/>
    <w:rsid w:val="00F576E6"/>
    <w:rsid w:val="00F60B9E"/>
    <w:rsid w:val="00F60C71"/>
    <w:rsid w:val="00F67A0B"/>
    <w:rsid w:val="00F67D5B"/>
    <w:rsid w:val="00F725D9"/>
    <w:rsid w:val="00F82F57"/>
    <w:rsid w:val="00F852CC"/>
    <w:rsid w:val="00F86C1E"/>
    <w:rsid w:val="00F91520"/>
    <w:rsid w:val="00F9406C"/>
    <w:rsid w:val="00F97A19"/>
    <w:rsid w:val="00F97DB5"/>
    <w:rsid w:val="00FA1088"/>
    <w:rsid w:val="00FA293D"/>
    <w:rsid w:val="00FA2CF7"/>
    <w:rsid w:val="00FA38D0"/>
    <w:rsid w:val="00FA4DB1"/>
    <w:rsid w:val="00FA50C7"/>
    <w:rsid w:val="00FA618E"/>
    <w:rsid w:val="00FA6745"/>
    <w:rsid w:val="00FB0268"/>
    <w:rsid w:val="00FB103A"/>
    <w:rsid w:val="00FB2DF7"/>
    <w:rsid w:val="00FC0DA6"/>
    <w:rsid w:val="00FC4B7A"/>
    <w:rsid w:val="00FC4D4A"/>
    <w:rsid w:val="00FC518D"/>
    <w:rsid w:val="00FC5939"/>
    <w:rsid w:val="00FC6D90"/>
    <w:rsid w:val="00FD1918"/>
    <w:rsid w:val="00FD2425"/>
    <w:rsid w:val="00FD4011"/>
    <w:rsid w:val="00FD4A4C"/>
    <w:rsid w:val="00FE25BD"/>
    <w:rsid w:val="00FE34FE"/>
    <w:rsid w:val="00FE44F1"/>
    <w:rsid w:val="00FE6D7A"/>
    <w:rsid w:val="00FF138F"/>
    <w:rsid w:val="00FF2EED"/>
    <w:rsid w:val="00FF2F66"/>
    <w:rsid w:val="00FF3AEE"/>
    <w:rsid w:val="00FF3B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CF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CB7"/>
  </w:style>
  <w:style w:type="paragraph" w:styleId="Ttulo1">
    <w:name w:val="heading 1"/>
    <w:basedOn w:val="Normal"/>
    <w:next w:val="Normal"/>
    <w:qFormat/>
    <w:pPr>
      <w:keepNext/>
      <w:tabs>
        <w:tab w:val="left" w:pos="5103"/>
      </w:tabs>
      <w:jc w:val="center"/>
      <w:outlineLvl w:val="0"/>
    </w:pPr>
    <w:rPr>
      <w:rFonts w:ascii="Arial" w:hAnsi="Arial" w:cs="Arial"/>
      <w:szCs w:val="20"/>
    </w:rPr>
  </w:style>
  <w:style w:type="paragraph" w:styleId="Ttulo2">
    <w:name w:val="heading 2"/>
    <w:basedOn w:val="Normal"/>
    <w:next w:val="Normal"/>
    <w:qFormat/>
    <w:pPr>
      <w:keepNext/>
      <w:ind w:left="-426" w:right="4676"/>
      <w:jc w:val="center"/>
      <w:outlineLvl w:val="1"/>
    </w:pPr>
    <w:rPr>
      <w:rFonts w:ascii="Batang" w:hAnsi="Batang" w:cs="Tahoma"/>
      <w:bCs/>
      <w:spacing w:val="40"/>
      <w:szCs w:val="20"/>
    </w:rPr>
  </w:style>
  <w:style w:type="paragraph" w:styleId="Ttulo5">
    <w:name w:val="heading 5"/>
    <w:basedOn w:val="Normal"/>
    <w:next w:val="Normal"/>
    <w:link w:val="Ttulo5Carter"/>
    <w:uiPriority w:val="9"/>
    <w:semiHidden/>
    <w:unhideWhenUsed/>
    <w:qFormat/>
    <w:rsid w:val="00225B6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uiPriority w:val="9"/>
    <w:semiHidden/>
    <w:unhideWhenUsed/>
    <w:qFormat/>
    <w:rsid w:val="00225B6F"/>
    <w:pPr>
      <w:keepNext/>
      <w:keepLines/>
      <w:spacing w:before="40"/>
      <w:outlineLvl w:val="5"/>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pPr>
      <w:tabs>
        <w:tab w:val="center" w:pos="4419"/>
        <w:tab w:val="right" w:pos="8838"/>
      </w:tabs>
    </w:pPr>
    <w:rPr>
      <w:sz w:val="20"/>
      <w:szCs w:val="20"/>
    </w:rPr>
  </w:style>
  <w:style w:type="paragraph" w:styleId="Rodap">
    <w:name w:val="footer"/>
    <w:basedOn w:val="Normal"/>
    <w:link w:val="RodapCarter"/>
    <w:uiPriority w:val="99"/>
    <w:pPr>
      <w:tabs>
        <w:tab w:val="center" w:pos="4419"/>
        <w:tab w:val="right" w:pos="8838"/>
      </w:tabs>
    </w:pPr>
    <w:rPr>
      <w:sz w:val="20"/>
      <w:szCs w:val="20"/>
    </w:rPr>
  </w:style>
  <w:style w:type="character" w:styleId="Hiperligao">
    <w:name w:val="Hyperlink"/>
    <w:uiPriority w:val="99"/>
    <w:rPr>
      <w:color w:val="0000FF"/>
      <w:u w:val="single"/>
    </w:rPr>
  </w:style>
  <w:style w:type="paragraph" w:styleId="Corpodetexto">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elanormal"/>
    <w:next w:val="TabelacomGrelha"/>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BB5FC1"/>
    <w:rPr>
      <w:b/>
      <w:bCs/>
    </w:rPr>
  </w:style>
  <w:style w:type="paragraph" w:styleId="Textodebalo">
    <w:name w:val="Balloon Text"/>
    <w:basedOn w:val="Normal"/>
    <w:link w:val="TextodebaloCarter"/>
    <w:uiPriority w:val="99"/>
    <w:semiHidden/>
    <w:unhideWhenUsed/>
    <w:rsid w:val="00F9152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91520"/>
    <w:rPr>
      <w:rFonts w:ascii="Tahoma" w:hAnsi="Tahoma" w:cs="Tahoma"/>
      <w:sz w:val="16"/>
      <w:szCs w:val="16"/>
    </w:rPr>
  </w:style>
  <w:style w:type="character" w:customStyle="1" w:styleId="Ttulo5Carter">
    <w:name w:val="Título 5 Caráter"/>
    <w:basedOn w:val="Tipodeletrapredefinidodopargrafo"/>
    <w:link w:val="Ttulo5"/>
    <w:uiPriority w:val="9"/>
    <w:semiHidden/>
    <w:rsid w:val="00225B6F"/>
    <w:rPr>
      <w:rFonts w:asciiTheme="majorHAnsi" w:eastAsiaTheme="majorEastAsia" w:hAnsiTheme="majorHAnsi" w:cstheme="majorBidi"/>
      <w:color w:val="365F91" w:themeColor="accent1" w:themeShade="BF"/>
      <w:sz w:val="24"/>
      <w:szCs w:val="24"/>
    </w:rPr>
  </w:style>
  <w:style w:type="character" w:customStyle="1" w:styleId="Ttulo6Carter">
    <w:name w:val="Título 6 Caráter"/>
    <w:basedOn w:val="Tipodeletrapredefinidodopargrafo"/>
    <w:link w:val="Ttulo6"/>
    <w:uiPriority w:val="9"/>
    <w:semiHidden/>
    <w:rsid w:val="00225B6F"/>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arter"/>
    <w:uiPriority w:val="99"/>
    <w:semiHidden/>
    <w:unhideWhenUsed/>
    <w:rsid w:val="00225B6F"/>
    <w:pPr>
      <w:spacing w:after="120" w:line="480" w:lineRule="auto"/>
    </w:pPr>
  </w:style>
  <w:style w:type="character" w:customStyle="1" w:styleId="Corpodetexto2Carter">
    <w:name w:val="Corpo de texto 2 Caráter"/>
    <w:basedOn w:val="Tipodeletrapredefinidodopargrafo"/>
    <w:link w:val="Corpodetexto2"/>
    <w:uiPriority w:val="99"/>
    <w:semiHidden/>
    <w:rsid w:val="00225B6F"/>
    <w:rPr>
      <w:sz w:val="24"/>
      <w:szCs w:val="24"/>
    </w:rPr>
  </w:style>
  <w:style w:type="paragraph" w:styleId="Destinatrio">
    <w:name w:val="envelope address"/>
    <w:basedOn w:val="Normal"/>
    <w:uiPriority w:val="99"/>
    <w:unhideWhenUsed/>
    <w:rsid w:val="00A45804"/>
    <w:pPr>
      <w:framePr w:w="7938" w:h="1984" w:hRule="exact" w:hSpace="141" w:wrap="auto" w:hAnchor="page" w:xAlign="center" w:yAlign="bottom"/>
      <w:ind w:left="2835"/>
    </w:pPr>
    <w:rPr>
      <w:rFonts w:asciiTheme="majorHAnsi" w:eastAsiaTheme="majorEastAsia" w:hAnsiTheme="majorHAnsi" w:cstheme="majorBidi"/>
    </w:rPr>
  </w:style>
  <w:style w:type="paragraph" w:customStyle="1" w:styleId="H23G">
    <w:name w:val="_ H_2/3_G"/>
    <w:basedOn w:val="Normal"/>
    <w:next w:val="Normal"/>
    <w:rsid w:val="001E5C20"/>
    <w:pPr>
      <w:keepNext/>
      <w:keepLines/>
      <w:tabs>
        <w:tab w:val="right" w:pos="851"/>
      </w:tabs>
      <w:suppressAutoHyphens/>
      <w:spacing w:before="240" w:after="120" w:line="240" w:lineRule="exact"/>
      <w:ind w:left="1134" w:right="1134" w:hanging="1134"/>
    </w:pPr>
    <w:rPr>
      <w:b/>
      <w:sz w:val="20"/>
      <w:szCs w:val="20"/>
      <w:lang w:val="en-GB" w:eastAsia="en-US"/>
    </w:rPr>
  </w:style>
  <w:style w:type="paragraph" w:styleId="PargrafodaLista">
    <w:name w:val="List Paragraph"/>
    <w:basedOn w:val="Normal"/>
    <w:uiPriority w:val="34"/>
    <w:qFormat/>
    <w:rsid w:val="001E5C20"/>
    <w:pPr>
      <w:suppressAutoHyphens/>
      <w:spacing w:line="240" w:lineRule="atLeast"/>
      <w:ind w:left="720"/>
      <w:contextualSpacing/>
    </w:pPr>
    <w:rPr>
      <w:rFonts w:eastAsia="Calibri"/>
      <w:sz w:val="20"/>
      <w:szCs w:val="20"/>
      <w:lang w:val="en-GB" w:eastAsia="en-US"/>
    </w:rPr>
  </w:style>
  <w:style w:type="character" w:styleId="Refdecomentrio">
    <w:name w:val="annotation reference"/>
    <w:basedOn w:val="Tipodeletrapredefinidodopargrafo"/>
    <w:uiPriority w:val="99"/>
    <w:semiHidden/>
    <w:unhideWhenUsed/>
    <w:rsid w:val="001E5C20"/>
    <w:rPr>
      <w:sz w:val="16"/>
      <w:szCs w:val="16"/>
    </w:rPr>
  </w:style>
  <w:style w:type="paragraph" w:styleId="Textodecomentrio">
    <w:name w:val="annotation text"/>
    <w:basedOn w:val="Normal"/>
    <w:link w:val="TextodecomentrioCarter"/>
    <w:uiPriority w:val="99"/>
    <w:unhideWhenUsed/>
    <w:rsid w:val="001E5C20"/>
    <w:pPr>
      <w:spacing w:after="200"/>
    </w:pPr>
    <w:rPr>
      <w:rFonts w:asciiTheme="minorHAnsi" w:eastAsia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rsid w:val="001E5C20"/>
    <w:rPr>
      <w:rFonts w:asciiTheme="minorHAnsi" w:eastAsiaTheme="minorHAnsi" w:hAnsiTheme="minorHAnsi" w:cstheme="minorBidi"/>
      <w:lang w:eastAsia="en-US"/>
    </w:rPr>
  </w:style>
  <w:style w:type="paragraph" w:styleId="Textodenotaderodap">
    <w:name w:val="footnote text"/>
    <w:basedOn w:val="Normal"/>
    <w:link w:val="TextodenotaderodapCarter"/>
    <w:uiPriority w:val="99"/>
    <w:unhideWhenUsed/>
    <w:rsid w:val="001E5C20"/>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rsid w:val="001E5C20"/>
    <w:rPr>
      <w:rFonts w:asciiTheme="minorHAnsi" w:eastAsiaTheme="minorHAnsi" w:hAnsiTheme="minorHAnsi" w:cstheme="minorBidi"/>
      <w:lang w:eastAsia="en-US"/>
    </w:rPr>
  </w:style>
  <w:style w:type="character" w:styleId="Refdenotaderodap">
    <w:name w:val="footnote reference"/>
    <w:basedOn w:val="Tipodeletrapredefinidodopargrafo"/>
    <w:uiPriority w:val="99"/>
    <w:unhideWhenUsed/>
    <w:rsid w:val="001E5C20"/>
    <w:rPr>
      <w:vertAlign w:val="superscript"/>
    </w:rPr>
  </w:style>
  <w:style w:type="paragraph" w:styleId="Assuntodecomentrio">
    <w:name w:val="annotation subject"/>
    <w:basedOn w:val="Textodecomentrio"/>
    <w:next w:val="Textodecomentrio"/>
    <w:link w:val="AssuntodecomentrioCarter"/>
    <w:uiPriority w:val="99"/>
    <w:semiHidden/>
    <w:unhideWhenUsed/>
    <w:rsid w:val="001E5C20"/>
    <w:pPr>
      <w:suppressAutoHyphens/>
      <w:spacing w:after="0"/>
    </w:pPr>
    <w:rPr>
      <w:rFonts w:ascii="Times New Roman" w:eastAsia="Calibri" w:hAnsi="Times New Roman" w:cs="Times New Roman"/>
      <w:b/>
      <w:bCs/>
      <w:lang w:val="en-GB"/>
    </w:rPr>
  </w:style>
  <w:style w:type="character" w:customStyle="1" w:styleId="AssuntodecomentrioCarter">
    <w:name w:val="Assunto de comentário Caráter"/>
    <w:basedOn w:val="TextodecomentrioCarter"/>
    <w:link w:val="Assuntodecomentrio"/>
    <w:uiPriority w:val="99"/>
    <w:semiHidden/>
    <w:rsid w:val="001E5C20"/>
    <w:rPr>
      <w:rFonts w:asciiTheme="minorHAnsi" w:eastAsia="Calibri" w:hAnsiTheme="minorHAnsi" w:cstheme="minorBidi"/>
      <w:b/>
      <w:bCs/>
      <w:lang w:val="en-GB" w:eastAsia="en-US"/>
    </w:rPr>
  </w:style>
  <w:style w:type="paragraph" w:styleId="Textodenotadefim">
    <w:name w:val="endnote text"/>
    <w:basedOn w:val="Normal"/>
    <w:link w:val="TextodenotadefimCarter"/>
    <w:uiPriority w:val="99"/>
    <w:semiHidden/>
    <w:unhideWhenUsed/>
    <w:rsid w:val="001E5C20"/>
    <w:rPr>
      <w:rFonts w:asciiTheme="minorHAnsi" w:eastAsiaTheme="minorHAnsi" w:hAnsiTheme="minorHAnsi" w:cstheme="minorBidi"/>
      <w:sz w:val="20"/>
      <w:szCs w:val="20"/>
      <w:lang w:eastAsia="en-US"/>
    </w:rPr>
  </w:style>
  <w:style w:type="character" w:customStyle="1" w:styleId="TextodenotadefimCarter">
    <w:name w:val="Texto de nota de fim Caráter"/>
    <w:basedOn w:val="Tipodeletrapredefinidodopargrafo"/>
    <w:link w:val="Textodenotadefim"/>
    <w:uiPriority w:val="99"/>
    <w:semiHidden/>
    <w:rsid w:val="001E5C20"/>
    <w:rPr>
      <w:rFonts w:asciiTheme="minorHAnsi" w:eastAsiaTheme="minorHAnsi" w:hAnsiTheme="minorHAnsi" w:cstheme="minorBidi"/>
      <w:lang w:eastAsia="en-US"/>
    </w:rPr>
  </w:style>
  <w:style w:type="character" w:styleId="Refdenotadefim">
    <w:name w:val="endnote reference"/>
    <w:basedOn w:val="Tipodeletrapredefinidodopargrafo"/>
    <w:uiPriority w:val="99"/>
    <w:semiHidden/>
    <w:unhideWhenUsed/>
    <w:rsid w:val="001E5C20"/>
    <w:rPr>
      <w:vertAlign w:val="superscript"/>
    </w:rPr>
  </w:style>
  <w:style w:type="paragraph" w:styleId="Textosimples">
    <w:name w:val="Plain Text"/>
    <w:basedOn w:val="Normal"/>
    <w:link w:val="TextosimplesCarter"/>
    <w:uiPriority w:val="99"/>
    <w:semiHidden/>
    <w:unhideWhenUsed/>
    <w:rsid w:val="001E5C20"/>
    <w:pPr>
      <w:suppressAutoHyphens/>
    </w:pPr>
    <w:rPr>
      <w:rFonts w:ascii="Consolas" w:eastAsia="Calibri" w:hAnsi="Consolas" w:cs="Consolas"/>
      <w:sz w:val="21"/>
      <w:szCs w:val="21"/>
      <w:lang w:val="en-GB" w:eastAsia="en-US"/>
    </w:rPr>
  </w:style>
  <w:style w:type="character" w:customStyle="1" w:styleId="TextosimplesCarter">
    <w:name w:val="Texto simples Caráter"/>
    <w:basedOn w:val="Tipodeletrapredefinidodopargrafo"/>
    <w:link w:val="Textosimples"/>
    <w:uiPriority w:val="99"/>
    <w:semiHidden/>
    <w:rsid w:val="001E5C20"/>
    <w:rPr>
      <w:rFonts w:ascii="Consolas" w:eastAsia="Calibri" w:hAnsi="Consolas" w:cs="Consolas"/>
      <w:sz w:val="21"/>
      <w:szCs w:val="21"/>
      <w:lang w:val="en-GB" w:eastAsia="en-US"/>
    </w:rPr>
  </w:style>
  <w:style w:type="paragraph" w:customStyle="1" w:styleId="Default">
    <w:name w:val="Default"/>
    <w:rsid w:val="001E5C20"/>
    <w:pPr>
      <w:autoSpaceDE w:val="0"/>
      <w:autoSpaceDN w:val="0"/>
      <w:adjustRightInd w:val="0"/>
    </w:pPr>
    <w:rPr>
      <w:rFonts w:ascii="Arial" w:eastAsiaTheme="minorHAnsi" w:hAnsi="Arial" w:cs="Arial"/>
      <w:color w:val="000000"/>
      <w:lang w:eastAsia="en-US"/>
    </w:rPr>
  </w:style>
  <w:style w:type="paragraph" w:styleId="Reviso">
    <w:name w:val="Revision"/>
    <w:hidden/>
    <w:uiPriority w:val="99"/>
    <w:semiHidden/>
    <w:rsid w:val="001E5C20"/>
    <w:rPr>
      <w:rFonts w:eastAsia="Calibri"/>
      <w:lang w:val="en-GB" w:eastAsia="en-US"/>
    </w:rPr>
  </w:style>
  <w:style w:type="character" w:styleId="Hiperligaovisitada">
    <w:name w:val="FollowedHyperlink"/>
    <w:basedOn w:val="Tipodeletrapredefinidodopargrafo"/>
    <w:uiPriority w:val="99"/>
    <w:semiHidden/>
    <w:unhideWhenUsed/>
    <w:rsid w:val="001E5C20"/>
    <w:rPr>
      <w:color w:val="800080" w:themeColor="followedHyperlink"/>
      <w:u w:val="single"/>
    </w:rPr>
  </w:style>
  <w:style w:type="character" w:customStyle="1" w:styleId="CabealhoCarter">
    <w:name w:val="Cabeçalho Caráter"/>
    <w:basedOn w:val="Tipodeletrapredefinidodopargrafo"/>
    <w:link w:val="Cabealho"/>
    <w:uiPriority w:val="99"/>
    <w:rsid w:val="001E5C20"/>
  </w:style>
  <w:style w:type="character" w:customStyle="1" w:styleId="RodapCarter">
    <w:name w:val="Rodapé Caráter"/>
    <w:basedOn w:val="Tipodeletrapredefinidodopargrafo"/>
    <w:link w:val="Rodap"/>
    <w:uiPriority w:val="99"/>
    <w:rsid w:val="001E5C20"/>
  </w:style>
  <w:style w:type="character" w:customStyle="1" w:styleId="MenoNoResolvida1">
    <w:name w:val="Menção Não Resolvida1"/>
    <w:basedOn w:val="Tipodeletrapredefinidodopargrafo"/>
    <w:uiPriority w:val="99"/>
    <w:semiHidden/>
    <w:unhideWhenUsed/>
    <w:rsid w:val="00D96B81"/>
    <w:rPr>
      <w:color w:val="605E5C"/>
      <w:shd w:val="clear" w:color="auto" w:fill="E1DFDD"/>
    </w:rPr>
  </w:style>
  <w:style w:type="character" w:customStyle="1" w:styleId="MenoNoResolvida2">
    <w:name w:val="Menção Não Resolvida2"/>
    <w:basedOn w:val="Tipodeletrapredefinidodopargrafo"/>
    <w:uiPriority w:val="99"/>
    <w:semiHidden/>
    <w:unhideWhenUsed/>
    <w:rsid w:val="00EC4038"/>
    <w:rPr>
      <w:color w:val="605E5C"/>
      <w:shd w:val="clear" w:color="auto" w:fill="E1DFDD"/>
    </w:rPr>
  </w:style>
  <w:style w:type="character" w:styleId="nfase">
    <w:name w:val="Emphasis"/>
    <w:basedOn w:val="Tipodeletrapredefinidodopargrafo"/>
    <w:uiPriority w:val="20"/>
    <w:qFormat/>
    <w:rsid w:val="00905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283">
      <w:bodyDiv w:val="1"/>
      <w:marLeft w:val="0"/>
      <w:marRight w:val="0"/>
      <w:marTop w:val="0"/>
      <w:marBottom w:val="0"/>
      <w:divBdr>
        <w:top w:val="none" w:sz="0" w:space="0" w:color="auto"/>
        <w:left w:val="none" w:sz="0" w:space="0" w:color="auto"/>
        <w:bottom w:val="none" w:sz="0" w:space="0" w:color="auto"/>
        <w:right w:val="none" w:sz="0" w:space="0" w:color="auto"/>
      </w:divBdr>
    </w:div>
    <w:div w:id="449134693">
      <w:bodyDiv w:val="1"/>
      <w:marLeft w:val="0"/>
      <w:marRight w:val="0"/>
      <w:marTop w:val="0"/>
      <w:marBottom w:val="0"/>
      <w:divBdr>
        <w:top w:val="none" w:sz="0" w:space="0" w:color="auto"/>
        <w:left w:val="none" w:sz="0" w:space="0" w:color="auto"/>
        <w:bottom w:val="none" w:sz="0" w:space="0" w:color="auto"/>
        <w:right w:val="none" w:sz="0" w:space="0" w:color="auto"/>
      </w:divBdr>
    </w:div>
    <w:div w:id="498275123">
      <w:bodyDiv w:val="1"/>
      <w:marLeft w:val="0"/>
      <w:marRight w:val="0"/>
      <w:marTop w:val="0"/>
      <w:marBottom w:val="0"/>
      <w:divBdr>
        <w:top w:val="none" w:sz="0" w:space="0" w:color="auto"/>
        <w:left w:val="none" w:sz="0" w:space="0" w:color="auto"/>
        <w:bottom w:val="none" w:sz="0" w:space="0" w:color="auto"/>
        <w:right w:val="none" w:sz="0" w:space="0" w:color="auto"/>
      </w:divBdr>
    </w:div>
    <w:div w:id="1126656482">
      <w:bodyDiv w:val="1"/>
      <w:marLeft w:val="0"/>
      <w:marRight w:val="0"/>
      <w:marTop w:val="0"/>
      <w:marBottom w:val="0"/>
      <w:divBdr>
        <w:top w:val="none" w:sz="0" w:space="0" w:color="auto"/>
        <w:left w:val="none" w:sz="0" w:space="0" w:color="auto"/>
        <w:bottom w:val="none" w:sz="0" w:space="0" w:color="auto"/>
        <w:right w:val="none" w:sz="0" w:space="0" w:color="auto"/>
      </w:divBdr>
    </w:div>
    <w:div w:id="1144732662">
      <w:bodyDiv w:val="1"/>
      <w:marLeft w:val="0"/>
      <w:marRight w:val="0"/>
      <w:marTop w:val="0"/>
      <w:marBottom w:val="0"/>
      <w:divBdr>
        <w:top w:val="none" w:sz="0" w:space="0" w:color="auto"/>
        <w:left w:val="none" w:sz="0" w:space="0" w:color="auto"/>
        <w:bottom w:val="none" w:sz="0" w:space="0" w:color="auto"/>
        <w:right w:val="none" w:sz="0" w:space="0" w:color="auto"/>
      </w:divBdr>
    </w:div>
    <w:div w:id="1192838002">
      <w:bodyDiv w:val="1"/>
      <w:marLeft w:val="0"/>
      <w:marRight w:val="0"/>
      <w:marTop w:val="0"/>
      <w:marBottom w:val="0"/>
      <w:divBdr>
        <w:top w:val="none" w:sz="0" w:space="0" w:color="auto"/>
        <w:left w:val="none" w:sz="0" w:space="0" w:color="auto"/>
        <w:bottom w:val="none" w:sz="0" w:space="0" w:color="auto"/>
        <w:right w:val="none" w:sz="0" w:space="0" w:color="auto"/>
      </w:divBdr>
    </w:div>
    <w:div w:id="1258758303">
      <w:bodyDiv w:val="1"/>
      <w:marLeft w:val="0"/>
      <w:marRight w:val="0"/>
      <w:marTop w:val="0"/>
      <w:marBottom w:val="0"/>
      <w:divBdr>
        <w:top w:val="none" w:sz="0" w:space="0" w:color="auto"/>
        <w:left w:val="none" w:sz="0" w:space="0" w:color="auto"/>
        <w:bottom w:val="none" w:sz="0" w:space="0" w:color="auto"/>
        <w:right w:val="none" w:sz="0" w:space="0" w:color="auto"/>
      </w:divBdr>
    </w:div>
    <w:div w:id="1639648933">
      <w:bodyDiv w:val="1"/>
      <w:marLeft w:val="0"/>
      <w:marRight w:val="0"/>
      <w:marTop w:val="0"/>
      <w:marBottom w:val="0"/>
      <w:divBdr>
        <w:top w:val="none" w:sz="0" w:space="0" w:color="auto"/>
        <w:left w:val="none" w:sz="0" w:space="0" w:color="auto"/>
        <w:bottom w:val="none" w:sz="0" w:space="0" w:color="auto"/>
        <w:right w:val="none" w:sz="0" w:space="0" w:color="auto"/>
      </w:divBdr>
    </w:div>
    <w:div w:id="1645036968">
      <w:bodyDiv w:val="1"/>
      <w:marLeft w:val="0"/>
      <w:marRight w:val="0"/>
      <w:marTop w:val="0"/>
      <w:marBottom w:val="0"/>
      <w:divBdr>
        <w:top w:val="none" w:sz="0" w:space="0" w:color="auto"/>
        <w:left w:val="none" w:sz="0" w:space="0" w:color="auto"/>
        <w:bottom w:val="none" w:sz="0" w:space="0" w:color="auto"/>
        <w:right w:val="none" w:sz="0" w:space="0" w:color="auto"/>
      </w:divBdr>
    </w:div>
    <w:div w:id="19405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093AC-2E21-4CB1-A317-241655C0CF01}">
  <ds:schemaRefs/>
</ds:datastoreItem>
</file>

<file path=customXml/itemProps2.xml><?xml version="1.0" encoding="utf-8"?>
<ds:datastoreItem xmlns:ds="http://schemas.openxmlformats.org/officeDocument/2006/customXml" ds:itemID="{CC35DCD3-A438-494A-82D9-FC9030DFBD69}">
  <ds:schemaRefs>
    <ds:schemaRef ds:uri="http://schemas.openxmlformats.org/officeDocument/2006/bibliography"/>
  </ds:schemaRefs>
</ds:datastoreItem>
</file>

<file path=customXml/itemProps3.xml><?xml version="1.0" encoding="utf-8"?>
<ds:datastoreItem xmlns:ds="http://schemas.openxmlformats.org/officeDocument/2006/customXml" ds:itemID="{2464939E-39B1-4E84-BD7C-F79C5737B2AC}"/>
</file>

<file path=customXml/itemProps4.xml><?xml version="1.0" encoding="utf-8"?>
<ds:datastoreItem xmlns:ds="http://schemas.openxmlformats.org/officeDocument/2006/customXml" ds:itemID="{5BE19699-82FD-463A-93B8-4EC33D618545}"/>
</file>

<file path=customXml/itemProps5.xml><?xml version="1.0" encoding="utf-8"?>
<ds:datastoreItem xmlns:ds="http://schemas.openxmlformats.org/officeDocument/2006/customXml" ds:itemID="{FD937158-8019-44DC-82EB-C13478DD0FB0}"/>
</file>

<file path=docProps/app.xml><?xml version="1.0" encoding="utf-8"?>
<Properties xmlns="http://schemas.openxmlformats.org/officeDocument/2006/extended-properties" xmlns:vt="http://schemas.openxmlformats.org/officeDocument/2006/docPropsVTypes">
  <Template>Normal</Template>
  <TotalTime>184</TotalTime>
  <Pages>16</Pages>
  <Words>5472</Words>
  <Characters>31194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DESPACHO</vt:lpstr>
    </vt:vector>
  </TitlesOfParts>
  <Company>Provedoria de Justiça</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subject/>
  <dc:creator>Susana Santos</dc:creator>
  <cp:keywords/>
  <dc:description/>
  <cp:lastModifiedBy>Ana Rita Gil</cp:lastModifiedBy>
  <cp:revision>30</cp:revision>
  <cp:lastPrinted>2020-01-29T09:28:00Z</cp:lastPrinted>
  <dcterms:created xsi:type="dcterms:W3CDTF">2020-01-28T17:26:00Z</dcterms:created>
  <dcterms:modified xsi:type="dcterms:W3CDTF">2020-02-03T15:21:00Z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