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643" w:rsidRDefault="00DE0643" w:rsidP="00DE0643">
      <w:pPr>
        <w:spacing w:after="0"/>
        <w:ind w:left="5245" w:hanging="5245"/>
        <w:rPr>
          <w:rFonts w:ascii="Times New Roman" w:hAnsi="Times New Roman"/>
          <w:i/>
          <w:color w:val="000000" w:themeColor="text1"/>
          <w:sz w:val="24"/>
          <w:szCs w:val="24"/>
          <w:lang w:val="en-US" w:eastAsia="ru-RU"/>
        </w:rPr>
      </w:pPr>
    </w:p>
    <w:p w:rsidR="008072EA" w:rsidRDefault="008072EA" w:rsidP="00DE0643">
      <w:pPr>
        <w:spacing w:after="0"/>
        <w:ind w:left="5245" w:hanging="5245"/>
        <w:rPr>
          <w:rFonts w:ascii="Times New Roman" w:hAnsi="Times New Roman"/>
          <w:i/>
          <w:color w:val="000000" w:themeColor="text1"/>
          <w:sz w:val="24"/>
          <w:szCs w:val="24"/>
          <w:lang w:val="en-US" w:eastAsia="ru-RU"/>
        </w:rPr>
      </w:pPr>
    </w:p>
    <w:p w:rsidR="008072EA" w:rsidRDefault="008072EA" w:rsidP="00DE0643">
      <w:pPr>
        <w:spacing w:after="0"/>
        <w:ind w:left="5245" w:hanging="5245"/>
        <w:rPr>
          <w:rFonts w:ascii="Times New Roman" w:hAnsi="Times New Roman"/>
          <w:i/>
          <w:color w:val="000000" w:themeColor="text1"/>
          <w:sz w:val="24"/>
          <w:szCs w:val="24"/>
          <w:lang w:val="en-US" w:eastAsia="ru-RU"/>
        </w:rPr>
      </w:pPr>
    </w:p>
    <w:p w:rsidR="008072EA" w:rsidRPr="00B433B5" w:rsidRDefault="008072EA" w:rsidP="00DE0643">
      <w:pPr>
        <w:spacing w:after="0"/>
        <w:ind w:left="5245" w:hanging="5245"/>
        <w:rPr>
          <w:rFonts w:ascii="Times New Roman" w:hAnsi="Times New Roman"/>
          <w:i/>
          <w:color w:val="000000" w:themeColor="text1"/>
          <w:sz w:val="24"/>
          <w:szCs w:val="24"/>
          <w:lang w:val="en-US" w:eastAsia="ru-RU"/>
        </w:rPr>
      </w:pPr>
    </w:p>
    <w:p w:rsidR="00DE0643" w:rsidRPr="008072EA" w:rsidRDefault="008072EA" w:rsidP="00A67AF3">
      <w:pPr>
        <w:spacing w:after="0"/>
        <w:ind w:left="6096" w:firstLine="992"/>
        <w:rPr>
          <w:rFonts w:ascii="Times New Roman" w:hAnsi="Times New Roman"/>
          <w:i/>
          <w:sz w:val="28"/>
          <w:szCs w:val="28"/>
        </w:rPr>
      </w:pPr>
      <w:r w:rsidRPr="008072EA">
        <w:rPr>
          <w:rFonts w:ascii="Times New Roman" w:hAnsi="Times New Roman"/>
          <w:i/>
          <w:sz w:val="28"/>
          <w:szCs w:val="28"/>
        </w:rPr>
        <w:t>Unofficial translation</w:t>
      </w:r>
    </w:p>
    <w:p w:rsidR="008304D7" w:rsidRPr="00A67AF3" w:rsidRDefault="008304D7" w:rsidP="00DE0643">
      <w:pPr>
        <w:spacing w:after="0"/>
        <w:ind w:left="6096"/>
        <w:rPr>
          <w:rFonts w:ascii="Times New Roman" w:hAnsi="Times New Roman"/>
          <w:b/>
          <w:sz w:val="28"/>
          <w:szCs w:val="28"/>
          <w:lang w:val="en-US"/>
        </w:rPr>
      </w:pPr>
    </w:p>
    <w:p w:rsidR="008304D7" w:rsidRDefault="008304D7" w:rsidP="00DE0643">
      <w:pPr>
        <w:spacing w:after="0"/>
        <w:ind w:left="6096"/>
        <w:rPr>
          <w:rFonts w:ascii="Times New Roman" w:hAnsi="Times New Roman"/>
          <w:b/>
          <w:sz w:val="28"/>
          <w:szCs w:val="28"/>
        </w:rPr>
      </w:pPr>
    </w:p>
    <w:p w:rsidR="008304D7" w:rsidRDefault="008304D7" w:rsidP="00DE0643">
      <w:pPr>
        <w:spacing w:after="0"/>
        <w:ind w:left="6096"/>
        <w:rPr>
          <w:rFonts w:ascii="Times New Roman" w:hAnsi="Times New Roman"/>
          <w:b/>
          <w:i/>
          <w:sz w:val="28"/>
          <w:szCs w:val="28"/>
          <w:lang w:val="en-US"/>
        </w:rPr>
      </w:pPr>
    </w:p>
    <w:p w:rsidR="008304D7" w:rsidRDefault="008304D7" w:rsidP="00DE0643">
      <w:pPr>
        <w:spacing w:after="0"/>
        <w:ind w:left="6096"/>
        <w:rPr>
          <w:rFonts w:ascii="Times New Roman" w:hAnsi="Times New Roman"/>
          <w:b/>
          <w:sz w:val="28"/>
          <w:szCs w:val="28"/>
          <w:lang w:val="en-US"/>
        </w:rPr>
      </w:pPr>
    </w:p>
    <w:p w:rsidR="00465F78" w:rsidRDefault="00465F78" w:rsidP="00DE0643">
      <w:pPr>
        <w:spacing w:after="0"/>
        <w:ind w:left="6096"/>
        <w:rPr>
          <w:rFonts w:ascii="Times New Roman" w:hAnsi="Times New Roman"/>
          <w:b/>
          <w:sz w:val="28"/>
          <w:szCs w:val="28"/>
          <w:lang w:val="en-US"/>
        </w:rPr>
      </w:pPr>
    </w:p>
    <w:p w:rsidR="00874A1F" w:rsidRPr="00874A1F" w:rsidRDefault="00874A1F" w:rsidP="00874A1F">
      <w:pPr>
        <w:spacing w:after="0"/>
        <w:ind w:left="6096"/>
        <w:rPr>
          <w:rFonts w:ascii="Times New Roman" w:hAnsi="Times New Roman"/>
          <w:b/>
          <w:sz w:val="28"/>
          <w:szCs w:val="28"/>
          <w:lang w:val="en-US"/>
        </w:rPr>
      </w:pPr>
      <w:r>
        <w:rPr>
          <w:rFonts w:ascii="Times New Roman" w:hAnsi="Times New Roman"/>
          <w:b/>
          <w:sz w:val="28"/>
          <w:szCs w:val="28"/>
          <w:lang w:val="en-US"/>
        </w:rPr>
        <w:t xml:space="preserve">UN </w:t>
      </w:r>
      <w:r w:rsidRPr="00874A1F">
        <w:rPr>
          <w:rFonts w:ascii="Times New Roman" w:hAnsi="Times New Roman"/>
          <w:b/>
          <w:sz w:val="28"/>
          <w:szCs w:val="28"/>
          <w:lang w:val="en-US"/>
        </w:rPr>
        <w:t>Committee on Economic, Social and Cultural Rights</w:t>
      </w:r>
    </w:p>
    <w:p w:rsidR="00DE0643" w:rsidRPr="00B87476" w:rsidRDefault="00874A1F" w:rsidP="00874A1F">
      <w:pPr>
        <w:spacing w:after="0"/>
        <w:ind w:left="6096"/>
        <w:rPr>
          <w:rFonts w:ascii="Times New Roman" w:hAnsi="Times New Roman"/>
          <w:b/>
          <w:sz w:val="28"/>
          <w:szCs w:val="28"/>
          <w:lang w:val="en-US"/>
        </w:rPr>
      </w:pPr>
      <w:r>
        <w:rPr>
          <w:rFonts w:ascii="Times New Roman" w:hAnsi="Times New Roman"/>
          <w:b/>
          <w:sz w:val="28"/>
          <w:szCs w:val="28"/>
          <w:lang w:val="en-US"/>
        </w:rPr>
        <w:t>(</w:t>
      </w:r>
      <w:r w:rsidRPr="00874A1F">
        <w:rPr>
          <w:rFonts w:ascii="Times New Roman" w:hAnsi="Times New Roman"/>
          <w:b/>
          <w:sz w:val="28"/>
          <w:szCs w:val="28"/>
          <w:lang w:val="en-US"/>
        </w:rPr>
        <w:t>CESCR</w:t>
      </w:r>
      <w:r>
        <w:rPr>
          <w:rFonts w:ascii="Times New Roman" w:hAnsi="Times New Roman"/>
          <w:b/>
          <w:sz w:val="28"/>
          <w:szCs w:val="28"/>
          <w:lang w:val="en-US"/>
        </w:rPr>
        <w:t>)</w:t>
      </w:r>
    </w:p>
    <w:p w:rsidR="00DE0643" w:rsidRPr="00B87476" w:rsidRDefault="00DE0643" w:rsidP="00DE0643">
      <w:pPr>
        <w:spacing w:after="0"/>
        <w:ind w:left="6096"/>
        <w:rPr>
          <w:rFonts w:ascii="Times New Roman" w:hAnsi="Times New Roman"/>
          <w:b/>
          <w:sz w:val="28"/>
          <w:szCs w:val="28"/>
          <w:lang w:val="en-US"/>
        </w:rPr>
      </w:pPr>
    </w:p>
    <w:p w:rsidR="00DE0643" w:rsidRPr="00B87476" w:rsidRDefault="00DE0643" w:rsidP="00DE0643">
      <w:pPr>
        <w:spacing w:after="0"/>
        <w:ind w:left="6096"/>
        <w:rPr>
          <w:rFonts w:ascii="Times New Roman" w:hAnsi="Times New Roman"/>
          <w:b/>
          <w:sz w:val="28"/>
          <w:szCs w:val="28"/>
          <w:lang w:val="en-US"/>
        </w:rPr>
      </w:pPr>
    </w:p>
    <w:p w:rsidR="00DE0643" w:rsidRPr="00B87476" w:rsidRDefault="00DE0643" w:rsidP="00DE0643">
      <w:pPr>
        <w:spacing w:after="0"/>
        <w:ind w:left="6096"/>
        <w:rPr>
          <w:rFonts w:ascii="Times New Roman" w:hAnsi="Times New Roman"/>
          <w:b/>
          <w:sz w:val="28"/>
          <w:szCs w:val="28"/>
          <w:lang w:val="en-US"/>
        </w:rPr>
      </w:pPr>
    </w:p>
    <w:p w:rsidR="00DE0643" w:rsidRPr="00B87476" w:rsidRDefault="00DE0643" w:rsidP="00DE0643">
      <w:pPr>
        <w:spacing w:after="0"/>
        <w:rPr>
          <w:rFonts w:ascii="Times New Roman" w:hAnsi="Times New Roman"/>
          <w:b/>
          <w:sz w:val="28"/>
          <w:szCs w:val="28"/>
          <w:lang w:val="en-US"/>
        </w:rPr>
      </w:pPr>
      <w:r>
        <w:rPr>
          <w:rFonts w:ascii="Times New Roman" w:hAnsi="Times New Roman"/>
          <w:b/>
          <w:sz w:val="28"/>
          <w:szCs w:val="28"/>
          <w:lang w:val="en-US"/>
        </w:rPr>
        <w:t>D</w:t>
      </w:r>
      <w:r w:rsidRPr="00B87476">
        <w:rPr>
          <w:rFonts w:ascii="Times New Roman" w:hAnsi="Times New Roman"/>
          <w:b/>
          <w:sz w:val="28"/>
          <w:szCs w:val="28"/>
          <w:lang w:val="en-US"/>
        </w:rPr>
        <w:t xml:space="preserve">ear Sir/Madam,   </w:t>
      </w:r>
    </w:p>
    <w:p w:rsidR="00DE0643" w:rsidRPr="00B87476" w:rsidRDefault="00DE0643" w:rsidP="00DE0643">
      <w:pPr>
        <w:spacing w:after="0"/>
        <w:rPr>
          <w:rFonts w:ascii="Times New Roman" w:hAnsi="Times New Roman"/>
          <w:sz w:val="28"/>
          <w:szCs w:val="28"/>
          <w:lang w:val="en-US"/>
        </w:rPr>
      </w:pPr>
    </w:p>
    <w:p w:rsidR="00972F15" w:rsidRDefault="00DE0643" w:rsidP="00DE0643">
      <w:pPr>
        <w:spacing w:after="0"/>
        <w:ind w:firstLine="851"/>
        <w:jc w:val="both"/>
        <w:rPr>
          <w:rFonts w:ascii="Times New Roman" w:hAnsi="Times New Roman"/>
          <w:sz w:val="28"/>
          <w:szCs w:val="28"/>
          <w:lang w:val="en-US"/>
        </w:rPr>
      </w:pPr>
      <w:r w:rsidRPr="00B87476">
        <w:rPr>
          <w:rFonts w:ascii="Times New Roman" w:hAnsi="Times New Roman"/>
          <w:sz w:val="28"/>
          <w:szCs w:val="28"/>
          <w:lang w:val="en-US"/>
        </w:rPr>
        <w:t>I</w:t>
      </w:r>
      <w:r w:rsidR="00A67AF3">
        <w:rPr>
          <w:rFonts w:ascii="Times New Roman" w:hAnsi="Times New Roman"/>
          <w:sz w:val="28"/>
          <w:szCs w:val="28"/>
          <w:lang w:val="en-US"/>
        </w:rPr>
        <w:t xml:space="preserve"> would like to</w:t>
      </w:r>
      <w:r w:rsidRPr="00B87476">
        <w:rPr>
          <w:rFonts w:ascii="Times New Roman" w:hAnsi="Times New Roman"/>
          <w:sz w:val="28"/>
          <w:szCs w:val="28"/>
          <w:lang w:val="en-US"/>
        </w:rPr>
        <w:t xml:space="preserve"> present my compliments to you and</w:t>
      </w:r>
      <w:r w:rsidR="00A67AF3">
        <w:rPr>
          <w:rFonts w:ascii="Times New Roman" w:hAnsi="Times New Roman"/>
          <w:sz w:val="28"/>
          <w:szCs w:val="28"/>
          <w:lang w:val="en-US"/>
        </w:rPr>
        <w:t xml:space="preserve"> to</w:t>
      </w:r>
      <w:r w:rsidRPr="00B87476">
        <w:rPr>
          <w:rFonts w:ascii="Times New Roman" w:hAnsi="Times New Roman"/>
          <w:sz w:val="28"/>
          <w:szCs w:val="28"/>
          <w:lang w:val="en-US"/>
        </w:rPr>
        <w:t xml:space="preserve"> </w:t>
      </w:r>
      <w:r w:rsidRPr="00844C7E">
        <w:rPr>
          <w:rFonts w:ascii="Times New Roman" w:hAnsi="Times New Roman"/>
          <w:sz w:val="28"/>
          <w:szCs w:val="28"/>
          <w:lang w:val="en-US"/>
        </w:rPr>
        <w:t xml:space="preserve">send </w:t>
      </w:r>
      <w:r w:rsidR="00CB697D">
        <w:rPr>
          <w:rFonts w:ascii="Times New Roman" w:hAnsi="Times New Roman"/>
          <w:sz w:val="28"/>
          <w:szCs w:val="28"/>
          <w:lang w:val="en-US"/>
        </w:rPr>
        <w:t xml:space="preserve">the Commissioner’s </w:t>
      </w:r>
      <w:r w:rsidR="00874A1F">
        <w:rPr>
          <w:rFonts w:ascii="Times New Roman" w:hAnsi="Times New Roman"/>
          <w:sz w:val="28"/>
          <w:szCs w:val="28"/>
          <w:lang w:val="en-US"/>
        </w:rPr>
        <w:t xml:space="preserve">Parallel Report </w:t>
      </w:r>
      <w:r w:rsidR="00972F15">
        <w:rPr>
          <w:rFonts w:ascii="Times New Roman" w:hAnsi="Times New Roman"/>
          <w:sz w:val="28"/>
          <w:szCs w:val="28"/>
          <w:lang w:val="en-US"/>
        </w:rPr>
        <w:t xml:space="preserve">concerning the implementation </w:t>
      </w:r>
      <w:r w:rsidR="00874A1F" w:rsidRPr="00874A1F">
        <w:rPr>
          <w:rFonts w:ascii="Times New Roman" w:hAnsi="Times New Roman"/>
          <w:sz w:val="28"/>
          <w:szCs w:val="28"/>
          <w:lang w:val="en-US"/>
        </w:rPr>
        <w:t>of the International Covenant on Economic, Social and Cultural Rights</w:t>
      </w:r>
      <w:r w:rsidR="00C01C72">
        <w:rPr>
          <w:rFonts w:ascii="Times New Roman" w:hAnsi="Times New Roman"/>
          <w:sz w:val="28"/>
          <w:szCs w:val="28"/>
          <w:lang w:val="en-US"/>
        </w:rPr>
        <w:t xml:space="preserve"> b</w:t>
      </w:r>
      <w:r w:rsidR="00CB697D">
        <w:rPr>
          <w:rFonts w:ascii="Times New Roman" w:hAnsi="Times New Roman"/>
          <w:sz w:val="28"/>
          <w:szCs w:val="28"/>
          <w:lang w:val="en-US"/>
        </w:rPr>
        <w:t xml:space="preserve">y </w:t>
      </w:r>
      <w:r w:rsidR="00972F15">
        <w:rPr>
          <w:rFonts w:ascii="Times New Roman" w:hAnsi="Times New Roman"/>
          <w:sz w:val="28"/>
          <w:szCs w:val="28"/>
          <w:lang w:val="en-US"/>
        </w:rPr>
        <w:t xml:space="preserve">Ukraine </w:t>
      </w:r>
      <w:r w:rsidR="007F468E" w:rsidRPr="007F468E">
        <w:rPr>
          <w:rFonts w:ascii="Times New Roman" w:hAnsi="Times New Roman"/>
          <w:sz w:val="28"/>
          <w:szCs w:val="28"/>
          <w:lang w:val="en-US"/>
        </w:rPr>
        <w:t>for consideration by the Committee</w:t>
      </w:r>
      <w:r w:rsidR="00CB697D">
        <w:rPr>
          <w:rFonts w:ascii="Times New Roman" w:hAnsi="Times New Roman"/>
          <w:sz w:val="28"/>
          <w:szCs w:val="28"/>
          <w:lang w:val="en-US"/>
        </w:rPr>
        <w:t>.</w:t>
      </w:r>
    </w:p>
    <w:p w:rsidR="00DE0643" w:rsidRPr="00B87476" w:rsidRDefault="00DE0643" w:rsidP="00DE0643">
      <w:pPr>
        <w:spacing w:after="0"/>
        <w:ind w:firstLine="851"/>
        <w:jc w:val="both"/>
        <w:rPr>
          <w:rFonts w:ascii="Times New Roman" w:hAnsi="Times New Roman"/>
          <w:sz w:val="28"/>
          <w:szCs w:val="28"/>
          <w:lang w:val="en-US"/>
        </w:rPr>
      </w:pPr>
    </w:p>
    <w:p w:rsidR="00DE0643" w:rsidRPr="00B87476" w:rsidRDefault="00DE0643" w:rsidP="00DE0643">
      <w:pPr>
        <w:spacing w:after="0"/>
        <w:jc w:val="both"/>
        <w:rPr>
          <w:rFonts w:ascii="Times New Roman" w:hAnsi="Times New Roman"/>
          <w:sz w:val="28"/>
          <w:szCs w:val="28"/>
          <w:lang w:val="en-US"/>
        </w:rPr>
      </w:pPr>
      <w:r>
        <w:rPr>
          <w:rFonts w:ascii="Times New Roman" w:hAnsi="Times New Roman"/>
          <w:sz w:val="28"/>
          <w:szCs w:val="28"/>
          <w:lang w:val="en-US"/>
        </w:rPr>
        <w:t>A</w:t>
      </w:r>
      <w:r w:rsidRPr="00B87476">
        <w:rPr>
          <w:rFonts w:ascii="Times New Roman" w:hAnsi="Times New Roman"/>
          <w:sz w:val="28"/>
          <w:szCs w:val="28"/>
          <w:lang w:val="en-US"/>
        </w:rPr>
        <w:t xml:space="preserve">nnex: </w:t>
      </w:r>
      <w:r>
        <w:rPr>
          <w:rFonts w:ascii="Times New Roman" w:hAnsi="Times New Roman"/>
          <w:sz w:val="28"/>
          <w:szCs w:val="28"/>
          <w:lang w:val="en-US"/>
        </w:rPr>
        <w:t>on</w:t>
      </w:r>
      <w:r w:rsidRPr="00B87476">
        <w:rPr>
          <w:rFonts w:ascii="Times New Roman" w:hAnsi="Times New Roman"/>
          <w:sz w:val="28"/>
          <w:szCs w:val="28"/>
          <w:lang w:val="en-US"/>
        </w:rPr>
        <w:t xml:space="preserve"> </w:t>
      </w:r>
      <w:r w:rsidR="00C67280">
        <w:rPr>
          <w:rFonts w:ascii="Times New Roman" w:hAnsi="Times New Roman"/>
          <w:sz w:val="28"/>
          <w:szCs w:val="28"/>
          <w:lang w:val="en-US"/>
        </w:rPr>
        <w:t>10</w:t>
      </w:r>
      <w:bookmarkStart w:id="0" w:name="_GoBack"/>
      <w:bookmarkEnd w:id="0"/>
      <w:r w:rsidR="007F468E" w:rsidRPr="00B87476">
        <w:rPr>
          <w:rFonts w:ascii="Times New Roman" w:hAnsi="Times New Roman"/>
          <w:sz w:val="28"/>
          <w:szCs w:val="28"/>
          <w:lang w:val="en-US"/>
        </w:rPr>
        <w:t xml:space="preserve"> pages</w:t>
      </w:r>
      <w:r w:rsidRPr="00B87476">
        <w:rPr>
          <w:rFonts w:ascii="Times New Roman" w:hAnsi="Times New Roman"/>
          <w:sz w:val="28"/>
          <w:szCs w:val="28"/>
          <w:lang w:val="en-US"/>
        </w:rPr>
        <w:t>.</w:t>
      </w:r>
    </w:p>
    <w:p w:rsidR="00DE0643" w:rsidRPr="00B87476" w:rsidRDefault="00DE0643" w:rsidP="00DE0643">
      <w:pPr>
        <w:spacing w:after="0"/>
        <w:jc w:val="both"/>
        <w:rPr>
          <w:rFonts w:ascii="Times New Roman" w:hAnsi="Times New Roman"/>
          <w:sz w:val="28"/>
          <w:szCs w:val="28"/>
          <w:lang w:val="en-US"/>
        </w:rPr>
      </w:pPr>
    </w:p>
    <w:p w:rsidR="00DE0643" w:rsidRPr="00B87476" w:rsidRDefault="00DE0643" w:rsidP="00DE0643">
      <w:pPr>
        <w:spacing w:after="0"/>
        <w:jc w:val="both"/>
        <w:rPr>
          <w:rFonts w:ascii="Times New Roman" w:hAnsi="Times New Roman"/>
          <w:sz w:val="28"/>
          <w:szCs w:val="28"/>
          <w:lang w:val="en-US"/>
        </w:rPr>
      </w:pPr>
    </w:p>
    <w:p w:rsidR="00DE0643" w:rsidRPr="00B87476" w:rsidRDefault="00DE0643" w:rsidP="00DE0643">
      <w:pPr>
        <w:spacing w:after="0"/>
        <w:jc w:val="both"/>
        <w:rPr>
          <w:rFonts w:ascii="Times New Roman" w:hAnsi="Times New Roman"/>
          <w:sz w:val="28"/>
          <w:szCs w:val="28"/>
          <w:lang w:val="en-US"/>
        </w:rPr>
      </w:pPr>
    </w:p>
    <w:p w:rsidR="00DE0643" w:rsidRPr="00B93FA1" w:rsidRDefault="00DE0643" w:rsidP="00DE0643">
      <w:pPr>
        <w:spacing w:after="0" w:line="240" w:lineRule="auto"/>
        <w:ind w:firstLine="708"/>
        <w:rPr>
          <w:rFonts w:ascii="Times New Roman" w:hAnsi="Times New Roman"/>
          <w:b/>
          <w:i/>
          <w:sz w:val="28"/>
          <w:lang w:val="en-US"/>
        </w:rPr>
      </w:pPr>
      <w:r w:rsidRPr="00B93FA1">
        <w:rPr>
          <w:rFonts w:ascii="Times New Roman" w:hAnsi="Times New Roman"/>
          <w:b/>
          <w:i/>
          <w:sz w:val="28"/>
          <w:lang w:val="en-US"/>
        </w:rPr>
        <w:t>Yours faithfully,</w:t>
      </w:r>
    </w:p>
    <w:p w:rsidR="00DE0643" w:rsidRPr="00B87476" w:rsidRDefault="00DE0643" w:rsidP="00DE0643">
      <w:pPr>
        <w:spacing w:after="0" w:line="240" w:lineRule="auto"/>
        <w:ind w:firstLine="708"/>
        <w:rPr>
          <w:rFonts w:ascii="Times New Roman" w:hAnsi="Times New Roman"/>
          <w:b/>
          <w:sz w:val="28"/>
          <w:lang w:val="en-US"/>
        </w:rPr>
      </w:pPr>
    </w:p>
    <w:p w:rsidR="00DE0643" w:rsidRPr="00B87476" w:rsidRDefault="00DE0643" w:rsidP="00CB697D">
      <w:pPr>
        <w:tabs>
          <w:tab w:val="left" w:pos="4962"/>
        </w:tabs>
        <w:spacing w:after="0"/>
        <w:rPr>
          <w:rFonts w:ascii="Times New Roman" w:hAnsi="Times New Roman"/>
          <w:b/>
          <w:sz w:val="28"/>
          <w:szCs w:val="28"/>
          <w:lang w:val="en-US"/>
        </w:rPr>
      </w:pPr>
      <w:r w:rsidRPr="00B93FA1">
        <w:rPr>
          <w:rFonts w:ascii="Times New Roman" w:hAnsi="Times New Roman"/>
          <w:b/>
          <w:sz w:val="28"/>
          <w:lang w:val="en-US"/>
        </w:rPr>
        <w:t>Commissioner</w:t>
      </w:r>
      <w:r w:rsidRPr="00B87476">
        <w:rPr>
          <w:rFonts w:ascii="Times New Roman" w:hAnsi="Times New Roman"/>
          <w:b/>
          <w:sz w:val="28"/>
          <w:lang w:val="en-US"/>
        </w:rPr>
        <w:t xml:space="preserve"> </w:t>
      </w:r>
      <w:r w:rsidRPr="00B87476">
        <w:rPr>
          <w:rFonts w:ascii="Times New Roman" w:hAnsi="Times New Roman"/>
          <w:b/>
          <w:sz w:val="28"/>
          <w:lang w:val="en-US"/>
        </w:rPr>
        <w:tab/>
      </w:r>
      <w:r w:rsidRPr="00B87476">
        <w:rPr>
          <w:rFonts w:ascii="Times New Roman" w:hAnsi="Times New Roman"/>
          <w:b/>
          <w:sz w:val="28"/>
          <w:lang w:val="en-US"/>
        </w:rPr>
        <w:tab/>
      </w:r>
      <w:r w:rsidRPr="00B87476">
        <w:rPr>
          <w:rFonts w:ascii="Times New Roman" w:hAnsi="Times New Roman"/>
          <w:b/>
          <w:sz w:val="28"/>
          <w:lang w:val="en-US"/>
        </w:rPr>
        <w:tab/>
      </w:r>
      <w:r w:rsidR="00CB697D">
        <w:rPr>
          <w:rFonts w:ascii="Times New Roman" w:hAnsi="Times New Roman"/>
          <w:b/>
          <w:sz w:val="28"/>
          <w:lang w:val="en-US"/>
        </w:rPr>
        <w:t xml:space="preserve">      </w:t>
      </w:r>
      <w:r w:rsidRPr="00B93FA1">
        <w:rPr>
          <w:rFonts w:ascii="Times New Roman" w:hAnsi="Times New Roman"/>
          <w:b/>
          <w:sz w:val="28"/>
          <w:lang w:val="en-US"/>
        </w:rPr>
        <w:t xml:space="preserve">       Liudmyla Denisova</w:t>
      </w:r>
    </w:p>
    <w:p w:rsidR="00DE0643" w:rsidRPr="007E287E" w:rsidRDefault="00DE0643" w:rsidP="00DE0643">
      <w:pPr>
        <w:spacing w:after="0"/>
        <w:ind w:left="5245" w:hanging="5245"/>
        <w:rPr>
          <w:rFonts w:ascii="Times New Roman" w:hAnsi="Times New Roman"/>
          <w:i/>
          <w:color w:val="000000" w:themeColor="text1"/>
          <w:sz w:val="24"/>
          <w:szCs w:val="24"/>
          <w:lang w:val="en-US" w:eastAsia="ru-RU"/>
        </w:rPr>
      </w:pPr>
    </w:p>
    <w:p w:rsidR="00DE0643" w:rsidRDefault="00DE0643" w:rsidP="00DE0643">
      <w:pPr>
        <w:spacing w:after="0"/>
        <w:ind w:left="5245" w:hanging="5245"/>
        <w:rPr>
          <w:rFonts w:ascii="Times New Roman" w:hAnsi="Times New Roman"/>
          <w:i/>
          <w:color w:val="000000" w:themeColor="text1"/>
          <w:sz w:val="24"/>
          <w:szCs w:val="24"/>
          <w:lang w:val="en-GB" w:eastAsia="ru-RU"/>
        </w:rPr>
      </w:pPr>
    </w:p>
    <w:p w:rsidR="00DE0643" w:rsidRDefault="00DE0643" w:rsidP="00DE0643">
      <w:pPr>
        <w:spacing w:after="0"/>
        <w:ind w:left="5245" w:hanging="5245"/>
        <w:rPr>
          <w:rFonts w:ascii="Times New Roman" w:hAnsi="Times New Roman"/>
          <w:i/>
          <w:color w:val="000000" w:themeColor="text1"/>
          <w:sz w:val="24"/>
          <w:szCs w:val="24"/>
          <w:lang w:val="en-GB" w:eastAsia="ru-RU"/>
        </w:rPr>
      </w:pPr>
    </w:p>
    <w:p w:rsidR="00DE0643" w:rsidRDefault="00DE0643" w:rsidP="00DE0643">
      <w:pPr>
        <w:spacing w:after="0"/>
        <w:ind w:left="5245" w:hanging="5245"/>
        <w:rPr>
          <w:rFonts w:ascii="Times New Roman" w:hAnsi="Times New Roman"/>
          <w:i/>
          <w:color w:val="000000" w:themeColor="text1"/>
          <w:sz w:val="24"/>
          <w:szCs w:val="24"/>
          <w:lang w:val="en-GB" w:eastAsia="ru-RU"/>
        </w:rPr>
      </w:pPr>
    </w:p>
    <w:p w:rsidR="00DE0643" w:rsidRDefault="00DE0643" w:rsidP="00DE0643">
      <w:pPr>
        <w:spacing w:after="0"/>
        <w:ind w:left="5245" w:hanging="5245"/>
        <w:rPr>
          <w:rFonts w:ascii="Times New Roman" w:hAnsi="Times New Roman"/>
          <w:i/>
          <w:color w:val="000000" w:themeColor="text1"/>
          <w:sz w:val="24"/>
          <w:szCs w:val="24"/>
          <w:lang w:val="en-GB" w:eastAsia="ru-RU"/>
        </w:rPr>
      </w:pPr>
    </w:p>
    <w:p w:rsidR="00DE0643" w:rsidRDefault="00DE0643" w:rsidP="00DE0643">
      <w:pPr>
        <w:spacing w:after="0"/>
        <w:ind w:left="5245" w:hanging="5245"/>
        <w:rPr>
          <w:rFonts w:ascii="Times New Roman" w:hAnsi="Times New Roman"/>
          <w:i/>
          <w:color w:val="000000" w:themeColor="text1"/>
          <w:sz w:val="24"/>
          <w:szCs w:val="24"/>
          <w:lang w:val="en-GB" w:eastAsia="ru-RU"/>
        </w:rPr>
      </w:pPr>
    </w:p>
    <w:p w:rsidR="00DE0643" w:rsidRDefault="00DE0643" w:rsidP="00DE0643">
      <w:pPr>
        <w:spacing w:after="0"/>
        <w:ind w:left="5245" w:hanging="5245"/>
        <w:rPr>
          <w:rFonts w:ascii="Times New Roman" w:hAnsi="Times New Roman"/>
          <w:i/>
          <w:color w:val="000000" w:themeColor="text1"/>
          <w:sz w:val="24"/>
          <w:szCs w:val="24"/>
          <w:lang w:val="en-GB" w:eastAsia="ru-RU"/>
        </w:rPr>
      </w:pPr>
    </w:p>
    <w:p w:rsidR="00DE0643" w:rsidRDefault="00DE0643" w:rsidP="00DE0643">
      <w:pPr>
        <w:spacing w:after="0"/>
        <w:ind w:left="5245" w:hanging="5245"/>
        <w:rPr>
          <w:rFonts w:ascii="Times New Roman" w:hAnsi="Times New Roman"/>
          <w:i/>
          <w:color w:val="000000" w:themeColor="text1"/>
          <w:sz w:val="24"/>
          <w:szCs w:val="24"/>
          <w:lang w:val="en-GB" w:eastAsia="ru-RU"/>
        </w:rPr>
      </w:pPr>
    </w:p>
    <w:p w:rsidR="00DE0643" w:rsidRDefault="00DE0643" w:rsidP="00DE0643">
      <w:pPr>
        <w:spacing w:after="0"/>
        <w:ind w:left="5245" w:hanging="5245"/>
        <w:rPr>
          <w:rFonts w:ascii="Times New Roman" w:hAnsi="Times New Roman"/>
          <w:i/>
          <w:color w:val="000000" w:themeColor="text1"/>
          <w:sz w:val="24"/>
          <w:szCs w:val="24"/>
          <w:lang w:val="en-GB" w:eastAsia="ru-RU"/>
        </w:rPr>
      </w:pPr>
    </w:p>
    <w:p w:rsidR="00DE0643" w:rsidRDefault="00DE0643" w:rsidP="00DE0643">
      <w:pPr>
        <w:spacing w:after="0"/>
        <w:ind w:left="5245" w:hanging="5245"/>
        <w:rPr>
          <w:rFonts w:ascii="Times New Roman" w:hAnsi="Times New Roman"/>
          <w:i/>
          <w:color w:val="000000" w:themeColor="text1"/>
          <w:sz w:val="24"/>
          <w:szCs w:val="24"/>
          <w:lang w:val="en-GB" w:eastAsia="ru-RU"/>
        </w:rPr>
      </w:pPr>
    </w:p>
    <w:p w:rsidR="007F468E" w:rsidRDefault="007F468E" w:rsidP="00DE0643">
      <w:pPr>
        <w:spacing w:after="0"/>
        <w:ind w:left="5245" w:hanging="5245"/>
        <w:rPr>
          <w:rFonts w:ascii="Times New Roman" w:hAnsi="Times New Roman"/>
          <w:i/>
          <w:color w:val="000000" w:themeColor="text1"/>
          <w:sz w:val="24"/>
          <w:szCs w:val="24"/>
          <w:lang w:val="en-GB" w:eastAsia="ru-RU"/>
        </w:rPr>
      </w:pPr>
    </w:p>
    <w:p w:rsidR="00C67280" w:rsidRDefault="00C67280" w:rsidP="00DE0643">
      <w:pPr>
        <w:spacing w:after="0"/>
        <w:ind w:left="5245" w:hanging="5245"/>
        <w:rPr>
          <w:rFonts w:ascii="Times New Roman" w:hAnsi="Times New Roman"/>
          <w:i/>
          <w:color w:val="000000" w:themeColor="text1"/>
          <w:sz w:val="24"/>
          <w:szCs w:val="24"/>
          <w:lang w:val="en-GB" w:eastAsia="ru-RU"/>
        </w:rPr>
      </w:pPr>
    </w:p>
    <w:p w:rsidR="00C67280" w:rsidRDefault="00C67280" w:rsidP="00DE0643">
      <w:pPr>
        <w:spacing w:after="0"/>
        <w:ind w:left="5245" w:hanging="5245"/>
        <w:rPr>
          <w:rFonts w:ascii="Times New Roman" w:hAnsi="Times New Roman"/>
          <w:i/>
          <w:color w:val="000000" w:themeColor="text1"/>
          <w:sz w:val="24"/>
          <w:szCs w:val="24"/>
          <w:lang w:val="en-GB" w:eastAsia="ru-RU"/>
        </w:rPr>
      </w:pPr>
    </w:p>
    <w:p w:rsidR="00C67280" w:rsidRPr="00C67280" w:rsidRDefault="00C67280" w:rsidP="00C67280">
      <w:pPr>
        <w:pStyle w:val="ab"/>
        <w:spacing w:before="120" w:after="120"/>
        <w:jc w:val="both"/>
        <w:rPr>
          <w:rFonts w:ascii="Times New Roman" w:hAnsi="Times New Roman" w:cs="Times New Roman"/>
          <w:b/>
          <w:i/>
          <w:lang w:val="en-GB"/>
        </w:rPr>
      </w:pPr>
      <w:r w:rsidRPr="00C67280">
        <w:rPr>
          <w:rFonts w:ascii="Times New Roman" w:hAnsi="Times New Roman" w:cs="Times New Roman"/>
          <w:b/>
          <w:i/>
          <w:lang w:val="en-GB"/>
        </w:rPr>
        <w:t>Annex to the letter No. ____________________of ____________</w:t>
      </w:r>
      <w:r w:rsidRPr="00C67280">
        <w:rPr>
          <w:rFonts w:ascii="Times New Roman" w:hAnsi="Times New Roman" w:cs="Times New Roman"/>
          <w:b/>
          <w:i/>
          <w:lang w:val="uk-UA"/>
        </w:rPr>
        <w:t>___________________________</w:t>
      </w:r>
      <w:r w:rsidRPr="00C67280">
        <w:rPr>
          <w:rFonts w:ascii="Times New Roman" w:hAnsi="Times New Roman" w:cs="Times New Roman"/>
          <w:b/>
          <w:i/>
          <w:lang w:val="en-GB"/>
        </w:rPr>
        <w:t xml:space="preserve">       </w:t>
      </w:r>
    </w:p>
    <w:p w:rsidR="00C67280" w:rsidRPr="00C67280" w:rsidRDefault="00C67280" w:rsidP="00C67280">
      <w:pPr>
        <w:pStyle w:val="ab"/>
        <w:spacing w:before="120" w:after="120"/>
        <w:jc w:val="both"/>
        <w:rPr>
          <w:rFonts w:ascii="Times New Roman" w:hAnsi="Times New Roman" w:cs="Times New Roman"/>
          <w:b/>
          <w:lang w:val="en-GB"/>
        </w:rPr>
      </w:pPr>
    </w:p>
    <w:p w:rsidR="00C67280" w:rsidRPr="00C67280" w:rsidRDefault="00C67280" w:rsidP="00C67280">
      <w:pPr>
        <w:pStyle w:val="ab"/>
        <w:spacing w:before="120" w:after="120"/>
        <w:jc w:val="center"/>
        <w:rPr>
          <w:rFonts w:ascii="Times New Roman" w:hAnsi="Times New Roman" w:cs="Times New Roman"/>
          <w:b/>
          <w:sz w:val="24"/>
          <w:szCs w:val="24"/>
          <w:lang w:val="en-GB"/>
        </w:rPr>
      </w:pPr>
      <w:r w:rsidRPr="00C67280">
        <w:rPr>
          <w:rFonts w:ascii="Times New Roman" w:hAnsi="Times New Roman" w:cs="Times New Roman"/>
          <w:b/>
          <w:sz w:val="24"/>
          <w:szCs w:val="24"/>
          <w:lang w:val="en-US"/>
        </w:rPr>
        <w:t>T</w:t>
      </w:r>
      <w:r w:rsidRPr="00C67280">
        <w:rPr>
          <w:rFonts w:ascii="Times New Roman" w:hAnsi="Times New Roman" w:cs="Times New Roman"/>
          <w:b/>
          <w:sz w:val="24"/>
          <w:szCs w:val="24"/>
          <w:lang w:val="en-GB"/>
        </w:rPr>
        <w:t>he Commissioner’s Parallel Report concerning the implementation of the International Covenant on Economic, Social and Cultural Rights by Ukraine</w:t>
      </w:r>
    </w:p>
    <w:p w:rsidR="00C67280" w:rsidRPr="00C67280" w:rsidRDefault="00C67280" w:rsidP="00C67280">
      <w:pPr>
        <w:pStyle w:val="ab"/>
        <w:spacing w:before="120" w:after="120"/>
        <w:jc w:val="both"/>
        <w:rPr>
          <w:rFonts w:ascii="Times New Roman" w:hAnsi="Times New Roman" w:cs="Times New Roman"/>
          <w:b/>
          <w:lang w:val="en-GB"/>
        </w:rPr>
      </w:pPr>
    </w:p>
    <w:p w:rsidR="00C67280" w:rsidRPr="00C67280" w:rsidRDefault="00C67280" w:rsidP="00C67280">
      <w:pPr>
        <w:pStyle w:val="ab"/>
        <w:spacing w:before="120" w:after="120"/>
        <w:jc w:val="both"/>
        <w:rPr>
          <w:rFonts w:ascii="Times New Roman" w:hAnsi="Times New Roman" w:cs="Times New Roman"/>
          <w:b/>
          <w:lang w:val="en-GB"/>
        </w:rPr>
      </w:pPr>
    </w:p>
    <w:p w:rsidR="00C67280" w:rsidRPr="00C67280" w:rsidRDefault="00C67280" w:rsidP="00C67280">
      <w:pPr>
        <w:pStyle w:val="ab"/>
        <w:spacing w:before="120" w:after="120"/>
        <w:jc w:val="both"/>
        <w:rPr>
          <w:rFonts w:ascii="Times New Roman" w:hAnsi="Times New Roman" w:cs="Times New Roman"/>
          <w:b/>
          <w:lang w:val="en-GB"/>
        </w:rPr>
      </w:pPr>
      <w:r w:rsidRPr="00C67280">
        <w:rPr>
          <w:rFonts w:ascii="Times New Roman" w:hAnsi="Times New Roman" w:cs="Times New Roman"/>
          <w:b/>
          <w:lang w:val="en-GB"/>
        </w:rPr>
        <w:t>Question 1</w:t>
      </w:r>
    </w:p>
    <w:p w:rsidR="00C67280" w:rsidRPr="00C67280" w:rsidRDefault="00C67280" w:rsidP="00C67280">
      <w:pPr>
        <w:spacing w:before="120" w:after="120"/>
        <w:jc w:val="both"/>
        <w:rPr>
          <w:rStyle w:val="tlid-translation"/>
          <w:rFonts w:ascii="Times New Roman" w:hAnsi="Times New Roman"/>
          <w:lang w:val="en-GB"/>
        </w:rPr>
      </w:pPr>
      <w:r w:rsidRPr="00C67280">
        <w:rPr>
          <w:rStyle w:val="tlid-translation"/>
          <w:rFonts w:ascii="Times New Roman" w:hAnsi="Times New Roman"/>
          <w:lang w:val="en-GB"/>
        </w:rPr>
        <w:t>1. Supporting host territorial communities in the process of integration of internally displaced persons (hereinafter – the IDPs) is a part of the Strategy of Integration of Internally Displaced Persons and implementation of long-term solutions for the IDPs until 2020. Progress against this goal is possible by providing support from the state budget to the local budgets of the host territorial communities, taking into account real number and needs of displaced persons living in these territorial communities.</w:t>
      </w:r>
    </w:p>
    <w:p w:rsidR="00C67280" w:rsidRPr="00C67280" w:rsidRDefault="00C67280" w:rsidP="00C67280">
      <w:pPr>
        <w:spacing w:before="120" w:after="120"/>
        <w:jc w:val="both"/>
        <w:rPr>
          <w:rStyle w:val="tlid-translation"/>
          <w:rFonts w:ascii="Times New Roman" w:hAnsi="Times New Roman"/>
          <w:b/>
          <w:bCs/>
          <w:lang w:val="en-GB"/>
        </w:rPr>
      </w:pPr>
    </w:p>
    <w:p w:rsidR="00C67280" w:rsidRPr="00C67280" w:rsidRDefault="00C67280" w:rsidP="00C67280">
      <w:pPr>
        <w:spacing w:before="120" w:after="120"/>
        <w:jc w:val="both"/>
        <w:rPr>
          <w:rStyle w:val="tlid-translation"/>
          <w:rFonts w:ascii="Times New Roman" w:hAnsi="Times New Roman"/>
          <w:b/>
          <w:bCs/>
          <w:lang w:val="en-GB"/>
        </w:rPr>
      </w:pPr>
      <w:r w:rsidRPr="00C67280">
        <w:rPr>
          <w:rStyle w:val="tlid-translation"/>
          <w:rFonts w:ascii="Times New Roman" w:hAnsi="Times New Roman"/>
          <w:b/>
          <w:bCs/>
          <w:lang w:val="en-GB"/>
        </w:rPr>
        <w:t>Question 2</w:t>
      </w:r>
    </w:p>
    <w:p w:rsidR="00C67280" w:rsidRPr="00C67280" w:rsidRDefault="00C67280" w:rsidP="00C67280">
      <w:pPr>
        <w:spacing w:before="120" w:after="120"/>
        <w:jc w:val="both"/>
        <w:rPr>
          <w:rStyle w:val="tlid-translation"/>
          <w:rFonts w:ascii="Times New Roman" w:hAnsi="Times New Roman"/>
          <w:lang w:val="en-GB"/>
        </w:rPr>
      </w:pPr>
      <w:r w:rsidRPr="00C67280">
        <w:rPr>
          <w:rStyle w:val="tlid-translation"/>
          <w:rFonts w:ascii="Times New Roman" w:hAnsi="Times New Roman"/>
          <w:lang w:val="en-GB"/>
        </w:rPr>
        <w:t>2. The Law of Ukraine “On Ensuring the Rights and Freedoms of Internally Displaced Persons” sets out a clear list of grounds under which a certificate on registration of internally displaced person may be revoked.</w:t>
      </w:r>
    </w:p>
    <w:p w:rsidR="00C67280" w:rsidRPr="00C67280" w:rsidRDefault="00C67280" w:rsidP="00C67280">
      <w:pPr>
        <w:spacing w:before="120" w:after="120"/>
        <w:jc w:val="both"/>
        <w:rPr>
          <w:rStyle w:val="tlid-translation"/>
          <w:rFonts w:ascii="Times New Roman" w:hAnsi="Times New Roman"/>
          <w:lang w:val="en-GB"/>
        </w:rPr>
      </w:pPr>
      <w:r w:rsidRPr="00C67280">
        <w:rPr>
          <w:rStyle w:val="tlid-translation"/>
          <w:rFonts w:ascii="Times New Roman" w:hAnsi="Times New Roman"/>
          <w:lang w:val="en-GB"/>
        </w:rPr>
        <w:t>3. However, it does not take into account the fact that if the person is a pensioner, the cancellation of the certificate entails the suspension of the pension. Such payments are renewed when an IDP certificate is renewed, but the amounts of pension arrears generated in the period when it was not paid are not reimbursed, as no respective procedure is there.</w:t>
      </w:r>
    </w:p>
    <w:p w:rsidR="00C67280" w:rsidRPr="00C67280" w:rsidRDefault="00C67280" w:rsidP="00C67280">
      <w:pPr>
        <w:spacing w:before="120" w:after="120"/>
        <w:jc w:val="both"/>
        <w:rPr>
          <w:rStyle w:val="tlid-translation"/>
          <w:rFonts w:ascii="Times New Roman" w:hAnsi="Times New Roman"/>
          <w:lang w:val="en-GB"/>
        </w:rPr>
      </w:pPr>
      <w:r w:rsidRPr="00C67280">
        <w:rPr>
          <w:rStyle w:val="tlid-translation"/>
          <w:rFonts w:ascii="Times New Roman" w:hAnsi="Times New Roman"/>
          <w:lang w:val="en-GB"/>
        </w:rPr>
        <w:t>4. The Government of Ukraine has adopted a decision on the application of restrictions to pensioners from non-Government-controlled territories. In particular, the Resolution of the Cabinet of Ministers of Ukraine #167 “On Amendments to Certain Resolutions of the Cabinet of Ministers of Ukraine” of 14.03.2016 entails that the pensions are only paid to current accounts at PJSC “State Savings Bank of Ukraine” (</w:t>
      </w:r>
      <w:r w:rsidRPr="00C67280">
        <w:rPr>
          <w:rStyle w:val="tlid-translation"/>
          <w:rFonts w:ascii="Times New Roman" w:hAnsi="Times New Roman"/>
          <w:i/>
          <w:iCs/>
          <w:lang w:val="en-GB"/>
        </w:rPr>
        <w:t>Oshchadbank</w:t>
      </w:r>
      <w:r w:rsidRPr="00C67280">
        <w:rPr>
          <w:rStyle w:val="tlid-translation"/>
          <w:rFonts w:ascii="Times New Roman" w:hAnsi="Times New Roman"/>
          <w:lang w:val="en-GB"/>
        </w:rPr>
        <w:t xml:space="preserve">); introduces electronic pension certificates for IDP pensioners; and mandates the IDPs to undergo physical identification in the branches of </w:t>
      </w:r>
      <w:r w:rsidRPr="00C67280">
        <w:rPr>
          <w:rStyle w:val="tlid-translation"/>
          <w:rFonts w:ascii="Times New Roman" w:hAnsi="Times New Roman"/>
          <w:i/>
          <w:iCs/>
          <w:lang w:val="en-GB"/>
        </w:rPr>
        <w:t>Oshchadbank.</w:t>
      </w:r>
    </w:p>
    <w:p w:rsidR="00C67280" w:rsidRPr="00C67280" w:rsidRDefault="00C67280" w:rsidP="00C67280">
      <w:pPr>
        <w:spacing w:before="120" w:after="120"/>
        <w:jc w:val="both"/>
        <w:rPr>
          <w:rStyle w:val="tlid-translation"/>
          <w:rFonts w:ascii="Times New Roman" w:hAnsi="Times New Roman"/>
          <w:lang w:val="en-GB"/>
        </w:rPr>
      </w:pPr>
      <w:r w:rsidRPr="00C67280">
        <w:rPr>
          <w:rStyle w:val="tlid-translation"/>
          <w:rFonts w:ascii="Times New Roman" w:hAnsi="Times New Roman"/>
          <w:lang w:val="en-GB"/>
        </w:rPr>
        <w:t>5. Another problem for IDP pensioners was the Government Resolution # 365 “Certain Issues of Making Social Payments to Internally Displaced Persons” of 8 June 2016 that introduced a mechanism for checking the IDPs who are recipients of pensions.</w:t>
      </w:r>
    </w:p>
    <w:p w:rsidR="00C67280" w:rsidRPr="00C67280" w:rsidRDefault="00C67280" w:rsidP="00C67280">
      <w:pPr>
        <w:spacing w:before="120" w:after="120"/>
        <w:jc w:val="both"/>
        <w:rPr>
          <w:rStyle w:val="tlid-translation"/>
          <w:rFonts w:ascii="Times New Roman" w:hAnsi="Times New Roman"/>
          <w:lang w:val="en-GB"/>
        </w:rPr>
      </w:pPr>
      <w:r w:rsidRPr="00C67280">
        <w:rPr>
          <w:rStyle w:val="tlid-translation"/>
          <w:rFonts w:ascii="Times New Roman" w:hAnsi="Times New Roman"/>
          <w:lang w:val="en-GB"/>
        </w:rPr>
        <w:t>6. During the period 2016-2019, this Resolution was subject to a number of amendments that, apparently, were not aimed at finding the solution, and therefore, the decision of Kyiv District Administrative Court of 29.06.2017 in case №826/12123/16 – which was subsequently upheld by Kyiv Administrative Court of Appeals – ordered that the items 7, 8, 9, 13 of the Procedure for Assigning/Renewing Social Payments to Internally Displaced Persons and the Procedure for Controlling the Social Payments to Internally Displaced Persons at their Actual Place of Residence/Stay, approved by this Resolution and paragraph 10 of item 1 of the CMU Resolution #637 “On Making Social Payments to Internally Displaced Persons” of 05.11.2014 are invalid.</w:t>
      </w:r>
    </w:p>
    <w:p w:rsidR="00C67280" w:rsidRPr="00C67280" w:rsidRDefault="00C67280" w:rsidP="00C67280">
      <w:pPr>
        <w:spacing w:before="120" w:after="120"/>
        <w:jc w:val="both"/>
        <w:rPr>
          <w:rStyle w:val="tlid-translation"/>
          <w:rFonts w:ascii="Times New Roman" w:hAnsi="Times New Roman"/>
          <w:lang w:val="en-GB"/>
        </w:rPr>
      </w:pPr>
      <w:r w:rsidRPr="00C67280">
        <w:rPr>
          <w:rStyle w:val="tlid-translation"/>
          <w:rFonts w:ascii="Times New Roman" w:hAnsi="Times New Roman"/>
          <w:lang w:val="en-GB"/>
        </w:rPr>
        <w:t xml:space="preserve">7. As the Government adopted the Resolution #788 "On Amendments to Certain Resolutions of the Cabinet of Ministers of Ukraine” of 21.08.2019 that </w:t>
      </w:r>
      <w:r w:rsidRPr="00C67280">
        <w:rPr>
          <w:rStyle w:val="tlid-translation"/>
          <w:rFonts w:ascii="Times New Roman" w:hAnsi="Times New Roman"/>
          <w:i/>
          <w:iCs/>
          <w:lang w:val="en-GB"/>
        </w:rPr>
        <w:t>inter alia</w:t>
      </w:r>
      <w:r w:rsidRPr="00C67280">
        <w:rPr>
          <w:rStyle w:val="tlid-translation"/>
          <w:rFonts w:ascii="Times New Roman" w:hAnsi="Times New Roman"/>
          <w:lang w:val="en-GB"/>
        </w:rPr>
        <w:t xml:space="preserve"> amended the CMU Resolution #637 “On Making Social Payments to Internally Displaced Persons” of 05.11.2014, the situation has deteriorated significantly. These changes stipulate: “Amounts of pensions that are not paid until one month before their renewal shall be accounted for by the authority that makes pension payments and are paid through a special procedure, determined by the Cabinet of Ministers of Ukraine." This procedure has not been developed yet.</w:t>
      </w:r>
    </w:p>
    <w:p w:rsidR="00C67280" w:rsidRPr="00C67280" w:rsidRDefault="00C67280" w:rsidP="00C67280">
      <w:pPr>
        <w:spacing w:before="120" w:after="120"/>
        <w:jc w:val="both"/>
        <w:rPr>
          <w:rStyle w:val="tlid-translation"/>
          <w:rFonts w:ascii="Times New Roman" w:hAnsi="Times New Roman"/>
          <w:lang w:val="en-GB"/>
        </w:rPr>
      </w:pPr>
      <w:r w:rsidRPr="00C67280">
        <w:rPr>
          <w:rStyle w:val="tlid-translation"/>
          <w:rFonts w:ascii="Times New Roman" w:hAnsi="Times New Roman"/>
          <w:lang w:val="en-GB"/>
        </w:rPr>
        <w:lastRenderedPageBreak/>
        <w:t xml:space="preserve">8. In November 2019, the Government approved the Procedure for using the funds provided in the state budget for granting preferential long-term state credit to internally displaced persons, participants of Anti-Terrorist Operation (ATO) and/or Operation of United Forces (OUF) for the acquisition of housing (Resolution of the Cabinet of Ministers of Ukraine #980 of 27.11.2019). A total of UAH 200 Million is allocated to implement it, which is split in equal parts for the ATO/OUF participants and the IDPs. Applications for these loans were submitted during 3-5 December 2019. A total of 9,600 applications were submitted by the ATO/OUF participants and the IDPs. Most applications for 20-year loans with 3% interest were received from Kyiv (over 3,500 applications. Available funding is not enough to meet the expressed needs. Therefore, this initiative seems to be ineffective. </w:t>
      </w:r>
    </w:p>
    <w:p w:rsidR="00C67280" w:rsidRPr="00C67280" w:rsidRDefault="00C67280" w:rsidP="00C67280">
      <w:pPr>
        <w:spacing w:before="120" w:after="120"/>
        <w:jc w:val="both"/>
        <w:rPr>
          <w:rStyle w:val="tlid-translation"/>
          <w:rFonts w:ascii="Times New Roman" w:hAnsi="Times New Roman"/>
          <w:lang w:val="en-GB"/>
        </w:rPr>
      </w:pPr>
    </w:p>
    <w:p w:rsidR="00C67280" w:rsidRPr="00C67280" w:rsidRDefault="00C67280" w:rsidP="00C67280">
      <w:pPr>
        <w:spacing w:before="120" w:after="120"/>
        <w:jc w:val="both"/>
        <w:rPr>
          <w:rStyle w:val="tlid-translation"/>
          <w:rFonts w:ascii="Times New Roman" w:hAnsi="Times New Roman"/>
          <w:b/>
          <w:bCs/>
          <w:lang w:val="en-GB"/>
        </w:rPr>
      </w:pPr>
      <w:r w:rsidRPr="00C67280">
        <w:rPr>
          <w:rStyle w:val="tlid-translation"/>
          <w:rFonts w:ascii="Times New Roman" w:hAnsi="Times New Roman"/>
          <w:b/>
          <w:bCs/>
          <w:lang w:val="en-GB"/>
        </w:rPr>
        <w:t>Question 3</w:t>
      </w:r>
    </w:p>
    <w:p w:rsidR="00C67280" w:rsidRPr="00C67280" w:rsidRDefault="00C67280" w:rsidP="00C67280">
      <w:pPr>
        <w:spacing w:before="120" w:after="120"/>
        <w:jc w:val="both"/>
        <w:rPr>
          <w:rStyle w:val="tlid-translation"/>
          <w:rFonts w:ascii="Times New Roman" w:hAnsi="Times New Roman"/>
          <w:lang w:val="en-GB"/>
        </w:rPr>
      </w:pPr>
      <w:r w:rsidRPr="00C67280">
        <w:rPr>
          <w:rStyle w:val="tlid-translation"/>
          <w:rFonts w:ascii="Times New Roman" w:hAnsi="Times New Roman"/>
          <w:lang w:val="en-GB"/>
        </w:rPr>
        <w:t>9. The number of children born on the temporarily occupied territory of the Autonomous Republic of Crimea after 2014 who received birth certificate from Ukrainian Government is critically small, less than 14%.</w:t>
      </w:r>
    </w:p>
    <w:p w:rsidR="00C67280" w:rsidRPr="00C67280" w:rsidRDefault="00C67280" w:rsidP="00C67280">
      <w:pPr>
        <w:spacing w:before="120" w:after="120"/>
        <w:jc w:val="both"/>
        <w:rPr>
          <w:rStyle w:val="tlid-translation"/>
          <w:rFonts w:ascii="Times New Roman" w:hAnsi="Times New Roman"/>
          <w:lang w:val="en-GB"/>
        </w:rPr>
      </w:pPr>
      <w:r w:rsidRPr="00C67280">
        <w:rPr>
          <w:rStyle w:val="tlid-translation"/>
          <w:rFonts w:ascii="Times New Roman" w:hAnsi="Times New Roman"/>
          <w:lang w:val="en-GB"/>
        </w:rPr>
        <w:t>10. As of December 2019, Ukraine continues to apply exclusively the judicial method of registering a child born on the non-Government-controlled and temporarily occupied territories. It complicates the birth registration procedure.</w:t>
      </w:r>
    </w:p>
    <w:p w:rsidR="00C67280" w:rsidRPr="00C67280" w:rsidRDefault="00C67280" w:rsidP="00C67280">
      <w:pPr>
        <w:spacing w:before="120" w:after="120"/>
        <w:jc w:val="both"/>
        <w:rPr>
          <w:rStyle w:val="tlid-translation"/>
          <w:rFonts w:ascii="Times New Roman" w:hAnsi="Times New Roman"/>
          <w:lang w:val="en-GB"/>
        </w:rPr>
      </w:pPr>
      <w:r w:rsidRPr="00C67280">
        <w:rPr>
          <w:rStyle w:val="tlid-translation"/>
          <w:rFonts w:ascii="Times New Roman" w:hAnsi="Times New Roman"/>
          <w:lang w:val="en-GB"/>
        </w:rPr>
        <w:t>11. At the same time, it should be noted that the Government of Ukraine has drafted a law aimed at introducing an administrative procedure for state registration of birth and death on the temporarily occupied territories of Ukraine.</w:t>
      </w:r>
    </w:p>
    <w:p w:rsidR="00C67280" w:rsidRPr="00C67280" w:rsidRDefault="00C67280" w:rsidP="00C67280">
      <w:pPr>
        <w:spacing w:before="120" w:after="120"/>
        <w:jc w:val="both"/>
        <w:rPr>
          <w:rStyle w:val="tlid-translation"/>
          <w:rFonts w:ascii="Times New Roman" w:hAnsi="Times New Roman"/>
          <w:lang w:val="en-GB"/>
        </w:rPr>
      </w:pPr>
      <w:r w:rsidRPr="00C67280">
        <w:rPr>
          <w:rStyle w:val="tlid-translation"/>
          <w:rFonts w:ascii="Times New Roman" w:hAnsi="Times New Roman"/>
          <w:lang w:val="en-GB"/>
        </w:rPr>
        <w:t>12. However, the draft law proposes that the state registration of the birth of a child on the temporarily occupied territories of Ukraine can only be performed at the written request of the parents or one of the parents.</w:t>
      </w:r>
    </w:p>
    <w:p w:rsidR="00C67280" w:rsidRPr="00C67280" w:rsidRDefault="00C67280" w:rsidP="00C67280">
      <w:pPr>
        <w:spacing w:before="120" w:after="120"/>
        <w:jc w:val="both"/>
        <w:rPr>
          <w:rStyle w:val="tlid-translation"/>
          <w:rFonts w:ascii="Times New Roman" w:hAnsi="Times New Roman"/>
          <w:lang w:val="en-GB"/>
        </w:rPr>
      </w:pPr>
      <w:r w:rsidRPr="00C67280">
        <w:rPr>
          <w:rStyle w:val="tlid-translation"/>
          <w:rFonts w:ascii="Times New Roman" w:hAnsi="Times New Roman"/>
          <w:lang w:val="en-GB"/>
        </w:rPr>
        <w:t>13. The Ukrainian Parliament Commissioner for Human Rights (hereinafter - the Commissioner) stated that since these are only the parents who can apply for state registration of the birth, many children remain not registered and, therefore, not accounted in Ukraine’s records, because parents of many children due to objective or personal reasons do not cross the contact line.</w:t>
      </w:r>
    </w:p>
    <w:p w:rsidR="00C67280" w:rsidRPr="00C67280" w:rsidRDefault="00C67280" w:rsidP="00C67280">
      <w:pPr>
        <w:spacing w:before="120" w:after="120"/>
        <w:jc w:val="both"/>
        <w:rPr>
          <w:rStyle w:val="tlid-translation"/>
          <w:rFonts w:ascii="Times New Roman" w:hAnsi="Times New Roman"/>
          <w:lang w:val="en-GB"/>
        </w:rPr>
      </w:pPr>
      <w:r w:rsidRPr="00C67280">
        <w:rPr>
          <w:rStyle w:val="tlid-translation"/>
          <w:rFonts w:ascii="Times New Roman" w:hAnsi="Times New Roman"/>
          <w:lang w:val="en-GB"/>
        </w:rPr>
        <w:t>14. Lack of a mechanism for paying pensions to residents of the temporarily occupied territories of Donetsk and Luhansk oblasts creates discrimination against them.</w:t>
      </w:r>
    </w:p>
    <w:p w:rsidR="00C67280" w:rsidRPr="00C67280" w:rsidRDefault="00C67280" w:rsidP="00C67280">
      <w:pPr>
        <w:spacing w:before="120" w:after="120"/>
        <w:jc w:val="both"/>
        <w:rPr>
          <w:rStyle w:val="tlid-translation"/>
          <w:rFonts w:ascii="Times New Roman" w:hAnsi="Times New Roman"/>
          <w:lang w:val="en-GB"/>
        </w:rPr>
      </w:pPr>
      <w:r w:rsidRPr="00C67280">
        <w:rPr>
          <w:rStyle w:val="tlid-translation"/>
          <w:rFonts w:ascii="Times New Roman" w:hAnsi="Times New Roman"/>
          <w:lang w:val="en-GB"/>
        </w:rPr>
        <w:t>15. Adoption of the draft law 2083-d, registered with the Verkhovna Rada of Ukraine on 26 November 2019 – that has been finalized in the light of the Commissioner’s remarks – will facilitate solution to this problem. To ensure implementation of the law, the Cabinet of Ministers of Ukraine should adopt the respective legal acts.</w:t>
      </w:r>
    </w:p>
    <w:p w:rsidR="00C67280" w:rsidRPr="00C67280" w:rsidRDefault="00C67280" w:rsidP="00C67280">
      <w:pPr>
        <w:spacing w:before="120" w:after="120"/>
        <w:jc w:val="both"/>
        <w:rPr>
          <w:rFonts w:ascii="Times New Roman" w:hAnsi="Times New Roman"/>
          <w:lang w:val="en-GB"/>
        </w:rPr>
      </w:pPr>
    </w:p>
    <w:p w:rsidR="00C67280" w:rsidRPr="00C67280" w:rsidRDefault="00C67280" w:rsidP="00C67280">
      <w:pPr>
        <w:spacing w:before="120" w:after="120"/>
        <w:jc w:val="both"/>
        <w:rPr>
          <w:rStyle w:val="tlid-translation"/>
          <w:rFonts w:ascii="Times New Roman" w:hAnsi="Times New Roman"/>
          <w:b/>
          <w:bCs/>
          <w:lang w:val="en-GB"/>
        </w:rPr>
      </w:pPr>
      <w:r w:rsidRPr="00C67280">
        <w:rPr>
          <w:rStyle w:val="tlid-translation"/>
          <w:rFonts w:ascii="Times New Roman" w:hAnsi="Times New Roman"/>
          <w:b/>
          <w:bCs/>
          <w:lang w:val="en-GB"/>
        </w:rPr>
        <w:t>Question 5</w:t>
      </w:r>
    </w:p>
    <w:p w:rsidR="00C67280" w:rsidRPr="00C67280" w:rsidRDefault="00C67280" w:rsidP="00C67280">
      <w:pPr>
        <w:spacing w:before="120" w:after="120"/>
        <w:jc w:val="both"/>
        <w:rPr>
          <w:rStyle w:val="tlid-translation"/>
          <w:rFonts w:ascii="Times New Roman" w:hAnsi="Times New Roman"/>
          <w:lang w:val="en-GB"/>
        </w:rPr>
      </w:pPr>
      <w:r w:rsidRPr="00C67280">
        <w:rPr>
          <w:rStyle w:val="tlid-translation"/>
          <w:rFonts w:ascii="Times New Roman" w:hAnsi="Times New Roman"/>
          <w:lang w:val="en-GB"/>
        </w:rPr>
        <w:t>16. On 12 December 2019, the VRU approved the Law of Ukraine “On Amendments to the Law of Ukraine On Temporary Measures for the Period of Anti-Terrorist Operation (Concerning the Particularities of Issuing Identity Documents and Documents Confirming Citizenship of Ukraine).”</w:t>
      </w:r>
    </w:p>
    <w:p w:rsidR="00C67280" w:rsidRPr="00C67280" w:rsidRDefault="00C67280" w:rsidP="00C67280">
      <w:pPr>
        <w:spacing w:before="120" w:after="120"/>
        <w:jc w:val="both"/>
        <w:rPr>
          <w:rStyle w:val="tlid-translation"/>
          <w:rFonts w:ascii="Times New Roman" w:hAnsi="Times New Roman"/>
          <w:lang w:val="en-GB"/>
        </w:rPr>
      </w:pPr>
      <w:r w:rsidRPr="00C67280">
        <w:rPr>
          <w:rStyle w:val="tlid-translation"/>
          <w:rFonts w:ascii="Times New Roman" w:hAnsi="Times New Roman"/>
          <w:lang w:val="en-GB"/>
        </w:rPr>
        <w:t>17. The aim of this Law is to regulate the procedure of issuing identity documents and documents confirming citizenship of Ukraine to citizens who reside in the ATO/OUF area or fled from it during the ATO/OUF. Such documents will be issued at the place of actual residence.</w:t>
      </w:r>
    </w:p>
    <w:p w:rsidR="00C67280" w:rsidRPr="00C67280" w:rsidRDefault="00C67280" w:rsidP="00C67280">
      <w:pPr>
        <w:spacing w:before="120" w:after="120"/>
        <w:jc w:val="both"/>
        <w:rPr>
          <w:rStyle w:val="tlid-translation"/>
          <w:rFonts w:ascii="Times New Roman" w:hAnsi="Times New Roman"/>
          <w:lang w:val="en-GB"/>
        </w:rPr>
      </w:pPr>
      <w:r w:rsidRPr="00C67280">
        <w:rPr>
          <w:rStyle w:val="tlid-translation"/>
          <w:rFonts w:ascii="Times New Roman" w:hAnsi="Times New Roman"/>
          <w:lang w:val="en-GB"/>
        </w:rPr>
        <w:t>18. A key problem that hinders the realization of fundamental rights and freedoms of the Roma is that Roma face difficult access to obtaining identity documents.</w:t>
      </w:r>
    </w:p>
    <w:p w:rsidR="00C67280" w:rsidRPr="00C67280" w:rsidRDefault="00C67280" w:rsidP="00C67280">
      <w:pPr>
        <w:spacing w:before="120" w:after="120"/>
        <w:jc w:val="both"/>
        <w:rPr>
          <w:rStyle w:val="tlid-translation"/>
          <w:rFonts w:ascii="Times New Roman" w:hAnsi="Times New Roman"/>
          <w:lang w:val="en-GB"/>
        </w:rPr>
      </w:pPr>
      <w:r w:rsidRPr="00C67280">
        <w:rPr>
          <w:rStyle w:val="tlid-translation"/>
          <w:rFonts w:ascii="Times New Roman" w:hAnsi="Times New Roman"/>
          <w:lang w:val="en-GB"/>
        </w:rPr>
        <w:lastRenderedPageBreak/>
        <w:t>19. To introduce the procedure for recognizing a stateless person, on 5 December 2019 the VRU adopted the draft Law of Ukraine “On Amendments to Certain Legislative Acts on Recognizing a Stateless Person” (draft law # 2335 as of 29.10.2019) as a basis and urged to speed up finalization of the text of the draft law.</w:t>
      </w:r>
    </w:p>
    <w:p w:rsidR="00C67280" w:rsidRPr="00C67280" w:rsidRDefault="00C67280" w:rsidP="00C67280">
      <w:pPr>
        <w:spacing w:before="120" w:after="120"/>
        <w:jc w:val="both"/>
        <w:rPr>
          <w:rStyle w:val="tlid-translation"/>
          <w:rFonts w:ascii="Times New Roman" w:hAnsi="Times New Roman"/>
          <w:lang w:val="en-GB"/>
        </w:rPr>
      </w:pPr>
    </w:p>
    <w:p w:rsidR="00C67280" w:rsidRPr="00C67280" w:rsidRDefault="00C67280" w:rsidP="00C67280">
      <w:pPr>
        <w:spacing w:before="120" w:after="120"/>
        <w:jc w:val="both"/>
        <w:rPr>
          <w:rStyle w:val="tlid-translation"/>
          <w:rFonts w:ascii="Times New Roman" w:hAnsi="Times New Roman"/>
          <w:b/>
          <w:bCs/>
          <w:lang w:val="en-GB"/>
        </w:rPr>
      </w:pPr>
      <w:r w:rsidRPr="00C67280">
        <w:rPr>
          <w:rStyle w:val="tlid-translation"/>
          <w:rFonts w:ascii="Times New Roman" w:hAnsi="Times New Roman"/>
          <w:b/>
          <w:bCs/>
          <w:lang w:val="en-GB"/>
        </w:rPr>
        <w:t>Question 6</w:t>
      </w:r>
    </w:p>
    <w:p w:rsidR="00C67280" w:rsidRPr="00C67280" w:rsidRDefault="00C67280" w:rsidP="00C67280">
      <w:pPr>
        <w:spacing w:before="120" w:after="120"/>
        <w:jc w:val="both"/>
        <w:rPr>
          <w:rStyle w:val="tlid-translation"/>
          <w:rFonts w:ascii="Times New Roman" w:hAnsi="Times New Roman"/>
          <w:lang w:val="en-GB"/>
        </w:rPr>
      </w:pPr>
      <w:r w:rsidRPr="00C67280">
        <w:rPr>
          <w:rStyle w:val="tlid-translation"/>
          <w:rFonts w:ascii="Times New Roman" w:hAnsi="Times New Roman"/>
          <w:lang w:val="en-GB"/>
        </w:rPr>
        <w:t>20. Significant changes to the principles of collecting single contribution to compulsory state social insurance fund and widening the range of persons covered by it during 2016-2017 has increased the financial burden on individual entrepreneurs. In particular, the adoption of two Laws of Ukraine (# 1774 of 6.12.2016 and # 2148 of 3.10.2017) abolished the right to voluntary payment of contributions in case of no income and introduced compulsory accrual and payment of the single contribution in the amount of the minimum insurance premium irrespective of whether an entrepreneur conducted business activities of not – including those who work seasonally or irregularly, as well as in case of annual leave of health issues.</w:t>
      </w:r>
    </w:p>
    <w:p w:rsidR="00C67280" w:rsidRPr="00C67280" w:rsidRDefault="00C67280" w:rsidP="00C67280">
      <w:pPr>
        <w:spacing w:before="120" w:after="120"/>
        <w:jc w:val="both"/>
        <w:rPr>
          <w:rStyle w:val="tlid-translation"/>
          <w:rFonts w:ascii="Times New Roman" w:hAnsi="Times New Roman"/>
          <w:lang w:val="en-GB"/>
        </w:rPr>
      </w:pPr>
      <w:r w:rsidRPr="00C67280">
        <w:rPr>
          <w:rStyle w:val="tlid-translation"/>
          <w:rFonts w:ascii="Times New Roman" w:hAnsi="Times New Roman"/>
          <w:lang w:val="en-GB"/>
        </w:rPr>
        <w:t xml:space="preserve">21. On 18 November 2019, the Commissioner submitted to the Constitutional Court of Ukraine a constitutional submission on recognizing the legal framework on single contribution as not being in conformity with the Constitution of Ukraine. The Constitutional Court of Ukraine opened the constitutional proceedings in the case and prepares the case for consideration at the plenary session of the Grand Chamber of the Court. The respective materials can be found at: </w:t>
      </w:r>
      <w:hyperlink r:id="rId7" w:history="1">
        <w:r w:rsidRPr="00C67280">
          <w:rPr>
            <w:rStyle w:val="ac"/>
            <w:rFonts w:ascii="Times New Roman" w:hAnsi="Times New Roman"/>
            <w:lang w:val="en-GB"/>
          </w:rPr>
          <w:t>http://www.ccu.gov.ua/novyna/konstytuciyni-podannya-stanom-na-20-grudnya-2019-roku.</w:t>
        </w:r>
      </w:hyperlink>
      <w:r w:rsidRPr="00C67280">
        <w:rPr>
          <w:rStyle w:val="tlid-translation"/>
          <w:rFonts w:ascii="Times New Roman" w:hAnsi="Times New Roman"/>
          <w:lang w:val="en-GB"/>
        </w:rPr>
        <w:t xml:space="preserve"> </w:t>
      </w:r>
      <w:r w:rsidRPr="00C67280">
        <w:rPr>
          <w:rFonts w:ascii="Times New Roman" w:hAnsi="Times New Roman"/>
          <w:lang w:val="en-GB"/>
        </w:rPr>
        <w:br/>
      </w:r>
      <w:r w:rsidRPr="00C67280">
        <w:rPr>
          <w:rFonts w:ascii="Times New Roman" w:hAnsi="Times New Roman"/>
          <w:lang w:val="en-GB"/>
        </w:rPr>
        <w:br/>
      </w:r>
      <w:r w:rsidRPr="00C67280">
        <w:rPr>
          <w:rStyle w:val="tlid-translation"/>
          <w:rFonts w:ascii="Times New Roman" w:hAnsi="Times New Roman"/>
          <w:b/>
          <w:bCs/>
          <w:lang w:val="en-GB"/>
        </w:rPr>
        <w:t>Question 7</w:t>
      </w:r>
    </w:p>
    <w:p w:rsidR="00C67280" w:rsidRPr="00C67280" w:rsidRDefault="00C67280" w:rsidP="00C67280">
      <w:pPr>
        <w:spacing w:before="120" w:after="120"/>
        <w:jc w:val="both"/>
        <w:rPr>
          <w:rStyle w:val="tlid-translation"/>
          <w:rFonts w:ascii="Times New Roman" w:hAnsi="Times New Roman"/>
          <w:lang w:val="en-GB"/>
        </w:rPr>
      </w:pPr>
      <w:r w:rsidRPr="00C67280">
        <w:rPr>
          <w:rStyle w:val="tlid-translation"/>
          <w:rFonts w:ascii="Times New Roman" w:hAnsi="Times New Roman"/>
          <w:lang w:val="en-GB"/>
        </w:rPr>
        <w:t>22. National policy development in the economic, social and cultural areas is based on the available financial resources, which are first of all directed to the sector of defence and overcoming the consequences of the armed conflict in eastern Ukraine.</w:t>
      </w:r>
    </w:p>
    <w:p w:rsidR="00C67280" w:rsidRPr="00C67280" w:rsidRDefault="00C67280" w:rsidP="00C67280">
      <w:pPr>
        <w:spacing w:before="120" w:after="120"/>
        <w:jc w:val="both"/>
        <w:rPr>
          <w:rStyle w:val="tlid-translation"/>
          <w:rFonts w:ascii="Times New Roman" w:hAnsi="Times New Roman"/>
          <w:lang w:val="en-GB"/>
        </w:rPr>
      </w:pPr>
      <w:r w:rsidRPr="00C67280">
        <w:rPr>
          <w:rStyle w:val="tlid-translation"/>
          <w:rFonts w:ascii="Times New Roman" w:hAnsi="Times New Roman"/>
          <w:lang w:val="en-GB"/>
        </w:rPr>
        <w:t>23. Violations of the rights of citizens of Ukraine to pension are observed when they leave for permanent residence abroad, if Ukraine has not concluded an international agreement on pension security with the respective country.</w:t>
      </w:r>
    </w:p>
    <w:p w:rsidR="00C67280" w:rsidRPr="00C67280" w:rsidRDefault="00C67280" w:rsidP="00C67280">
      <w:pPr>
        <w:spacing w:before="120" w:after="120"/>
        <w:jc w:val="both"/>
        <w:rPr>
          <w:rStyle w:val="tlid-translation"/>
          <w:rFonts w:ascii="Times New Roman" w:hAnsi="Times New Roman"/>
          <w:lang w:val="en-GB"/>
        </w:rPr>
      </w:pPr>
      <w:r w:rsidRPr="00C67280">
        <w:rPr>
          <w:rStyle w:val="tlid-translation"/>
          <w:rFonts w:ascii="Times New Roman" w:hAnsi="Times New Roman"/>
          <w:lang w:val="en-GB"/>
        </w:rPr>
        <w:t>24. In terms of decentralization reform implemented by the Government of Ukraine, the Commissioner’s Office monitors observance of the constitutional rights (in particular, to social protection, work, health, education and culture) in the context of this reform. The findings of monitoring showed that the enjoyment of the rights guaranteed at the national level depends on how financially viable local community is.</w:t>
      </w:r>
    </w:p>
    <w:p w:rsidR="00C67280" w:rsidRPr="00C67280" w:rsidRDefault="00C67280" w:rsidP="00C67280">
      <w:pPr>
        <w:pStyle w:val="aa"/>
        <w:spacing w:before="120" w:beforeAutospacing="0" w:after="120" w:afterAutospacing="0"/>
        <w:jc w:val="both"/>
        <w:rPr>
          <w:rStyle w:val="tlid-translation"/>
          <w:sz w:val="22"/>
          <w:szCs w:val="22"/>
          <w:lang w:val="en-GB"/>
        </w:rPr>
      </w:pPr>
      <w:r w:rsidRPr="00C67280">
        <w:rPr>
          <w:rStyle w:val="tlid-translation"/>
          <w:sz w:val="22"/>
          <w:szCs w:val="22"/>
          <w:lang w:val="en-GB"/>
        </w:rPr>
        <w:t>25. Many families are unable to fully pay for housing and utilities, with the utility rates constantly rising to meet the relevant IMF requirements. The introduction of the housing subsidy programme has somewhat offset the negative impact of such growth, but the legislation on the government subsidies has been regularly amended. It gradually complicates the procedure to receive the subsidies and narrows the range of individuals who can actually benefit from it.</w:t>
      </w:r>
    </w:p>
    <w:p w:rsidR="00C67280" w:rsidRPr="00C67280" w:rsidRDefault="00C67280" w:rsidP="00C67280">
      <w:pPr>
        <w:pStyle w:val="aa"/>
        <w:spacing w:before="120" w:beforeAutospacing="0" w:after="120" w:afterAutospacing="0"/>
        <w:jc w:val="both"/>
        <w:rPr>
          <w:rStyle w:val="tlid-translation"/>
          <w:b/>
          <w:bCs/>
          <w:sz w:val="22"/>
          <w:szCs w:val="22"/>
          <w:lang w:val="en-GB"/>
        </w:rPr>
      </w:pPr>
      <w:r w:rsidRPr="00C67280">
        <w:rPr>
          <w:sz w:val="22"/>
          <w:szCs w:val="22"/>
          <w:lang w:val="en-GB"/>
        </w:rPr>
        <w:br/>
      </w:r>
      <w:r w:rsidRPr="00C67280">
        <w:rPr>
          <w:rStyle w:val="tlid-translation"/>
          <w:b/>
          <w:bCs/>
          <w:sz w:val="22"/>
          <w:szCs w:val="22"/>
          <w:lang w:val="en-GB"/>
        </w:rPr>
        <w:t>Question 9</w:t>
      </w:r>
    </w:p>
    <w:p w:rsidR="00C67280" w:rsidRPr="00C67280" w:rsidRDefault="00C67280" w:rsidP="00C67280">
      <w:pPr>
        <w:pStyle w:val="aa"/>
        <w:spacing w:before="120" w:beforeAutospacing="0" w:after="120" w:afterAutospacing="0"/>
        <w:jc w:val="both"/>
        <w:rPr>
          <w:rStyle w:val="tlid-translation"/>
          <w:sz w:val="22"/>
          <w:szCs w:val="22"/>
          <w:lang w:val="en-GB"/>
        </w:rPr>
      </w:pPr>
      <w:r w:rsidRPr="00C67280">
        <w:rPr>
          <w:rStyle w:val="tlid-translation"/>
          <w:sz w:val="22"/>
          <w:szCs w:val="22"/>
          <w:lang w:val="en-GB"/>
        </w:rPr>
        <w:t>26. As the Law of Ukraine “On the Principles of Prevention and Combating Discrimination in Ukraine” entered in force in fall 2012, the Commissioner was authorized to monitor and control the observance of non-discrimination in all sectors of public relations, to keep records of discrimination cases, to review complaints, to cooperate with international organizations and relevant authorities of foreign countries on international standards in the field of non-discrimination.</w:t>
      </w:r>
    </w:p>
    <w:p w:rsidR="00C67280" w:rsidRPr="00C67280" w:rsidRDefault="00C67280" w:rsidP="00C67280">
      <w:pPr>
        <w:pStyle w:val="aa"/>
        <w:spacing w:before="120" w:beforeAutospacing="0" w:after="120" w:afterAutospacing="0"/>
        <w:jc w:val="both"/>
        <w:rPr>
          <w:rStyle w:val="tlid-translation"/>
          <w:sz w:val="22"/>
          <w:szCs w:val="22"/>
          <w:lang w:val="en-GB"/>
        </w:rPr>
      </w:pPr>
      <w:r w:rsidRPr="00C67280">
        <w:rPr>
          <w:rStyle w:val="tlid-translation"/>
          <w:sz w:val="22"/>
          <w:szCs w:val="22"/>
          <w:lang w:val="en-GB"/>
        </w:rPr>
        <w:t>27. With the amendments to this Law in 2014, the following were added to the powers of the Commissioner: initiating proposals to improve anti-discrimination legislation; submitting suits to the court on discrimination in order to protect the public interest; drafting and sending the expert reports when the court contact the Commissioner for them. Also, the scope of the Commissioner’s competence to prevent and counteract discrimination was extended to private-law relations where most discrimination cases actually happen.</w:t>
      </w:r>
    </w:p>
    <w:p w:rsidR="00C67280" w:rsidRPr="00C67280" w:rsidRDefault="00C67280" w:rsidP="00C67280">
      <w:pPr>
        <w:pStyle w:val="aa"/>
        <w:spacing w:before="120" w:beforeAutospacing="0" w:after="120" w:afterAutospacing="0"/>
        <w:jc w:val="both"/>
        <w:rPr>
          <w:rStyle w:val="tlid-translation"/>
          <w:b/>
          <w:bCs/>
          <w:sz w:val="22"/>
          <w:szCs w:val="22"/>
          <w:lang w:val="en-GB"/>
        </w:rPr>
      </w:pPr>
      <w:r w:rsidRPr="00C67280">
        <w:rPr>
          <w:sz w:val="22"/>
          <w:szCs w:val="22"/>
          <w:lang w:val="en-GB"/>
        </w:rPr>
        <w:lastRenderedPageBreak/>
        <w:br/>
      </w:r>
      <w:r w:rsidRPr="00C67280">
        <w:rPr>
          <w:rStyle w:val="tlid-translation"/>
          <w:b/>
          <w:bCs/>
          <w:sz w:val="22"/>
          <w:szCs w:val="22"/>
          <w:lang w:val="en-GB"/>
        </w:rPr>
        <w:t>Question 10</w:t>
      </w:r>
    </w:p>
    <w:p w:rsidR="00C67280" w:rsidRPr="00C67280" w:rsidRDefault="00C67280" w:rsidP="00C67280">
      <w:pPr>
        <w:pStyle w:val="aa"/>
        <w:spacing w:before="120" w:beforeAutospacing="0" w:after="120" w:afterAutospacing="0"/>
        <w:jc w:val="both"/>
        <w:rPr>
          <w:rStyle w:val="tlid-translation"/>
          <w:sz w:val="22"/>
          <w:szCs w:val="22"/>
          <w:lang w:val="en-GB"/>
        </w:rPr>
      </w:pPr>
      <w:r w:rsidRPr="00C67280">
        <w:rPr>
          <w:rStyle w:val="tlid-translation"/>
          <w:sz w:val="22"/>
          <w:szCs w:val="22"/>
          <w:lang w:val="en-GB"/>
        </w:rPr>
        <w:t>28. At present, the prohibition of discrimination on the ground of sexual orientation and gender identity is expressly provided for only in the Labour Code of Ukraine (Article 21).</w:t>
      </w:r>
    </w:p>
    <w:p w:rsidR="00C67280" w:rsidRPr="00C67280" w:rsidRDefault="00C67280" w:rsidP="00C67280">
      <w:pPr>
        <w:pStyle w:val="aa"/>
        <w:spacing w:before="120" w:beforeAutospacing="0" w:after="120" w:afterAutospacing="0"/>
        <w:jc w:val="both"/>
        <w:rPr>
          <w:rStyle w:val="tlid-translation"/>
          <w:sz w:val="22"/>
          <w:szCs w:val="22"/>
          <w:lang w:val="en-GB"/>
        </w:rPr>
      </w:pPr>
      <w:r w:rsidRPr="00C67280">
        <w:rPr>
          <w:rStyle w:val="tlid-translation"/>
          <w:sz w:val="22"/>
          <w:szCs w:val="22"/>
          <w:lang w:val="en-GB"/>
        </w:rPr>
        <w:t>29. The Action Plan for the Implementation of the National Human Rights Strategy until 2020, approved by the Ordinance of the Cabinet of Ministers of Ukraine #1393-p of 23.11.2015, provides for the establishment of the effective system of prevention and combating discrimination, including on the grounds of sexual orientation and gender identity.</w:t>
      </w:r>
    </w:p>
    <w:p w:rsidR="00C67280" w:rsidRPr="00C67280" w:rsidRDefault="00C67280" w:rsidP="00C67280">
      <w:pPr>
        <w:pStyle w:val="aa"/>
        <w:spacing w:before="120" w:beforeAutospacing="0" w:after="120" w:afterAutospacing="0"/>
        <w:jc w:val="both"/>
        <w:rPr>
          <w:rStyle w:val="tlid-translation"/>
          <w:sz w:val="22"/>
          <w:szCs w:val="22"/>
          <w:lang w:val="en-GB"/>
        </w:rPr>
      </w:pPr>
      <w:r w:rsidRPr="00C67280">
        <w:rPr>
          <w:rStyle w:val="tlid-translation"/>
          <w:sz w:val="22"/>
          <w:szCs w:val="22"/>
          <w:lang w:val="en-GB"/>
        </w:rPr>
        <w:t>30. It is a common practice for the authorities to avoid qualification of discrimination on the grounds of sexual orientation and gender identity as the offense under Article 161 of the Criminal Code of Ukraine that provides for liability for violations of equality of citizens depending on their race, nationality, religion, disability and other grounds.</w:t>
      </w:r>
    </w:p>
    <w:p w:rsidR="00C67280" w:rsidRPr="00C67280" w:rsidRDefault="00C67280" w:rsidP="00C67280">
      <w:pPr>
        <w:pStyle w:val="aa"/>
        <w:spacing w:before="120" w:beforeAutospacing="0" w:after="120" w:afterAutospacing="0"/>
        <w:jc w:val="both"/>
        <w:rPr>
          <w:rStyle w:val="tlid-translation"/>
          <w:sz w:val="22"/>
          <w:szCs w:val="22"/>
          <w:lang w:val="en-GB"/>
        </w:rPr>
      </w:pPr>
    </w:p>
    <w:p w:rsidR="00C67280" w:rsidRPr="00C67280" w:rsidRDefault="00C67280" w:rsidP="00C67280">
      <w:pPr>
        <w:pStyle w:val="aa"/>
        <w:spacing w:before="120" w:beforeAutospacing="0" w:after="120" w:afterAutospacing="0"/>
        <w:jc w:val="both"/>
        <w:rPr>
          <w:rStyle w:val="tlid-translation"/>
          <w:b/>
          <w:bCs/>
          <w:sz w:val="22"/>
          <w:szCs w:val="22"/>
          <w:lang w:val="en-GB"/>
        </w:rPr>
      </w:pPr>
      <w:r w:rsidRPr="00C67280">
        <w:rPr>
          <w:rStyle w:val="tlid-translation"/>
          <w:b/>
          <w:bCs/>
          <w:sz w:val="22"/>
          <w:szCs w:val="22"/>
          <w:lang w:val="en-GB"/>
        </w:rPr>
        <w:t>Question 11</w:t>
      </w:r>
    </w:p>
    <w:p w:rsidR="00C67280" w:rsidRPr="00C67280" w:rsidRDefault="00C67280" w:rsidP="00C67280">
      <w:pPr>
        <w:pStyle w:val="aa"/>
        <w:spacing w:before="120" w:beforeAutospacing="0" w:after="120" w:afterAutospacing="0"/>
        <w:jc w:val="both"/>
        <w:rPr>
          <w:rStyle w:val="tlid-translation"/>
          <w:sz w:val="22"/>
          <w:szCs w:val="22"/>
          <w:lang w:val="en-GB"/>
        </w:rPr>
      </w:pPr>
      <w:r w:rsidRPr="00C67280">
        <w:rPr>
          <w:rStyle w:val="tlid-translation"/>
          <w:sz w:val="22"/>
          <w:szCs w:val="22"/>
          <w:lang w:val="en-GB"/>
        </w:rPr>
        <w:t>31. The findings of monitoring of the observance of the rights and freedoms of Roma community prove that despite the Government-approved Strategy for the Protection and Social Integration of the Roma National Minority until 2020 and the Action Plan for its Implementation, Roma community still finds itself in a deep social crisis.</w:t>
      </w:r>
    </w:p>
    <w:p w:rsidR="00C67280" w:rsidRPr="00C67280" w:rsidRDefault="00C67280" w:rsidP="00C67280">
      <w:pPr>
        <w:pStyle w:val="aa"/>
        <w:spacing w:before="120" w:beforeAutospacing="0" w:after="120" w:afterAutospacing="0"/>
        <w:jc w:val="both"/>
        <w:rPr>
          <w:rStyle w:val="tlid-translation"/>
          <w:sz w:val="22"/>
          <w:szCs w:val="22"/>
          <w:lang w:val="en-GB"/>
        </w:rPr>
      </w:pPr>
      <w:r w:rsidRPr="00C67280">
        <w:rPr>
          <w:rStyle w:val="tlid-translation"/>
          <w:sz w:val="22"/>
          <w:szCs w:val="22"/>
          <w:lang w:val="en-GB"/>
        </w:rPr>
        <w:t>32. The findings of monitoring revealed the cases of discriminatory treatment against Roma women in the fields of health, education, document production, and social protection. There are widespread cases when women cannot receive healthcare in full, women with children are placed in hospital rooms of poorer quality, or neglect on the part of medical staff. The overwhelming majority of Roma families in Roma settlements live in dire conditions, with basic sanitary and hygienic standards not met.</w:t>
      </w:r>
    </w:p>
    <w:p w:rsidR="00C67280" w:rsidRPr="00C67280" w:rsidRDefault="00C67280" w:rsidP="00C67280">
      <w:pPr>
        <w:pStyle w:val="aa"/>
        <w:spacing w:before="120" w:beforeAutospacing="0" w:after="120" w:afterAutospacing="0"/>
        <w:jc w:val="both"/>
        <w:rPr>
          <w:rStyle w:val="tlid-translation"/>
          <w:sz w:val="22"/>
          <w:szCs w:val="22"/>
          <w:lang w:val="en-GB"/>
        </w:rPr>
      </w:pPr>
      <w:r w:rsidRPr="00C67280">
        <w:rPr>
          <w:rStyle w:val="tlid-translation"/>
          <w:sz w:val="22"/>
          <w:szCs w:val="22"/>
          <w:lang w:val="en-GB"/>
        </w:rPr>
        <w:t>33. Main types of assistance needed by Roma women are: assistance in issuing ID documents, obtaining a status of an internally displaced person; assigning and receiving social benefits; mediation in communication with local authorities and law enforcement agencies; seeking legal advice, humanitarian, psychological assistance.</w:t>
      </w:r>
    </w:p>
    <w:p w:rsidR="00C67280" w:rsidRPr="00C67280" w:rsidRDefault="00C67280" w:rsidP="00C67280">
      <w:pPr>
        <w:pStyle w:val="aa"/>
        <w:spacing w:before="120" w:beforeAutospacing="0" w:after="120" w:afterAutospacing="0"/>
        <w:jc w:val="both"/>
        <w:rPr>
          <w:rStyle w:val="tlid-translation"/>
          <w:b/>
          <w:bCs/>
          <w:sz w:val="22"/>
          <w:szCs w:val="22"/>
          <w:lang w:val="en-GB"/>
        </w:rPr>
      </w:pPr>
      <w:r w:rsidRPr="00C67280">
        <w:rPr>
          <w:sz w:val="22"/>
          <w:szCs w:val="22"/>
          <w:lang w:val="en-GB"/>
        </w:rPr>
        <w:br/>
      </w:r>
      <w:r w:rsidRPr="00C67280">
        <w:rPr>
          <w:rStyle w:val="tlid-translation"/>
          <w:b/>
          <w:bCs/>
          <w:sz w:val="22"/>
          <w:szCs w:val="22"/>
          <w:lang w:val="en-GB"/>
        </w:rPr>
        <w:t>Question 12</w:t>
      </w:r>
    </w:p>
    <w:p w:rsidR="00C67280" w:rsidRPr="00C67280" w:rsidRDefault="00C67280" w:rsidP="00C67280">
      <w:pPr>
        <w:pStyle w:val="aa"/>
        <w:spacing w:before="120" w:beforeAutospacing="0" w:after="120" w:afterAutospacing="0"/>
        <w:jc w:val="both"/>
        <w:rPr>
          <w:rStyle w:val="tlid-translation"/>
          <w:sz w:val="22"/>
          <w:szCs w:val="22"/>
          <w:lang w:val="en-GB"/>
        </w:rPr>
      </w:pPr>
      <w:r w:rsidRPr="00C67280">
        <w:rPr>
          <w:rStyle w:val="tlid-translation"/>
          <w:sz w:val="22"/>
          <w:szCs w:val="22"/>
          <w:lang w:val="en-GB"/>
        </w:rPr>
        <w:t>34. One of the urgent objectives is to enforce the mechanism of combating cases of discriminatory advertising. In 2019, the Commissioner found violations of Article 8 of the Law of Ukraine “On Advertising” in 32 cases.</w:t>
      </w:r>
    </w:p>
    <w:p w:rsidR="00C67280" w:rsidRPr="00C67280" w:rsidRDefault="00C67280" w:rsidP="00C67280">
      <w:pPr>
        <w:pStyle w:val="aa"/>
        <w:spacing w:before="120" w:beforeAutospacing="0" w:after="120" w:afterAutospacing="0"/>
        <w:jc w:val="both"/>
        <w:rPr>
          <w:rStyle w:val="tlid-translation"/>
          <w:sz w:val="22"/>
          <w:szCs w:val="22"/>
          <w:lang w:val="en-GB"/>
        </w:rPr>
      </w:pPr>
      <w:r w:rsidRPr="00C67280">
        <w:rPr>
          <w:rStyle w:val="tlid-translation"/>
          <w:sz w:val="22"/>
          <w:szCs w:val="22"/>
          <w:lang w:val="en-GB"/>
        </w:rPr>
        <w:t>35. At the same time, monitoring of media, online resources and other sources revealed 14 cases of outdoor advertising, the content of which is discriminatory on the basis of sex – namely, they portrayed women as sexual objects.</w:t>
      </w:r>
    </w:p>
    <w:p w:rsidR="00C67280" w:rsidRPr="00C67280" w:rsidRDefault="00C67280" w:rsidP="00C67280">
      <w:pPr>
        <w:pStyle w:val="aa"/>
        <w:spacing w:before="120" w:beforeAutospacing="0" w:after="120" w:afterAutospacing="0"/>
        <w:jc w:val="both"/>
        <w:rPr>
          <w:color w:val="000000"/>
          <w:kern w:val="2"/>
          <w:sz w:val="22"/>
          <w:szCs w:val="22"/>
          <w:lang w:val="en-GB" w:eastAsia="zh-CN" w:bidi="hi-IN"/>
        </w:rPr>
      </w:pPr>
      <w:r w:rsidRPr="00C67280">
        <w:rPr>
          <w:rStyle w:val="tlid-translation"/>
          <w:sz w:val="22"/>
          <w:szCs w:val="22"/>
          <w:lang w:val="en-GB"/>
        </w:rPr>
        <w:t>36. Following the findings of monitoring, the Commissioner notes positive changes in the field of women’s representation in the Verkhovna Rada of Ukraine and in leadership positions</w:t>
      </w:r>
      <w:r w:rsidRPr="00C67280">
        <w:rPr>
          <w:rStyle w:val="af"/>
          <w:color w:val="000000"/>
          <w:kern w:val="2"/>
          <w:sz w:val="22"/>
          <w:szCs w:val="22"/>
          <w:lang w:val="en-GB" w:eastAsia="zh-CN" w:bidi="hi-IN"/>
        </w:rPr>
        <w:footnoteReference w:id="1"/>
      </w:r>
      <w:r w:rsidRPr="00C67280">
        <w:rPr>
          <w:color w:val="000000"/>
          <w:kern w:val="2"/>
          <w:sz w:val="22"/>
          <w:szCs w:val="22"/>
          <w:lang w:val="en-GB" w:eastAsia="zh-CN" w:bidi="hi-IN"/>
        </w:rPr>
        <w:t xml:space="preserve">. </w:t>
      </w:r>
    </w:p>
    <w:p w:rsidR="00C67280" w:rsidRPr="00C67280" w:rsidRDefault="00C67280" w:rsidP="00C67280">
      <w:pPr>
        <w:pStyle w:val="aa"/>
        <w:spacing w:before="120" w:beforeAutospacing="0" w:after="120" w:afterAutospacing="0"/>
        <w:jc w:val="both"/>
        <w:rPr>
          <w:rStyle w:val="tlid-translation"/>
          <w:sz w:val="22"/>
          <w:szCs w:val="22"/>
          <w:lang w:val="en-GB"/>
        </w:rPr>
      </w:pPr>
      <w:r w:rsidRPr="00C67280">
        <w:rPr>
          <w:rStyle w:val="tlid-translation"/>
          <w:sz w:val="22"/>
          <w:szCs w:val="22"/>
          <w:lang w:val="en-GB"/>
        </w:rPr>
        <w:t>37. The Law of Ukraine “On Political Parties in Ukraine” provides for the possibility of financing the statutory activities of political parties from the state budget. Funding depends on the number of votes cast. Gender quota (30% voluntary gender quota in election lists of candidates) allows to receive additional funds from the state budget (equal shares of 10% of the annual amount of state funding of statutory activities of political parties), and such funds are provided to the respective parties if at least 1/3 of the MPs elected from a party list are women or men.</w:t>
      </w:r>
    </w:p>
    <w:p w:rsidR="00C67280" w:rsidRPr="00C67280" w:rsidRDefault="00C67280" w:rsidP="00C67280">
      <w:pPr>
        <w:pStyle w:val="aa"/>
        <w:spacing w:before="120" w:beforeAutospacing="0" w:after="120" w:afterAutospacing="0"/>
        <w:jc w:val="both"/>
        <w:rPr>
          <w:rStyle w:val="tlid-translation"/>
          <w:b/>
          <w:bCs/>
          <w:sz w:val="22"/>
          <w:szCs w:val="22"/>
          <w:lang w:val="en-GB"/>
        </w:rPr>
      </w:pPr>
      <w:r w:rsidRPr="00C67280">
        <w:rPr>
          <w:sz w:val="22"/>
          <w:szCs w:val="22"/>
          <w:lang w:val="en-GB"/>
        </w:rPr>
        <w:br/>
      </w:r>
      <w:r w:rsidRPr="00C67280">
        <w:rPr>
          <w:rStyle w:val="tlid-translation"/>
          <w:b/>
          <w:bCs/>
          <w:sz w:val="22"/>
          <w:szCs w:val="22"/>
          <w:lang w:val="en-GB"/>
        </w:rPr>
        <w:t>Question 13</w:t>
      </w:r>
    </w:p>
    <w:p w:rsidR="00C67280" w:rsidRPr="00C67280" w:rsidRDefault="00C67280" w:rsidP="00C67280">
      <w:pPr>
        <w:pStyle w:val="aa"/>
        <w:spacing w:before="120" w:beforeAutospacing="0" w:after="120" w:afterAutospacing="0"/>
        <w:jc w:val="both"/>
        <w:rPr>
          <w:sz w:val="22"/>
          <w:szCs w:val="22"/>
          <w:lang w:val="en-GB"/>
        </w:rPr>
      </w:pPr>
      <w:r w:rsidRPr="00C67280">
        <w:rPr>
          <w:rStyle w:val="tlid-translation"/>
          <w:sz w:val="22"/>
          <w:szCs w:val="22"/>
          <w:lang w:val="en-GB"/>
        </w:rPr>
        <w:t xml:space="preserve">38. Notwithstanding the positive trends in the labour market of Ukraine in terms of employment growth and reduction of unemployment, according to the State Employment Service, the situation remains challenging. </w:t>
      </w:r>
      <w:r w:rsidRPr="00C67280">
        <w:rPr>
          <w:rStyle w:val="tlid-translation"/>
          <w:sz w:val="22"/>
          <w:szCs w:val="22"/>
          <w:lang w:val="en-GB"/>
        </w:rPr>
        <w:lastRenderedPageBreak/>
        <w:t>The most critical problems are the mismatch between labour supply and demand, the lack of quality jobs with decent working conditions and the adequate level of wages, late payment of wages, shadow employment, etc.</w:t>
      </w:r>
      <w:r w:rsidRPr="00C67280">
        <w:rPr>
          <w:rStyle w:val="af"/>
          <w:sz w:val="22"/>
          <w:szCs w:val="22"/>
          <w:lang w:val="en-GB"/>
        </w:rPr>
        <w:footnoteReference w:id="2"/>
      </w:r>
      <w:r w:rsidRPr="00C67280">
        <w:rPr>
          <w:sz w:val="22"/>
          <w:szCs w:val="22"/>
          <w:lang w:val="en-GB"/>
        </w:rPr>
        <w:t xml:space="preserve">. </w:t>
      </w:r>
    </w:p>
    <w:p w:rsidR="00C67280" w:rsidRPr="00C67280" w:rsidRDefault="00C67280" w:rsidP="00C67280">
      <w:pPr>
        <w:pStyle w:val="aa"/>
        <w:spacing w:before="120" w:beforeAutospacing="0" w:after="120" w:afterAutospacing="0"/>
        <w:jc w:val="both"/>
        <w:rPr>
          <w:sz w:val="22"/>
          <w:szCs w:val="22"/>
          <w:lang w:val="en-GB"/>
        </w:rPr>
      </w:pPr>
      <w:r w:rsidRPr="00C67280">
        <w:rPr>
          <w:sz w:val="22"/>
          <w:szCs w:val="22"/>
          <w:lang w:val="en-GB"/>
        </w:rPr>
        <w:t>39. The Commissioner’s monitoring in the field of observance of the rights of persons with disabilities to work in 2019 showed that the employment rate of such persons is low. Job placement quotas for persons with disabilities are not fully respected.</w:t>
      </w:r>
    </w:p>
    <w:p w:rsidR="00C67280" w:rsidRPr="00C67280" w:rsidRDefault="00C67280" w:rsidP="00C67280">
      <w:pPr>
        <w:pStyle w:val="aa"/>
        <w:spacing w:before="120" w:beforeAutospacing="0" w:after="120" w:afterAutospacing="0"/>
        <w:jc w:val="both"/>
        <w:rPr>
          <w:sz w:val="22"/>
          <w:szCs w:val="22"/>
          <w:lang w:val="en-GB"/>
        </w:rPr>
      </w:pPr>
      <w:r w:rsidRPr="00C67280">
        <w:rPr>
          <w:sz w:val="22"/>
          <w:szCs w:val="22"/>
          <w:lang w:val="en-GB"/>
        </w:rPr>
        <w:t>40. Resolution of the Cabinet of Ministers of Ukraine #706 of 01.08.2012 approved the State Targeted Programme “National Action Plan for the Implementation of the Convention on the Rights of Persons with Disabilities” until 2020. According to the State Statistics Service, as of 1 January 2019, there were 2,659,700 people with disabilities in Ukraine. And according to the latest update from the Information and Computing Centre of the Ministry of Social Policy of Ukraine, only 670,180 persons with disabilities are employed. It does not meet the forecast employment target stipulated by the State Targeted Programme (by 2018 – up to 750,300 persons; by 2020 – up to 794,000 persons, or +14,000-15,000 persons annually).</w:t>
      </w:r>
    </w:p>
    <w:p w:rsidR="00C67280" w:rsidRPr="00C67280" w:rsidRDefault="00C67280" w:rsidP="00C67280">
      <w:pPr>
        <w:pStyle w:val="aa"/>
        <w:spacing w:before="120" w:beforeAutospacing="0" w:after="120" w:afterAutospacing="0"/>
        <w:jc w:val="both"/>
        <w:rPr>
          <w:sz w:val="22"/>
          <w:szCs w:val="22"/>
          <w:lang w:val="en-GB"/>
        </w:rPr>
      </w:pPr>
    </w:p>
    <w:p w:rsidR="00C67280" w:rsidRPr="00C67280" w:rsidRDefault="00C67280" w:rsidP="00C67280">
      <w:pPr>
        <w:pStyle w:val="aa"/>
        <w:spacing w:before="120" w:beforeAutospacing="0" w:after="120" w:afterAutospacing="0"/>
        <w:jc w:val="both"/>
        <w:rPr>
          <w:b/>
          <w:bCs/>
          <w:sz w:val="22"/>
          <w:szCs w:val="22"/>
          <w:lang w:val="en-GB"/>
        </w:rPr>
      </w:pPr>
      <w:r w:rsidRPr="00C67280">
        <w:rPr>
          <w:b/>
          <w:bCs/>
          <w:sz w:val="22"/>
          <w:szCs w:val="22"/>
          <w:lang w:val="en-GB"/>
        </w:rPr>
        <w:t>Question 14</w:t>
      </w:r>
    </w:p>
    <w:p w:rsidR="00C67280" w:rsidRPr="00C67280" w:rsidRDefault="00C67280" w:rsidP="00C67280">
      <w:pPr>
        <w:pStyle w:val="aa"/>
        <w:spacing w:before="120" w:beforeAutospacing="0" w:after="120" w:afterAutospacing="0"/>
        <w:jc w:val="both"/>
        <w:rPr>
          <w:sz w:val="22"/>
          <w:szCs w:val="22"/>
          <w:lang w:val="en-GB"/>
        </w:rPr>
      </w:pPr>
      <w:r w:rsidRPr="00C67280">
        <w:rPr>
          <w:sz w:val="22"/>
          <w:szCs w:val="22"/>
          <w:lang w:val="en-GB"/>
        </w:rPr>
        <w:t>41. According to the State Statistics Service of Ukraine, the number of informally employed population in Ukraine during January-June 2019 – compared to the same period of 2018 – decreased by 94,300 and amounted to about 3.45 million people (or 21% of the total employed population aged 15-70 years. In January-June 2018, it was estimated that 3.55 million people, or 21.8%, are employed informally.</w:t>
      </w:r>
    </w:p>
    <w:p w:rsidR="00C67280" w:rsidRPr="00C67280" w:rsidRDefault="00C67280" w:rsidP="00C67280">
      <w:pPr>
        <w:pStyle w:val="aa"/>
        <w:spacing w:before="120" w:beforeAutospacing="0" w:after="120" w:afterAutospacing="0"/>
        <w:jc w:val="both"/>
        <w:rPr>
          <w:sz w:val="22"/>
          <w:szCs w:val="22"/>
          <w:lang w:val="en-GB"/>
        </w:rPr>
      </w:pPr>
      <w:r w:rsidRPr="00C67280">
        <w:rPr>
          <w:sz w:val="22"/>
          <w:szCs w:val="22"/>
          <w:lang w:val="en-GB"/>
        </w:rPr>
        <w:t>42. Notwithstanding some positive trends in reducing the number of informally employed population, the number of complaints by people to the Commissioner about lack of registration of labour relations and envelope wages has not decreased.</w:t>
      </w:r>
    </w:p>
    <w:p w:rsidR="00C67280" w:rsidRPr="00C67280" w:rsidRDefault="00C67280" w:rsidP="00C67280">
      <w:pPr>
        <w:pStyle w:val="aa"/>
        <w:spacing w:before="120" w:beforeAutospacing="0" w:after="120" w:afterAutospacing="0"/>
        <w:jc w:val="both"/>
        <w:rPr>
          <w:sz w:val="22"/>
          <w:szCs w:val="22"/>
          <w:lang w:val="en-GB"/>
        </w:rPr>
      </w:pPr>
    </w:p>
    <w:p w:rsidR="00C67280" w:rsidRPr="00C67280" w:rsidRDefault="00C67280" w:rsidP="00C67280">
      <w:pPr>
        <w:pStyle w:val="aa"/>
        <w:spacing w:before="120" w:beforeAutospacing="0" w:after="120" w:afterAutospacing="0"/>
        <w:jc w:val="both"/>
        <w:rPr>
          <w:b/>
          <w:bCs/>
          <w:sz w:val="22"/>
          <w:szCs w:val="22"/>
          <w:lang w:val="en-GB"/>
        </w:rPr>
      </w:pPr>
      <w:r w:rsidRPr="00C67280">
        <w:rPr>
          <w:b/>
          <w:bCs/>
          <w:sz w:val="22"/>
          <w:szCs w:val="22"/>
          <w:lang w:val="en-GB"/>
        </w:rPr>
        <w:t>Question 16</w:t>
      </w:r>
    </w:p>
    <w:p w:rsidR="00C67280" w:rsidRPr="00C67280" w:rsidRDefault="00C67280" w:rsidP="00C67280">
      <w:pPr>
        <w:pStyle w:val="aa"/>
        <w:spacing w:before="120" w:beforeAutospacing="0" w:after="120" w:afterAutospacing="0"/>
        <w:jc w:val="both"/>
        <w:rPr>
          <w:sz w:val="22"/>
          <w:szCs w:val="22"/>
          <w:lang w:val="en-GB"/>
        </w:rPr>
      </w:pPr>
      <w:r w:rsidRPr="00C67280">
        <w:rPr>
          <w:sz w:val="22"/>
          <w:szCs w:val="22"/>
          <w:lang w:val="en-GB"/>
        </w:rPr>
        <w:t>43. The problem of late payment of wages is aggravating every year. Wage arrears continue to increase</w:t>
      </w:r>
      <w:r w:rsidRPr="00C67280">
        <w:rPr>
          <w:rStyle w:val="af"/>
          <w:sz w:val="22"/>
          <w:lang w:val="en-GB"/>
        </w:rPr>
        <w:footnoteReference w:id="3"/>
      </w:r>
      <w:r w:rsidRPr="00C67280">
        <w:rPr>
          <w:sz w:val="22"/>
          <w:szCs w:val="22"/>
          <w:lang w:val="en-GB"/>
        </w:rPr>
        <w:t>.</w:t>
      </w:r>
    </w:p>
    <w:p w:rsidR="00C67280" w:rsidRPr="00C67280" w:rsidRDefault="00C67280" w:rsidP="00C67280">
      <w:pPr>
        <w:pStyle w:val="aa"/>
        <w:spacing w:before="120" w:beforeAutospacing="0" w:after="120" w:afterAutospacing="0"/>
        <w:jc w:val="both"/>
        <w:rPr>
          <w:sz w:val="22"/>
          <w:szCs w:val="22"/>
          <w:lang w:val="en-GB"/>
        </w:rPr>
      </w:pPr>
      <w:r w:rsidRPr="00C67280">
        <w:rPr>
          <w:sz w:val="22"/>
          <w:szCs w:val="22"/>
          <w:lang w:val="en-GB"/>
        </w:rPr>
        <w:t>44. In both 2018 and 2019, no meeting of the Commission on Payment of Wages, Pensions, Scholarships and other Social Benefits – a temporary advisory body to the Government – was conducted.</w:t>
      </w:r>
    </w:p>
    <w:p w:rsidR="00C67280" w:rsidRPr="00C67280" w:rsidRDefault="00C67280" w:rsidP="00C67280">
      <w:pPr>
        <w:pStyle w:val="aa"/>
        <w:spacing w:before="120" w:beforeAutospacing="0" w:after="120" w:afterAutospacing="0"/>
        <w:jc w:val="both"/>
        <w:rPr>
          <w:sz w:val="22"/>
          <w:szCs w:val="22"/>
          <w:lang w:val="en-GB"/>
        </w:rPr>
      </w:pPr>
      <w:r w:rsidRPr="00C67280">
        <w:rPr>
          <w:sz w:val="22"/>
          <w:szCs w:val="22"/>
          <w:lang w:val="en-GB"/>
        </w:rPr>
        <w:t>45. The issue of wage arrears was also highlighted in the Annual Report of the Commissioner on the Status of Observance and Protection of Human and Rights and Freedoms in Ukraine for 2018, and with a view to regulating it, respective recommendations were provided to the Cabinet of Ministers of Ukraine. But the Government failed to consider these recommendations and suggestions.</w:t>
      </w:r>
    </w:p>
    <w:p w:rsidR="00C67280" w:rsidRPr="00C67280" w:rsidRDefault="00C67280" w:rsidP="00C67280">
      <w:pPr>
        <w:pStyle w:val="aa"/>
        <w:spacing w:before="120" w:beforeAutospacing="0" w:after="120" w:afterAutospacing="0"/>
        <w:jc w:val="both"/>
        <w:rPr>
          <w:sz w:val="22"/>
          <w:szCs w:val="22"/>
          <w:lang w:val="en-GB"/>
        </w:rPr>
      </w:pPr>
    </w:p>
    <w:p w:rsidR="00C67280" w:rsidRPr="00C67280" w:rsidRDefault="00C67280" w:rsidP="00C67280">
      <w:pPr>
        <w:pStyle w:val="aa"/>
        <w:spacing w:before="120" w:beforeAutospacing="0" w:after="120" w:afterAutospacing="0"/>
        <w:jc w:val="both"/>
        <w:rPr>
          <w:b/>
          <w:bCs/>
          <w:sz w:val="22"/>
          <w:szCs w:val="22"/>
          <w:lang w:val="en-GB"/>
        </w:rPr>
      </w:pPr>
      <w:r w:rsidRPr="00C67280">
        <w:rPr>
          <w:b/>
          <w:bCs/>
          <w:sz w:val="22"/>
          <w:szCs w:val="22"/>
          <w:lang w:val="en-GB"/>
        </w:rPr>
        <w:t>Question 18</w:t>
      </w:r>
    </w:p>
    <w:p w:rsidR="00C67280" w:rsidRPr="00C67280" w:rsidRDefault="00C67280" w:rsidP="00C67280">
      <w:pPr>
        <w:pStyle w:val="aa"/>
        <w:spacing w:before="120" w:beforeAutospacing="0" w:after="120" w:afterAutospacing="0"/>
        <w:jc w:val="both"/>
        <w:rPr>
          <w:sz w:val="22"/>
          <w:szCs w:val="22"/>
          <w:lang w:val="en-GB"/>
        </w:rPr>
      </w:pPr>
      <w:r w:rsidRPr="00C67280">
        <w:rPr>
          <w:sz w:val="22"/>
          <w:szCs w:val="22"/>
          <w:lang w:val="en-GB"/>
        </w:rPr>
        <w:t>46. ​​The Government considers that the top priority of amending the effective legislation on social protection of the population is to introduce targeted social assistance. In view of this and the need for expedient and rational use of public funds, amendments are being made to the legislation that narrow the rights of certain populations to social security.</w:t>
      </w:r>
    </w:p>
    <w:p w:rsidR="00C67280" w:rsidRPr="00C67280" w:rsidRDefault="00C67280" w:rsidP="00C67280">
      <w:pPr>
        <w:pStyle w:val="aa"/>
        <w:spacing w:before="120" w:beforeAutospacing="0" w:after="120" w:afterAutospacing="0"/>
        <w:jc w:val="both"/>
        <w:rPr>
          <w:sz w:val="22"/>
          <w:szCs w:val="22"/>
          <w:lang w:val="en-GB"/>
        </w:rPr>
      </w:pPr>
      <w:r w:rsidRPr="00C67280">
        <w:rPr>
          <w:sz w:val="22"/>
          <w:szCs w:val="22"/>
          <w:lang w:val="en-GB"/>
        </w:rPr>
        <w:t>47. The Constitutional Court of Ukraine finds such actions of the Government unlawful. Namely, it declared the provision that abolished the existing privileges for the victims of the Chornobyl disaster and war veterans as contradicting to the Constitution of Ukraine (decisions #6-p/2018 of 17.07.2018 and #12</w:t>
      </w:r>
      <w:r w:rsidRPr="00C67280">
        <w:rPr>
          <w:sz w:val="22"/>
          <w:szCs w:val="22"/>
          <w:lang w:val="en-GB"/>
        </w:rPr>
        <w:noBreakHyphen/>
        <w:t>p of 18.12.2018).</w:t>
      </w:r>
    </w:p>
    <w:p w:rsidR="00C67280" w:rsidRPr="00C67280" w:rsidRDefault="00C67280" w:rsidP="00C67280">
      <w:pPr>
        <w:pStyle w:val="aa"/>
        <w:spacing w:before="120" w:beforeAutospacing="0" w:after="120" w:afterAutospacing="0"/>
        <w:jc w:val="both"/>
        <w:rPr>
          <w:sz w:val="22"/>
          <w:szCs w:val="22"/>
          <w:lang w:val="en-GB"/>
        </w:rPr>
      </w:pPr>
      <w:r w:rsidRPr="00C67280">
        <w:rPr>
          <w:sz w:val="22"/>
          <w:szCs w:val="22"/>
          <w:lang w:val="en-GB"/>
        </w:rPr>
        <w:lastRenderedPageBreak/>
        <w:t>48. Most state social security benefits and pensions are calculated based on the subsistence minimum and only increase when this minimum goes up when it is revised in line with the increase in the consumer price index along with the review of indicators of the State Budget of Ukraine for the respective year. However, the Government does not provide any objective definition of the basic state standard of subsistence minimum (in particular, the subsistence minimum approved by law is almost twice less than the actual one). It leads to the artificial reduction of all social and pension benefits that are calculated on the basis of this indicator, and, therefore, to the deterioration of the standards of living of people.</w:t>
      </w:r>
    </w:p>
    <w:p w:rsidR="00C67280" w:rsidRPr="00C67280" w:rsidRDefault="00C67280" w:rsidP="00C67280">
      <w:pPr>
        <w:pStyle w:val="aa"/>
        <w:spacing w:before="120" w:beforeAutospacing="0" w:after="120" w:afterAutospacing="0"/>
        <w:jc w:val="both"/>
        <w:rPr>
          <w:rStyle w:val="tlid-translation"/>
          <w:sz w:val="22"/>
          <w:szCs w:val="22"/>
          <w:lang w:val="en-GB"/>
        </w:rPr>
      </w:pPr>
      <w:r w:rsidRPr="00C67280">
        <w:rPr>
          <w:rStyle w:val="tlid-translation"/>
          <w:sz w:val="22"/>
          <w:szCs w:val="22"/>
          <w:lang w:val="en-GB"/>
        </w:rPr>
        <w:t>49. The Government has introduced such conditions for granting state social benefits that encourage able-bodied persons to be employed officially</w:t>
      </w:r>
      <w:r w:rsidRPr="00C67280">
        <w:rPr>
          <w:rStyle w:val="af"/>
          <w:bCs/>
          <w:iCs/>
          <w:sz w:val="22"/>
          <w:lang w:val="en-GB"/>
        </w:rPr>
        <w:footnoteReference w:id="4"/>
      </w:r>
      <w:r w:rsidRPr="00C67280">
        <w:rPr>
          <w:rStyle w:val="tlid-translation"/>
          <w:sz w:val="22"/>
          <w:szCs w:val="22"/>
          <w:lang w:val="en-GB"/>
        </w:rPr>
        <w:t>.</w:t>
      </w:r>
    </w:p>
    <w:p w:rsidR="00C67280" w:rsidRPr="00C67280" w:rsidRDefault="00C67280" w:rsidP="00C67280">
      <w:pPr>
        <w:pStyle w:val="aa"/>
        <w:spacing w:before="120" w:beforeAutospacing="0" w:after="120" w:afterAutospacing="0"/>
        <w:jc w:val="both"/>
        <w:rPr>
          <w:rStyle w:val="tlid-translation"/>
          <w:b/>
          <w:bCs/>
          <w:sz w:val="22"/>
          <w:szCs w:val="22"/>
          <w:lang w:val="en-GB"/>
        </w:rPr>
      </w:pPr>
      <w:r w:rsidRPr="00C67280">
        <w:rPr>
          <w:sz w:val="22"/>
          <w:szCs w:val="22"/>
          <w:lang w:val="en-GB"/>
        </w:rPr>
        <w:br/>
      </w:r>
      <w:r w:rsidRPr="00C67280">
        <w:rPr>
          <w:rStyle w:val="tlid-translation"/>
          <w:b/>
          <w:bCs/>
          <w:sz w:val="22"/>
          <w:szCs w:val="22"/>
          <w:lang w:val="en-GB"/>
        </w:rPr>
        <w:t>Question 19</w:t>
      </w:r>
    </w:p>
    <w:p w:rsidR="00C67280" w:rsidRPr="00C67280" w:rsidRDefault="00C67280" w:rsidP="00C67280">
      <w:pPr>
        <w:pStyle w:val="aa"/>
        <w:spacing w:before="120" w:beforeAutospacing="0" w:after="120" w:afterAutospacing="0"/>
        <w:jc w:val="both"/>
        <w:rPr>
          <w:rStyle w:val="tlid-translation"/>
          <w:sz w:val="22"/>
          <w:szCs w:val="22"/>
          <w:lang w:val="en-GB"/>
        </w:rPr>
      </w:pPr>
      <w:r w:rsidRPr="00C67280">
        <w:rPr>
          <w:rStyle w:val="tlid-translation"/>
          <w:sz w:val="22"/>
          <w:szCs w:val="22"/>
          <w:lang w:val="en-GB"/>
        </w:rPr>
        <w:t>50. After the pension reform and other legislative initiatives in the area of ​​pension adopted on 1 October 2017</w:t>
      </w:r>
      <w:r w:rsidRPr="00C67280">
        <w:rPr>
          <w:rStyle w:val="af"/>
          <w:sz w:val="22"/>
          <w:lang w:val="en-GB"/>
        </w:rPr>
        <w:footnoteReference w:id="5"/>
      </w:r>
      <w:r w:rsidRPr="00C67280">
        <w:rPr>
          <w:rStyle w:val="tlid-translation"/>
          <w:sz w:val="22"/>
          <w:szCs w:val="22"/>
          <w:lang w:val="en-GB"/>
        </w:rPr>
        <w:t xml:space="preserve"> were launched, the amount of pension payments to citizens has increased, but due to the inflation and constant increase in prices for goods and services, including housing and utility services, the amount of pension payments received by citizens does not allow an adequate standard of living.</w:t>
      </w:r>
    </w:p>
    <w:p w:rsidR="00C67280" w:rsidRPr="00C67280" w:rsidRDefault="00C67280" w:rsidP="00C67280">
      <w:pPr>
        <w:pStyle w:val="aa"/>
        <w:spacing w:before="120" w:beforeAutospacing="0" w:after="120" w:afterAutospacing="0"/>
        <w:jc w:val="both"/>
        <w:rPr>
          <w:rStyle w:val="tlid-translation"/>
          <w:sz w:val="22"/>
          <w:szCs w:val="22"/>
          <w:lang w:val="en-GB"/>
        </w:rPr>
      </w:pPr>
      <w:r w:rsidRPr="00C67280">
        <w:rPr>
          <w:rStyle w:val="tlid-translation"/>
          <w:sz w:val="22"/>
          <w:szCs w:val="22"/>
          <w:lang w:val="en-GB"/>
        </w:rPr>
        <w:t>51. According to the Pension Fund of Ukraine, as of 01.10.2019, almost 8 million persons receive a pension below the actual subsistence minimum (70.2% of total number of pensioners). Even the average pension in Ukraine (UAH 3,019.62), and even more so the average disability pension (UAH 2,450.41) are far lower than the actual subsistence minimum.</w:t>
      </w:r>
    </w:p>
    <w:p w:rsidR="00C67280" w:rsidRPr="00C67280" w:rsidRDefault="00C67280" w:rsidP="00C67280">
      <w:pPr>
        <w:pStyle w:val="aa"/>
        <w:spacing w:before="120" w:beforeAutospacing="0" w:after="120" w:afterAutospacing="0"/>
        <w:jc w:val="both"/>
        <w:rPr>
          <w:rStyle w:val="tlid-translation"/>
          <w:sz w:val="22"/>
          <w:szCs w:val="22"/>
          <w:lang w:val="en-GB"/>
        </w:rPr>
      </w:pPr>
      <w:r w:rsidRPr="00C67280">
        <w:rPr>
          <w:rStyle w:val="tlid-translation"/>
          <w:sz w:val="22"/>
          <w:szCs w:val="22"/>
          <w:lang w:val="en-GB"/>
        </w:rPr>
        <w:t>52. Additional payment paid to the pensioners pursuant to the Resolution of the Cabinet of Ministers of Ukraine #543 “On Amendments to Certain Resolutions of the Cabinet of Ministers of Ukraine” to make sure that their pension is at least UAH 2,000 (for male pensioners who have at least 35, and female, 30 years of pensionable service) – notwithstanding the increase in the amount of pension to a significant share of pensioners – has even more led to pension-levelling of accrued pensions.</w:t>
      </w:r>
    </w:p>
    <w:p w:rsidR="00C67280" w:rsidRPr="00C67280" w:rsidRDefault="00C67280" w:rsidP="00C67280">
      <w:pPr>
        <w:pStyle w:val="aa"/>
        <w:spacing w:before="120" w:beforeAutospacing="0" w:after="120" w:afterAutospacing="0"/>
        <w:jc w:val="both"/>
        <w:rPr>
          <w:rStyle w:val="tlid-translation"/>
          <w:sz w:val="22"/>
          <w:szCs w:val="22"/>
          <w:lang w:val="en-GB"/>
        </w:rPr>
      </w:pPr>
      <w:r w:rsidRPr="00C67280">
        <w:rPr>
          <w:rStyle w:val="tlid-translation"/>
          <w:sz w:val="22"/>
          <w:szCs w:val="22"/>
          <w:lang w:val="en-GB"/>
        </w:rPr>
        <w:t>53. The reform introduced a unified approach to the calculation of pension for pensioners of all categories. As a result of the changes introduced by the legislature, civil servants, local government officials and other persons alike who had legitimate expectations for a civil servant’s pension under the guaranteed conditions and procedure while they were working on public service and local self-government positions (having a special legal status and paying increased pension contributions) were devoid of legitimate expectations.</w:t>
      </w:r>
    </w:p>
    <w:p w:rsidR="00C67280" w:rsidRPr="00C67280" w:rsidRDefault="00C67280" w:rsidP="00C67280">
      <w:pPr>
        <w:pStyle w:val="aa"/>
        <w:spacing w:before="120" w:beforeAutospacing="0" w:after="120" w:afterAutospacing="0"/>
        <w:jc w:val="both"/>
        <w:rPr>
          <w:rStyle w:val="tlid-translation"/>
          <w:sz w:val="22"/>
          <w:szCs w:val="22"/>
          <w:lang w:val="en-GB"/>
        </w:rPr>
      </w:pPr>
      <w:r w:rsidRPr="00C67280">
        <w:rPr>
          <w:rStyle w:val="tlid-translation"/>
          <w:sz w:val="22"/>
          <w:szCs w:val="22"/>
          <w:lang w:val="en-GB"/>
        </w:rPr>
        <w:t xml:space="preserve">54. In order to protect the rights of this group of citizens, the Commissioner drafted and sent a submission to the Constitutional Court of Ukraine on 18.11.2019. The Constitutional Court opened the constitutional proceedings in the case and is preparing the case for consideration at the plenary session of the Grand Chamber of the Court. The text of the submission can be found at: </w:t>
      </w:r>
      <w:hyperlink r:id="rId8" w:history="1">
        <w:r w:rsidRPr="00C67280">
          <w:rPr>
            <w:rStyle w:val="ac"/>
            <w:sz w:val="22"/>
            <w:szCs w:val="22"/>
            <w:lang w:val="en-GB"/>
          </w:rPr>
          <w:t>http://www.ccu.gov.ua/sites/default/files/5_7129_2019.pdf</w:t>
        </w:r>
      </w:hyperlink>
      <w:r w:rsidRPr="00C67280">
        <w:rPr>
          <w:rStyle w:val="tlid-translation"/>
          <w:sz w:val="22"/>
          <w:szCs w:val="22"/>
          <w:lang w:val="en-GB"/>
        </w:rPr>
        <w:t>.</w:t>
      </w:r>
    </w:p>
    <w:p w:rsidR="00C67280" w:rsidRPr="00C67280" w:rsidRDefault="00C67280" w:rsidP="00C67280">
      <w:pPr>
        <w:pStyle w:val="aa"/>
        <w:spacing w:before="120" w:beforeAutospacing="0" w:after="120" w:afterAutospacing="0"/>
        <w:jc w:val="both"/>
        <w:rPr>
          <w:sz w:val="22"/>
          <w:szCs w:val="22"/>
          <w:lang w:val="en-GB"/>
        </w:rPr>
      </w:pPr>
    </w:p>
    <w:p w:rsidR="00C67280" w:rsidRPr="00C67280" w:rsidRDefault="00C67280" w:rsidP="00C67280">
      <w:pPr>
        <w:pStyle w:val="aa"/>
        <w:spacing w:before="120" w:beforeAutospacing="0" w:after="120" w:afterAutospacing="0"/>
        <w:jc w:val="both"/>
        <w:rPr>
          <w:rStyle w:val="tlid-translation"/>
          <w:b/>
          <w:bCs/>
          <w:sz w:val="22"/>
          <w:szCs w:val="22"/>
          <w:lang w:val="en-GB"/>
        </w:rPr>
      </w:pPr>
      <w:r w:rsidRPr="00C67280">
        <w:rPr>
          <w:sz w:val="22"/>
          <w:szCs w:val="22"/>
          <w:lang w:val="en-GB"/>
        </w:rPr>
        <w:br/>
      </w:r>
      <w:r w:rsidRPr="00C67280">
        <w:rPr>
          <w:rStyle w:val="tlid-translation"/>
          <w:b/>
          <w:bCs/>
          <w:sz w:val="22"/>
          <w:szCs w:val="22"/>
          <w:lang w:val="en-GB"/>
        </w:rPr>
        <w:t>Question 20</w:t>
      </w:r>
    </w:p>
    <w:p w:rsidR="00C67280" w:rsidRPr="00C67280" w:rsidRDefault="00C67280" w:rsidP="00C67280">
      <w:pPr>
        <w:pStyle w:val="aa"/>
        <w:spacing w:before="120" w:beforeAutospacing="0" w:after="120" w:afterAutospacing="0"/>
        <w:jc w:val="both"/>
        <w:rPr>
          <w:rStyle w:val="tlid-translation"/>
          <w:sz w:val="22"/>
          <w:szCs w:val="22"/>
          <w:lang w:val="en-GB"/>
        </w:rPr>
      </w:pPr>
      <w:r w:rsidRPr="00C67280">
        <w:rPr>
          <w:rStyle w:val="tlid-translation"/>
          <w:sz w:val="22"/>
          <w:szCs w:val="22"/>
          <w:lang w:val="en-GB"/>
        </w:rPr>
        <w:t>55. To date, the protection of the rights of persons illegally detained by the Russian Federation, the occupation administration of the Russian Federation, and persons released from such a detention is regulated by a number of legal acts, in particular by the CMU Resolutions #38 of 31 January 2018 and #845 of 11 September 2019. However, the above Resolutions provide for the payment of one-time financial assistance and the provision of other types of social benefits only to those who were released on 27 December 2017, 24 January 2018, and 7 July 2019.</w:t>
      </w:r>
    </w:p>
    <w:p w:rsidR="00C67280" w:rsidRPr="00C67280" w:rsidRDefault="00C67280" w:rsidP="00C67280">
      <w:pPr>
        <w:pStyle w:val="aa"/>
        <w:spacing w:before="120" w:beforeAutospacing="0" w:after="120" w:afterAutospacing="0"/>
        <w:jc w:val="both"/>
        <w:rPr>
          <w:rStyle w:val="tlid-translation"/>
          <w:sz w:val="22"/>
          <w:szCs w:val="22"/>
          <w:lang w:val="en-GB"/>
        </w:rPr>
      </w:pPr>
      <w:r w:rsidRPr="00C67280">
        <w:rPr>
          <w:rStyle w:val="tlid-translation"/>
          <w:sz w:val="22"/>
          <w:szCs w:val="22"/>
          <w:lang w:val="en-GB"/>
        </w:rPr>
        <w:t>56. According to the Ministry for Temporarily Occupied Territories and Internally Displaced Persons of Ukraine, as of December 2018, financial assistance in the amount of UAH 7.1 Million was paid to 71 persons who had been deprived of liberty and applied for assistance.</w:t>
      </w:r>
    </w:p>
    <w:p w:rsidR="00C67280" w:rsidRPr="00C67280" w:rsidRDefault="00C67280" w:rsidP="00C67280">
      <w:pPr>
        <w:pStyle w:val="aa"/>
        <w:spacing w:before="120" w:beforeAutospacing="0" w:after="120" w:afterAutospacing="0"/>
        <w:jc w:val="both"/>
        <w:rPr>
          <w:rStyle w:val="tlid-translation"/>
          <w:sz w:val="22"/>
          <w:szCs w:val="22"/>
          <w:lang w:val="en-GB"/>
        </w:rPr>
      </w:pPr>
      <w:r w:rsidRPr="00C67280">
        <w:rPr>
          <w:rStyle w:val="tlid-translation"/>
          <w:sz w:val="22"/>
          <w:szCs w:val="22"/>
          <w:lang w:val="en-GB"/>
        </w:rPr>
        <w:lastRenderedPageBreak/>
        <w:t>57. Persons who have been released in the period from 2014 to 27 December 2017, as well as those who are currently unlawfully deprived of liberty and would be released in the future, are not covered by these regulations.</w:t>
      </w:r>
    </w:p>
    <w:p w:rsidR="00C67280" w:rsidRPr="00C67280" w:rsidRDefault="00C67280" w:rsidP="00C67280">
      <w:pPr>
        <w:pStyle w:val="aa"/>
        <w:spacing w:before="120" w:beforeAutospacing="0" w:after="120" w:afterAutospacing="0"/>
        <w:jc w:val="both"/>
        <w:rPr>
          <w:rStyle w:val="tlid-translation"/>
          <w:sz w:val="22"/>
          <w:szCs w:val="22"/>
          <w:lang w:val="en-GB"/>
        </w:rPr>
      </w:pPr>
    </w:p>
    <w:p w:rsidR="00C67280" w:rsidRPr="00C67280" w:rsidRDefault="00C67280" w:rsidP="00C67280">
      <w:pPr>
        <w:pStyle w:val="aa"/>
        <w:spacing w:before="120" w:beforeAutospacing="0" w:after="120" w:afterAutospacing="0"/>
        <w:jc w:val="both"/>
        <w:rPr>
          <w:rStyle w:val="tlid-translation"/>
          <w:b/>
          <w:bCs/>
          <w:sz w:val="22"/>
          <w:szCs w:val="22"/>
          <w:lang w:val="en-GB"/>
        </w:rPr>
      </w:pPr>
      <w:r w:rsidRPr="00C67280">
        <w:rPr>
          <w:rStyle w:val="tlid-translation"/>
          <w:b/>
          <w:bCs/>
          <w:sz w:val="22"/>
          <w:szCs w:val="22"/>
          <w:lang w:val="en-GB"/>
        </w:rPr>
        <w:t>Question 21</w:t>
      </w:r>
    </w:p>
    <w:p w:rsidR="00C67280" w:rsidRPr="00C67280" w:rsidRDefault="00C67280" w:rsidP="00C67280">
      <w:pPr>
        <w:pStyle w:val="aa"/>
        <w:spacing w:before="120" w:beforeAutospacing="0" w:after="120" w:afterAutospacing="0"/>
        <w:jc w:val="both"/>
        <w:rPr>
          <w:sz w:val="22"/>
          <w:szCs w:val="22"/>
          <w:lang w:val="en-GB"/>
        </w:rPr>
      </w:pPr>
      <w:r w:rsidRPr="00C67280">
        <w:rPr>
          <w:rStyle w:val="tlid-translation"/>
          <w:sz w:val="22"/>
          <w:szCs w:val="22"/>
          <w:lang w:val="en-GB"/>
        </w:rPr>
        <w:t>58. There has been no progress in establishing a basic standard of subsistence minimum. Similar to previous years, it is calculated based on the available resources (the budget’s financial capabilities) rather than on the normative method (as defined by law). It results in a mismatch between the actual and the legally approved subsistence minimums</w:t>
      </w:r>
      <w:r w:rsidRPr="00C67280">
        <w:rPr>
          <w:rStyle w:val="af"/>
          <w:sz w:val="22"/>
          <w:szCs w:val="22"/>
          <w:lang w:val="en-GB"/>
        </w:rPr>
        <w:footnoteReference w:id="6"/>
      </w:r>
      <w:r w:rsidRPr="00C67280">
        <w:rPr>
          <w:sz w:val="22"/>
          <w:szCs w:val="22"/>
          <w:lang w:val="en-GB"/>
        </w:rPr>
        <w:t>.</w:t>
      </w:r>
    </w:p>
    <w:p w:rsidR="00C67280" w:rsidRPr="00C67280" w:rsidRDefault="00C67280" w:rsidP="00C67280">
      <w:pPr>
        <w:pStyle w:val="Bodytext21"/>
        <w:spacing w:before="120" w:line="240" w:lineRule="auto"/>
        <w:jc w:val="both"/>
        <w:rPr>
          <w:rStyle w:val="tlid-translation"/>
          <w:b w:val="0"/>
          <w:bCs w:val="0"/>
          <w:sz w:val="22"/>
          <w:szCs w:val="22"/>
          <w:lang w:val="en-GB"/>
        </w:rPr>
      </w:pPr>
      <w:r w:rsidRPr="00C67280">
        <w:rPr>
          <w:rStyle w:val="tlid-translation"/>
          <w:b w:val="0"/>
          <w:bCs w:val="0"/>
          <w:sz w:val="22"/>
          <w:szCs w:val="22"/>
          <w:lang w:val="en-GB"/>
        </w:rPr>
        <w:t>59. The Government Resolution #780 of 11.10.2016 that approved the sets of food, non-food products and services for the main social and demographic groups of the population was declared invalid and annulled on the basis of court decisions</w:t>
      </w:r>
      <w:r w:rsidRPr="00C67280">
        <w:rPr>
          <w:rStyle w:val="af"/>
          <w:sz w:val="22"/>
          <w:lang w:val="en-GB"/>
        </w:rPr>
        <w:footnoteReference w:id="7"/>
      </w:r>
      <w:r w:rsidRPr="00C67280">
        <w:rPr>
          <w:rStyle w:val="tlid-translation"/>
          <w:b w:val="0"/>
          <w:bCs w:val="0"/>
          <w:sz w:val="22"/>
          <w:szCs w:val="22"/>
          <w:lang w:val="en-GB"/>
        </w:rPr>
        <w:t>, and another was not adopted.</w:t>
      </w:r>
    </w:p>
    <w:p w:rsidR="00C67280" w:rsidRPr="00C67280" w:rsidRDefault="00C67280" w:rsidP="00C67280">
      <w:pPr>
        <w:pStyle w:val="Bodytext21"/>
        <w:spacing w:before="120" w:line="240" w:lineRule="auto"/>
        <w:jc w:val="both"/>
        <w:rPr>
          <w:rStyle w:val="tlid-translation"/>
          <w:b w:val="0"/>
          <w:bCs w:val="0"/>
          <w:sz w:val="22"/>
          <w:szCs w:val="22"/>
          <w:lang w:val="en-GB"/>
        </w:rPr>
      </w:pPr>
    </w:p>
    <w:p w:rsidR="00C67280" w:rsidRPr="00C67280" w:rsidRDefault="00C67280" w:rsidP="00C67280">
      <w:pPr>
        <w:pStyle w:val="Bodytext21"/>
        <w:spacing w:before="120" w:line="240" w:lineRule="auto"/>
        <w:jc w:val="both"/>
        <w:rPr>
          <w:rStyle w:val="tlid-translation"/>
          <w:sz w:val="22"/>
          <w:szCs w:val="22"/>
          <w:lang w:val="en-GB"/>
        </w:rPr>
      </w:pPr>
      <w:r w:rsidRPr="00C67280">
        <w:rPr>
          <w:rStyle w:val="tlid-translation"/>
          <w:sz w:val="22"/>
          <w:szCs w:val="22"/>
          <w:lang w:val="en-GB"/>
        </w:rPr>
        <w:t>Question 22</w:t>
      </w:r>
    </w:p>
    <w:p w:rsidR="00C67280" w:rsidRPr="00C67280" w:rsidRDefault="00C67280" w:rsidP="00C67280">
      <w:pPr>
        <w:pStyle w:val="Bodytext21"/>
        <w:spacing w:before="120" w:line="240" w:lineRule="auto"/>
        <w:jc w:val="both"/>
        <w:rPr>
          <w:rStyle w:val="tlid-translation"/>
          <w:b w:val="0"/>
          <w:bCs w:val="0"/>
          <w:sz w:val="22"/>
          <w:szCs w:val="22"/>
          <w:lang w:val="en-GB"/>
        </w:rPr>
      </w:pPr>
      <w:r w:rsidRPr="00C67280">
        <w:rPr>
          <w:rStyle w:val="tlid-translation"/>
          <w:b w:val="0"/>
          <w:bCs w:val="0"/>
          <w:sz w:val="22"/>
          <w:szCs w:val="22"/>
          <w:lang w:val="en-GB"/>
        </w:rPr>
        <w:t>60. The decentralization reform in Ukraine has not delivered the expected results in the area of ​​local self-government bodies providing housing to citizens who are registered in the waiting lists for housing, including social housing for vulnerable populations.</w:t>
      </w:r>
    </w:p>
    <w:p w:rsidR="00C67280" w:rsidRPr="00C67280" w:rsidRDefault="00C67280" w:rsidP="00C67280">
      <w:pPr>
        <w:pStyle w:val="Bodytext21"/>
        <w:spacing w:before="120" w:line="240" w:lineRule="auto"/>
        <w:jc w:val="both"/>
        <w:rPr>
          <w:rStyle w:val="tlid-translation"/>
          <w:b w:val="0"/>
          <w:bCs w:val="0"/>
          <w:sz w:val="22"/>
          <w:szCs w:val="22"/>
          <w:lang w:val="en-GB"/>
        </w:rPr>
      </w:pPr>
      <w:r w:rsidRPr="00C67280">
        <w:rPr>
          <w:rStyle w:val="tlid-translation"/>
          <w:b w:val="0"/>
          <w:bCs w:val="0"/>
          <w:sz w:val="22"/>
          <w:szCs w:val="22"/>
          <w:lang w:val="en-GB"/>
        </w:rPr>
        <w:t>61. At the same time, the Law of Ukraine “On the State Budget of Ukraine for 2020” does not provide for expenditures from the state budget for the procurement of affordable housing, as well as the procurement of housing for such population groups as liquidators of the Chornobyl disaster of categories I and II, families with many children, people living in an emergency housing, persons with disabilities of groups I and II.</w:t>
      </w:r>
    </w:p>
    <w:p w:rsidR="00C67280" w:rsidRPr="00C67280" w:rsidRDefault="00C67280" w:rsidP="00C67280">
      <w:pPr>
        <w:pStyle w:val="Bodytext21"/>
        <w:spacing w:before="120" w:line="240" w:lineRule="auto"/>
        <w:jc w:val="both"/>
        <w:rPr>
          <w:rStyle w:val="tlid-translation"/>
          <w:b w:val="0"/>
          <w:bCs w:val="0"/>
          <w:sz w:val="22"/>
          <w:szCs w:val="22"/>
          <w:lang w:val="en-GB"/>
        </w:rPr>
      </w:pPr>
    </w:p>
    <w:p w:rsidR="00C67280" w:rsidRPr="00C67280" w:rsidRDefault="00C67280" w:rsidP="00C67280">
      <w:pPr>
        <w:pStyle w:val="Bodytext21"/>
        <w:spacing w:before="120" w:line="240" w:lineRule="auto"/>
        <w:jc w:val="both"/>
        <w:rPr>
          <w:rStyle w:val="tlid-translation"/>
          <w:sz w:val="22"/>
          <w:szCs w:val="22"/>
          <w:lang w:val="en-GB"/>
        </w:rPr>
      </w:pPr>
      <w:r w:rsidRPr="00C67280">
        <w:rPr>
          <w:rStyle w:val="tlid-translation"/>
          <w:sz w:val="22"/>
          <w:szCs w:val="22"/>
          <w:lang w:val="en-GB"/>
        </w:rPr>
        <w:t>Question 23</w:t>
      </w:r>
    </w:p>
    <w:p w:rsidR="00C67280" w:rsidRPr="00C67280" w:rsidRDefault="00C67280" w:rsidP="00C67280">
      <w:pPr>
        <w:pStyle w:val="Bodytext21"/>
        <w:spacing w:before="120" w:line="240" w:lineRule="auto"/>
        <w:jc w:val="both"/>
        <w:rPr>
          <w:rStyle w:val="tlid-translation"/>
          <w:b w:val="0"/>
          <w:bCs w:val="0"/>
          <w:sz w:val="22"/>
          <w:szCs w:val="22"/>
          <w:lang w:val="en-GB"/>
        </w:rPr>
      </w:pPr>
      <w:r w:rsidRPr="00C67280">
        <w:rPr>
          <w:rStyle w:val="tlid-translation"/>
          <w:b w:val="0"/>
          <w:bCs w:val="0"/>
          <w:sz w:val="22"/>
          <w:szCs w:val="22"/>
          <w:lang w:val="en-GB"/>
        </w:rPr>
        <w:t>62. The payment of compensation to people whose houses/apartments were destroyed as a result of the hostilities remains unregulated by law.</w:t>
      </w:r>
    </w:p>
    <w:p w:rsidR="00C67280" w:rsidRPr="00C67280" w:rsidRDefault="00C67280" w:rsidP="00C67280">
      <w:pPr>
        <w:pStyle w:val="Bodytext21"/>
        <w:spacing w:before="120" w:line="240" w:lineRule="auto"/>
        <w:jc w:val="both"/>
        <w:rPr>
          <w:rStyle w:val="tlid-translation"/>
          <w:b w:val="0"/>
          <w:bCs w:val="0"/>
          <w:sz w:val="22"/>
          <w:szCs w:val="22"/>
          <w:lang w:val="en-GB"/>
        </w:rPr>
      </w:pPr>
      <w:r w:rsidRPr="00C67280">
        <w:rPr>
          <w:rStyle w:val="tlid-translation"/>
          <w:b w:val="0"/>
          <w:bCs w:val="0"/>
          <w:sz w:val="22"/>
          <w:szCs w:val="22"/>
          <w:lang w:val="en-GB"/>
        </w:rPr>
        <w:t>63. As the legal mechanism for the payment of compensation is absent, the only possible way to obtain compensation is to bring an action to court. Part of the lawsuits are filed against the Russian Federation, the other part, against the Cabinet of Ministers of Ukraine, based on the provisions of the Law of Ukraine “On Combating Terrorism” and the Civil Protection Code of Ukraine.</w:t>
      </w:r>
    </w:p>
    <w:p w:rsidR="00C67280" w:rsidRPr="00C67280" w:rsidRDefault="00C67280" w:rsidP="00C67280">
      <w:pPr>
        <w:pStyle w:val="Bodytext21"/>
        <w:spacing w:before="120" w:line="240" w:lineRule="auto"/>
        <w:jc w:val="both"/>
        <w:rPr>
          <w:rStyle w:val="tlid-translation"/>
          <w:b w:val="0"/>
          <w:bCs w:val="0"/>
          <w:sz w:val="22"/>
          <w:szCs w:val="22"/>
          <w:lang w:val="en-GB"/>
        </w:rPr>
      </w:pPr>
      <w:r w:rsidRPr="00C67280">
        <w:rPr>
          <w:rStyle w:val="tlid-translation"/>
          <w:b w:val="0"/>
          <w:bCs w:val="0"/>
          <w:sz w:val="22"/>
          <w:szCs w:val="22"/>
          <w:lang w:val="en-GB"/>
        </w:rPr>
        <w:t>64. On 10 July 2019, the Government adopted the new wording of the Procedure for granting and determining financial assistance or compensation to victims of emergencies remaining at their previous place of residence, approved by the CMU Resolution #947 of 18.12.2013. However, it only covers a small share of persons (who remained in the previous place of residence), and it does not take into account the needs of all persons affected by the armed conflict, including those who were forced to leave their place of residence.</w:t>
      </w:r>
    </w:p>
    <w:p w:rsidR="00C67280" w:rsidRPr="00C67280" w:rsidRDefault="00C67280" w:rsidP="00C67280">
      <w:pPr>
        <w:pStyle w:val="Bodytext21"/>
        <w:spacing w:before="120" w:line="240" w:lineRule="auto"/>
        <w:jc w:val="both"/>
        <w:rPr>
          <w:rStyle w:val="tlid-translation"/>
          <w:b w:val="0"/>
          <w:bCs w:val="0"/>
          <w:sz w:val="22"/>
          <w:szCs w:val="22"/>
          <w:lang w:val="en-GB"/>
        </w:rPr>
      </w:pPr>
    </w:p>
    <w:p w:rsidR="00C67280" w:rsidRPr="00C67280" w:rsidRDefault="00C67280" w:rsidP="00C67280">
      <w:pPr>
        <w:pStyle w:val="Bodytext21"/>
        <w:spacing w:before="120" w:line="240" w:lineRule="auto"/>
        <w:jc w:val="both"/>
        <w:rPr>
          <w:rStyle w:val="tlid-translation"/>
          <w:sz w:val="22"/>
          <w:szCs w:val="22"/>
          <w:lang w:val="en-GB"/>
        </w:rPr>
      </w:pPr>
      <w:r w:rsidRPr="00C67280">
        <w:rPr>
          <w:rStyle w:val="tlid-translation"/>
          <w:sz w:val="22"/>
          <w:szCs w:val="22"/>
          <w:lang w:val="en-GB"/>
        </w:rPr>
        <w:t>Question 24</w:t>
      </w:r>
    </w:p>
    <w:p w:rsidR="00C67280" w:rsidRPr="00C67280" w:rsidRDefault="00C67280" w:rsidP="00C67280">
      <w:pPr>
        <w:pStyle w:val="Bodytext21"/>
        <w:spacing w:before="120" w:line="240" w:lineRule="auto"/>
        <w:jc w:val="both"/>
        <w:rPr>
          <w:rStyle w:val="tlid-translation"/>
          <w:b w:val="0"/>
          <w:bCs w:val="0"/>
          <w:sz w:val="22"/>
          <w:szCs w:val="22"/>
          <w:lang w:val="en-GB"/>
        </w:rPr>
      </w:pPr>
      <w:r w:rsidRPr="00C67280">
        <w:rPr>
          <w:rStyle w:val="tlid-translation"/>
          <w:b w:val="0"/>
          <w:bCs w:val="0"/>
          <w:sz w:val="22"/>
          <w:szCs w:val="22"/>
          <w:lang w:val="en-GB"/>
        </w:rPr>
        <w:t>65. Settlements in the immediate vicinity of the contact line are daily affected by the prolonged armed conflict in eastern Ukraine. The rights of the population living in these areas are constantly restricted. The media monitoring revealed that in the settlements of Donetsk oblasts located near the contact line, there has been no water supply for a long time, in particular in the settlements of Petrivka, Novhorodske, Shcherbynivka.</w:t>
      </w:r>
    </w:p>
    <w:p w:rsidR="00C67280" w:rsidRPr="00C67280" w:rsidRDefault="00C67280" w:rsidP="00C67280">
      <w:pPr>
        <w:pStyle w:val="Bodytext21"/>
        <w:spacing w:before="120" w:line="240" w:lineRule="auto"/>
        <w:jc w:val="both"/>
        <w:rPr>
          <w:b w:val="0"/>
          <w:bCs w:val="0"/>
          <w:sz w:val="22"/>
          <w:szCs w:val="22"/>
          <w:lang w:val="en-GB"/>
        </w:rPr>
      </w:pPr>
      <w:r w:rsidRPr="00C67280">
        <w:rPr>
          <w:rStyle w:val="tlid-translation"/>
          <w:b w:val="0"/>
          <w:bCs w:val="0"/>
          <w:sz w:val="22"/>
          <w:szCs w:val="22"/>
          <w:lang w:val="en-GB"/>
        </w:rPr>
        <w:t>66. The Commissioner send requests to Toretsk Military-Civil Administration and the Ministry of Regional Development to take measures to ensure proper functioning of infrastructure in these settlements. As a result of the measures taken, water supply in these settlements was renewed</w:t>
      </w:r>
      <w:r w:rsidRPr="00C67280">
        <w:rPr>
          <w:b w:val="0"/>
          <w:bCs w:val="0"/>
          <w:sz w:val="22"/>
          <w:szCs w:val="22"/>
          <w:lang w:val="en-GB"/>
        </w:rPr>
        <w:t>.</w:t>
      </w:r>
    </w:p>
    <w:p w:rsidR="00C67280" w:rsidRPr="00C67280" w:rsidRDefault="00C67280" w:rsidP="00C67280">
      <w:pPr>
        <w:autoSpaceDE w:val="0"/>
        <w:autoSpaceDN w:val="0"/>
        <w:adjustRightInd w:val="0"/>
        <w:spacing w:before="120" w:after="120"/>
        <w:jc w:val="both"/>
        <w:rPr>
          <w:rFonts w:ascii="Times New Roman" w:hAnsi="Times New Roman"/>
          <w:lang w:val="en-GB"/>
        </w:rPr>
      </w:pPr>
    </w:p>
    <w:p w:rsidR="00C67280" w:rsidRPr="00C67280" w:rsidRDefault="00C67280" w:rsidP="00C67280">
      <w:pPr>
        <w:autoSpaceDE w:val="0"/>
        <w:autoSpaceDN w:val="0"/>
        <w:adjustRightInd w:val="0"/>
        <w:spacing w:before="120" w:after="120"/>
        <w:jc w:val="both"/>
        <w:rPr>
          <w:rFonts w:ascii="Times New Roman" w:hAnsi="Times New Roman"/>
          <w:b/>
          <w:bCs/>
          <w:lang w:val="en-GB"/>
        </w:rPr>
      </w:pPr>
      <w:r w:rsidRPr="00C67280">
        <w:rPr>
          <w:rFonts w:ascii="Times New Roman" w:hAnsi="Times New Roman"/>
          <w:b/>
          <w:bCs/>
          <w:lang w:val="en-GB"/>
        </w:rPr>
        <w:t>Question 25</w:t>
      </w:r>
    </w:p>
    <w:p w:rsidR="00C67280" w:rsidRPr="00C67280" w:rsidRDefault="00C67280" w:rsidP="00C67280">
      <w:pPr>
        <w:spacing w:before="120" w:after="120"/>
        <w:jc w:val="both"/>
        <w:rPr>
          <w:rStyle w:val="tlid-translation"/>
          <w:rFonts w:ascii="Times New Roman" w:hAnsi="Times New Roman"/>
          <w:lang w:val="en-GB"/>
        </w:rPr>
      </w:pPr>
      <w:r w:rsidRPr="00C67280">
        <w:rPr>
          <w:rStyle w:val="tlid-translation"/>
          <w:rFonts w:ascii="Times New Roman" w:hAnsi="Times New Roman"/>
          <w:lang w:val="en-GB"/>
        </w:rPr>
        <w:t>67. Financial needs of health care facilities far exceed the amount of medical subventions from the state budget. Although the State Budget for 2020 increased funding of health care to UAH 131.8 Billion, the share of health care expenditures in GDP does not exceed 2.9%, and compared to 2019, it decreased from 3.2%. It does not meet the requirements of part 5 of Article 4 of the Law of Ukraine “On State Financial Guarantees of Public Healthcare” that requires allocation of at least % of GDP to implement medical guarantees.</w:t>
      </w:r>
    </w:p>
    <w:p w:rsidR="00C67280" w:rsidRPr="00C67280" w:rsidRDefault="00C67280" w:rsidP="00C67280">
      <w:pPr>
        <w:spacing w:before="120" w:after="120"/>
        <w:jc w:val="both"/>
        <w:rPr>
          <w:rStyle w:val="tlid-translation"/>
          <w:rFonts w:ascii="Times New Roman" w:hAnsi="Times New Roman"/>
          <w:lang w:val="en-GB"/>
        </w:rPr>
      </w:pPr>
      <w:r w:rsidRPr="00C67280">
        <w:rPr>
          <w:rStyle w:val="tlid-translation"/>
          <w:rFonts w:ascii="Times New Roman" w:hAnsi="Times New Roman"/>
          <w:lang w:val="en-GB"/>
        </w:rPr>
        <w:t>68. The existing system of prevention and healthcare is unable to withstand the epidemic dissemination of socially dangerous diseases, the greatest threat being the uncontrolled dissemination of HIV/AIDS and tuberculosis.</w:t>
      </w:r>
    </w:p>
    <w:p w:rsidR="00C67280" w:rsidRPr="00C67280" w:rsidRDefault="00C67280" w:rsidP="00C67280">
      <w:pPr>
        <w:spacing w:before="120" w:after="120"/>
        <w:jc w:val="both"/>
        <w:rPr>
          <w:rStyle w:val="tlid-translation"/>
          <w:rFonts w:ascii="Times New Roman" w:hAnsi="Times New Roman"/>
          <w:lang w:val="en-GB"/>
        </w:rPr>
      </w:pPr>
      <w:r w:rsidRPr="00C67280">
        <w:rPr>
          <w:rStyle w:val="tlid-translation"/>
          <w:rFonts w:ascii="Times New Roman" w:hAnsi="Times New Roman"/>
          <w:lang w:val="en-GB"/>
        </w:rPr>
        <w:t>69. Since 2014, Ukraine has been in the top five countries with the highest burden of multidrug-resistant tuberculosis, with successful TB treatment rate – 46% – being one of the lowest in the European region. Given the epidemic dissemination of tuberculosis among the population of Ukraine, the TB should become one of the priorities of national policy in the field of health and social development</w:t>
      </w:r>
      <w:r w:rsidRPr="00C67280">
        <w:rPr>
          <w:rStyle w:val="af"/>
          <w:rFonts w:ascii="Times New Roman" w:eastAsia="Calibri" w:hAnsi="Times New Roman"/>
          <w:lang w:val="en-GB"/>
        </w:rPr>
        <w:footnoteReference w:id="8"/>
      </w:r>
      <w:r w:rsidRPr="00C67280">
        <w:rPr>
          <w:rStyle w:val="tlid-translation"/>
          <w:rFonts w:ascii="Times New Roman" w:hAnsi="Times New Roman"/>
          <w:lang w:val="en-GB"/>
        </w:rPr>
        <w:t>.</w:t>
      </w:r>
    </w:p>
    <w:p w:rsidR="00C67280" w:rsidRPr="00C67280" w:rsidRDefault="00C67280" w:rsidP="00C67280">
      <w:pPr>
        <w:spacing w:before="120" w:after="120"/>
        <w:jc w:val="both"/>
        <w:rPr>
          <w:rStyle w:val="tlid-translation"/>
          <w:rFonts w:ascii="Times New Roman" w:hAnsi="Times New Roman"/>
          <w:lang w:val="en-GB"/>
        </w:rPr>
      </w:pPr>
    </w:p>
    <w:p w:rsidR="00C67280" w:rsidRPr="00C67280" w:rsidRDefault="00C67280" w:rsidP="00C67280">
      <w:pPr>
        <w:spacing w:before="120" w:after="120"/>
        <w:jc w:val="both"/>
        <w:rPr>
          <w:rStyle w:val="tlid-translation"/>
          <w:rFonts w:ascii="Times New Roman" w:hAnsi="Times New Roman"/>
          <w:b/>
          <w:bCs/>
          <w:lang w:val="en-GB"/>
        </w:rPr>
      </w:pPr>
      <w:r w:rsidRPr="00C67280">
        <w:rPr>
          <w:rStyle w:val="tlid-translation"/>
          <w:rFonts w:ascii="Times New Roman" w:hAnsi="Times New Roman"/>
          <w:b/>
          <w:bCs/>
          <w:lang w:val="en-GB"/>
        </w:rPr>
        <w:t>Question 27</w:t>
      </w:r>
    </w:p>
    <w:p w:rsidR="00C67280" w:rsidRPr="00C67280" w:rsidRDefault="00C67280" w:rsidP="00C67280">
      <w:pPr>
        <w:spacing w:before="120" w:after="120"/>
        <w:jc w:val="both"/>
        <w:rPr>
          <w:rStyle w:val="tlid-translation"/>
          <w:rFonts w:ascii="Times New Roman" w:hAnsi="Times New Roman"/>
          <w:lang w:val="en-GB"/>
        </w:rPr>
      </w:pPr>
      <w:r w:rsidRPr="00C67280">
        <w:rPr>
          <w:rStyle w:val="tlid-translation"/>
          <w:rFonts w:ascii="Times New Roman" w:hAnsi="Times New Roman"/>
          <w:lang w:val="en-GB"/>
        </w:rPr>
        <w:t>70. For five years, the issue of establishing the status of civilians affected by the armed aggression of the Russian Federation against Ukraine remains unresolved at the legislative level.</w:t>
      </w:r>
    </w:p>
    <w:p w:rsidR="00C67280" w:rsidRPr="00C67280" w:rsidRDefault="00C67280" w:rsidP="00C67280">
      <w:pPr>
        <w:spacing w:before="120" w:after="120"/>
        <w:jc w:val="both"/>
        <w:rPr>
          <w:rStyle w:val="tlid-translation"/>
          <w:rFonts w:ascii="Times New Roman" w:hAnsi="Times New Roman"/>
          <w:lang w:val="en-GB"/>
        </w:rPr>
      </w:pPr>
      <w:r w:rsidRPr="00C67280">
        <w:rPr>
          <w:rStyle w:val="tlid-translation"/>
          <w:rFonts w:ascii="Times New Roman" w:hAnsi="Times New Roman"/>
          <w:lang w:val="en-GB"/>
        </w:rPr>
        <w:t>71. At present, there is no unified state mechanism for the account of civilians who have been injured or sustained other damage to health as a result of hostilities.</w:t>
      </w:r>
    </w:p>
    <w:p w:rsidR="00C67280" w:rsidRPr="00C67280" w:rsidRDefault="00C67280" w:rsidP="00C67280">
      <w:pPr>
        <w:spacing w:before="120" w:after="120"/>
        <w:jc w:val="both"/>
        <w:rPr>
          <w:rStyle w:val="tlid-translation"/>
          <w:rFonts w:ascii="Times New Roman" w:hAnsi="Times New Roman"/>
          <w:lang w:val="en-GB"/>
        </w:rPr>
      </w:pPr>
      <w:r w:rsidRPr="00C67280">
        <w:rPr>
          <w:rStyle w:val="tlid-translation"/>
          <w:rFonts w:ascii="Times New Roman" w:hAnsi="Times New Roman"/>
          <w:lang w:val="en-GB"/>
        </w:rPr>
        <w:t>72. In May 2018, amendments were made to the Law of Ukraine “On the Status of War Veterans, Guarantees of their Social Protection” that extended its scope to civilians who sustained disability as a result of hostilities</w:t>
      </w:r>
      <w:r w:rsidRPr="00C67280">
        <w:rPr>
          <w:rStyle w:val="af"/>
          <w:rFonts w:ascii="Times New Roman" w:hAnsi="Times New Roman"/>
          <w:lang w:val="en-GB"/>
        </w:rPr>
        <w:footnoteReference w:id="9"/>
      </w:r>
      <w:r w:rsidRPr="00C67280">
        <w:rPr>
          <w:rFonts w:ascii="Times New Roman" w:hAnsi="Times New Roman"/>
          <w:lang w:val="en-GB"/>
        </w:rPr>
        <w:t>.</w:t>
      </w:r>
    </w:p>
    <w:p w:rsidR="00C67280" w:rsidRPr="00C67280" w:rsidRDefault="00C67280" w:rsidP="00C67280">
      <w:pPr>
        <w:spacing w:before="120" w:after="120"/>
        <w:jc w:val="both"/>
        <w:rPr>
          <w:rStyle w:val="tlid-translation"/>
          <w:rFonts w:ascii="Times New Roman" w:hAnsi="Times New Roman"/>
          <w:lang w:val="en-GB"/>
        </w:rPr>
      </w:pPr>
    </w:p>
    <w:p w:rsidR="00C67280" w:rsidRPr="00C67280" w:rsidRDefault="00C67280" w:rsidP="00C67280">
      <w:pPr>
        <w:spacing w:before="120" w:after="120"/>
        <w:jc w:val="both"/>
        <w:rPr>
          <w:rStyle w:val="tlid-translation"/>
          <w:rFonts w:ascii="Times New Roman" w:hAnsi="Times New Roman"/>
          <w:b/>
          <w:bCs/>
          <w:lang w:val="en-GB"/>
        </w:rPr>
      </w:pPr>
      <w:r w:rsidRPr="00C67280">
        <w:rPr>
          <w:rStyle w:val="tlid-translation"/>
          <w:rFonts w:ascii="Times New Roman" w:hAnsi="Times New Roman"/>
          <w:b/>
          <w:bCs/>
          <w:lang w:val="en-GB"/>
        </w:rPr>
        <w:t>Question 28</w:t>
      </w:r>
    </w:p>
    <w:p w:rsidR="00C67280" w:rsidRPr="00C67280" w:rsidRDefault="00C67280" w:rsidP="00C67280">
      <w:pPr>
        <w:spacing w:before="120" w:after="120"/>
        <w:jc w:val="both"/>
        <w:rPr>
          <w:rStyle w:val="tlid-translation"/>
          <w:rFonts w:ascii="Times New Roman" w:hAnsi="Times New Roman"/>
          <w:lang w:val="en-GB"/>
        </w:rPr>
      </w:pPr>
      <w:r w:rsidRPr="00C67280">
        <w:rPr>
          <w:rStyle w:val="tlid-translation"/>
          <w:rFonts w:ascii="Times New Roman" w:hAnsi="Times New Roman"/>
          <w:lang w:val="en-GB"/>
        </w:rPr>
        <w:t>73. As of December 2019, 117 schools located in the high shelling risk areas along the contact line continue to operate.</w:t>
      </w:r>
    </w:p>
    <w:p w:rsidR="00C67280" w:rsidRPr="00C67280" w:rsidRDefault="00C67280" w:rsidP="00C67280">
      <w:pPr>
        <w:spacing w:before="120" w:after="120"/>
        <w:jc w:val="both"/>
        <w:rPr>
          <w:rStyle w:val="tlid-translation"/>
          <w:rFonts w:ascii="Times New Roman" w:hAnsi="Times New Roman"/>
          <w:lang w:val="en-GB"/>
        </w:rPr>
      </w:pPr>
      <w:r w:rsidRPr="00C67280">
        <w:rPr>
          <w:rStyle w:val="tlid-translation"/>
          <w:rFonts w:ascii="Times New Roman" w:hAnsi="Times New Roman"/>
          <w:lang w:val="en-GB"/>
        </w:rPr>
        <w:t>74. On 26-27 November 2019, the Commissioner conducted an international conference on the observance of the rights of the child in armed conflict, attended by children living in areas close to the contact line who noted that the premises of their schools are poorly or not equipped against shelling or other massive attacks.</w:t>
      </w:r>
    </w:p>
    <w:p w:rsidR="00C67280" w:rsidRPr="00C67280" w:rsidRDefault="00C67280" w:rsidP="00C67280">
      <w:pPr>
        <w:spacing w:before="120" w:after="120"/>
        <w:jc w:val="both"/>
        <w:rPr>
          <w:rStyle w:val="tlid-translation"/>
          <w:rFonts w:ascii="Times New Roman" w:hAnsi="Times New Roman"/>
          <w:lang w:val="en-GB"/>
        </w:rPr>
      </w:pPr>
      <w:r w:rsidRPr="00C67280">
        <w:rPr>
          <w:rStyle w:val="tlid-translation"/>
          <w:rFonts w:ascii="Times New Roman" w:hAnsi="Times New Roman"/>
          <w:lang w:val="en-GB"/>
        </w:rPr>
        <w:t>75. In addition, in November 2019, Ukraine ratified the Safe Schools Declaration. At present, the provisions of the Declaration have not been mainstreamed into the national law.</w:t>
      </w:r>
    </w:p>
    <w:p w:rsidR="00C67280" w:rsidRPr="00C67280" w:rsidRDefault="00C67280" w:rsidP="00C67280">
      <w:pPr>
        <w:spacing w:before="120" w:after="120"/>
        <w:jc w:val="both"/>
        <w:rPr>
          <w:rStyle w:val="tlid-translation"/>
          <w:rFonts w:ascii="Times New Roman" w:hAnsi="Times New Roman"/>
          <w:lang w:val="en-GB"/>
        </w:rPr>
      </w:pPr>
      <w:r w:rsidRPr="00C67280">
        <w:rPr>
          <w:rStyle w:val="tlid-translation"/>
          <w:rFonts w:ascii="Times New Roman" w:hAnsi="Times New Roman"/>
          <w:lang w:val="en-GB"/>
        </w:rPr>
        <w:t>76. In 2019, monitoring visits were carried out to Donbas-Ukraine and Crimea-Ukraine education centres operating on the basis of Vernadskyi Tavria National University (Kyiv) and Admiral Makarov National University of Shipbuilding (Mykolaiv) to ensure the rights of persons residing on the temporarily occupied territory of Ukraine to enter the higher and vocational (vocational-technical) education institutions.</w:t>
      </w:r>
    </w:p>
    <w:p w:rsidR="00C67280" w:rsidRPr="00C67280" w:rsidRDefault="00C67280" w:rsidP="00C67280">
      <w:pPr>
        <w:autoSpaceDE w:val="0"/>
        <w:autoSpaceDN w:val="0"/>
        <w:adjustRightInd w:val="0"/>
        <w:spacing w:before="120" w:after="120"/>
        <w:jc w:val="both"/>
        <w:rPr>
          <w:rStyle w:val="tlid-translation"/>
          <w:rFonts w:ascii="Times New Roman" w:hAnsi="Times New Roman"/>
          <w:lang w:val="en-GB"/>
        </w:rPr>
      </w:pPr>
      <w:r w:rsidRPr="00C67280">
        <w:rPr>
          <w:rStyle w:val="tlid-translation"/>
          <w:rFonts w:ascii="Times New Roman" w:hAnsi="Times New Roman"/>
          <w:lang w:val="en-GB"/>
        </w:rPr>
        <w:lastRenderedPageBreak/>
        <w:t>77. At the same time, the shortcomings were observed in the operation of the Unified State Electronic Database on Education, as well as the lack of proper cooperation with its administrator (the state-owned enterprise “Inforesurs” that is subordinate to the Ministry of Education and Science of Ukraine) concerning the shortened terms of issuing an education certificate. There are cases when the social protection authorities refuse to issue IDP certificates to persons who enter the higher and vocational (vocational-technical) education institutions</w:t>
      </w:r>
    </w:p>
    <w:p w:rsidR="00C67280" w:rsidRPr="00C67280" w:rsidRDefault="00C67280" w:rsidP="00C67280">
      <w:pPr>
        <w:autoSpaceDE w:val="0"/>
        <w:autoSpaceDN w:val="0"/>
        <w:adjustRightInd w:val="0"/>
        <w:spacing w:before="120" w:after="120"/>
        <w:jc w:val="both"/>
        <w:rPr>
          <w:rStyle w:val="tlid-translation"/>
          <w:rFonts w:ascii="Times New Roman" w:hAnsi="Times New Roman"/>
          <w:lang w:val="en-GB"/>
        </w:rPr>
      </w:pPr>
    </w:p>
    <w:p w:rsidR="00C67280" w:rsidRPr="00C67280" w:rsidRDefault="00C67280" w:rsidP="00C67280">
      <w:pPr>
        <w:autoSpaceDE w:val="0"/>
        <w:autoSpaceDN w:val="0"/>
        <w:adjustRightInd w:val="0"/>
        <w:spacing w:before="120" w:after="120"/>
        <w:jc w:val="both"/>
        <w:rPr>
          <w:rStyle w:val="tlid-translation"/>
          <w:rFonts w:ascii="Times New Roman" w:hAnsi="Times New Roman"/>
          <w:b/>
          <w:bCs/>
          <w:lang w:val="en-GB"/>
        </w:rPr>
      </w:pPr>
      <w:r w:rsidRPr="00C67280">
        <w:rPr>
          <w:rStyle w:val="tlid-translation"/>
          <w:rFonts w:ascii="Times New Roman" w:hAnsi="Times New Roman"/>
          <w:b/>
          <w:bCs/>
          <w:lang w:val="en-GB"/>
        </w:rPr>
        <w:t>Question 29</w:t>
      </w:r>
    </w:p>
    <w:p w:rsidR="00C67280" w:rsidRPr="00C67280" w:rsidRDefault="00C67280" w:rsidP="00C67280">
      <w:pPr>
        <w:autoSpaceDE w:val="0"/>
        <w:autoSpaceDN w:val="0"/>
        <w:adjustRightInd w:val="0"/>
        <w:spacing w:before="120" w:after="120"/>
        <w:jc w:val="both"/>
        <w:rPr>
          <w:rStyle w:val="tlid-translation"/>
          <w:rFonts w:ascii="Times New Roman" w:hAnsi="Times New Roman"/>
          <w:lang w:val="en-GB"/>
        </w:rPr>
      </w:pPr>
      <w:r w:rsidRPr="00C67280">
        <w:rPr>
          <w:rStyle w:val="tlid-translation"/>
          <w:rFonts w:ascii="Times New Roman" w:hAnsi="Times New Roman"/>
          <w:lang w:val="en-GB"/>
        </w:rPr>
        <w:t>78. Although the government has introduced an inclusive education system since 2017, and in 2018, requirements for the design of inclusive schools were added to the state construction regulations, the monitoring of the Commissioner showed that most general secondary education institutions are not accessible for people with musculoskeletal and sight impairments. When school buses/transport vehicles are available, such vehicles are not adjusted for needs of children with disabilities.</w:t>
      </w:r>
    </w:p>
    <w:p w:rsidR="00C67280" w:rsidRPr="00C67280" w:rsidRDefault="00C67280" w:rsidP="00C67280">
      <w:pPr>
        <w:autoSpaceDE w:val="0"/>
        <w:autoSpaceDN w:val="0"/>
        <w:adjustRightInd w:val="0"/>
        <w:spacing w:before="120" w:after="120"/>
        <w:jc w:val="both"/>
        <w:rPr>
          <w:rStyle w:val="tlid-translation"/>
          <w:rFonts w:ascii="Times New Roman" w:hAnsi="Times New Roman"/>
          <w:lang w:val="en-GB"/>
        </w:rPr>
      </w:pPr>
      <w:r w:rsidRPr="00C67280">
        <w:rPr>
          <w:rStyle w:val="tlid-translation"/>
          <w:rFonts w:ascii="Times New Roman" w:hAnsi="Times New Roman"/>
          <w:lang w:val="en-GB"/>
        </w:rPr>
        <w:t>79. In addition, the educators are currently not sufficiently prepared to deal with children with special educational needs.</w:t>
      </w:r>
    </w:p>
    <w:p w:rsidR="00C67280" w:rsidRPr="00C67280" w:rsidRDefault="00C67280" w:rsidP="00C67280">
      <w:pPr>
        <w:autoSpaceDE w:val="0"/>
        <w:autoSpaceDN w:val="0"/>
        <w:adjustRightInd w:val="0"/>
        <w:spacing w:before="120" w:after="120"/>
        <w:jc w:val="both"/>
        <w:rPr>
          <w:rStyle w:val="tlid-translation"/>
          <w:rFonts w:ascii="Times New Roman" w:hAnsi="Times New Roman"/>
          <w:lang w:val="en-GB"/>
        </w:rPr>
      </w:pPr>
      <w:r w:rsidRPr="00C67280">
        <w:rPr>
          <w:rStyle w:val="tlid-translation"/>
          <w:rFonts w:ascii="Times New Roman" w:hAnsi="Times New Roman"/>
          <w:lang w:val="en-GB"/>
        </w:rPr>
        <w:t>80. The closure of schools in rural areas sometimes does not lead to the anticipated goal of improving the level of education, but – on the contrary – creates significant obstacles to children’s access to quality education. Many districts in the oblasts remain uncovered by school buses that makes children go to school in another settlement by foot.</w:t>
      </w:r>
    </w:p>
    <w:p w:rsidR="00C67280" w:rsidRPr="00C67280" w:rsidRDefault="00C67280" w:rsidP="00C67280">
      <w:pPr>
        <w:autoSpaceDE w:val="0"/>
        <w:autoSpaceDN w:val="0"/>
        <w:adjustRightInd w:val="0"/>
        <w:spacing w:before="120" w:after="120"/>
        <w:jc w:val="both"/>
        <w:rPr>
          <w:rStyle w:val="tlid-translation"/>
          <w:rFonts w:ascii="Times New Roman" w:hAnsi="Times New Roman"/>
          <w:lang w:val="en-GB"/>
        </w:rPr>
      </w:pPr>
      <w:r w:rsidRPr="00C67280">
        <w:rPr>
          <w:rStyle w:val="tlid-translation"/>
          <w:rFonts w:ascii="Times New Roman" w:hAnsi="Times New Roman"/>
          <w:lang w:val="en-GB"/>
        </w:rPr>
        <w:t>81. In addition, during the monitoring visit, the Commissioner identified a case where in a boarding school for children in need of physical and/or mental development corrections, all the first-grade students are residents of the village where the school is located. This situation raises doubts about the reasonability of enrolment of children in a special educational institution.</w:t>
      </w:r>
    </w:p>
    <w:p w:rsidR="00C67280" w:rsidRPr="00C67280" w:rsidRDefault="00C67280" w:rsidP="00C67280">
      <w:pPr>
        <w:autoSpaceDE w:val="0"/>
        <w:autoSpaceDN w:val="0"/>
        <w:adjustRightInd w:val="0"/>
        <w:spacing w:before="120" w:after="120"/>
        <w:jc w:val="both"/>
        <w:rPr>
          <w:rStyle w:val="tlid-translation"/>
          <w:rFonts w:ascii="Times New Roman" w:hAnsi="Times New Roman"/>
          <w:lang w:val="en-GB"/>
        </w:rPr>
      </w:pPr>
      <w:r w:rsidRPr="00C67280">
        <w:rPr>
          <w:rStyle w:val="tlid-translation"/>
          <w:rFonts w:ascii="Times New Roman" w:hAnsi="Times New Roman"/>
          <w:lang w:val="en-GB"/>
        </w:rPr>
        <w:t>82. Monitoring of Roma children’s access to educational services in the regions of Ukraine with the largest Roma communities revealed that despite the adoption of the Strategy for the Protection and Social Integration of the Roma National Minority until 2020, the local government only implements the Strategy to tick the box and is not always committed to successful integration of Roma minority in the community.</w:t>
      </w:r>
    </w:p>
    <w:p w:rsidR="00C67280" w:rsidRPr="00C67280" w:rsidRDefault="00C67280" w:rsidP="00C67280">
      <w:pPr>
        <w:autoSpaceDE w:val="0"/>
        <w:autoSpaceDN w:val="0"/>
        <w:adjustRightInd w:val="0"/>
        <w:spacing w:before="120" w:after="120"/>
        <w:jc w:val="both"/>
        <w:rPr>
          <w:rStyle w:val="tlid-translation"/>
          <w:rFonts w:ascii="Times New Roman" w:hAnsi="Times New Roman"/>
          <w:lang w:val="en-GB"/>
        </w:rPr>
      </w:pPr>
      <w:r w:rsidRPr="00C67280">
        <w:rPr>
          <w:rStyle w:val="tlid-translation"/>
          <w:rFonts w:ascii="Times New Roman" w:hAnsi="Times New Roman"/>
          <w:lang w:val="en-GB"/>
        </w:rPr>
        <w:t>83. Given the fact that in most cases the parents of Roma children are illiterate, their children need individual support from teachers and extended day groups. However, due to underfunding, some general secondary education institutions do not open such groups and cannot organize individual classes.</w:t>
      </w:r>
    </w:p>
    <w:p w:rsidR="00C67280" w:rsidRPr="00C67280" w:rsidRDefault="00C67280" w:rsidP="00C67280">
      <w:pPr>
        <w:autoSpaceDE w:val="0"/>
        <w:autoSpaceDN w:val="0"/>
        <w:adjustRightInd w:val="0"/>
        <w:spacing w:before="120" w:after="120"/>
        <w:jc w:val="both"/>
        <w:rPr>
          <w:rStyle w:val="tlid-translation"/>
          <w:rFonts w:ascii="Times New Roman" w:hAnsi="Times New Roman"/>
          <w:lang w:val="en-GB"/>
        </w:rPr>
      </w:pPr>
      <w:r w:rsidRPr="00C67280">
        <w:rPr>
          <w:rStyle w:val="tlid-translation"/>
          <w:rFonts w:ascii="Times New Roman" w:hAnsi="Times New Roman"/>
          <w:lang w:val="en-GB"/>
        </w:rPr>
        <w:t>84. Roma children’s attendance of kindergartens and general secondary education institutions is low. Cases of children dropping from school have been identified. The reasons include early marriage and childbearing. As a result, some Roma children do not receive general secondary education. Only few continue their education in vocational and higher education institutions.</w:t>
      </w:r>
    </w:p>
    <w:p w:rsidR="00C67280" w:rsidRPr="00C67280" w:rsidRDefault="00C67280" w:rsidP="00C67280">
      <w:pPr>
        <w:autoSpaceDE w:val="0"/>
        <w:autoSpaceDN w:val="0"/>
        <w:adjustRightInd w:val="0"/>
        <w:spacing w:before="120" w:after="120"/>
        <w:jc w:val="both"/>
        <w:rPr>
          <w:rStyle w:val="tlid-translation"/>
          <w:rFonts w:ascii="Times New Roman" w:hAnsi="Times New Roman"/>
          <w:lang w:val="en-GB"/>
        </w:rPr>
      </w:pPr>
    </w:p>
    <w:p w:rsidR="00C67280" w:rsidRPr="00C67280" w:rsidRDefault="00C67280" w:rsidP="00C67280">
      <w:pPr>
        <w:autoSpaceDE w:val="0"/>
        <w:autoSpaceDN w:val="0"/>
        <w:adjustRightInd w:val="0"/>
        <w:spacing w:before="120" w:after="120"/>
        <w:jc w:val="both"/>
        <w:rPr>
          <w:rStyle w:val="tlid-translation"/>
          <w:rFonts w:ascii="Times New Roman" w:hAnsi="Times New Roman"/>
          <w:b/>
          <w:bCs/>
          <w:lang w:val="en-GB"/>
        </w:rPr>
      </w:pPr>
      <w:r w:rsidRPr="00C67280">
        <w:rPr>
          <w:rStyle w:val="tlid-translation"/>
          <w:rFonts w:ascii="Times New Roman" w:hAnsi="Times New Roman"/>
          <w:b/>
          <w:bCs/>
          <w:lang w:val="en-GB"/>
        </w:rPr>
        <w:t>Question 32</w:t>
      </w:r>
    </w:p>
    <w:p w:rsidR="00C67280" w:rsidRPr="00C67280" w:rsidRDefault="00C67280" w:rsidP="00C67280">
      <w:pPr>
        <w:autoSpaceDE w:val="0"/>
        <w:autoSpaceDN w:val="0"/>
        <w:adjustRightInd w:val="0"/>
        <w:spacing w:before="120" w:after="120"/>
        <w:jc w:val="both"/>
        <w:rPr>
          <w:rStyle w:val="tlid-translation"/>
          <w:rFonts w:ascii="Times New Roman" w:hAnsi="Times New Roman"/>
          <w:lang w:val="en-GB"/>
        </w:rPr>
      </w:pPr>
      <w:r w:rsidRPr="00C67280">
        <w:rPr>
          <w:rStyle w:val="tlid-translation"/>
          <w:rFonts w:ascii="Times New Roman" w:hAnsi="Times New Roman"/>
          <w:lang w:val="en-GB"/>
        </w:rPr>
        <w:t>85. Within the Commissioner’s exercise of parliamentary control over the observance of constitutional rights of citizens in the field of culture, in the context of decentralization reform, monitoring visits were made to local executive authorities and local self-government bodies, as well as to their subordinate cultural institutions in Vinnytsia, Kyiv and Kharkiv oblasts.</w:t>
      </w:r>
    </w:p>
    <w:p w:rsidR="00C67280" w:rsidRPr="00C67280" w:rsidRDefault="00C67280" w:rsidP="00C67280">
      <w:pPr>
        <w:autoSpaceDE w:val="0"/>
        <w:autoSpaceDN w:val="0"/>
        <w:adjustRightInd w:val="0"/>
        <w:spacing w:before="120" w:after="120"/>
        <w:jc w:val="both"/>
        <w:rPr>
          <w:rStyle w:val="tlid-translation"/>
          <w:rFonts w:ascii="Times New Roman" w:hAnsi="Times New Roman"/>
          <w:lang w:val="en-GB"/>
        </w:rPr>
      </w:pPr>
      <w:r w:rsidRPr="00C67280">
        <w:rPr>
          <w:rStyle w:val="tlid-translation"/>
          <w:rFonts w:ascii="Times New Roman" w:hAnsi="Times New Roman"/>
          <w:lang w:val="en-GB"/>
        </w:rPr>
        <w:t xml:space="preserve">87. The monitoring proves that the decentralization has exacerbated the problem of preserving and developing cultural and artistic institutions in the regions. It is quite common when during the amalgamation of territorial communities, newly-formed local governments refuse to accept cultural institutions on their </w:t>
      </w:r>
      <w:r w:rsidRPr="00C67280">
        <w:rPr>
          <w:rStyle w:val="tlid-translation"/>
          <w:rFonts w:ascii="Times New Roman" w:hAnsi="Times New Roman"/>
          <w:lang w:val="en-GB"/>
        </w:rPr>
        <w:lastRenderedPageBreak/>
        <w:t>balance sheets. As a result, every year the network of cultural and artistic institutions is reduced by 2,000-2,500 facilities, and the communities gradually lose access to cultural services.</w:t>
      </w:r>
    </w:p>
    <w:p w:rsidR="00C67280" w:rsidRPr="00C67280" w:rsidRDefault="00C67280" w:rsidP="00C67280">
      <w:pPr>
        <w:autoSpaceDE w:val="0"/>
        <w:autoSpaceDN w:val="0"/>
        <w:adjustRightInd w:val="0"/>
        <w:spacing w:before="120" w:after="120"/>
        <w:jc w:val="both"/>
        <w:rPr>
          <w:rStyle w:val="tlid-translation"/>
          <w:rFonts w:ascii="Times New Roman" w:hAnsi="Times New Roman"/>
          <w:lang w:val="en-GB"/>
        </w:rPr>
      </w:pPr>
      <w:r w:rsidRPr="00C67280">
        <w:rPr>
          <w:rStyle w:val="tlid-translation"/>
          <w:rFonts w:ascii="Times New Roman" w:hAnsi="Times New Roman"/>
          <w:lang w:val="en-GB"/>
        </w:rPr>
        <w:t>88. The material and technical provision of most rural cultural institutions remains unsatisfactory.</w:t>
      </w:r>
    </w:p>
    <w:p w:rsidR="00C67280" w:rsidRPr="00C67280" w:rsidRDefault="00C67280" w:rsidP="00C67280">
      <w:pPr>
        <w:autoSpaceDE w:val="0"/>
        <w:autoSpaceDN w:val="0"/>
        <w:adjustRightInd w:val="0"/>
        <w:spacing w:before="120" w:after="120"/>
        <w:jc w:val="both"/>
        <w:rPr>
          <w:rFonts w:ascii="Times New Roman" w:hAnsi="Times New Roman"/>
          <w:bCs/>
          <w:i/>
          <w:lang w:val="en-GB"/>
        </w:rPr>
      </w:pPr>
      <w:r w:rsidRPr="00C67280">
        <w:rPr>
          <w:rStyle w:val="tlid-translation"/>
          <w:rFonts w:ascii="Times New Roman" w:hAnsi="Times New Roman"/>
          <w:lang w:val="en-GB"/>
        </w:rPr>
        <w:t>89. There are no adequate conditions for persons with disabilities and low-mobility groups to visit cultural institutions and facilities. Specialized libraries are not provided with books and publications in Braille for non-seeing and visually impaired persons.</w:t>
      </w:r>
    </w:p>
    <w:p w:rsidR="00C67280" w:rsidRPr="00C67280" w:rsidRDefault="00C67280" w:rsidP="00DE0643">
      <w:pPr>
        <w:spacing w:after="0"/>
        <w:ind w:left="5245" w:hanging="5245"/>
        <w:rPr>
          <w:rFonts w:ascii="Times New Roman" w:hAnsi="Times New Roman"/>
          <w:i/>
          <w:color w:val="000000" w:themeColor="text1"/>
          <w:sz w:val="24"/>
          <w:szCs w:val="24"/>
          <w:lang w:val="en-GB" w:eastAsia="ru-RU"/>
        </w:rPr>
      </w:pPr>
    </w:p>
    <w:p w:rsidR="007F468E" w:rsidRPr="00C67280" w:rsidRDefault="007F468E" w:rsidP="00DE0643">
      <w:pPr>
        <w:spacing w:after="0"/>
        <w:ind w:left="5245" w:hanging="5245"/>
        <w:rPr>
          <w:rFonts w:ascii="Times New Roman" w:hAnsi="Times New Roman"/>
          <w:i/>
          <w:color w:val="000000" w:themeColor="text1"/>
          <w:sz w:val="24"/>
          <w:szCs w:val="24"/>
          <w:lang w:val="en-GB" w:eastAsia="ru-RU"/>
        </w:rPr>
      </w:pPr>
    </w:p>
    <w:sectPr w:rsidR="007F468E" w:rsidRPr="00C67280" w:rsidSect="007E287E">
      <w:headerReference w:type="default" r:id="rId9"/>
      <w:pgSz w:w="11906" w:h="16838"/>
      <w:pgMar w:top="850" w:right="850"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D29" w:rsidRDefault="00F12D29" w:rsidP="00DE0643">
      <w:pPr>
        <w:spacing w:after="0" w:line="240" w:lineRule="auto"/>
      </w:pPr>
      <w:r>
        <w:separator/>
      </w:r>
    </w:p>
  </w:endnote>
  <w:endnote w:type="continuationSeparator" w:id="0">
    <w:p w:rsidR="00F12D29" w:rsidRDefault="00F12D29" w:rsidP="00DE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D29" w:rsidRDefault="00F12D29" w:rsidP="00DE0643">
      <w:pPr>
        <w:spacing w:after="0" w:line="240" w:lineRule="auto"/>
      </w:pPr>
      <w:r>
        <w:separator/>
      </w:r>
    </w:p>
  </w:footnote>
  <w:footnote w:type="continuationSeparator" w:id="0">
    <w:p w:rsidR="00F12D29" w:rsidRDefault="00F12D29" w:rsidP="00DE0643">
      <w:pPr>
        <w:spacing w:after="0" w:line="240" w:lineRule="auto"/>
      </w:pPr>
      <w:r>
        <w:continuationSeparator/>
      </w:r>
    </w:p>
  </w:footnote>
  <w:footnote w:id="1">
    <w:p w:rsidR="00C67280" w:rsidRPr="00A8208A" w:rsidRDefault="00C67280" w:rsidP="00C67280">
      <w:pPr>
        <w:pStyle w:val="ad"/>
        <w:rPr>
          <w:rFonts w:cstheme="minorHAnsi"/>
          <w:lang w:val="en-US"/>
        </w:rPr>
      </w:pPr>
      <w:r w:rsidRPr="00A8208A">
        <w:rPr>
          <w:rStyle w:val="af"/>
          <w:rFonts w:cstheme="minorHAnsi"/>
        </w:rPr>
        <w:footnoteRef/>
      </w:r>
      <w:r w:rsidRPr="00B9562C">
        <w:rPr>
          <w:rFonts w:cstheme="minorHAnsi"/>
          <w:lang w:val="en-US"/>
        </w:rPr>
        <w:t xml:space="preserve"> </w:t>
      </w:r>
      <w:r w:rsidRPr="00A8208A">
        <w:rPr>
          <w:rFonts w:cstheme="minorHAnsi"/>
          <w:lang w:val="en-US"/>
        </w:rPr>
        <w:t>In the VRU of ninth convocation, 20.52% MPs are women (compared to 35% female MPs in 1991). Women’s representation in the new Government is 33% (2019), compared to 22% in 2018.</w:t>
      </w:r>
    </w:p>
  </w:footnote>
  <w:footnote w:id="2">
    <w:p w:rsidR="00C67280" w:rsidRPr="00A8208A" w:rsidRDefault="00C67280" w:rsidP="00C6728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en-US"/>
        </w:rPr>
      </w:pPr>
      <w:r w:rsidRPr="00A8208A">
        <w:rPr>
          <w:rStyle w:val="af"/>
          <w:rFonts w:asciiTheme="minorHAnsi" w:hAnsiTheme="minorHAnsi" w:cstheme="minorHAnsi"/>
          <w:sz w:val="20"/>
          <w:szCs w:val="20"/>
        </w:rPr>
        <w:footnoteRef/>
      </w:r>
      <w:r w:rsidRPr="00B9562C">
        <w:rPr>
          <w:rFonts w:asciiTheme="minorHAnsi" w:hAnsiTheme="minorHAnsi" w:cstheme="minorHAnsi"/>
          <w:sz w:val="20"/>
          <w:szCs w:val="20"/>
          <w:lang w:val="en-US"/>
        </w:rPr>
        <w:t xml:space="preserve"> The unemployment rate (according to the ILO methodology) at the age of 15-70 years in January-November 2019 in Ukraine is 8.5%. The high</w:t>
      </w:r>
      <w:r w:rsidRPr="00A8208A">
        <w:rPr>
          <w:rFonts w:asciiTheme="minorHAnsi" w:hAnsiTheme="minorHAnsi" w:cstheme="minorHAnsi"/>
          <w:sz w:val="20"/>
          <w:szCs w:val="20"/>
          <w:lang w:val="en-US"/>
        </w:rPr>
        <w:t>es</w:t>
      </w:r>
      <w:r w:rsidRPr="00B9562C">
        <w:rPr>
          <w:rFonts w:asciiTheme="minorHAnsi" w:hAnsiTheme="minorHAnsi" w:cstheme="minorHAnsi"/>
          <w:sz w:val="20"/>
          <w:szCs w:val="20"/>
          <w:lang w:val="en-US"/>
        </w:rPr>
        <w:t xml:space="preserve"> unemployment rate</w:t>
      </w:r>
      <w:r w:rsidRPr="00A8208A">
        <w:rPr>
          <w:rFonts w:asciiTheme="minorHAnsi" w:hAnsiTheme="minorHAnsi" w:cstheme="minorHAnsi"/>
          <w:sz w:val="20"/>
          <w:szCs w:val="20"/>
          <w:lang w:val="en-US"/>
        </w:rPr>
        <w:t>s are observed</w:t>
      </w:r>
      <w:r w:rsidRPr="00B9562C">
        <w:rPr>
          <w:rFonts w:asciiTheme="minorHAnsi" w:hAnsiTheme="minorHAnsi" w:cstheme="minorHAnsi"/>
          <w:sz w:val="20"/>
          <w:szCs w:val="20"/>
          <w:lang w:val="en-US"/>
        </w:rPr>
        <w:t xml:space="preserve"> in Volyn (11.7%), Kirovo</w:t>
      </w:r>
      <w:r w:rsidRPr="00A8208A">
        <w:rPr>
          <w:rFonts w:asciiTheme="minorHAnsi" w:hAnsiTheme="minorHAnsi" w:cstheme="minorHAnsi"/>
          <w:sz w:val="20"/>
          <w:szCs w:val="20"/>
          <w:lang w:val="en-US"/>
        </w:rPr>
        <w:t>h</w:t>
      </w:r>
      <w:r w:rsidRPr="00B9562C">
        <w:rPr>
          <w:rFonts w:asciiTheme="minorHAnsi" w:hAnsiTheme="minorHAnsi" w:cstheme="minorHAnsi"/>
          <w:sz w:val="20"/>
          <w:szCs w:val="20"/>
          <w:lang w:val="en-US"/>
        </w:rPr>
        <w:t xml:space="preserve">rad (11.2%), Poltava (11.1%), Donetsk (13.7%) </w:t>
      </w:r>
      <w:r w:rsidRPr="00A8208A">
        <w:rPr>
          <w:rFonts w:asciiTheme="minorHAnsi" w:hAnsiTheme="minorHAnsi" w:cstheme="minorHAnsi"/>
          <w:sz w:val="20"/>
          <w:szCs w:val="20"/>
          <w:lang w:val="en-US"/>
        </w:rPr>
        <w:t xml:space="preserve">and </w:t>
      </w:r>
      <w:r w:rsidRPr="00B9562C">
        <w:rPr>
          <w:rFonts w:asciiTheme="minorHAnsi" w:hAnsiTheme="minorHAnsi" w:cstheme="minorHAnsi"/>
          <w:sz w:val="20"/>
          <w:szCs w:val="20"/>
          <w:lang w:val="en-US"/>
        </w:rPr>
        <w:t xml:space="preserve">Luhansk (14.2%) </w:t>
      </w:r>
      <w:r w:rsidRPr="00A8208A">
        <w:rPr>
          <w:rFonts w:asciiTheme="minorHAnsi" w:hAnsiTheme="minorHAnsi" w:cstheme="minorHAnsi"/>
          <w:sz w:val="20"/>
          <w:szCs w:val="20"/>
          <w:lang w:val="en-US"/>
        </w:rPr>
        <w:t>oblasts.</w:t>
      </w:r>
    </w:p>
  </w:footnote>
  <w:footnote w:id="3">
    <w:p w:rsidR="00C67280" w:rsidRPr="00B9562C" w:rsidRDefault="00C67280" w:rsidP="00C67280">
      <w:pPr>
        <w:pStyle w:val="ad"/>
        <w:jc w:val="both"/>
        <w:rPr>
          <w:lang w:val="en-US"/>
        </w:rPr>
      </w:pPr>
      <w:r w:rsidRPr="00A8208A">
        <w:rPr>
          <w:rStyle w:val="af"/>
        </w:rPr>
        <w:footnoteRef/>
      </w:r>
      <w:r w:rsidRPr="00B9562C">
        <w:rPr>
          <w:lang w:val="en-US"/>
        </w:rPr>
        <w:t xml:space="preserve"> </w:t>
      </w:r>
      <w:r w:rsidRPr="00A8208A">
        <w:rPr>
          <w:rStyle w:val="tlid-translation"/>
          <w:lang w:val="en"/>
        </w:rPr>
        <w:t>According to the State Statistics Service of Ukraine, wage arrears have increased by 30% since the beginning of the year; as of 01.11.2019, it amounts to UAH 3.33 Billion; compared to the corresponding period of 2018, wage arrears increased by 19.22% (as of 01.11.2018, it amounted to UAH 2.88 Billion).</w:t>
      </w:r>
    </w:p>
  </w:footnote>
  <w:footnote w:id="4">
    <w:p w:rsidR="00C67280" w:rsidRPr="00A8208A" w:rsidRDefault="00C67280" w:rsidP="00C67280">
      <w:pPr>
        <w:pStyle w:val="ad"/>
        <w:jc w:val="both"/>
        <w:rPr>
          <w:rFonts w:ascii="Calibri" w:hAnsi="Calibri" w:cs="Times New Roman"/>
          <w:bCs/>
          <w:iCs/>
          <w:lang w:val="uk-UA"/>
        </w:rPr>
      </w:pPr>
      <w:r w:rsidRPr="00A8208A">
        <w:rPr>
          <w:rStyle w:val="af"/>
        </w:rPr>
        <w:footnoteRef/>
      </w:r>
      <w:r w:rsidRPr="00B9562C">
        <w:rPr>
          <w:lang w:val="en-US"/>
        </w:rPr>
        <w:t xml:space="preserve"> </w:t>
      </w:r>
      <w:r w:rsidRPr="00A8208A">
        <w:rPr>
          <w:rStyle w:val="tlid-translation"/>
          <w:lang w:val="en"/>
        </w:rPr>
        <w:t>For example, state assistance to low-income families is not granted in cases where able-bodied members of low-income families are not employed (Article 7 of the Law of Ukraine “On State Social Assistance to Low-Income Families”).</w:t>
      </w:r>
    </w:p>
  </w:footnote>
  <w:footnote w:id="5">
    <w:p w:rsidR="00C67280" w:rsidRPr="00A8208A" w:rsidRDefault="00C67280" w:rsidP="00C67280">
      <w:pPr>
        <w:pStyle w:val="ad"/>
        <w:jc w:val="both"/>
        <w:rPr>
          <w:rFonts w:ascii="Calibri" w:hAnsi="Calibri"/>
          <w:lang w:val="en-US"/>
        </w:rPr>
      </w:pPr>
      <w:r w:rsidRPr="00A8208A">
        <w:rPr>
          <w:rStyle w:val="af"/>
          <w:rFonts w:ascii="Calibri" w:hAnsi="Calibri"/>
        </w:rPr>
        <w:footnoteRef/>
      </w:r>
      <w:r w:rsidRPr="00A8208A">
        <w:rPr>
          <w:rFonts w:ascii="Calibri" w:hAnsi="Calibri"/>
          <w:lang w:val="uk-UA"/>
        </w:rPr>
        <w:t xml:space="preserve"> </w:t>
      </w:r>
      <w:r w:rsidRPr="00A8208A">
        <w:rPr>
          <w:rFonts w:ascii="Calibri" w:hAnsi="Calibri"/>
          <w:lang w:val="en-US"/>
        </w:rPr>
        <w:t xml:space="preserve">Including: establishing a pension at the level not lower than UAH 2,000 </w:t>
      </w:r>
      <w:r w:rsidRPr="00A8208A">
        <w:rPr>
          <w:rStyle w:val="tlid-translation"/>
          <w:rFonts w:cstheme="minorHAnsi"/>
          <w:lang w:val="en"/>
        </w:rPr>
        <w:t xml:space="preserve">for male pensioners who have at least 35, and female, 30 years of pensionable service); </w:t>
      </w:r>
      <w:r w:rsidRPr="00A8208A">
        <w:rPr>
          <w:rStyle w:val="tlid-translation"/>
          <w:lang w:val="en"/>
        </w:rPr>
        <w:t>indexation of pensions since 1 March 2019.</w:t>
      </w:r>
    </w:p>
  </w:footnote>
  <w:footnote w:id="6">
    <w:p w:rsidR="00C67280" w:rsidRPr="00A8208A" w:rsidRDefault="00C67280" w:rsidP="00C67280">
      <w:pPr>
        <w:pStyle w:val="ad"/>
        <w:jc w:val="both"/>
        <w:rPr>
          <w:lang w:val="en"/>
        </w:rPr>
      </w:pPr>
      <w:r w:rsidRPr="00A8208A">
        <w:rPr>
          <w:rStyle w:val="af"/>
          <w:rFonts w:cstheme="minorHAnsi"/>
        </w:rPr>
        <w:footnoteRef/>
      </w:r>
      <w:r w:rsidRPr="00B9562C">
        <w:rPr>
          <w:rFonts w:cstheme="minorHAnsi"/>
          <w:lang w:val="en-US"/>
        </w:rPr>
        <w:t xml:space="preserve"> </w:t>
      </w:r>
      <w:r>
        <w:rPr>
          <w:rStyle w:val="tlid-translation"/>
          <w:lang w:val="en"/>
        </w:rPr>
        <w:t xml:space="preserve">In particular, starting from 1 July, the legally-approved subsistence minimum per a disabled person per month is UAH 1,564, while the actual amount is UAH 3,135.  </w:t>
      </w:r>
    </w:p>
  </w:footnote>
  <w:footnote w:id="7">
    <w:p w:rsidR="00C67280" w:rsidRPr="00A8208A" w:rsidRDefault="00C67280" w:rsidP="00C67280">
      <w:pPr>
        <w:pStyle w:val="ad"/>
        <w:jc w:val="both"/>
        <w:rPr>
          <w:lang w:val="uk-UA"/>
        </w:rPr>
      </w:pPr>
      <w:r w:rsidRPr="00A8208A">
        <w:rPr>
          <w:rStyle w:val="af"/>
        </w:rPr>
        <w:footnoteRef/>
      </w:r>
      <w:r w:rsidRPr="00B9562C">
        <w:rPr>
          <w:lang w:val="en-US"/>
        </w:rPr>
        <w:t xml:space="preserve"> </w:t>
      </w:r>
      <w:r>
        <w:rPr>
          <w:rStyle w:val="tlid-translation"/>
          <w:lang w:val="en"/>
        </w:rPr>
        <w:t>The decision of Kyiv District Administrative Court #826/3639/17 of 25.04.2018, the decision of Kyiv Administrative Court of Appeals of 10.07.2018 and the Supreme Court of 20.12.2018 adopted in case #826/3639/17.</w:t>
      </w:r>
    </w:p>
  </w:footnote>
  <w:footnote w:id="8">
    <w:p w:rsidR="00C67280" w:rsidRPr="00892C90" w:rsidRDefault="00C67280" w:rsidP="00C67280">
      <w:pPr>
        <w:pStyle w:val="ad"/>
        <w:jc w:val="both"/>
        <w:rPr>
          <w:lang w:val="uk-UA"/>
        </w:rPr>
      </w:pPr>
      <w:r>
        <w:rPr>
          <w:rStyle w:val="af"/>
        </w:rPr>
        <w:footnoteRef/>
      </w:r>
      <w:r w:rsidRPr="001F21C8">
        <w:rPr>
          <w:lang w:val="uk-UA"/>
        </w:rPr>
        <w:t xml:space="preserve"> </w:t>
      </w:r>
      <w:r>
        <w:rPr>
          <w:rStyle w:val="tlid-translation"/>
          <w:lang w:val="en"/>
        </w:rPr>
        <w:t>According to the Ministry of Health of Ukraine, in 2019, 15,0000 new HIV cases were registered in Ukraine, of which 1,975 are children under 14. The number of people who first contracted tuberculosis is 15,000 every year. Among children under 14, the incidence of coinfection (TB/HIV/AIDS) is up to 30% of HIV-infected persons.</w:t>
      </w:r>
    </w:p>
  </w:footnote>
  <w:footnote w:id="9">
    <w:p w:rsidR="00C67280" w:rsidRPr="001F21C8" w:rsidRDefault="00C67280" w:rsidP="00C67280">
      <w:pPr>
        <w:pStyle w:val="ad"/>
        <w:jc w:val="both"/>
        <w:rPr>
          <w:lang w:val="uk-UA"/>
        </w:rPr>
      </w:pPr>
      <w:r>
        <w:rPr>
          <w:rStyle w:val="af"/>
        </w:rPr>
        <w:footnoteRef/>
      </w:r>
      <w:r w:rsidRPr="001F21C8">
        <w:rPr>
          <w:lang w:val="uk-UA"/>
        </w:rPr>
        <w:t xml:space="preserve"> </w:t>
      </w:r>
      <w:r>
        <w:rPr>
          <w:rStyle w:val="tlid-translation"/>
          <w:lang w:val="en"/>
        </w:rPr>
        <w:t>According to the Ministry of Veterans, Temporarily Occupied Territories and Displaced Persons of Ukraine, as of December 2019, 51 civilians were found to have been injured or suffered other damage to health from explosives, ammunition and military weapons in the ATO/OUF area.</w:t>
      </w:r>
    </w:p>
    <w:p w:rsidR="00C67280" w:rsidRPr="001F21C8" w:rsidRDefault="00C67280" w:rsidP="00C67280">
      <w:pPr>
        <w:pStyle w:val="ad"/>
        <w:rPr>
          <w:lang w:val="uk-U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615663"/>
      <w:docPartObj>
        <w:docPartGallery w:val="Page Numbers (Top of Page)"/>
        <w:docPartUnique/>
      </w:docPartObj>
    </w:sdtPr>
    <w:sdtEndPr/>
    <w:sdtContent>
      <w:p w:rsidR="00DE0643" w:rsidRDefault="00DE0643">
        <w:pPr>
          <w:pStyle w:val="a6"/>
          <w:jc w:val="center"/>
        </w:pPr>
        <w:r>
          <w:fldChar w:fldCharType="begin"/>
        </w:r>
        <w:r>
          <w:instrText>PAGE   \* MERGEFORMAT</w:instrText>
        </w:r>
        <w:r>
          <w:fldChar w:fldCharType="separate"/>
        </w:r>
        <w:r w:rsidR="00C67280" w:rsidRPr="00C67280">
          <w:rPr>
            <w:noProof/>
            <w:lang w:val="ru-RU"/>
          </w:rPr>
          <w:t>11</w:t>
        </w:r>
        <w:r>
          <w:fldChar w:fldCharType="end"/>
        </w:r>
      </w:p>
    </w:sdtContent>
  </w:sdt>
  <w:p w:rsidR="00DE0643" w:rsidRDefault="00DE064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A4D42"/>
    <w:multiLevelType w:val="hybridMultilevel"/>
    <w:tmpl w:val="D714AD62"/>
    <w:lvl w:ilvl="0" w:tplc="55FE73F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3880403F"/>
    <w:multiLevelType w:val="hybridMultilevel"/>
    <w:tmpl w:val="7BF6F24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984F8D"/>
    <w:multiLevelType w:val="hybridMultilevel"/>
    <w:tmpl w:val="A3686062"/>
    <w:lvl w:ilvl="0" w:tplc="8D72B08E">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034"/>
    <w:rsid w:val="0001739C"/>
    <w:rsid w:val="00026392"/>
    <w:rsid w:val="000A1A6F"/>
    <w:rsid w:val="001B1D50"/>
    <w:rsid w:val="001E6E0F"/>
    <w:rsid w:val="00273C38"/>
    <w:rsid w:val="00283A9C"/>
    <w:rsid w:val="002C0E3D"/>
    <w:rsid w:val="003D6DC7"/>
    <w:rsid w:val="004278CE"/>
    <w:rsid w:val="0043195F"/>
    <w:rsid w:val="0044546D"/>
    <w:rsid w:val="00461153"/>
    <w:rsid w:val="00465F78"/>
    <w:rsid w:val="00483DFE"/>
    <w:rsid w:val="00563FC1"/>
    <w:rsid w:val="005E62C9"/>
    <w:rsid w:val="00630E27"/>
    <w:rsid w:val="0063356F"/>
    <w:rsid w:val="006F4253"/>
    <w:rsid w:val="00722D22"/>
    <w:rsid w:val="007C011E"/>
    <w:rsid w:val="007D46CF"/>
    <w:rsid w:val="007E287E"/>
    <w:rsid w:val="007F0BBE"/>
    <w:rsid w:val="007F468E"/>
    <w:rsid w:val="008072EA"/>
    <w:rsid w:val="008304D7"/>
    <w:rsid w:val="0083723A"/>
    <w:rsid w:val="00850531"/>
    <w:rsid w:val="00853780"/>
    <w:rsid w:val="00874A1F"/>
    <w:rsid w:val="008834F7"/>
    <w:rsid w:val="009375FF"/>
    <w:rsid w:val="00945A6E"/>
    <w:rsid w:val="00972F15"/>
    <w:rsid w:val="009859F1"/>
    <w:rsid w:val="009F33E5"/>
    <w:rsid w:val="00A65E41"/>
    <w:rsid w:val="00A67AF3"/>
    <w:rsid w:val="00AA0F5B"/>
    <w:rsid w:val="00B433B5"/>
    <w:rsid w:val="00B477EB"/>
    <w:rsid w:val="00BB0C43"/>
    <w:rsid w:val="00BE35FF"/>
    <w:rsid w:val="00C01C72"/>
    <w:rsid w:val="00C02698"/>
    <w:rsid w:val="00C54241"/>
    <w:rsid w:val="00C5502F"/>
    <w:rsid w:val="00C67280"/>
    <w:rsid w:val="00CA036C"/>
    <w:rsid w:val="00CB697D"/>
    <w:rsid w:val="00CC0943"/>
    <w:rsid w:val="00CF2BC9"/>
    <w:rsid w:val="00DE0643"/>
    <w:rsid w:val="00E80034"/>
    <w:rsid w:val="00F12D29"/>
    <w:rsid w:val="00F56F5F"/>
    <w:rsid w:val="00FF7B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258030-6C36-4F71-A35D-F3CE6D04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034"/>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034"/>
    <w:pPr>
      <w:ind w:left="720"/>
      <w:contextualSpacing/>
    </w:pPr>
  </w:style>
  <w:style w:type="paragraph" w:styleId="a4">
    <w:name w:val="Balloon Text"/>
    <w:basedOn w:val="a"/>
    <w:link w:val="a5"/>
    <w:uiPriority w:val="99"/>
    <w:semiHidden/>
    <w:unhideWhenUsed/>
    <w:rsid w:val="0002639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26392"/>
    <w:rPr>
      <w:rFonts w:ascii="Segoe UI" w:eastAsia="Times New Roman" w:hAnsi="Segoe UI" w:cs="Segoe UI"/>
      <w:sz w:val="18"/>
      <w:szCs w:val="18"/>
    </w:rPr>
  </w:style>
  <w:style w:type="paragraph" w:customStyle="1" w:styleId="rvps2">
    <w:name w:val="rvps2"/>
    <w:basedOn w:val="a"/>
    <w:rsid w:val="00FF7B90"/>
    <w:pPr>
      <w:spacing w:before="100" w:beforeAutospacing="1" w:after="100" w:afterAutospacing="1" w:line="240" w:lineRule="auto"/>
    </w:pPr>
    <w:rPr>
      <w:rFonts w:ascii="Times New Roman" w:hAnsi="Times New Roman"/>
      <w:sz w:val="24"/>
      <w:szCs w:val="24"/>
      <w:lang w:val="ru-RU" w:eastAsia="ru-RU"/>
    </w:rPr>
  </w:style>
  <w:style w:type="paragraph" w:styleId="a6">
    <w:name w:val="header"/>
    <w:basedOn w:val="a"/>
    <w:link w:val="a7"/>
    <w:uiPriority w:val="99"/>
    <w:unhideWhenUsed/>
    <w:rsid w:val="00DE0643"/>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DE0643"/>
    <w:rPr>
      <w:rFonts w:ascii="Calibri" w:eastAsia="Times New Roman" w:hAnsi="Calibri" w:cs="Times New Roman"/>
    </w:rPr>
  </w:style>
  <w:style w:type="paragraph" w:styleId="a8">
    <w:name w:val="footer"/>
    <w:basedOn w:val="a"/>
    <w:link w:val="a9"/>
    <w:uiPriority w:val="99"/>
    <w:unhideWhenUsed/>
    <w:rsid w:val="00DE0643"/>
    <w:pPr>
      <w:tabs>
        <w:tab w:val="center" w:pos="4819"/>
        <w:tab w:val="right" w:pos="9639"/>
      </w:tabs>
      <w:spacing w:after="0" w:line="240" w:lineRule="auto"/>
    </w:pPr>
  </w:style>
  <w:style w:type="character" w:customStyle="1" w:styleId="a9">
    <w:name w:val="Нижний колонтитул Знак"/>
    <w:basedOn w:val="a0"/>
    <w:link w:val="a8"/>
    <w:uiPriority w:val="99"/>
    <w:rsid w:val="00DE0643"/>
    <w:rPr>
      <w:rFonts w:ascii="Calibri" w:eastAsia="Times New Roman" w:hAnsi="Calibri" w:cs="Times New Roman"/>
    </w:rPr>
  </w:style>
  <w:style w:type="paragraph" w:styleId="aa">
    <w:name w:val="Normal (Web)"/>
    <w:basedOn w:val="a"/>
    <w:uiPriority w:val="99"/>
    <w:unhideWhenUsed/>
    <w:rsid w:val="00C67280"/>
    <w:pPr>
      <w:spacing w:before="100" w:beforeAutospacing="1" w:after="100" w:afterAutospacing="1" w:line="240" w:lineRule="auto"/>
    </w:pPr>
    <w:rPr>
      <w:rFonts w:ascii="Times New Roman" w:hAnsi="Times New Roman"/>
      <w:sz w:val="24"/>
      <w:szCs w:val="24"/>
      <w:lang w:val="ru-RU" w:eastAsia="ru-RU"/>
    </w:rPr>
  </w:style>
  <w:style w:type="paragraph" w:styleId="ab">
    <w:name w:val="No Spacing"/>
    <w:uiPriority w:val="1"/>
    <w:qFormat/>
    <w:rsid w:val="00C67280"/>
    <w:pPr>
      <w:spacing w:after="0" w:line="240" w:lineRule="auto"/>
    </w:pPr>
    <w:rPr>
      <w:lang w:val="ru-RU"/>
    </w:rPr>
  </w:style>
  <w:style w:type="character" w:styleId="ac">
    <w:name w:val="Hyperlink"/>
    <w:basedOn w:val="a0"/>
    <w:uiPriority w:val="99"/>
    <w:unhideWhenUsed/>
    <w:rsid w:val="00C67280"/>
    <w:rPr>
      <w:color w:val="0000FF"/>
      <w:u w:val="single"/>
    </w:rPr>
  </w:style>
  <w:style w:type="paragraph" w:styleId="ad">
    <w:name w:val="footnote text"/>
    <w:basedOn w:val="a"/>
    <w:link w:val="ae"/>
    <w:uiPriority w:val="99"/>
    <w:unhideWhenUsed/>
    <w:rsid w:val="00C67280"/>
    <w:pPr>
      <w:spacing w:after="0" w:line="240" w:lineRule="auto"/>
    </w:pPr>
    <w:rPr>
      <w:rFonts w:asciiTheme="minorHAnsi" w:eastAsiaTheme="minorHAnsi" w:hAnsiTheme="minorHAnsi" w:cstheme="minorBidi"/>
      <w:sz w:val="20"/>
      <w:szCs w:val="20"/>
      <w:lang w:val="ru-RU"/>
    </w:rPr>
  </w:style>
  <w:style w:type="character" w:customStyle="1" w:styleId="ae">
    <w:name w:val="Текст сноски Знак"/>
    <w:basedOn w:val="a0"/>
    <w:link w:val="ad"/>
    <w:uiPriority w:val="99"/>
    <w:rsid w:val="00C67280"/>
    <w:rPr>
      <w:sz w:val="20"/>
      <w:szCs w:val="20"/>
      <w:lang w:val="ru-RU"/>
    </w:rPr>
  </w:style>
  <w:style w:type="character" w:styleId="af">
    <w:name w:val="footnote reference"/>
    <w:rsid w:val="00C67280"/>
    <w:rPr>
      <w:vertAlign w:val="superscript"/>
    </w:rPr>
  </w:style>
  <w:style w:type="paragraph" w:customStyle="1" w:styleId="Bodytext21">
    <w:name w:val="Body text (2)1"/>
    <w:basedOn w:val="a"/>
    <w:uiPriority w:val="99"/>
    <w:semiHidden/>
    <w:rsid w:val="00C67280"/>
    <w:pPr>
      <w:widowControl w:val="0"/>
      <w:shd w:val="clear" w:color="auto" w:fill="FFFFFF"/>
      <w:suppressAutoHyphens/>
      <w:spacing w:before="360" w:after="120" w:line="317" w:lineRule="exact"/>
      <w:jc w:val="center"/>
    </w:pPr>
    <w:rPr>
      <w:rFonts w:ascii="Times New Roman" w:hAnsi="Times New Roman"/>
      <w:b/>
      <w:bCs/>
      <w:sz w:val="26"/>
      <w:szCs w:val="26"/>
      <w:lang w:eastAsia="zh-CN"/>
    </w:rPr>
  </w:style>
  <w:style w:type="character" w:customStyle="1" w:styleId="tlid-translation">
    <w:name w:val="tlid-translation"/>
    <w:basedOn w:val="a0"/>
    <w:rsid w:val="00C67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u.gov.ua/sites/default/files/5_7129_2019.pdf"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ccu.gov.ua/novyna/konstytuciyni-podannya-stanom-na-20-grudnya-2019-rok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5c421e79169b6bba174fb07424eb68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B90C19-5A06-467A-9BF7-8EF343C83ACE}"/>
</file>

<file path=customXml/itemProps2.xml><?xml version="1.0" encoding="utf-8"?>
<ds:datastoreItem xmlns:ds="http://schemas.openxmlformats.org/officeDocument/2006/customXml" ds:itemID="{AFC95337-5478-4BB2-BDFE-DD404833C685}"/>
</file>

<file path=customXml/itemProps3.xml><?xml version="1.0" encoding="utf-8"?>
<ds:datastoreItem xmlns:ds="http://schemas.openxmlformats.org/officeDocument/2006/customXml" ds:itemID="{7DDEB63D-813C-4F98-A281-DAD02C0946AD}"/>
</file>

<file path=docProps/app.xml><?xml version="1.0" encoding="utf-8"?>
<Properties xmlns="http://schemas.openxmlformats.org/officeDocument/2006/extended-properties" xmlns:vt="http://schemas.openxmlformats.org/officeDocument/2006/docPropsVTypes">
  <Template>Normal</Template>
  <TotalTime>16</TotalTime>
  <Pages>11</Pages>
  <Words>20817</Words>
  <Characters>11867</Characters>
  <Application>Microsoft Office Word</Application>
  <DocSecurity>0</DocSecurity>
  <Lines>98</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Гунько Олена Олександрівна</dc:creator>
  <cp:lastModifiedBy>Гунько Олена Олександрівна</cp:lastModifiedBy>
  <cp:revision>6</cp:revision>
  <cp:lastPrinted>2020-01-23T07:23:00Z</cp:lastPrinted>
  <dcterms:created xsi:type="dcterms:W3CDTF">2020-01-20T08:18:00Z</dcterms:created>
  <dcterms:modified xsi:type="dcterms:W3CDTF">2020-01-24T09:38:00Z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