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rPr/>
      </w:pPr>
      <w:r w:rsidDel="00000000" w:rsidR="00000000" w:rsidRPr="00000000">
        <w:rPr>
          <w:rtl w:val="0"/>
        </w:rPr>
      </w:r>
    </w:p>
    <w:tbl>
      <w:tblPr>
        <w:tblStyle w:val="Table1"/>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41"/>
        <w:gridCol w:w="4315"/>
        <w:tblGridChange w:id="0">
          <w:tblGrid>
            <w:gridCol w:w="4541"/>
            <w:gridCol w:w="4315"/>
          </w:tblGrid>
        </w:tblGridChange>
      </w:tblGrid>
      <w:tr>
        <w:tc>
          <w:tcPr/>
          <w:p w:rsidR="00000000" w:rsidDel="00000000" w:rsidP="00000000" w:rsidRDefault="00000000" w:rsidRPr="00000000" w14:paraId="00000002">
            <w:pPr>
              <w:spacing w:line="24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895350</wp:posOffset>
                  </wp:positionH>
                  <wp:positionV relativeFrom="paragraph">
                    <wp:posOffset>9525</wp:posOffset>
                  </wp:positionV>
                  <wp:extent cx="898525" cy="887095"/>
                  <wp:effectExtent b="0" l="0" r="0" t="0"/>
                  <wp:wrapSquare wrapText="bothSides" distB="0" distT="0" distL="114300" distR="11430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898525" cy="887095"/>
                          </a:xfrm>
                          <a:prstGeom prst="rect"/>
                          <a:ln/>
                        </pic:spPr>
                      </pic:pic>
                    </a:graphicData>
                  </a:graphic>
                </wp:anchor>
              </w:drawing>
            </w:r>
          </w:p>
          <w:p w:rsidR="00000000" w:rsidDel="00000000" w:rsidP="00000000" w:rsidRDefault="00000000" w:rsidRPr="00000000" w14:paraId="0000000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240" w:lineRule="auto"/>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05">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CRC May (87</w:t>
            </w:r>
            <w:r w:rsidDel="00000000" w:rsidR="00000000" w:rsidRPr="00000000">
              <w:rPr>
                <w:rFonts w:ascii="Times New Roman" w:cs="Times New Roman" w:eastAsia="Times New Roman" w:hAnsi="Times New Roman"/>
                <w:b w:val="1"/>
                <w:sz w:val="24"/>
                <w:szCs w:val="24"/>
                <w:vertAlign w:val="superscript"/>
                <w:rtl w:val="0"/>
              </w:rPr>
              <w:t xml:space="preserve">th</w:t>
            </w:r>
            <w:r w:rsidDel="00000000" w:rsidR="00000000" w:rsidRPr="00000000">
              <w:rPr>
                <w:rFonts w:ascii="Times New Roman" w:cs="Times New Roman" w:eastAsia="Times New Roman" w:hAnsi="Times New Roman"/>
                <w:b w:val="1"/>
                <w:sz w:val="24"/>
                <w:szCs w:val="24"/>
                <w:rtl w:val="0"/>
              </w:rPr>
              <w:t xml:space="preserve"> Session)</w:t>
            </w:r>
          </w:p>
          <w:p w:rsidR="00000000" w:rsidDel="00000000" w:rsidP="00000000" w:rsidRDefault="00000000" w:rsidRPr="00000000" w14:paraId="0000000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Country name: Luxembourg</w:t>
            </w:r>
          </w:p>
          <w:p w:rsidR="00000000" w:rsidDel="00000000" w:rsidP="00000000" w:rsidRDefault="00000000" w:rsidRPr="00000000" w14:paraId="00000007">
            <w:pPr>
              <w:spacing w:line="240" w:lineRule="auto"/>
              <w:rPr>
                <w:rFonts w:ascii="Times New Roman" w:cs="Times New Roman" w:eastAsia="Times New Roman" w:hAnsi="Times New Roman"/>
                <w:sz w:val="24"/>
                <w:szCs w:val="24"/>
              </w:rPr>
            </w:pPr>
            <w:r w:rsidDel="00000000" w:rsidR="00000000" w:rsidRPr="00000000">
              <w:rPr>
                <w:rtl w:val="0"/>
              </w:rPr>
            </w:r>
          </w:p>
        </w:tc>
      </w:tr>
      <w:tr>
        <w:tc>
          <w:tcPr>
            <w:gridSpan w:val="2"/>
          </w:tcPr>
          <w:p w:rsidR="00000000" w:rsidDel="00000000" w:rsidP="00000000" w:rsidRDefault="00000000" w:rsidRPr="00000000" w14:paraId="00000008">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9">
            <w:pPr>
              <w:spacing w:line="240" w:lineRule="auto"/>
              <w:jc w:val="center"/>
              <w:rPr>
                <w:rFonts w:ascii="Times New Roman" w:cs="Times New Roman" w:eastAsia="Times New Roman" w:hAnsi="Times New Roman"/>
                <w:b w:val="1"/>
                <w:color w:val="222222"/>
                <w:sz w:val="24"/>
                <w:szCs w:val="24"/>
                <w:highlight w:val="white"/>
              </w:rPr>
            </w:pPr>
            <w:r w:rsidDel="00000000" w:rsidR="00000000" w:rsidRPr="00000000">
              <w:rPr>
                <w:rFonts w:ascii="Times New Roman" w:cs="Times New Roman" w:eastAsia="Times New Roman" w:hAnsi="Times New Roman"/>
                <w:b w:val="1"/>
                <w:color w:val="222222"/>
                <w:sz w:val="24"/>
                <w:szCs w:val="24"/>
                <w:highlight w:val="white"/>
                <w:rtl w:val="0"/>
              </w:rPr>
              <w:t xml:space="preserve">Appropriate pretrial detention times for children</w:t>
            </w:r>
          </w:p>
          <w:p w:rsidR="00000000" w:rsidDel="00000000" w:rsidP="00000000" w:rsidRDefault="00000000" w:rsidRPr="00000000" w14:paraId="0000000A">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B">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Cluster of rights:</w:t>
            </w:r>
          </w:p>
          <w:p w:rsidR="00000000" w:rsidDel="00000000" w:rsidP="00000000" w:rsidRDefault="00000000" w:rsidRPr="00000000" w14:paraId="0000000C">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0D">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Right to lawful deprivation of liberty</w:t>
            </w:r>
          </w:p>
          <w:p w:rsidR="00000000" w:rsidDel="00000000" w:rsidP="00000000" w:rsidRDefault="00000000" w:rsidRPr="00000000" w14:paraId="0000000E">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Right to speedy trial and brevity of pretrial detention</w:t>
            </w:r>
          </w:p>
          <w:p w:rsidR="00000000" w:rsidDel="00000000" w:rsidP="00000000" w:rsidRDefault="00000000" w:rsidRPr="00000000" w14:paraId="0000000F">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Convention on the Rights of the Child Article 37(b </w:t>
            </w:r>
          </w:p>
          <w:p w:rsidR="00000000" w:rsidDel="00000000" w:rsidP="00000000" w:rsidRDefault="00000000" w:rsidRPr="00000000" w14:paraId="00000010">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Convention Against Torture Article 2</w:t>
            </w:r>
          </w:p>
          <w:p w:rsidR="00000000" w:rsidDel="00000000" w:rsidP="00000000" w:rsidRDefault="00000000" w:rsidRPr="00000000" w14:paraId="00000011">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2">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Areas of concern:</w:t>
            </w:r>
          </w:p>
          <w:p w:rsidR="00000000" w:rsidDel="00000000" w:rsidP="00000000" w:rsidRDefault="00000000" w:rsidRPr="00000000" w14:paraId="00000013">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14">
            <w:pPr>
              <w:spacing w:line="240" w:lineRule="auto"/>
              <w:jc w:val="both"/>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The international human rights community needs to adopt stricter time limits for children in pretrial detention. 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Pretrial detention is only permitted as a measure of last resort and for “</w:t>
            </w:r>
            <w:r w:rsidDel="00000000" w:rsidR="00000000" w:rsidRPr="00000000">
              <w:rPr>
                <w:rFonts w:ascii="Times New Roman" w:cs="Times New Roman" w:eastAsia="Times New Roman" w:hAnsi="Times New Roman"/>
                <w:i w:val="1"/>
                <w:sz w:val="24"/>
                <w:szCs w:val="24"/>
                <w:rtl w:val="0"/>
              </w:rPr>
              <w:t xml:space="preserve">the shortest appropriate period of time</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However, there is no clarity around what is meant by an “</w:t>
            </w:r>
            <w:r w:rsidDel="00000000" w:rsidR="00000000" w:rsidRPr="00000000">
              <w:rPr>
                <w:rFonts w:ascii="Times New Roman" w:cs="Times New Roman" w:eastAsia="Times New Roman" w:hAnsi="Times New Roman"/>
                <w:i w:val="1"/>
                <w:sz w:val="24"/>
                <w:szCs w:val="24"/>
                <w:rtl w:val="0"/>
              </w:rPr>
              <w:t xml:space="preserve">appropriate period of time</w:t>
            </w:r>
            <w:r w:rsidDel="00000000" w:rsidR="00000000" w:rsidRPr="00000000">
              <w:rPr>
                <w:rFonts w:ascii="Times New Roman" w:cs="Times New Roman" w:eastAsia="Times New Roman" w:hAnsi="Times New Roman"/>
                <w:sz w:val="24"/>
                <w:szCs w:val="24"/>
                <w:rtl w:val="0"/>
              </w:rPr>
              <w:t xml:space="preserve">.” The Committee on the Rights of the Child, in General Comment 10, recommended that children who are detained should be formally charged within 30 days and once charged, that a final decision should be made by the court within six months.</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The Committee additionally recommended that any such detention should be reviewed regularly by a competent body</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These recommendations can and should be strengthened.</w:t>
            </w:r>
          </w:p>
          <w:p w:rsidR="00000000" w:rsidDel="00000000" w:rsidP="00000000" w:rsidRDefault="00000000" w:rsidRPr="00000000" w14:paraId="00000015">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240" w:lineRule="auto"/>
              <w:jc w:val="both"/>
              <w:rPr>
                <w:rFonts w:ascii="Times New Roman" w:cs="Times New Roman" w:eastAsia="Times New Roman" w:hAnsi="Times New Roman"/>
                <w:sz w:val="24"/>
                <w:szCs w:val="24"/>
              </w:rPr>
            </w:pPr>
            <w:bookmarkStart w:colFirst="0" w:colLast="0" w:name="_30j0zll" w:id="1"/>
            <w:bookmarkEnd w:id="1"/>
            <w:r w:rsidDel="00000000" w:rsidR="00000000" w:rsidRPr="00000000">
              <w:rPr>
                <w:rFonts w:ascii="Times New Roman" w:cs="Times New Roman" w:eastAsia="Times New Roman" w:hAnsi="Times New Roman"/>
                <w:sz w:val="24"/>
                <w:szCs w:val="24"/>
                <w:rtl w:val="0"/>
              </w:rPr>
              <w:t xml:space="preserve">Defendants in pretrial detention are more likely to be abused, mistreated and tortured,</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Fonts w:ascii="Times New Roman" w:cs="Times New Roman" w:eastAsia="Times New Roman" w:hAnsi="Times New Roman"/>
                <w:sz w:val="24"/>
                <w:szCs w:val="24"/>
                <w:rtl w:val="0"/>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school drop-out, and drug use among children.</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Fonts w:ascii="Times New Roman" w:cs="Times New Roman" w:eastAsia="Times New Roman" w:hAnsi="Times New Roman"/>
                <w:sz w:val="24"/>
                <w:szCs w:val="24"/>
                <w:rtl w:val="0"/>
              </w:rPr>
              <w:t xml:space="preserve"> Research shows that children’s sense of time is significantly different than adults, making even short periods of detention particularly harmful.</w:t>
            </w:r>
            <w:r w:rsidDel="00000000" w:rsidR="00000000" w:rsidRPr="00000000">
              <w:rPr>
                <w:rFonts w:ascii="Times New Roman" w:cs="Times New Roman" w:eastAsia="Times New Roman" w:hAnsi="Times New Roman"/>
                <w:sz w:val="24"/>
                <w:szCs w:val="24"/>
                <w:vertAlign w:val="superscript"/>
              </w:rPr>
              <w:footnoteReference w:customMarkFollows="0" w:id="6"/>
            </w:r>
            <w:r w:rsidDel="00000000" w:rsidR="00000000" w:rsidRPr="00000000">
              <w:rPr>
                <w:rFonts w:ascii="Times New Roman" w:cs="Times New Roman" w:eastAsia="Times New Roman" w:hAnsi="Times New Roman"/>
                <w:sz w:val="24"/>
                <w:szCs w:val="24"/>
                <w:rtl w:val="0"/>
              </w:rPr>
              <w:t xml:space="preserve"> Unfortunately, in many countries the majority of children in detention are awaiting trial and may spend months or years behind bars before having their cases resolved. As a result, it is critical that children’s rights organizations advocate for significant reductions in the use of pretrial detention as well as speedier trials in order to reduce the duration of pretrial detention. </w:t>
            </w:r>
          </w:p>
          <w:p w:rsidR="00000000" w:rsidDel="00000000" w:rsidP="00000000" w:rsidRDefault="00000000" w:rsidRPr="00000000" w14:paraId="00000017">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rsidR="00000000" w:rsidDel="00000000" w:rsidP="00000000" w:rsidRDefault="00000000" w:rsidRPr="00000000" w14:paraId="00000019">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Criminal justice procedures for children vary widely throughout the world, and it appears that international and regional human rights bodies have, to date, been reticent to prescribe what constitutes the “</w:t>
            </w:r>
            <w:r w:rsidDel="00000000" w:rsidR="00000000" w:rsidRPr="00000000">
              <w:rPr>
                <w:rFonts w:ascii="Times New Roman" w:cs="Times New Roman" w:eastAsia="Times New Roman" w:hAnsi="Times New Roman"/>
                <w:i w:val="1"/>
                <w:sz w:val="24"/>
                <w:szCs w:val="24"/>
                <w:rtl w:val="0"/>
              </w:rPr>
              <w:t xml:space="preserve">shortest appropriate time</w:t>
            </w:r>
            <w:r w:rsidDel="00000000" w:rsidR="00000000" w:rsidRPr="00000000">
              <w:rPr>
                <w:rFonts w:ascii="Times New Roman" w:cs="Times New Roman" w:eastAsia="Times New Roman" w:hAnsi="Times New Roman"/>
                <w:sz w:val="24"/>
                <w:szCs w:val="24"/>
                <w:rtl w:val="0"/>
              </w:rPr>
              <w:t xml:space="preserve">” for pretrial detention for children. Clarification is desperately needed since children in many countries are suffering irreversible harm from spending excessive periods of time in pretrial detention.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Del="00000000" w:rsidR="00000000" w:rsidRPr="00000000">
              <w:rPr>
                <w:rFonts w:ascii="Times New Roman" w:cs="Times New Roman" w:eastAsia="Times New Roman" w:hAnsi="Times New Roman"/>
                <w:sz w:val="24"/>
                <w:szCs w:val="24"/>
                <w:vertAlign w:val="superscript"/>
              </w:rPr>
              <w:footnoteReference w:customMarkFollows="0" w:id="7"/>
            </w:r>
            <w:r w:rsidDel="00000000" w:rsidR="00000000" w:rsidRPr="00000000">
              <w:rPr>
                <w:rFonts w:ascii="Times New Roman" w:cs="Times New Roman" w:eastAsia="Times New Roman" w:hAnsi="Times New Roman"/>
                <w:sz w:val="24"/>
                <w:szCs w:val="24"/>
                <w:rtl w:val="0"/>
              </w:rPr>
              <w:t xml:space="preserve">. This means that the most significant time spent deprived of liberty is while awaiting trial, when children are ostensibly presumed innocent. </w:t>
            </w:r>
          </w:p>
          <w:p w:rsidR="00000000" w:rsidDel="00000000" w:rsidP="00000000" w:rsidRDefault="00000000" w:rsidRPr="00000000" w14:paraId="0000001B">
            <w:pPr>
              <w:spacing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i w:val="1"/>
                <w:sz w:val="24"/>
                <w:szCs w:val="24"/>
                <w:rtl w:val="0"/>
              </w:rPr>
              <w:t xml:space="preserve">Children in Pretrial Detention: Promoting Stronger International Time Limits</w:t>
            </w:r>
            <w:r w:rsidDel="00000000" w:rsidR="00000000" w:rsidRPr="00000000">
              <w:rPr>
                <w:rFonts w:ascii="Times New Roman" w:cs="Times New Roman" w:eastAsia="Times New Roman" w:hAnsi="Times New Roman"/>
                <w:sz w:val="24"/>
                <w:szCs w:val="24"/>
                <w:rtl w:val="0"/>
              </w:rPr>
              <w:t xml:space="preserve"> report serves as a baseline for the committee to expand on country practices regarding times of pretrial detention of children. </w:t>
            </w:r>
          </w:p>
          <w:p w:rsidR="00000000" w:rsidDel="00000000" w:rsidP="00000000" w:rsidRDefault="00000000" w:rsidRPr="00000000" w14:paraId="0000001D">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240" w:lineRule="auto"/>
              <w:rPr>
                <w:rFonts w:ascii="Times New Roman" w:cs="Times New Roman" w:eastAsia="Times New Roman" w:hAnsi="Times New Roman"/>
                <w:sz w:val="24"/>
                <w:szCs w:val="24"/>
              </w:rPr>
            </w:pPr>
            <w:bookmarkStart w:colFirst="0" w:colLast="0" w:name="_1fob9te" w:id="2"/>
            <w:bookmarkEnd w:id="2"/>
            <w:r w:rsidDel="00000000" w:rsidR="00000000" w:rsidRPr="00000000">
              <w:rPr>
                <w:rtl w:val="0"/>
              </w:rPr>
            </w:r>
          </w:p>
          <w:p w:rsidR="00000000" w:rsidDel="00000000" w:rsidP="00000000" w:rsidRDefault="00000000" w:rsidRPr="00000000" w14:paraId="0000001F">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0">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Methodology:</w:t>
            </w:r>
          </w:p>
          <w:p w:rsidR="00000000" w:rsidDel="00000000" w:rsidP="00000000" w:rsidRDefault="00000000" w:rsidRPr="00000000" w14:paraId="00000021">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2">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This alternative report is based on the </w:t>
            </w:r>
            <w:r w:rsidDel="00000000" w:rsidR="00000000" w:rsidRPr="00000000">
              <w:rPr>
                <w:rFonts w:ascii="Times New Roman" w:cs="Times New Roman" w:eastAsia="Times New Roman" w:hAnsi="Times New Roman"/>
                <w:i w:val="1"/>
                <w:color w:val="222222"/>
                <w:sz w:val="24"/>
                <w:szCs w:val="24"/>
                <w:highlight w:val="white"/>
                <w:rtl w:val="0"/>
              </w:rPr>
              <w:t xml:space="preserve">Children in Pretrial Detention </w:t>
            </w:r>
            <w:r w:rsidDel="00000000" w:rsidR="00000000" w:rsidRPr="00000000">
              <w:rPr>
                <w:rFonts w:ascii="Times New Roman" w:cs="Times New Roman" w:eastAsia="Times New Roman" w:hAnsi="Times New Roman"/>
                <w:color w:val="222222"/>
                <w:sz w:val="24"/>
                <w:szCs w:val="24"/>
                <w:highlight w:val="white"/>
                <w:rtl w:val="0"/>
              </w:rPr>
              <w:t xml:space="preserve">report on pretrial detention times of 119 CRC State parties. Such report was conducted by reviewing the respective current statutes or court rules in force at the time that the data was collected. When the actual statute or court rule could not be directly examined, when unavailable, secondary sources such as UN reports, Concluding Observations from the CRC Committee, or other IGO or NGO reports, were used to determine the content of the statute.</w:t>
            </w:r>
          </w:p>
          <w:p w:rsidR="00000000" w:rsidDel="00000000" w:rsidP="00000000" w:rsidRDefault="00000000" w:rsidRPr="00000000" w14:paraId="00000023">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4">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In defining the statutory time period of pretrial detention, when possible, the report applied the statutory maximum for pretrial detention based on the time allowed in detention from arrest until a sentence was established. However, varying jurisdictions defined pretrial detention differently or set limits based on alternative procedural milestones. Where the statute did not provide a length of days or it was unclear, the number of days was based on the national law’s definition of pretrial detention. </w:t>
            </w:r>
          </w:p>
          <w:p w:rsidR="00000000" w:rsidDel="00000000" w:rsidP="00000000" w:rsidRDefault="00000000" w:rsidRPr="00000000" w14:paraId="00000025">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The number of days were calculated at 30 days per month when the statue used a number of months rather than days for durations shorter than one year. Monthly durations beyond one year are added to a 365-day period. </w:t>
            </w:r>
            <w:r w:rsidDel="00000000" w:rsidR="00000000" w:rsidRPr="00000000">
              <w:rPr>
                <w:rFonts w:ascii="Times New Roman" w:cs="Times New Roman" w:eastAsia="Times New Roman" w:hAnsi="Times New Roman"/>
                <w:sz w:val="24"/>
                <w:szCs w:val="24"/>
                <w:rtl w:val="0"/>
              </w:rPr>
              <w:t xml:space="preserve">For example, 18 months was calculated as one year (365 days) plus six months (six 30-day periods, or180 days) to be 545 days. All time limits and averages were rounded to the closest whole day.</w:t>
            </w:r>
          </w:p>
          <w:p w:rsidR="00000000" w:rsidDel="00000000" w:rsidP="00000000" w:rsidRDefault="00000000" w:rsidRPr="00000000" w14:paraId="0000002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a statute referenced another law or calculation, such as a portion of time based on the possible sentence, such calculation was made. However, when sufficient information could not be found to calculate the time, a maximum limit was not included. </w:t>
            </w:r>
          </w:p>
          <w:p w:rsidR="00000000" w:rsidDel="00000000" w:rsidP="00000000" w:rsidRDefault="00000000" w:rsidRPr="00000000" w14:paraId="0000002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the pretrial detention time limit was defined based on multiple procedural steps, such as X days from arrest to arraignment and Y number of days from arraignment until sentencing, then the longest possible number of days allowed were added for each step to establish the pretrial detention time limit. Most countries do not include in their limits the time held before first hearing or initial charge </w:t>
            </w:r>
          </w:p>
          <w:p w:rsidR="00000000" w:rsidDel="00000000" w:rsidP="00000000" w:rsidRDefault="00000000" w:rsidRPr="00000000" w14:paraId="0000002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240" w:lineRule="auto"/>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sz w:val="24"/>
                <w:szCs w:val="24"/>
                <w:rtl w:val="0"/>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r w:rsidDel="00000000" w:rsidR="00000000" w:rsidRPr="00000000">
              <w:rPr>
                <w:rtl w:val="0"/>
              </w:rPr>
            </w:r>
          </w:p>
          <w:p w:rsidR="00000000" w:rsidDel="00000000" w:rsidP="00000000" w:rsidRDefault="00000000" w:rsidRPr="00000000" w14:paraId="0000002D">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2E">
            <w:pPr>
              <w:spacing w:line="24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tc>
      </w:tr>
    </w:tbl>
    <w:p w:rsidR="00000000" w:rsidDel="00000000" w:rsidP="00000000" w:rsidRDefault="00000000" w:rsidRPr="00000000" w14:paraId="0000003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24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Luxembourg</w:t>
      </w:r>
    </w:p>
    <w:p w:rsidR="00000000" w:rsidDel="00000000" w:rsidP="00000000" w:rsidRDefault="00000000" w:rsidRPr="00000000" w14:paraId="0000003D">
      <w:pPr>
        <w:spacing w:line="240" w:lineRule="auto"/>
        <w:rPr>
          <w:rFonts w:ascii="Times New Roman" w:cs="Times New Roman" w:eastAsia="Times New Roman" w:hAnsi="Times New Roman"/>
          <w:sz w:val="24"/>
          <w:szCs w:val="24"/>
        </w:rPr>
      </w:pPr>
      <w:r w:rsidDel="00000000" w:rsidR="00000000" w:rsidRPr="00000000">
        <w:rPr>
          <w:rtl w:val="0"/>
        </w:rPr>
      </w:r>
    </w:p>
    <w:tbl>
      <w:tblPr>
        <w:tblStyle w:val="Table2"/>
        <w:tblW w:w="88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0"/>
        <w:gridCol w:w="765"/>
        <w:gridCol w:w="1164"/>
        <w:gridCol w:w="279"/>
        <w:gridCol w:w="1307"/>
        <w:gridCol w:w="862"/>
        <w:gridCol w:w="759"/>
        <w:gridCol w:w="1590"/>
        <w:tblGridChange w:id="0">
          <w:tblGrid>
            <w:gridCol w:w="2130"/>
            <w:gridCol w:w="765"/>
            <w:gridCol w:w="1164"/>
            <w:gridCol w:w="279"/>
            <w:gridCol w:w="1307"/>
            <w:gridCol w:w="862"/>
            <w:gridCol w:w="759"/>
            <w:gridCol w:w="1590"/>
          </w:tblGrid>
        </w:tblGridChange>
      </w:tblGrid>
      <w:tr>
        <w:tc>
          <w:tcPr>
            <w:gridSpan w:val="8"/>
          </w:tcPr>
          <w:p w:rsidR="00000000" w:rsidDel="00000000" w:rsidP="00000000" w:rsidRDefault="00000000" w:rsidRPr="00000000" w14:paraId="0000003E">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Luxembourg</w:t>
            </w:r>
            <w:r w:rsidDel="00000000" w:rsidR="00000000" w:rsidRPr="00000000">
              <w:rPr>
                <w:rFonts w:ascii="Times New Roman" w:cs="Times New Roman" w:eastAsia="Times New Roman" w:hAnsi="Times New Roman"/>
                <w:sz w:val="24"/>
                <w:szCs w:val="24"/>
                <w:rtl w:val="0"/>
              </w:rPr>
              <w:t xml:space="preserve"> has a child-specific pretrial detention limit of a maximum of </w:t>
            </w:r>
            <w:r w:rsidDel="00000000" w:rsidR="00000000" w:rsidRPr="00000000">
              <w:rPr>
                <w:rFonts w:ascii="Times New Roman" w:cs="Times New Roman" w:eastAsia="Times New Roman" w:hAnsi="Times New Roman"/>
                <w:b w:val="1"/>
                <w:sz w:val="24"/>
                <w:szCs w:val="24"/>
                <w:rtl w:val="0"/>
              </w:rPr>
              <w:t xml:space="preserve">30 days </w:t>
            </w:r>
            <w:r w:rsidDel="00000000" w:rsidR="00000000" w:rsidRPr="00000000">
              <w:rPr>
                <w:rFonts w:ascii="Times New Roman" w:cs="Times New Roman" w:eastAsia="Times New Roman" w:hAnsi="Times New Roman"/>
                <w:sz w:val="24"/>
                <w:szCs w:val="24"/>
                <w:rtl w:val="0"/>
              </w:rPr>
              <w:t xml:space="preserve">(or 1 month)</w:t>
            </w:r>
            <w:r w:rsidDel="00000000" w:rsidR="00000000" w:rsidRPr="00000000">
              <w:rPr>
                <w:rFonts w:ascii="Times New Roman" w:cs="Times New Roman" w:eastAsia="Times New Roman" w:hAnsi="Times New Roman"/>
                <w:sz w:val="24"/>
                <w:szCs w:val="24"/>
                <w:rtl w:val="0"/>
              </w:rPr>
              <w:t xml:space="preserve"> for children. </w:t>
            </w:r>
          </w:p>
        </w:tc>
      </w:tr>
      <w:tr>
        <w:tc>
          <w:tcPr/>
          <w:p w:rsidR="00000000" w:rsidDel="00000000" w:rsidP="00000000" w:rsidRDefault="00000000" w:rsidRPr="00000000" w14:paraId="0000004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Statute Citation</w:t>
            </w:r>
          </w:p>
        </w:tc>
        <w:tc>
          <w:tcPr>
            <w:gridSpan w:val="7"/>
          </w:tcPr>
          <w:p w:rsidR="00000000" w:rsidDel="00000000" w:rsidP="00000000" w:rsidRDefault="00000000" w:rsidRPr="00000000" w14:paraId="00000047">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Protection of Young People Act of 10 August 1992 </w:t>
            </w:r>
            <w:r w:rsidDel="00000000" w:rsidR="00000000" w:rsidRPr="00000000">
              <w:rPr>
                <w:rFonts w:ascii="Times New Roman" w:cs="Times New Roman" w:eastAsia="Times New Roman" w:hAnsi="Times New Roman"/>
                <w:sz w:val="24"/>
                <w:szCs w:val="24"/>
                <w:rtl w:val="0"/>
              </w:rPr>
              <w:t xml:space="preserve">(Translated from French)</w:t>
            </w:r>
          </w:p>
          <w:p w:rsidR="00000000" w:rsidDel="00000000" w:rsidP="00000000" w:rsidRDefault="00000000" w:rsidRPr="00000000" w14:paraId="0000004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Article 26</w:t>
            </w:r>
          </w:p>
          <w:p w:rsidR="00000000" w:rsidDel="00000000" w:rsidP="00000000" w:rsidRDefault="00000000" w:rsidRPr="00000000" w14:paraId="0000004A">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case of absolute necessity or when the measures provided by Article 24 cannot be executed, the minor can be kept provisionally in custody for a term no longer than one month.</w:t>
            </w:r>
          </w:p>
          <w:p w:rsidR="00000000" w:rsidDel="00000000" w:rsidP="00000000" w:rsidRDefault="00000000" w:rsidRPr="00000000" w14:paraId="0000004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minor is kept away from adult detainees and submitted to a special process determined by the regulations of the prison administration.</w:t>
            </w:r>
            <w:r w:rsidDel="00000000" w:rsidR="00000000" w:rsidRPr="00000000">
              <w:rPr>
                <w:rFonts w:ascii="Times New Roman" w:cs="Times New Roman" w:eastAsia="Times New Roman" w:hAnsi="Times New Roman"/>
                <w:sz w:val="24"/>
                <w:szCs w:val="24"/>
                <w:vertAlign w:val="superscript"/>
              </w:rPr>
              <w:footnoteReference w:customMarkFollows="0" w:id="8"/>
            </w:r>
            <w:r w:rsidDel="00000000" w:rsidR="00000000" w:rsidRPr="00000000">
              <w:rPr>
                <w:rtl w:val="0"/>
              </w:rPr>
            </w:r>
          </w:p>
        </w:tc>
      </w:tr>
      <w:tr>
        <w:tc>
          <w:tcPr/>
          <w:p w:rsidR="00000000" w:rsidDel="00000000" w:rsidP="00000000" w:rsidRDefault="00000000" w:rsidRPr="00000000" w14:paraId="00000053">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Recommended changes to statutory limit according to international law:</w:t>
            </w:r>
          </w:p>
        </w:tc>
        <w:tc>
          <w:tcPr>
            <w:gridSpan w:val="7"/>
          </w:tcPr>
          <w:p w:rsidR="00000000" w:rsidDel="00000000" w:rsidP="00000000" w:rsidRDefault="00000000" w:rsidRPr="00000000" w14:paraId="00000054">
            <w:pPr>
              <w:numPr>
                <w:ilvl w:val="0"/>
                <w:numId w:val="1"/>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JJAI recommends that alternative disciplinary or rehabilitative measures be exhausted before resorting to pretrial detention. </w:t>
            </w:r>
            <w:r w:rsidDel="00000000" w:rsidR="00000000" w:rsidRPr="00000000">
              <w:rPr>
                <w:rtl w:val="0"/>
              </w:rPr>
            </w:r>
          </w:p>
          <w:p w:rsidR="00000000" w:rsidDel="00000000" w:rsidP="00000000" w:rsidRDefault="00000000" w:rsidRPr="00000000" w14:paraId="00000055">
            <w:pPr>
              <w:numPr>
                <w:ilvl w:val="0"/>
                <w:numId w:val="1"/>
              </w:numPr>
              <w:spacing w:line="259"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Pretrial detention should start at the moment of the initial detention and end at the moment that the court establishes a final sentence. </w:t>
            </w:r>
            <w:r w:rsidDel="00000000" w:rsidR="00000000" w:rsidRPr="00000000">
              <w:rPr>
                <w:rtl w:val="0"/>
              </w:rPr>
            </w:r>
          </w:p>
          <w:p w:rsidR="00000000" w:rsidDel="00000000" w:rsidP="00000000" w:rsidRDefault="00000000" w:rsidRPr="00000000" w14:paraId="00000056">
            <w:pPr>
              <w:numPr>
                <w:ilvl w:val="0"/>
                <w:numId w:val="1"/>
              </w:numPr>
              <w:spacing w:after="160" w:line="259"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tl w:val="0"/>
              </w:rPr>
              <w:t xml:space="preserve">Children who are in detention for the statutory maximum number of days should be placed in supervised release immediately and not re-detained for the same offense.</w:t>
            </w:r>
            <w:r w:rsidDel="00000000" w:rsidR="00000000" w:rsidRPr="00000000">
              <w:rPr>
                <w:rtl w:val="0"/>
              </w:rPr>
            </w:r>
          </w:p>
        </w:tc>
      </w:tr>
      <w:tr>
        <w:tc>
          <w:tcPr/>
          <w:p w:rsidR="00000000" w:rsidDel="00000000" w:rsidP="00000000" w:rsidRDefault="00000000" w:rsidRPr="00000000" w14:paraId="0000005D">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 Information on the country</w:t>
            </w:r>
          </w:p>
        </w:tc>
        <w:tc>
          <w:tcPr>
            <w:gridSpan w:val="7"/>
          </w:tcPr>
          <w:p w:rsidR="00000000" w:rsidDel="00000000" w:rsidP="00000000" w:rsidRDefault="00000000" w:rsidRPr="00000000" w14:paraId="0000005E">
            <w:pPr>
              <w:spacing w:after="160" w:line="259" w:lineRule="auto"/>
              <w:ind w:left="0" w:firstLine="0"/>
              <w:rPr>
                <w:rFonts w:ascii="Times New Roman" w:cs="Times New Roman" w:eastAsia="Times New Roman" w:hAnsi="Times New Roman"/>
                <w:sz w:val="24"/>
                <w:szCs w:val="24"/>
              </w:rPr>
            </w:pPr>
            <w:r w:rsidDel="00000000" w:rsidR="00000000" w:rsidRPr="00000000">
              <w:rPr>
                <w:rtl w:val="0"/>
              </w:rPr>
            </w:r>
          </w:p>
        </w:tc>
      </w:tr>
      <w:tr>
        <w:tc>
          <w:tcPr/>
          <w:p w:rsidR="00000000" w:rsidDel="00000000" w:rsidP="00000000" w:rsidRDefault="00000000" w:rsidRPr="00000000" w14:paraId="0000006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Questions for the state party related to child pretrial detention time limits:</w:t>
            </w:r>
          </w:p>
        </w:tc>
        <w:tc>
          <w:tcPr>
            <w:gridSpan w:val="7"/>
          </w:tcPr>
          <w:p w:rsidR="00000000" w:rsidDel="00000000" w:rsidP="00000000" w:rsidRDefault="00000000" w:rsidRPr="00000000" w14:paraId="00000066">
            <w:pPr>
              <w:spacing w:lin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or more if not already available:</w:t>
            </w:r>
          </w:p>
          <w:p w:rsidR="00000000" w:rsidDel="00000000" w:rsidP="00000000" w:rsidRDefault="00000000" w:rsidRPr="00000000" w14:paraId="00000067">
            <w:pPr>
              <w:numPr>
                <w:ilvl w:val="1"/>
                <w:numId w:val="2"/>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the average time children actually spend in pretrial detention.</w:t>
            </w:r>
          </w:p>
          <w:p w:rsidR="00000000" w:rsidDel="00000000" w:rsidP="00000000" w:rsidRDefault="00000000" w:rsidRPr="00000000" w14:paraId="00000068">
            <w:pPr>
              <w:numPr>
                <w:ilvl w:val="1"/>
                <w:numId w:val="2"/>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children detained with adults.</w:t>
            </w:r>
          </w:p>
          <w:p w:rsidR="00000000" w:rsidDel="00000000" w:rsidP="00000000" w:rsidRDefault="00000000" w:rsidRPr="00000000" w14:paraId="00000069">
            <w:pPr>
              <w:numPr>
                <w:ilvl w:val="1"/>
                <w:numId w:val="2"/>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the number of children who spend longer than the maximum time in pretrial detention.</w:t>
            </w:r>
          </w:p>
          <w:p w:rsidR="00000000" w:rsidDel="00000000" w:rsidP="00000000" w:rsidRDefault="00000000" w:rsidRPr="00000000" w14:paraId="0000006A">
            <w:pPr>
              <w:numPr>
                <w:ilvl w:val="1"/>
                <w:numId w:val="2"/>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duration of pretrial detention as it varies by race, gender, religion or other relevant characteristics.</w:t>
            </w:r>
          </w:p>
          <w:p w:rsidR="00000000" w:rsidDel="00000000" w:rsidP="00000000" w:rsidRDefault="00000000" w:rsidRPr="00000000" w14:paraId="0000006B">
            <w:pPr>
              <w:numPr>
                <w:ilvl w:val="1"/>
                <w:numId w:val="2"/>
              </w:numPr>
              <w:spacing w:line="259" w:lineRule="auto"/>
              <w:ind w:left="720" w:hanging="360"/>
              <w:jc w:val="both"/>
              <w:rPr>
                <w:rFonts w:ascii="Times New Roman" w:cs="Times New Roman" w:eastAsia="Times New Roman" w:hAnsi="Times New Roman"/>
                <w:sz w:val="24"/>
                <w:szCs w:val="24"/>
              </w:rPr>
            </w:pPr>
            <w:bookmarkStart w:colFirst="0" w:colLast="0" w:name="_3znysh7" w:id="3"/>
            <w:bookmarkEnd w:id="3"/>
            <w:r w:rsidDel="00000000" w:rsidR="00000000" w:rsidRPr="00000000">
              <w:rPr>
                <w:rFonts w:ascii="Times New Roman" w:cs="Times New Roman" w:eastAsia="Times New Roman" w:hAnsi="Times New Roman"/>
                <w:sz w:val="24"/>
                <w:szCs w:val="24"/>
                <w:rtl w:val="0"/>
              </w:rPr>
              <w:t xml:space="preserve">Data on efforts to reduce/ establish the length of pretrial detention and expedite cases.</w:t>
            </w:r>
          </w:p>
          <w:p w:rsidR="00000000" w:rsidDel="00000000" w:rsidP="00000000" w:rsidRDefault="00000000" w:rsidRPr="00000000" w14:paraId="0000006C">
            <w:pPr>
              <w:numPr>
                <w:ilvl w:val="1"/>
                <w:numId w:val="2"/>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on how appeals and other challenges affect duration of pretrial detention.</w:t>
            </w:r>
          </w:p>
          <w:p w:rsidR="00000000" w:rsidDel="00000000" w:rsidP="00000000" w:rsidRDefault="00000000" w:rsidRPr="00000000" w14:paraId="0000006D">
            <w:pPr>
              <w:numPr>
                <w:ilvl w:val="1"/>
                <w:numId w:val="2"/>
              </w:numPr>
              <w:spacing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on standards related to initial court appearance, determination of legality of initial detention, and judicial control over detention of children.</w:t>
            </w:r>
          </w:p>
          <w:p w:rsidR="00000000" w:rsidDel="00000000" w:rsidP="00000000" w:rsidRDefault="00000000" w:rsidRPr="00000000" w14:paraId="0000006E">
            <w:pPr>
              <w:numPr>
                <w:ilvl w:val="1"/>
                <w:numId w:val="2"/>
              </w:numPr>
              <w:spacing w:after="160" w:line="259"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on oversight and children’s access to legal counsel within pretrial detention.</w:t>
            </w:r>
          </w:p>
          <w:p w:rsidR="00000000" w:rsidDel="00000000" w:rsidP="00000000" w:rsidRDefault="00000000" w:rsidRPr="00000000" w14:paraId="0000006F">
            <w:pPr>
              <w:spacing w:line="240" w:lineRule="auto"/>
              <w:rPr>
                <w:rFonts w:ascii="Times New Roman" w:cs="Times New Roman" w:eastAsia="Times New Roman" w:hAnsi="Times New Roman"/>
                <w:sz w:val="24"/>
                <w:szCs w:val="24"/>
              </w:rPr>
            </w:pPr>
            <w:r w:rsidDel="00000000" w:rsidR="00000000" w:rsidRPr="00000000">
              <w:rPr>
                <w:rtl w:val="0"/>
              </w:rPr>
            </w:r>
          </w:p>
        </w:tc>
      </w:tr>
      <w:tr>
        <w:tc>
          <w:tcPr/>
          <w:p w:rsidR="00000000" w:rsidDel="00000000" w:rsidP="00000000" w:rsidRDefault="00000000" w:rsidRPr="00000000" w14:paraId="0000007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Link to Global Study</w:t>
            </w:r>
          </w:p>
        </w:tc>
        <w:tc>
          <w:tcPr>
            <w:gridSpan w:val="7"/>
          </w:tcPr>
          <w:p w:rsidR="00000000" w:rsidDel="00000000" w:rsidP="00000000" w:rsidRDefault="00000000" w:rsidRPr="00000000" w14:paraId="00000077">
            <w:pPr>
              <w:shd w:fill="ffffff" w:val="clear"/>
              <w:spacing w:line="240" w:lineRule="auto"/>
              <w:rPr>
                <w:color w:val="222222"/>
                <w:sz w:val="24"/>
                <w:szCs w:val="24"/>
              </w:rPr>
            </w:pPr>
            <w:hyperlink r:id="rId8">
              <w:r w:rsidDel="00000000" w:rsidR="00000000" w:rsidRPr="00000000">
                <w:rPr>
                  <w:color w:val="1155cc"/>
                  <w:sz w:val="24"/>
                  <w:szCs w:val="24"/>
                  <w:u w:val="single"/>
                  <w:rtl w:val="0"/>
                </w:rPr>
                <w:br w:type="textWrapping"/>
                <w:t xml:space="preserve">https://jjimexico.org/ptd-report/</w:t>
              </w:r>
            </w:hyperlink>
            <w:r w:rsidDel="00000000" w:rsidR="00000000" w:rsidRPr="00000000">
              <w:rPr>
                <w:rtl w:val="0"/>
              </w:rPr>
            </w:r>
          </w:p>
          <w:p w:rsidR="00000000" w:rsidDel="00000000" w:rsidP="00000000" w:rsidRDefault="00000000" w:rsidRPr="00000000" w14:paraId="00000078">
            <w:pPr>
              <w:spacing w:line="240" w:lineRule="auto"/>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7F">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mbria"/>
  <w:font w:name="Courier New"/>
  <w:font w:name="Noto Sans Symbol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87">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Patrick Webb &amp; William Allen Kritsonis, </w:t>
      </w:r>
      <w:r w:rsidDel="00000000" w:rsidR="00000000" w:rsidRPr="00000000">
        <w:rPr>
          <w:rFonts w:ascii="Cambria" w:cs="Cambria" w:eastAsia="Cambria" w:hAnsi="Cambria"/>
          <w:i w:val="1"/>
          <w:sz w:val="20"/>
          <w:szCs w:val="20"/>
          <w:rtl w:val="0"/>
        </w:rPr>
        <w:t xml:space="preserve">Controlling those Kids: Social Control and the Use of Pretrial Detention among Youth in the United States of America: National Implications</w:t>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smallCaps w:val="1"/>
          <w:sz w:val="20"/>
          <w:szCs w:val="20"/>
          <w:rtl w:val="0"/>
        </w:rPr>
        <w:t xml:space="preserve">ERIC </w:t>
      </w:r>
      <w:r w:rsidDel="00000000" w:rsidR="00000000" w:rsidRPr="00000000">
        <w:rPr>
          <w:rFonts w:ascii="Cambria" w:cs="Cambria" w:eastAsia="Cambria" w:hAnsi="Cambria"/>
          <w:sz w:val="20"/>
          <w:szCs w:val="20"/>
          <w:rtl w:val="0"/>
        </w:rPr>
        <w:t xml:space="preserve">(Oct. 2006), https://eric.ed.gov/?id=ED493565. </w:t>
      </w:r>
    </w:p>
  </w:footnote>
  <w:footnote w:id="1">
    <w:p w:rsidR="00000000" w:rsidDel="00000000" w:rsidP="00000000" w:rsidRDefault="00000000" w:rsidRPr="00000000" w14:paraId="00000088">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G.A. Res. 44/25, Convention on the Rights of the Child, art. 37(b) (Nov. 20, 1989) [hereinafter CRC].</w:t>
      </w:r>
    </w:p>
  </w:footnote>
  <w:footnote w:id="2">
    <w:p w:rsidR="00000000" w:rsidDel="00000000" w:rsidP="00000000" w:rsidRDefault="00000000" w:rsidRPr="00000000" w14:paraId="0000008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Comm. on the Rights of the Child, General Comment 10: Children's Rights in Juvenile Justice, § 80, U.N. Doc. CRC/C/GC/10 (Apr. 25, 2007) [hereinafter CRC General Comment 10].</w:t>
      </w:r>
    </w:p>
  </w:footnote>
  <w:footnote w:id="3">
    <w:p w:rsidR="00000000" w:rsidDel="00000000" w:rsidP="00000000" w:rsidRDefault="00000000" w:rsidRPr="00000000" w14:paraId="0000008A">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i w:val="1"/>
          <w:sz w:val="20"/>
          <w:szCs w:val="20"/>
          <w:rtl w:val="0"/>
        </w:rPr>
        <w:t xml:space="preserve">Id. </w:t>
      </w:r>
      <w:r w:rsidDel="00000000" w:rsidR="00000000" w:rsidRPr="00000000">
        <w:rPr>
          <w:rFonts w:ascii="Times New Roman" w:cs="Times New Roman" w:eastAsia="Times New Roman" w:hAnsi="Times New Roman"/>
          <w:sz w:val="20"/>
          <w:szCs w:val="20"/>
          <w:rtl w:val="0"/>
        </w:rPr>
        <w:t xml:space="preserve">¶ 83 (specifying that regular review is “preferably every two weeks”).</w:t>
      </w:r>
    </w:p>
  </w:footnote>
  <w:footnote w:id="4">
    <w:p w:rsidR="00000000" w:rsidDel="00000000" w:rsidP="00000000" w:rsidRDefault="00000000" w:rsidRPr="00000000" w14:paraId="0000008B">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Moritz Birk et. al., </w:t>
      </w:r>
      <w:r w:rsidDel="00000000" w:rsidR="00000000" w:rsidRPr="00000000">
        <w:rPr>
          <w:rFonts w:ascii="Cambria" w:cs="Cambria" w:eastAsia="Cambria" w:hAnsi="Cambria"/>
          <w:i w:val="1"/>
          <w:sz w:val="20"/>
          <w:szCs w:val="20"/>
          <w:rtl w:val="0"/>
        </w:rPr>
        <w:t xml:space="preserve">Pretrial Detention and Torture: Why Pretrial Detainees Face the Greatest Risk</w:t>
      </w:r>
      <w:r w:rsidDel="00000000" w:rsidR="00000000" w:rsidRPr="00000000">
        <w:rPr>
          <w:rFonts w:ascii="Cambria" w:cs="Cambria" w:eastAsia="Cambria" w:hAnsi="Cambria"/>
          <w:sz w:val="20"/>
          <w:szCs w:val="20"/>
          <w:rtl w:val="0"/>
        </w:rPr>
        <w:t xml:space="preserve">, 27, </w:t>
      </w:r>
      <w:r w:rsidDel="00000000" w:rsidR="00000000" w:rsidRPr="00000000">
        <w:rPr>
          <w:rFonts w:ascii="Cambria" w:cs="Cambria" w:eastAsia="Cambria" w:hAnsi="Cambria"/>
          <w:smallCaps w:val="1"/>
          <w:sz w:val="20"/>
          <w:szCs w:val="20"/>
          <w:rtl w:val="0"/>
        </w:rPr>
        <w:t xml:space="preserve">Open Soc’y Found</w:t>
      </w:r>
      <w:r w:rsidDel="00000000" w:rsidR="00000000" w:rsidRPr="00000000">
        <w:rPr>
          <w:rFonts w:ascii="Cambria" w:cs="Cambria" w:eastAsia="Cambria" w:hAnsi="Cambria"/>
          <w:sz w:val="20"/>
          <w:szCs w:val="20"/>
          <w:rtl w:val="0"/>
        </w:rPr>
        <w:t xml:space="preserve">. (2011)), </w:t>
      </w:r>
      <w:hyperlink r:id="rId1">
        <w:r w:rsidDel="00000000" w:rsidR="00000000" w:rsidRPr="00000000">
          <w:rPr>
            <w:rFonts w:ascii="Cambria" w:cs="Cambria" w:eastAsia="Cambria" w:hAnsi="Cambria"/>
            <w:sz w:val="20"/>
            <w:szCs w:val="20"/>
            <w:u w:val="single"/>
            <w:rtl w:val="0"/>
          </w:rPr>
          <w:t xml:space="preserve">https://www.opensocietyfoundations.org/sites/default/files/pretrial-detention-and-torture-06222011.pdf</w:t>
        </w:r>
      </w:hyperlink>
      <w:r w:rsidDel="00000000" w:rsidR="00000000" w:rsidRPr="00000000">
        <w:rPr>
          <w:rFonts w:ascii="Cambria" w:cs="Cambria" w:eastAsia="Cambria" w:hAnsi="Cambria"/>
          <w:sz w:val="20"/>
          <w:szCs w:val="20"/>
          <w:rtl w:val="0"/>
        </w:rPr>
        <w:t xml:space="preserve">. </w:t>
      </w:r>
    </w:p>
  </w:footnote>
  <w:footnote w:id="5">
    <w:p w:rsidR="00000000" w:rsidDel="00000000" w:rsidP="00000000" w:rsidRDefault="00000000" w:rsidRPr="00000000" w14:paraId="0000008C">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Barry Holman &amp; Jason Ziedenberg. </w:t>
      </w:r>
      <w:r w:rsidDel="00000000" w:rsidR="00000000" w:rsidRPr="00000000">
        <w:rPr>
          <w:rFonts w:ascii="Cambria" w:cs="Cambria" w:eastAsia="Cambria" w:hAnsi="Cambria"/>
          <w:i w:val="1"/>
          <w:sz w:val="20"/>
          <w:szCs w:val="20"/>
          <w:rtl w:val="0"/>
        </w:rPr>
        <w:t xml:space="preserve">The Dangers of Detention: The Impact of Incarcerating Youth in Detention and Other Secure Facilities</w:t>
      </w:r>
      <w:r w:rsidDel="00000000" w:rsidR="00000000" w:rsidRPr="00000000">
        <w:rPr>
          <w:rFonts w:ascii="Cambria" w:cs="Cambria" w:eastAsia="Cambria" w:hAnsi="Cambria"/>
          <w:sz w:val="20"/>
          <w:szCs w:val="20"/>
          <w:rtl w:val="0"/>
        </w:rPr>
        <w:t xml:space="preserve">, 3–10, </w:t>
      </w:r>
      <w:r w:rsidDel="00000000" w:rsidR="00000000" w:rsidRPr="00000000">
        <w:rPr>
          <w:rFonts w:ascii="Cambria" w:cs="Cambria" w:eastAsia="Cambria" w:hAnsi="Cambria"/>
          <w:smallCaps w:val="1"/>
          <w:sz w:val="20"/>
          <w:szCs w:val="20"/>
          <w:rtl w:val="0"/>
        </w:rPr>
        <w:t xml:space="preserve">Just. Pol’y Inst.</w:t>
      </w:r>
      <w:r w:rsidDel="00000000" w:rsidR="00000000" w:rsidRPr="00000000">
        <w:rPr>
          <w:rFonts w:ascii="Cambria" w:cs="Cambria" w:eastAsia="Cambria" w:hAnsi="Cambria"/>
          <w:sz w:val="20"/>
          <w:szCs w:val="20"/>
          <w:rtl w:val="0"/>
        </w:rPr>
        <w:t xml:space="preserve"> (Nov. 28, 2006), </w:t>
      </w:r>
      <w:hyperlink r:id="rId2">
        <w:r w:rsidDel="00000000" w:rsidR="00000000" w:rsidRPr="00000000">
          <w:rPr>
            <w:rFonts w:ascii="Cambria" w:cs="Cambria" w:eastAsia="Cambria" w:hAnsi="Cambria"/>
            <w:sz w:val="20"/>
            <w:szCs w:val="20"/>
            <w:u w:val="single"/>
            <w:rtl w:val="0"/>
          </w:rPr>
          <w:t xml:space="preserve">http://www.justicepolicy.org/images/upload/06-11_rep_dangersofdetention_jj.pdf</w:t>
        </w:r>
      </w:hyperlink>
      <w:r w:rsidDel="00000000" w:rsidR="00000000" w:rsidRPr="00000000">
        <w:rPr>
          <w:rFonts w:ascii="Cambria" w:cs="Cambria" w:eastAsia="Cambria" w:hAnsi="Cambria"/>
          <w:sz w:val="20"/>
          <w:szCs w:val="20"/>
          <w:rtl w:val="0"/>
        </w:rPr>
        <w:t xml:space="preserve">. </w:t>
      </w:r>
    </w:p>
  </w:footnote>
  <w:footnote w:id="6">
    <w:p w:rsidR="00000000" w:rsidDel="00000000" w:rsidP="00000000" w:rsidRDefault="00000000" w:rsidRPr="00000000" w14:paraId="0000008D">
      <w:pPr>
        <w:spacing w:line="240" w:lineRule="auto"/>
        <w:jc w:val="both"/>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David E. Arredondo, </w:t>
      </w:r>
      <w:r w:rsidDel="00000000" w:rsidR="00000000" w:rsidRPr="00000000">
        <w:rPr>
          <w:rFonts w:ascii="Times New Roman" w:cs="Times New Roman" w:eastAsia="Times New Roman" w:hAnsi="Times New Roman"/>
          <w:i w:val="1"/>
          <w:sz w:val="20"/>
          <w:szCs w:val="20"/>
          <w:rtl w:val="0"/>
        </w:rPr>
        <w:t xml:space="preserve">Child Development, Children's Mental Health and the Juvenile Justice System: Principles for Effective Decision-Making</w:t>
      </w:r>
      <w:r w:rsidDel="00000000" w:rsidR="00000000" w:rsidRPr="00000000">
        <w:rPr>
          <w:rFonts w:ascii="Times New Roman" w:cs="Times New Roman" w:eastAsia="Times New Roman" w:hAnsi="Times New Roman"/>
          <w:sz w:val="20"/>
          <w:szCs w:val="20"/>
          <w:rtl w:val="0"/>
        </w:rPr>
        <w:t xml:space="preserve">, 14 </w:t>
      </w:r>
      <w:r w:rsidDel="00000000" w:rsidR="00000000" w:rsidRPr="00000000">
        <w:rPr>
          <w:rFonts w:ascii="Times New Roman" w:cs="Times New Roman" w:eastAsia="Times New Roman" w:hAnsi="Times New Roman"/>
          <w:smallCaps w:val="1"/>
          <w:sz w:val="20"/>
          <w:szCs w:val="20"/>
          <w:rtl w:val="0"/>
        </w:rPr>
        <w:t xml:space="preserve">Stan. L. &amp; Pol'y Rev</w:t>
      </w:r>
      <w:r w:rsidDel="00000000" w:rsidR="00000000" w:rsidRPr="00000000">
        <w:rPr>
          <w:rFonts w:ascii="Times New Roman" w:cs="Times New Roman" w:eastAsia="Times New Roman" w:hAnsi="Times New Roman"/>
          <w:sz w:val="20"/>
          <w:szCs w:val="20"/>
          <w:rtl w:val="0"/>
        </w:rPr>
        <w:t xml:space="preserve">. 13, 18–19 (2003).</w:t>
      </w:r>
    </w:p>
  </w:footnote>
  <w:footnote w:id="7">
    <w:p w:rsidR="00000000" w:rsidDel="00000000" w:rsidP="00000000" w:rsidRDefault="00000000" w:rsidRPr="00000000" w14:paraId="0000008E">
      <w:pPr>
        <w:spacing w:line="240" w:lineRule="auto"/>
        <w:rPr>
          <w:rFonts w:ascii="Cambria" w:cs="Cambria" w:eastAsia="Cambria" w:hAnsi="Cambria"/>
          <w:sz w:val="20"/>
          <w:szCs w:val="20"/>
        </w:rPr>
      </w:pPr>
      <w:r w:rsidDel="00000000" w:rsidR="00000000" w:rsidRPr="00000000">
        <w:rPr>
          <w:rStyle w:val="FootnoteReference"/>
          <w:vertAlign w:val="superscript"/>
        </w:rPr>
        <w:footnoteRef/>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i w:val="1"/>
          <w:sz w:val="20"/>
          <w:szCs w:val="20"/>
          <w:rtl w:val="0"/>
        </w:rPr>
        <w:t xml:space="preserve">E.g.</w:t>
      </w:r>
      <w:r w:rsidDel="00000000" w:rsidR="00000000" w:rsidRPr="00000000">
        <w:rPr>
          <w:rFonts w:ascii="Cambria" w:cs="Cambria" w:eastAsia="Cambria" w:hAnsi="Cambria"/>
          <w:sz w:val="20"/>
          <w:szCs w:val="20"/>
          <w:rtl w:val="0"/>
        </w:rPr>
        <w:t xml:space="preserve">, </w:t>
      </w:r>
      <w:r w:rsidDel="00000000" w:rsidR="00000000" w:rsidRPr="00000000">
        <w:rPr>
          <w:rFonts w:ascii="Cambria" w:cs="Cambria" w:eastAsia="Cambria" w:hAnsi="Cambria"/>
          <w:i w:val="1"/>
          <w:sz w:val="20"/>
          <w:szCs w:val="20"/>
          <w:rtl w:val="0"/>
        </w:rPr>
        <w:t xml:space="preserve">Diagnóstico del Sistema de Justicia Para Adolescentes del Estado de Chihuahua: “Buenas Prácticas para las Alternativas a la Detención”</w:t>
      </w:r>
      <w:r w:rsidDel="00000000" w:rsidR="00000000" w:rsidRPr="00000000">
        <w:rPr>
          <w:rFonts w:ascii="Cambria" w:cs="Cambria" w:eastAsia="Cambria" w:hAnsi="Cambria"/>
          <w:sz w:val="20"/>
          <w:szCs w:val="20"/>
          <w:rtl w:val="0"/>
        </w:rPr>
        <w:t xml:space="preserve">, 8–10, </w:t>
      </w:r>
      <w:r w:rsidDel="00000000" w:rsidR="00000000" w:rsidRPr="00000000">
        <w:rPr>
          <w:rFonts w:ascii="Cambria" w:cs="Cambria" w:eastAsia="Cambria" w:hAnsi="Cambria"/>
          <w:smallCaps w:val="1"/>
          <w:sz w:val="20"/>
          <w:szCs w:val="20"/>
          <w:rtl w:val="0"/>
        </w:rPr>
        <w:t xml:space="preserve">Justicia Juvenil Int’l</w:t>
      </w:r>
      <w:r w:rsidDel="00000000" w:rsidR="00000000" w:rsidRPr="00000000">
        <w:rPr>
          <w:rFonts w:ascii="Cambria" w:cs="Cambria" w:eastAsia="Cambria" w:hAnsi="Cambria"/>
          <w:sz w:val="20"/>
          <w:szCs w:val="20"/>
          <w:rtl w:val="0"/>
        </w:rPr>
        <w:t xml:space="preserve"> (Sept. 2017) https://jjimexico.org/projects/chihuahua</w:t>
      </w:r>
      <w:r w:rsidDel="00000000" w:rsidR="00000000" w:rsidRPr="00000000">
        <w:rPr>
          <w:rFonts w:ascii="Cambria" w:cs="Cambria" w:eastAsia="Cambria" w:hAnsi="Cambria"/>
          <w:color w:val="ff0000"/>
          <w:sz w:val="20"/>
          <w:szCs w:val="20"/>
          <w:rtl w:val="0"/>
        </w:rPr>
        <w:t xml:space="preserve"> </w:t>
      </w:r>
      <w:r w:rsidDel="00000000" w:rsidR="00000000" w:rsidRPr="00000000">
        <w:rPr>
          <w:rFonts w:ascii="Cambria" w:cs="Cambria" w:eastAsia="Cambria" w:hAnsi="Cambria"/>
          <w:sz w:val="20"/>
          <w:szCs w:val="20"/>
          <w:rtl w:val="0"/>
        </w:rPr>
        <w:t xml:space="preserve">[hereinafter </w:t>
      </w:r>
      <w:r w:rsidDel="00000000" w:rsidR="00000000" w:rsidRPr="00000000">
        <w:rPr>
          <w:rFonts w:ascii="Cambria" w:cs="Cambria" w:eastAsia="Cambria" w:hAnsi="Cambria"/>
          <w:i w:val="1"/>
          <w:sz w:val="20"/>
          <w:szCs w:val="20"/>
          <w:rtl w:val="0"/>
        </w:rPr>
        <w:t xml:space="preserve">Diagnóstico 2017</w:t>
      </w:r>
      <w:r w:rsidDel="00000000" w:rsidR="00000000" w:rsidRPr="00000000">
        <w:rPr>
          <w:rFonts w:ascii="Cambria" w:cs="Cambria" w:eastAsia="Cambria" w:hAnsi="Cambria"/>
          <w:sz w:val="20"/>
          <w:szCs w:val="20"/>
          <w:rtl w:val="0"/>
        </w:rPr>
        <w:t xml:space="preserve">].</w:t>
      </w:r>
    </w:p>
  </w:footnote>
  <w:footnote w:id="8">
    <w:p w:rsidR="00000000" w:rsidDel="00000000" w:rsidP="00000000" w:rsidRDefault="00000000" w:rsidRPr="00000000" w14:paraId="0000008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Protection of Young People Act of 10 August 1992, art. 26 (1992), http://legilux.public.lu/eli/etat/leg/loi/1992/08/10/n3/jo.</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bullet"/>
      <w:lvlText w:val="●"/>
      <w:lvlJc w:val="left"/>
      <w:pPr>
        <w:ind w:left="720" w:hanging="360"/>
      </w:pPr>
      <w:rPr>
        <w:rFonts w:ascii="Noto Sans Symbols" w:cs="Noto Sans Symbols" w:eastAsia="Noto Sans Symbols" w:hAnsi="Noto Sans Symbols"/>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8" Type="http://schemas.openxmlformats.org/officeDocument/2006/relationships/hyperlink" Target="https://jjimexico.org/ptd-report/" TargetMode="External"/><Relationship Id="rId3"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3.xml"/><Relationship Id="rId5" Type="http://schemas.openxmlformats.org/officeDocument/2006/relationships/numbering" Target="numbering.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 Type="http://schemas.openxmlformats.org/officeDocument/2006/relationships/hyperlink" Target="https://www.opensocietyfoundations.org/sites/default/files/pretrial-detention-and-torture-06222011.pdf" TargetMode="External"/><Relationship Id="rId2" Type="http://schemas.openxmlformats.org/officeDocument/2006/relationships/hyperlink" Target="http://www.justicepolicy.org/images/upload/06-11_rep_dangersofdetention_jj.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590AE1-4DD4-4A64-900D-6A88335C90C6}"/>
</file>

<file path=customXml/itemProps2.xml><?xml version="1.0" encoding="utf-8"?>
<ds:datastoreItem xmlns:ds="http://schemas.openxmlformats.org/officeDocument/2006/customXml" ds:itemID="{64910E70-D32C-47FB-ADAE-7D35998C3681}"/>
</file>

<file path=customXml/itemProps3.xml><?xml version="1.0" encoding="utf-8"?>
<ds:datastoreItem xmlns:ds="http://schemas.openxmlformats.org/officeDocument/2006/customXml" ds:itemID="{2CB2C236-C18D-456C-9438-4C5AA47D4FB6}"/>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