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96B314" w14:textId="2714A9A9" w:rsidR="3F630973" w:rsidRDefault="3F630973" w:rsidP="3F630973">
      <w:pPr>
        <w:jc w:val="center"/>
        <w:rPr>
          <w:rFonts w:ascii="Century Gothic" w:eastAsia="Century Gothic" w:hAnsi="Century Gothic" w:cs="Century Gothic"/>
          <w:b/>
          <w:bCs/>
          <w:sz w:val="36"/>
          <w:szCs w:val="36"/>
        </w:rPr>
      </w:pPr>
    </w:p>
    <w:p w14:paraId="26FB04DF" w14:textId="3E6708E0" w:rsidR="3F630973" w:rsidRDefault="3F630973" w:rsidP="3F630973">
      <w:pPr>
        <w:jc w:val="center"/>
        <w:rPr>
          <w:rFonts w:ascii="Century Gothic" w:eastAsia="Century Gothic" w:hAnsi="Century Gothic" w:cs="Century Gothic"/>
          <w:b/>
          <w:bCs/>
          <w:sz w:val="36"/>
          <w:szCs w:val="36"/>
        </w:rPr>
      </w:pPr>
    </w:p>
    <w:p w14:paraId="6E1BA409" w14:textId="5E3695C2" w:rsidR="74C25B25" w:rsidRDefault="74C25B25" w:rsidP="3F630973">
      <w:pPr>
        <w:jc w:val="center"/>
        <w:rPr>
          <w:rFonts w:ascii="Century Gothic" w:eastAsia="Century Gothic" w:hAnsi="Century Gothic" w:cs="Century Gothic"/>
          <w:b/>
          <w:bCs/>
          <w:sz w:val="40"/>
          <w:szCs w:val="40"/>
        </w:rPr>
      </w:pPr>
      <w:r w:rsidRPr="362ED30B">
        <w:rPr>
          <w:rFonts w:ascii="Century Gothic" w:eastAsia="Century Gothic" w:hAnsi="Century Gothic" w:cs="Century Gothic"/>
          <w:b/>
          <w:bCs/>
          <w:sz w:val="40"/>
          <w:szCs w:val="40"/>
        </w:rPr>
        <w:t xml:space="preserve">Submission </w:t>
      </w:r>
      <w:r w:rsidR="61924C67" w:rsidRPr="362ED30B">
        <w:rPr>
          <w:rFonts w:ascii="Century Gothic" w:eastAsia="Century Gothic" w:hAnsi="Century Gothic" w:cs="Century Gothic"/>
          <w:b/>
          <w:bCs/>
          <w:sz w:val="40"/>
          <w:szCs w:val="40"/>
        </w:rPr>
        <w:t xml:space="preserve">to </w:t>
      </w:r>
    </w:p>
    <w:p w14:paraId="2DDCA246" w14:textId="66666CAB" w:rsidR="61924C67" w:rsidRDefault="61924C67" w:rsidP="3F630973">
      <w:pPr>
        <w:jc w:val="center"/>
        <w:rPr>
          <w:rFonts w:ascii="Century Gothic" w:eastAsia="Century Gothic" w:hAnsi="Century Gothic" w:cs="Century Gothic"/>
          <w:b/>
          <w:bCs/>
          <w:sz w:val="40"/>
          <w:szCs w:val="40"/>
        </w:rPr>
      </w:pPr>
      <w:r w:rsidRPr="362ED30B">
        <w:rPr>
          <w:rFonts w:ascii="Century Gothic" w:eastAsia="Century Gothic" w:hAnsi="Century Gothic" w:cs="Century Gothic"/>
          <w:b/>
          <w:bCs/>
          <w:sz w:val="40"/>
          <w:szCs w:val="40"/>
        </w:rPr>
        <w:t>the International</w:t>
      </w:r>
      <w:r w:rsidR="74C25B25" w:rsidRPr="362ED30B">
        <w:rPr>
          <w:rFonts w:ascii="Century Gothic" w:eastAsia="Century Gothic" w:hAnsi="Century Gothic" w:cs="Century Gothic"/>
          <w:b/>
          <w:bCs/>
          <w:sz w:val="40"/>
          <w:szCs w:val="40"/>
        </w:rPr>
        <w:t xml:space="preserve"> Committee on </w:t>
      </w:r>
    </w:p>
    <w:p w14:paraId="2488BCCF" w14:textId="1E7BC8FC" w:rsidR="74C25B25" w:rsidRDefault="74C25B25" w:rsidP="3F630973">
      <w:pPr>
        <w:jc w:val="center"/>
        <w:rPr>
          <w:rFonts w:ascii="Century Gothic" w:eastAsia="Century Gothic" w:hAnsi="Century Gothic" w:cs="Century Gothic"/>
          <w:b/>
          <w:bCs/>
          <w:sz w:val="40"/>
          <w:szCs w:val="40"/>
        </w:rPr>
      </w:pPr>
      <w:r w:rsidRPr="362ED30B">
        <w:rPr>
          <w:rFonts w:ascii="Century Gothic" w:eastAsia="Century Gothic" w:hAnsi="Century Gothic" w:cs="Century Gothic"/>
          <w:b/>
          <w:bCs/>
          <w:sz w:val="40"/>
          <w:szCs w:val="40"/>
        </w:rPr>
        <w:t xml:space="preserve">the Elimination of Discrimination Against Women </w:t>
      </w:r>
    </w:p>
    <w:p w14:paraId="11D6D069" w14:textId="79FADDC9" w:rsidR="3F630973" w:rsidRDefault="3F630973" w:rsidP="3F630973">
      <w:pPr>
        <w:jc w:val="center"/>
        <w:rPr>
          <w:rFonts w:ascii="Century Gothic" w:eastAsia="Century Gothic" w:hAnsi="Century Gothic" w:cs="Century Gothic"/>
          <w:sz w:val="28"/>
          <w:szCs w:val="28"/>
        </w:rPr>
      </w:pPr>
    </w:p>
    <w:p w14:paraId="1D2FD8F1" w14:textId="28F9DB44" w:rsidR="3F630973" w:rsidRDefault="3F630973" w:rsidP="3F630973">
      <w:pPr>
        <w:jc w:val="center"/>
        <w:rPr>
          <w:rFonts w:ascii="Century Gothic" w:eastAsia="Century Gothic" w:hAnsi="Century Gothic" w:cs="Century Gothic"/>
          <w:sz w:val="28"/>
          <w:szCs w:val="28"/>
        </w:rPr>
      </w:pPr>
    </w:p>
    <w:p w14:paraId="4EAF5A32" w14:textId="2BB3BACD" w:rsidR="74C25B25" w:rsidRDefault="74C25B25" w:rsidP="3F630973">
      <w:pPr>
        <w:jc w:val="center"/>
        <w:rPr>
          <w:rFonts w:ascii="Century Gothic" w:eastAsia="Century Gothic" w:hAnsi="Century Gothic" w:cs="Century Gothic"/>
          <w:sz w:val="28"/>
          <w:szCs w:val="28"/>
        </w:rPr>
      </w:pPr>
      <w:r w:rsidRPr="362ED30B">
        <w:rPr>
          <w:rFonts w:ascii="Century Gothic" w:eastAsia="Century Gothic" w:hAnsi="Century Gothic" w:cs="Century Gothic"/>
          <w:sz w:val="28"/>
          <w:szCs w:val="28"/>
        </w:rPr>
        <w:t xml:space="preserve"> </w:t>
      </w:r>
    </w:p>
    <w:p w14:paraId="50DC40A9" w14:textId="3F0B12ED" w:rsidR="74C25B25" w:rsidRDefault="74C25B25" w:rsidP="3F630973">
      <w:pPr>
        <w:jc w:val="center"/>
        <w:rPr>
          <w:rFonts w:ascii="Century Gothic" w:eastAsia="Century Gothic" w:hAnsi="Century Gothic" w:cs="Century Gothic"/>
          <w:sz w:val="28"/>
          <w:szCs w:val="28"/>
        </w:rPr>
      </w:pPr>
      <w:r w:rsidRPr="362ED30B">
        <w:rPr>
          <w:rFonts w:ascii="Century Gothic" w:eastAsia="Century Gothic" w:hAnsi="Century Gothic" w:cs="Century Gothic"/>
          <w:sz w:val="28"/>
          <w:szCs w:val="28"/>
        </w:rPr>
        <w:t>By</w:t>
      </w:r>
      <w:r w:rsidR="05780A64" w:rsidRPr="362ED30B">
        <w:rPr>
          <w:rFonts w:ascii="Century Gothic" w:eastAsia="Century Gothic" w:hAnsi="Century Gothic" w:cs="Century Gothic"/>
          <w:sz w:val="28"/>
          <w:szCs w:val="28"/>
        </w:rPr>
        <w:t xml:space="preserve"> DAWN Canada &amp; Indigenous Disability Canada</w:t>
      </w:r>
    </w:p>
    <w:p w14:paraId="7F24E5F5" w14:textId="773CC70C" w:rsidR="3F630973" w:rsidRDefault="3F630973" w:rsidP="3F630973">
      <w:pPr>
        <w:jc w:val="center"/>
        <w:rPr>
          <w:rFonts w:ascii="Century Gothic" w:eastAsia="Century Gothic" w:hAnsi="Century Gothic" w:cs="Century Gothic"/>
        </w:rPr>
      </w:pPr>
    </w:p>
    <w:tbl>
      <w:tblPr>
        <w:tblStyle w:val="TableGrid"/>
        <w:tblW w:w="0" w:type="auto"/>
        <w:tblLayout w:type="fixed"/>
        <w:tblLook w:val="06A0" w:firstRow="1" w:lastRow="0" w:firstColumn="1" w:lastColumn="0" w:noHBand="1" w:noVBand="1"/>
      </w:tblPr>
      <w:tblGrid>
        <w:gridCol w:w="4680"/>
        <w:gridCol w:w="4680"/>
      </w:tblGrid>
      <w:tr w:rsidR="3F630973" w14:paraId="62FE22E7" w14:textId="77777777" w:rsidTr="362ED30B">
        <w:trPr>
          <w:trHeight w:val="300"/>
        </w:trPr>
        <w:tc>
          <w:tcPr>
            <w:tcW w:w="4680" w:type="dxa"/>
            <w:tcBorders>
              <w:top w:val="none" w:sz="4" w:space="0" w:color="000000" w:themeColor="text1"/>
              <w:left w:val="none" w:sz="4" w:space="0" w:color="000000" w:themeColor="text1"/>
              <w:bottom w:val="none" w:sz="4" w:space="0" w:color="000000" w:themeColor="text1"/>
              <w:right w:val="none" w:sz="4" w:space="0" w:color="000000" w:themeColor="text1"/>
            </w:tcBorders>
            <w:vAlign w:val="center"/>
          </w:tcPr>
          <w:p w14:paraId="008F8CF4" w14:textId="03746FAC" w:rsidR="26DFCF39" w:rsidRDefault="2698BF54" w:rsidP="3F630973">
            <w:pPr>
              <w:jc w:val="center"/>
              <w:rPr>
                <w:rFonts w:ascii="Century Gothic" w:eastAsia="Century Gothic" w:hAnsi="Century Gothic" w:cs="Century Gothic"/>
              </w:rPr>
            </w:pPr>
            <w:r>
              <w:rPr>
                <w:noProof/>
              </w:rPr>
              <w:drawing>
                <wp:inline distT="0" distB="0" distL="0" distR="0" wp14:anchorId="7D1B8405" wp14:editId="5E5F27BC">
                  <wp:extent cx="1961996" cy="819150"/>
                  <wp:effectExtent l="0" t="0" r="0" b="0"/>
                  <wp:docPr id="117506102" name="Picture 11750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1996" cy="819150"/>
                          </a:xfrm>
                          <a:prstGeom prst="rect">
                            <a:avLst/>
                          </a:prstGeom>
                        </pic:spPr>
                      </pic:pic>
                    </a:graphicData>
                  </a:graphic>
                </wp:inline>
              </w:drawing>
            </w:r>
          </w:p>
        </w:tc>
        <w:tc>
          <w:tcPr>
            <w:tcW w:w="4680" w:type="dxa"/>
            <w:tcBorders>
              <w:top w:val="none" w:sz="4" w:space="0" w:color="000000" w:themeColor="text1"/>
              <w:left w:val="none" w:sz="4" w:space="0" w:color="000000" w:themeColor="text1"/>
              <w:bottom w:val="none" w:sz="4" w:space="0" w:color="000000" w:themeColor="text1"/>
              <w:right w:val="none" w:sz="4" w:space="0" w:color="000000" w:themeColor="text1"/>
            </w:tcBorders>
            <w:vAlign w:val="center"/>
          </w:tcPr>
          <w:p w14:paraId="76FF4346" w14:textId="2D617713" w:rsidR="3F630973" w:rsidRDefault="3F630973" w:rsidP="3F630973">
            <w:pPr>
              <w:rPr>
                <w:rFonts w:ascii="Century Gothic" w:eastAsia="Century Gothic" w:hAnsi="Century Gothic" w:cs="Century Gothic"/>
              </w:rPr>
            </w:pPr>
          </w:p>
          <w:p w14:paraId="1BC5D771" w14:textId="7C034B40" w:rsidR="26DFCF39" w:rsidRDefault="2698BF54" w:rsidP="3F630973">
            <w:pPr>
              <w:rPr>
                <w:rFonts w:ascii="Century Gothic" w:eastAsia="Century Gothic" w:hAnsi="Century Gothic" w:cs="Century Gothic"/>
              </w:rPr>
            </w:pPr>
            <w:r>
              <w:rPr>
                <w:noProof/>
              </w:rPr>
              <w:drawing>
                <wp:inline distT="0" distB="0" distL="0" distR="0" wp14:anchorId="7CB4E772" wp14:editId="504666E0">
                  <wp:extent cx="2828925" cy="685800"/>
                  <wp:effectExtent l="0" t="0" r="0" b="0"/>
                  <wp:docPr id="813529850" name="Picture 813529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828925" cy="685800"/>
                          </a:xfrm>
                          <a:prstGeom prst="rect">
                            <a:avLst/>
                          </a:prstGeom>
                        </pic:spPr>
                      </pic:pic>
                    </a:graphicData>
                  </a:graphic>
                </wp:inline>
              </w:drawing>
            </w:r>
          </w:p>
        </w:tc>
      </w:tr>
    </w:tbl>
    <w:p w14:paraId="3510CBC2" w14:textId="3ABF7034" w:rsidR="3F630973" w:rsidRDefault="3F630973" w:rsidP="3F630973">
      <w:pPr>
        <w:jc w:val="center"/>
        <w:rPr>
          <w:rFonts w:ascii="Century Gothic" w:eastAsia="Century Gothic" w:hAnsi="Century Gothic" w:cs="Century Gothic"/>
        </w:rPr>
      </w:pPr>
    </w:p>
    <w:p w14:paraId="2D702889" w14:textId="77414A26" w:rsidR="3F630973" w:rsidRDefault="3F630973" w:rsidP="3F630973">
      <w:pPr>
        <w:jc w:val="center"/>
        <w:rPr>
          <w:rFonts w:ascii="Century Gothic" w:eastAsia="Century Gothic" w:hAnsi="Century Gothic" w:cs="Century Gothic"/>
        </w:rPr>
      </w:pPr>
    </w:p>
    <w:p w14:paraId="59508256" w14:textId="0528948E" w:rsidR="3F630973" w:rsidRDefault="3F630973" w:rsidP="3F630973">
      <w:pPr>
        <w:jc w:val="center"/>
        <w:rPr>
          <w:rFonts w:ascii="Century Gothic" w:eastAsia="Century Gothic" w:hAnsi="Century Gothic" w:cs="Century Gothic"/>
        </w:rPr>
      </w:pPr>
    </w:p>
    <w:p w14:paraId="0B622180" w14:textId="2E371A17" w:rsidR="74C25B25" w:rsidRDefault="74C25B25" w:rsidP="3F630973">
      <w:pPr>
        <w:jc w:val="center"/>
        <w:rPr>
          <w:rFonts w:ascii="Century Gothic" w:eastAsia="Century Gothic" w:hAnsi="Century Gothic" w:cs="Century Gothic"/>
          <w:sz w:val="28"/>
          <w:szCs w:val="28"/>
        </w:rPr>
      </w:pPr>
      <w:r w:rsidRPr="362ED30B">
        <w:rPr>
          <w:rFonts w:ascii="Century Gothic" w:eastAsia="Century Gothic" w:hAnsi="Century Gothic" w:cs="Century Gothic"/>
          <w:sz w:val="28"/>
          <w:szCs w:val="28"/>
        </w:rPr>
        <w:t>September 5</w:t>
      </w:r>
      <w:r w:rsidR="4459CFDA" w:rsidRPr="362ED30B">
        <w:rPr>
          <w:rFonts w:ascii="Century Gothic" w:eastAsia="Century Gothic" w:hAnsi="Century Gothic" w:cs="Century Gothic"/>
          <w:sz w:val="28"/>
          <w:szCs w:val="28"/>
        </w:rPr>
        <w:t xml:space="preserve">, </w:t>
      </w:r>
      <w:r w:rsidRPr="362ED30B">
        <w:rPr>
          <w:rFonts w:ascii="Century Gothic" w:eastAsia="Century Gothic" w:hAnsi="Century Gothic" w:cs="Century Gothic"/>
          <w:sz w:val="28"/>
          <w:szCs w:val="28"/>
        </w:rPr>
        <w:t>2024</w:t>
      </w:r>
    </w:p>
    <w:p w14:paraId="505EFC3F" w14:textId="25B750FF" w:rsidR="3F630973" w:rsidRDefault="3F630973" w:rsidP="3F630973">
      <w:pPr>
        <w:jc w:val="center"/>
        <w:rPr>
          <w:rFonts w:ascii="Century Gothic" w:eastAsia="Century Gothic" w:hAnsi="Century Gothic" w:cs="Century Gothic"/>
          <w:sz w:val="28"/>
          <w:szCs w:val="28"/>
        </w:rPr>
      </w:pPr>
    </w:p>
    <w:p w14:paraId="7A395B7C" w14:textId="13B29881" w:rsidR="2B247679" w:rsidRDefault="00EC17AD" w:rsidP="3F630973">
      <w:pPr>
        <w:jc w:val="center"/>
        <w:rPr>
          <w:rFonts w:ascii="Century Gothic" w:eastAsia="Century Gothic" w:hAnsi="Century Gothic" w:cs="Century Gothic"/>
          <w:sz w:val="28"/>
          <w:szCs w:val="28"/>
        </w:rPr>
      </w:pPr>
      <w:hyperlink r:id="rId10">
        <w:r w:rsidR="2B247679" w:rsidRPr="362ED30B">
          <w:rPr>
            <w:rStyle w:val="Hyperlink"/>
            <w:rFonts w:ascii="Century Gothic" w:eastAsia="Century Gothic" w:hAnsi="Century Gothic" w:cs="Century Gothic"/>
            <w:sz w:val="28"/>
            <w:szCs w:val="28"/>
          </w:rPr>
          <w:t>dawncanada.net</w:t>
        </w:r>
      </w:hyperlink>
    </w:p>
    <w:p w14:paraId="38CC5801" w14:textId="4ED9C565" w:rsidR="524AF74A" w:rsidRDefault="00EC17AD" w:rsidP="362ED30B">
      <w:pPr>
        <w:jc w:val="center"/>
        <w:rPr>
          <w:rFonts w:ascii="Century Gothic" w:eastAsia="Century Gothic" w:hAnsi="Century Gothic" w:cs="Century Gothic"/>
        </w:rPr>
      </w:pPr>
      <w:hyperlink r:id="rId11">
        <w:r w:rsidR="524AF74A" w:rsidRPr="362ED30B">
          <w:rPr>
            <w:rStyle w:val="Hyperlink"/>
            <w:rFonts w:ascii="Century Gothic" w:eastAsia="Century Gothic" w:hAnsi="Century Gothic" w:cs="Century Gothic"/>
            <w:sz w:val="28"/>
            <w:szCs w:val="28"/>
          </w:rPr>
          <w:t>bcands.bc.ca</w:t>
        </w:r>
      </w:hyperlink>
    </w:p>
    <w:p w14:paraId="319F7CE2" w14:textId="226697EB" w:rsidR="362ED30B" w:rsidRDefault="362ED30B" w:rsidP="362ED30B">
      <w:pPr>
        <w:rPr>
          <w:rFonts w:ascii="Century Gothic" w:eastAsia="Century Gothic" w:hAnsi="Century Gothic" w:cs="Century Gothic"/>
        </w:rPr>
      </w:pPr>
      <w:r w:rsidRPr="362ED30B">
        <w:rPr>
          <w:rFonts w:ascii="Century Gothic" w:eastAsia="Century Gothic" w:hAnsi="Century Gothic" w:cs="Century Gothic"/>
        </w:rPr>
        <w:br w:type="page"/>
      </w:r>
    </w:p>
    <w:p w14:paraId="68F1A731" w14:textId="4973E135" w:rsidR="1CE9479F" w:rsidRDefault="1CE9479F" w:rsidP="362ED30B">
      <w:pPr>
        <w:rPr>
          <w:rFonts w:ascii="Century Gothic" w:eastAsia="Century Gothic" w:hAnsi="Century Gothic" w:cs="Century Gothic"/>
          <w:sz w:val="28"/>
          <w:szCs w:val="28"/>
        </w:rPr>
      </w:pPr>
      <w:r w:rsidRPr="362ED30B">
        <w:rPr>
          <w:rFonts w:ascii="Century Gothic" w:eastAsia="Century Gothic" w:hAnsi="Century Gothic" w:cs="Century Gothic"/>
          <w:sz w:val="28"/>
          <w:szCs w:val="28"/>
        </w:rPr>
        <w:lastRenderedPageBreak/>
        <w:t>Table of content</w:t>
      </w:r>
    </w:p>
    <w:sdt>
      <w:sdtPr>
        <w:id w:val="816985580"/>
        <w:docPartObj>
          <w:docPartGallery w:val="Table of Contents"/>
          <w:docPartUnique/>
        </w:docPartObj>
      </w:sdtPr>
      <w:sdtEndPr/>
      <w:sdtContent>
        <w:p w14:paraId="412AE22B" w14:textId="1EEA1671" w:rsidR="362ED30B" w:rsidRDefault="7B7CA213" w:rsidP="7B7CA213">
          <w:pPr>
            <w:pStyle w:val="TOC1"/>
            <w:tabs>
              <w:tab w:val="right" w:leader="dot" w:pos="9360"/>
            </w:tabs>
            <w:rPr>
              <w:rStyle w:val="Hyperlink"/>
              <w:rFonts w:hint="eastAsia"/>
            </w:rPr>
          </w:pPr>
          <w:r>
            <w:fldChar w:fldCharType="begin"/>
          </w:r>
          <w:r>
            <w:instrText>TOC \o "1-6" \z \u \h</w:instrText>
          </w:r>
          <w:r>
            <w:fldChar w:fldCharType="separate"/>
          </w:r>
          <w:hyperlink w:anchor="_Toc2110128504">
            <w:r w:rsidR="452CDC45" w:rsidRPr="452CDC45">
              <w:rPr>
                <w:rStyle w:val="Hyperlink"/>
              </w:rPr>
              <w:t>About DAWN Canada</w:t>
            </w:r>
            <w:r>
              <w:tab/>
            </w:r>
            <w:r>
              <w:fldChar w:fldCharType="begin"/>
            </w:r>
            <w:r>
              <w:instrText>PAGEREF _Toc2110128504 \h</w:instrText>
            </w:r>
            <w:r>
              <w:fldChar w:fldCharType="separate"/>
            </w:r>
            <w:r w:rsidR="452CDC45" w:rsidRPr="452CDC45">
              <w:rPr>
                <w:rStyle w:val="Hyperlink"/>
              </w:rPr>
              <w:t>2</w:t>
            </w:r>
            <w:r>
              <w:fldChar w:fldCharType="end"/>
            </w:r>
          </w:hyperlink>
        </w:p>
        <w:p w14:paraId="6849A81A" w14:textId="523FA26E" w:rsidR="362ED30B" w:rsidRDefault="00EC17AD" w:rsidP="7B7CA213">
          <w:pPr>
            <w:pStyle w:val="TOC1"/>
            <w:tabs>
              <w:tab w:val="right" w:leader="dot" w:pos="9360"/>
            </w:tabs>
            <w:rPr>
              <w:rStyle w:val="Hyperlink"/>
              <w:rFonts w:hint="eastAsia"/>
            </w:rPr>
          </w:pPr>
          <w:hyperlink w:anchor="_Toc1603098640">
            <w:r w:rsidR="452CDC45" w:rsidRPr="452CDC45">
              <w:rPr>
                <w:rStyle w:val="Hyperlink"/>
              </w:rPr>
              <w:t>About Indigenous Disability Canada / British Columbia Aboriginal Network on Disability Society</w:t>
            </w:r>
            <w:r w:rsidR="7B7CA213">
              <w:tab/>
            </w:r>
            <w:r w:rsidR="7B7CA213">
              <w:fldChar w:fldCharType="begin"/>
            </w:r>
            <w:r w:rsidR="7B7CA213">
              <w:instrText>PAGEREF _Toc1603098640 \h</w:instrText>
            </w:r>
            <w:r w:rsidR="7B7CA213">
              <w:fldChar w:fldCharType="separate"/>
            </w:r>
            <w:r w:rsidR="452CDC45" w:rsidRPr="452CDC45">
              <w:rPr>
                <w:rStyle w:val="Hyperlink"/>
              </w:rPr>
              <w:t>3</w:t>
            </w:r>
            <w:r w:rsidR="7B7CA213">
              <w:fldChar w:fldCharType="end"/>
            </w:r>
          </w:hyperlink>
        </w:p>
        <w:p w14:paraId="080C7CDD" w14:textId="74A3E285" w:rsidR="362ED30B" w:rsidRDefault="00EC17AD" w:rsidP="452CDC45">
          <w:pPr>
            <w:pStyle w:val="TOC3"/>
            <w:tabs>
              <w:tab w:val="right" w:leader="dot" w:pos="9360"/>
            </w:tabs>
            <w:rPr>
              <w:rStyle w:val="Hyperlink"/>
              <w:rFonts w:hint="eastAsia"/>
            </w:rPr>
          </w:pPr>
          <w:hyperlink w:anchor="_Toc1638141330">
            <w:r w:rsidR="452CDC45" w:rsidRPr="452CDC45">
              <w:rPr>
                <w:rStyle w:val="Hyperlink"/>
              </w:rPr>
              <w:t>Prepared by:</w:t>
            </w:r>
            <w:r w:rsidR="7B7CA213">
              <w:tab/>
            </w:r>
            <w:r w:rsidR="7B7CA213">
              <w:fldChar w:fldCharType="begin"/>
            </w:r>
            <w:r w:rsidR="7B7CA213">
              <w:instrText>PAGEREF _Toc1638141330 \h</w:instrText>
            </w:r>
            <w:r w:rsidR="7B7CA213">
              <w:fldChar w:fldCharType="separate"/>
            </w:r>
            <w:r w:rsidR="452CDC45" w:rsidRPr="452CDC45">
              <w:rPr>
                <w:rStyle w:val="Hyperlink"/>
              </w:rPr>
              <w:t>3</w:t>
            </w:r>
            <w:r w:rsidR="7B7CA213">
              <w:fldChar w:fldCharType="end"/>
            </w:r>
          </w:hyperlink>
        </w:p>
        <w:p w14:paraId="1D074898" w14:textId="227CBC47" w:rsidR="362ED30B" w:rsidRDefault="00EC17AD" w:rsidP="7B7CA213">
          <w:pPr>
            <w:pStyle w:val="TOC1"/>
            <w:tabs>
              <w:tab w:val="right" w:leader="dot" w:pos="9360"/>
            </w:tabs>
            <w:rPr>
              <w:rStyle w:val="Hyperlink"/>
              <w:rFonts w:hint="eastAsia"/>
            </w:rPr>
          </w:pPr>
          <w:hyperlink w:anchor="_Toc1963724958">
            <w:r w:rsidR="452CDC45" w:rsidRPr="452CDC45">
              <w:rPr>
                <w:rStyle w:val="Hyperlink"/>
              </w:rPr>
              <w:t>Introduction</w:t>
            </w:r>
            <w:r w:rsidR="7B7CA213">
              <w:tab/>
            </w:r>
            <w:r w:rsidR="7B7CA213">
              <w:fldChar w:fldCharType="begin"/>
            </w:r>
            <w:r w:rsidR="7B7CA213">
              <w:instrText>PAGEREF _Toc1963724958 \h</w:instrText>
            </w:r>
            <w:r w:rsidR="7B7CA213">
              <w:fldChar w:fldCharType="separate"/>
            </w:r>
            <w:r w:rsidR="452CDC45" w:rsidRPr="452CDC45">
              <w:rPr>
                <w:rStyle w:val="Hyperlink"/>
              </w:rPr>
              <w:t>4</w:t>
            </w:r>
            <w:r w:rsidR="7B7CA213">
              <w:fldChar w:fldCharType="end"/>
            </w:r>
          </w:hyperlink>
        </w:p>
        <w:p w14:paraId="02EE43C8" w14:textId="43F997C0" w:rsidR="362ED30B" w:rsidRDefault="00EC17AD" w:rsidP="7B7CA213">
          <w:pPr>
            <w:pStyle w:val="TOC1"/>
            <w:tabs>
              <w:tab w:val="right" w:leader="dot" w:pos="9360"/>
            </w:tabs>
            <w:rPr>
              <w:rStyle w:val="Hyperlink"/>
              <w:rFonts w:hint="eastAsia"/>
            </w:rPr>
          </w:pPr>
          <w:hyperlink w:anchor="_Toc2002714609">
            <w:r w:rsidR="452CDC45" w:rsidRPr="452CDC45">
              <w:rPr>
                <w:rStyle w:val="Hyperlink"/>
              </w:rPr>
              <w:t>Questions</w:t>
            </w:r>
            <w:r w:rsidR="7B7CA213">
              <w:tab/>
            </w:r>
            <w:r w:rsidR="7B7CA213">
              <w:fldChar w:fldCharType="begin"/>
            </w:r>
            <w:r w:rsidR="7B7CA213">
              <w:instrText>PAGEREF _Toc2002714609 \h</w:instrText>
            </w:r>
            <w:r w:rsidR="7B7CA213">
              <w:fldChar w:fldCharType="separate"/>
            </w:r>
            <w:r w:rsidR="452CDC45" w:rsidRPr="452CDC45">
              <w:rPr>
                <w:rStyle w:val="Hyperlink"/>
              </w:rPr>
              <w:t>5</w:t>
            </w:r>
            <w:r w:rsidR="7B7CA213">
              <w:fldChar w:fldCharType="end"/>
            </w:r>
          </w:hyperlink>
        </w:p>
        <w:p w14:paraId="0EF24EBE" w14:textId="11240A8A" w:rsidR="362ED30B" w:rsidRDefault="00EC17AD" w:rsidP="7B7CA213">
          <w:pPr>
            <w:pStyle w:val="TOC2"/>
            <w:tabs>
              <w:tab w:val="right" w:leader="dot" w:pos="9360"/>
            </w:tabs>
            <w:rPr>
              <w:rStyle w:val="Hyperlink"/>
              <w:rFonts w:hint="eastAsia"/>
            </w:rPr>
          </w:pPr>
          <w:hyperlink w:anchor="_Toc1791870382">
            <w:r w:rsidR="452CDC45" w:rsidRPr="452CDC45">
              <w:rPr>
                <w:rStyle w:val="Hyperlink"/>
              </w:rPr>
              <w:t>From Human Rights Commission of Canada:</w:t>
            </w:r>
            <w:r w:rsidR="7B7CA213">
              <w:tab/>
            </w:r>
            <w:r w:rsidR="7B7CA213">
              <w:fldChar w:fldCharType="begin"/>
            </w:r>
            <w:r w:rsidR="7B7CA213">
              <w:instrText>PAGEREF _Toc1791870382 \h</w:instrText>
            </w:r>
            <w:r w:rsidR="7B7CA213">
              <w:fldChar w:fldCharType="separate"/>
            </w:r>
            <w:r w:rsidR="452CDC45" w:rsidRPr="452CDC45">
              <w:rPr>
                <w:rStyle w:val="Hyperlink"/>
              </w:rPr>
              <w:t>5</w:t>
            </w:r>
            <w:r w:rsidR="7B7CA213">
              <w:fldChar w:fldCharType="end"/>
            </w:r>
          </w:hyperlink>
        </w:p>
        <w:p w14:paraId="07479B5D" w14:textId="40FFD2B0" w:rsidR="362ED30B" w:rsidRDefault="00EC17AD" w:rsidP="7B7CA213">
          <w:pPr>
            <w:pStyle w:val="TOC3"/>
            <w:tabs>
              <w:tab w:val="right" w:leader="dot" w:pos="9360"/>
            </w:tabs>
            <w:rPr>
              <w:rStyle w:val="Hyperlink"/>
              <w:rFonts w:hint="eastAsia"/>
            </w:rPr>
          </w:pPr>
          <w:hyperlink w:anchor="_Toc1645142196">
            <w:r w:rsidR="452CDC45" w:rsidRPr="452CDC45">
              <w:rPr>
                <w:rStyle w:val="Hyperlink"/>
              </w:rPr>
              <w:t>Section 5. Persons Deprived of their liberties</w:t>
            </w:r>
            <w:r w:rsidR="7B7CA213">
              <w:tab/>
            </w:r>
            <w:r w:rsidR="7B7CA213">
              <w:fldChar w:fldCharType="begin"/>
            </w:r>
            <w:r w:rsidR="7B7CA213">
              <w:instrText>PAGEREF _Toc1645142196 \h</w:instrText>
            </w:r>
            <w:r w:rsidR="7B7CA213">
              <w:fldChar w:fldCharType="separate"/>
            </w:r>
            <w:r w:rsidR="452CDC45" w:rsidRPr="452CDC45">
              <w:rPr>
                <w:rStyle w:val="Hyperlink"/>
              </w:rPr>
              <w:t>6</w:t>
            </w:r>
            <w:r w:rsidR="7B7CA213">
              <w:fldChar w:fldCharType="end"/>
            </w:r>
          </w:hyperlink>
        </w:p>
        <w:p w14:paraId="11640DF0" w14:textId="02971CB9" w:rsidR="362ED30B" w:rsidRDefault="00EC17AD" w:rsidP="7B7CA213">
          <w:pPr>
            <w:pStyle w:val="TOC3"/>
            <w:tabs>
              <w:tab w:val="right" w:leader="dot" w:pos="9360"/>
            </w:tabs>
            <w:rPr>
              <w:rStyle w:val="Hyperlink"/>
              <w:rFonts w:hint="eastAsia"/>
            </w:rPr>
          </w:pPr>
          <w:hyperlink w:anchor="_Toc333866859">
            <w:r w:rsidR="452CDC45" w:rsidRPr="452CDC45">
              <w:rPr>
                <w:rStyle w:val="Hyperlink"/>
              </w:rPr>
              <w:t>Section 6. Women with Disabilities</w:t>
            </w:r>
            <w:r w:rsidR="7B7CA213">
              <w:tab/>
            </w:r>
            <w:r w:rsidR="7B7CA213">
              <w:fldChar w:fldCharType="begin"/>
            </w:r>
            <w:r w:rsidR="7B7CA213">
              <w:instrText>PAGEREF _Toc333866859 \h</w:instrText>
            </w:r>
            <w:r w:rsidR="7B7CA213">
              <w:fldChar w:fldCharType="separate"/>
            </w:r>
            <w:r w:rsidR="452CDC45" w:rsidRPr="452CDC45">
              <w:rPr>
                <w:rStyle w:val="Hyperlink"/>
              </w:rPr>
              <w:t>6</w:t>
            </w:r>
            <w:r w:rsidR="7B7CA213">
              <w:fldChar w:fldCharType="end"/>
            </w:r>
          </w:hyperlink>
        </w:p>
        <w:p w14:paraId="5280DDAF" w14:textId="451E512B" w:rsidR="362ED30B" w:rsidRDefault="00EC17AD" w:rsidP="7B7CA213">
          <w:pPr>
            <w:pStyle w:val="TOC3"/>
            <w:tabs>
              <w:tab w:val="right" w:leader="dot" w:pos="9360"/>
            </w:tabs>
            <w:rPr>
              <w:rStyle w:val="Hyperlink"/>
              <w:rFonts w:hint="eastAsia"/>
            </w:rPr>
          </w:pPr>
          <w:hyperlink w:anchor="_Toc504998536">
            <w:r w:rsidR="452CDC45" w:rsidRPr="452CDC45">
              <w:rPr>
                <w:rStyle w:val="Hyperlink"/>
              </w:rPr>
              <w:t>Section 7. Indigenous Women and Girls; Sub section 7.1 Equitable and Adequate Services on Reserve</w:t>
            </w:r>
            <w:r w:rsidR="7B7CA213">
              <w:tab/>
            </w:r>
            <w:r w:rsidR="7B7CA213">
              <w:fldChar w:fldCharType="begin"/>
            </w:r>
            <w:r w:rsidR="7B7CA213">
              <w:instrText>PAGEREF _Toc504998536 \h</w:instrText>
            </w:r>
            <w:r w:rsidR="7B7CA213">
              <w:fldChar w:fldCharType="separate"/>
            </w:r>
            <w:r w:rsidR="452CDC45" w:rsidRPr="452CDC45">
              <w:rPr>
                <w:rStyle w:val="Hyperlink"/>
              </w:rPr>
              <w:t>6</w:t>
            </w:r>
            <w:r w:rsidR="7B7CA213">
              <w:fldChar w:fldCharType="end"/>
            </w:r>
          </w:hyperlink>
        </w:p>
        <w:p w14:paraId="1E04CA2C" w14:textId="3AEAE2A5" w:rsidR="362ED30B" w:rsidRDefault="00EC17AD" w:rsidP="7B7CA213">
          <w:pPr>
            <w:pStyle w:val="TOC2"/>
            <w:tabs>
              <w:tab w:val="right" w:leader="dot" w:pos="9360"/>
            </w:tabs>
            <w:rPr>
              <w:rStyle w:val="Hyperlink"/>
              <w:rFonts w:hint="eastAsia"/>
            </w:rPr>
          </w:pPr>
          <w:hyperlink w:anchor="_Toc1088472612">
            <w:r w:rsidR="452CDC45" w:rsidRPr="452CDC45">
              <w:rPr>
                <w:rStyle w:val="Hyperlink"/>
              </w:rPr>
              <w:t>Additional Information</w:t>
            </w:r>
            <w:r w:rsidR="7B7CA213">
              <w:tab/>
            </w:r>
            <w:r w:rsidR="7B7CA213">
              <w:fldChar w:fldCharType="begin"/>
            </w:r>
            <w:r w:rsidR="7B7CA213">
              <w:instrText>PAGEREF _Toc1088472612 \h</w:instrText>
            </w:r>
            <w:r w:rsidR="7B7CA213">
              <w:fldChar w:fldCharType="separate"/>
            </w:r>
            <w:r w:rsidR="452CDC45" w:rsidRPr="452CDC45">
              <w:rPr>
                <w:rStyle w:val="Hyperlink"/>
              </w:rPr>
              <w:t>6</w:t>
            </w:r>
            <w:r w:rsidR="7B7CA213">
              <w:fldChar w:fldCharType="end"/>
            </w:r>
          </w:hyperlink>
        </w:p>
        <w:p w14:paraId="17E5632E" w14:textId="0FEED6FA" w:rsidR="362ED30B" w:rsidRDefault="00EC17AD" w:rsidP="7B7CA213">
          <w:pPr>
            <w:pStyle w:val="TOC1"/>
            <w:tabs>
              <w:tab w:val="right" w:leader="dot" w:pos="9360"/>
            </w:tabs>
            <w:rPr>
              <w:rStyle w:val="Hyperlink"/>
              <w:rFonts w:hint="eastAsia"/>
            </w:rPr>
          </w:pPr>
          <w:hyperlink w:anchor="_Toc659992832">
            <w:r w:rsidR="452CDC45" w:rsidRPr="452CDC45">
              <w:rPr>
                <w:rStyle w:val="Hyperlink"/>
              </w:rPr>
              <w:t>Responses</w:t>
            </w:r>
            <w:r w:rsidR="7B7CA213">
              <w:tab/>
            </w:r>
            <w:r w:rsidR="7B7CA213">
              <w:fldChar w:fldCharType="begin"/>
            </w:r>
            <w:r w:rsidR="7B7CA213">
              <w:instrText>PAGEREF _Toc659992832 \h</w:instrText>
            </w:r>
            <w:r w:rsidR="7B7CA213">
              <w:fldChar w:fldCharType="separate"/>
            </w:r>
            <w:r w:rsidR="452CDC45" w:rsidRPr="452CDC45">
              <w:rPr>
                <w:rStyle w:val="Hyperlink"/>
              </w:rPr>
              <w:t>7</w:t>
            </w:r>
            <w:r w:rsidR="7B7CA213">
              <w:fldChar w:fldCharType="end"/>
            </w:r>
          </w:hyperlink>
        </w:p>
        <w:p w14:paraId="32E18F57" w14:textId="6B533003" w:rsidR="362ED30B" w:rsidRDefault="00EC17AD" w:rsidP="452CDC45">
          <w:pPr>
            <w:pStyle w:val="TOC2"/>
            <w:tabs>
              <w:tab w:val="right" w:leader="dot" w:pos="9360"/>
            </w:tabs>
            <w:rPr>
              <w:rStyle w:val="Hyperlink"/>
              <w:rFonts w:hint="eastAsia"/>
            </w:rPr>
          </w:pPr>
          <w:hyperlink w:anchor="_Toc134977169">
            <w:r w:rsidR="452CDC45" w:rsidRPr="452CDC45">
              <w:rPr>
                <w:rStyle w:val="Hyperlink"/>
              </w:rPr>
              <w:t>5. Persons Deprived of Their Liberty</w:t>
            </w:r>
            <w:r w:rsidR="7B7CA213">
              <w:tab/>
            </w:r>
            <w:r w:rsidR="7B7CA213">
              <w:fldChar w:fldCharType="begin"/>
            </w:r>
            <w:r w:rsidR="7B7CA213">
              <w:instrText>PAGEREF _Toc134977169 \h</w:instrText>
            </w:r>
            <w:r w:rsidR="7B7CA213">
              <w:fldChar w:fldCharType="separate"/>
            </w:r>
            <w:r w:rsidR="452CDC45" w:rsidRPr="452CDC45">
              <w:rPr>
                <w:rStyle w:val="Hyperlink"/>
              </w:rPr>
              <w:t>8</w:t>
            </w:r>
            <w:r w:rsidR="7B7CA213">
              <w:fldChar w:fldCharType="end"/>
            </w:r>
          </w:hyperlink>
        </w:p>
        <w:p w14:paraId="1455B410" w14:textId="52AF629C" w:rsidR="362ED30B" w:rsidRDefault="00EC17AD" w:rsidP="7B7CA213">
          <w:pPr>
            <w:pStyle w:val="TOC2"/>
            <w:tabs>
              <w:tab w:val="right" w:leader="dot" w:pos="9360"/>
            </w:tabs>
            <w:rPr>
              <w:rStyle w:val="Hyperlink"/>
              <w:rFonts w:hint="eastAsia"/>
            </w:rPr>
          </w:pPr>
          <w:hyperlink w:anchor="_Toc361805412">
            <w:r w:rsidR="452CDC45" w:rsidRPr="452CDC45">
              <w:rPr>
                <w:rStyle w:val="Hyperlink"/>
              </w:rPr>
              <w:t>6. Women with Disabilities</w:t>
            </w:r>
            <w:r w:rsidR="7B7CA213">
              <w:tab/>
            </w:r>
            <w:r w:rsidR="7B7CA213">
              <w:fldChar w:fldCharType="begin"/>
            </w:r>
            <w:r w:rsidR="7B7CA213">
              <w:instrText>PAGEREF _Toc361805412 \h</w:instrText>
            </w:r>
            <w:r w:rsidR="7B7CA213">
              <w:fldChar w:fldCharType="separate"/>
            </w:r>
            <w:r w:rsidR="452CDC45" w:rsidRPr="452CDC45">
              <w:rPr>
                <w:rStyle w:val="Hyperlink"/>
              </w:rPr>
              <w:t>9</w:t>
            </w:r>
            <w:r w:rsidR="7B7CA213">
              <w:fldChar w:fldCharType="end"/>
            </w:r>
          </w:hyperlink>
        </w:p>
        <w:p w14:paraId="33FF6919" w14:textId="6B74C8C8" w:rsidR="362ED30B" w:rsidRDefault="00EC17AD" w:rsidP="7B7CA213">
          <w:pPr>
            <w:pStyle w:val="TOC2"/>
            <w:tabs>
              <w:tab w:val="right" w:leader="dot" w:pos="9360"/>
            </w:tabs>
            <w:rPr>
              <w:rStyle w:val="Hyperlink"/>
              <w:rFonts w:hint="eastAsia"/>
            </w:rPr>
          </w:pPr>
          <w:hyperlink w:anchor="_Toc2118046983">
            <w:r w:rsidR="452CDC45" w:rsidRPr="452CDC45">
              <w:rPr>
                <w:rStyle w:val="Hyperlink"/>
              </w:rPr>
              <w:t>7. Indigenous Women and Girls</w:t>
            </w:r>
            <w:r w:rsidR="7B7CA213">
              <w:tab/>
            </w:r>
            <w:r w:rsidR="7B7CA213">
              <w:fldChar w:fldCharType="begin"/>
            </w:r>
            <w:r w:rsidR="7B7CA213">
              <w:instrText>PAGEREF _Toc2118046983 \h</w:instrText>
            </w:r>
            <w:r w:rsidR="7B7CA213">
              <w:fldChar w:fldCharType="separate"/>
            </w:r>
            <w:r w:rsidR="452CDC45" w:rsidRPr="452CDC45">
              <w:rPr>
                <w:rStyle w:val="Hyperlink"/>
              </w:rPr>
              <w:t>12</w:t>
            </w:r>
            <w:r w:rsidR="7B7CA213">
              <w:fldChar w:fldCharType="end"/>
            </w:r>
          </w:hyperlink>
        </w:p>
        <w:p w14:paraId="70A81D3A" w14:textId="007F2F60" w:rsidR="7B7CA213" w:rsidRDefault="00EC17AD" w:rsidP="7B7CA213">
          <w:pPr>
            <w:pStyle w:val="TOC1"/>
            <w:tabs>
              <w:tab w:val="right" w:leader="dot" w:pos="9360"/>
            </w:tabs>
            <w:rPr>
              <w:rStyle w:val="Hyperlink"/>
              <w:rFonts w:hint="eastAsia"/>
            </w:rPr>
          </w:pPr>
          <w:hyperlink w:anchor="_Toc851916526">
            <w:r w:rsidR="452CDC45" w:rsidRPr="452CDC45">
              <w:rPr>
                <w:rStyle w:val="Hyperlink"/>
              </w:rPr>
              <w:t>Additional Information: Gender-Based Violence</w:t>
            </w:r>
            <w:r w:rsidR="7B7CA213">
              <w:tab/>
            </w:r>
            <w:r w:rsidR="7B7CA213">
              <w:fldChar w:fldCharType="begin"/>
            </w:r>
            <w:r w:rsidR="7B7CA213">
              <w:instrText>PAGEREF _Toc851916526 \h</w:instrText>
            </w:r>
            <w:r w:rsidR="7B7CA213">
              <w:fldChar w:fldCharType="separate"/>
            </w:r>
            <w:r w:rsidR="452CDC45" w:rsidRPr="452CDC45">
              <w:rPr>
                <w:rStyle w:val="Hyperlink"/>
              </w:rPr>
              <w:t>14</w:t>
            </w:r>
            <w:r w:rsidR="7B7CA213">
              <w:fldChar w:fldCharType="end"/>
            </w:r>
          </w:hyperlink>
        </w:p>
        <w:p w14:paraId="71E51D3B" w14:textId="3EB5826A" w:rsidR="7B7CA213" w:rsidRDefault="00EC17AD" w:rsidP="7B7CA213">
          <w:pPr>
            <w:pStyle w:val="TOC1"/>
            <w:tabs>
              <w:tab w:val="right" w:leader="dot" w:pos="9360"/>
            </w:tabs>
            <w:rPr>
              <w:rStyle w:val="Hyperlink"/>
              <w:rFonts w:hint="eastAsia"/>
            </w:rPr>
          </w:pPr>
          <w:hyperlink w:anchor="_Toc1049365904">
            <w:r w:rsidR="452CDC45" w:rsidRPr="452CDC45">
              <w:rPr>
                <w:rStyle w:val="Hyperlink"/>
              </w:rPr>
              <w:t>Summary Recommendations</w:t>
            </w:r>
            <w:r w:rsidR="7B7CA213">
              <w:tab/>
            </w:r>
            <w:r w:rsidR="7B7CA213">
              <w:fldChar w:fldCharType="begin"/>
            </w:r>
            <w:r w:rsidR="7B7CA213">
              <w:instrText>PAGEREF _Toc1049365904 \h</w:instrText>
            </w:r>
            <w:r w:rsidR="7B7CA213">
              <w:fldChar w:fldCharType="separate"/>
            </w:r>
            <w:r w:rsidR="452CDC45" w:rsidRPr="452CDC45">
              <w:rPr>
                <w:rStyle w:val="Hyperlink"/>
              </w:rPr>
              <w:t>18</w:t>
            </w:r>
            <w:r w:rsidR="7B7CA213">
              <w:fldChar w:fldCharType="end"/>
            </w:r>
          </w:hyperlink>
          <w:r w:rsidR="7B7CA213">
            <w:fldChar w:fldCharType="end"/>
          </w:r>
        </w:p>
      </w:sdtContent>
    </w:sdt>
    <w:p w14:paraId="5A497D02" w14:textId="59F23701" w:rsidR="362ED30B" w:rsidRDefault="362ED30B" w:rsidP="362ED30B">
      <w:pPr>
        <w:rPr>
          <w:rFonts w:ascii="Century Gothic" w:eastAsia="Century Gothic" w:hAnsi="Century Gothic" w:cs="Century Gothic"/>
          <w:sz w:val="28"/>
          <w:szCs w:val="28"/>
        </w:rPr>
      </w:pPr>
    </w:p>
    <w:p w14:paraId="58B25AD7" w14:textId="4FB3CD59" w:rsidR="3F630973" w:rsidRDefault="3F630973" w:rsidP="3F630973">
      <w:pPr>
        <w:rPr>
          <w:rFonts w:ascii="Century Gothic" w:eastAsia="Century Gothic" w:hAnsi="Century Gothic" w:cs="Century Gothic"/>
          <w:sz w:val="28"/>
          <w:szCs w:val="28"/>
        </w:rPr>
      </w:pPr>
    </w:p>
    <w:p w14:paraId="66033663" w14:textId="7CB62B48" w:rsidR="3F630973" w:rsidRDefault="3F630973" w:rsidP="3F630973">
      <w:pPr>
        <w:rPr>
          <w:rFonts w:ascii="Century Gothic" w:eastAsia="Century Gothic" w:hAnsi="Century Gothic" w:cs="Century Gothic"/>
          <w:sz w:val="28"/>
          <w:szCs w:val="28"/>
        </w:rPr>
      </w:pPr>
      <w:r w:rsidRPr="362ED30B">
        <w:rPr>
          <w:rFonts w:ascii="Century Gothic" w:eastAsia="Century Gothic" w:hAnsi="Century Gothic" w:cs="Century Gothic"/>
          <w:sz w:val="28"/>
          <w:szCs w:val="28"/>
        </w:rPr>
        <w:br w:type="page"/>
      </w:r>
    </w:p>
    <w:p w14:paraId="707FFFED" w14:textId="5E1BBF9D" w:rsidR="423995F0" w:rsidRDefault="423995F0" w:rsidP="3F630973">
      <w:pPr>
        <w:pStyle w:val="Heading1"/>
        <w:rPr>
          <w:rFonts w:ascii="Century Gothic" w:eastAsia="Century Gothic" w:hAnsi="Century Gothic" w:cs="Century Gothic"/>
          <w:b/>
          <w:bCs/>
        </w:rPr>
      </w:pPr>
      <w:bookmarkStart w:id="0" w:name="_Toc2110128504"/>
      <w:r w:rsidRPr="452CDC45">
        <w:rPr>
          <w:rFonts w:ascii="Century Gothic" w:eastAsia="Century Gothic" w:hAnsi="Century Gothic" w:cs="Century Gothic"/>
          <w:b/>
          <w:bCs/>
        </w:rPr>
        <w:lastRenderedPageBreak/>
        <w:t>About DAWN Canada</w:t>
      </w:r>
      <w:bookmarkEnd w:id="0"/>
    </w:p>
    <w:p w14:paraId="3ECE0809" w14:textId="28EF19AB" w:rsidR="3F630973" w:rsidRDefault="4BCED0EB" w:rsidP="7B7CA213">
      <w:pPr>
        <w:rPr>
          <w:rFonts w:ascii="Century Gothic" w:eastAsia="Century Gothic" w:hAnsi="Century Gothic" w:cs="Century Gothic"/>
        </w:rPr>
      </w:pPr>
      <w:r w:rsidRPr="7B7CA213">
        <w:rPr>
          <w:rFonts w:ascii="Century Gothic" w:eastAsia="Century Gothic" w:hAnsi="Century Gothic" w:cs="Century Gothic"/>
        </w:rPr>
        <w:t xml:space="preserve">DAWN Canada </w:t>
      </w:r>
      <w:r w:rsidR="00009F0D" w:rsidRPr="7B7CA213">
        <w:rPr>
          <w:rFonts w:ascii="Century Gothic" w:eastAsia="Century Gothic" w:hAnsi="Century Gothic" w:cs="Century Gothic"/>
        </w:rPr>
        <w:t>is a national, feminist, cross-disability organization whose mission is to end the poverty, isolation, discrimination and violence experienced by Canadian women with disabilities and Deaf women. DAWN-RAFH is an organization that works towards the advancement and inclusion of women, girls with disabilities and Deaf women in Canada. Our overarching strategic theme is one of leadership, partnership and networking to engage all levels of government and the wider disability and women’s sectors and other stakeholders in addressing our key issues.</w:t>
      </w:r>
    </w:p>
    <w:p w14:paraId="12EEA52F" w14:textId="2018DB2A" w:rsidR="3F630973" w:rsidRDefault="3170D50E" w:rsidP="7B7CA213">
      <w:pPr>
        <w:pStyle w:val="Heading1"/>
        <w:rPr>
          <w:rFonts w:hint="eastAsia"/>
          <w:b/>
          <w:bCs/>
        </w:rPr>
      </w:pPr>
      <w:bookmarkStart w:id="1" w:name="_Toc1603098640"/>
      <w:r w:rsidRPr="452CDC45">
        <w:rPr>
          <w:b/>
          <w:bCs/>
        </w:rPr>
        <w:t>About Indigenous Disability Canada / British Columbia Aboriginal Network on Disability Society</w:t>
      </w:r>
      <w:bookmarkEnd w:id="1"/>
    </w:p>
    <w:p w14:paraId="0B1B749E" w14:textId="6C5B00B5" w:rsidR="3F630973" w:rsidRDefault="3170D50E" w:rsidP="7B7CA213">
      <w:pPr>
        <w:rPr>
          <w:rFonts w:ascii="Century Gothic" w:eastAsia="Century Gothic" w:hAnsi="Century Gothic" w:cs="Century Gothic"/>
        </w:rPr>
      </w:pPr>
      <w:r w:rsidRPr="7B7CA213">
        <w:rPr>
          <w:rFonts w:ascii="Century Gothic" w:eastAsia="Century Gothic" w:hAnsi="Century Gothic" w:cs="Century Gothic"/>
        </w:rPr>
        <w:t>IDC/BCANDS, is an internationally recognized and award winning, national Indigenous not for profit, Society serving the unique and diverse disability needs of Indigenous peoples across Canada. IDC/BCANDS is a “stand alone” organization and is one of the only organizations of its type in Canada. IDC/BCANDS holds Special Consultative Status with the United Nations Economic and Social Council. In 2024, BCANDS will celebrate its 33rd year of successfully delivering Indigenous disability programs and services across Canada</w:t>
      </w:r>
    </w:p>
    <w:p w14:paraId="0B95FC7A" w14:textId="1AFB35BC" w:rsidR="3F630973" w:rsidRDefault="3F630973" w:rsidP="3F630973">
      <w:pPr>
        <w:rPr>
          <w:rFonts w:hint="eastAsia"/>
        </w:rPr>
      </w:pPr>
      <w:r>
        <w:br w:type="page"/>
      </w:r>
    </w:p>
    <w:p w14:paraId="1CF007CC" w14:textId="7274E08A" w:rsidR="3F630973" w:rsidRDefault="124AF7CA" w:rsidP="7B7CA213">
      <w:pPr>
        <w:pStyle w:val="Heading3"/>
        <w:rPr>
          <w:rFonts w:hint="eastAsia"/>
        </w:rPr>
      </w:pPr>
      <w:bookmarkStart w:id="2" w:name="_Toc1638141330"/>
      <w:r>
        <w:lastRenderedPageBreak/>
        <w:t>Prepar</w:t>
      </w:r>
      <w:r w:rsidR="741BC524">
        <w:t>ed by:</w:t>
      </w:r>
      <w:bookmarkEnd w:id="2"/>
    </w:p>
    <w:p w14:paraId="5BB48762" w14:textId="733333DD" w:rsidR="3F630973" w:rsidRDefault="3F630973" w:rsidP="7B7CA213">
      <w:pPr>
        <w:rPr>
          <w:rFonts w:hint="eastAsia"/>
        </w:rPr>
      </w:pPr>
    </w:p>
    <w:p w14:paraId="64A66B98" w14:textId="4C827FDE" w:rsidR="3F630973" w:rsidRDefault="585D3D55" w:rsidP="7B7CA213">
      <w:pPr>
        <w:rPr>
          <w:rFonts w:ascii="Century Gothic" w:eastAsia="Century Gothic" w:hAnsi="Century Gothic" w:cs="Century Gothic"/>
        </w:rPr>
      </w:pPr>
      <w:r w:rsidRPr="7B7CA213">
        <w:rPr>
          <w:rFonts w:ascii="Century Gothic" w:eastAsia="Century Gothic" w:hAnsi="Century Gothic" w:cs="Century Gothic"/>
        </w:rPr>
        <w:t xml:space="preserve">Bara Hladik, Human Rights Officer </w:t>
      </w:r>
    </w:p>
    <w:p w14:paraId="04645454" w14:textId="6063D26A" w:rsidR="3F630973" w:rsidRDefault="585D3D55" w:rsidP="7B7CA213">
      <w:pPr>
        <w:rPr>
          <w:rFonts w:hint="eastAsia"/>
        </w:rPr>
      </w:pPr>
      <w:r w:rsidRPr="7B7CA213">
        <w:rPr>
          <w:rFonts w:ascii="Century Gothic" w:eastAsia="Century Gothic" w:hAnsi="Century Gothic" w:cs="Century Gothic"/>
        </w:rPr>
        <w:t xml:space="preserve">Maggie Lyons-MacFarlane, Human Rights Officer </w:t>
      </w:r>
    </w:p>
    <w:p w14:paraId="49BC8C39" w14:textId="2328223C" w:rsidR="3F630973" w:rsidRDefault="585D3D55" w:rsidP="7B7CA213">
      <w:pPr>
        <w:rPr>
          <w:rFonts w:hint="eastAsia"/>
        </w:rPr>
      </w:pPr>
      <w:r w:rsidRPr="7B7CA213">
        <w:rPr>
          <w:rFonts w:ascii="Century Gothic" w:eastAsia="Century Gothic" w:hAnsi="Century Gothic" w:cs="Century Gothic"/>
        </w:rPr>
        <w:t xml:space="preserve">Nashwa Khan, Senior Research Associate </w:t>
      </w:r>
    </w:p>
    <w:p w14:paraId="4012B9DB" w14:textId="40458CAA" w:rsidR="3F630973" w:rsidRDefault="585D3D55" w:rsidP="7B7CA213">
      <w:pPr>
        <w:rPr>
          <w:rFonts w:hint="eastAsia"/>
        </w:rPr>
      </w:pPr>
      <w:r w:rsidRPr="7B7CA213">
        <w:rPr>
          <w:rFonts w:ascii="Century Gothic" w:eastAsia="Century Gothic" w:hAnsi="Century Gothic" w:cs="Century Gothic"/>
        </w:rPr>
        <w:t xml:space="preserve">Evelyn </w:t>
      </w:r>
      <w:proofErr w:type="spellStart"/>
      <w:r w:rsidRPr="7B7CA213">
        <w:rPr>
          <w:rFonts w:ascii="Century Gothic" w:eastAsia="Century Gothic" w:hAnsi="Century Gothic" w:cs="Century Gothic"/>
        </w:rPr>
        <w:t>Huntjens</w:t>
      </w:r>
      <w:proofErr w:type="spellEnd"/>
      <w:r w:rsidRPr="7B7CA213">
        <w:rPr>
          <w:rFonts w:ascii="Century Gothic" w:eastAsia="Century Gothic" w:hAnsi="Century Gothic" w:cs="Century Gothic"/>
        </w:rPr>
        <w:t>, Director of Indigenous initiatives</w:t>
      </w:r>
    </w:p>
    <w:p w14:paraId="1465E83E" w14:textId="5FAA584B" w:rsidR="3F630973" w:rsidRDefault="3F630973" w:rsidP="7B7CA213">
      <w:pPr>
        <w:rPr>
          <w:rFonts w:ascii="Century Gothic" w:eastAsia="Century Gothic" w:hAnsi="Century Gothic" w:cs="Century Gothic"/>
        </w:rPr>
      </w:pPr>
    </w:p>
    <w:p w14:paraId="0EB422AE" w14:textId="541C0F66" w:rsidR="7B7CA213" w:rsidRDefault="741BC524" w:rsidP="452CDC45">
      <w:pPr>
        <w:rPr>
          <w:rFonts w:ascii="Century Gothic" w:eastAsia="Century Gothic" w:hAnsi="Century Gothic" w:cs="Century Gothic"/>
        </w:rPr>
      </w:pPr>
      <w:r w:rsidRPr="452CDC45">
        <w:rPr>
          <w:rFonts w:ascii="Century Gothic" w:eastAsia="Century Gothic" w:hAnsi="Century Gothic" w:cs="Century Gothic"/>
        </w:rPr>
        <w:t>This report is supported by</w:t>
      </w:r>
      <w:r w:rsidR="677B9B02" w:rsidRPr="452CDC45">
        <w:rPr>
          <w:rFonts w:ascii="Century Gothic" w:eastAsia="Century Gothic" w:hAnsi="Century Gothic" w:cs="Century Gothic"/>
        </w:rPr>
        <w:t>:</w:t>
      </w:r>
      <w:r w:rsidRPr="452CDC45">
        <w:rPr>
          <w:rFonts w:ascii="Century Gothic" w:eastAsia="Century Gothic" w:hAnsi="Century Gothic" w:cs="Century Gothic"/>
        </w:rPr>
        <w:t xml:space="preserve"> </w:t>
      </w:r>
    </w:p>
    <w:p w14:paraId="30C6B809" w14:textId="672C2233" w:rsidR="7B7CA213" w:rsidRDefault="741BC524" w:rsidP="452CDC45">
      <w:pPr>
        <w:rPr>
          <w:rFonts w:ascii="Century Gothic" w:eastAsia="Century Gothic" w:hAnsi="Century Gothic" w:cs="Century Gothic"/>
        </w:rPr>
      </w:pPr>
      <w:r w:rsidRPr="452CDC45">
        <w:rPr>
          <w:rFonts w:ascii="Century Gothic" w:eastAsia="Century Gothic" w:hAnsi="Century Gothic" w:cs="Century Gothic"/>
        </w:rPr>
        <w:t>Empowered Perspectives: Black Women+ Leading Intersectional Change Report</w:t>
      </w:r>
      <w:r w:rsidR="65098104" w:rsidRPr="452CDC45">
        <w:rPr>
          <w:rFonts w:ascii="Century Gothic" w:eastAsia="Century Gothic" w:hAnsi="Century Gothic" w:cs="Century Gothic"/>
        </w:rPr>
        <w:t xml:space="preserve"> (2024)</w:t>
      </w:r>
      <w:r w:rsidRPr="452CDC45">
        <w:rPr>
          <w:rFonts w:ascii="Century Gothic" w:eastAsia="Century Gothic" w:hAnsi="Century Gothic" w:cs="Century Gothic"/>
        </w:rPr>
        <w:t xml:space="preserve"> </w:t>
      </w:r>
      <w:r w:rsidR="7251EADF" w:rsidRPr="452CDC45">
        <w:rPr>
          <w:rFonts w:ascii="Century Gothic" w:eastAsia="Century Gothic" w:hAnsi="Century Gothic" w:cs="Century Gothic"/>
        </w:rPr>
        <w:t xml:space="preserve">prepared by </w:t>
      </w:r>
      <w:r w:rsidR="56134723" w:rsidRPr="452CDC45">
        <w:rPr>
          <w:rFonts w:ascii="Century Gothic" w:eastAsia="Century Gothic" w:hAnsi="Century Gothic" w:cs="Century Gothic"/>
        </w:rPr>
        <w:t>Tamara Angeline Medford-Williams, Director of Black Community Initiatives</w:t>
      </w:r>
      <w:r w:rsidR="09BE2509" w:rsidRPr="452CDC45">
        <w:rPr>
          <w:rFonts w:ascii="Century Gothic" w:eastAsia="Century Gothic" w:hAnsi="Century Gothic" w:cs="Century Gothic"/>
        </w:rPr>
        <w:t xml:space="preserve"> and</w:t>
      </w:r>
      <w:r w:rsidR="56134723" w:rsidRPr="452CDC45">
        <w:rPr>
          <w:rFonts w:ascii="Century Gothic" w:eastAsia="Century Gothic" w:hAnsi="Century Gothic" w:cs="Century Gothic"/>
        </w:rPr>
        <w:t xml:space="preserve"> Tatiana </w:t>
      </w:r>
      <w:proofErr w:type="spellStart"/>
      <w:r w:rsidR="56134723" w:rsidRPr="452CDC45">
        <w:rPr>
          <w:rFonts w:ascii="Century Gothic" w:eastAsia="Century Gothic" w:hAnsi="Century Gothic" w:cs="Century Gothic"/>
        </w:rPr>
        <w:t>Payeur</w:t>
      </w:r>
      <w:proofErr w:type="spellEnd"/>
      <w:r w:rsidR="53CCC28B" w:rsidRPr="452CDC45">
        <w:rPr>
          <w:rFonts w:ascii="Century Gothic" w:eastAsia="Century Gothic" w:hAnsi="Century Gothic" w:cs="Century Gothic"/>
        </w:rPr>
        <w:t>,</w:t>
      </w:r>
      <w:r w:rsidR="56134723" w:rsidRPr="452CDC45">
        <w:rPr>
          <w:rFonts w:ascii="Century Gothic" w:eastAsia="Century Gothic" w:hAnsi="Century Gothic" w:cs="Century Gothic"/>
        </w:rPr>
        <w:t xml:space="preserve"> Francisca </w:t>
      </w:r>
      <w:proofErr w:type="spellStart"/>
      <w:r w:rsidR="56134723" w:rsidRPr="452CDC45">
        <w:rPr>
          <w:rFonts w:ascii="Century Gothic" w:eastAsia="Century Gothic" w:hAnsi="Century Gothic" w:cs="Century Gothic"/>
        </w:rPr>
        <w:t>Mandeya</w:t>
      </w:r>
      <w:proofErr w:type="spellEnd"/>
      <w:r w:rsidR="58158D60" w:rsidRPr="452CDC45">
        <w:rPr>
          <w:rFonts w:ascii="Century Gothic" w:eastAsia="Century Gothic" w:hAnsi="Century Gothic" w:cs="Century Gothic"/>
        </w:rPr>
        <w:t>,</w:t>
      </w:r>
      <w:r w:rsidR="56134723" w:rsidRPr="452CDC45">
        <w:rPr>
          <w:rFonts w:ascii="Century Gothic" w:eastAsia="Century Gothic" w:hAnsi="Century Gothic" w:cs="Century Gothic"/>
        </w:rPr>
        <w:t xml:space="preserve"> Melissa </w:t>
      </w:r>
      <w:proofErr w:type="spellStart"/>
      <w:r w:rsidR="56134723" w:rsidRPr="452CDC45">
        <w:rPr>
          <w:rFonts w:ascii="Century Gothic" w:eastAsia="Century Gothic" w:hAnsi="Century Gothic" w:cs="Century Gothic"/>
        </w:rPr>
        <w:t>Bagirakandi</w:t>
      </w:r>
      <w:proofErr w:type="spellEnd"/>
      <w:r w:rsidR="56134723" w:rsidRPr="452CDC45">
        <w:rPr>
          <w:rFonts w:ascii="Century Gothic" w:eastAsia="Century Gothic" w:hAnsi="Century Gothic" w:cs="Century Gothic"/>
        </w:rPr>
        <w:t xml:space="preserve">, </w:t>
      </w:r>
      <w:proofErr w:type="spellStart"/>
      <w:r w:rsidR="56134723" w:rsidRPr="452CDC45">
        <w:rPr>
          <w:rFonts w:ascii="Century Gothic" w:eastAsia="Century Gothic" w:hAnsi="Century Gothic" w:cs="Century Gothic"/>
        </w:rPr>
        <w:t>Idil</w:t>
      </w:r>
      <w:proofErr w:type="spellEnd"/>
      <w:r w:rsidR="56134723" w:rsidRPr="452CDC45">
        <w:rPr>
          <w:rFonts w:ascii="Century Gothic" w:eastAsia="Century Gothic" w:hAnsi="Century Gothic" w:cs="Century Gothic"/>
        </w:rPr>
        <w:t xml:space="preserve"> O. </w:t>
      </w:r>
      <w:proofErr w:type="spellStart"/>
      <w:r w:rsidR="56134723" w:rsidRPr="452CDC45">
        <w:rPr>
          <w:rFonts w:ascii="Century Gothic" w:eastAsia="Century Gothic" w:hAnsi="Century Gothic" w:cs="Century Gothic"/>
        </w:rPr>
        <w:t>Kalif</w:t>
      </w:r>
      <w:proofErr w:type="spellEnd"/>
      <w:r w:rsidR="56134723" w:rsidRPr="452CDC45">
        <w:rPr>
          <w:rFonts w:ascii="Century Gothic" w:eastAsia="Century Gothic" w:hAnsi="Century Gothic" w:cs="Century Gothic"/>
        </w:rPr>
        <w:t>, Shayla S. Dube</w:t>
      </w:r>
    </w:p>
    <w:p w14:paraId="1A9A40C6" w14:textId="17BFD66E" w:rsidR="3BA70593" w:rsidRDefault="3BA70593" w:rsidP="452CDC45">
      <w:pPr>
        <w:rPr>
          <w:rFonts w:ascii="Century Gothic" w:eastAsia="Century Gothic" w:hAnsi="Century Gothic" w:cs="Century Gothic"/>
        </w:rPr>
      </w:pPr>
      <w:r w:rsidRPr="452CDC45">
        <w:rPr>
          <w:rFonts w:ascii="Century Gothic" w:eastAsia="Century Gothic" w:hAnsi="Century Gothic" w:cs="Century Gothic"/>
        </w:rPr>
        <w:t>The Impact of COVID-19 on Women living with Disabilities in Canada</w:t>
      </w:r>
      <w:r w:rsidR="0F6AD109" w:rsidRPr="452CDC45">
        <w:rPr>
          <w:rFonts w:ascii="Century Gothic" w:eastAsia="Century Gothic" w:hAnsi="Century Gothic" w:cs="Century Gothic"/>
        </w:rPr>
        <w:t xml:space="preserve"> </w:t>
      </w:r>
      <w:r w:rsidR="387DC8F7" w:rsidRPr="452CDC45">
        <w:rPr>
          <w:rFonts w:ascii="Century Gothic" w:eastAsia="Century Gothic" w:hAnsi="Century Gothic" w:cs="Century Gothic"/>
        </w:rPr>
        <w:t>R</w:t>
      </w:r>
      <w:r w:rsidR="0F6AD109" w:rsidRPr="452CDC45">
        <w:rPr>
          <w:rFonts w:ascii="Century Gothic" w:eastAsia="Century Gothic" w:hAnsi="Century Gothic" w:cs="Century Gothic"/>
        </w:rPr>
        <w:t>eport</w:t>
      </w:r>
      <w:r w:rsidRPr="452CDC45">
        <w:rPr>
          <w:rFonts w:ascii="Century Gothic" w:eastAsia="Century Gothic" w:hAnsi="Century Gothic" w:cs="Century Gothic"/>
        </w:rPr>
        <w:t xml:space="preserve"> </w:t>
      </w:r>
      <w:r w:rsidR="530FD736" w:rsidRPr="452CDC45">
        <w:rPr>
          <w:rFonts w:ascii="Century Gothic" w:eastAsia="Century Gothic" w:hAnsi="Century Gothic" w:cs="Century Gothic"/>
        </w:rPr>
        <w:t xml:space="preserve">(2020) </w:t>
      </w:r>
      <w:r w:rsidRPr="452CDC45">
        <w:rPr>
          <w:rFonts w:ascii="Century Gothic" w:eastAsia="Century Gothic" w:hAnsi="Century Gothic" w:cs="Century Gothic"/>
        </w:rPr>
        <w:t xml:space="preserve">prepared by Sonia </w:t>
      </w:r>
      <w:proofErr w:type="spellStart"/>
      <w:r w:rsidRPr="452CDC45">
        <w:rPr>
          <w:rFonts w:ascii="Century Gothic" w:eastAsia="Century Gothic" w:hAnsi="Century Gothic" w:cs="Century Gothic"/>
        </w:rPr>
        <w:t>Alimi</w:t>
      </w:r>
      <w:proofErr w:type="spellEnd"/>
      <w:r w:rsidR="395CF87B" w:rsidRPr="452CDC45">
        <w:rPr>
          <w:rFonts w:ascii="Century Gothic" w:eastAsia="Century Gothic" w:hAnsi="Century Gothic" w:cs="Century Gothic"/>
        </w:rPr>
        <w:t>, PhD</w:t>
      </w:r>
      <w:r w:rsidRPr="452CDC45">
        <w:rPr>
          <w:rFonts w:ascii="Century Gothic" w:eastAsia="Century Gothic" w:hAnsi="Century Gothic" w:cs="Century Gothic"/>
        </w:rPr>
        <w:t>,</w:t>
      </w:r>
      <w:r w:rsidR="7EF5B66F" w:rsidRPr="452CDC45">
        <w:rPr>
          <w:rFonts w:ascii="Century Gothic" w:eastAsia="Century Gothic" w:hAnsi="Century Gothic" w:cs="Century Gothic"/>
        </w:rPr>
        <w:t xml:space="preserve"> </w:t>
      </w:r>
      <w:proofErr w:type="spellStart"/>
      <w:r w:rsidR="7EF5B66F" w:rsidRPr="452CDC45">
        <w:rPr>
          <w:rFonts w:ascii="Century Gothic" w:eastAsia="Century Gothic" w:hAnsi="Century Gothic" w:cs="Century Gothic"/>
        </w:rPr>
        <w:t>Jihan</w:t>
      </w:r>
      <w:proofErr w:type="spellEnd"/>
      <w:r w:rsidR="7EF5B66F" w:rsidRPr="452CDC45">
        <w:rPr>
          <w:rFonts w:ascii="Century Gothic" w:eastAsia="Century Gothic" w:hAnsi="Century Gothic" w:cs="Century Gothic"/>
        </w:rPr>
        <w:t xml:space="preserve"> Abbas</w:t>
      </w:r>
      <w:r w:rsidR="0DCF61C5" w:rsidRPr="452CDC45">
        <w:rPr>
          <w:rFonts w:ascii="Century Gothic" w:eastAsia="Century Gothic" w:hAnsi="Century Gothic" w:cs="Century Gothic"/>
        </w:rPr>
        <w:t>, PhD</w:t>
      </w:r>
      <w:r w:rsidR="05524FCF" w:rsidRPr="452CDC45">
        <w:rPr>
          <w:rFonts w:ascii="Century Gothic" w:eastAsia="Century Gothic" w:hAnsi="Century Gothic" w:cs="Century Gothic"/>
        </w:rPr>
        <w:t xml:space="preserve"> </w:t>
      </w:r>
      <w:r w:rsidR="712B2883" w:rsidRPr="452CDC45">
        <w:rPr>
          <w:rFonts w:ascii="Century Gothic" w:eastAsia="Century Gothic" w:hAnsi="Century Gothic" w:cs="Century Gothic"/>
        </w:rPr>
        <w:t xml:space="preserve">and Bara Hladik </w:t>
      </w:r>
    </w:p>
    <w:p w14:paraId="2F07D5AD" w14:textId="1B1F8212" w:rsidR="452CDC45" w:rsidRDefault="452CDC45">
      <w:pPr>
        <w:rPr>
          <w:rFonts w:hint="eastAsia"/>
        </w:rPr>
      </w:pPr>
      <w:r>
        <w:br w:type="page"/>
      </w:r>
    </w:p>
    <w:p w14:paraId="1E2E4F13" w14:textId="2C5DAC91" w:rsidR="00009F0D" w:rsidRDefault="00009F0D" w:rsidP="362ED30B">
      <w:pPr>
        <w:pStyle w:val="Heading1"/>
        <w:rPr>
          <w:rFonts w:ascii="Century Gothic" w:eastAsia="Century Gothic" w:hAnsi="Century Gothic" w:cs="Century Gothic"/>
          <w:b/>
          <w:bCs/>
        </w:rPr>
      </w:pPr>
      <w:bookmarkStart w:id="3" w:name="_Toc1963724958"/>
      <w:r w:rsidRPr="452CDC45">
        <w:rPr>
          <w:rFonts w:ascii="Century Gothic" w:eastAsia="Century Gothic" w:hAnsi="Century Gothic" w:cs="Century Gothic"/>
          <w:b/>
          <w:bCs/>
        </w:rPr>
        <w:lastRenderedPageBreak/>
        <w:t>Introduction</w:t>
      </w:r>
      <w:bookmarkEnd w:id="3"/>
    </w:p>
    <w:p w14:paraId="684B849E" w14:textId="67D94BDE"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Our Understanding:  </w:t>
      </w:r>
    </w:p>
    <w:p w14:paraId="03FD2969" w14:textId="1388558B" w:rsidR="00009F0D" w:rsidRDefault="00009F0D" w:rsidP="3F630973">
      <w:pPr>
        <w:rPr>
          <w:rFonts w:ascii="Century Gothic" w:eastAsia="Century Gothic" w:hAnsi="Century Gothic" w:cs="Century Gothic"/>
        </w:rPr>
      </w:pPr>
      <w:r w:rsidRPr="7B7CA213">
        <w:rPr>
          <w:rFonts w:ascii="Century Gothic" w:eastAsia="Century Gothic" w:hAnsi="Century Gothic" w:cs="Century Gothic"/>
        </w:rPr>
        <w:t>As a party to the United Nations (UN) International Committee on the Elimination of Discrimination Against Women (CEDAW), Canada is required to report on a periodic basis to the UN on its domestic implementation of the provisions under the Convention.</w:t>
      </w:r>
      <w:r w:rsidR="00A65BCB">
        <w:rPr>
          <w:rFonts w:ascii="Century Gothic" w:eastAsia="Century Gothic" w:hAnsi="Century Gothic" w:cs="Century Gothic"/>
        </w:rPr>
        <w:t xml:space="preserve"> </w:t>
      </w:r>
      <w:r w:rsidRPr="7B7CA213">
        <w:rPr>
          <w:rFonts w:ascii="Century Gothic" w:eastAsia="Century Gothic" w:hAnsi="Century Gothic" w:cs="Century Gothic"/>
        </w:rPr>
        <w:t xml:space="preserve">As of June 2024, the Government of Canada shared for the 10th Periodic Review broadly in a Hybrid gathering of FTP government(s) and CSO’s who gathered to hear the federal government treaty monitoring and complaint mechanism(s) plans moving forward.  </w:t>
      </w:r>
    </w:p>
    <w:p w14:paraId="684E1302" w14:textId="4B77B351" w:rsidR="00009F0D" w:rsidRDefault="00009F0D" w:rsidP="3F630973">
      <w:pPr>
        <w:rPr>
          <w:rFonts w:ascii="Century Gothic" w:eastAsia="Century Gothic" w:hAnsi="Century Gothic" w:cs="Century Gothic"/>
        </w:rPr>
      </w:pPr>
      <w:r w:rsidRPr="7B7CA213">
        <w:rPr>
          <w:rFonts w:ascii="Century Gothic" w:eastAsia="Century Gothic" w:hAnsi="Century Gothic" w:cs="Century Gothic"/>
        </w:rPr>
        <w:t xml:space="preserve">Women with disabilities in Canada account for 30% of the population of women in Canada, and continue to face disproportionate levels of unemployment, poverty, homelessness, and incarceration. </w:t>
      </w:r>
      <w:r w:rsidR="28F685FC" w:rsidRPr="7B7CA213">
        <w:rPr>
          <w:rFonts w:ascii="Century Gothic" w:eastAsia="Century Gothic" w:hAnsi="Century Gothic" w:cs="Century Gothic"/>
        </w:rPr>
        <w:t xml:space="preserve">The rate of disability is </w:t>
      </w:r>
      <w:r w:rsidRPr="7B7CA213">
        <w:rPr>
          <w:rFonts w:ascii="Century Gothic" w:eastAsia="Century Gothic" w:hAnsi="Century Gothic" w:cs="Century Gothic"/>
        </w:rPr>
        <w:t xml:space="preserve">above 35% </w:t>
      </w:r>
      <w:r w:rsidR="742C5318" w:rsidRPr="7B7CA213">
        <w:rPr>
          <w:rFonts w:ascii="Century Gothic" w:eastAsia="Century Gothic" w:hAnsi="Century Gothic" w:cs="Century Gothic"/>
        </w:rPr>
        <w:t>f</w:t>
      </w:r>
      <w:r w:rsidRPr="7B7CA213">
        <w:rPr>
          <w:rFonts w:ascii="Century Gothic" w:eastAsia="Century Gothic" w:hAnsi="Century Gothic" w:cs="Century Gothic"/>
        </w:rPr>
        <w:t xml:space="preserve">or women with disabilities </w:t>
      </w:r>
      <w:r w:rsidR="3966C10F" w:rsidRPr="7B7CA213">
        <w:rPr>
          <w:rFonts w:ascii="Century Gothic" w:eastAsia="Century Gothic" w:hAnsi="Century Gothic" w:cs="Century Gothic"/>
        </w:rPr>
        <w:t>who are</w:t>
      </w:r>
      <w:r w:rsidRPr="7B7CA213">
        <w:rPr>
          <w:rFonts w:ascii="Century Gothic" w:eastAsia="Century Gothic" w:hAnsi="Century Gothic" w:cs="Century Gothic"/>
        </w:rPr>
        <w:t xml:space="preserve"> Indigenous, racialized, immigrant or refugee, and/or lesbian, gay, bisexual, transgender, queer, intersex or Two-Spirit. We seek to provide the international committee </w:t>
      </w:r>
      <w:r w:rsidR="077C9821" w:rsidRPr="7B7CA213">
        <w:rPr>
          <w:rFonts w:ascii="Century Gothic" w:eastAsia="Century Gothic" w:hAnsi="Century Gothic" w:cs="Century Gothic"/>
        </w:rPr>
        <w:t xml:space="preserve">our responses </w:t>
      </w:r>
      <w:r w:rsidRPr="7B7CA213">
        <w:rPr>
          <w:rFonts w:ascii="Century Gothic" w:eastAsia="Century Gothic" w:hAnsi="Century Gothic" w:cs="Century Gothic"/>
        </w:rPr>
        <w:t xml:space="preserve">on the </w:t>
      </w:r>
      <w:r w:rsidR="0650662F" w:rsidRPr="7B7CA213">
        <w:rPr>
          <w:rFonts w:ascii="Century Gothic" w:eastAsia="Century Gothic" w:hAnsi="Century Gothic" w:cs="Century Gothic"/>
        </w:rPr>
        <w:t xml:space="preserve">Convention on the </w:t>
      </w:r>
      <w:r w:rsidRPr="7B7CA213">
        <w:rPr>
          <w:rFonts w:ascii="Century Gothic" w:eastAsia="Century Gothic" w:hAnsi="Century Gothic" w:cs="Century Gothic"/>
        </w:rPr>
        <w:t xml:space="preserve">Elimination of Discrimination Against Women (UN CEDAW).   </w:t>
      </w:r>
    </w:p>
    <w:p w14:paraId="4F8D010B" w14:textId="5B310CA3" w:rsidR="3F630973" w:rsidRDefault="3F630973" w:rsidP="3F630973">
      <w:pPr>
        <w:rPr>
          <w:rFonts w:ascii="Century Gothic" w:eastAsia="Century Gothic" w:hAnsi="Century Gothic" w:cs="Century Gothic"/>
        </w:rPr>
      </w:pPr>
    </w:p>
    <w:p w14:paraId="760A799D" w14:textId="73CCFB49" w:rsidR="00009F0D" w:rsidRDefault="00009F0D" w:rsidP="362ED30B">
      <w:pPr>
        <w:pStyle w:val="Heading1"/>
        <w:rPr>
          <w:rFonts w:ascii="Century Gothic" w:eastAsia="Century Gothic" w:hAnsi="Century Gothic" w:cs="Century Gothic"/>
          <w:b/>
          <w:bCs/>
        </w:rPr>
      </w:pPr>
      <w:bookmarkStart w:id="4" w:name="_Toc2002714609"/>
      <w:r w:rsidRPr="452CDC45">
        <w:rPr>
          <w:rFonts w:ascii="Century Gothic" w:eastAsia="Century Gothic" w:hAnsi="Century Gothic" w:cs="Century Gothic"/>
          <w:b/>
          <w:bCs/>
        </w:rPr>
        <w:t>Questions</w:t>
      </w:r>
      <w:bookmarkEnd w:id="4"/>
      <w:r w:rsidRPr="452CDC45">
        <w:rPr>
          <w:rFonts w:ascii="Century Gothic" w:eastAsia="Century Gothic" w:hAnsi="Century Gothic" w:cs="Century Gothic"/>
          <w:b/>
          <w:bCs/>
        </w:rPr>
        <w:t xml:space="preserve">  </w:t>
      </w:r>
    </w:p>
    <w:p w14:paraId="38BC9CC3" w14:textId="622605B6" w:rsidR="00009F0D" w:rsidRDefault="00009F0D" w:rsidP="3F630973">
      <w:pPr>
        <w:rPr>
          <w:rFonts w:ascii="Century Gothic" w:eastAsia="Century Gothic" w:hAnsi="Century Gothic" w:cs="Century Gothic"/>
        </w:rPr>
      </w:pPr>
      <w:r w:rsidRPr="7B7CA213">
        <w:rPr>
          <w:rFonts w:ascii="Century Gothic" w:eastAsia="Century Gothic" w:hAnsi="Century Gothic" w:cs="Century Gothic"/>
        </w:rPr>
        <w:t>We viewed the questions in two segments. F</w:t>
      </w:r>
      <w:r w:rsidR="19FB4423" w:rsidRPr="7B7CA213">
        <w:rPr>
          <w:rFonts w:ascii="Century Gothic" w:eastAsia="Century Gothic" w:hAnsi="Century Gothic" w:cs="Century Gothic"/>
        </w:rPr>
        <w:t>irst</w:t>
      </w:r>
      <w:r w:rsidR="5371FA3D" w:rsidRPr="7B7CA213">
        <w:rPr>
          <w:rFonts w:ascii="Century Gothic" w:eastAsia="Century Gothic" w:hAnsi="Century Gothic" w:cs="Century Gothic"/>
        </w:rPr>
        <w:t>,</w:t>
      </w:r>
      <w:r w:rsidR="19FB4423" w:rsidRPr="7B7CA213">
        <w:rPr>
          <w:rFonts w:ascii="Century Gothic" w:eastAsia="Century Gothic" w:hAnsi="Century Gothic" w:cs="Century Gothic"/>
        </w:rPr>
        <w:t xml:space="preserve"> </w:t>
      </w:r>
      <w:r w:rsidRPr="7B7CA213">
        <w:rPr>
          <w:rFonts w:ascii="Century Gothic" w:eastAsia="Century Gothic" w:hAnsi="Century Gothic" w:cs="Century Gothic"/>
        </w:rPr>
        <w:t>from Canada’s own report</w:t>
      </w:r>
      <w:r w:rsidR="359BDF0E" w:rsidRPr="7B7CA213">
        <w:rPr>
          <w:rFonts w:ascii="Century Gothic" w:eastAsia="Century Gothic" w:hAnsi="Century Gothic" w:cs="Century Gothic"/>
        </w:rPr>
        <w:t xml:space="preserve"> and then</w:t>
      </w:r>
      <w:r w:rsidRPr="7B7CA213">
        <w:rPr>
          <w:rFonts w:ascii="Century Gothic" w:eastAsia="Century Gothic" w:hAnsi="Century Gothic" w:cs="Century Gothic"/>
        </w:rPr>
        <w:t xml:space="preserve"> from the List of Issues supplied to Canada in 2019. Additionally, we chose to include additional information on Gender</w:t>
      </w:r>
      <w:r w:rsidR="6DD304AA" w:rsidRPr="7B7CA213">
        <w:rPr>
          <w:rFonts w:ascii="Century Gothic" w:eastAsia="Century Gothic" w:hAnsi="Century Gothic" w:cs="Century Gothic"/>
        </w:rPr>
        <w:t>-</w:t>
      </w:r>
      <w:r w:rsidRPr="7B7CA213">
        <w:rPr>
          <w:rFonts w:ascii="Century Gothic" w:eastAsia="Century Gothic" w:hAnsi="Century Gothic" w:cs="Century Gothic"/>
        </w:rPr>
        <w:t>Based Violence (GBV)</w:t>
      </w:r>
      <w:r w:rsidR="0355617F" w:rsidRPr="7B7CA213">
        <w:rPr>
          <w:rFonts w:ascii="Century Gothic" w:eastAsia="Century Gothic" w:hAnsi="Century Gothic" w:cs="Century Gothic"/>
        </w:rPr>
        <w:t>,</w:t>
      </w:r>
      <w:r w:rsidRPr="7B7CA213">
        <w:rPr>
          <w:rFonts w:ascii="Century Gothic" w:eastAsia="Century Gothic" w:hAnsi="Century Gothic" w:cs="Century Gothic"/>
        </w:rPr>
        <w:t xml:space="preserve"> which is not in the report from the State party. </w:t>
      </w:r>
      <w:r w:rsidR="523F6C5B" w:rsidRPr="7B7CA213">
        <w:rPr>
          <w:rFonts w:ascii="Century Gothic" w:eastAsia="Century Gothic" w:hAnsi="Century Gothic" w:cs="Century Gothic"/>
        </w:rPr>
        <w:t>This i</w:t>
      </w:r>
      <w:r w:rsidRPr="7B7CA213">
        <w:rPr>
          <w:rFonts w:ascii="Century Gothic" w:eastAsia="Century Gothic" w:hAnsi="Century Gothic" w:cs="Century Gothic"/>
        </w:rPr>
        <w:t>s followed by an additional information section regarding critical perspectives that emerged during the C</w:t>
      </w:r>
      <w:r w:rsidR="1BBCCC85" w:rsidRPr="7B7CA213">
        <w:rPr>
          <w:rFonts w:ascii="Century Gothic" w:eastAsia="Century Gothic" w:hAnsi="Century Gothic" w:cs="Century Gothic"/>
        </w:rPr>
        <w:t>OVID</w:t>
      </w:r>
      <w:r w:rsidRPr="7B7CA213">
        <w:rPr>
          <w:rFonts w:ascii="Century Gothic" w:eastAsia="Century Gothic" w:hAnsi="Century Gothic" w:cs="Century Gothic"/>
        </w:rPr>
        <w:t xml:space="preserve">-19 pandemic.  </w:t>
      </w:r>
    </w:p>
    <w:p w14:paraId="3A34DF87" w14:textId="199669D5" w:rsidR="00009F0D" w:rsidRDefault="00009F0D" w:rsidP="3F630973">
      <w:pPr>
        <w:rPr>
          <w:rFonts w:ascii="Century Gothic" w:eastAsia="Century Gothic" w:hAnsi="Century Gothic" w:cs="Century Gothic"/>
        </w:rPr>
      </w:pPr>
      <w:r w:rsidRPr="7B7CA213">
        <w:rPr>
          <w:rFonts w:ascii="Century Gothic" w:eastAsia="Century Gothic" w:hAnsi="Century Gothic" w:cs="Century Gothic"/>
        </w:rPr>
        <w:t xml:space="preserve"> </w:t>
      </w:r>
    </w:p>
    <w:p w14:paraId="59000A25" w14:textId="3F365DBF" w:rsidR="7B7CA213" w:rsidRDefault="7B7CA213">
      <w:pPr>
        <w:rPr>
          <w:rFonts w:hint="eastAsia"/>
        </w:rPr>
      </w:pPr>
      <w:r>
        <w:br w:type="page"/>
      </w:r>
    </w:p>
    <w:p w14:paraId="06E163AD" w14:textId="5FE1AC9F" w:rsidR="362ED30B" w:rsidRDefault="00009F0D" w:rsidP="7B7CA213">
      <w:pPr>
        <w:pStyle w:val="Heading2"/>
        <w:rPr>
          <w:rFonts w:ascii="Century Gothic" w:eastAsia="Century Gothic" w:hAnsi="Century Gothic" w:cs="Century Gothic"/>
          <w:b/>
          <w:bCs/>
        </w:rPr>
      </w:pPr>
      <w:bookmarkStart w:id="5" w:name="_Toc1791870382"/>
      <w:r w:rsidRPr="452CDC45">
        <w:rPr>
          <w:rFonts w:ascii="Century Gothic" w:eastAsia="Century Gothic" w:hAnsi="Century Gothic" w:cs="Century Gothic"/>
          <w:b/>
          <w:bCs/>
        </w:rPr>
        <w:lastRenderedPageBreak/>
        <w:t>From Human Rights Commission of Canada</w:t>
      </w:r>
      <w:r w:rsidR="1E9A4D2F" w:rsidRPr="452CDC45">
        <w:rPr>
          <w:rFonts w:ascii="Century Gothic" w:eastAsia="Century Gothic" w:hAnsi="Century Gothic" w:cs="Century Gothic"/>
          <w:b/>
          <w:bCs/>
        </w:rPr>
        <w:t>:</w:t>
      </w:r>
      <w:bookmarkEnd w:id="5"/>
    </w:p>
    <w:p w14:paraId="3C3E53E0" w14:textId="44F6EB32" w:rsidR="00009F0D" w:rsidRDefault="00009F0D" w:rsidP="3F630973">
      <w:pPr>
        <w:pStyle w:val="Heading3"/>
        <w:rPr>
          <w:rFonts w:ascii="Century Gothic" w:eastAsia="Century Gothic" w:hAnsi="Century Gothic" w:cs="Century Gothic"/>
        </w:rPr>
      </w:pPr>
      <w:bookmarkStart w:id="6" w:name="_Toc1645142196"/>
      <w:r w:rsidRPr="452CDC45">
        <w:rPr>
          <w:rFonts w:ascii="Century Gothic" w:eastAsia="Century Gothic" w:hAnsi="Century Gothic" w:cs="Century Gothic"/>
        </w:rPr>
        <w:t>Section 5. Persons Deprived of their liberties</w:t>
      </w:r>
      <w:bookmarkEnd w:id="6"/>
      <w:r w:rsidRPr="452CDC45">
        <w:rPr>
          <w:rFonts w:ascii="Century Gothic" w:eastAsia="Century Gothic" w:hAnsi="Century Gothic" w:cs="Century Gothic"/>
        </w:rPr>
        <w:t xml:space="preserve"> </w:t>
      </w:r>
    </w:p>
    <w:p w14:paraId="651F624E" w14:textId="3E5B723D" w:rsidR="00009F0D" w:rsidRDefault="00009F0D" w:rsidP="362ED30B">
      <w:pPr>
        <w:rPr>
          <w:rFonts w:ascii="Century Gothic" w:eastAsia="Century Gothic" w:hAnsi="Century Gothic" w:cs="Century Gothic"/>
          <w:b/>
          <w:bCs/>
        </w:rPr>
      </w:pPr>
      <w:r w:rsidRPr="362ED30B">
        <w:rPr>
          <w:rFonts w:ascii="Century Gothic" w:eastAsia="Century Gothic" w:hAnsi="Century Gothic" w:cs="Century Gothic"/>
          <w:b/>
          <w:bCs/>
        </w:rPr>
        <w:t xml:space="preserve">Question # 3   </w:t>
      </w:r>
    </w:p>
    <w:p w14:paraId="414B187F" w14:textId="775AD8DD" w:rsidR="00009F0D" w:rsidRDefault="00009F0D" w:rsidP="362ED30B">
      <w:pPr>
        <w:pStyle w:val="ListParagraph"/>
        <w:numPr>
          <w:ilvl w:val="0"/>
          <w:numId w:val="7"/>
        </w:numPr>
        <w:rPr>
          <w:rFonts w:ascii="Century Gothic" w:eastAsia="Century Gothic" w:hAnsi="Century Gothic" w:cs="Century Gothic"/>
        </w:rPr>
      </w:pPr>
      <w:r w:rsidRPr="362ED30B">
        <w:rPr>
          <w:rFonts w:ascii="Century Gothic" w:eastAsia="Century Gothic" w:hAnsi="Century Gothic" w:cs="Century Gothic"/>
        </w:rPr>
        <w:t xml:space="preserve">Please provide details of efforts to address the over-representation of federally incarcerated Indigenous women.  </w:t>
      </w:r>
    </w:p>
    <w:p w14:paraId="2FD2FB7C" w14:textId="1D90D2DC" w:rsidR="00009F0D" w:rsidRDefault="00009F0D" w:rsidP="7B7CA213">
      <w:pPr>
        <w:pStyle w:val="ListParagraph"/>
        <w:numPr>
          <w:ilvl w:val="0"/>
          <w:numId w:val="7"/>
        </w:numPr>
        <w:rPr>
          <w:rFonts w:ascii="Century Gothic" w:eastAsia="Century Gothic" w:hAnsi="Century Gothic" w:cs="Century Gothic"/>
        </w:rPr>
      </w:pPr>
      <w:r w:rsidRPr="7B7CA213">
        <w:rPr>
          <w:rFonts w:ascii="Century Gothic" w:eastAsia="Century Gothic" w:hAnsi="Century Gothic" w:cs="Century Gothic"/>
        </w:rPr>
        <w:t>Additional context specific to the lived disability experience of women at this intersection can be found on page</w:t>
      </w:r>
      <w:r w:rsidR="00786F78" w:rsidRPr="7B7CA213">
        <w:rPr>
          <w:rFonts w:ascii="Century Gothic" w:eastAsia="Century Gothic" w:hAnsi="Century Gothic" w:cs="Century Gothic"/>
        </w:rPr>
        <w:t xml:space="preserve"> </w:t>
      </w:r>
      <w:r w:rsidR="009F30D7" w:rsidRPr="7B7CA213">
        <w:rPr>
          <w:rFonts w:ascii="Century Gothic" w:eastAsia="Century Gothic" w:hAnsi="Century Gothic" w:cs="Century Gothic"/>
        </w:rPr>
        <w:t xml:space="preserve">six of this </w:t>
      </w:r>
      <w:r w:rsidR="00F46E6A" w:rsidRPr="7B7CA213">
        <w:rPr>
          <w:rFonts w:ascii="Century Gothic" w:eastAsia="Century Gothic" w:hAnsi="Century Gothic" w:cs="Century Gothic"/>
        </w:rPr>
        <w:t xml:space="preserve">shadow report. </w:t>
      </w:r>
    </w:p>
    <w:p w14:paraId="4FE19F0A" w14:textId="40069958" w:rsidR="00009F0D" w:rsidRDefault="00009F0D" w:rsidP="3F630973">
      <w:pPr>
        <w:pStyle w:val="Heading3"/>
        <w:rPr>
          <w:rFonts w:ascii="Century Gothic" w:eastAsia="Century Gothic" w:hAnsi="Century Gothic" w:cs="Century Gothic"/>
        </w:rPr>
      </w:pPr>
      <w:bookmarkStart w:id="7" w:name="_Toc333866859"/>
      <w:r w:rsidRPr="452CDC45">
        <w:rPr>
          <w:rFonts w:ascii="Century Gothic" w:eastAsia="Century Gothic" w:hAnsi="Century Gothic" w:cs="Century Gothic"/>
        </w:rPr>
        <w:t>Section 6. Women with Disabilities</w:t>
      </w:r>
      <w:bookmarkEnd w:id="7"/>
      <w:r w:rsidRPr="452CDC45">
        <w:rPr>
          <w:rFonts w:ascii="Century Gothic" w:eastAsia="Century Gothic" w:hAnsi="Century Gothic" w:cs="Century Gothic"/>
        </w:rPr>
        <w:t xml:space="preserve"> </w:t>
      </w:r>
    </w:p>
    <w:p w14:paraId="1011278B" w14:textId="243B0A88" w:rsidR="00009F0D" w:rsidRDefault="00009F0D" w:rsidP="362ED30B">
      <w:pPr>
        <w:rPr>
          <w:rFonts w:ascii="Century Gothic" w:eastAsia="Century Gothic" w:hAnsi="Century Gothic" w:cs="Century Gothic"/>
          <w:b/>
          <w:bCs/>
        </w:rPr>
      </w:pPr>
      <w:r w:rsidRPr="362ED30B">
        <w:rPr>
          <w:rFonts w:ascii="Century Gothic" w:eastAsia="Century Gothic" w:hAnsi="Century Gothic" w:cs="Century Gothic"/>
          <w:b/>
          <w:bCs/>
        </w:rPr>
        <w:t xml:space="preserve">Question # 6  </w:t>
      </w:r>
    </w:p>
    <w:p w14:paraId="0DD3FC7A" w14:textId="01B8EC1F" w:rsidR="00009F0D" w:rsidRDefault="00009F0D" w:rsidP="362ED30B">
      <w:pPr>
        <w:pStyle w:val="ListParagraph"/>
        <w:numPr>
          <w:ilvl w:val="0"/>
          <w:numId w:val="6"/>
        </w:numPr>
        <w:rPr>
          <w:rFonts w:ascii="Century Gothic" w:eastAsia="Century Gothic" w:hAnsi="Century Gothic" w:cs="Century Gothic"/>
        </w:rPr>
      </w:pPr>
      <w:r w:rsidRPr="362ED30B">
        <w:rPr>
          <w:rFonts w:ascii="Century Gothic" w:eastAsia="Century Gothic" w:hAnsi="Century Gothic" w:cs="Century Gothic"/>
        </w:rPr>
        <w:t>Please provide details of efforts to address barriers to education and</w:t>
      </w:r>
      <w:r w:rsidR="44AD69EB" w:rsidRPr="362ED30B">
        <w:rPr>
          <w:rFonts w:ascii="Century Gothic" w:eastAsia="Century Gothic" w:hAnsi="Century Gothic" w:cs="Century Gothic"/>
        </w:rPr>
        <w:t xml:space="preserve"> </w:t>
      </w:r>
      <w:r w:rsidRPr="362ED30B">
        <w:rPr>
          <w:rFonts w:ascii="Century Gothic" w:eastAsia="Century Gothic" w:hAnsi="Century Gothic" w:cs="Century Gothic"/>
        </w:rPr>
        <w:t xml:space="preserve">employment for women with disabilities.  </w:t>
      </w:r>
    </w:p>
    <w:p w14:paraId="3B371821" w14:textId="49619C55" w:rsidR="00009F0D" w:rsidRDefault="00009F0D" w:rsidP="362ED30B">
      <w:pPr>
        <w:pStyle w:val="ListParagraph"/>
        <w:numPr>
          <w:ilvl w:val="0"/>
          <w:numId w:val="6"/>
        </w:numPr>
        <w:rPr>
          <w:rFonts w:ascii="Century Gothic" w:eastAsia="Century Gothic" w:hAnsi="Century Gothic" w:cs="Century Gothic"/>
        </w:rPr>
      </w:pPr>
      <w:r w:rsidRPr="362ED30B">
        <w:rPr>
          <w:rFonts w:ascii="Century Gothic" w:eastAsia="Century Gothic" w:hAnsi="Century Gothic" w:cs="Century Gothic"/>
        </w:rPr>
        <w:t xml:space="preserve">What efforts are being made to ensure coordination between the various jurisdictions in Canada in relation to these issues? </w:t>
      </w:r>
    </w:p>
    <w:p w14:paraId="7BADE45D" w14:textId="17E1786D" w:rsidR="00009F0D" w:rsidRDefault="00009F0D" w:rsidP="362ED30B">
      <w:pPr>
        <w:rPr>
          <w:rFonts w:ascii="Century Gothic" w:eastAsia="Century Gothic" w:hAnsi="Century Gothic" w:cs="Century Gothic"/>
          <w:b/>
          <w:bCs/>
        </w:rPr>
      </w:pPr>
      <w:r w:rsidRPr="362ED30B">
        <w:rPr>
          <w:rFonts w:ascii="Century Gothic" w:eastAsia="Century Gothic" w:hAnsi="Century Gothic" w:cs="Century Gothic"/>
          <w:b/>
          <w:bCs/>
        </w:rPr>
        <w:t>Question</w:t>
      </w:r>
      <w:r w:rsidR="15098034" w:rsidRPr="362ED30B">
        <w:rPr>
          <w:rFonts w:ascii="Century Gothic" w:eastAsia="Century Gothic" w:hAnsi="Century Gothic" w:cs="Century Gothic"/>
          <w:b/>
          <w:bCs/>
        </w:rPr>
        <w:t xml:space="preserve"> </w:t>
      </w:r>
      <w:r w:rsidRPr="362ED30B">
        <w:rPr>
          <w:rFonts w:ascii="Century Gothic" w:eastAsia="Century Gothic" w:hAnsi="Century Gothic" w:cs="Century Gothic"/>
          <w:b/>
          <w:bCs/>
        </w:rPr>
        <w:t xml:space="preserve">#7 </w:t>
      </w:r>
    </w:p>
    <w:p w14:paraId="4F49D12A" w14:textId="5A41252A" w:rsidR="00009F0D" w:rsidRDefault="00009F0D" w:rsidP="7B7CA213">
      <w:pPr>
        <w:pStyle w:val="ListParagraph"/>
        <w:numPr>
          <w:ilvl w:val="0"/>
          <w:numId w:val="5"/>
        </w:numPr>
        <w:rPr>
          <w:rFonts w:ascii="Century Gothic" w:eastAsia="Century Gothic" w:hAnsi="Century Gothic" w:cs="Century Gothic"/>
        </w:rPr>
      </w:pPr>
      <w:r w:rsidRPr="7B7CA213">
        <w:rPr>
          <w:rFonts w:ascii="Century Gothic" w:eastAsia="Century Gothic" w:hAnsi="Century Gothic" w:cs="Century Gothic"/>
        </w:rPr>
        <w:t xml:space="preserve">Please provide details on the anticipated impact of the housing legislation and the National Housing Strategy on women with disabilities.  </w:t>
      </w:r>
    </w:p>
    <w:p w14:paraId="68FDE13F" w14:textId="3DFABCDB" w:rsidR="00009F0D" w:rsidRDefault="00009F0D" w:rsidP="7B7CA213">
      <w:pPr>
        <w:pStyle w:val="Heading3"/>
        <w:rPr>
          <w:rFonts w:ascii="Century Gothic" w:eastAsia="Century Gothic" w:hAnsi="Century Gothic" w:cs="Century Gothic"/>
        </w:rPr>
      </w:pPr>
      <w:bookmarkStart w:id="8" w:name="_Toc504998536"/>
      <w:r w:rsidRPr="452CDC45">
        <w:rPr>
          <w:rFonts w:ascii="Century Gothic" w:eastAsia="Century Gothic" w:hAnsi="Century Gothic" w:cs="Century Gothic"/>
        </w:rPr>
        <w:t>Section 7</w:t>
      </w:r>
      <w:r w:rsidR="3B55E837" w:rsidRPr="452CDC45">
        <w:rPr>
          <w:rFonts w:ascii="Century Gothic" w:eastAsia="Century Gothic" w:hAnsi="Century Gothic" w:cs="Century Gothic"/>
        </w:rPr>
        <w:t>.</w:t>
      </w:r>
      <w:r w:rsidRPr="452CDC45">
        <w:rPr>
          <w:rFonts w:ascii="Century Gothic" w:eastAsia="Century Gothic" w:hAnsi="Century Gothic" w:cs="Century Gothic"/>
        </w:rPr>
        <w:t xml:space="preserve"> Indigenous Women and Girls</w:t>
      </w:r>
      <w:r w:rsidR="1B4FD308" w:rsidRPr="452CDC45">
        <w:rPr>
          <w:rFonts w:ascii="Century Gothic" w:eastAsia="Century Gothic" w:hAnsi="Century Gothic" w:cs="Century Gothic"/>
        </w:rPr>
        <w:t xml:space="preserve">; </w:t>
      </w:r>
      <w:r w:rsidRPr="452CDC45">
        <w:rPr>
          <w:rFonts w:ascii="Century Gothic" w:eastAsia="Century Gothic" w:hAnsi="Century Gothic" w:cs="Century Gothic"/>
        </w:rPr>
        <w:t>Sub section 7.1 Equitable and Adequate Services on Reserve</w:t>
      </w:r>
      <w:bookmarkEnd w:id="8"/>
      <w:r w:rsidRPr="452CDC45">
        <w:rPr>
          <w:rFonts w:ascii="Century Gothic" w:eastAsia="Century Gothic" w:hAnsi="Century Gothic" w:cs="Century Gothic"/>
        </w:rPr>
        <w:t xml:space="preserve"> </w:t>
      </w:r>
    </w:p>
    <w:p w14:paraId="0EC140E0" w14:textId="616834BB" w:rsidR="00009F0D" w:rsidRDefault="00009F0D" w:rsidP="362ED30B">
      <w:pPr>
        <w:rPr>
          <w:rFonts w:ascii="Century Gothic" w:eastAsia="Century Gothic" w:hAnsi="Century Gothic" w:cs="Century Gothic"/>
          <w:b/>
          <w:bCs/>
        </w:rPr>
      </w:pPr>
      <w:r w:rsidRPr="362ED30B">
        <w:rPr>
          <w:rFonts w:ascii="Century Gothic" w:eastAsia="Century Gothic" w:hAnsi="Century Gothic" w:cs="Century Gothic"/>
          <w:b/>
          <w:bCs/>
        </w:rPr>
        <w:t>Question #8</w:t>
      </w:r>
    </w:p>
    <w:p w14:paraId="1305A983" w14:textId="5085ADC8" w:rsidR="00009F0D" w:rsidRDefault="00009F0D" w:rsidP="362ED30B">
      <w:pPr>
        <w:pStyle w:val="ListParagraph"/>
        <w:numPr>
          <w:ilvl w:val="0"/>
          <w:numId w:val="4"/>
        </w:numPr>
        <w:rPr>
          <w:rFonts w:ascii="Century Gothic" w:eastAsia="Century Gothic" w:hAnsi="Century Gothic" w:cs="Century Gothic"/>
        </w:rPr>
      </w:pPr>
      <w:r w:rsidRPr="362ED30B">
        <w:rPr>
          <w:rFonts w:ascii="Century Gothic" w:eastAsia="Century Gothic" w:hAnsi="Century Gothic" w:cs="Century Gothic"/>
        </w:rPr>
        <w:t>Please provide details of the steps being taken to ensure that services</w:t>
      </w:r>
      <w:r w:rsidR="379D6EA1" w:rsidRPr="362ED30B">
        <w:rPr>
          <w:rFonts w:ascii="Century Gothic" w:eastAsia="Century Gothic" w:hAnsi="Century Gothic" w:cs="Century Gothic"/>
        </w:rPr>
        <w:t xml:space="preserve"> for</w:t>
      </w:r>
      <w:r w:rsidRPr="362ED30B">
        <w:rPr>
          <w:rFonts w:ascii="Century Gothic" w:eastAsia="Century Gothic" w:hAnsi="Century Gothic" w:cs="Century Gothic"/>
        </w:rPr>
        <w:t xml:space="preserve"> Indigenous women and girls in First Nations communities are equitable, adequate and appropriate. </w:t>
      </w:r>
    </w:p>
    <w:p w14:paraId="2B349165" w14:textId="72D45318" w:rsidR="00009F0D" w:rsidRPr="00C17F06" w:rsidRDefault="00009F0D" w:rsidP="3F630973">
      <w:pPr>
        <w:pStyle w:val="ListParagraph"/>
        <w:numPr>
          <w:ilvl w:val="0"/>
          <w:numId w:val="4"/>
        </w:numPr>
        <w:rPr>
          <w:rFonts w:ascii="Century Gothic" w:eastAsia="Century Gothic" w:hAnsi="Century Gothic" w:cs="Century Gothic"/>
        </w:rPr>
      </w:pPr>
      <w:r w:rsidRPr="7B7CA213">
        <w:rPr>
          <w:rFonts w:ascii="Century Gothic" w:eastAsia="Century Gothic" w:hAnsi="Century Gothic" w:cs="Century Gothic"/>
        </w:rPr>
        <w:t xml:space="preserve">What steps are being taken by Canada to implement the recommendations made by the National Inquiry into Missing and Murdered Indigenous Women and Girls including in relation to the provisions of services? </w:t>
      </w:r>
    </w:p>
    <w:p w14:paraId="3CED4FCA" w14:textId="459E9B4C" w:rsidR="7B7CA213" w:rsidRDefault="7B7CA213" w:rsidP="7B7CA213">
      <w:pPr>
        <w:rPr>
          <w:rFonts w:hint="eastAsia"/>
        </w:rPr>
      </w:pPr>
    </w:p>
    <w:p w14:paraId="5C26DCBC" w14:textId="77777777" w:rsidR="00A65BCB" w:rsidRDefault="00A65BCB">
      <w:pPr>
        <w:rPr>
          <w:rFonts w:asciiTheme="majorHAnsi" w:eastAsiaTheme="majorEastAsia" w:hAnsiTheme="majorHAnsi" w:cstheme="majorBidi" w:hint="eastAsia"/>
          <w:b/>
          <w:bCs/>
          <w:color w:val="0F4761" w:themeColor="accent1" w:themeShade="BF"/>
          <w:sz w:val="32"/>
          <w:szCs w:val="32"/>
        </w:rPr>
      </w:pPr>
      <w:bookmarkStart w:id="9" w:name="_Toc1088472612"/>
      <w:r>
        <w:rPr>
          <w:rFonts w:hint="eastAsia"/>
          <w:b/>
          <w:bCs/>
        </w:rPr>
        <w:br w:type="page"/>
      </w:r>
    </w:p>
    <w:p w14:paraId="4164D956" w14:textId="70468345" w:rsidR="00009F0D" w:rsidRDefault="00009F0D" w:rsidP="7B7CA213">
      <w:pPr>
        <w:pStyle w:val="Heading2"/>
        <w:rPr>
          <w:rFonts w:hint="eastAsia"/>
          <w:b/>
          <w:bCs/>
        </w:rPr>
      </w:pPr>
      <w:r w:rsidRPr="452CDC45">
        <w:rPr>
          <w:b/>
          <w:bCs/>
        </w:rPr>
        <w:lastRenderedPageBreak/>
        <w:t>Additional Information</w:t>
      </w:r>
      <w:bookmarkEnd w:id="9"/>
    </w:p>
    <w:p w14:paraId="03FD4897" w14:textId="4299571D"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This section of the report is on: </w:t>
      </w:r>
    </w:p>
    <w:p w14:paraId="319BCC2F" w14:textId="39C11BCE" w:rsidR="00009F0D" w:rsidRDefault="00009F0D" w:rsidP="362ED30B">
      <w:pPr>
        <w:pStyle w:val="ListParagraph"/>
        <w:numPr>
          <w:ilvl w:val="0"/>
          <w:numId w:val="2"/>
        </w:numPr>
        <w:rPr>
          <w:rFonts w:ascii="Century Gothic" w:eastAsia="Century Gothic" w:hAnsi="Century Gothic" w:cs="Century Gothic"/>
        </w:rPr>
      </w:pPr>
      <w:r w:rsidRPr="452CDC45">
        <w:rPr>
          <w:rFonts w:ascii="Century Gothic" w:eastAsia="Century Gothic" w:hAnsi="Century Gothic" w:cs="Century Gothic"/>
        </w:rPr>
        <w:t>Canada’s List of Issues Gender Based Violence (GBV) highlights specific to all intersection’s women with disabilities</w:t>
      </w:r>
      <w:r w:rsidR="74337E22" w:rsidRPr="452CDC45">
        <w:rPr>
          <w:rFonts w:ascii="Century Gothic" w:eastAsia="Century Gothic" w:hAnsi="Century Gothic" w:cs="Century Gothic"/>
        </w:rPr>
        <w:t xml:space="preserve"> w</w:t>
      </w:r>
      <w:r w:rsidRPr="452CDC45">
        <w:rPr>
          <w:rFonts w:ascii="Century Gothic" w:eastAsia="Century Gothic" w:hAnsi="Century Gothic" w:cs="Century Gothic"/>
        </w:rPr>
        <w:t>hich can be found in the</w:t>
      </w:r>
      <w:r w:rsidR="0AC4A0BE" w:rsidRPr="452CDC45">
        <w:rPr>
          <w:rFonts w:ascii="Century Gothic" w:eastAsia="Century Gothic" w:hAnsi="Century Gothic" w:cs="Century Gothic"/>
        </w:rPr>
        <w:t xml:space="preserve"> List of Issues Prior to Reporting</w:t>
      </w:r>
      <w:r w:rsidRPr="452CDC45">
        <w:rPr>
          <w:rFonts w:ascii="Century Gothic" w:eastAsia="Century Gothic" w:hAnsi="Century Gothic" w:cs="Century Gothic"/>
        </w:rPr>
        <w:t xml:space="preserve"> (</w:t>
      </w:r>
      <w:proofErr w:type="spellStart"/>
      <w:r w:rsidRPr="452CDC45">
        <w:rPr>
          <w:rFonts w:ascii="Century Gothic" w:eastAsia="Century Gothic" w:hAnsi="Century Gothic" w:cs="Century Gothic"/>
        </w:rPr>
        <w:t>LoIPR</w:t>
      </w:r>
      <w:proofErr w:type="spellEnd"/>
      <w:r w:rsidRPr="452CDC45">
        <w:rPr>
          <w:rFonts w:ascii="Century Gothic" w:eastAsia="Century Gothic" w:hAnsi="Century Gothic" w:cs="Century Gothic"/>
        </w:rPr>
        <w:t>)</w:t>
      </w:r>
      <w:r w:rsidR="3C82DCA7" w:rsidRPr="452CDC45">
        <w:rPr>
          <w:rFonts w:ascii="Century Gothic" w:eastAsia="Century Gothic" w:hAnsi="Century Gothic" w:cs="Century Gothic"/>
        </w:rPr>
        <w:t>.</w:t>
      </w:r>
    </w:p>
    <w:p w14:paraId="5DBE5294" w14:textId="431FE6A4"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In 2019</w:t>
      </w:r>
      <w:r w:rsidR="690A43BF" w:rsidRPr="362ED30B">
        <w:rPr>
          <w:rFonts w:ascii="Century Gothic" w:eastAsia="Century Gothic" w:hAnsi="Century Gothic" w:cs="Century Gothic"/>
        </w:rPr>
        <w:t>,</w:t>
      </w:r>
      <w:r w:rsidRPr="362ED30B">
        <w:rPr>
          <w:rFonts w:ascii="Century Gothic" w:eastAsia="Century Gothic" w:hAnsi="Century Gothic" w:cs="Century Gothic"/>
        </w:rPr>
        <w:t xml:space="preserve"> UN CEDAW asked Canada to provide information on: </w:t>
      </w:r>
    </w:p>
    <w:p w14:paraId="2612CAD9" w14:textId="069BABF3" w:rsidR="00009F0D" w:rsidRDefault="00009F0D" w:rsidP="362ED30B">
      <w:pPr>
        <w:pStyle w:val="ListParagraph"/>
        <w:numPr>
          <w:ilvl w:val="0"/>
          <w:numId w:val="3"/>
        </w:numPr>
        <w:rPr>
          <w:rFonts w:ascii="Century Gothic" w:eastAsia="Century Gothic" w:hAnsi="Century Gothic" w:cs="Century Gothic"/>
        </w:rPr>
      </w:pPr>
      <w:r w:rsidRPr="362ED30B">
        <w:rPr>
          <w:rFonts w:ascii="Century Gothic" w:eastAsia="Century Gothic" w:hAnsi="Century Gothic" w:cs="Century Gothic"/>
        </w:rPr>
        <w:t xml:space="preserve">Implementation of the strategy to combat gender-based violence, including its main objectives, </w:t>
      </w:r>
      <w:r w:rsidR="11BC9A37" w:rsidRPr="362ED30B">
        <w:rPr>
          <w:rFonts w:ascii="Century Gothic" w:eastAsia="Century Gothic" w:hAnsi="Century Gothic" w:cs="Century Gothic"/>
        </w:rPr>
        <w:t>finances</w:t>
      </w:r>
      <w:r w:rsidRPr="362ED30B">
        <w:rPr>
          <w:rFonts w:ascii="Century Gothic" w:eastAsia="Century Gothic" w:hAnsi="Century Gothic" w:cs="Century Gothic"/>
        </w:rPr>
        <w:t xml:space="preserve"> and human resources and whether a monitoring mechanism will be put into place.  </w:t>
      </w:r>
    </w:p>
    <w:p w14:paraId="4F7855EA" w14:textId="4379CD5E" w:rsidR="3F630973" w:rsidRPr="00C17F06" w:rsidRDefault="00009F0D" w:rsidP="3F630973">
      <w:pPr>
        <w:pStyle w:val="ListParagraph"/>
        <w:numPr>
          <w:ilvl w:val="0"/>
          <w:numId w:val="3"/>
        </w:numPr>
        <w:rPr>
          <w:rFonts w:ascii="Century Gothic" w:eastAsia="Century Gothic" w:hAnsi="Century Gothic" w:cs="Century Gothic"/>
        </w:rPr>
      </w:pPr>
      <w:r w:rsidRPr="7B7CA213">
        <w:rPr>
          <w:rFonts w:ascii="Century Gothic" w:eastAsia="Century Gothic" w:hAnsi="Century Gothic" w:cs="Century Gothic"/>
        </w:rPr>
        <w:t xml:space="preserve">Canada was asked to explain the implementation process of National </w:t>
      </w:r>
      <w:r w:rsidR="44A0BDDB" w:rsidRPr="7B7CA213">
        <w:rPr>
          <w:rFonts w:ascii="Century Gothic" w:eastAsia="Century Gothic" w:hAnsi="Century Gothic" w:cs="Century Gothic"/>
        </w:rPr>
        <w:t>A</w:t>
      </w:r>
      <w:r w:rsidRPr="7B7CA213">
        <w:rPr>
          <w:rFonts w:ascii="Century Gothic" w:eastAsia="Century Gothic" w:hAnsi="Century Gothic" w:cs="Century Gothic"/>
        </w:rPr>
        <w:t xml:space="preserve">ction </w:t>
      </w:r>
      <w:r w:rsidR="10C90EEB" w:rsidRPr="7B7CA213">
        <w:rPr>
          <w:rFonts w:ascii="Century Gothic" w:eastAsia="Century Gothic" w:hAnsi="Century Gothic" w:cs="Century Gothic"/>
        </w:rPr>
        <w:t>P</w:t>
      </w:r>
      <w:r w:rsidRPr="7B7CA213">
        <w:rPr>
          <w:rFonts w:ascii="Century Gothic" w:eastAsia="Century Gothic" w:hAnsi="Century Gothic" w:cs="Century Gothic"/>
        </w:rPr>
        <w:t xml:space="preserve">lan on combating violence against women. This included operational details </w:t>
      </w:r>
      <w:r w:rsidR="72E383B6" w:rsidRPr="7B7CA213">
        <w:rPr>
          <w:rFonts w:ascii="Century Gothic" w:eastAsia="Century Gothic" w:hAnsi="Century Gothic" w:cs="Century Gothic"/>
        </w:rPr>
        <w:t>on</w:t>
      </w:r>
      <w:r w:rsidRPr="7B7CA213">
        <w:rPr>
          <w:rFonts w:ascii="Century Gothic" w:eastAsia="Century Gothic" w:hAnsi="Century Gothic" w:cs="Century Gothic"/>
        </w:rPr>
        <w:t xml:space="preserve"> </w:t>
      </w:r>
      <w:r w:rsidR="12EBECA7" w:rsidRPr="7B7CA213">
        <w:rPr>
          <w:rFonts w:ascii="Century Gothic" w:eastAsia="Century Gothic" w:hAnsi="Century Gothic" w:cs="Century Gothic"/>
        </w:rPr>
        <w:t>specific allocations.</w:t>
      </w:r>
    </w:p>
    <w:p w14:paraId="463E5D01" w14:textId="079310D5" w:rsidR="7B7CA213" w:rsidRDefault="7B7CA213" w:rsidP="7B7CA213">
      <w:pPr>
        <w:rPr>
          <w:rFonts w:ascii="Century Gothic" w:eastAsia="Century Gothic" w:hAnsi="Century Gothic" w:cs="Century Gothic"/>
        </w:rPr>
      </w:pPr>
    </w:p>
    <w:p w14:paraId="2DEFC735" w14:textId="20734D31" w:rsidR="7B7CA213" w:rsidRDefault="7B7CA213">
      <w:pPr>
        <w:rPr>
          <w:rFonts w:hint="eastAsia"/>
        </w:rPr>
      </w:pPr>
      <w:r>
        <w:br w:type="page"/>
      </w:r>
    </w:p>
    <w:p w14:paraId="68610633" w14:textId="119859AC" w:rsidR="087EA5EB" w:rsidRDefault="087EA5EB" w:rsidP="362ED30B">
      <w:pPr>
        <w:pStyle w:val="Heading1"/>
        <w:rPr>
          <w:rFonts w:ascii="Century Gothic" w:eastAsia="Century Gothic" w:hAnsi="Century Gothic" w:cs="Century Gothic"/>
          <w:b/>
          <w:bCs/>
        </w:rPr>
      </w:pPr>
      <w:bookmarkStart w:id="10" w:name="_Toc659992832"/>
      <w:r w:rsidRPr="452CDC45">
        <w:rPr>
          <w:rFonts w:ascii="Century Gothic" w:eastAsia="Century Gothic" w:hAnsi="Century Gothic" w:cs="Century Gothic"/>
          <w:b/>
          <w:bCs/>
        </w:rPr>
        <w:lastRenderedPageBreak/>
        <w:t>Responses</w:t>
      </w:r>
      <w:bookmarkEnd w:id="10"/>
    </w:p>
    <w:p w14:paraId="2528282B" w14:textId="46CFC488" w:rsidR="00009F0D" w:rsidRDefault="00009F0D" w:rsidP="7B7CA213">
      <w:pPr>
        <w:pStyle w:val="Heading2"/>
        <w:rPr>
          <w:rFonts w:ascii="Century Gothic" w:eastAsia="Century Gothic" w:hAnsi="Century Gothic" w:cs="Century Gothic"/>
        </w:rPr>
      </w:pPr>
      <w:bookmarkStart w:id="11" w:name="_Toc134977169"/>
      <w:r>
        <w:t>5. Persons Deprived of Their Liberty</w:t>
      </w:r>
      <w:bookmarkEnd w:id="11"/>
      <w:r>
        <w:t xml:space="preserve">   </w:t>
      </w:r>
    </w:p>
    <w:p w14:paraId="79335D37" w14:textId="4B34681C" w:rsidR="00009F0D" w:rsidRDefault="00009F0D" w:rsidP="3F630973">
      <w:pPr>
        <w:rPr>
          <w:rFonts w:ascii="Century Gothic" w:eastAsia="Century Gothic" w:hAnsi="Century Gothic" w:cs="Century Gothic"/>
        </w:rPr>
      </w:pPr>
      <w:r w:rsidRPr="3F630973">
        <w:rPr>
          <w:rFonts w:ascii="Century Gothic" w:eastAsia="Century Gothic" w:hAnsi="Century Gothic" w:cs="Century Gothic"/>
        </w:rPr>
        <w:t xml:space="preserve">The treatment of incarcerated Indigenous women with disabilities in Canada is a significant concern as they are disproportionately represented and face higher rates of victimization. As of April 2022, Indigenous women accounted for 50% of all federally incarcerated women. In addition, Indigenous women accounted for 65% of sentenced women in maximum security custodial </w:t>
      </w:r>
      <w:r w:rsidR="38CCB2EF" w:rsidRPr="3F630973">
        <w:rPr>
          <w:rFonts w:ascii="Century Gothic" w:eastAsia="Century Gothic" w:hAnsi="Century Gothic" w:cs="Century Gothic"/>
        </w:rPr>
        <w:t>centers</w:t>
      </w:r>
      <w:r w:rsidRPr="3F630973">
        <w:rPr>
          <w:rFonts w:ascii="Century Gothic" w:eastAsia="Century Gothic" w:hAnsi="Century Gothic" w:cs="Century Gothic"/>
        </w:rPr>
        <w:t xml:space="preserve"> across Canada.</w:t>
      </w:r>
      <w:r w:rsidRPr="3F630973">
        <w:rPr>
          <w:rStyle w:val="FootnoteReference"/>
          <w:rFonts w:ascii="Century Gothic" w:eastAsia="Century Gothic" w:hAnsi="Century Gothic" w:cs="Century Gothic"/>
        </w:rPr>
        <w:footnoteReference w:id="2"/>
      </w:r>
      <w:r w:rsidRPr="3F630973">
        <w:rPr>
          <w:rFonts w:ascii="Century Gothic" w:eastAsia="Century Gothic" w:hAnsi="Century Gothic" w:cs="Century Gothic"/>
        </w:rPr>
        <w:t xml:space="preserve">  </w:t>
      </w:r>
    </w:p>
    <w:p w14:paraId="1B85EBE1" w14:textId="2F41DE3C" w:rsidR="00009F0D" w:rsidRDefault="00009F0D" w:rsidP="16220B0D">
      <w:pPr>
        <w:rPr>
          <w:rFonts w:ascii="Century Gothic" w:eastAsia="Century Gothic" w:hAnsi="Century Gothic" w:cs="Century Gothic"/>
        </w:rPr>
      </w:pPr>
      <w:r w:rsidRPr="362ED30B">
        <w:rPr>
          <w:rFonts w:ascii="Century Gothic" w:eastAsia="Century Gothic" w:hAnsi="Century Gothic" w:cs="Century Gothic"/>
        </w:rPr>
        <w:t>In terms of the incarcerated population in Canada, burgeoning research around women with traumatic brain injury (TBI) indicates a high percentage of women offenders with this condition.</w:t>
      </w:r>
      <w:r w:rsidRPr="362ED30B">
        <w:rPr>
          <w:rStyle w:val="FootnoteReference"/>
          <w:rFonts w:ascii="Century Gothic" w:eastAsia="Century Gothic" w:hAnsi="Century Gothic" w:cs="Century Gothic"/>
        </w:rPr>
        <w:footnoteReference w:id="3"/>
      </w:r>
      <w:r w:rsidRPr="362ED30B">
        <w:rPr>
          <w:rFonts w:ascii="Century Gothic" w:eastAsia="Century Gothic" w:hAnsi="Century Gothic" w:cs="Century Gothic"/>
        </w:rPr>
        <w:t xml:space="preserve"> As well, Canadian research also highlights the role of prisons in incarcerating Indigenous people and people with psychiatric disabilities.</w:t>
      </w:r>
      <w:r w:rsidRPr="362ED30B">
        <w:rPr>
          <w:rStyle w:val="FootnoteReference"/>
          <w:rFonts w:ascii="Century Gothic" w:eastAsia="Century Gothic" w:hAnsi="Century Gothic" w:cs="Century Gothic"/>
        </w:rPr>
        <w:footnoteReference w:id="4"/>
      </w:r>
      <w:r w:rsidRPr="362ED30B">
        <w:rPr>
          <w:rFonts w:ascii="Century Gothic" w:eastAsia="Century Gothic" w:hAnsi="Century Gothic" w:cs="Century Gothic"/>
        </w:rPr>
        <w:t xml:space="preserve"> It is important to note that Indigenous women with disabilities are more likely to be victims of abuse or become disabled due to gender-based and colonial violence, which increases their risk of becoming incarcerated. The majority of women in Indigenous shelters for reasons of abuse were escaping intimate partner violence and represented a large proportion of the residents in shelters due to abuse.</w:t>
      </w:r>
      <w:r w:rsidRPr="362ED30B">
        <w:rPr>
          <w:rStyle w:val="FootnoteReference"/>
          <w:rFonts w:ascii="Century Gothic" w:eastAsia="Century Gothic" w:hAnsi="Century Gothic" w:cs="Century Gothic"/>
        </w:rPr>
        <w:footnoteReference w:id="5"/>
      </w:r>
      <w:r w:rsidRPr="362ED30B">
        <w:rPr>
          <w:rFonts w:ascii="Century Gothic" w:eastAsia="Century Gothic" w:hAnsi="Century Gothic" w:cs="Century Gothic"/>
        </w:rPr>
        <w:t xml:space="preserve"> From 2015 to 2020, the average homicide rate involving Indigenous victims was six times higher than the homicide rate involving non-Indigenous victims and nearly half of Indigenous women aged 15 and older who were murdered were killed by an intimate partner.</w:t>
      </w:r>
      <w:r w:rsidRPr="362ED30B">
        <w:rPr>
          <w:rStyle w:val="FootnoteReference"/>
          <w:rFonts w:ascii="Century Gothic" w:eastAsia="Century Gothic" w:hAnsi="Century Gothic" w:cs="Century Gothic"/>
        </w:rPr>
        <w:footnoteReference w:id="6"/>
      </w:r>
      <w:r w:rsidRPr="362ED30B">
        <w:rPr>
          <w:rFonts w:ascii="Century Gothic" w:eastAsia="Century Gothic" w:hAnsi="Century Gothic" w:cs="Century Gothic"/>
        </w:rPr>
        <w:t xml:space="preserve"> </w:t>
      </w:r>
    </w:p>
    <w:p w14:paraId="4BD8CB2F" w14:textId="334303BD"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These high rates of victimization and gender-based violence are a significant cause of disability for Indigenous women. Studies have shown that having a disability </w:t>
      </w:r>
      <w:r w:rsidR="3C429AE7" w:rsidRPr="362ED30B">
        <w:rPr>
          <w:rFonts w:ascii="Century Gothic" w:eastAsia="Century Gothic" w:hAnsi="Century Gothic" w:cs="Century Gothic"/>
        </w:rPr>
        <w:t>increases</w:t>
      </w:r>
      <w:r w:rsidRPr="362ED30B">
        <w:rPr>
          <w:rFonts w:ascii="Century Gothic" w:eastAsia="Century Gothic" w:hAnsi="Century Gothic" w:cs="Century Gothic"/>
        </w:rPr>
        <w:t xml:space="preserve"> </w:t>
      </w:r>
      <w:r w:rsidR="207618D4" w:rsidRPr="362ED30B">
        <w:rPr>
          <w:rFonts w:ascii="Century Gothic" w:eastAsia="Century Gothic" w:hAnsi="Century Gothic" w:cs="Century Gothic"/>
        </w:rPr>
        <w:t>the risk</w:t>
      </w:r>
      <w:r w:rsidRPr="362ED30B">
        <w:rPr>
          <w:rFonts w:ascii="Century Gothic" w:eastAsia="Century Gothic" w:hAnsi="Century Gothic" w:cs="Century Gothic"/>
        </w:rPr>
        <w:t xml:space="preserve"> of incarceration, especially if they are racialized. In a recent study in the US, sixty-six percent of incarcerated people self-reported a </w:t>
      </w:r>
      <w:r w:rsidRPr="362ED30B">
        <w:rPr>
          <w:rFonts w:ascii="Century Gothic" w:eastAsia="Century Gothic" w:hAnsi="Century Gothic" w:cs="Century Gothic"/>
        </w:rPr>
        <w:lastRenderedPageBreak/>
        <w:t>disability.</w:t>
      </w:r>
      <w:r w:rsidRPr="362ED30B">
        <w:rPr>
          <w:rStyle w:val="FootnoteReference"/>
          <w:rFonts w:ascii="Century Gothic" w:eastAsia="Century Gothic" w:hAnsi="Century Gothic" w:cs="Century Gothic"/>
        </w:rPr>
        <w:footnoteReference w:id="7"/>
      </w:r>
      <w:r w:rsidRPr="362ED30B">
        <w:rPr>
          <w:rFonts w:ascii="Century Gothic" w:eastAsia="Century Gothic" w:hAnsi="Century Gothic" w:cs="Century Gothic"/>
        </w:rPr>
        <w:t xml:space="preserve"> This data reflects how the lack of services and healthcare Indigenous women with disabilities experiencing gender-based violence leads to these disproportionate rates of incarceration. Significant gaps remain in equitable and adequate services, healthcare and access to justice for Indigenous women with disabilities in Canada which has a significant impact on the liberty of Indigenous women with disabilities in Canada.  </w:t>
      </w:r>
    </w:p>
    <w:p w14:paraId="2E6CFA80" w14:textId="3C9249C4" w:rsidR="3F630973" w:rsidRDefault="00009F0D" w:rsidP="3F630973">
      <w:pPr>
        <w:rPr>
          <w:rFonts w:ascii="Century Gothic" w:eastAsia="Century Gothic" w:hAnsi="Century Gothic" w:cs="Century Gothic"/>
        </w:rPr>
      </w:pPr>
      <w:r w:rsidRPr="362ED30B">
        <w:rPr>
          <w:rFonts w:ascii="Century Gothic" w:eastAsia="Century Gothic" w:hAnsi="Century Gothic" w:cs="Century Gothic"/>
        </w:rPr>
        <w:t>Incarceration and various forms of congregate living remain a critical issue with respect to women with disabilities and C</w:t>
      </w:r>
      <w:r w:rsidR="00A65BCB">
        <w:rPr>
          <w:rFonts w:ascii="Century Gothic" w:eastAsia="Century Gothic" w:hAnsi="Century Gothic" w:cs="Century Gothic"/>
        </w:rPr>
        <w:t>OVID</w:t>
      </w:r>
      <w:r w:rsidRPr="362ED30B">
        <w:rPr>
          <w:rFonts w:ascii="Century Gothic" w:eastAsia="Century Gothic" w:hAnsi="Century Gothic" w:cs="Century Gothic"/>
        </w:rPr>
        <w:t>-19. As of mid-May 2020, 333 inmates in federal prisons had tested positive for C</w:t>
      </w:r>
      <w:r w:rsidR="00A65BCB">
        <w:rPr>
          <w:rFonts w:ascii="Century Gothic" w:eastAsia="Century Gothic" w:hAnsi="Century Gothic" w:cs="Century Gothic"/>
        </w:rPr>
        <w:t>OVID</w:t>
      </w:r>
      <w:r w:rsidRPr="362ED30B">
        <w:rPr>
          <w:rFonts w:ascii="Century Gothic" w:eastAsia="Century Gothic" w:hAnsi="Century Gothic" w:cs="Century Gothic"/>
        </w:rPr>
        <w:t xml:space="preserve">-19 prompting several human rights organizations to file </w:t>
      </w:r>
      <w:bookmarkStart w:id="12" w:name="_Int_tW84VMz4"/>
      <w:r w:rsidRPr="362ED30B">
        <w:rPr>
          <w:rFonts w:ascii="Century Gothic" w:eastAsia="Century Gothic" w:hAnsi="Century Gothic" w:cs="Century Gothic"/>
        </w:rPr>
        <w:t>suit</w:t>
      </w:r>
      <w:bookmarkEnd w:id="12"/>
      <w:r w:rsidRPr="362ED30B">
        <w:rPr>
          <w:rFonts w:ascii="Century Gothic" w:eastAsia="Century Gothic" w:hAnsi="Century Gothic" w:cs="Century Gothic"/>
        </w:rPr>
        <w:t xml:space="preserve"> for the government to </w:t>
      </w:r>
      <w:proofErr w:type="gramStart"/>
      <w:r w:rsidRPr="362ED30B">
        <w:rPr>
          <w:rFonts w:ascii="Century Gothic" w:eastAsia="Century Gothic" w:hAnsi="Century Gothic" w:cs="Century Gothic"/>
        </w:rPr>
        <w:t>take action</w:t>
      </w:r>
      <w:proofErr w:type="gramEnd"/>
      <w:r w:rsidRPr="362ED30B">
        <w:rPr>
          <w:rFonts w:ascii="Century Gothic" w:eastAsia="Century Gothic" w:hAnsi="Century Gothic" w:cs="Century Gothic"/>
        </w:rPr>
        <w:t>.</w:t>
      </w:r>
      <w:r w:rsidRPr="362ED30B">
        <w:rPr>
          <w:rStyle w:val="FootnoteReference"/>
          <w:rFonts w:ascii="Century Gothic" w:eastAsia="Century Gothic" w:hAnsi="Century Gothic" w:cs="Century Gothic"/>
        </w:rPr>
        <w:footnoteReference w:id="8"/>
      </w:r>
      <w:r w:rsidRPr="362ED30B">
        <w:rPr>
          <w:rFonts w:ascii="Century Gothic" w:eastAsia="Century Gothic" w:hAnsi="Century Gothic" w:cs="Century Gothic"/>
        </w:rPr>
        <w:t xml:space="preserve"> Congregate living sites, including Long Term Care (LTC) facilities and group homes have also been at the </w:t>
      </w:r>
      <w:r w:rsidR="4BEDB3CD" w:rsidRPr="362ED30B">
        <w:rPr>
          <w:rFonts w:ascii="Century Gothic" w:eastAsia="Century Gothic" w:hAnsi="Century Gothic" w:cs="Century Gothic"/>
        </w:rPr>
        <w:t>center</w:t>
      </w:r>
      <w:r w:rsidRPr="362ED30B">
        <w:rPr>
          <w:rFonts w:ascii="Century Gothic" w:eastAsia="Century Gothic" w:hAnsi="Century Gothic" w:cs="Century Gothic"/>
        </w:rPr>
        <w:t xml:space="preserve"> of Canada’s worst C</w:t>
      </w:r>
      <w:r w:rsidR="00A65BCB">
        <w:rPr>
          <w:rFonts w:ascii="Century Gothic" w:eastAsia="Century Gothic" w:hAnsi="Century Gothic" w:cs="Century Gothic"/>
        </w:rPr>
        <w:t>OVID</w:t>
      </w:r>
      <w:r w:rsidRPr="362ED30B">
        <w:rPr>
          <w:rFonts w:ascii="Century Gothic" w:eastAsia="Century Gothic" w:hAnsi="Century Gothic" w:cs="Century Gothic"/>
        </w:rPr>
        <w:t>-19 outbreaks. In Ontario, it is estimated that 2,900 individuals with intellectual disabilities are being housed in long-term care facilities, often because there is a lack of appropriate resources and choice.</w:t>
      </w:r>
      <w:r w:rsidRPr="362ED30B">
        <w:rPr>
          <w:rStyle w:val="FootnoteReference"/>
          <w:rFonts w:ascii="Century Gothic" w:eastAsia="Century Gothic" w:hAnsi="Century Gothic" w:cs="Century Gothic"/>
        </w:rPr>
        <w:footnoteReference w:id="9"/>
      </w:r>
      <w:r w:rsidRPr="362ED30B">
        <w:rPr>
          <w:rFonts w:ascii="Century Gothic" w:eastAsia="Century Gothic" w:hAnsi="Century Gothic" w:cs="Century Gothic"/>
        </w:rPr>
        <w:t xml:space="preserve"> While globally more men than women have died as the result of C</w:t>
      </w:r>
      <w:r w:rsidR="00A65BCB">
        <w:rPr>
          <w:rFonts w:ascii="Century Gothic" w:eastAsia="Century Gothic" w:hAnsi="Century Gothic" w:cs="Century Gothic"/>
        </w:rPr>
        <w:t>OVID</w:t>
      </w:r>
      <w:r w:rsidRPr="362ED30B">
        <w:rPr>
          <w:rFonts w:ascii="Century Gothic" w:eastAsia="Century Gothic" w:hAnsi="Century Gothic" w:cs="Century Gothic"/>
        </w:rPr>
        <w:t>-19, Canada is an exception. In Canada, more women have been diagnosed and died from C</w:t>
      </w:r>
      <w:r w:rsidR="00A65BCB">
        <w:rPr>
          <w:rFonts w:ascii="Century Gothic" w:eastAsia="Century Gothic" w:hAnsi="Century Gothic" w:cs="Century Gothic"/>
        </w:rPr>
        <w:t>OVID-19</w:t>
      </w:r>
      <w:r w:rsidRPr="362ED30B">
        <w:rPr>
          <w:rFonts w:ascii="Century Gothic" w:eastAsia="Century Gothic" w:hAnsi="Century Gothic" w:cs="Century Gothic"/>
        </w:rPr>
        <w:t xml:space="preserve"> than men: 55% of confirmed cases are women and 53% of deaths are women. Quebec and Ontario (which make up the bulk of cases) reflect this as well with 57% of those infected in Ontario and 60% of those in Quebec are women.</w:t>
      </w:r>
      <w:r w:rsidRPr="362ED30B">
        <w:rPr>
          <w:rStyle w:val="FootnoteReference"/>
          <w:rFonts w:ascii="Century Gothic" w:eastAsia="Century Gothic" w:hAnsi="Century Gothic" w:cs="Century Gothic"/>
        </w:rPr>
        <w:footnoteReference w:id="10"/>
      </w:r>
      <w:r w:rsidRPr="362ED30B">
        <w:rPr>
          <w:rFonts w:ascii="Century Gothic" w:eastAsia="Century Gothic" w:hAnsi="Century Gothic" w:cs="Century Gothic"/>
        </w:rPr>
        <w:t xml:space="preserve"> In part, this reflects the higher number of women in LTC as well as higher risk for women with disabilities in LTC facilities.  </w:t>
      </w:r>
    </w:p>
    <w:p w14:paraId="59FC1F83" w14:textId="3F718963" w:rsidR="00685237" w:rsidRDefault="00685237" w:rsidP="3F630973">
      <w:pPr>
        <w:rPr>
          <w:rFonts w:ascii="Century Gothic" w:eastAsia="Century Gothic" w:hAnsi="Century Gothic" w:cs="Century Gothic"/>
        </w:rPr>
      </w:pPr>
    </w:p>
    <w:p w14:paraId="4336E232" w14:textId="77777777" w:rsidR="00A65BCB" w:rsidRDefault="00A65BCB">
      <w:pPr>
        <w:rPr>
          <w:rFonts w:ascii="Century Gothic" w:eastAsia="Century Gothic" w:hAnsi="Century Gothic" w:cs="Century Gothic"/>
          <w:color w:val="0F4761" w:themeColor="accent1" w:themeShade="BF"/>
          <w:sz w:val="32"/>
          <w:szCs w:val="32"/>
        </w:rPr>
      </w:pPr>
      <w:bookmarkStart w:id="13" w:name="_Toc361805412"/>
      <w:r>
        <w:rPr>
          <w:rFonts w:ascii="Century Gothic" w:eastAsia="Century Gothic" w:hAnsi="Century Gothic" w:cs="Century Gothic"/>
        </w:rPr>
        <w:br w:type="page"/>
      </w:r>
    </w:p>
    <w:p w14:paraId="61C64E32" w14:textId="5324BB6B" w:rsidR="00009F0D" w:rsidRDefault="00009F0D" w:rsidP="3F630973">
      <w:pPr>
        <w:pStyle w:val="Heading2"/>
        <w:rPr>
          <w:rFonts w:ascii="Century Gothic" w:eastAsia="Century Gothic" w:hAnsi="Century Gothic" w:cs="Century Gothic"/>
        </w:rPr>
      </w:pPr>
      <w:r w:rsidRPr="452CDC45">
        <w:rPr>
          <w:rFonts w:ascii="Century Gothic" w:eastAsia="Century Gothic" w:hAnsi="Century Gothic" w:cs="Century Gothic"/>
        </w:rPr>
        <w:lastRenderedPageBreak/>
        <w:t>6.</w:t>
      </w:r>
      <w:r w:rsidR="389036B3" w:rsidRPr="452CDC45">
        <w:rPr>
          <w:rFonts w:ascii="Century Gothic" w:eastAsia="Century Gothic" w:hAnsi="Century Gothic" w:cs="Century Gothic"/>
        </w:rPr>
        <w:t xml:space="preserve"> </w:t>
      </w:r>
      <w:r w:rsidRPr="452CDC45">
        <w:rPr>
          <w:rFonts w:ascii="Century Gothic" w:eastAsia="Century Gothic" w:hAnsi="Century Gothic" w:cs="Century Gothic"/>
        </w:rPr>
        <w:t>Women with Disabilities</w:t>
      </w:r>
      <w:bookmarkEnd w:id="13"/>
    </w:p>
    <w:p w14:paraId="273EE3BB" w14:textId="44D046B2" w:rsidR="3F630973" w:rsidRDefault="3F630973" w:rsidP="3F630973">
      <w:pPr>
        <w:rPr>
          <w:rFonts w:ascii="Century Gothic" w:eastAsia="Century Gothic" w:hAnsi="Century Gothic" w:cs="Century Gothic"/>
        </w:rPr>
      </w:pPr>
    </w:p>
    <w:p w14:paraId="025E49E9" w14:textId="5FDE3934"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Released at the end of 2023 Statistics Canada has shown that </w:t>
      </w:r>
      <w:r w:rsidR="60809572" w:rsidRPr="362ED30B">
        <w:rPr>
          <w:rFonts w:ascii="Century Gothic" w:eastAsia="Century Gothic" w:hAnsi="Century Gothic" w:cs="Century Gothic"/>
        </w:rPr>
        <w:t xml:space="preserve">nearly </w:t>
      </w:r>
      <w:r w:rsidRPr="362ED30B">
        <w:rPr>
          <w:rFonts w:ascii="Century Gothic" w:eastAsia="Century Gothic" w:hAnsi="Century Gothic" w:cs="Century Gothic"/>
        </w:rPr>
        <w:t>one third or 30% of all women in Canada live with a disability. “We also know that at different intersections specific groups, such as Indigenous, Black and other racialized women and gender-diverse people experience even higher rates of disability within their respective communities,” Statistics Canada goes on to recognize.</w:t>
      </w:r>
      <w:r w:rsidRPr="362ED30B">
        <w:rPr>
          <w:rStyle w:val="FootnoteReference"/>
          <w:rFonts w:ascii="Century Gothic" w:eastAsia="Century Gothic" w:hAnsi="Century Gothic" w:cs="Century Gothic"/>
        </w:rPr>
        <w:footnoteReference w:id="11"/>
      </w:r>
      <w:r w:rsidRPr="362ED30B">
        <w:rPr>
          <w:rFonts w:ascii="Century Gothic" w:eastAsia="Century Gothic" w:hAnsi="Century Gothic" w:cs="Century Gothic"/>
        </w:rPr>
        <w:t xml:space="preserve"> </w:t>
      </w:r>
      <w:r w:rsidR="49264AF0" w:rsidRPr="362ED30B">
        <w:rPr>
          <w:rFonts w:ascii="Century Gothic" w:eastAsia="Century Gothic" w:hAnsi="Century Gothic" w:cs="Century Gothic"/>
        </w:rPr>
        <w:t xml:space="preserve">Women with disabilities </w:t>
      </w:r>
      <w:r w:rsidR="06E5AA47" w:rsidRPr="362ED30B">
        <w:rPr>
          <w:rFonts w:ascii="Century Gothic" w:eastAsia="Century Gothic" w:hAnsi="Century Gothic" w:cs="Century Gothic"/>
        </w:rPr>
        <w:t xml:space="preserve">in Canada </w:t>
      </w:r>
      <w:r w:rsidR="49264AF0" w:rsidRPr="362ED30B">
        <w:rPr>
          <w:rFonts w:ascii="Century Gothic" w:eastAsia="Century Gothic" w:hAnsi="Century Gothic" w:cs="Century Gothic"/>
        </w:rPr>
        <w:t>face high rates of gender-based violence</w:t>
      </w:r>
      <w:r w:rsidR="2401D2CE" w:rsidRPr="362ED30B">
        <w:rPr>
          <w:rFonts w:ascii="Century Gothic" w:eastAsia="Century Gothic" w:hAnsi="Century Gothic" w:cs="Century Gothic"/>
        </w:rPr>
        <w:t xml:space="preserve"> and</w:t>
      </w:r>
      <w:r w:rsidR="49264AF0" w:rsidRPr="362ED30B">
        <w:rPr>
          <w:rFonts w:ascii="Century Gothic" w:eastAsia="Century Gothic" w:hAnsi="Century Gothic" w:cs="Century Gothic"/>
        </w:rPr>
        <w:t xml:space="preserve"> barriers to healthcare and services</w:t>
      </w:r>
      <w:r w:rsidR="5990A7E2" w:rsidRPr="362ED30B">
        <w:rPr>
          <w:rFonts w:ascii="Century Gothic" w:eastAsia="Century Gothic" w:hAnsi="Century Gothic" w:cs="Century Gothic"/>
        </w:rPr>
        <w:t>, which puts them at higher risk of opting for Medical Assistance in Dying due to unmet needs, lack of services, and</w:t>
      </w:r>
      <w:r w:rsidR="595B5C9A" w:rsidRPr="362ED30B">
        <w:rPr>
          <w:rFonts w:ascii="Century Gothic" w:eastAsia="Century Gothic" w:hAnsi="Century Gothic" w:cs="Century Gothic"/>
        </w:rPr>
        <w:t xml:space="preserve"> the outcomes of gender-based violence. </w:t>
      </w:r>
    </w:p>
    <w:p w14:paraId="691610E5" w14:textId="1923BF92" w:rsidR="00009F0D" w:rsidRDefault="4FC93410" w:rsidP="3F630973">
      <w:pPr>
        <w:rPr>
          <w:rFonts w:ascii="Century Gothic" w:eastAsia="Century Gothic" w:hAnsi="Century Gothic" w:cs="Century Gothic"/>
        </w:rPr>
      </w:pPr>
      <w:r w:rsidRPr="362ED30B">
        <w:rPr>
          <w:rFonts w:ascii="Century Gothic" w:eastAsia="Century Gothic" w:hAnsi="Century Gothic" w:cs="Century Gothic"/>
        </w:rPr>
        <w:t>W</w:t>
      </w:r>
      <w:r w:rsidR="00009F0D" w:rsidRPr="362ED30B">
        <w:rPr>
          <w:rFonts w:ascii="Century Gothic" w:eastAsia="Century Gothic" w:hAnsi="Century Gothic" w:cs="Century Gothic"/>
        </w:rPr>
        <w:t>omen</w:t>
      </w:r>
      <w:r w:rsidR="56047431" w:rsidRPr="362ED30B">
        <w:rPr>
          <w:rFonts w:ascii="Century Gothic" w:eastAsia="Century Gothic" w:hAnsi="Century Gothic" w:cs="Century Gothic"/>
        </w:rPr>
        <w:t xml:space="preserve">, girls and gender-diverse people </w:t>
      </w:r>
      <w:r w:rsidR="00009F0D" w:rsidRPr="362ED30B">
        <w:rPr>
          <w:rFonts w:ascii="Century Gothic" w:eastAsia="Century Gothic" w:hAnsi="Century Gothic" w:cs="Century Gothic"/>
        </w:rPr>
        <w:t>with disabilities are disproportionately affected by gender-based violence</w:t>
      </w:r>
      <w:r w:rsidR="3AC83F1F" w:rsidRPr="362ED30B">
        <w:rPr>
          <w:rFonts w:ascii="Century Gothic" w:eastAsia="Century Gothic" w:hAnsi="Century Gothic" w:cs="Century Gothic"/>
        </w:rPr>
        <w:t xml:space="preserve"> and gender-based violence is a leading cause of disability for women in Canada, especially</w:t>
      </w:r>
      <w:r w:rsidR="7E607196" w:rsidRPr="362ED30B">
        <w:rPr>
          <w:rFonts w:ascii="Century Gothic" w:eastAsia="Century Gothic" w:hAnsi="Century Gothic" w:cs="Century Gothic"/>
        </w:rPr>
        <w:t xml:space="preserve"> for</w:t>
      </w:r>
      <w:r w:rsidR="3AC83F1F" w:rsidRPr="362ED30B">
        <w:rPr>
          <w:rFonts w:ascii="Century Gothic" w:eastAsia="Century Gothic" w:hAnsi="Century Gothic" w:cs="Century Gothic"/>
        </w:rPr>
        <w:t xml:space="preserve"> Indigenous and Black women. </w:t>
      </w:r>
      <w:r w:rsidR="2B97294D" w:rsidRPr="362ED30B">
        <w:rPr>
          <w:rFonts w:ascii="Century Gothic" w:eastAsia="Century Gothic" w:hAnsi="Century Gothic" w:cs="Century Gothic"/>
        </w:rPr>
        <w:t xml:space="preserve">In 2018, </w:t>
      </w:r>
      <w:r w:rsidR="026C2706" w:rsidRPr="7B7CA213">
        <w:rPr>
          <w:rFonts w:ascii="Century Gothic" w:eastAsia="Century Gothic" w:hAnsi="Century Gothic" w:cs="Century Gothic"/>
        </w:rPr>
        <w:t>42% of Black women disclosed having experienced intimate partner violence or domestic violence</w:t>
      </w:r>
      <w:r w:rsidR="00009F0D" w:rsidRPr="7B7CA213">
        <w:rPr>
          <w:rStyle w:val="FootnoteReference"/>
          <w:rFonts w:ascii="Century Gothic" w:eastAsia="Century Gothic" w:hAnsi="Century Gothic" w:cs="Century Gothic"/>
        </w:rPr>
        <w:footnoteReference w:id="12"/>
      </w:r>
      <w:r w:rsidR="026C2706" w:rsidRPr="7B7CA213">
        <w:rPr>
          <w:rFonts w:ascii="Century Gothic" w:eastAsia="Century Gothic" w:hAnsi="Century Gothic" w:cs="Century Gothic"/>
        </w:rPr>
        <w:t xml:space="preserve">.  </w:t>
      </w:r>
      <w:r w:rsidR="00009F0D" w:rsidRPr="362ED30B">
        <w:rPr>
          <w:rFonts w:ascii="Century Gothic" w:eastAsia="Century Gothic" w:hAnsi="Century Gothic" w:cs="Century Gothic"/>
        </w:rPr>
        <w:t xml:space="preserve">The large majority (80%) of the women who were staying in Indigenous shelters for reasons of abuse were escaping intimate partner violence, </w:t>
      </w:r>
      <w:bookmarkStart w:id="14" w:name="_Int_v2BZvHW5"/>
      <w:r w:rsidR="00009F0D" w:rsidRPr="362ED30B">
        <w:rPr>
          <w:rFonts w:ascii="Century Gothic" w:eastAsia="Century Gothic" w:hAnsi="Century Gothic" w:cs="Century Gothic"/>
        </w:rPr>
        <w:t>similar to</w:t>
      </w:r>
      <w:bookmarkEnd w:id="14"/>
      <w:r w:rsidR="00009F0D" w:rsidRPr="362ED30B">
        <w:rPr>
          <w:rFonts w:ascii="Century Gothic" w:eastAsia="Century Gothic" w:hAnsi="Century Gothic" w:cs="Century Gothic"/>
        </w:rPr>
        <w:t xml:space="preserve"> what was reported among women residing in non-Indigenous shelters</w:t>
      </w:r>
      <w:r w:rsidR="660D8449" w:rsidRPr="362ED30B">
        <w:rPr>
          <w:rFonts w:ascii="Century Gothic" w:eastAsia="Century Gothic" w:hAnsi="Century Gothic" w:cs="Century Gothic"/>
        </w:rPr>
        <w:t xml:space="preserve"> </w:t>
      </w:r>
      <w:r w:rsidR="00009F0D" w:rsidRPr="362ED30B">
        <w:rPr>
          <w:rFonts w:ascii="Century Gothic" w:eastAsia="Century Gothic" w:hAnsi="Century Gothic" w:cs="Century Gothic"/>
        </w:rPr>
        <w:t>(84%). First Nations, Métis and Inuit women and children represented a large proportion of the residents in both Indigenous and non-Indigenous shelters for victims of abuse, relative to their representation in the overall Canadian population.</w:t>
      </w:r>
      <w:r w:rsidR="00009F0D" w:rsidRPr="362ED30B">
        <w:rPr>
          <w:rStyle w:val="FootnoteReference"/>
          <w:rFonts w:ascii="Century Gothic" w:eastAsia="Century Gothic" w:hAnsi="Century Gothic" w:cs="Century Gothic"/>
        </w:rPr>
        <w:footnoteReference w:id="13"/>
      </w:r>
      <w:r w:rsidR="00009F0D" w:rsidRPr="362ED30B">
        <w:rPr>
          <w:rFonts w:ascii="Century Gothic" w:eastAsia="Century Gothic" w:hAnsi="Century Gothic" w:cs="Century Gothic"/>
        </w:rPr>
        <w:t xml:space="preserve"> An intersectional analysis is critical to exposing how certain groups of women, girls and gender-diverse people with disabilities are disproportionately impacted by gender-based violence.  </w:t>
      </w:r>
    </w:p>
    <w:p w14:paraId="1F8F89B2" w14:textId="61048DA5" w:rsidR="1024BE82" w:rsidRDefault="1024BE82" w:rsidP="452CDC45">
      <w:pPr>
        <w:rPr>
          <w:rFonts w:ascii="Century Gothic" w:eastAsia="Century Gothic" w:hAnsi="Century Gothic" w:cs="Century Gothic"/>
        </w:rPr>
      </w:pPr>
      <w:r w:rsidRPr="7B7CA213">
        <w:rPr>
          <w:rFonts w:ascii="Century Gothic" w:eastAsia="Century Gothic" w:hAnsi="Century Gothic" w:cs="Century Gothic"/>
        </w:rPr>
        <w:t>Access to healthcare is a significant challenge</w:t>
      </w:r>
      <w:r w:rsidR="505417AE" w:rsidRPr="7B7CA213">
        <w:rPr>
          <w:rFonts w:ascii="Century Gothic" w:eastAsia="Century Gothic" w:hAnsi="Century Gothic" w:cs="Century Gothic"/>
        </w:rPr>
        <w:t xml:space="preserve"> for</w:t>
      </w:r>
      <w:r w:rsidRPr="7B7CA213">
        <w:rPr>
          <w:rFonts w:ascii="Century Gothic" w:eastAsia="Century Gothic" w:hAnsi="Century Gothic" w:cs="Century Gothic"/>
        </w:rPr>
        <w:t xml:space="preserve"> Black/African women+ with disabilities facing both systemic and interpersonal discrimination within healthcare systems.</w:t>
      </w:r>
      <w:r w:rsidRPr="7B7CA213">
        <w:rPr>
          <w:rStyle w:val="FootnoteReference"/>
          <w:rFonts w:ascii="Century Gothic" w:eastAsia="Century Gothic" w:hAnsi="Century Gothic" w:cs="Century Gothic"/>
        </w:rPr>
        <w:footnoteReference w:id="14"/>
      </w:r>
      <w:r w:rsidRPr="7B7CA213">
        <w:rPr>
          <w:rFonts w:ascii="Century Gothic" w:eastAsia="Century Gothic" w:hAnsi="Century Gothic" w:cs="Century Gothic"/>
        </w:rPr>
        <w:t xml:space="preserve"> The health outcomes of Black/African women+ with </w:t>
      </w:r>
      <w:r w:rsidRPr="7B7CA213">
        <w:rPr>
          <w:rFonts w:ascii="Century Gothic" w:eastAsia="Century Gothic" w:hAnsi="Century Gothic" w:cs="Century Gothic"/>
        </w:rPr>
        <w:lastRenderedPageBreak/>
        <w:t>disabilities are compromised due to a combination of limited healthcare access, environmental risk factors, and discrimination.</w:t>
      </w:r>
      <w:r w:rsidRPr="7B7CA213">
        <w:rPr>
          <w:rStyle w:val="FootnoteReference"/>
          <w:rFonts w:ascii="Century Gothic" w:eastAsia="Century Gothic" w:hAnsi="Century Gothic" w:cs="Century Gothic"/>
        </w:rPr>
        <w:footnoteReference w:id="15"/>
      </w:r>
      <w:r w:rsidRPr="7B7CA213">
        <w:rPr>
          <w:rFonts w:ascii="Century Gothic" w:eastAsia="Century Gothic" w:hAnsi="Century Gothic" w:cs="Century Gothic"/>
        </w:rPr>
        <w:t xml:space="preserve"> For instance, women+ with disabilities are more likely than those without disabilities to report having poorer health and less access to adequate healthcare. This issue is exacerbated for Black women+ and girls+ with disabilities, who face additional barriers due to systemic racism and socioeconomic disparities. Furthermore, Black women+ face a higher prevalence of health conditions such as heart disease, stroke, cancers, diabetes, maternal morbidities, and obesity.</w:t>
      </w:r>
      <w:r w:rsidRPr="7B7CA213">
        <w:rPr>
          <w:rStyle w:val="FootnoteReference"/>
          <w:rFonts w:ascii="Century Gothic" w:eastAsia="Century Gothic" w:hAnsi="Century Gothic" w:cs="Century Gothic"/>
        </w:rPr>
        <w:footnoteReference w:id="16"/>
      </w:r>
      <w:r w:rsidRPr="7B7CA213">
        <w:rPr>
          <w:rFonts w:ascii="Century Gothic" w:eastAsia="Century Gothic" w:hAnsi="Century Gothic" w:cs="Century Gothic"/>
        </w:rPr>
        <w:t xml:space="preserve"> These conditions are influenced by environmental factors, including living in areas with poor air quality, limited access to nutritious food, and inadequate recreational spaces for physical activity. Addressing social determinants of health through an intersectional lens is crucial for reducing disparities among equity-deprived groups. </w:t>
      </w:r>
    </w:p>
    <w:p w14:paraId="02D4C906" w14:textId="2C1B44F0" w:rsidR="1024BE82" w:rsidRDefault="00009F0D" w:rsidP="7B7CA213">
      <w:pPr>
        <w:rPr>
          <w:rFonts w:ascii="Century Gothic" w:eastAsia="Century Gothic" w:hAnsi="Century Gothic" w:cs="Century Gothic"/>
        </w:rPr>
      </w:pPr>
      <w:r w:rsidRPr="362ED30B">
        <w:rPr>
          <w:rFonts w:ascii="Century Gothic" w:eastAsia="Century Gothic" w:hAnsi="Century Gothic" w:cs="Century Gothic"/>
        </w:rPr>
        <w:t>Since Medical Assistance in Dying was decriminalized by the Canadian Parliament in 2016, the implementation has been fraught with ethical challenges.</w:t>
      </w:r>
      <w:r w:rsidR="1024BE82" w:rsidRPr="362ED30B">
        <w:rPr>
          <w:rStyle w:val="FootnoteReference"/>
          <w:rFonts w:ascii="Century Gothic" w:eastAsia="Century Gothic" w:hAnsi="Century Gothic" w:cs="Century Gothic"/>
        </w:rPr>
        <w:footnoteReference w:id="17"/>
      </w:r>
      <w:r w:rsidR="75F7CA9D" w:rsidRPr="362ED30B">
        <w:rPr>
          <w:rFonts w:ascii="Century Gothic" w:eastAsia="Century Gothic" w:hAnsi="Century Gothic" w:cs="Century Gothic"/>
        </w:rPr>
        <w:t xml:space="preserve"> </w:t>
      </w:r>
      <w:r w:rsidRPr="362ED30B">
        <w:rPr>
          <w:rFonts w:ascii="Century Gothic" w:eastAsia="Century Gothic" w:hAnsi="Century Gothic" w:cs="Century Gothic"/>
        </w:rPr>
        <w:t xml:space="preserve">In just six years, the number of deaths from euthanasia or </w:t>
      </w:r>
      <w:proofErr w:type="spellStart"/>
      <w:r w:rsidRPr="362ED30B">
        <w:rPr>
          <w:rFonts w:ascii="Century Gothic" w:eastAsia="Century Gothic" w:hAnsi="Century Gothic" w:cs="Century Gothic"/>
        </w:rPr>
        <w:t>MAiD</w:t>
      </w:r>
      <w:proofErr w:type="spellEnd"/>
      <w:r w:rsidRPr="362ED30B">
        <w:rPr>
          <w:rFonts w:ascii="Century Gothic" w:eastAsia="Century Gothic" w:hAnsi="Century Gothic" w:cs="Century Gothic"/>
        </w:rPr>
        <w:t xml:space="preserve"> increased thirteenfold, from 1,018 deaths in 2016 to over 13,200 deaths in 2022. The 2021 federal report shows a 32.4% increase in </w:t>
      </w:r>
      <w:proofErr w:type="spellStart"/>
      <w:r w:rsidRPr="362ED30B">
        <w:rPr>
          <w:rFonts w:ascii="Century Gothic" w:eastAsia="Century Gothic" w:hAnsi="Century Gothic" w:cs="Century Gothic"/>
        </w:rPr>
        <w:t>MAiD</w:t>
      </w:r>
      <w:proofErr w:type="spellEnd"/>
      <w:r w:rsidRPr="362ED30B">
        <w:rPr>
          <w:rFonts w:ascii="Century Gothic" w:eastAsia="Century Gothic" w:hAnsi="Century Gothic" w:cs="Century Gothic"/>
        </w:rPr>
        <w:t xml:space="preserve"> in just one year, 2021 over 2020.  More Canadians die by euthanasia than from liver disease, Alzheimer’s, diabetes, or pneumonia.</w:t>
      </w:r>
      <w:r w:rsidR="1024BE82" w:rsidRPr="362ED30B">
        <w:rPr>
          <w:rStyle w:val="FootnoteReference"/>
          <w:rFonts w:ascii="Century Gothic" w:eastAsia="Century Gothic" w:hAnsi="Century Gothic" w:cs="Century Gothic"/>
        </w:rPr>
        <w:footnoteReference w:id="18"/>
      </w:r>
      <w:r w:rsidRPr="362ED30B">
        <w:rPr>
          <w:rFonts w:ascii="Century Gothic" w:eastAsia="Century Gothic" w:hAnsi="Century Gothic" w:cs="Century Gothic"/>
        </w:rPr>
        <w:t xml:space="preserve"> In fact, </w:t>
      </w:r>
      <w:proofErr w:type="spellStart"/>
      <w:r w:rsidRPr="362ED30B">
        <w:rPr>
          <w:rFonts w:ascii="Century Gothic" w:eastAsia="Century Gothic" w:hAnsi="Century Gothic" w:cs="Century Gothic"/>
        </w:rPr>
        <w:t>MAiD</w:t>
      </w:r>
      <w:proofErr w:type="spellEnd"/>
      <w:r w:rsidRPr="362ED30B">
        <w:rPr>
          <w:rFonts w:ascii="Century Gothic" w:eastAsia="Century Gothic" w:hAnsi="Century Gothic" w:cs="Century Gothic"/>
        </w:rPr>
        <w:t xml:space="preserve"> is now effectively tied as the fifth leading cause of death in the country.</w:t>
      </w:r>
      <w:r w:rsidR="1024BE82" w:rsidRPr="362ED30B">
        <w:rPr>
          <w:rStyle w:val="FootnoteReference"/>
          <w:rFonts w:ascii="Century Gothic" w:eastAsia="Century Gothic" w:hAnsi="Century Gothic" w:cs="Century Gothic"/>
        </w:rPr>
        <w:footnoteReference w:id="19"/>
      </w:r>
      <w:r w:rsidRPr="362ED30B">
        <w:rPr>
          <w:rFonts w:ascii="Century Gothic" w:eastAsia="Century Gothic" w:hAnsi="Century Gothic" w:cs="Century Gothic"/>
        </w:rPr>
        <w:t xml:space="preserve"> In comparison, California legalized Medical Assistance in Dying in the same year. “Both [Canada and California] </w:t>
      </w:r>
      <w:bookmarkStart w:id="15" w:name="_Int_6fNxH3wh"/>
      <w:r w:rsidRPr="362ED30B">
        <w:rPr>
          <w:rFonts w:ascii="Century Gothic" w:eastAsia="Century Gothic" w:hAnsi="Century Gothic" w:cs="Century Gothic"/>
        </w:rPr>
        <w:t>have</w:t>
      </w:r>
      <w:bookmarkEnd w:id="15"/>
      <w:r w:rsidRPr="362ED30B">
        <w:rPr>
          <w:rFonts w:ascii="Century Gothic" w:eastAsia="Century Gothic" w:hAnsi="Century Gothic" w:cs="Century Gothic"/>
        </w:rPr>
        <w:t xml:space="preserve"> similarly sized populations, similar, though not identical, demographics, and no real differences in the leading causes of death or overall </w:t>
      </w:r>
      <w:r w:rsidRPr="362ED30B">
        <w:rPr>
          <w:rFonts w:ascii="Century Gothic" w:eastAsia="Century Gothic" w:hAnsi="Century Gothic" w:cs="Century Gothic"/>
        </w:rPr>
        <w:lastRenderedPageBreak/>
        <w:t>death rates. However, 853 Californians died by MAID in 2022, compared to 13,241 in Canada.”</w:t>
      </w:r>
      <w:r w:rsidR="1024BE82" w:rsidRPr="362ED30B">
        <w:rPr>
          <w:rStyle w:val="FootnoteReference"/>
          <w:rFonts w:ascii="Century Gothic" w:eastAsia="Century Gothic" w:hAnsi="Century Gothic" w:cs="Century Gothic"/>
        </w:rPr>
        <w:footnoteReference w:id="20"/>
      </w:r>
      <w:r w:rsidRPr="362ED30B">
        <w:rPr>
          <w:rFonts w:ascii="Century Gothic" w:eastAsia="Century Gothic" w:hAnsi="Century Gothic" w:cs="Century Gothic"/>
        </w:rPr>
        <w:t xml:space="preserve"> </w:t>
      </w:r>
    </w:p>
    <w:p w14:paraId="666DDDEA" w14:textId="4371105E" w:rsidR="00009F0D" w:rsidRDefault="00009F0D" w:rsidP="7B7CA213">
      <w:pPr>
        <w:rPr>
          <w:rFonts w:ascii="Century Gothic" w:eastAsia="Century Gothic" w:hAnsi="Century Gothic" w:cs="Century Gothic"/>
        </w:rPr>
      </w:pPr>
      <w:r w:rsidRPr="362ED30B">
        <w:rPr>
          <w:rFonts w:ascii="Century Gothic" w:eastAsia="Century Gothic" w:hAnsi="Century Gothic" w:cs="Century Gothic"/>
        </w:rPr>
        <w:t>Facing systemic oppression that is often exacerbated by intersecting identities, women and gender-diverse people with disabilities are most vulnerable to opt for Medical Assistance in Dying due to unmet needs in terms of disability support. Not only do women, girls and gender-diverse people with disabilities continue face higher rates of poverty, housing insecurity, victimization and intimate partner violence, research shows that women and girls attempt suicide 1.5 to 2 times more often than men and boys.</w:t>
      </w:r>
      <w:r w:rsidRPr="362ED30B">
        <w:rPr>
          <w:rStyle w:val="FootnoteReference"/>
          <w:rFonts w:ascii="Century Gothic" w:eastAsia="Century Gothic" w:hAnsi="Century Gothic" w:cs="Century Gothic"/>
        </w:rPr>
        <w:footnoteReference w:id="21"/>
      </w:r>
      <w:r w:rsidRPr="362ED30B">
        <w:rPr>
          <w:rFonts w:ascii="Century Gothic" w:eastAsia="Century Gothic" w:hAnsi="Century Gothic" w:cs="Century Gothic"/>
        </w:rPr>
        <w:t xml:space="preserve"> Documented stories of women and gender diverse people with disabilities show that they often qualify for MAID while being denied necessary resources and healthcare supports.</w:t>
      </w:r>
      <w:r w:rsidRPr="362ED30B">
        <w:rPr>
          <w:rStyle w:val="FootnoteReference"/>
          <w:rFonts w:ascii="Century Gothic" w:eastAsia="Century Gothic" w:hAnsi="Century Gothic" w:cs="Century Gothic"/>
        </w:rPr>
        <w:footnoteReference w:id="22"/>
      </w:r>
      <w:r w:rsidR="4C90206D" w:rsidRPr="362ED30B">
        <w:rPr>
          <w:rFonts w:ascii="Century Gothic" w:eastAsia="Century Gothic" w:hAnsi="Century Gothic" w:cs="Century Gothic"/>
        </w:rPr>
        <w:t xml:space="preserve"> </w:t>
      </w:r>
      <w:r w:rsidRPr="362ED30B">
        <w:rPr>
          <w:rFonts w:ascii="Century Gothic" w:eastAsia="Century Gothic" w:hAnsi="Century Gothic" w:cs="Century Gothic"/>
        </w:rPr>
        <w:t>Recent data on MAID found that 41.8% of application withdrawals were due to receiving sufficient care services.</w:t>
      </w:r>
      <w:r w:rsidRPr="362ED30B">
        <w:rPr>
          <w:rStyle w:val="FootnoteReference"/>
          <w:rFonts w:ascii="Century Gothic" w:eastAsia="Century Gothic" w:hAnsi="Century Gothic" w:cs="Century Gothic"/>
        </w:rPr>
        <w:footnoteReference w:id="23"/>
      </w:r>
      <w:r w:rsidR="53A92F66" w:rsidRPr="362ED30B">
        <w:rPr>
          <w:rFonts w:ascii="Century Gothic" w:eastAsia="Century Gothic" w:hAnsi="Century Gothic" w:cs="Century Gothic"/>
        </w:rPr>
        <w:t xml:space="preserve"> T</w:t>
      </w:r>
      <w:r w:rsidRPr="362ED30B">
        <w:rPr>
          <w:rFonts w:ascii="Century Gothic" w:eastAsia="Century Gothic" w:hAnsi="Century Gothic" w:cs="Century Gothic"/>
        </w:rPr>
        <w:t xml:space="preserve">his suggests that by providing full support to people with disabilities, many more applications for MAID can be prevented.   </w:t>
      </w:r>
    </w:p>
    <w:p w14:paraId="155C3878" w14:textId="49862D2F" w:rsidR="452CDC45" w:rsidRDefault="452CDC45" w:rsidP="452CDC45">
      <w:pPr>
        <w:rPr>
          <w:rFonts w:ascii="Century Gothic" w:eastAsia="Century Gothic" w:hAnsi="Century Gothic" w:cs="Century Gothic"/>
        </w:rPr>
      </w:pPr>
    </w:p>
    <w:p w14:paraId="5DFF92B7" w14:textId="77777777" w:rsidR="00A65BCB" w:rsidRDefault="00A65BCB">
      <w:pPr>
        <w:rPr>
          <w:rFonts w:ascii="Century Gothic" w:eastAsia="Century Gothic" w:hAnsi="Century Gothic" w:cs="Century Gothic"/>
          <w:color w:val="0F4761" w:themeColor="accent1" w:themeShade="BF"/>
          <w:sz w:val="32"/>
          <w:szCs w:val="32"/>
        </w:rPr>
      </w:pPr>
      <w:bookmarkStart w:id="16" w:name="_Toc2118046983"/>
      <w:r>
        <w:rPr>
          <w:rFonts w:ascii="Century Gothic" w:eastAsia="Century Gothic" w:hAnsi="Century Gothic" w:cs="Century Gothic"/>
        </w:rPr>
        <w:br w:type="page"/>
      </w:r>
    </w:p>
    <w:p w14:paraId="6D52EC21" w14:textId="2B906857" w:rsidR="00009F0D" w:rsidRDefault="00009F0D" w:rsidP="7B7CA213">
      <w:pPr>
        <w:pStyle w:val="Heading2"/>
        <w:rPr>
          <w:rFonts w:ascii="Century Gothic" w:eastAsia="Century Gothic" w:hAnsi="Century Gothic" w:cs="Century Gothic"/>
        </w:rPr>
      </w:pPr>
      <w:r w:rsidRPr="452CDC45">
        <w:rPr>
          <w:rFonts w:ascii="Century Gothic" w:eastAsia="Century Gothic" w:hAnsi="Century Gothic" w:cs="Century Gothic"/>
        </w:rPr>
        <w:lastRenderedPageBreak/>
        <w:t>7. Indigenous Women and Girls</w:t>
      </w:r>
      <w:bookmarkEnd w:id="16"/>
      <w:r w:rsidRPr="452CDC45">
        <w:rPr>
          <w:rFonts w:ascii="Century Gothic" w:eastAsia="Century Gothic" w:hAnsi="Century Gothic" w:cs="Century Gothic"/>
        </w:rPr>
        <w:t xml:space="preserve">  </w:t>
      </w:r>
    </w:p>
    <w:p w14:paraId="64D26A40" w14:textId="78CF6A35" w:rsidR="00009F0D" w:rsidRDefault="00009F0D" w:rsidP="3F630973">
      <w:pPr>
        <w:rPr>
          <w:rFonts w:ascii="Century Gothic" w:eastAsia="Century Gothic" w:hAnsi="Century Gothic" w:cs="Century Gothic"/>
        </w:rPr>
      </w:pPr>
      <w:r>
        <w:br/>
      </w:r>
      <w:r w:rsidRPr="79B38D5A">
        <w:rPr>
          <w:rFonts w:ascii="Century Gothic" w:eastAsia="Century Gothic" w:hAnsi="Century Gothic" w:cs="Century Gothic"/>
        </w:rPr>
        <w:t>The Missing and Murdered Indigenous Women and Girls report highlighted the connections between gender-based violence against Indigenous women but failed to acknowledge the significant impact of disability on the conversation.</w:t>
      </w:r>
      <w:r w:rsidRPr="79B38D5A">
        <w:rPr>
          <w:rStyle w:val="FootnoteReference"/>
          <w:rFonts w:ascii="Century Gothic" w:eastAsia="Century Gothic" w:hAnsi="Century Gothic" w:cs="Century Gothic"/>
        </w:rPr>
        <w:footnoteReference w:id="24"/>
      </w:r>
    </w:p>
    <w:p w14:paraId="7637A404" w14:textId="45B6869D" w:rsidR="00009F0D" w:rsidRDefault="79436F03" w:rsidP="3F630973">
      <w:pPr>
        <w:rPr>
          <w:rFonts w:ascii="Century Gothic" w:eastAsia="Century Gothic" w:hAnsi="Century Gothic" w:cs="Century Gothic"/>
        </w:rPr>
      </w:pPr>
      <w:r w:rsidRPr="79B38D5A">
        <w:rPr>
          <w:rFonts w:ascii="Century Gothic" w:eastAsia="Century Gothic" w:hAnsi="Century Gothic" w:cs="Century Gothic"/>
        </w:rPr>
        <w:t>Research shows that Indigenous women are more likely to become disabled due to colonial violence.</w:t>
      </w:r>
      <w:r w:rsidR="00009F0D" w:rsidRPr="79B38D5A">
        <w:rPr>
          <w:rStyle w:val="FootnoteReference"/>
          <w:rFonts w:ascii="Century Gothic" w:eastAsia="Century Gothic" w:hAnsi="Century Gothic" w:cs="Century Gothic"/>
        </w:rPr>
        <w:footnoteReference w:id="25"/>
      </w:r>
      <w:r w:rsidRPr="79B38D5A">
        <w:rPr>
          <w:rFonts w:ascii="Century Gothic" w:eastAsia="Century Gothic" w:hAnsi="Century Gothic" w:cs="Century Gothic"/>
        </w:rPr>
        <w:t xml:space="preserve"> Further, women with disabilities are more likely to experience gender-based violence.</w:t>
      </w:r>
      <w:r w:rsidR="00009F0D" w:rsidRPr="79B38D5A">
        <w:rPr>
          <w:rStyle w:val="FootnoteReference"/>
          <w:rFonts w:ascii="Century Gothic" w:eastAsia="Century Gothic" w:hAnsi="Century Gothic" w:cs="Century Gothic"/>
        </w:rPr>
        <w:footnoteReference w:id="26"/>
      </w:r>
      <w:r w:rsidRPr="79B38D5A">
        <w:rPr>
          <w:rFonts w:ascii="Century Gothic" w:eastAsia="Century Gothic" w:hAnsi="Century Gothic" w:cs="Century Gothic"/>
        </w:rPr>
        <w:t xml:space="preserve"> This cycle of violence is further impacted by systemic barriers to healthcare and services. Indigenous people continue to experience systemic racism and discrimination when accessing healthcare.</w:t>
      </w:r>
      <w:r w:rsidR="00009F0D" w:rsidRPr="79B38D5A">
        <w:rPr>
          <w:rStyle w:val="FootnoteReference"/>
          <w:rFonts w:ascii="Century Gothic" w:eastAsia="Century Gothic" w:hAnsi="Century Gothic" w:cs="Century Gothic"/>
        </w:rPr>
        <w:footnoteReference w:id="27"/>
      </w:r>
      <w:r w:rsidRPr="79B38D5A">
        <w:rPr>
          <w:rFonts w:ascii="Century Gothic" w:eastAsia="Century Gothic" w:hAnsi="Century Gothic" w:cs="Century Gothic"/>
        </w:rPr>
        <w:t xml:space="preserve"> Many Indigenous women live with undiagnosed disabilities due to stereotypes and racism and face barriers to accessing services in their community, often having to leave </w:t>
      </w:r>
      <w:r w:rsidR="530B45E5" w:rsidRPr="79B38D5A">
        <w:rPr>
          <w:rFonts w:ascii="Century Gothic" w:eastAsia="Century Gothic" w:hAnsi="Century Gothic" w:cs="Century Gothic"/>
        </w:rPr>
        <w:t>their First Nation Communities</w:t>
      </w:r>
      <w:r w:rsidRPr="79B38D5A">
        <w:rPr>
          <w:rFonts w:ascii="Century Gothic" w:eastAsia="Century Gothic" w:hAnsi="Century Gothic" w:cs="Century Gothic"/>
        </w:rPr>
        <w:t xml:space="preserve"> to access healthcare, disconnecting them from communities and families. There have been extensive cuts to special education programs and a lack of consistent funding</w:t>
      </w:r>
      <w:r w:rsidR="00009F0D" w:rsidRPr="79B38D5A">
        <w:rPr>
          <w:rStyle w:val="FootnoteReference"/>
          <w:rFonts w:ascii="Century Gothic" w:eastAsia="Century Gothic" w:hAnsi="Century Gothic" w:cs="Century Gothic"/>
        </w:rPr>
        <w:footnoteReference w:id="28"/>
      </w:r>
      <w:r w:rsidR="54D9E44A" w:rsidRPr="79B38D5A">
        <w:rPr>
          <w:rFonts w:ascii="Century Gothic" w:eastAsia="Century Gothic" w:hAnsi="Century Gothic" w:cs="Century Gothic"/>
        </w:rPr>
        <w:t xml:space="preserve"> which is a significant cause of displacement for Indigenous women with disabilities.</w:t>
      </w:r>
      <w:r w:rsidRPr="79B38D5A">
        <w:rPr>
          <w:rFonts w:ascii="Century Gothic" w:eastAsia="Century Gothic" w:hAnsi="Century Gothic" w:cs="Century Gothic"/>
        </w:rPr>
        <w:t xml:space="preserve"> These factors put Indigenous women with disabilities in significant risk and should be considered in the Missing and Murdered Indigenous Women and Girls report.  </w:t>
      </w:r>
    </w:p>
    <w:p w14:paraId="2FEC6DD1" w14:textId="34DF83CA"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The National Inquiry into Missing and Murdered Indigenous Women and Girls reported that the MMIWG crisis amounts to a genocide and included 231 Calls for Justice. Yet, the five-year independent review by the Assembly of First Nations reported that only 2 of the Calls for Justice have been implemented. </w:t>
      </w:r>
      <w:r w:rsidR="1B0C42B8" w:rsidRPr="69B3BC82">
        <w:rPr>
          <w:rFonts w:ascii="Century Gothic" w:eastAsia="Century Gothic" w:hAnsi="Century Gothic" w:cs="Century Gothic"/>
        </w:rPr>
        <w:t>First</w:t>
      </w:r>
      <w:r w:rsidR="1B0C42B8" w:rsidRPr="558DCDC4">
        <w:rPr>
          <w:rFonts w:ascii="Century Gothic" w:eastAsia="Century Gothic" w:hAnsi="Century Gothic" w:cs="Century Gothic"/>
        </w:rPr>
        <w:t xml:space="preserve"> Nations communities have been </w:t>
      </w:r>
      <w:r w:rsidR="1B0C42B8" w:rsidRPr="69B3BC82">
        <w:rPr>
          <w:rFonts w:ascii="Century Gothic" w:eastAsia="Century Gothic" w:hAnsi="Century Gothic" w:cs="Century Gothic"/>
        </w:rPr>
        <w:t>exempted</w:t>
      </w:r>
      <w:r w:rsidR="1B0C42B8" w:rsidRPr="558DCDC4">
        <w:rPr>
          <w:rFonts w:ascii="Century Gothic" w:eastAsia="Century Gothic" w:hAnsi="Century Gothic" w:cs="Century Gothic"/>
        </w:rPr>
        <w:t xml:space="preserve"> from the Accessible Canada Act for a period of 5 years, </w:t>
      </w:r>
      <w:r w:rsidR="32145AA7" w:rsidRPr="69B3BC82">
        <w:rPr>
          <w:rFonts w:ascii="Century Gothic" w:eastAsia="Century Gothic" w:hAnsi="Century Gothic" w:cs="Century Gothic"/>
        </w:rPr>
        <w:t xml:space="preserve">and </w:t>
      </w:r>
      <w:r w:rsidR="32145AA7" w:rsidRPr="3F2487B3">
        <w:rPr>
          <w:rFonts w:ascii="Century Gothic" w:eastAsia="Century Gothic" w:hAnsi="Century Gothic" w:cs="Century Gothic"/>
        </w:rPr>
        <w:t xml:space="preserve">therefore will not only have a delay in having accessible </w:t>
      </w:r>
      <w:r w:rsidR="688E0719" w:rsidRPr="1B6AF8BF">
        <w:rPr>
          <w:rFonts w:ascii="Century Gothic" w:eastAsia="Century Gothic" w:hAnsi="Century Gothic" w:cs="Century Gothic"/>
        </w:rPr>
        <w:t xml:space="preserve">services, but </w:t>
      </w:r>
      <w:r w:rsidR="688E0719" w:rsidRPr="36DDBE33">
        <w:rPr>
          <w:rFonts w:ascii="Century Gothic" w:eastAsia="Century Gothic" w:hAnsi="Century Gothic" w:cs="Century Gothic"/>
        </w:rPr>
        <w:t xml:space="preserve">there is no accountability </w:t>
      </w:r>
      <w:r w:rsidR="3D5E579B" w:rsidRPr="36DDBE33">
        <w:rPr>
          <w:rFonts w:ascii="Century Gothic" w:eastAsia="Century Gothic" w:hAnsi="Century Gothic" w:cs="Century Gothic"/>
        </w:rPr>
        <w:t>from</w:t>
      </w:r>
      <w:r w:rsidR="688E0719" w:rsidRPr="36DDBE33">
        <w:rPr>
          <w:rFonts w:ascii="Century Gothic" w:eastAsia="Century Gothic" w:hAnsi="Century Gothic" w:cs="Century Gothic"/>
        </w:rPr>
        <w:t xml:space="preserve"> the federal </w:t>
      </w:r>
      <w:r w:rsidR="688E0719" w:rsidRPr="36DDBE33">
        <w:rPr>
          <w:rFonts w:ascii="Century Gothic" w:eastAsia="Century Gothic" w:hAnsi="Century Gothic" w:cs="Century Gothic"/>
        </w:rPr>
        <w:lastRenderedPageBreak/>
        <w:t>government.</w:t>
      </w:r>
      <w:r w:rsidRPr="36DDBE33">
        <w:rPr>
          <w:rStyle w:val="FootnoteReference"/>
          <w:rFonts w:ascii="Century Gothic" w:eastAsia="Century Gothic" w:hAnsi="Century Gothic" w:cs="Century Gothic"/>
        </w:rPr>
        <w:footnoteReference w:id="29"/>
      </w:r>
      <w:r w:rsidR="1B0C42B8" w:rsidRPr="69B3BC82">
        <w:rPr>
          <w:rFonts w:ascii="Century Gothic" w:eastAsia="Century Gothic" w:hAnsi="Century Gothic" w:cs="Century Gothic"/>
        </w:rPr>
        <w:t xml:space="preserve"> </w:t>
      </w:r>
      <w:r w:rsidRPr="362ED30B">
        <w:rPr>
          <w:rFonts w:ascii="Century Gothic" w:eastAsia="Century Gothic" w:hAnsi="Century Gothic" w:cs="Century Gothic"/>
        </w:rPr>
        <w:t xml:space="preserve">This demonstrates how government institutions continue to fail Indigenous communities, especially Indigenous women, girls and gender diverse people with disabilities, despite commitments to UN Conventions.  </w:t>
      </w:r>
    </w:p>
    <w:p w14:paraId="1B862120" w14:textId="1019FFEC" w:rsidR="00009F0D" w:rsidRDefault="79436F03" w:rsidP="3F630973">
      <w:pPr>
        <w:rPr>
          <w:rFonts w:ascii="Century Gothic" w:eastAsia="Century Gothic" w:hAnsi="Century Gothic" w:cs="Century Gothic"/>
        </w:rPr>
      </w:pPr>
      <w:r w:rsidRPr="79B38D5A">
        <w:rPr>
          <w:rFonts w:ascii="Century Gothic" w:eastAsia="Century Gothic" w:hAnsi="Century Gothic" w:cs="Century Gothic"/>
        </w:rPr>
        <w:t>Indeed, Canadian funding does not reflect that the Indigenous population has grown 9.4% from 2016 to 202</w:t>
      </w:r>
      <w:r w:rsidR="00A66A1D">
        <w:rPr>
          <w:rFonts w:ascii="Century Gothic" w:eastAsia="Century Gothic" w:hAnsi="Century Gothic" w:cs="Century Gothic"/>
        </w:rPr>
        <w:t>1</w:t>
      </w:r>
      <w:r w:rsidR="00A66A1D">
        <w:rPr>
          <w:rStyle w:val="FootnoteReference"/>
          <w:rFonts w:ascii="Century Gothic" w:eastAsia="Century Gothic" w:hAnsi="Century Gothic" w:cs="Century Gothic"/>
        </w:rPr>
        <w:footnoteReference w:id="30"/>
      </w:r>
      <w:r w:rsidRPr="79B38D5A">
        <w:rPr>
          <w:rFonts w:ascii="Century Gothic" w:eastAsia="Century Gothic" w:hAnsi="Century Gothic" w:cs="Century Gothic"/>
        </w:rPr>
        <w:t xml:space="preserve"> or that 62% of status First Nations people live off reserve,</w:t>
      </w:r>
      <w:r w:rsidR="00009F0D" w:rsidRPr="79B38D5A">
        <w:rPr>
          <w:rStyle w:val="FootnoteReference"/>
          <w:rFonts w:ascii="Century Gothic" w:eastAsia="Century Gothic" w:hAnsi="Century Gothic" w:cs="Century Gothic"/>
        </w:rPr>
        <w:footnoteReference w:id="31"/>
      </w:r>
      <w:r w:rsidRPr="79B38D5A">
        <w:rPr>
          <w:rFonts w:ascii="Century Gothic" w:eastAsia="Century Gothic" w:hAnsi="Century Gothic" w:cs="Century Gothic"/>
        </w:rPr>
        <w:t xml:space="preserve"> which leaves them unable to access services, funding and healthcare. </w:t>
      </w:r>
      <w:r w:rsidR="7FBF730B" w:rsidRPr="24826EB8">
        <w:rPr>
          <w:rFonts w:ascii="Century Gothic" w:eastAsia="Century Gothic" w:hAnsi="Century Gothic" w:cs="Century Gothic"/>
        </w:rPr>
        <w:t>Status First Nations are often isolated from their families, culture and communities. Funding does not exist to keep individuals and families connected to their communities and culture. In 2021 ISC spent 16.35 billion and provided 4.69 million for Urban Indigenous programs.</w:t>
      </w:r>
      <w:r w:rsidR="00009F0D" w:rsidRPr="24826EB8">
        <w:rPr>
          <w:rStyle w:val="FootnoteReference"/>
          <w:rFonts w:ascii="Century Gothic" w:eastAsia="Century Gothic" w:hAnsi="Century Gothic" w:cs="Century Gothic"/>
        </w:rPr>
        <w:footnoteReference w:id="32"/>
      </w:r>
      <w:r w:rsidRPr="79B38D5A">
        <w:rPr>
          <w:rFonts w:ascii="Century Gothic" w:eastAsia="Century Gothic" w:hAnsi="Century Gothic" w:cs="Century Gothic"/>
        </w:rPr>
        <w:t xml:space="preserve"> This chronic underfunding and gaps in services has catastrophic health outcomes. Alarmingly, between 2015 and 2021, life expectancy for First Nations people decreased by 7.1 years.</w:t>
      </w:r>
      <w:r w:rsidR="00009F0D" w:rsidRPr="79B38D5A">
        <w:rPr>
          <w:rStyle w:val="FootnoteReference"/>
          <w:rFonts w:ascii="Century Gothic" w:eastAsia="Century Gothic" w:hAnsi="Century Gothic" w:cs="Century Gothic"/>
        </w:rPr>
        <w:footnoteReference w:id="33"/>
      </w:r>
      <w:r w:rsidRPr="79B38D5A">
        <w:rPr>
          <w:rFonts w:ascii="Century Gothic" w:eastAsia="Century Gothic" w:hAnsi="Century Gothic" w:cs="Century Gothic"/>
        </w:rPr>
        <w:t xml:space="preserve"> </w:t>
      </w:r>
      <w:r w:rsidR="4EA02B20" w:rsidRPr="79B38D5A">
        <w:rPr>
          <w:rFonts w:ascii="Century Gothic" w:eastAsia="Century Gothic" w:hAnsi="Century Gothic" w:cs="Century Gothic"/>
        </w:rPr>
        <w:t xml:space="preserve">Indigenous women, girls and gender-diverse persons living with </w:t>
      </w:r>
      <w:r w:rsidR="44C9A68F" w:rsidRPr="79B38D5A">
        <w:rPr>
          <w:rFonts w:ascii="Century Gothic" w:eastAsia="Century Gothic" w:hAnsi="Century Gothic" w:cs="Century Gothic"/>
        </w:rPr>
        <w:t xml:space="preserve">disability are on the top of the lists no one wants to be on, and on the bottom of the lists where everyone wants to be on top. </w:t>
      </w:r>
    </w:p>
    <w:p w14:paraId="0E2DA8F0" w14:textId="3CCC9202" w:rsidR="00D80031" w:rsidRDefault="00009F0D" w:rsidP="3F630973">
      <w:pPr>
        <w:rPr>
          <w:rFonts w:ascii="Century Gothic" w:eastAsia="Century Gothic" w:hAnsi="Century Gothic" w:cs="Century Gothic"/>
        </w:rPr>
      </w:pPr>
      <w:r w:rsidRPr="452CDC45">
        <w:rPr>
          <w:rFonts w:ascii="Century Gothic" w:eastAsia="Century Gothic" w:hAnsi="Century Gothic" w:cs="Century Gothic"/>
        </w:rPr>
        <w:t xml:space="preserve"> </w:t>
      </w:r>
    </w:p>
    <w:p w14:paraId="66931FF0" w14:textId="43CE1325" w:rsidR="452CDC45" w:rsidRDefault="452CDC45">
      <w:pPr>
        <w:rPr>
          <w:rFonts w:hint="eastAsia"/>
        </w:rPr>
      </w:pPr>
      <w:r>
        <w:br w:type="page"/>
      </w:r>
    </w:p>
    <w:p w14:paraId="1A4C858B" w14:textId="6005EDD5" w:rsidR="00009F0D" w:rsidRDefault="00009F0D" w:rsidP="3F630973">
      <w:pPr>
        <w:pStyle w:val="Heading1"/>
        <w:rPr>
          <w:rFonts w:ascii="Century Gothic" w:eastAsia="Century Gothic" w:hAnsi="Century Gothic" w:cs="Century Gothic"/>
        </w:rPr>
      </w:pPr>
      <w:bookmarkStart w:id="17" w:name="_Toc851916526"/>
      <w:r w:rsidRPr="452CDC45">
        <w:rPr>
          <w:rFonts w:ascii="Century Gothic" w:eastAsia="Century Gothic" w:hAnsi="Century Gothic" w:cs="Century Gothic"/>
        </w:rPr>
        <w:lastRenderedPageBreak/>
        <w:t>Additional Information: Gender-B</w:t>
      </w:r>
      <w:r w:rsidR="462A02D3" w:rsidRPr="452CDC45">
        <w:rPr>
          <w:rFonts w:ascii="Century Gothic" w:eastAsia="Century Gothic" w:hAnsi="Century Gothic" w:cs="Century Gothic"/>
        </w:rPr>
        <w:t>ased</w:t>
      </w:r>
      <w:r w:rsidRPr="452CDC45">
        <w:rPr>
          <w:rFonts w:ascii="Century Gothic" w:eastAsia="Century Gothic" w:hAnsi="Century Gothic" w:cs="Century Gothic"/>
        </w:rPr>
        <w:t xml:space="preserve"> V</w:t>
      </w:r>
      <w:r w:rsidR="78DEED33" w:rsidRPr="452CDC45">
        <w:rPr>
          <w:rFonts w:ascii="Century Gothic" w:eastAsia="Century Gothic" w:hAnsi="Century Gothic" w:cs="Century Gothic"/>
        </w:rPr>
        <w:t>iolence</w:t>
      </w:r>
      <w:bookmarkEnd w:id="17"/>
      <w:r w:rsidRPr="452CDC45">
        <w:rPr>
          <w:rFonts w:ascii="Century Gothic" w:eastAsia="Century Gothic" w:hAnsi="Century Gothic" w:cs="Century Gothic"/>
        </w:rPr>
        <w:t xml:space="preserve"> </w:t>
      </w:r>
    </w:p>
    <w:p w14:paraId="61B07CCA" w14:textId="61B47AC3" w:rsidR="3F630973" w:rsidRDefault="3F630973" w:rsidP="7B7CA213">
      <w:pPr>
        <w:rPr>
          <w:rFonts w:ascii="Century Gothic" w:eastAsia="Century Gothic" w:hAnsi="Century Gothic" w:cs="Century Gothic"/>
        </w:rPr>
      </w:pPr>
    </w:p>
    <w:p w14:paraId="5E1132F5" w14:textId="6361EF33"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The expansion of Medical Assistance in Dying (</w:t>
      </w:r>
      <w:proofErr w:type="spellStart"/>
      <w:r w:rsidRPr="362ED30B">
        <w:rPr>
          <w:rFonts w:ascii="Century Gothic" w:eastAsia="Century Gothic" w:hAnsi="Century Gothic" w:cs="Century Gothic"/>
        </w:rPr>
        <w:t>MAiD</w:t>
      </w:r>
      <w:proofErr w:type="spellEnd"/>
      <w:r w:rsidRPr="362ED30B">
        <w:rPr>
          <w:rFonts w:ascii="Century Gothic" w:eastAsia="Century Gothic" w:hAnsi="Century Gothic" w:cs="Century Gothic"/>
        </w:rPr>
        <w:t xml:space="preserve">) in Canada intersects with issues of Gender-Based Violence (GBV) in several important ways, particularly for women with disabilities. Here’s how </w:t>
      </w:r>
      <w:proofErr w:type="spellStart"/>
      <w:r w:rsidRPr="362ED30B">
        <w:rPr>
          <w:rFonts w:ascii="Century Gothic" w:eastAsia="Century Gothic" w:hAnsi="Century Gothic" w:cs="Century Gothic"/>
        </w:rPr>
        <w:t>MAiD</w:t>
      </w:r>
      <w:proofErr w:type="spellEnd"/>
      <w:r w:rsidRPr="362ED30B">
        <w:rPr>
          <w:rFonts w:ascii="Century Gothic" w:eastAsia="Century Gothic" w:hAnsi="Century Gothic" w:cs="Century Gothic"/>
        </w:rPr>
        <w:t xml:space="preserve"> </w:t>
      </w:r>
      <w:bookmarkStart w:id="18" w:name="_GoBack"/>
      <w:bookmarkEnd w:id="18"/>
      <w:r w:rsidRPr="362ED30B">
        <w:rPr>
          <w:rFonts w:ascii="Century Gothic" w:eastAsia="Century Gothic" w:hAnsi="Century Gothic" w:cs="Century Gothic"/>
        </w:rPr>
        <w:t xml:space="preserve">relates to gender-based violence:  </w:t>
      </w:r>
    </w:p>
    <w:p w14:paraId="2F0A3A19" w14:textId="759DC098"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 </w:t>
      </w:r>
    </w:p>
    <w:p w14:paraId="3C533E64" w14:textId="2FBB22A4" w:rsidR="00009F0D" w:rsidRDefault="00009F0D" w:rsidP="3F630973">
      <w:pPr>
        <w:rPr>
          <w:rFonts w:ascii="Century Gothic" w:eastAsia="Century Gothic" w:hAnsi="Century Gothic" w:cs="Century Gothic"/>
        </w:rPr>
      </w:pPr>
      <w:r w:rsidRPr="452CDC45">
        <w:rPr>
          <w:rFonts w:ascii="Century Gothic" w:eastAsia="Century Gothic" w:hAnsi="Century Gothic" w:cs="Century Gothic"/>
        </w:rPr>
        <w:t xml:space="preserve">1. </w:t>
      </w:r>
      <w:proofErr w:type="spellStart"/>
      <w:r w:rsidRPr="452CDC45">
        <w:rPr>
          <w:rFonts w:ascii="Century Gothic" w:eastAsia="Century Gothic" w:hAnsi="Century Gothic" w:cs="Century Gothic"/>
        </w:rPr>
        <w:t>Vulnerab</w:t>
      </w:r>
      <w:r w:rsidR="6C76D1BF" w:rsidRPr="452CDC45">
        <w:rPr>
          <w:rFonts w:ascii="Century Gothic" w:eastAsia="Century Gothic" w:hAnsi="Century Gothic" w:cs="Century Gothic"/>
        </w:rPr>
        <w:t>i</w:t>
      </w:r>
      <w:r w:rsidR="7780C808" w:rsidRPr="452CDC45">
        <w:rPr>
          <w:rFonts w:ascii="Century Gothic" w:eastAsia="Century Gothic" w:hAnsi="Century Gothic" w:cs="Century Gothic"/>
        </w:rPr>
        <w:t>lization</w:t>
      </w:r>
      <w:proofErr w:type="spellEnd"/>
      <w:r w:rsidRPr="452CDC45">
        <w:rPr>
          <w:rFonts w:ascii="Century Gothic" w:eastAsia="Century Gothic" w:hAnsi="Century Gothic" w:cs="Century Gothic"/>
        </w:rPr>
        <w:t xml:space="preserve"> of Women with Disabilities  </w:t>
      </w:r>
    </w:p>
    <w:p w14:paraId="0C7062E0" w14:textId="75FB3732"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   - Higher Rates of Violence: Women with disabilities experience higher rates of gender-based violence compared to their non-disabled counterparts. This violence can take many forms, including physical, emotional, sexual, and financial abuse. The trauma from such violence can compound existing vulnerabilities, making some women feel that </w:t>
      </w:r>
      <w:proofErr w:type="spellStart"/>
      <w:r w:rsidRPr="362ED30B">
        <w:rPr>
          <w:rFonts w:ascii="Century Gothic" w:eastAsia="Century Gothic" w:hAnsi="Century Gothic" w:cs="Century Gothic"/>
        </w:rPr>
        <w:t>MAiD</w:t>
      </w:r>
      <w:proofErr w:type="spellEnd"/>
      <w:r w:rsidRPr="362ED30B">
        <w:rPr>
          <w:rFonts w:ascii="Century Gothic" w:eastAsia="Century Gothic" w:hAnsi="Century Gothic" w:cs="Century Gothic"/>
        </w:rPr>
        <w:t xml:space="preserve"> is their only escape from ongoing abuse and suffering.  </w:t>
      </w:r>
    </w:p>
    <w:p w14:paraId="6831CF9F" w14:textId="053B8E1E" w:rsidR="00009F0D" w:rsidRDefault="00009F0D" w:rsidP="3F630973">
      <w:pPr>
        <w:rPr>
          <w:rFonts w:ascii="Century Gothic" w:eastAsia="Century Gothic" w:hAnsi="Century Gothic" w:cs="Century Gothic"/>
        </w:rPr>
      </w:pPr>
      <w:r w:rsidRPr="452CDC45">
        <w:rPr>
          <w:rFonts w:ascii="Century Gothic" w:eastAsia="Century Gothic" w:hAnsi="Century Gothic" w:cs="Century Gothic"/>
        </w:rPr>
        <w:t xml:space="preserve">   - Coerced Decisions: Women with disabilities may be more susceptible to coercion, especially in abusive relationships where they may feel pressured to choose </w:t>
      </w:r>
      <w:proofErr w:type="spellStart"/>
      <w:r w:rsidRPr="452CDC45">
        <w:rPr>
          <w:rFonts w:ascii="Century Gothic" w:eastAsia="Century Gothic" w:hAnsi="Century Gothic" w:cs="Century Gothic"/>
        </w:rPr>
        <w:t>MAiD</w:t>
      </w:r>
      <w:proofErr w:type="spellEnd"/>
      <w:r w:rsidRPr="452CDC45">
        <w:rPr>
          <w:rFonts w:ascii="Century Gothic" w:eastAsia="Century Gothic" w:hAnsi="Century Gothic" w:cs="Century Gothic"/>
        </w:rPr>
        <w:t xml:space="preserve">. Abusers might manipulate them into believing that their lives are not worth living or that they are a burden. This coercion is a form of gender-based violence, where the choice of </w:t>
      </w:r>
      <w:proofErr w:type="spellStart"/>
      <w:r w:rsidRPr="452CDC45">
        <w:rPr>
          <w:rFonts w:ascii="Century Gothic" w:eastAsia="Century Gothic" w:hAnsi="Century Gothic" w:cs="Century Gothic"/>
        </w:rPr>
        <w:t>MAiD</w:t>
      </w:r>
      <w:proofErr w:type="spellEnd"/>
      <w:r w:rsidRPr="452CDC45">
        <w:rPr>
          <w:rFonts w:ascii="Century Gothic" w:eastAsia="Century Gothic" w:hAnsi="Century Gothic" w:cs="Century Gothic"/>
        </w:rPr>
        <w:t xml:space="preserve"> is not fully autonomous but influenced by the abuser’s control.  </w:t>
      </w:r>
    </w:p>
    <w:p w14:paraId="3C7028DE" w14:textId="77777777" w:rsidR="004551C3" w:rsidRDefault="004551C3" w:rsidP="3F630973">
      <w:pPr>
        <w:rPr>
          <w:rFonts w:ascii="Century Gothic" w:eastAsia="Century Gothic" w:hAnsi="Century Gothic" w:cs="Century Gothic"/>
        </w:rPr>
      </w:pPr>
    </w:p>
    <w:p w14:paraId="17D2DBAD" w14:textId="14A538A3"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2. Economic Dependency and Isolation  </w:t>
      </w:r>
    </w:p>
    <w:p w14:paraId="69AA3183" w14:textId="33396753"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   - Financial Abuse and Dependency: Many women with disabilities face financial abuse, where they are economically dependent on their abusers. This dependency can lead to a lack of access to resources that might otherwise support their health and well-being, such as adequate housing, healthcare, or legal protection. Feeling trapped by financial abuse, some women might see </w:t>
      </w:r>
      <w:proofErr w:type="spellStart"/>
      <w:r w:rsidRPr="362ED30B">
        <w:rPr>
          <w:rFonts w:ascii="Century Gothic" w:eastAsia="Century Gothic" w:hAnsi="Century Gothic" w:cs="Century Gothic"/>
        </w:rPr>
        <w:t>MAiD</w:t>
      </w:r>
      <w:proofErr w:type="spellEnd"/>
      <w:r w:rsidRPr="362ED30B">
        <w:rPr>
          <w:rFonts w:ascii="Century Gothic" w:eastAsia="Century Gothic" w:hAnsi="Century Gothic" w:cs="Century Gothic"/>
        </w:rPr>
        <w:t xml:space="preserve"> as the only way to regain control over their situation.  </w:t>
      </w:r>
    </w:p>
    <w:p w14:paraId="4717AF40" w14:textId="40DCAAA7"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   - Social Isolation: Abusers often isolate their victims, cutting them off from support networks. This isolation can leave women with disabilities feeling hopeless and alone, further pushing them towards considering </w:t>
      </w:r>
      <w:proofErr w:type="spellStart"/>
      <w:r w:rsidRPr="362ED30B">
        <w:rPr>
          <w:rFonts w:ascii="Century Gothic" w:eastAsia="Century Gothic" w:hAnsi="Century Gothic" w:cs="Century Gothic"/>
        </w:rPr>
        <w:t>MAiD</w:t>
      </w:r>
      <w:proofErr w:type="spellEnd"/>
      <w:r w:rsidRPr="362ED30B">
        <w:rPr>
          <w:rFonts w:ascii="Century Gothic" w:eastAsia="Century Gothic" w:hAnsi="Century Gothic" w:cs="Century Gothic"/>
        </w:rPr>
        <w:t xml:space="preserve"> as an escape from their circumstances.  </w:t>
      </w:r>
    </w:p>
    <w:p w14:paraId="4586447C" w14:textId="687E3BA2"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 </w:t>
      </w:r>
    </w:p>
    <w:p w14:paraId="70320FB3" w14:textId="5D98ED5B"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lastRenderedPageBreak/>
        <w:t xml:space="preserve">3. Inadequate Support Systems  </w:t>
      </w:r>
    </w:p>
    <w:p w14:paraId="41360189" w14:textId="3C16FF46"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   - Lack of Accessible Services: Women with disabilities who experience gender-based violence often face barriers in accessing support services, such as shelters, counseling, and legal assistance. These services may not be equipped to handle the specific needs of disabled women, leading to inadequate protection and support. Without access to these services, some women may view </w:t>
      </w:r>
      <w:proofErr w:type="spellStart"/>
      <w:r w:rsidRPr="362ED30B">
        <w:rPr>
          <w:rFonts w:ascii="Century Gothic" w:eastAsia="Century Gothic" w:hAnsi="Century Gothic" w:cs="Century Gothic"/>
        </w:rPr>
        <w:t>MAiD</w:t>
      </w:r>
      <w:proofErr w:type="spellEnd"/>
      <w:r w:rsidRPr="362ED30B">
        <w:rPr>
          <w:rFonts w:ascii="Century Gothic" w:eastAsia="Century Gothic" w:hAnsi="Century Gothic" w:cs="Century Gothic"/>
        </w:rPr>
        <w:t xml:space="preserve"> as their only option.  </w:t>
      </w:r>
    </w:p>
    <w:p w14:paraId="4002E4D8" w14:textId="33EF13DA" w:rsidR="00009F0D" w:rsidRDefault="00009F0D" w:rsidP="3F630973">
      <w:pPr>
        <w:rPr>
          <w:rFonts w:ascii="Century Gothic" w:eastAsia="Century Gothic" w:hAnsi="Century Gothic" w:cs="Century Gothic"/>
        </w:rPr>
      </w:pPr>
      <w:r w:rsidRPr="452CDC45">
        <w:rPr>
          <w:rFonts w:ascii="Century Gothic" w:eastAsia="Century Gothic" w:hAnsi="Century Gothic" w:cs="Century Gothic"/>
        </w:rPr>
        <w:t xml:space="preserve">   - Healthcare System Failures: The healthcare system sometimes fails to identify and address the signs of gender-based violence among women with disabilities. Instead of offering comprehensive care and support, the system may inadvertently steer women towards </w:t>
      </w:r>
      <w:proofErr w:type="spellStart"/>
      <w:r w:rsidRPr="452CDC45">
        <w:rPr>
          <w:rFonts w:ascii="Century Gothic" w:eastAsia="Century Gothic" w:hAnsi="Century Gothic" w:cs="Century Gothic"/>
        </w:rPr>
        <w:t>MAiD</w:t>
      </w:r>
      <w:proofErr w:type="spellEnd"/>
      <w:r w:rsidRPr="452CDC45">
        <w:rPr>
          <w:rFonts w:ascii="Century Gothic" w:eastAsia="Century Gothic" w:hAnsi="Century Gothic" w:cs="Century Gothic"/>
        </w:rPr>
        <w:t xml:space="preserve">, particularly if their suffering is not adequately addressed through other means.  </w:t>
      </w:r>
    </w:p>
    <w:p w14:paraId="22575028" w14:textId="52BADA48" w:rsidR="452CDC45" w:rsidRDefault="452CDC45" w:rsidP="452CDC45">
      <w:pPr>
        <w:rPr>
          <w:rFonts w:ascii="Century Gothic" w:eastAsia="Century Gothic" w:hAnsi="Century Gothic" w:cs="Century Gothic"/>
        </w:rPr>
      </w:pPr>
    </w:p>
    <w:p w14:paraId="1A721C85" w14:textId="77777777" w:rsidR="00F93294"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4. Intersectionality and Systemic Oppression with Compounded Discrimination: </w:t>
      </w:r>
    </w:p>
    <w:p w14:paraId="136DAB2C" w14:textId="38382F91" w:rsidR="00009F0D" w:rsidRDefault="004551C3" w:rsidP="3F630973">
      <w:pPr>
        <w:rPr>
          <w:rFonts w:ascii="Century Gothic" w:eastAsia="Century Gothic" w:hAnsi="Century Gothic" w:cs="Century Gothic"/>
        </w:rPr>
      </w:pPr>
      <w:r w:rsidRPr="452CDC45">
        <w:rPr>
          <w:rFonts w:ascii="Century Gothic" w:eastAsia="Century Gothic" w:hAnsi="Century Gothic" w:cs="Century Gothic"/>
        </w:rPr>
        <w:t xml:space="preserve">- </w:t>
      </w:r>
      <w:r w:rsidR="00009F0D" w:rsidRPr="452CDC45">
        <w:rPr>
          <w:rFonts w:ascii="Century Gothic" w:eastAsia="Century Gothic" w:hAnsi="Century Gothic" w:cs="Century Gothic"/>
        </w:rPr>
        <w:t xml:space="preserve">Women with disabilities often experience intersectional discrimination—where ableism intersects with sexism, racism, and other forms of oppression. This compounded discrimination can increase their risk of both gender-based violence and a lack of access to essential services, making them more vulnerable to the pressures of choosing </w:t>
      </w:r>
      <w:proofErr w:type="spellStart"/>
      <w:r w:rsidR="00009F0D" w:rsidRPr="452CDC45">
        <w:rPr>
          <w:rFonts w:ascii="Century Gothic" w:eastAsia="Century Gothic" w:hAnsi="Century Gothic" w:cs="Century Gothic"/>
        </w:rPr>
        <w:t>MAiD</w:t>
      </w:r>
      <w:proofErr w:type="spellEnd"/>
      <w:r w:rsidR="00009F0D" w:rsidRPr="452CDC45">
        <w:rPr>
          <w:rFonts w:ascii="Century Gothic" w:eastAsia="Century Gothic" w:hAnsi="Century Gothic" w:cs="Century Gothic"/>
        </w:rPr>
        <w:t xml:space="preserve">.  </w:t>
      </w:r>
    </w:p>
    <w:p w14:paraId="3724816C" w14:textId="0346D93C"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   - Cultural and Racial Factors: Indigenous, Black, and other racialized women with disabilities may face additional layers of discrimination and violence, exacerbating their vulnerability. The intersection of cultural and systemic barriers can make it even more difficult for these women to access the support they need, potentially leading them to consider </w:t>
      </w:r>
      <w:proofErr w:type="spellStart"/>
      <w:r w:rsidRPr="362ED30B">
        <w:rPr>
          <w:rFonts w:ascii="Century Gothic" w:eastAsia="Century Gothic" w:hAnsi="Century Gothic" w:cs="Century Gothic"/>
        </w:rPr>
        <w:t>MAiD</w:t>
      </w:r>
      <w:proofErr w:type="spellEnd"/>
      <w:r w:rsidRPr="362ED30B">
        <w:rPr>
          <w:rFonts w:ascii="Century Gothic" w:eastAsia="Century Gothic" w:hAnsi="Century Gothic" w:cs="Century Gothic"/>
        </w:rPr>
        <w:t xml:space="preserve"> as an option when their suffering becomes unbearable.  </w:t>
      </w:r>
    </w:p>
    <w:p w14:paraId="70923BAA" w14:textId="30AC70C4" w:rsidR="452CDC45" w:rsidRDefault="00009F0D" w:rsidP="452CDC45">
      <w:pPr>
        <w:rPr>
          <w:rFonts w:ascii="Century Gothic" w:eastAsia="Century Gothic" w:hAnsi="Century Gothic" w:cs="Century Gothic"/>
        </w:rPr>
      </w:pPr>
      <w:r w:rsidRPr="452CDC45">
        <w:rPr>
          <w:rFonts w:ascii="Century Gothic" w:eastAsia="Century Gothic" w:hAnsi="Century Gothic" w:cs="Century Gothic"/>
        </w:rPr>
        <w:t xml:space="preserve"> </w:t>
      </w:r>
    </w:p>
    <w:p w14:paraId="72FDAE89" w14:textId="0E14B321" w:rsidR="00009F0D" w:rsidRDefault="00009F0D" w:rsidP="3F630973">
      <w:pPr>
        <w:rPr>
          <w:rFonts w:ascii="Century Gothic" w:eastAsia="Century Gothic" w:hAnsi="Century Gothic" w:cs="Century Gothic"/>
        </w:rPr>
      </w:pPr>
      <w:r w:rsidRPr="7B7CA213">
        <w:rPr>
          <w:rFonts w:ascii="Century Gothic" w:eastAsia="Century Gothic" w:hAnsi="Century Gothic" w:cs="Century Gothic"/>
        </w:rPr>
        <w:t xml:space="preserve">5. Impact of Gender Norms and Expectations </w:t>
      </w:r>
    </w:p>
    <w:p w14:paraId="25DE21E2" w14:textId="689DE242" w:rsidR="00009F0D" w:rsidRDefault="00009F0D" w:rsidP="3F630973">
      <w:pPr>
        <w:rPr>
          <w:rFonts w:ascii="Century Gothic" w:eastAsia="Century Gothic" w:hAnsi="Century Gothic" w:cs="Century Gothic"/>
        </w:rPr>
      </w:pPr>
      <w:r w:rsidRPr="452CDC45">
        <w:rPr>
          <w:rFonts w:ascii="Century Gothic" w:eastAsia="Century Gothic" w:hAnsi="Century Gothic" w:cs="Century Gothic"/>
        </w:rPr>
        <w:t xml:space="preserve">   - Internalized Ableism and Sexism: Societal norms and expectations often devalue the lives of women with disabilities, viewing them as less capable or less valuable. Internalized ableism and sexism can lead women to believe that their suffering is inevitable or that their lives are not worth living. This belief can drive them toward considering </w:t>
      </w:r>
      <w:proofErr w:type="spellStart"/>
      <w:r w:rsidRPr="452CDC45">
        <w:rPr>
          <w:rFonts w:ascii="Century Gothic" w:eastAsia="Century Gothic" w:hAnsi="Century Gothic" w:cs="Century Gothic"/>
        </w:rPr>
        <w:t>MAiD</w:t>
      </w:r>
      <w:proofErr w:type="spellEnd"/>
      <w:r w:rsidRPr="452CDC45">
        <w:rPr>
          <w:rFonts w:ascii="Century Gothic" w:eastAsia="Century Gothic" w:hAnsi="Century Gothic" w:cs="Century Gothic"/>
        </w:rPr>
        <w:t xml:space="preserve">, particularly when they are also coping with the trauma of gender-based violence.  </w:t>
      </w:r>
    </w:p>
    <w:p w14:paraId="44543BEB" w14:textId="6D628954" w:rsidR="00009F0D" w:rsidRDefault="00009F0D" w:rsidP="3F630973">
      <w:pPr>
        <w:rPr>
          <w:rFonts w:ascii="Century Gothic" w:eastAsia="Century Gothic" w:hAnsi="Century Gothic" w:cs="Century Gothic"/>
        </w:rPr>
      </w:pPr>
      <w:r w:rsidRPr="79B38D5A">
        <w:rPr>
          <w:rFonts w:ascii="Century Gothic" w:eastAsia="Century Gothic" w:hAnsi="Century Gothic" w:cs="Century Gothic"/>
        </w:rPr>
        <w:lastRenderedPageBreak/>
        <w:t xml:space="preserve">  Caregiving Burdens: Many women with disabilities are expected to take on caregiving roles despite their own needs, further increasing their burden and stress. In abusive situations, this caregiving expectation can be weaponized by abusers, making women feel that </w:t>
      </w:r>
      <w:proofErr w:type="spellStart"/>
      <w:r w:rsidRPr="79B38D5A">
        <w:rPr>
          <w:rFonts w:ascii="Century Gothic" w:eastAsia="Century Gothic" w:hAnsi="Century Gothic" w:cs="Century Gothic"/>
        </w:rPr>
        <w:t>MAiD</w:t>
      </w:r>
      <w:proofErr w:type="spellEnd"/>
      <w:r w:rsidRPr="79B38D5A">
        <w:rPr>
          <w:rFonts w:ascii="Century Gothic" w:eastAsia="Century Gothic" w:hAnsi="Century Gothic" w:cs="Century Gothic"/>
        </w:rPr>
        <w:t xml:space="preserve"> is the only way to relieve themselves of an unbearable situation. </w:t>
      </w:r>
    </w:p>
    <w:p w14:paraId="69DEE34F" w14:textId="719E96DF" w:rsidR="00009F0D" w:rsidRDefault="00009F0D" w:rsidP="7B7CA213">
      <w:pPr>
        <w:rPr>
          <w:rFonts w:ascii="Century Gothic" w:eastAsia="Century Gothic" w:hAnsi="Century Gothic" w:cs="Century Gothic"/>
        </w:rPr>
      </w:pPr>
    </w:p>
    <w:p w14:paraId="5339A81D" w14:textId="234A2897" w:rsidR="00009F0D" w:rsidRDefault="00009F0D" w:rsidP="3F630973">
      <w:pPr>
        <w:rPr>
          <w:rFonts w:ascii="Century Gothic" w:eastAsia="Century Gothic" w:hAnsi="Century Gothic" w:cs="Century Gothic"/>
        </w:rPr>
      </w:pPr>
      <w:r w:rsidRPr="452CDC45">
        <w:rPr>
          <w:rFonts w:ascii="Century Gothic" w:eastAsia="Century Gothic" w:hAnsi="Century Gothic" w:cs="Century Gothic"/>
        </w:rPr>
        <w:t xml:space="preserve">6. COVID-19 </w:t>
      </w:r>
    </w:p>
    <w:p w14:paraId="620C00C9" w14:textId="4663CFCA" w:rsidR="00009F0D" w:rsidRDefault="00009F0D" w:rsidP="3F630973">
      <w:pPr>
        <w:rPr>
          <w:rFonts w:ascii="Century Gothic" w:eastAsia="Century Gothic" w:hAnsi="Century Gothic" w:cs="Century Gothic"/>
        </w:rPr>
      </w:pPr>
      <w:r w:rsidRPr="79B38D5A">
        <w:rPr>
          <w:rFonts w:ascii="Century Gothic" w:eastAsia="Century Gothic" w:hAnsi="Century Gothic" w:cs="Century Gothic"/>
        </w:rPr>
        <w:t>Women, girls and gender-diverse people with disabilities were and continue to be disproportionally affected by COVID-19.</w:t>
      </w:r>
      <w:r w:rsidRPr="79B38D5A">
        <w:rPr>
          <w:rStyle w:val="FootnoteReference"/>
          <w:rFonts w:ascii="Century Gothic" w:eastAsia="Century Gothic" w:hAnsi="Century Gothic" w:cs="Century Gothic"/>
        </w:rPr>
        <w:footnoteReference w:id="34"/>
      </w:r>
      <w:r w:rsidRPr="79B38D5A">
        <w:rPr>
          <w:rFonts w:ascii="Century Gothic" w:eastAsia="Century Gothic" w:hAnsi="Century Gothic" w:cs="Century Gothic"/>
        </w:rPr>
        <w:t xml:space="preserve"> Of all cases recorded by the government of Canada as of July 7, 2024, 54.8% were female.</w:t>
      </w:r>
      <w:r w:rsidRPr="79B38D5A">
        <w:rPr>
          <w:rStyle w:val="FootnoteReference"/>
          <w:rFonts w:ascii="Century Gothic" w:eastAsia="Century Gothic" w:hAnsi="Century Gothic" w:cs="Century Gothic"/>
        </w:rPr>
        <w:footnoteReference w:id="35"/>
      </w:r>
      <w:r w:rsidRPr="79B38D5A">
        <w:rPr>
          <w:rFonts w:ascii="Century Gothic" w:eastAsia="Century Gothic" w:hAnsi="Century Gothic" w:cs="Century Gothic"/>
        </w:rPr>
        <w:t xml:space="preserve"> Across all age groups over 12 years, females were more likely than males to have reported cases. Black Canadians reported having more frequent infections than other racialized groups.</w:t>
      </w:r>
      <w:r w:rsidRPr="79B38D5A">
        <w:rPr>
          <w:rStyle w:val="FootnoteReference"/>
          <w:rFonts w:ascii="Century Gothic" w:eastAsia="Century Gothic" w:hAnsi="Century Gothic" w:cs="Century Gothic"/>
        </w:rPr>
        <w:footnoteReference w:id="36"/>
      </w:r>
      <w:r w:rsidRPr="79B38D5A">
        <w:rPr>
          <w:rFonts w:ascii="Century Gothic" w:eastAsia="Century Gothic" w:hAnsi="Century Gothic" w:cs="Century Gothic"/>
        </w:rPr>
        <w:t xml:space="preserve"> Among those who experienced Long-term COVID-19, females (33%) were less likely than males (53%) to have resolved symptoms, with recovery taking much longer. Research from the United States on COVID-19 also confirms that those with pre-existing and chronic conditions like lung disease, diabetes and cardiovascular disease are six times more likely to require hospitalization and twelve times more likely to die from COVID-19.</w:t>
      </w:r>
      <w:r w:rsidRPr="79B38D5A">
        <w:rPr>
          <w:rStyle w:val="FootnoteReference"/>
          <w:rFonts w:ascii="Century Gothic" w:eastAsia="Century Gothic" w:hAnsi="Century Gothic" w:cs="Century Gothic"/>
        </w:rPr>
        <w:footnoteReference w:id="37"/>
      </w:r>
      <w:r w:rsidRPr="79B38D5A">
        <w:rPr>
          <w:rFonts w:ascii="Century Gothic" w:eastAsia="Century Gothic" w:hAnsi="Century Gothic" w:cs="Century Gothic"/>
        </w:rPr>
        <w:t xml:space="preserve"> We note this as rates of chronic and episodic disabilities are higher among women than men. </w:t>
      </w:r>
    </w:p>
    <w:p w14:paraId="007A6C56" w14:textId="0630B4F4" w:rsidR="3F630973" w:rsidRDefault="00009F0D" w:rsidP="79B38D5A">
      <w:pPr>
        <w:rPr>
          <w:rFonts w:ascii="Century Gothic" w:eastAsia="Century Gothic" w:hAnsi="Century Gothic" w:cs="Century Gothic"/>
        </w:rPr>
      </w:pPr>
      <w:r w:rsidRPr="79B38D5A">
        <w:rPr>
          <w:rFonts w:ascii="Century Gothic" w:eastAsia="Century Gothic" w:hAnsi="Century Gothic" w:cs="Century Gothic"/>
        </w:rPr>
        <w:t>For example, women in Canada are more likely than men to report being concerned about violence in the home as a result of COVID-19 policies.</w:t>
      </w:r>
      <w:r w:rsidR="3F630973" w:rsidRPr="79B38D5A">
        <w:rPr>
          <w:rStyle w:val="FootnoteReference"/>
          <w:rFonts w:ascii="Century Gothic" w:eastAsia="Century Gothic" w:hAnsi="Century Gothic" w:cs="Century Gothic"/>
        </w:rPr>
        <w:footnoteReference w:id="38"/>
      </w:r>
      <w:r w:rsidRPr="79B38D5A">
        <w:rPr>
          <w:rFonts w:ascii="Century Gothic" w:eastAsia="Century Gothic" w:hAnsi="Century Gothic" w:cs="Century Gothic"/>
        </w:rPr>
        <w:t xml:space="preserve"> This was especially true among younger women between the ages of 15- 24, as 12% of women were more likely to report they were very or extremely concerned about the possibility of violence in the home.</w:t>
      </w:r>
      <w:r w:rsidR="3F630973" w:rsidRPr="79B38D5A">
        <w:rPr>
          <w:rStyle w:val="FootnoteReference"/>
          <w:rFonts w:ascii="Century Gothic" w:eastAsia="Century Gothic" w:hAnsi="Century Gothic" w:cs="Century Gothic"/>
        </w:rPr>
        <w:footnoteReference w:id="39"/>
      </w:r>
      <w:r w:rsidRPr="79B38D5A">
        <w:rPr>
          <w:rFonts w:ascii="Century Gothic" w:eastAsia="Century Gothic" w:hAnsi="Century Gothic" w:cs="Century Gothic"/>
        </w:rPr>
        <w:t xml:space="preserve"> For women with disabilities, the risk of violence increases when they are racialized, younger, Indigenous, </w:t>
      </w:r>
      <w:r w:rsidRPr="79B38D5A">
        <w:rPr>
          <w:rFonts w:ascii="Century Gothic" w:eastAsia="Century Gothic" w:hAnsi="Century Gothic" w:cs="Century Gothic"/>
        </w:rPr>
        <w:lastRenderedPageBreak/>
        <w:t>2SLGBTQIA+, migrant workers, immigrants, non-status migrants or living in rural areas.</w:t>
      </w:r>
      <w:r w:rsidR="3F630973" w:rsidRPr="79B38D5A">
        <w:rPr>
          <w:rStyle w:val="FootnoteReference"/>
          <w:rFonts w:ascii="Century Gothic" w:eastAsia="Century Gothic" w:hAnsi="Century Gothic" w:cs="Century Gothic"/>
        </w:rPr>
        <w:footnoteReference w:id="40"/>
      </w:r>
      <w:r w:rsidRPr="79B38D5A">
        <w:rPr>
          <w:rFonts w:ascii="Century Gothic" w:eastAsia="Century Gothic" w:hAnsi="Century Gothic" w:cs="Century Gothic"/>
        </w:rPr>
        <w:t> As a key policy to reduce the risk of contracting or spreading COVID-19 has been shelter-in-place, we must also be attentive to the role of Intimate Partner Violence (IPV) in the lives of women with disabilities. Indeed, 36% of Canadian women with disabilities have experienced physical or sexual assault by an intimate partner, and 45% of women with disabilities have feared their partner.</w:t>
      </w:r>
      <w:r w:rsidR="3F630973" w:rsidRPr="79B38D5A">
        <w:rPr>
          <w:rStyle w:val="FootnoteReference"/>
          <w:rFonts w:ascii="Century Gothic" w:eastAsia="Century Gothic" w:hAnsi="Century Gothic" w:cs="Century Gothic"/>
        </w:rPr>
        <w:footnoteReference w:id="41"/>
      </w:r>
      <w:r w:rsidR="34E86C01" w:rsidRPr="79B38D5A">
        <w:rPr>
          <w:rFonts w:ascii="Century Gothic" w:eastAsia="Century Gothic" w:hAnsi="Century Gothic" w:cs="Century Gothic"/>
        </w:rPr>
        <w:t xml:space="preserve"> </w:t>
      </w:r>
      <w:r w:rsidRPr="79B38D5A">
        <w:rPr>
          <w:rFonts w:ascii="Century Gothic" w:eastAsia="Century Gothic" w:hAnsi="Century Gothic" w:cs="Century Gothic"/>
        </w:rPr>
        <w:t>Currently, there is a knowledge gap in understanding the impact of the COVID-19 pandemic on Indigenous Peoples, particularly in rates of mortality disaggregated by Indigenous population groups (First Nations people, Métis and Inuit).</w:t>
      </w:r>
    </w:p>
    <w:p w14:paraId="2AA25950" w14:textId="0088D868" w:rsidR="7B7CA213" w:rsidRDefault="7B7CA213" w:rsidP="7B7CA213">
      <w:pPr>
        <w:rPr>
          <w:rFonts w:hint="eastAsia"/>
        </w:rPr>
      </w:pPr>
    </w:p>
    <w:p w14:paraId="75E2F8DF" w14:textId="46999891" w:rsidR="7B7CA213" w:rsidRDefault="7B7CA213">
      <w:pPr>
        <w:rPr>
          <w:rFonts w:hint="eastAsia"/>
        </w:rPr>
      </w:pPr>
      <w:r>
        <w:br w:type="page"/>
      </w:r>
    </w:p>
    <w:p w14:paraId="779F4B55" w14:textId="6A8BE985" w:rsidR="00009F0D" w:rsidRDefault="00009F0D" w:rsidP="3F630973">
      <w:pPr>
        <w:pStyle w:val="Heading1"/>
        <w:rPr>
          <w:rFonts w:ascii="Century Gothic" w:eastAsia="Century Gothic" w:hAnsi="Century Gothic" w:cs="Century Gothic"/>
        </w:rPr>
      </w:pPr>
      <w:bookmarkStart w:id="19" w:name="_Toc1049365904"/>
      <w:r w:rsidRPr="452CDC45">
        <w:rPr>
          <w:rFonts w:ascii="Century Gothic" w:eastAsia="Century Gothic" w:hAnsi="Century Gothic" w:cs="Century Gothic"/>
        </w:rPr>
        <w:lastRenderedPageBreak/>
        <w:t>Summary Recommendations</w:t>
      </w:r>
      <w:bookmarkEnd w:id="19"/>
    </w:p>
    <w:p w14:paraId="223FF49B" w14:textId="3FAC7D19" w:rsidR="3F630973" w:rsidRDefault="3F630973" w:rsidP="3F630973">
      <w:pPr>
        <w:rPr>
          <w:rFonts w:ascii="Century Gothic" w:eastAsia="Century Gothic" w:hAnsi="Century Gothic" w:cs="Century Gothic"/>
        </w:rPr>
      </w:pPr>
    </w:p>
    <w:p w14:paraId="3C506108" w14:textId="64D6015D" w:rsidR="00009F0D" w:rsidRDefault="00009F0D" w:rsidP="3F630973">
      <w:pPr>
        <w:rPr>
          <w:rFonts w:ascii="Century Gothic" w:eastAsia="Century Gothic" w:hAnsi="Century Gothic" w:cs="Century Gothic"/>
        </w:rPr>
      </w:pPr>
      <w:r w:rsidRPr="362ED30B">
        <w:rPr>
          <w:rFonts w:ascii="Century Gothic" w:eastAsia="Century Gothic" w:hAnsi="Century Gothic" w:cs="Century Gothic"/>
        </w:rPr>
        <w:t xml:space="preserve">Throughout this submission, we have provided critical highlights for the committee to be aware of. Given these realities, DAWN Canada recommends the following:  </w:t>
      </w:r>
    </w:p>
    <w:p w14:paraId="493EFF4C" w14:textId="5EAD188B" w:rsidR="00009F0D" w:rsidRDefault="00009F0D" w:rsidP="7B7CA213">
      <w:pPr>
        <w:pStyle w:val="ListParagraph"/>
        <w:numPr>
          <w:ilvl w:val="0"/>
          <w:numId w:val="1"/>
        </w:numPr>
        <w:rPr>
          <w:rFonts w:ascii="Century Gothic" w:eastAsia="Century Gothic" w:hAnsi="Century Gothic" w:cs="Century Gothic"/>
        </w:rPr>
      </w:pPr>
      <w:r w:rsidRPr="452CDC45">
        <w:rPr>
          <w:rFonts w:ascii="Century Gothic" w:eastAsia="Century Gothic" w:hAnsi="Century Gothic" w:cs="Century Gothic"/>
        </w:rPr>
        <w:t>Reliable</w:t>
      </w:r>
      <w:r w:rsidR="389C82BD" w:rsidRPr="452CDC45">
        <w:rPr>
          <w:rFonts w:ascii="Century Gothic" w:eastAsia="Century Gothic" w:hAnsi="Century Gothic" w:cs="Century Gothic"/>
        </w:rPr>
        <w:t xml:space="preserve"> and adequate</w:t>
      </w:r>
      <w:r w:rsidRPr="452CDC45">
        <w:rPr>
          <w:rFonts w:ascii="Century Gothic" w:eastAsia="Century Gothic" w:hAnsi="Century Gothic" w:cs="Century Gothic"/>
        </w:rPr>
        <w:t xml:space="preserve"> funding for culturally specific services and healthcare for Indigenous women with disabilities </w:t>
      </w:r>
      <w:r w:rsidR="2987B3F4" w:rsidRPr="452CDC45">
        <w:rPr>
          <w:rFonts w:ascii="Century Gothic" w:eastAsia="Century Gothic" w:hAnsi="Century Gothic" w:cs="Century Gothic"/>
        </w:rPr>
        <w:t xml:space="preserve">in First Nations communities, </w:t>
      </w:r>
      <w:r w:rsidRPr="452CDC45">
        <w:rPr>
          <w:rFonts w:ascii="Century Gothic" w:eastAsia="Century Gothic" w:hAnsi="Century Gothic" w:cs="Century Gothic"/>
        </w:rPr>
        <w:t xml:space="preserve">on and off reserve.  </w:t>
      </w:r>
      <w:r>
        <w:br/>
      </w:r>
    </w:p>
    <w:p w14:paraId="3E0F18C9" w14:textId="25C3B56F" w:rsidR="00009F0D" w:rsidRDefault="00009F0D" w:rsidP="7B7CA213">
      <w:pPr>
        <w:pStyle w:val="ListParagraph"/>
        <w:numPr>
          <w:ilvl w:val="0"/>
          <w:numId w:val="1"/>
        </w:numPr>
        <w:rPr>
          <w:rFonts w:ascii="Century Gothic" w:eastAsia="Century Gothic" w:hAnsi="Century Gothic" w:cs="Century Gothic"/>
        </w:rPr>
      </w:pPr>
      <w:r w:rsidRPr="7B7CA213">
        <w:rPr>
          <w:rFonts w:ascii="Century Gothic" w:eastAsia="Century Gothic" w:hAnsi="Century Gothic" w:cs="Century Gothic"/>
        </w:rPr>
        <w:t>Intersectional inequalities: Collection of Disaggregated Data: We know that C</w:t>
      </w:r>
      <w:r w:rsidR="64A2AEF9" w:rsidRPr="7B7CA213">
        <w:rPr>
          <w:rFonts w:ascii="Century Gothic" w:eastAsia="Century Gothic" w:hAnsi="Century Gothic" w:cs="Century Gothic"/>
        </w:rPr>
        <w:t>OVID</w:t>
      </w:r>
      <w:r w:rsidRPr="7B7CA213">
        <w:rPr>
          <w:rFonts w:ascii="Century Gothic" w:eastAsia="Century Gothic" w:hAnsi="Century Gothic" w:cs="Century Gothic"/>
        </w:rPr>
        <w:t xml:space="preserve">-19 is disproportionately impacting certain populations including women, racialized people and new immigrants, Indigenous communities, those who are poor, those who are incarcerated or live in congregate settings, those with disabilities, front-line workers, and paid and unpaid care </w:t>
      </w:r>
      <w:proofErr w:type="spellStart"/>
      <w:r w:rsidRPr="7B7CA213">
        <w:rPr>
          <w:rFonts w:ascii="Century Gothic" w:eastAsia="Century Gothic" w:hAnsi="Century Gothic" w:cs="Century Gothic"/>
        </w:rPr>
        <w:t>labour</w:t>
      </w:r>
      <w:proofErr w:type="spellEnd"/>
      <w:r w:rsidRPr="7B7CA213">
        <w:rPr>
          <w:rFonts w:ascii="Century Gothic" w:eastAsia="Century Gothic" w:hAnsi="Century Gothic" w:cs="Century Gothic"/>
        </w:rPr>
        <w:t xml:space="preserve"> etc. Clear data here will help inform policy responses that meet the needs of the most underserved in Canada.  </w:t>
      </w:r>
      <w:r>
        <w:br/>
      </w:r>
    </w:p>
    <w:p w14:paraId="1A854255" w14:textId="2DA1A097" w:rsidR="00009F0D" w:rsidRDefault="00009F0D" w:rsidP="79B38D5A">
      <w:pPr>
        <w:pStyle w:val="ListParagraph"/>
        <w:numPr>
          <w:ilvl w:val="0"/>
          <w:numId w:val="1"/>
        </w:numPr>
        <w:rPr>
          <w:rFonts w:ascii="Century Gothic" w:eastAsia="Century Gothic" w:hAnsi="Century Gothic" w:cs="Century Gothic"/>
        </w:rPr>
      </w:pPr>
      <w:r w:rsidRPr="79B38D5A">
        <w:rPr>
          <w:rFonts w:ascii="Century Gothic" w:eastAsia="Century Gothic" w:hAnsi="Century Gothic" w:cs="Century Gothic"/>
        </w:rPr>
        <w:t>With Canada’s obligations under the Convention on the Elimination of Discrimination Against Women (CEDAW) and the Convention on the Rights of Persons with Disabilities (CRPD), DAWN Canada strongly urges the government to halt any further expansions to Medical Assistance in Dying (MAID) without extensive ethical review that considers gender-based violence and the linkages with Medical Assistance in Dying (</w:t>
      </w:r>
      <w:proofErr w:type="spellStart"/>
      <w:r w:rsidRPr="79B38D5A">
        <w:rPr>
          <w:rFonts w:ascii="Century Gothic" w:eastAsia="Century Gothic" w:hAnsi="Century Gothic" w:cs="Century Gothic"/>
        </w:rPr>
        <w:t>MAiD</w:t>
      </w:r>
      <w:proofErr w:type="spellEnd"/>
      <w:r w:rsidRPr="79B38D5A">
        <w:rPr>
          <w:rFonts w:ascii="Century Gothic" w:eastAsia="Century Gothic" w:hAnsi="Century Gothic" w:cs="Century Gothic"/>
        </w:rPr>
        <w:t xml:space="preserve">) specific to the pressures applied through societal barriers and systemic pressures, as well as unique challenges faced by women with disabilities to ensure that </w:t>
      </w:r>
      <w:proofErr w:type="spellStart"/>
      <w:r w:rsidRPr="79B38D5A">
        <w:rPr>
          <w:rFonts w:ascii="Century Gothic" w:eastAsia="Century Gothic" w:hAnsi="Century Gothic" w:cs="Century Gothic"/>
        </w:rPr>
        <w:t>MAiD</w:t>
      </w:r>
      <w:proofErr w:type="spellEnd"/>
      <w:r w:rsidRPr="79B38D5A">
        <w:rPr>
          <w:rFonts w:ascii="Century Gothic" w:eastAsia="Century Gothic" w:hAnsi="Century Gothic" w:cs="Century Gothic"/>
        </w:rPr>
        <w:t xml:space="preserve"> is a truly autonomous choice, free from coercion or desperation.  Women, girls and gender diverse people with disabilities deserve to have dignity in life before there is consideration of dignity in death. </w:t>
      </w:r>
    </w:p>
    <w:p w14:paraId="77590546" w14:textId="4C1C5AB9" w:rsidR="3F630973" w:rsidRDefault="3F630973" w:rsidP="7B7CA213">
      <w:pPr>
        <w:rPr>
          <w:rFonts w:ascii="Century Gothic" w:eastAsia="Century Gothic" w:hAnsi="Century Gothic" w:cs="Century Gothic"/>
        </w:rPr>
      </w:pPr>
    </w:p>
    <w:p w14:paraId="47F201AF" w14:textId="42366570" w:rsidR="3F630973" w:rsidRDefault="3F630973" w:rsidP="3F630973">
      <w:pPr>
        <w:rPr>
          <w:rFonts w:ascii="Century Gothic" w:eastAsia="Century Gothic" w:hAnsi="Century Gothic" w:cs="Century Gothic"/>
        </w:rPr>
      </w:pPr>
    </w:p>
    <w:sectPr w:rsidR="3F630973">
      <w:headerReference w:type="default"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4EDC04" w14:textId="77777777" w:rsidR="00EC17AD" w:rsidRDefault="00EC17AD">
      <w:pPr>
        <w:spacing w:after="0" w:line="240" w:lineRule="auto"/>
        <w:rPr>
          <w:rFonts w:hint="eastAsia"/>
        </w:rPr>
      </w:pPr>
      <w:r>
        <w:separator/>
      </w:r>
    </w:p>
  </w:endnote>
  <w:endnote w:type="continuationSeparator" w:id="0">
    <w:p w14:paraId="010A1EE9" w14:textId="77777777" w:rsidR="00EC17AD" w:rsidRDefault="00EC17AD">
      <w:pPr>
        <w:spacing w:after="0" w:line="240" w:lineRule="auto"/>
        <w:rPr>
          <w:rFonts w:hint="eastAsia"/>
        </w:rPr>
      </w:pPr>
      <w:r>
        <w:continuationSeparator/>
      </w:r>
    </w:p>
  </w:endnote>
  <w:endnote w:type="continuationNotice" w:id="1">
    <w:p w14:paraId="390BBDE0" w14:textId="77777777" w:rsidR="00EC17AD" w:rsidRDefault="00EC17AD">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entury Gothic">
    <w:altName w:val="Calibr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3F630973" w14:paraId="3FE29FA9" w14:textId="77777777" w:rsidTr="362ED30B">
      <w:trPr>
        <w:trHeight w:val="300"/>
      </w:trPr>
      <w:tc>
        <w:tcPr>
          <w:tcW w:w="3120" w:type="dxa"/>
        </w:tcPr>
        <w:p w14:paraId="410886CF" w14:textId="186AD53F" w:rsidR="3F630973" w:rsidRDefault="362ED30B" w:rsidP="3F630973">
          <w:pPr>
            <w:pStyle w:val="Header"/>
            <w:ind w:left="-115"/>
            <w:rPr>
              <w:rFonts w:hint="eastAsia"/>
            </w:rPr>
          </w:pPr>
          <w:r>
            <w:t>© 2024 DAWN Canada</w:t>
          </w:r>
        </w:p>
      </w:tc>
      <w:tc>
        <w:tcPr>
          <w:tcW w:w="3120" w:type="dxa"/>
        </w:tcPr>
        <w:p w14:paraId="60D27A43" w14:textId="4D4B0230" w:rsidR="3F630973" w:rsidRDefault="3F630973" w:rsidP="3F630973">
          <w:pPr>
            <w:pStyle w:val="Header"/>
            <w:jc w:val="center"/>
            <w:rPr>
              <w:rFonts w:hint="eastAsia"/>
            </w:rPr>
          </w:pPr>
        </w:p>
      </w:tc>
      <w:tc>
        <w:tcPr>
          <w:tcW w:w="3120" w:type="dxa"/>
        </w:tcPr>
        <w:p w14:paraId="52F22C8B" w14:textId="264B760F" w:rsidR="3F630973" w:rsidRDefault="3F630973" w:rsidP="3F630973">
          <w:pPr>
            <w:pStyle w:val="Header"/>
            <w:ind w:right="-115"/>
            <w:jc w:val="right"/>
            <w:rPr>
              <w:rFonts w:hint="eastAsia"/>
            </w:rPr>
          </w:pPr>
          <w:r>
            <w:fldChar w:fldCharType="begin"/>
          </w:r>
          <w:r>
            <w:instrText>PAGE</w:instrText>
          </w:r>
          <w:r>
            <w:fldChar w:fldCharType="separate"/>
          </w:r>
          <w:r w:rsidR="00BD062B">
            <w:rPr>
              <w:noProof/>
            </w:rPr>
            <w:t>2</w:t>
          </w:r>
          <w:r>
            <w:fldChar w:fldCharType="end"/>
          </w:r>
        </w:p>
      </w:tc>
    </w:tr>
  </w:tbl>
  <w:p w14:paraId="168D9246" w14:textId="7A312FD1" w:rsidR="3F630973" w:rsidRDefault="3F630973" w:rsidP="3F630973">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3F630973" w14:paraId="069B5EAF" w14:textId="77777777" w:rsidTr="3F630973">
      <w:trPr>
        <w:trHeight w:val="300"/>
      </w:trPr>
      <w:tc>
        <w:tcPr>
          <w:tcW w:w="3120" w:type="dxa"/>
        </w:tcPr>
        <w:p w14:paraId="03B3494F" w14:textId="1703B425" w:rsidR="3F630973" w:rsidRDefault="3F630973" w:rsidP="3F630973">
          <w:pPr>
            <w:pStyle w:val="Header"/>
            <w:ind w:left="-115"/>
            <w:rPr>
              <w:rFonts w:hint="eastAsia"/>
            </w:rPr>
          </w:pPr>
        </w:p>
      </w:tc>
      <w:tc>
        <w:tcPr>
          <w:tcW w:w="3120" w:type="dxa"/>
        </w:tcPr>
        <w:p w14:paraId="7A744DD9" w14:textId="76605BC0" w:rsidR="3F630973" w:rsidRDefault="3F630973" w:rsidP="3F630973">
          <w:pPr>
            <w:pStyle w:val="Header"/>
            <w:jc w:val="center"/>
            <w:rPr>
              <w:rFonts w:hint="eastAsia"/>
            </w:rPr>
          </w:pPr>
        </w:p>
      </w:tc>
      <w:tc>
        <w:tcPr>
          <w:tcW w:w="3120" w:type="dxa"/>
        </w:tcPr>
        <w:p w14:paraId="3C8D4A2A" w14:textId="01AB8AC7" w:rsidR="3F630973" w:rsidRDefault="3F630973" w:rsidP="3F630973">
          <w:pPr>
            <w:pStyle w:val="Header"/>
            <w:ind w:right="-115"/>
            <w:jc w:val="right"/>
            <w:rPr>
              <w:rFonts w:hint="eastAsia"/>
            </w:rPr>
          </w:pPr>
        </w:p>
      </w:tc>
    </w:tr>
  </w:tbl>
  <w:p w14:paraId="44909C99" w14:textId="762EE077" w:rsidR="3F630973" w:rsidRDefault="3F630973" w:rsidP="3F630973">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B6763A" w14:textId="77777777" w:rsidR="00EC17AD" w:rsidRDefault="00EC17AD">
      <w:pPr>
        <w:spacing w:after="0" w:line="240" w:lineRule="auto"/>
        <w:rPr>
          <w:rFonts w:hint="eastAsia"/>
        </w:rPr>
      </w:pPr>
      <w:r>
        <w:separator/>
      </w:r>
    </w:p>
  </w:footnote>
  <w:footnote w:type="continuationSeparator" w:id="0">
    <w:p w14:paraId="6446D426" w14:textId="77777777" w:rsidR="00EC17AD" w:rsidRDefault="00EC17AD">
      <w:pPr>
        <w:spacing w:after="0" w:line="240" w:lineRule="auto"/>
        <w:rPr>
          <w:rFonts w:hint="eastAsia"/>
        </w:rPr>
      </w:pPr>
      <w:r>
        <w:continuationSeparator/>
      </w:r>
    </w:p>
  </w:footnote>
  <w:footnote w:type="continuationNotice" w:id="1">
    <w:p w14:paraId="66DD797F" w14:textId="77777777" w:rsidR="00EC17AD" w:rsidRDefault="00EC17AD">
      <w:pPr>
        <w:spacing w:after="0" w:line="240" w:lineRule="auto"/>
        <w:rPr>
          <w:rFonts w:hint="eastAsia"/>
        </w:rPr>
      </w:pPr>
    </w:p>
  </w:footnote>
  <w:footnote w:id="2">
    <w:p w14:paraId="2FFBED04" w14:textId="5F1A3F4A" w:rsidR="3F630973" w:rsidRDefault="3F630973" w:rsidP="3F630973">
      <w:pPr>
        <w:pStyle w:val="FootnoteText"/>
        <w:rPr>
          <w:rFonts w:hint="eastAsia"/>
        </w:rPr>
      </w:pPr>
      <w:r w:rsidRPr="3F630973">
        <w:rPr>
          <w:rStyle w:val="FootnoteReference"/>
        </w:rPr>
        <w:footnoteRef/>
      </w:r>
      <w:r>
        <w:t xml:space="preserve"> Public Safety Canada (2023) Parliamentary Committee Notes: Overrepresentation (Indigenous Offenders</w:t>
      </w:r>
      <w:proofErr w:type="gramStart"/>
      <w:r>
        <w:t xml:space="preserve">),   </w:t>
      </w:r>
      <w:proofErr w:type="gramEnd"/>
      <w:r>
        <w:t xml:space="preserve">https://www.publicsafety.gc.ca/cnt/trnsprnc/brfng-mtrls/prlmntry-bndrs/20230720/12-en.aspx     </w:t>
      </w:r>
    </w:p>
  </w:footnote>
  <w:footnote w:id="3">
    <w:p w14:paraId="501182B9" w14:textId="2555410A" w:rsidR="362ED30B" w:rsidRDefault="362ED30B" w:rsidP="362ED30B">
      <w:pPr>
        <w:pStyle w:val="FootnoteText"/>
        <w:rPr>
          <w:rFonts w:hint="eastAsia"/>
        </w:rPr>
      </w:pPr>
      <w:r w:rsidRPr="362ED30B">
        <w:rPr>
          <w:rStyle w:val="FootnoteReference"/>
        </w:rPr>
        <w:footnoteRef/>
      </w:r>
      <w:r w:rsidRPr="00A65BCB">
        <w:rPr>
          <w:lang w:val="fr-CA"/>
        </w:rPr>
        <w:t xml:space="preserve"> Durand, E., </w:t>
      </w:r>
      <w:proofErr w:type="spellStart"/>
      <w:r w:rsidRPr="00A65BCB">
        <w:rPr>
          <w:lang w:val="fr-CA"/>
        </w:rPr>
        <w:t>Watier</w:t>
      </w:r>
      <w:proofErr w:type="spellEnd"/>
      <w:r w:rsidRPr="00A65BCB">
        <w:rPr>
          <w:lang w:val="fr-CA"/>
        </w:rPr>
        <w:t xml:space="preserve">, L., </w:t>
      </w:r>
      <w:proofErr w:type="spellStart"/>
      <w:r w:rsidRPr="00A65BCB">
        <w:rPr>
          <w:lang w:val="fr-CA"/>
        </w:rPr>
        <w:t>Lécu</w:t>
      </w:r>
      <w:proofErr w:type="spellEnd"/>
      <w:r w:rsidRPr="00A65BCB">
        <w:rPr>
          <w:lang w:val="fr-CA"/>
        </w:rPr>
        <w:t xml:space="preserve">, A., Fix, M., Weiss, J. J., </w:t>
      </w:r>
      <w:proofErr w:type="spellStart"/>
      <w:r w:rsidRPr="00A65BCB">
        <w:rPr>
          <w:lang w:val="fr-CA"/>
        </w:rPr>
        <w:t>Chevignard</w:t>
      </w:r>
      <w:proofErr w:type="spellEnd"/>
      <w:r w:rsidRPr="00A65BCB">
        <w:rPr>
          <w:lang w:val="fr-CA"/>
        </w:rPr>
        <w:t xml:space="preserve">, M., &amp; </w:t>
      </w:r>
      <w:proofErr w:type="spellStart"/>
      <w:r w:rsidRPr="00A65BCB">
        <w:rPr>
          <w:lang w:val="fr-CA"/>
        </w:rPr>
        <w:t>Pradat</w:t>
      </w:r>
      <w:proofErr w:type="spellEnd"/>
      <w:r w:rsidRPr="00A65BCB">
        <w:rPr>
          <w:lang w:val="fr-CA"/>
        </w:rPr>
        <w:t xml:space="preserve">‐Diehl, P. (2017). </w:t>
      </w:r>
      <w:r>
        <w:t xml:space="preserve">Traumatic brain injury among female offenders in a prison population: results of the </w:t>
      </w:r>
      <w:proofErr w:type="spellStart"/>
      <w:r>
        <w:t>FleuryTBI</w:t>
      </w:r>
      <w:proofErr w:type="spellEnd"/>
      <w:r>
        <w:t xml:space="preserve"> study. Brain and behavior, 7(1).  </w:t>
      </w:r>
    </w:p>
  </w:footnote>
  <w:footnote w:id="4">
    <w:p w14:paraId="5C0B72DB" w14:textId="0E83C662" w:rsidR="362ED30B" w:rsidRDefault="362ED30B" w:rsidP="362ED30B">
      <w:pPr>
        <w:pStyle w:val="FootnoteText"/>
        <w:rPr>
          <w:rFonts w:hint="eastAsia"/>
        </w:rPr>
      </w:pPr>
      <w:r w:rsidRPr="362ED30B">
        <w:rPr>
          <w:rStyle w:val="FootnoteReference"/>
        </w:rPr>
        <w:footnoteRef/>
      </w:r>
      <w:r>
        <w:t xml:space="preserve"> Ware, S., </w:t>
      </w:r>
      <w:proofErr w:type="spellStart"/>
      <w:r>
        <w:t>Ruzsa</w:t>
      </w:r>
      <w:proofErr w:type="spellEnd"/>
      <w:r>
        <w:t>, J., &amp; Dias, G. (2014). It can’t be fixed because it’s not broken: Racism and disability in the prison industrial complex. In Disability incarcerated (pp. 163-184). Palgrave Macmillan, New York.</w:t>
      </w:r>
    </w:p>
  </w:footnote>
  <w:footnote w:id="5">
    <w:p w14:paraId="79210B2D" w14:textId="3F153144" w:rsidR="362ED30B" w:rsidRDefault="362ED30B" w:rsidP="362ED30B">
      <w:pPr>
        <w:pStyle w:val="FootnoteText"/>
        <w:rPr>
          <w:rFonts w:hint="eastAsia"/>
        </w:rPr>
      </w:pPr>
      <w:r w:rsidRPr="362ED30B">
        <w:rPr>
          <w:rStyle w:val="FootnoteReference"/>
        </w:rPr>
        <w:footnoteRef/>
      </w:r>
      <w:r>
        <w:t xml:space="preserve"> Maxwell, A (2022) Shelters for victims of abuse with ties to Indigenous communities or organizations in Canada, 2020/2021 https://www150.statcan.gc.ca/n1/pub/85-002-x/2022001/article/00014-eng.htm</w:t>
      </w:r>
    </w:p>
  </w:footnote>
  <w:footnote w:id="6">
    <w:p w14:paraId="31DC669E" w14:textId="598A1663" w:rsidR="362ED30B" w:rsidRDefault="362ED30B" w:rsidP="362ED30B">
      <w:pPr>
        <w:pStyle w:val="FootnoteText"/>
        <w:rPr>
          <w:rFonts w:hint="eastAsia"/>
        </w:rPr>
      </w:pPr>
      <w:r w:rsidRPr="362ED30B">
        <w:rPr>
          <w:rStyle w:val="FootnoteReference"/>
        </w:rPr>
        <w:footnoteRef/>
      </w:r>
      <w:r>
        <w:t xml:space="preserve"> Stats Can (2022) Criminal victimization of First Nations, Métis and Inuit people in Canada, 2018 to 2020, https://www150.statcan.gc.ca/n1/daily-quotidien/220719/dq220719c-eng.htm</w:t>
      </w:r>
    </w:p>
  </w:footnote>
  <w:footnote w:id="7">
    <w:p w14:paraId="1A89C1D4" w14:textId="6B972FF2" w:rsidR="362ED30B" w:rsidRDefault="362ED30B" w:rsidP="362ED30B">
      <w:pPr>
        <w:pStyle w:val="FootnoteText"/>
        <w:rPr>
          <w:rFonts w:hint="eastAsia"/>
        </w:rPr>
      </w:pPr>
      <w:r w:rsidRPr="362ED30B">
        <w:rPr>
          <w:rStyle w:val="FootnoteReference"/>
        </w:rPr>
        <w:footnoteRef/>
      </w:r>
      <w:r>
        <w:t xml:space="preserve"> Bixby, L. Bevan, S. and </w:t>
      </w:r>
      <w:proofErr w:type="spellStart"/>
      <w:r>
        <w:t>Boan</w:t>
      </w:r>
      <w:proofErr w:type="spellEnd"/>
      <w:r>
        <w:t xml:space="preserve">, C. (2022). The Links Between Disability, Incarceration, and Social </w:t>
      </w:r>
      <w:proofErr w:type="gramStart"/>
      <w:r>
        <w:t>Exclusion,  https://www.ncbi.nlm.nih.gov/pmc/articles/PMC10335036/</w:t>
      </w:r>
      <w:proofErr w:type="gramEnd"/>
    </w:p>
  </w:footnote>
  <w:footnote w:id="8">
    <w:p w14:paraId="523D0C8F" w14:textId="29850860" w:rsidR="362ED30B" w:rsidRDefault="362ED30B" w:rsidP="362ED30B">
      <w:pPr>
        <w:pStyle w:val="FootnoteText"/>
        <w:rPr>
          <w:rFonts w:hint="eastAsia"/>
        </w:rPr>
      </w:pPr>
      <w:r w:rsidRPr="362ED30B">
        <w:rPr>
          <w:rStyle w:val="FootnoteReference"/>
        </w:rPr>
        <w:footnoteRef/>
      </w:r>
      <w:r>
        <w:t xml:space="preserve"> Haig, T. (2020) Human rights groups sue Ottawa over COVID threat in prisons. Available at: https://www.rcinet.ca/en/2020/05/13/human-rights-groups-sue-ottawa-over-covid-threat-in-prisons/</w:t>
      </w:r>
    </w:p>
  </w:footnote>
  <w:footnote w:id="9">
    <w:p w14:paraId="07570B4E" w14:textId="79EE6459" w:rsidR="362ED30B" w:rsidRDefault="362ED30B" w:rsidP="362ED30B">
      <w:pPr>
        <w:pStyle w:val="FootnoteText"/>
        <w:rPr>
          <w:rFonts w:hint="eastAsia"/>
        </w:rPr>
      </w:pPr>
      <w:r w:rsidRPr="362ED30B">
        <w:rPr>
          <w:rStyle w:val="FootnoteReference"/>
        </w:rPr>
        <w:footnoteRef/>
      </w:r>
      <w:r>
        <w:t xml:space="preserve"> Stevens, C. (2016) More than 2,900 Ontarians with developmental disabilities live in long-term care facilities. Available at: https://globalnews.ca/news/2843104/more-than-2900-ontarians-with-developmental-disabilities-live-in-long-term-care-facilities/</w:t>
      </w:r>
    </w:p>
  </w:footnote>
  <w:footnote w:id="10">
    <w:p w14:paraId="655BDAF3" w14:textId="5A588CFE" w:rsidR="362ED30B" w:rsidRDefault="362ED30B" w:rsidP="362ED30B">
      <w:pPr>
        <w:pStyle w:val="FootnoteText"/>
        <w:rPr>
          <w:rFonts w:hint="eastAsia"/>
        </w:rPr>
      </w:pPr>
      <w:r w:rsidRPr="362ED30B">
        <w:rPr>
          <w:rStyle w:val="FootnoteReference"/>
        </w:rPr>
        <w:footnoteRef/>
      </w:r>
      <w:r>
        <w:t xml:space="preserve"> Bowden, O. (2020) More Canadian women have COVID-19 and are dying as a result. Here’s some possible reasons why. Available at: https://globalnews.ca/news/6920505/more-women-have-coronavirus/</w:t>
      </w:r>
    </w:p>
  </w:footnote>
  <w:footnote w:id="11">
    <w:p w14:paraId="6398BB32" w14:textId="31B15EFC" w:rsidR="362ED30B" w:rsidRDefault="362ED30B" w:rsidP="362ED30B">
      <w:pPr>
        <w:pStyle w:val="FootnoteText"/>
        <w:rPr>
          <w:rFonts w:hint="eastAsia"/>
        </w:rPr>
      </w:pPr>
      <w:r w:rsidRPr="362ED30B">
        <w:rPr>
          <w:rStyle w:val="FootnoteReference"/>
        </w:rPr>
        <w:footnoteRef/>
      </w:r>
      <w:r>
        <w:t xml:space="preserve"> Statistics Canada. (2023). Canadian Survey on Disability, 2017 to 2022. https://www150.statcan.gc.ca/n1/en/daily-quotidien/231201/dq231201b-eng.pdf?st=ueYHlbJc   </w:t>
      </w:r>
    </w:p>
  </w:footnote>
  <w:footnote w:id="12">
    <w:p w14:paraId="7C91C11D" w14:textId="64F1811A" w:rsidR="7B7CA213" w:rsidRDefault="7B7CA213" w:rsidP="7B7CA213">
      <w:pPr>
        <w:pStyle w:val="FootnoteText"/>
        <w:rPr>
          <w:rFonts w:hint="eastAsia"/>
        </w:rPr>
      </w:pPr>
      <w:r w:rsidRPr="7B7CA213">
        <w:rPr>
          <w:rStyle w:val="FootnoteReference"/>
        </w:rPr>
        <w:footnoteRef/>
      </w:r>
      <w:r>
        <w:t xml:space="preserve"> Stats Can (2021) Intimate partner violence among diverse populations in Canada, </w:t>
      </w:r>
      <w:proofErr w:type="gramStart"/>
      <w:r>
        <w:t>2018  https://www150.statcan.gc.ca/n1/daily-quotidien/210519/dq210519c-eng.htm</w:t>
      </w:r>
      <w:proofErr w:type="gramEnd"/>
    </w:p>
  </w:footnote>
  <w:footnote w:id="13">
    <w:p w14:paraId="0064FAD1" w14:textId="0B8E0352" w:rsidR="362ED30B" w:rsidRDefault="362ED30B" w:rsidP="362ED30B">
      <w:pPr>
        <w:pStyle w:val="FootnoteText"/>
        <w:rPr>
          <w:rFonts w:hint="eastAsia"/>
        </w:rPr>
      </w:pPr>
      <w:r w:rsidRPr="362ED30B">
        <w:rPr>
          <w:rStyle w:val="FootnoteReference"/>
        </w:rPr>
        <w:footnoteRef/>
      </w:r>
      <w:r>
        <w:t xml:space="preserve"> Maxwell, A (2022) Shelters for victims of abuse with ties to Indigenous communities or organizations in Canada, 2020/2021. https://www150.statcan.gc.ca/n1/pub/85-002-x/2022001/article/00014-eng.htm      </w:t>
      </w:r>
    </w:p>
  </w:footnote>
  <w:footnote w:id="14">
    <w:p w14:paraId="3F75C33E" w14:textId="19F499AE" w:rsidR="7B7CA213" w:rsidRDefault="7B7CA213" w:rsidP="7B7CA213">
      <w:pPr>
        <w:pStyle w:val="FootnoteText"/>
        <w:rPr>
          <w:rFonts w:hint="eastAsia"/>
        </w:rPr>
      </w:pPr>
      <w:r w:rsidRPr="7B7CA213">
        <w:rPr>
          <w:rStyle w:val="FootnoteReference"/>
        </w:rPr>
        <w:footnoteRef/>
      </w:r>
      <w:r>
        <w:t xml:space="preserve"> Prather, C., Fuller, T. R., Jeffries IV, W. L., Marshall, K. J., Howell, A. V., </w:t>
      </w:r>
      <w:proofErr w:type="spellStart"/>
      <w:r>
        <w:t>Belyue-Umole</w:t>
      </w:r>
      <w:proofErr w:type="spellEnd"/>
      <w:r>
        <w:t>, A., &amp; King, W. (2018). Racism, African American women, and their sexual and reproductive health: a review of historical and contemporary evidence and implications for health equity. Health equity, 2(1), 249-259.</w:t>
      </w:r>
    </w:p>
  </w:footnote>
  <w:footnote w:id="15">
    <w:p w14:paraId="7850B3CB" w14:textId="4DE58FA3" w:rsidR="7B7CA213" w:rsidRDefault="7B7CA213" w:rsidP="7B7CA213">
      <w:pPr>
        <w:pStyle w:val="FootnoteText"/>
        <w:rPr>
          <w:rFonts w:hint="eastAsia"/>
        </w:rPr>
      </w:pPr>
      <w:r w:rsidRPr="7B7CA213">
        <w:rPr>
          <w:rStyle w:val="FootnoteReference"/>
        </w:rPr>
        <w:footnoteRef/>
      </w:r>
      <w:r>
        <w:t xml:space="preserve"> Prather, C., Fuller, T. R., Jeffries IV, W. L., Marshall, K. J., Howell, A. V., </w:t>
      </w:r>
      <w:proofErr w:type="spellStart"/>
      <w:r>
        <w:t>Belyue-Umole</w:t>
      </w:r>
      <w:proofErr w:type="spellEnd"/>
      <w:r>
        <w:t>, A., &amp; King, W. (2018). Racism, African American women, and their sexual and reproductive health: a review of historical and contemporary evidence and implications for health equity. Health equity, 2(1), 249-259.</w:t>
      </w:r>
    </w:p>
  </w:footnote>
  <w:footnote w:id="16">
    <w:p w14:paraId="63691775" w14:textId="68FE3DE3" w:rsidR="7B7CA213" w:rsidRDefault="7B7CA213" w:rsidP="7B7CA213">
      <w:pPr>
        <w:pStyle w:val="FootnoteText"/>
        <w:rPr>
          <w:rFonts w:hint="eastAsia"/>
        </w:rPr>
      </w:pPr>
      <w:r w:rsidRPr="7B7CA213">
        <w:rPr>
          <w:rStyle w:val="FootnoteReference"/>
        </w:rPr>
        <w:footnoteRef/>
      </w:r>
      <w:r>
        <w:t xml:space="preserve"> Chinn, J. J., Martin, I. K., &amp; Redmond, N. (2021). Health equity among Black women in the United States. Journal of women's health, 30(2), 212-219.</w:t>
      </w:r>
    </w:p>
  </w:footnote>
  <w:footnote w:id="17">
    <w:p w14:paraId="3780FC21" w14:textId="6AF05B58" w:rsidR="362ED30B" w:rsidRDefault="362ED30B" w:rsidP="362ED30B">
      <w:pPr>
        <w:pStyle w:val="FootnoteText"/>
        <w:rPr>
          <w:rFonts w:hint="eastAsia"/>
        </w:rPr>
      </w:pPr>
      <w:r w:rsidRPr="362ED30B">
        <w:rPr>
          <w:rStyle w:val="FootnoteReference"/>
        </w:rPr>
        <w:footnoteRef/>
      </w:r>
      <w:r>
        <w:t xml:space="preserve"> Fourth annual report on Medical Assistance in Dying in Canada 2022. https://www.canada.ca/en/health-canada/services/publications/health-system-services/annual-report-medical-assistance-dying-2022.html</w:t>
      </w:r>
    </w:p>
  </w:footnote>
  <w:footnote w:id="18">
    <w:p w14:paraId="4AD25EF2" w14:textId="51127114" w:rsidR="362ED30B" w:rsidRDefault="362ED30B" w:rsidP="362ED30B">
      <w:pPr>
        <w:pStyle w:val="FootnoteText"/>
        <w:rPr>
          <w:rFonts w:hint="eastAsia"/>
        </w:rPr>
      </w:pPr>
      <w:r w:rsidRPr="362ED30B">
        <w:rPr>
          <w:rStyle w:val="FootnoteReference"/>
        </w:rPr>
        <w:footnoteRef/>
      </w:r>
      <w:r>
        <w:t xml:space="preserve"> Frolic, A and Oliphant, A. (2022). Introducing Medical Assistance in Dying in Canada: Lessons on Pragmatic Ethics and the Implementation of a Morally Contested Practice. https://www.ncbi.nlm.nih.gov/pmc/articles/PMC9437383/  </w:t>
      </w:r>
    </w:p>
  </w:footnote>
  <w:footnote w:id="19">
    <w:p w14:paraId="656EDFF1" w14:textId="3F898A8C" w:rsidR="362ED30B" w:rsidRDefault="362ED30B" w:rsidP="362ED30B">
      <w:pPr>
        <w:pStyle w:val="FootnoteText"/>
        <w:rPr>
          <w:rFonts w:hint="eastAsia"/>
        </w:rPr>
      </w:pPr>
      <w:r w:rsidRPr="362ED30B">
        <w:rPr>
          <w:rStyle w:val="FootnoteReference"/>
        </w:rPr>
        <w:footnoteRef/>
      </w:r>
      <w:r>
        <w:t xml:space="preserve"> </w:t>
      </w:r>
      <w:proofErr w:type="spellStart"/>
      <w:r>
        <w:t>Rakin</w:t>
      </w:r>
      <w:proofErr w:type="spellEnd"/>
      <w:r>
        <w:t xml:space="preserve">, A (2024).  Alexander </w:t>
      </w:r>
      <w:proofErr w:type="spellStart"/>
      <w:r>
        <w:t>Raikin</w:t>
      </w:r>
      <w:proofErr w:type="spellEnd"/>
      <w:r>
        <w:t xml:space="preserve">: We were promised </w:t>
      </w:r>
      <w:proofErr w:type="spellStart"/>
      <w:r>
        <w:t>MAiD</w:t>
      </w:r>
      <w:proofErr w:type="spellEnd"/>
      <w:r>
        <w:t xml:space="preserve"> would be rare. Instead, Canadian euthanasia deaths are soaring. https://thehub.ca/2024/08/21/alexander-raikin-we-were-promised-maid-would-be-rare-instead-canadian-euthanasia-deaths-are-soaring/</w:t>
      </w:r>
    </w:p>
  </w:footnote>
  <w:footnote w:id="20">
    <w:p w14:paraId="216E893A" w14:textId="352D410C" w:rsidR="362ED30B" w:rsidRDefault="362ED30B" w:rsidP="362ED30B">
      <w:pPr>
        <w:pStyle w:val="FootnoteText"/>
        <w:rPr>
          <w:rFonts w:hint="eastAsia"/>
        </w:rPr>
      </w:pPr>
      <w:r w:rsidRPr="362ED30B">
        <w:rPr>
          <w:rStyle w:val="FootnoteReference"/>
        </w:rPr>
        <w:footnoteRef/>
      </w:r>
      <w:r>
        <w:t xml:space="preserve"> </w:t>
      </w:r>
      <w:proofErr w:type="spellStart"/>
      <w:r>
        <w:t>Kirky</w:t>
      </w:r>
      <w:proofErr w:type="spellEnd"/>
      <w:r>
        <w:t>, S. (2024). Why are 15 times more Canadians than Californians choosing assisted death?  https://nationalpost.com/news/canada/why-are-15-times-more-canadians-than-californians-choosing-assisted-death</w:t>
      </w:r>
    </w:p>
  </w:footnote>
  <w:footnote w:id="21">
    <w:p w14:paraId="3E069599" w14:textId="4BCED167" w:rsidR="362ED30B" w:rsidRDefault="362ED30B" w:rsidP="362ED30B">
      <w:pPr>
        <w:pStyle w:val="FootnoteText"/>
        <w:rPr>
          <w:rFonts w:hint="eastAsia"/>
        </w:rPr>
      </w:pPr>
      <w:r w:rsidRPr="362ED30B">
        <w:rPr>
          <w:rStyle w:val="FootnoteReference"/>
        </w:rPr>
        <w:footnoteRef/>
      </w:r>
      <w:r>
        <w:t xml:space="preserve"> American Foundation for Suicide Prevention (2022). https://www.suicideinfo.ca/local_resource/women-and-suicide/  </w:t>
      </w:r>
    </w:p>
  </w:footnote>
  <w:footnote w:id="22">
    <w:p w14:paraId="2F3880D7" w14:textId="625C8E3E" w:rsidR="362ED30B" w:rsidRDefault="362ED30B" w:rsidP="362ED30B">
      <w:pPr>
        <w:pStyle w:val="FootnoteText"/>
        <w:rPr>
          <w:rFonts w:hint="eastAsia"/>
        </w:rPr>
      </w:pPr>
      <w:r w:rsidRPr="362ED30B">
        <w:rPr>
          <w:rStyle w:val="FootnoteReference"/>
        </w:rPr>
        <w:footnoteRef/>
      </w:r>
      <w:r>
        <w:t xml:space="preserve"> DAWN Canada Annual Report 2016/2017. (2017). https://dawncanada.net/media/uploads/page_data/page-258/2016-2017_annual_report_eng_(2).pdf</w:t>
      </w:r>
    </w:p>
  </w:footnote>
  <w:footnote w:id="23">
    <w:p w14:paraId="72442E59" w14:textId="4F8ADB7B" w:rsidR="362ED30B" w:rsidRDefault="362ED30B" w:rsidP="362ED30B">
      <w:pPr>
        <w:pStyle w:val="FootnoteText"/>
        <w:rPr>
          <w:rFonts w:hint="eastAsia"/>
        </w:rPr>
      </w:pPr>
      <w:r w:rsidRPr="362ED30B">
        <w:rPr>
          <w:rStyle w:val="FootnoteReference"/>
        </w:rPr>
        <w:footnoteRef/>
      </w:r>
      <w:r>
        <w:t xml:space="preserve"> Health Canada. (2023). Fourth annual report on medical assistance in dying in Canada. https://www.canada.ca/content/dam/hc-sc/documents/services/medical-assistance-dying/annual-report-2022/annual-report-2022.pdf</w:t>
      </w:r>
    </w:p>
  </w:footnote>
  <w:footnote w:id="24">
    <w:p w14:paraId="455AD501" w14:textId="77C14798" w:rsidR="79B38D5A" w:rsidRDefault="79B38D5A" w:rsidP="79B38D5A">
      <w:pPr>
        <w:pStyle w:val="FootnoteText"/>
        <w:rPr>
          <w:rFonts w:hint="eastAsia"/>
        </w:rPr>
      </w:pPr>
      <w:r w:rsidRPr="79B38D5A">
        <w:rPr>
          <w:rStyle w:val="FootnoteReference"/>
        </w:rPr>
        <w:footnoteRef/>
      </w:r>
      <w:r>
        <w:t xml:space="preserve"> National Inquiry into Missing and Murdered </w:t>
      </w:r>
      <w:proofErr w:type="spellStart"/>
      <w:r>
        <w:t>Indigneous</w:t>
      </w:r>
      <w:proofErr w:type="spellEnd"/>
      <w:r>
        <w:t xml:space="preserve"> Women and Girls (2019). https://www.mmiwg-ffada.ca/wp-content/uploads/2019/06/Final_Report_Vol_1a-1.pdf</w:t>
      </w:r>
    </w:p>
  </w:footnote>
  <w:footnote w:id="25">
    <w:p w14:paraId="45499C4D" w14:textId="3C34401C" w:rsidR="79B38D5A" w:rsidRDefault="79B38D5A" w:rsidP="79B38D5A">
      <w:pPr>
        <w:pStyle w:val="FootnoteText"/>
        <w:rPr>
          <w:rFonts w:hint="eastAsia"/>
        </w:rPr>
      </w:pPr>
      <w:r w:rsidRPr="79B38D5A">
        <w:rPr>
          <w:rStyle w:val="FootnoteReference"/>
        </w:rPr>
        <w:footnoteRef/>
      </w:r>
      <w:r>
        <w:t xml:space="preserve"> Native Women’s Association of Canada (2023). https://nwac.ca/journal/social-development-experiences-with-disabilities-and-autism-for-indigenous-women-girls-two-spirit-transgender-and-gender-diverse-wg2stgd-peoples#:~:text=They%20are%20also%20more%20susceptible,to%20have%20on%20Indigenous%20communities</w:t>
      </w:r>
    </w:p>
  </w:footnote>
  <w:footnote w:id="26">
    <w:p w14:paraId="288CA546" w14:textId="5E411659" w:rsidR="79B38D5A" w:rsidRDefault="79B38D5A" w:rsidP="79B38D5A">
      <w:pPr>
        <w:pStyle w:val="FootnoteText"/>
        <w:rPr>
          <w:rFonts w:hint="eastAsia"/>
        </w:rPr>
      </w:pPr>
      <w:r w:rsidRPr="79B38D5A">
        <w:rPr>
          <w:rStyle w:val="FootnoteReference"/>
        </w:rPr>
        <w:footnoteRef/>
      </w:r>
      <w:r>
        <w:t xml:space="preserve"> Government of Canada. https://www.canada.ca/en/women-gender-equality/gender-based-violence/about-gender-based-violence.html  </w:t>
      </w:r>
    </w:p>
  </w:footnote>
  <w:footnote w:id="27">
    <w:p w14:paraId="73A3EAA7" w14:textId="2F14CD49" w:rsidR="79B38D5A" w:rsidRDefault="79B38D5A" w:rsidP="79B38D5A">
      <w:pPr>
        <w:pStyle w:val="FootnoteText"/>
        <w:rPr>
          <w:rFonts w:hint="eastAsia"/>
        </w:rPr>
      </w:pPr>
      <w:r w:rsidRPr="79B38D5A">
        <w:rPr>
          <w:rStyle w:val="FootnoteReference"/>
        </w:rPr>
        <w:footnoteRef/>
      </w:r>
      <w:r>
        <w:t xml:space="preserve"> </w:t>
      </w:r>
      <w:proofErr w:type="spellStart"/>
      <w:r>
        <w:t>Yangzom</w:t>
      </w:r>
      <w:proofErr w:type="spellEnd"/>
      <w:r>
        <w:t xml:space="preserve">, K, Masoud H, </w:t>
      </w:r>
      <w:proofErr w:type="spellStart"/>
      <w:r>
        <w:t>Hahmann</w:t>
      </w:r>
      <w:proofErr w:type="spellEnd"/>
      <w:r>
        <w:t xml:space="preserve">, T. (2023) Primary health care access among First Nations people living off reserve, Métis and Inuit, 2017 to 2020 https://www150.statcan.gc.ca/n1/pub/41-20-0002/412000022023005-eng.htm  </w:t>
      </w:r>
    </w:p>
  </w:footnote>
  <w:footnote w:id="28">
    <w:p w14:paraId="454F2CD3" w14:textId="1F61D39B" w:rsidR="79B38D5A" w:rsidRDefault="79B38D5A" w:rsidP="79B38D5A">
      <w:pPr>
        <w:pStyle w:val="FootnoteText"/>
        <w:rPr>
          <w:rFonts w:hint="eastAsia"/>
        </w:rPr>
      </w:pPr>
      <w:r w:rsidRPr="79B38D5A">
        <w:rPr>
          <w:rStyle w:val="FootnoteReference"/>
        </w:rPr>
        <w:footnoteRef/>
      </w:r>
      <w:r>
        <w:t xml:space="preserve"> BCTIF (2019) Research: BC’s inclusive education funding </w:t>
      </w:r>
      <w:proofErr w:type="gramStart"/>
      <w:r>
        <w:t>gap  https://www.bctf.ca/news-and-opportunities/news-details/2019/10/01/bc-s-inclusive-education-funding-gap</w:t>
      </w:r>
      <w:proofErr w:type="gramEnd"/>
      <w:r>
        <w:t xml:space="preserve">  </w:t>
      </w:r>
    </w:p>
  </w:footnote>
  <w:footnote w:id="29">
    <w:p w14:paraId="278F0EF6" w14:textId="268E9183" w:rsidR="36DDBE33" w:rsidRDefault="36DDBE33" w:rsidP="36DDBE33">
      <w:pPr>
        <w:pStyle w:val="FootnoteText"/>
        <w:rPr>
          <w:rFonts w:hint="eastAsia"/>
        </w:rPr>
      </w:pPr>
      <w:r w:rsidRPr="36DDBE33">
        <w:rPr>
          <w:rStyle w:val="FootnoteReference"/>
        </w:rPr>
        <w:footnoteRef/>
      </w:r>
      <w:r>
        <w:t xml:space="preserve"> Government of </w:t>
      </w:r>
      <w:r w:rsidR="55727D23">
        <w:t>Canada https</w:t>
      </w:r>
      <w:r>
        <w:t>://www.canada.ca/en/employment-social-development/programs/accessible-canada.html</w:t>
      </w:r>
    </w:p>
  </w:footnote>
  <w:footnote w:id="30">
    <w:p w14:paraId="507BB901" w14:textId="7912DAD4" w:rsidR="00A66A1D" w:rsidRPr="00A66A1D" w:rsidRDefault="00A66A1D">
      <w:pPr>
        <w:pStyle w:val="FootnoteText"/>
        <w:rPr>
          <w:lang w:val="en-CA"/>
        </w:rPr>
      </w:pPr>
      <w:r>
        <w:rPr>
          <w:rStyle w:val="FootnoteReference"/>
          <w:rFonts w:hint="eastAsia"/>
        </w:rPr>
        <w:footnoteRef/>
      </w:r>
      <w:r w:rsidRPr="00A66A1D">
        <w:rPr>
          <w:rFonts w:hint="eastAsia"/>
          <w:lang w:val="en-CA"/>
        </w:rPr>
        <w:t xml:space="preserve"> </w:t>
      </w:r>
      <w:r w:rsidRPr="00A66A1D">
        <w:rPr>
          <w:lang w:val="en-CA"/>
        </w:rPr>
        <w:t xml:space="preserve">Stats Can </w:t>
      </w:r>
      <w:r>
        <w:rPr>
          <w:lang w:val="en-CA"/>
        </w:rPr>
        <w:t xml:space="preserve">(2023) Canada’s Indigenous Population </w:t>
      </w:r>
      <w:r w:rsidRPr="00A66A1D">
        <w:rPr>
          <w:lang w:val="en-CA"/>
        </w:rPr>
        <w:t>https://www.statcan.gc.ca/o1/en/plus/3920-canadas-indigenous-population#:~:text=The%20Indigenous%20population%20grew%209.4,%25)%20over%20the%20same%20period</w:t>
      </w:r>
    </w:p>
  </w:footnote>
  <w:footnote w:id="31">
    <w:p w14:paraId="2B2D043C" w14:textId="1012DADF" w:rsidR="79B38D5A" w:rsidRDefault="79B38D5A" w:rsidP="79B38D5A">
      <w:pPr>
        <w:pStyle w:val="FootnoteText"/>
        <w:rPr>
          <w:rFonts w:hint="eastAsia"/>
        </w:rPr>
      </w:pPr>
      <w:r w:rsidRPr="79B38D5A">
        <w:rPr>
          <w:rStyle w:val="FootnoteReference"/>
        </w:rPr>
        <w:footnoteRef/>
      </w:r>
      <w:r>
        <w:t xml:space="preserve"> Government of Canada (2021) An update on the socio-economic gaps between Indigenous Peoples and the non-Indigenous population in Canada: Highlights from the 2021 Census https://www.sac-isc.gc.ca/eng/1690909773300/1690909797208#:~:text=According%20to%20the%202021%20Census,Indians%20live%20in%20urban%20areas  </w:t>
      </w:r>
    </w:p>
  </w:footnote>
  <w:footnote w:id="32">
    <w:p w14:paraId="15AED31D" w14:textId="60F11376" w:rsidR="24826EB8" w:rsidRDefault="24826EB8" w:rsidP="24826EB8">
      <w:pPr>
        <w:pStyle w:val="FootnoteText"/>
        <w:rPr>
          <w:rFonts w:hint="eastAsia"/>
        </w:rPr>
      </w:pPr>
      <w:r w:rsidRPr="24826EB8">
        <w:rPr>
          <w:rStyle w:val="FootnoteReference"/>
        </w:rPr>
        <w:footnoteRef/>
      </w:r>
      <w:r w:rsidR="636C246D">
        <w:t xml:space="preserve">  Government of Canada (2024) https://www.canada.ca/en/treasury-board-secretariat/services/planned-government-spending/reports-plans-priorities.html</w:t>
      </w:r>
    </w:p>
  </w:footnote>
  <w:footnote w:id="33">
    <w:p w14:paraId="0E9EC1B3" w14:textId="4FB735D0" w:rsidR="79B38D5A" w:rsidRDefault="79B38D5A" w:rsidP="79B38D5A">
      <w:pPr>
        <w:pStyle w:val="FootnoteText"/>
        <w:rPr>
          <w:rFonts w:hint="eastAsia"/>
        </w:rPr>
      </w:pPr>
      <w:r w:rsidRPr="79B38D5A">
        <w:rPr>
          <w:rStyle w:val="FootnoteReference"/>
        </w:rPr>
        <w:footnoteRef/>
      </w:r>
      <w:r>
        <w:t xml:space="preserve"> First Nations Health Authority (2024) First Nations life expectancy in BC drops due to toxic drug poisonings and COVID-</w:t>
      </w:r>
      <w:proofErr w:type="gramStart"/>
      <w:r>
        <w:t>19  https://www.fnha.ca/about/news-and-events/news/first-nations-life-expectancy-in-bc-drops-due-to-toxic-drug-poisonings-and-covid-19#:~:text=According%20to%20Vital%20Statistics%20data,live%20to%20only%2070.3%20years</w:t>
      </w:r>
      <w:proofErr w:type="gramEnd"/>
      <w:r>
        <w:t xml:space="preserve">   </w:t>
      </w:r>
    </w:p>
  </w:footnote>
  <w:footnote w:id="34">
    <w:p w14:paraId="22E29AA6" w14:textId="4C759B45" w:rsidR="79B38D5A" w:rsidRDefault="79B38D5A" w:rsidP="79B38D5A">
      <w:pPr>
        <w:pStyle w:val="FootnoteText"/>
        <w:rPr>
          <w:rFonts w:hint="eastAsia"/>
        </w:rPr>
      </w:pPr>
      <w:r w:rsidRPr="79B38D5A">
        <w:rPr>
          <w:rStyle w:val="FootnoteReference"/>
        </w:rPr>
        <w:footnoteRef/>
      </w:r>
      <w:r>
        <w:t xml:space="preserve"> </w:t>
      </w:r>
      <w:proofErr w:type="spellStart"/>
      <w:r>
        <w:t>Alimi</w:t>
      </w:r>
      <w:proofErr w:type="spellEnd"/>
      <w:r>
        <w:t xml:space="preserve">, S., Abbas, J., and Hladik, B. (2020). The Impact of COVID-19 on Women living with Disabilities in Canada. Parliamentary Brief, Standing Committee on the Status of Women. DAWN Canada. https://dawncanada.net/media/uploads/page_data/page-63/parliamentary_brief_fewo_covid_19.pdf  </w:t>
      </w:r>
    </w:p>
  </w:footnote>
  <w:footnote w:id="35">
    <w:p w14:paraId="09744DD6" w14:textId="0ECDF77E" w:rsidR="79B38D5A" w:rsidRDefault="79B38D5A" w:rsidP="79B38D5A">
      <w:pPr>
        <w:pStyle w:val="FootnoteText"/>
        <w:rPr>
          <w:rFonts w:ascii="Century Gothic" w:eastAsia="Century Gothic" w:hAnsi="Century Gothic" w:cs="Century Gothic"/>
          <w:color w:val="000000" w:themeColor="text1"/>
          <w:sz w:val="16"/>
          <w:szCs w:val="16"/>
          <w:lang w:val="en-CA"/>
        </w:rPr>
      </w:pPr>
      <w:r w:rsidRPr="79B38D5A">
        <w:rPr>
          <w:rStyle w:val="FootnoteReference"/>
        </w:rPr>
        <w:footnoteRef/>
      </w:r>
      <w:r>
        <w:t xml:space="preserve"> COVID-19 epidemiology update: Summary (2024). Government of Canada. https://health-infobase.canada.ca/src/data/covidLive/Epidemiological-summary-of-COVID-19-cases-in-Canada-Canada.ca.pdf</w:t>
      </w:r>
    </w:p>
  </w:footnote>
  <w:footnote w:id="36">
    <w:p w14:paraId="6004F23D" w14:textId="7CD8D129" w:rsidR="79B38D5A" w:rsidRDefault="79B38D5A" w:rsidP="79B38D5A">
      <w:pPr>
        <w:pStyle w:val="FootnoteText"/>
        <w:rPr>
          <w:rFonts w:hint="eastAsia"/>
        </w:rPr>
      </w:pPr>
      <w:r w:rsidRPr="79B38D5A">
        <w:rPr>
          <w:rStyle w:val="FootnoteReference"/>
        </w:rPr>
        <w:footnoteRef/>
      </w:r>
      <w:r>
        <w:t xml:space="preserve"> </w:t>
      </w:r>
      <w:proofErr w:type="spellStart"/>
      <w:r>
        <w:t>Kuang</w:t>
      </w:r>
      <w:proofErr w:type="spellEnd"/>
      <w:r>
        <w:t xml:space="preserve">, S., Earl, S., Clarke, J., Zakaria, D., Demers, A., Aziz, S. (2023). Experiences of Canadians with long-term symptoms following COVID-19. Statistics Canada, Catalogue no. 75-006-X </w:t>
      </w:r>
    </w:p>
  </w:footnote>
  <w:footnote w:id="37">
    <w:p w14:paraId="0AC191EA" w14:textId="11D5CCFC" w:rsidR="79B38D5A" w:rsidRDefault="79B38D5A" w:rsidP="79B38D5A">
      <w:pPr>
        <w:pStyle w:val="FootnoteText"/>
        <w:rPr>
          <w:rFonts w:hint="eastAsia"/>
        </w:rPr>
      </w:pPr>
      <w:r w:rsidRPr="79B38D5A">
        <w:rPr>
          <w:rStyle w:val="FootnoteReference"/>
        </w:rPr>
        <w:footnoteRef/>
      </w:r>
      <w:r>
        <w:t xml:space="preserve"> Stokes, E. K., Zambrano, L. D., Anderson, K. N., Marder, E. P., Raz, K. M., El </w:t>
      </w:r>
      <w:proofErr w:type="spellStart"/>
      <w:r>
        <w:t>Burai</w:t>
      </w:r>
      <w:proofErr w:type="spellEnd"/>
      <w:r>
        <w:t xml:space="preserve"> Felix, S., Tie, Y., &amp; Fullerton, K. E. (2020). Coronavirus Disease 2019 Case Surveillance - United States, January 22-May 30, 2020. MMWR. Morbidity and Mortality Weekly Report, 69(24), 759–765. https://doi.org/10.15585/mmwr.mm6924e2  </w:t>
      </w:r>
    </w:p>
  </w:footnote>
  <w:footnote w:id="38">
    <w:p w14:paraId="2243DCED" w14:textId="22C30617" w:rsidR="79B38D5A" w:rsidRDefault="79B38D5A" w:rsidP="79B38D5A">
      <w:pPr>
        <w:pStyle w:val="FootnoteText"/>
        <w:rPr>
          <w:rFonts w:hint="eastAsia"/>
        </w:rPr>
      </w:pPr>
      <w:r w:rsidRPr="79B38D5A">
        <w:rPr>
          <w:rStyle w:val="FootnoteReference"/>
        </w:rPr>
        <w:footnoteRef/>
      </w:r>
      <w:r>
        <w:t xml:space="preserve"> </w:t>
      </w:r>
      <w:proofErr w:type="spellStart"/>
      <w:r>
        <w:t>tatistics</w:t>
      </w:r>
      <w:proofErr w:type="spellEnd"/>
      <w:r>
        <w:t xml:space="preserve"> Canada. (2020). Impacts of COVID-19 on Canadians: First results from crowdsourcing. The Daily, catalogue no. 11-001-X. https://www150.statcan.gc.ca/n1/daily-quotidien/200423/dq200423a-eng.pdf  </w:t>
      </w:r>
    </w:p>
  </w:footnote>
  <w:footnote w:id="39">
    <w:p w14:paraId="3ACA34E9" w14:textId="4CB768DB" w:rsidR="79B38D5A" w:rsidRDefault="79B38D5A" w:rsidP="79B38D5A">
      <w:pPr>
        <w:pStyle w:val="FootnoteText"/>
        <w:rPr>
          <w:rFonts w:hint="eastAsia"/>
        </w:rPr>
      </w:pPr>
      <w:r w:rsidRPr="79B38D5A">
        <w:rPr>
          <w:rStyle w:val="FootnoteReference"/>
        </w:rPr>
        <w:footnoteRef/>
      </w:r>
      <w:r>
        <w:t xml:space="preserve"> Ibid.</w:t>
      </w:r>
    </w:p>
  </w:footnote>
  <w:footnote w:id="40">
    <w:p w14:paraId="2CF7ED1F" w14:textId="5D4D16EB" w:rsidR="79B38D5A" w:rsidRDefault="79B38D5A" w:rsidP="79B38D5A">
      <w:pPr>
        <w:pStyle w:val="FootnoteText"/>
        <w:rPr>
          <w:rFonts w:hint="eastAsia"/>
        </w:rPr>
      </w:pPr>
      <w:r w:rsidRPr="79B38D5A">
        <w:rPr>
          <w:rStyle w:val="FootnoteReference"/>
        </w:rPr>
        <w:footnoteRef/>
      </w:r>
      <w:r>
        <w:t xml:space="preserve"> Canadian </w:t>
      </w:r>
      <w:proofErr w:type="spellStart"/>
      <w:r>
        <w:t>Labour</w:t>
      </w:r>
      <w:proofErr w:type="spellEnd"/>
      <w:r>
        <w:t xml:space="preserve"> Congress (2017) Submission to Employment and Social Development Canada on Accessibility Legislation for Canadians with Disabilities. Available at: http://documents.clc-ctc.ca/whr/DISAB-Rights/ODI-Legisltion/SEP-CanadiansWithDisabilitiesAct-SubmissionElizabethKwan-2017-02-24.pdf</w:t>
      </w:r>
    </w:p>
  </w:footnote>
  <w:footnote w:id="41">
    <w:p w14:paraId="29E6BB60" w14:textId="20590A6B" w:rsidR="79B38D5A" w:rsidRDefault="79B38D5A" w:rsidP="79B38D5A">
      <w:pPr>
        <w:pStyle w:val="FootnoteText"/>
        <w:rPr>
          <w:rFonts w:hint="eastAsia"/>
        </w:rPr>
      </w:pPr>
      <w:r w:rsidRPr="79B38D5A">
        <w:rPr>
          <w:rStyle w:val="FootnoteReference"/>
        </w:rPr>
        <w:footnoteRef/>
      </w:r>
      <w:r>
        <w:t xml:space="preserve"> </w:t>
      </w:r>
      <w:proofErr w:type="spellStart"/>
      <w:r>
        <w:t>avage</w:t>
      </w:r>
      <w:proofErr w:type="spellEnd"/>
      <w:r>
        <w:t>, L. (2021). Intimate partner violence: Experiences of women with disabilities in Canada, 2018, </w:t>
      </w:r>
      <w:proofErr w:type="spellStart"/>
      <w:r>
        <w:t>Juristat</w:t>
      </w:r>
      <w:proofErr w:type="spellEnd"/>
      <w:r>
        <w:t>, Statistics Canada, Catalogue no. 85-002-X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3F630973" w14:paraId="48DA4DB7" w14:textId="77777777" w:rsidTr="362ED30B">
      <w:trPr>
        <w:trHeight w:val="300"/>
      </w:trPr>
      <w:tc>
        <w:tcPr>
          <w:tcW w:w="3120" w:type="dxa"/>
        </w:tcPr>
        <w:p w14:paraId="37AAF692" w14:textId="57F9C651" w:rsidR="3F630973" w:rsidRDefault="3F630973" w:rsidP="3F630973">
          <w:pPr>
            <w:pStyle w:val="Header"/>
            <w:ind w:left="-115"/>
            <w:rPr>
              <w:rFonts w:hint="eastAsia"/>
            </w:rPr>
          </w:pPr>
        </w:p>
      </w:tc>
      <w:tc>
        <w:tcPr>
          <w:tcW w:w="3120" w:type="dxa"/>
        </w:tcPr>
        <w:p w14:paraId="01FA6F9E" w14:textId="7717F4DC" w:rsidR="3F630973" w:rsidRDefault="3F630973" w:rsidP="3F630973">
          <w:pPr>
            <w:pStyle w:val="Header"/>
            <w:jc w:val="center"/>
            <w:rPr>
              <w:rFonts w:hint="eastAsia"/>
            </w:rPr>
          </w:pPr>
        </w:p>
      </w:tc>
      <w:tc>
        <w:tcPr>
          <w:tcW w:w="3120" w:type="dxa"/>
        </w:tcPr>
        <w:p w14:paraId="215D46C9" w14:textId="49F1A250" w:rsidR="3F630973" w:rsidRDefault="362ED30B" w:rsidP="3F630973">
          <w:pPr>
            <w:pStyle w:val="Header"/>
            <w:ind w:right="-115"/>
            <w:jc w:val="right"/>
            <w:rPr>
              <w:rFonts w:hint="eastAsia"/>
            </w:rPr>
          </w:pPr>
          <w:r>
            <w:t xml:space="preserve"> UN CEDAW Submission</w:t>
          </w:r>
        </w:p>
      </w:tc>
    </w:tr>
  </w:tbl>
  <w:p w14:paraId="3E1B1D1C" w14:textId="72F9412A" w:rsidR="3F630973" w:rsidRDefault="3F630973" w:rsidP="3F630973">
    <w:pPr>
      <w:pStyle w:val="Head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3F630973" w14:paraId="2A65E141" w14:textId="77777777" w:rsidTr="3F630973">
      <w:trPr>
        <w:trHeight w:val="300"/>
      </w:trPr>
      <w:tc>
        <w:tcPr>
          <w:tcW w:w="3120" w:type="dxa"/>
        </w:tcPr>
        <w:p w14:paraId="763BC7FE" w14:textId="60545D78" w:rsidR="3F630973" w:rsidRDefault="3F630973" w:rsidP="3F630973">
          <w:pPr>
            <w:pStyle w:val="Header"/>
            <w:ind w:left="-115"/>
            <w:rPr>
              <w:rFonts w:hint="eastAsia"/>
            </w:rPr>
          </w:pPr>
        </w:p>
      </w:tc>
      <w:tc>
        <w:tcPr>
          <w:tcW w:w="3120" w:type="dxa"/>
        </w:tcPr>
        <w:p w14:paraId="0A310940" w14:textId="7B8E7277" w:rsidR="3F630973" w:rsidRDefault="3F630973" w:rsidP="3F630973">
          <w:pPr>
            <w:pStyle w:val="Header"/>
            <w:jc w:val="center"/>
            <w:rPr>
              <w:rFonts w:hint="eastAsia"/>
            </w:rPr>
          </w:pPr>
        </w:p>
      </w:tc>
      <w:tc>
        <w:tcPr>
          <w:tcW w:w="3120" w:type="dxa"/>
        </w:tcPr>
        <w:p w14:paraId="736DA0DA" w14:textId="01A6E32F" w:rsidR="3F630973" w:rsidRDefault="3F630973" w:rsidP="3F630973">
          <w:pPr>
            <w:pStyle w:val="Header"/>
            <w:ind w:right="-115"/>
            <w:jc w:val="right"/>
            <w:rPr>
              <w:rFonts w:hint="eastAsia"/>
            </w:rPr>
          </w:pPr>
        </w:p>
      </w:tc>
    </w:tr>
  </w:tbl>
  <w:p w14:paraId="14DBCB78" w14:textId="73C28693" w:rsidR="3F630973" w:rsidRDefault="3F630973" w:rsidP="3F630973">
    <w:pPr>
      <w:pStyle w:val="Header"/>
      <w:rPr>
        <w:rFonts w:hint="eastAsia"/>
      </w:rPr>
    </w:pPr>
  </w:p>
</w:hdr>
</file>

<file path=word/intelligence2.xml><?xml version="1.0" encoding="utf-8"?>
<int2:intelligence xmlns:int2="http://schemas.microsoft.com/office/intelligence/2020/intelligence" xmlns:oel="http://schemas.microsoft.com/office/2019/extlst">
  <int2:observations>
    <int2:bookmark int2:bookmarkName="_Int_Wqm2uABm" int2:invalidationBookmarkName="" int2:hashCode="YVDP+dcICmLAlS" int2:id="aPK4q6e5">
      <int2:state int2:value="Rejected" int2:type="AugLoop_Text_Critique"/>
    </int2:bookmark>
    <int2:bookmark int2:bookmarkName="_Int_6fNxH3wh" int2:invalidationBookmarkName="" int2:hashCode="/4fOpKSLdzQqLb" int2:id="MDgoFRuH">
      <int2:state int2:value="Rejected" int2:type="AugLoop_Text_Critique"/>
    </int2:bookmark>
    <int2:bookmark int2:bookmarkName="_Int_v2BZvHW5" int2:invalidationBookmarkName="" int2:hashCode="E1+Tt6RJBbZOzq" int2:id="KCB9eVWZ">
      <int2:state int2:value="Rejected" int2:type="AugLoop_Text_Critique"/>
    </int2:bookmark>
    <int2:bookmark int2:bookmarkName="_Int_tW84VMz4" int2:invalidationBookmarkName="" int2:hashCode="M4rRGhTqVflIj5" int2:id="iyj5K1YR">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D16016"/>
    <w:multiLevelType w:val="hybridMultilevel"/>
    <w:tmpl w:val="B3488650"/>
    <w:lvl w:ilvl="0" w:tplc="27D0C904">
      <w:start w:val="1"/>
      <w:numFmt w:val="bullet"/>
      <w:lvlText w:val=""/>
      <w:lvlJc w:val="left"/>
      <w:pPr>
        <w:ind w:left="720" w:hanging="360"/>
      </w:pPr>
      <w:rPr>
        <w:rFonts w:ascii="Symbol" w:hAnsi="Symbol" w:hint="default"/>
      </w:rPr>
    </w:lvl>
    <w:lvl w:ilvl="1" w:tplc="14320ADC">
      <w:start w:val="1"/>
      <w:numFmt w:val="bullet"/>
      <w:lvlText w:val="o"/>
      <w:lvlJc w:val="left"/>
      <w:pPr>
        <w:ind w:left="1440" w:hanging="360"/>
      </w:pPr>
      <w:rPr>
        <w:rFonts w:ascii="Courier New" w:hAnsi="Courier New" w:hint="default"/>
      </w:rPr>
    </w:lvl>
    <w:lvl w:ilvl="2" w:tplc="088AFA14">
      <w:start w:val="1"/>
      <w:numFmt w:val="bullet"/>
      <w:lvlText w:val=""/>
      <w:lvlJc w:val="left"/>
      <w:pPr>
        <w:ind w:left="2160" w:hanging="360"/>
      </w:pPr>
      <w:rPr>
        <w:rFonts w:ascii="Wingdings" w:hAnsi="Wingdings" w:hint="default"/>
      </w:rPr>
    </w:lvl>
    <w:lvl w:ilvl="3" w:tplc="52A85F46">
      <w:start w:val="1"/>
      <w:numFmt w:val="bullet"/>
      <w:lvlText w:val=""/>
      <w:lvlJc w:val="left"/>
      <w:pPr>
        <w:ind w:left="2880" w:hanging="360"/>
      </w:pPr>
      <w:rPr>
        <w:rFonts w:ascii="Symbol" w:hAnsi="Symbol" w:hint="default"/>
      </w:rPr>
    </w:lvl>
    <w:lvl w:ilvl="4" w:tplc="887C72EC">
      <w:start w:val="1"/>
      <w:numFmt w:val="bullet"/>
      <w:lvlText w:val="o"/>
      <w:lvlJc w:val="left"/>
      <w:pPr>
        <w:ind w:left="3600" w:hanging="360"/>
      </w:pPr>
      <w:rPr>
        <w:rFonts w:ascii="Courier New" w:hAnsi="Courier New" w:hint="default"/>
      </w:rPr>
    </w:lvl>
    <w:lvl w:ilvl="5" w:tplc="2CD08480">
      <w:start w:val="1"/>
      <w:numFmt w:val="bullet"/>
      <w:lvlText w:val=""/>
      <w:lvlJc w:val="left"/>
      <w:pPr>
        <w:ind w:left="4320" w:hanging="360"/>
      </w:pPr>
      <w:rPr>
        <w:rFonts w:ascii="Wingdings" w:hAnsi="Wingdings" w:hint="default"/>
      </w:rPr>
    </w:lvl>
    <w:lvl w:ilvl="6" w:tplc="B4FCD94C">
      <w:start w:val="1"/>
      <w:numFmt w:val="bullet"/>
      <w:lvlText w:val=""/>
      <w:lvlJc w:val="left"/>
      <w:pPr>
        <w:ind w:left="5040" w:hanging="360"/>
      </w:pPr>
      <w:rPr>
        <w:rFonts w:ascii="Symbol" w:hAnsi="Symbol" w:hint="default"/>
      </w:rPr>
    </w:lvl>
    <w:lvl w:ilvl="7" w:tplc="E682A620">
      <w:start w:val="1"/>
      <w:numFmt w:val="bullet"/>
      <w:lvlText w:val="o"/>
      <w:lvlJc w:val="left"/>
      <w:pPr>
        <w:ind w:left="5760" w:hanging="360"/>
      </w:pPr>
      <w:rPr>
        <w:rFonts w:ascii="Courier New" w:hAnsi="Courier New" w:hint="default"/>
      </w:rPr>
    </w:lvl>
    <w:lvl w:ilvl="8" w:tplc="B0A082F4">
      <w:start w:val="1"/>
      <w:numFmt w:val="bullet"/>
      <w:lvlText w:val=""/>
      <w:lvlJc w:val="left"/>
      <w:pPr>
        <w:ind w:left="6480" w:hanging="360"/>
      </w:pPr>
      <w:rPr>
        <w:rFonts w:ascii="Wingdings" w:hAnsi="Wingdings" w:hint="default"/>
      </w:rPr>
    </w:lvl>
  </w:abstractNum>
  <w:abstractNum w:abstractNumId="1" w15:restartNumberingAfterBreak="0">
    <w:nsid w:val="47175A56"/>
    <w:multiLevelType w:val="hybridMultilevel"/>
    <w:tmpl w:val="E682C8EC"/>
    <w:lvl w:ilvl="0" w:tplc="A3184D96">
      <w:start w:val="1"/>
      <w:numFmt w:val="bullet"/>
      <w:lvlText w:val=""/>
      <w:lvlJc w:val="left"/>
      <w:pPr>
        <w:ind w:left="720" w:hanging="360"/>
      </w:pPr>
      <w:rPr>
        <w:rFonts w:ascii="Symbol" w:hAnsi="Symbol" w:hint="default"/>
      </w:rPr>
    </w:lvl>
    <w:lvl w:ilvl="1" w:tplc="D15A0766">
      <w:start w:val="1"/>
      <w:numFmt w:val="bullet"/>
      <w:lvlText w:val="o"/>
      <w:lvlJc w:val="left"/>
      <w:pPr>
        <w:ind w:left="1440" w:hanging="360"/>
      </w:pPr>
      <w:rPr>
        <w:rFonts w:ascii="Courier New" w:hAnsi="Courier New" w:hint="default"/>
      </w:rPr>
    </w:lvl>
    <w:lvl w:ilvl="2" w:tplc="2C122218">
      <w:start w:val="1"/>
      <w:numFmt w:val="bullet"/>
      <w:lvlText w:val=""/>
      <w:lvlJc w:val="left"/>
      <w:pPr>
        <w:ind w:left="2160" w:hanging="360"/>
      </w:pPr>
      <w:rPr>
        <w:rFonts w:ascii="Wingdings" w:hAnsi="Wingdings" w:hint="default"/>
      </w:rPr>
    </w:lvl>
    <w:lvl w:ilvl="3" w:tplc="36FE1D22">
      <w:start w:val="1"/>
      <w:numFmt w:val="bullet"/>
      <w:lvlText w:val=""/>
      <w:lvlJc w:val="left"/>
      <w:pPr>
        <w:ind w:left="2880" w:hanging="360"/>
      </w:pPr>
      <w:rPr>
        <w:rFonts w:ascii="Symbol" w:hAnsi="Symbol" w:hint="default"/>
      </w:rPr>
    </w:lvl>
    <w:lvl w:ilvl="4" w:tplc="07D48976">
      <w:start w:val="1"/>
      <w:numFmt w:val="bullet"/>
      <w:lvlText w:val="o"/>
      <w:lvlJc w:val="left"/>
      <w:pPr>
        <w:ind w:left="3600" w:hanging="360"/>
      </w:pPr>
      <w:rPr>
        <w:rFonts w:ascii="Courier New" w:hAnsi="Courier New" w:hint="default"/>
      </w:rPr>
    </w:lvl>
    <w:lvl w:ilvl="5" w:tplc="0414CE8E">
      <w:start w:val="1"/>
      <w:numFmt w:val="bullet"/>
      <w:lvlText w:val=""/>
      <w:lvlJc w:val="left"/>
      <w:pPr>
        <w:ind w:left="4320" w:hanging="360"/>
      </w:pPr>
      <w:rPr>
        <w:rFonts w:ascii="Wingdings" w:hAnsi="Wingdings" w:hint="default"/>
      </w:rPr>
    </w:lvl>
    <w:lvl w:ilvl="6" w:tplc="9872B978">
      <w:start w:val="1"/>
      <w:numFmt w:val="bullet"/>
      <w:lvlText w:val=""/>
      <w:lvlJc w:val="left"/>
      <w:pPr>
        <w:ind w:left="5040" w:hanging="360"/>
      </w:pPr>
      <w:rPr>
        <w:rFonts w:ascii="Symbol" w:hAnsi="Symbol" w:hint="default"/>
      </w:rPr>
    </w:lvl>
    <w:lvl w:ilvl="7" w:tplc="DA160424">
      <w:start w:val="1"/>
      <w:numFmt w:val="bullet"/>
      <w:lvlText w:val="o"/>
      <w:lvlJc w:val="left"/>
      <w:pPr>
        <w:ind w:left="5760" w:hanging="360"/>
      </w:pPr>
      <w:rPr>
        <w:rFonts w:ascii="Courier New" w:hAnsi="Courier New" w:hint="default"/>
      </w:rPr>
    </w:lvl>
    <w:lvl w:ilvl="8" w:tplc="21503C3A">
      <w:start w:val="1"/>
      <w:numFmt w:val="bullet"/>
      <w:lvlText w:val=""/>
      <w:lvlJc w:val="left"/>
      <w:pPr>
        <w:ind w:left="6480" w:hanging="360"/>
      </w:pPr>
      <w:rPr>
        <w:rFonts w:ascii="Wingdings" w:hAnsi="Wingdings" w:hint="default"/>
      </w:rPr>
    </w:lvl>
  </w:abstractNum>
  <w:abstractNum w:abstractNumId="2" w15:restartNumberingAfterBreak="0">
    <w:nsid w:val="5862EB26"/>
    <w:multiLevelType w:val="hybridMultilevel"/>
    <w:tmpl w:val="C5DADDCE"/>
    <w:lvl w:ilvl="0" w:tplc="E6BE9C28">
      <w:start w:val="1"/>
      <w:numFmt w:val="bullet"/>
      <w:lvlText w:val=""/>
      <w:lvlJc w:val="left"/>
      <w:pPr>
        <w:ind w:left="720" w:hanging="360"/>
      </w:pPr>
      <w:rPr>
        <w:rFonts w:ascii="Symbol" w:hAnsi="Symbol" w:hint="default"/>
      </w:rPr>
    </w:lvl>
    <w:lvl w:ilvl="1" w:tplc="1FA454B0">
      <w:start w:val="1"/>
      <w:numFmt w:val="bullet"/>
      <w:lvlText w:val="o"/>
      <w:lvlJc w:val="left"/>
      <w:pPr>
        <w:ind w:left="1440" w:hanging="360"/>
      </w:pPr>
      <w:rPr>
        <w:rFonts w:ascii="Courier New" w:hAnsi="Courier New" w:hint="default"/>
      </w:rPr>
    </w:lvl>
    <w:lvl w:ilvl="2" w:tplc="6DB66A1E">
      <w:start w:val="1"/>
      <w:numFmt w:val="bullet"/>
      <w:lvlText w:val=""/>
      <w:lvlJc w:val="left"/>
      <w:pPr>
        <w:ind w:left="2160" w:hanging="360"/>
      </w:pPr>
      <w:rPr>
        <w:rFonts w:ascii="Wingdings" w:hAnsi="Wingdings" w:hint="default"/>
      </w:rPr>
    </w:lvl>
    <w:lvl w:ilvl="3" w:tplc="9A34222E">
      <w:start w:val="1"/>
      <w:numFmt w:val="bullet"/>
      <w:lvlText w:val=""/>
      <w:lvlJc w:val="left"/>
      <w:pPr>
        <w:ind w:left="2880" w:hanging="360"/>
      </w:pPr>
      <w:rPr>
        <w:rFonts w:ascii="Symbol" w:hAnsi="Symbol" w:hint="default"/>
      </w:rPr>
    </w:lvl>
    <w:lvl w:ilvl="4" w:tplc="A3D22BDE">
      <w:start w:val="1"/>
      <w:numFmt w:val="bullet"/>
      <w:lvlText w:val="o"/>
      <w:lvlJc w:val="left"/>
      <w:pPr>
        <w:ind w:left="3600" w:hanging="360"/>
      </w:pPr>
      <w:rPr>
        <w:rFonts w:ascii="Courier New" w:hAnsi="Courier New" w:hint="default"/>
      </w:rPr>
    </w:lvl>
    <w:lvl w:ilvl="5" w:tplc="2A24E9DC">
      <w:start w:val="1"/>
      <w:numFmt w:val="bullet"/>
      <w:lvlText w:val=""/>
      <w:lvlJc w:val="left"/>
      <w:pPr>
        <w:ind w:left="4320" w:hanging="360"/>
      </w:pPr>
      <w:rPr>
        <w:rFonts w:ascii="Wingdings" w:hAnsi="Wingdings" w:hint="default"/>
      </w:rPr>
    </w:lvl>
    <w:lvl w:ilvl="6" w:tplc="41721F40">
      <w:start w:val="1"/>
      <w:numFmt w:val="bullet"/>
      <w:lvlText w:val=""/>
      <w:lvlJc w:val="left"/>
      <w:pPr>
        <w:ind w:left="5040" w:hanging="360"/>
      </w:pPr>
      <w:rPr>
        <w:rFonts w:ascii="Symbol" w:hAnsi="Symbol" w:hint="default"/>
      </w:rPr>
    </w:lvl>
    <w:lvl w:ilvl="7" w:tplc="1CF08024">
      <w:start w:val="1"/>
      <w:numFmt w:val="bullet"/>
      <w:lvlText w:val="o"/>
      <w:lvlJc w:val="left"/>
      <w:pPr>
        <w:ind w:left="5760" w:hanging="360"/>
      </w:pPr>
      <w:rPr>
        <w:rFonts w:ascii="Courier New" w:hAnsi="Courier New" w:hint="default"/>
      </w:rPr>
    </w:lvl>
    <w:lvl w:ilvl="8" w:tplc="7DC8F92E">
      <w:start w:val="1"/>
      <w:numFmt w:val="bullet"/>
      <w:lvlText w:val=""/>
      <w:lvlJc w:val="left"/>
      <w:pPr>
        <w:ind w:left="6480" w:hanging="360"/>
      </w:pPr>
      <w:rPr>
        <w:rFonts w:ascii="Wingdings" w:hAnsi="Wingdings" w:hint="default"/>
      </w:rPr>
    </w:lvl>
  </w:abstractNum>
  <w:abstractNum w:abstractNumId="3" w15:restartNumberingAfterBreak="0">
    <w:nsid w:val="5E05DC05"/>
    <w:multiLevelType w:val="hybridMultilevel"/>
    <w:tmpl w:val="9C2005B6"/>
    <w:lvl w:ilvl="0" w:tplc="515C91C2">
      <w:start w:val="1"/>
      <w:numFmt w:val="decimal"/>
      <w:lvlText w:val="%1."/>
      <w:lvlJc w:val="left"/>
      <w:pPr>
        <w:ind w:left="720" w:hanging="360"/>
      </w:pPr>
    </w:lvl>
    <w:lvl w:ilvl="1" w:tplc="554A9416">
      <w:start w:val="1"/>
      <w:numFmt w:val="lowerLetter"/>
      <w:lvlText w:val="%2."/>
      <w:lvlJc w:val="left"/>
      <w:pPr>
        <w:ind w:left="1440" w:hanging="360"/>
      </w:pPr>
    </w:lvl>
    <w:lvl w:ilvl="2" w:tplc="81588F90">
      <w:start w:val="1"/>
      <w:numFmt w:val="lowerRoman"/>
      <w:lvlText w:val="%3."/>
      <w:lvlJc w:val="right"/>
      <w:pPr>
        <w:ind w:left="2160" w:hanging="180"/>
      </w:pPr>
    </w:lvl>
    <w:lvl w:ilvl="3" w:tplc="2292A07A">
      <w:start w:val="1"/>
      <w:numFmt w:val="decimal"/>
      <w:lvlText w:val="%4."/>
      <w:lvlJc w:val="left"/>
      <w:pPr>
        <w:ind w:left="2880" w:hanging="360"/>
      </w:pPr>
    </w:lvl>
    <w:lvl w:ilvl="4" w:tplc="10642848">
      <w:start w:val="1"/>
      <w:numFmt w:val="lowerLetter"/>
      <w:lvlText w:val="%5."/>
      <w:lvlJc w:val="left"/>
      <w:pPr>
        <w:ind w:left="3600" w:hanging="360"/>
      </w:pPr>
    </w:lvl>
    <w:lvl w:ilvl="5" w:tplc="C6E62266">
      <w:start w:val="1"/>
      <w:numFmt w:val="lowerRoman"/>
      <w:lvlText w:val="%6."/>
      <w:lvlJc w:val="right"/>
      <w:pPr>
        <w:ind w:left="4320" w:hanging="180"/>
      </w:pPr>
    </w:lvl>
    <w:lvl w:ilvl="6" w:tplc="E6AC1604">
      <w:start w:val="1"/>
      <w:numFmt w:val="decimal"/>
      <w:lvlText w:val="%7."/>
      <w:lvlJc w:val="left"/>
      <w:pPr>
        <w:ind w:left="5040" w:hanging="360"/>
      </w:pPr>
    </w:lvl>
    <w:lvl w:ilvl="7" w:tplc="110436A4">
      <w:start w:val="1"/>
      <w:numFmt w:val="lowerLetter"/>
      <w:lvlText w:val="%8."/>
      <w:lvlJc w:val="left"/>
      <w:pPr>
        <w:ind w:left="5760" w:hanging="360"/>
      </w:pPr>
    </w:lvl>
    <w:lvl w:ilvl="8" w:tplc="8180853E">
      <w:start w:val="1"/>
      <w:numFmt w:val="lowerRoman"/>
      <w:lvlText w:val="%9."/>
      <w:lvlJc w:val="right"/>
      <w:pPr>
        <w:ind w:left="6480" w:hanging="180"/>
      </w:pPr>
    </w:lvl>
  </w:abstractNum>
  <w:abstractNum w:abstractNumId="4" w15:restartNumberingAfterBreak="0">
    <w:nsid w:val="5FB16E84"/>
    <w:multiLevelType w:val="hybridMultilevel"/>
    <w:tmpl w:val="B418934A"/>
    <w:lvl w:ilvl="0" w:tplc="EA04529A">
      <w:start w:val="1"/>
      <w:numFmt w:val="bullet"/>
      <w:lvlText w:val=""/>
      <w:lvlJc w:val="left"/>
      <w:pPr>
        <w:ind w:left="720" w:hanging="360"/>
      </w:pPr>
      <w:rPr>
        <w:rFonts w:ascii="Symbol" w:hAnsi="Symbol" w:hint="default"/>
      </w:rPr>
    </w:lvl>
    <w:lvl w:ilvl="1" w:tplc="4BC2D3DE">
      <w:start w:val="1"/>
      <w:numFmt w:val="bullet"/>
      <w:lvlText w:val="o"/>
      <w:lvlJc w:val="left"/>
      <w:pPr>
        <w:ind w:left="1440" w:hanging="360"/>
      </w:pPr>
      <w:rPr>
        <w:rFonts w:ascii="Courier New" w:hAnsi="Courier New" w:hint="default"/>
      </w:rPr>
    </w:lvl>
    <w:lvl w:ilvl="2" w:tplc="8752DFF0">
      <w:start w:val="1"/>
      <w:numFmt w:val="bullet"/>
      <w:lvlText w:val=""/>
      <w:lvlJc w:val="left"/>
      <w:pPr>
        <w:ind w:left="2160" w:hanging="360"/>
      </w:pPr>
      <w:rPr>
        <w:rFonts w:ascii="Wingdings" w:hAnsi="Wingdings" w:hint="default"/>
      </w:rPr>
    </w:lvl>
    <w:lvl w:ilvl="3" w:tplc="92D45870">
      <w:start w:val="1"/>
      <w:numFmt w:val="bullet"/>
      <w:lvlText w:val=""/>
      <w:lvlJc w:val="left"/>
      <w:pPr>
        <w:ind w:left="2880" w:hanging="360"/>
      </w:pPr>
      <w:rPr>
        <w:rFonts w:ascii="Symbol" w:hAnsi="Symbol" w:hint="default"/>
      </w:rPr>
    </w:lvl>
    <w:lvl w:ilvl="4" w:tplc="311453CC">
      <w:start w:val="1"/>
      <w:numFmt w:val="bullet"/>
      <w:lvlText w:val="o"/>
      <w:lvlJc w:val="left"/>
      <w:pPr>
        <w:ind w:left="3600" w:hanging="360"/>
      </w:pPr>
      <w:rPr>
        <w:rFonts w:ascii="Courier New" w:hAnsi="Courier New" w:hint="default"/>
      </w:rPr>
    </w:lvl>
    <w:lvl w:ilvl="5" w:tplc="4F7CAFDA">
      <w:start w:val="1"/>
      <w:numFmt w:val="bullet"/>
      <w:lvlText w:val=""/>
      <w:lvlJc w:val="left"/>
      <w:pPr>
        <w:ind w:left="4320" w:hanging="360"/>
      </w:pPr>
      <w:rPr>
        <w:rFonts w:ascii="Wingdings" w:hAnsi="Wingdings" w:hint="default"/>
      </w:rPr>
    </w:lvl>
    <w:lvl w:ilvl="6" w:tplc="BB984A6E">
      <w:start w:val="1"/>
      <w:numFmt w:val="bullet"/>
      <w:lvlText w:val=""/>
      <w:lvlJc w:val="left"/>
      <w:pPr>
        <w:ind w:left="5040" w:hanging="360"/>
      </w:pPr>
      <w:rPr>
        <w:rFonts w:ascii="Symbol" w:hAnsi="Symbol" w:hint="default"/>
      </w:rPr>
    </w:lvl>
    <w:lvl w:ilvl="7" w:tplc="C8CEFD20">
      <w:start w:val="1"/>
      <w:numFmt w:val="bullet"/>
      <w:lvlText w:val="o"/>
      <w:lvlJc w:val="left"/>
      <w:pPr>
        <w:ind w:left="5760" w:hanging="360"/>
      </w:pPr>
      <w:rPr>
        <w:rFonts w:ascii="Courier New" w:hAnsi="Courier New" w:hint="default"/>
      </w:rPr>
    </w:lvl>
    <w:lvl w:ilvl="8" w:tplc="5240E48E">
      <w:start w:val="1"/>
      <w:numFmt w:val="bullet"/>
      <w:lvlText w:val=""/>
      <w:lvlJc w:val="left"/>
      <w:pPr>
        <w:ind w:left="6480" w:hanging="360"/>
      </w:pPr>
      <w:rPr>
        <w:rFonts w:ascii="Wingdings" w:hAnsi="Wingdings" w:hint="default"/>
      </w:rPr>
    </w:lvl>
  </w:abstractNum>
  <w:abstractNum w:abstractNumId="5" w15:restartNumberingAfterBreak="0">
    <w:nsid w:val="606745ED"/>
    <w:multiLevelType w:val="hybridMultilevel"/>
    <w:tmpl w:val="07A8FB7E"/>
    <w:lvl w:ilvl="0" w:tplc="C33C604E">
      <w:start w:val="1"/>
      <w:numFmt w:val="decimal"/>
      <w:lvlText w:val="%1."/>
      <w:lvlJc w:val="left"/>
      <w:pPr>
        <w:ind w:left="720" w:hanging="360"/>
      </w:pPr>
    </w:lvl>
    <w:lvl w:ilvl="1" w:tplc="FA1223C8">
      <w:start w:val="1"/>
      <w:numFmt w:val="lowerLetter"/>
      <w:lvlText w:val="%2."/>
      <w:lvlJc w:val="left"/>
      <w:pPr>
        <w:ind w:left="1440" w:hanging="360"/>
      </w:pPr>
    </w:lvl>
    <w:lvl w:ilvl="2" w:tplc="FA6E19E4">
      <w:start w:val="1"/>
      <w:numFmt w:val="lowerRoman"/>
      <w:lvlText w:val="%3."/>
      <w:lvlJc w:val="right"/>
      <w:pPr>
        <w:ind w:left="2160" w:hanging="180"/>
      </w:pPr>
    </w:lvl>
    <w:lvl w:ilvl="3" w:tplc="C3505F3A">
      <w:start w:val="1"/>
      <w:numFmt w:val="decimal"/>
      <w:lvlText w:val="%4."/>
      <w:lvlJc w:val="left"/>
      <w:pPr>
        <w:ind w:left="2880" w:hanging="360"/>
      </w:pPr>
    </w:lvl>
    <w:lvl w:ilvl="4" w:tplc="C76E4A00">
      <w:start w:val="1"/>
      <w:numFmt w:val="lowerLetter"/>
      <w:lvlText w:val="%5."/>
      <w:lvlJc w:val="left"/>
      <w:pPr>
        <w:ind w:left="3600" w:hanging="360"/>
      </w:pPr>
    </w:lvl>
    <w:lvl w:ilvl="5" w:tplc="5F223444">
      <w:start w:val="1"/>
      <w:numFmt w:val="lowerRoman"/>
      <w:lvlText w:val="%6."/>
      <w:lvlJc w:val="right"/>
      <w:pPr>
        <w:ind w:left="4320" w:hanging="180"/>
      </w:pPr>
    </w:lvl>
    <w:lvl w:ilvl="6" w:tplc="7BF26210">
      <w:start w:val="1"/>
      <w:numFmt w:val="decimal"/>
      <w:lvlText w:val="%7."/>
      <w:lvlJc w:val="left"/>
      <w:pPr>
        <w:ind w:left="5040" w:hanging="360"/>
      </w:pPr>
    </w:lvl>
    <w:lvl w:ilvl="7" w:tplc="619043E0">
      <w:start w:val="1"/>
      <w:numFmt w:val="lowerLetter"/>
      <w:lvlText w:val="%8."/>
      <w:lvlJc w:val="left"/>
      <w:pPr>
        <w:ind w:left="5760" w:hanging="360"/>
      </w:pPr>
    </w:lvl>
    <w:lvl w:ilvl="8" w:tplc="4DCC1CEE">
      <w:start w:val="1"/>
      <w:numFmt w:val="lowerRoman"/>
      <w:lvlText w:val="%9."/>
      <w:lvlJc w:val="right"/>
      <w:pPr>
        <w:ind w:left="6480" w:hanging="180"/>
      </w:pPr>
    </w:lvl>
  </w:abstractNum>
  <w:abstractNum w:abstractNumId="6" w15:restartNumberingAfterBreak="0">
    <w:nsid w:val="6091218D"/>
    <w:multiLevelType w:val="hybridMultilevel"/>
    <w:tmpl w:val="B88C4D6C"/>
    <w:lvl w:ilvl="0" w:tplc="7734A7E2">
      <w:start w:val="1"/>
      <w:numFmt w:val="bullet"/>
      <w:lvlText w:val=""/>
      <w:lvlJc w:val="left"/>
      <w:pPr>
        <w:ind w:left="720" w:hanging="360"/>
      </w:pPr>
      <w:rPr>
        <w:rFonts w:ascii="Symbol" w:hAnsi="Symbol" w:hint="default"/>
      </w:rPr>
    </w:lvl>
    <w:lvl w:ilvl="1" w:tplc="1C9E3718">
      <w:start w:val="1"/>
      <w:numFmt w:val="bullet"/>
      <w:lvlText w:val="o"/>
      <w:lvlJc w:val="left"/>
      <w:pPr>
        <w:ind w:left="1440" w:hanging="360"/>
      </w:pPr>
      <w:rPr>
        <w:rFonts w:ascii="Courier New" w:hAnsi="Courier New" w:hint="default"/>
      </w:rPr>
    </w:lvl>
    <w:lvl w:ilvl="2" w:tplc="F976EF50">
      <w:start w:val="1"/>
      <w:numFmt w:val="bullet"/>
      <w:lvlText w:val=""/>
      <w:lvlJc w:val="left"/>
      <w:pPr>
        <w:ind w:left="2160" w:hanging="360"/>
      </w:pPr>
      <w:rPr>
        <w:rFonts w:ascii="Wingdings" w:hAnsi="Wingdings" w:hint="default"/>
      </w:rPr>
    </w:lvl>
    <w:lvl w:ilvl="3" w:tplc="79E8597A">
      <w:start w:val="1"/>
      <w:numFmt w:val="bullet"/>
      <w:lvlText w:val=""/>
      <w:lvlJc w:val="left"/>
      <w:pPr>
        <w:ind w:left="2880" w:hanging="360"/>
      </w:pPr>
      <w:rPr>
        <w:rFonts w:ascii="Symbol" w:hAnsi="Symbol" w:hint="default"/>
      </w:rPr>
    </w:lvl>
    <w:lvl w:ilvl="4" w:tplc="01E85B46">
      <w:start w:val="1"/>
      <w:numFmt w:val="bullet"/>
      <w:lvlText w:val="o"/>
      <w:lvlJc w:val="left"/>
      <w:pPr>
        <w:ind w:left="3600" w:hanging="360"/>
      </w:pPr>
      <w:rPr>
        <w:rFonts w:ascii="Courier New" w:hAnsi="Courier New" w:hint="default"/>
      </w:rPr>
    </w:lvl>
    <w:lvl w:ilvl="5" w:tplc="0D920068">
      <w:start w:val="1"/>
      <w:numFmt w:val="bullet"/>
      <w:lvlText w:val=""/>
      <w:lvlJc w:val="left"/>
      <w:pPr>
        <w:ind w:left="4320" w:hanging="360"/>
      </w:pPr>
      <w:rPr>
        <w:rFonts w:ascii="Wingdings" w:hAnsi="Wingdings" w:hint="default"/>
      </w:rPr>
    </w:lvl>
    <w:lvl w:ilvl="6" w:tplc="DFFA11AC">
      <w:start w:val="1"/>
      <w:numFmt w:val="bullet"/>
      <w:lvlText w:val=""/>
      <w:lvlJc w:val="left"/>
      <w:pPr>
        <w:ind w:left="5040" w:hanging="360"/>
      </w:pPr>
      <w:rPr>
        <w:rFonts w:ascii="Symbol" w:hAnsi="Symbol" w:hint="default"/>
      </w:rPr>
    </w:lvl>
    <w:lvl w:ilvl="7" w:tplc="6A2226E0">
      <w:start w:val="1"/>
      <w:numFmt w:val="bullet"/>
      <w:lvlText w:val="o"/>
      <w:lvlJc w:val="left"/>
      <w:pPr>
        <w:ind w:left="5760" w:hanging="360"/>
      </w:pPr>
      <w:rPr>
        <w:rFonts w:ascii="Courier New" w:hAnsi="Courier New" w:hint="default"/>
      </w:rPr>
    </w:lvl>
    <w:lvl w:ilvl="8" w:tplc="CEA8985C">
      <w:start w:val="1"/>
      <w:numFmt w:val="bullet"/>
      <w:lvlText w:val=""/>
      <w:lvlJc w:val="left"/>
      <w:pPr>
        <w:ind w:left="6480" w:hanging="360"/>
      </w:pPr>
      <w:rPr>
        <w:rFonts w:ascii="Wingdings" w:hAnsi="Wingdings" w:hint="default"/>
      </w:rPr>
    </w:lvl>
  </w:abstractNum>
  <w:abstractNum w:abstractNumId="7" w15:restartNumberingAfterBreak="0">
    <w:nsid w:val="69E899A1"/>
    <w:multiLevelType w:val="hybridMultilevel"/>
    <w:tmpl w:val="182E1C92"/>
    <w:lvl w:ilvl="0" w:tplc="8F08B4E8">
      <w:start w:val="1"/>
      <w:numFmt w:val="bullet"/>
      <w:lvlText w:val=""/>
      <w:lvlJc w:val="left"/>
      <w:pPr>
        <w:ind w:left="720" w:hanging="360"/>
      </w:pPr>
      <w:rPr>
        <w:rFonts w:ascii="Symbol" w:hAnsi="Symbol" w:hint="default"/>
      </w:rPr>
    </w:lvl>
    <w:lvl w:ilvl="1" w:tplc="9B547CBE">
      <w:start w:val="1"/>
      <w:numFmt w:val="bullet"/>
      <w:lvlText w:val="o"/>
      <w:lvlJc w:val="left"/>
      <w:pPr>
        <w:ind w:left="1440" w:hanging="360"/>
      </w:pPr>
      <w:rPr>
        <w:rFonts w:ascii="Courier New" w:hAnsi="Courier New" w:hint="default"/>
      </w:rPr>
    </w:lvl>
    <w:lvl w:ilvl="2" w:tplc="164CD9EA">
      <w:start w:val="1"/>
      <w:numFmt w:val="bullet"/>
      <w:lvlText w:val=""/>
      <w:lvlJc w:val="left"/>
      <w:pPr>
        <w:ind w:left="2160" w:hanging="360"/>
      </w:pPr>
      <w:rPr>
        <w:rFonts w:ascii="Wingdings" w:hAnsi="Wingdings" w:hint="default"/>
      </w:rPr>
    </w:lvl>
    <w:lvl w:ilvl="3" w:tplc="A2FC2986">
      <w:start w:val="1"/>
      <w:numFmt w:val="bullet"/>
      <w:lvlText w:val=""/>
      <w:lvlJc w:val="left"/>
      <w:pPr>
        <w:ind w:left="2880" w:hanging="360"/>
      </w:pPr>
      <w:rPr>
        <w:rFonts w:ascii="Symbol" w:hAnsi="Symbol" w:hint="default"/>
      </w:rPr>
    </w:lvl>
    <w:lvl w:ilvl="4" w:tplc="70D8A520">
      <w:start w:val="1"/>
      <w:numFmt w:val="bullet"/>
      <w:lvlText w:val="o"/>
      <w:lvlJc w:val="left"/>
      <w:pPr>
        <w:ind w:left="3600" w:hanging="360"/>
      </w:pPr>
      <w:rPr>
        <w:rFonts w:ascii="Courier New" w:hAnsi="Courier New" w:hint="default"/>
      </w:rPr>
    </w:lvl>
    <w:lvl w:ilvl="5" w:tplc="50D69E64">
      <w:start w:val="1"/>
      <w:numFmt w:val="bullet"/>
      <w:lvlText w:val=""/>
      <w:lvlJc w:val="left"/>
      <w:pPr>
        <w:ind w:left="4320" w:hanging="360"/>
      </w:pPr>
      <w:rPr>
        <w:rFonts w:ascii="Wingdings" w:hAnsi="Wingdings" w:hint="default"/>
      </w:rPr>
    </w:lvl>
    <w:lvl w:ilvl="6" w:tplc="FD042112">
      <w:start w:val="1"/>
      <w:numFmt w:val="bullet"/>
      <w:lvlText w:val=""/>
      <w:lvlJc w:val="left"/>
      <w:pPr>
        <w:ind w:left="5040" w:hanging="360"/>
      </w:pPr>
      <w:rPr>
        <w:rFonts w:ascii="Symbol" w:hAnsi="Symbol" w:hint="default"/>
      </w:rPr>
    </w:lvl>
    <w:lvl w:ilvl="7" w:tplc="07EEB676">
      <w:start w:val="1"/>
      <w:numFmt w:val="bullet"/>
      <w:lvlText w:val="o"/>
      <w:lvlJc w:val="left"/>
      <w:pPr>
        <w:ind w:left="5760" w:hanging="360"/>
      </w:pPr>
      <w:rPr>
        <w:rFonts w:ascii="Courier New" w:hAnsi="Courier New" w:hint="default"/>
      </w:rPr>
    </w:lvl>
    <w:lvl w:ilvl="8" w:tplc="78B0524A">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
  </w:num>
  <w:num w:numId="4">
    <w:abstractNumId w:val="6"/>
  </w:num>
  <w:num w:numId="5">
    <w:abstractNumId w:val="2"/>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56BCAF"/>
    <w:rsid w:val="00009F0D"/>
    <w:rsid w:val="00013DC0"/>
    <w:rsid w:val="00145B4E"/>
    <w:rsid w:val="00180E0C"/>
    <w:rsid w:val="00196F47"/>
    <w:rsid w:val="001B41BF"/>
    <w:rsid w:val="0025290D"/>
    <w:rsid w:val="002B2978"/>
    <w:rsid w:val="002C3504"/>
    <w:rsid w:val="003375DA"/>
    <w:rsid w:val="00374170"/>
    <w:rsid w:val="003A23A3"/>
    <w:rsid w:val="003B28BF"/>
    <w:rsid w:val="003D3F1D"/>
    <w:rsid w:val="00430003"/>
    <w:rsid w:val="004551C3"/>
    <w:rsid w:val="00470A77"/>
    <w:rsid w:val="00563659"/>
    <w:rsid w:val="005E108A"/>
    <w:rsid w:val="006023F3"/>
    <w:rsid w:val="00641E95"/>
    <w:rsid w:val="00685237"/>
    <w:rsid w:val="006D2EAA"/>
    <w:rsid w:val="006F1923"/>
    <w:rsid w:val="006F5C59"/>
    <w:rsid w:val="007469B6"/>
    <w:rsid w:val="0075352B"/>
    <w:rsid w:val="00777B69"/>
    <w:rsid w:val="00786F78"/>
    <w:rsid w:val="007E1A77"/>
    <w:rsid w:val="007F53BE"/>
    <w:rsid w:val="00864639"/>
    <w:rsid w:val="00874F6F"/>
    <w:rsid w:val="00876ACA"/>
    <w:rsid w:val="008D629B"/>
    <w:rsid w:val="00940997"/>
    <w:rsid w:val="009B72F1"/>
    <w:rsid w:val="009F30D7"/>
    <w:rsid w:val="009F7058"/>
    <w:rsid w:val="00A03966"/>
    <w:rsid w:val="00A65BCB"/>
    <w:rsid w:val="00A66A1D"/>
    <w:rsid w:val="00A75C9B"/>
    <w:rsid w:val="00A928A8"/>
    <w:rsid w:val="00B57288"/>
    <w:rsid w:val="00BD062B"/>
    <w:rsid w:val="00BE7B3A"/>
    <w:rsid w:val="00BF0BFC"/>
    <w:rsid w:val="00C17F06"/>
    <w:rsid w:val="00CD28FB"/>
    <w:rsid w:val="00D00583"/>
    <w:rsid w:val="00D040EB"/>
    <w:rsid w:val="00D32895"/>
    <w:rsid w:val="00D80031"/>
    <w:rsid w:val="00E310BC"/>
    <w:rsid w:val="00EC17AD"/>
    <w:rsid w:val="00ED1D22"/>
    <w:rsid w:val="00ED1EFB"/>
    <w:rsid w:val="00EE4E41"/>
    <w:rsid w:val="00F46E6A"/>
    <w:rsid w:val="00F47593"/>
    <w:rsid w:val="00F63534"/>
    <w:rsid w:val="00F70703"/>
    <w:rsid w:val="00F74460"/>
    <w:rsid w:val="00F93294"/>
    <w:rsid w:val="00F961D6"/>
    <w:rsid w:val="00FC7A2E"/>
    <w:rsid w:val="00FF0508"/>
    <w:rsid w:val="01240AE0"/>
    <w:rsid w:val="01FCA117"/>
    <w:rsid w:val="0224A4CB"/>
    <w:rsid w:val="026C2706"/>
    <w:rsid w:val="0355617F"/>
    <w:rsid w:val="03E69085"/>
    <w:rsid w:val="04045792"/>
    <w:rsid w:val="040C14CC"/>
    <w:rsid w:val="04838114"/>
    <w:rsid w:val="04FBA333"/>
    <w:rsid w:val="05106973"/>
    <w:rsid w:val="05524FCF"/>
    <w:rsid w:val="05780A64"/>
    <w:rsid w:val="0650662F"/>
    <w:rsid w:val="0650D595"/>
    <w:rsid w:val="06A965C8"/>
    <w:rsid w:val="06CE9A8A"/>
    <w:rsid w:val="06E5AA47"/>
    <w:rsid w:val="07167DBB"/>
    <w:rsid w:val="07580285"/>
    <w:rsid w:val="077C9821"/>
    <w:rsid w:val="08568F9D"/>
    <w:rsid w:val="087EA5EB"/>
    <w:rsid w:val="0910E309"/>
    <w:rsid w:val="09BE2509"/>
    <w:rsid w:val="09DFE19F"/>
    <w:rsid w:val="0AA3D667"/>
    <w:rsid w:val="0AC4A0BE"/>
    <w:rsid w:val="0B6C84D4"/>
    <w:rsid w:val="0B7DCED2"/>
    <w:rsid w:val="0BFB97A5"/>
    <w:rsid w:val="0C4B0B9A"/>
    <w:rsid w:val="0DCF61C5"/>
    <w:rsid w:val="0F6AD109"/>
    <w:rsid w:val="0FCE2B5B"/>
    <w:rsid w:val="1024BE82"/>
    <w:rsid w:val="1070BD6E"/>
    <w:rsid w:val="10C90EEB"/>
    <w:rsid w:val="11291A6E"/>
    <w:rsid w:val="11BC9A37"/>
    <w:rsid w:val="124AF7CA"/>
    <w:rsid w:val="12EBECA7"/>
    <w:rsid w:val="130061B2"/>
    <w:rsid w:val="1472EB4F"/>
    <w:rsid w:val="14D6501A"/>
    <w:rsid w:val="15098034"/>
    <w:rsid w:val="1548A69B"/>
    <w:rsid w:val="16220B0D"/>
    <w:rsid w:val="1806CFB5"/>
    <w:rsid w:val="18D39852"/>
    <w:rsid w:val="18DC743E"/>
    <w:rsid w:val="19C1CDB0"/>
    <w:rsid w:val="19FB4423"/>
    <w:rsid w:val="1A787A45"/>
    <w:rsid w:val="1B0C42B8"/>
    <w:rsid w:val="1B4FD308"/>
    <w:rsid w:val="1B6AF8BF"/>
    <w:rsid w:val="1BA5CECC"/>
    <w:rsid w:val="1BBCCC85"/>
    <w:rsid w:val="1C014EB2"/>
    <w:rsid w:val="1C60ACED"/>
    <w:rsid w:val="1CAFDE63"/>
    <w:rsid w:val="1CE9479F"/>
    <w:rsid w:val="1E9A4D2F"/>
    <w:rsid w:val="207618D4"/>
    <w:rsid w:val="21834247"/>
    <w:rsid w:val="21D03BA3"/>
    <w:rsid w:val="21F9C235"/>
    <w:rsid w:val="2401D2CE"/>
    <w:rsid w:val="24826EB8"/>
    <w:rsid w:val="253A9C5D"/>
    <w:rsid w:val="2544A551"/>
    <w:rsid w:val="2698BF54"/>
    <w:rsid w:val="26DFCF39"/>
    <w:rsid w:val="2714B0A2"/>
    <w:rsid w:val="2748CDBA"/>
    <w:rsid w:val="277C5498"/>
    <w:rsid w:val="2786BF6F"/>
    <w:rsid w:val="28093C2F"/>
    <w:rsid w:val="282A05DE"/>
    <w:rsid w:val="28F685FC"/>
    <w:rsid w:val="2987B3F4"/>
    <w:rsid w:val="2B07FD12"/>
    <w:rsid w:val="2B247679"/>
    <w:rsid w:val="2B5B931E"/>
    <w:rsid w:val="2B97294D"/>
    <w:rsid w:val="2CA3BA77"/>
    <w:rsid w:val="2EF29668"/>
    <w:rsid w:val="30180867"/>
    <w:rsid w:val="30B42BFB"/>
    <w:rsid w:val="3170D50E"/>
    <w:rsid w:val="31B1208E"/>
    <w:rsid w:val="32145AA7"/>
    <w:rsid w:val="323EFA01"/>
    <w:rsid w:val="3273BA82"/>
    <w:rsid w:val="3319BEA3"/>
    <w:rsid w:val="345D3731"/>
    <w:rsid w:val="34E86C01"/>
    <w:rsid w:val="359BDF0E"/>
    <w:rsid w:val="35B45845"/>
    <w:rsid w:val="362ED30B"/>
    <w:rsid w:val="36CE1F60"/>
    <w:rsid w:val="36DDBE33"/>
    <w:rsid w:val="36E83929"/>
    <w:rsid w:val="379D6EA1"/>
    <w:rsid w:val="37A5EFFD"/>
    <w:rsid w:val="387DC8F7"/>
    <w:rsid w:val="389036B3"/>
    <w:rsid w:val="389C82BD"/>
    <w:rsid w:val="38CCB2EF"/>
    <w:rsid w:val="38E4BF3A"/>
    <w:rsid w:val="395310FF"/>
    <w:rsid w:val="395CF87B"/>
    <w:rsid w:val="3966C10F"/>
    <w:rsid w:val="39787222"/>
    <w:rsid w:val="39A974AF"/>
    <w:rsid w:val="3AC83F1F"/>
    <w:rsid w:val="3B55E837"/>
    <w:rsid w:val="3BA70593"/>
    <w:rsid w:val="3C429AE7"/>
    <w:rsid w:val="3C4303A8"/>
    <w:rsid w:val="3C49B3C9"/>
    <w:rsid w:val="3C82DCA7"/>
    <w:rsid w:val="3CA1E12A"/>
    <w:rsid w:val="3D4AD05E"/>
    <w:rsid w:val="3D5E579B"/>
    <w:rsid w:val="3E8C503C"/>
    <w:rsid w:val="3EC12EA5"/>
    <w:rsid w:val="3EF465B1"/>
    <w:rsid w:val="3F2487B3"/>
    <w:rsid w:val="3F630973"/>
    <w:rsid w:val="40CBAC39"/>
    <w:rsid w:val="4118C5C7"/>
    <w:rsid w:val="4197203A"/>
    <w:rsid w:val="423995F0"/>
    <w:rsid w:val="43E352E9"/>
    <w:rsid w:val="4443CF18"/>
    <w:rsid w:val="4459CFDA"/>
    <w:rsid w:val="44A0BDDB"/>
    <w:rsid w:val="44AD69EB"/>
    <w:rsid w:val="44C9A68F"/>
    <w:rsid w:val="45188BEF"/>
    <w:rsid w:val="452CDC45"/>
    <w:rsid w:val="462A02D3"/>
    <w:rsid w:val="486C703D"/>
    <w:rsid w:val="49264AF0"/>
    <w:rsid w:val="49982DB7"/>
    <w:rsid w:val="4BB36F4D"/>
    <w:rsid w:val="4BCED0EB"/>
    <w:rsid w:val="4BE8E998"/>
    <w:rsid w:val="4BEDB3CD"/>
    <w:rsid w:val="4C799FB5"/>
    <w:rsid w:val="4C90206D"/>
    <w:rsid w:val="4CC0D93D"/>
    <w:rsid w:val="4D925973"/>
    <w:rsid w:val="4E705AF2"/>
    <w:rsid w:val="4EA02B20"/>
    <w:rsid w:val="4FC93410"/>
    <w:rsid w:val="50031047"/>
    <w:rsid w:val="505417AE"/>
    <w:rsid w:val="5161551D"/>
    <w:rsid w:val="523F6C5B"/>
    <w:rsid w:val="524AF74A"/>
    <w:rsid w:val="530B45E5"/>
    <w:rsid w:val="530FD736"/>
    <w:rsid w:val="532D7219"/>
    <w:rsid w:val="5371FA3D"/>
    <w:rsid w:val="539D65DF"/>
    <w:rsid w:val="53A1F0BB"/>
    <w:rsid w:val="53A92F66"/>
    <w:rsid w:val="53CCC28B"/>
    <w:rsid w:val="541A1C91"/>
    <w:rsid w:val="54386855"/>
    <w:rsid w:val="545DD41C"/>
    <w:rsid w:val="54C2357B"/>
    <w:rsid w:val="54D9E44A"/>
    <w:rsid w:val="55727D23"/>
    <w:rsid w:val="558DCDC4"/>
    <w:rsid w:val="56047431"/>
    <w:rsid w:val="56134723"/>
    <w:rsid w:val="5732EE05"/>
    <w:rsid w:val="58158D60"/>
    <w:rsid w:val="585D3D55"/>
    <w:rsid w:val="5928632C"/>
    <w:rsid w:val="595B5C9A"/>
    <w:rsid w:val="5990A7E2"/>
    <w:rsid w:val="59E4D56F"/>
    <w:rsid w:val="5A9836DA"/>
    <w:rsid w:val="5AF4C30C"/>
    <w:rsid w:val="5CD74A49"/>
    <w:rsid w:val="5D5645EA"/>
    <w:rsid w:val="5EF17D62"/>
    <w:rsid w:val="603388DB"/>
    <w:rsid w:val="60809572"/>
    <w:rsid w:val="61924C67"/>
    <w:rsid w:val="61977B9B"/>
    <w:rsid w:val="636C246D"/>
    <w:rsid w:val="639EBE89"/>
    <w:rsid w:val="63C301D9"/>
    <w:rsid w:val="63D75804"/>
    <w:rsid w:val="64A2AEF9"/>
    <w:rsid w:val="65098104"/>
    <w:rsid w:val="659F38CA"/>
    <w:rsid w:val="660D8449"/>
    <w:rsid w:val="668CA1BC"/>
    <w:rsid w:val="6709A35C"/>
    <w:rsid w:val="677B9B02"/>
    <w:rsid w:val="688E0719"/>
    <w:rsid w:val="690A43BF"/>
    <w:rsid w:val="69B3BC82"/>
    <w:rsid w:val="6B765396"/>
    <w:rsid w:val="6C76D1BF"/>
    <w:rsid w:val="6DD304AA"/>
    <w:rsid w:val="6E667DA4"/>
    <w:rsid w:val="6EA4C9A8"/>
    <w:rsid w:val="6F56BCAF"/>
    <w:rsid w:val="6FB21087"/>
    <w:rsid w:val="70B35CEF"/>
    <w:rsid w:val="7112A362"/>
    <w:rsid w:val="712B2883"/>
    <w:rsid w:val="7251EADF"/>
    <w:rsid w:val="72E383B6"/>
    <w:rsid w:val="741BC524"/>
    <w:rsid w:val="742C5318"/>
    <w:rsid w:val="74337E22"/>
    <w:rsid w:val="74C25B25"/>
    <w:rsid w:val="75F7CA9D"/>
    <w:rsid w:val="7780C808"/>
    <w:rsid w:val="7792AA16"/>
    <w:rsid w:val="78DEED33"/>
    <w:rsid w:val="79436F03"/>
    <w:rsid w:val="797BA64E"/>
    <w:rsid w:val="79B38D5A"/>
    <w:rsid w:val="7B7CA213"/>
    <w:rsid w:val="7BA5DA44"/>
    <w:rsid w:val="7DA869A4"/>
    <w:rsid w:val="7E111275"/>
    <w:rsid w:val="7E143815"/>
    <w:rsid w:val="7E199127"/>
    <w:rsid w:val="7E607196"/>
    <w:rsid w:val="7EAB809C"/>
    <w:rsid w:val="7EF5B66F"/>
    <w:rsid w:val="7F722AB3"/>
    <w:rsid w:val="7FBF730B"/>
    <w:rsid w:val="7FD8EC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063B7"/>
  <w15:chartTrackingRefBased/>
  <w15:docId w15:val="{823B96BB-BA78-4DBA-BE26-B8006C7F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character" w:styleId="FootnoteReference">
    <w:name w:val="footnote reference"/>
    <w:basedOn w:val="DefaultParagraphFont"/>
    <w:uiPriority w:val="99"/>
    <w:semiHidden/>
    <w:unhideWhenUsed/>
    <w:rPr>
      <w:vertAlign w:val="superscript"/>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EndnoteText">
    <w:name w:val="endnote text"/>
    <w:basedOn w:val="Normal"/>
    <w:link w:val="EndnoteTextChar"/>
    <w:uiPriority w:val="99"/>
    <w:semiHidden/>
    <w:unhideWhenUsed/>
    <w:rsid w:val="00A66A1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66A1D"/>
    <w:rPr>
      <w:sz w:val="20"/>
      <w:szCs w:val="20"/>
    </w:rPr>
  </w:style>
  <w:style w:type="character" w:styleId="EndnoteReference">
    <w:name w:val="endnote reference"/>
    <w:basedOn w:val="DefaultParagraphFont"/>
    <w:uiPriority w:val="99"/>
    <w:semiHidden/>
    <w:unhideWhenUsed/>
    <w:rsid w:val="00A66A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cands.bc.c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dawncanada.net"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796471-6FF8-43A1-A82A-346018F0F391}">
  <ds:schemaRefs>
    <ds:schemaRef ds:uri="http://schemas.openxmlformats.org/officeDocument/2006/bibliography"/>
  </ds:schemaRefs>
</ds:datastoreItem>
</file>

<file path=customXml/itemProps2.xml><?xml version="1.0" encoding="utf-8"?>
<ds:datastoreItem xmlns:ds="http://schemas.openxmlformats.org/officeDocument/2006/customXml" ds:itemID="{DCF3B274-E7C2-4E3D-8F4D-38D31FFAB03D}"/>
</file>

<file path=customXml/itemProps3.xml><?xml version="1.0" encoding="utf-8"?>
<ds:datastoreItem xmlns:ds="http://schemas.openxmlformats.org/officeDocument/2006/customXml" ds:itemID="{B206BC25-60C7-42F1-AA61-3EC6C5557E65}"/>
</file>

<file path=docProps/app.xml><?xml version="1.0" encoding="utf-8"?>
<Properties xmlns="http://schemas.openxmlformats.org/officeDocument/2006/extended-properties" xmlns:vt="http://schemas.openxmlformats.org/officeDocument/2006/docPropsVTypes">
  <Template>Normal</Template>
  <TotalTime>81</TotalTime>
  <Pages>19</Pages>
  <Words>3928</Words>
  <Characters>22396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Bégin</dc:creator>
  <cp:keywords/>
  <dc:description/>
  <cp:lastModifiedBy>Bara Hladik</cp:lastModifiedBy>
  <cp:revision>25</cp:revision>
  <dcterms:created xsi:type="dcterms:W3CDTF">2024-09-06T21:24:00Z</dcterms:created>
  <dcterms:modified xsi:type="dcterms:W3CDTF">2024-09-09T22:28:00Z</dcterms:modified>
</cp:coreProperties>
</file>