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E2D93" w14:textId="32374F59" w:rsidR="00A100B4" w:rsidRDefault="002D1194" w:rsidP="00A100B4">
      <w:pPr>
        <w:jc w:val="both"/>
      </w:pPr>
      <w:bookmarkStart w:id="0" w:name="_Toc178946000"/>
      <w:r>
        <w:rPr>
          <w:noProof/>
          <w:lang w:eastAsia="fr-FR"/>
        </w:rPr>
        <w:drawing>
          <wp:anchor distT="0" distB="0" distL="114300" distR="114300" simplePos="0" relativeHeight="251660288" behindDoc="0" locked="0" layoutInCell="1" allowOverlap="1" wp14:anchorId="643EDF32" wp14:editId="1186EABB">
            <wp:simplePos x="0" y="0"/>
            <wp:positionH relativeFrom="margin">
              <wp:posOffset>5383444</wp:posOffset>
            </wp:positionH>
            <wp:positionV relativeFrom="paragraph">
              <wp:posOffset>-511782</wp:posOffset>
            </wp:positionV>
            <wp:extent cx="1034965" cy="1864871"/>
            <wp:effectExtent l="0" t="0" r="0" b="2540"/>
            <wp:wrapNone/>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1034965" cy="1864871"/>
                    </a:xfrm>
                    <a:prstGeom prst="rect">
                      <a:avLst/>
                    </a:prstGeom>
                  </pic:spPr>
                </pic:pic>
              </a:graphicData>
            </a:graphic>
            <wp14:sizeRelH relativeFrom="margin">
              <wp14:pctWidth>0</wp14:pctWidth>
            </wp14:sizeRelH>
            <wp14:sizeRelV relativeFrom="margin">
              <wp14:pctHeight>0</wp14:pctHeight>
            </wp14:sizeRelV>
          </wp:anchor>
        </w:drawing>
      </w:r>
      <w:r w:rsidR="00BA2949">
        <w:rPr>
          <w:noProof/>
        </w:rPr>
        <w:drawing>
          <wp:anchor distT="0" distB="0" distL="114300" distR="114300" simplePos="0" relativeHeight="251680768" behindDoc="0" locked="0" layoutInCell="1" allowOverlap="1" wp14:anchorId="2C47C728" wp14:editId="440CB290">
            <wp:simplePos x="0" y="0"/>
            <wp:positionH relativeFrom="column">
              <wp:posOffset>-266700</wp:posOffset>
            </wp:positionH>
            <wp:positionV relativeFrom="paragraph">
              <wp:posOffset>-247650</wp:posOffset>
            </wp:positionV>
            <wp:extent cx="1933575" cy="706755"/>
            <wp:effectExtent l="0" t="0" r="9525" b="0"/>
            <wp:wrapNone/>
            <wp:docPr id="2024134775" name="Image 1" descr="Une image contenant Police, Graphique, text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34775" name="Image 1" descr="Une image contenant Police, Graphique, texte, logo&#10;&#10;Le contenu généré par l’IA peut être incorrect."/>
                    <pic:cNvPicPr/>
                  </pic:nvPicPr>
                  <pic:blipFill>
                    <a:blip r:embed="rId12" cstate="print">
                      <a:extLst>
                        <a:ext uri="{28A0092B-C50C-407E-A947-70E740481C1C}">
                          <a14:useLocalDpi xmlns:a14="http://schemas.microsoft.com/office/drawing/2010/main" val="0"/>
                        </a:ext>
                      </a:extLst>
                    </a:blip>
                    <a:stretch>
                      <a:fillRect/>
                    </a:stretch>
                  </pic:blipFill>
                  <pic:spPr>
                    <a:xfrm rot="10800000" flipH="1" flipV="1">
                      <a:off x="0" y="0"/>
                      <a:ext cx="1933575" cy="706755"/>
                    </a:xfrm>
                    <a:prstGeom prst="rect">
                      <a:avLst/>
                    </a:prstGeom>
                  </pic:spPr>
                </pic:pic>
              </a:graphicData>
            </a:graphic>
          </wp:anchor>
        </w:drawing>
      </w:r>
    </w:p>
    <w:p w14:paraId="7A274D7F" w14:textId="77777777" w:rsidR="00A100B4" w:rsidRDefault="00A100B4" w:rsidP="00A100B4"/>
    <w:p w14:paraId="50D4ECF5" w14:textId="77777777" w:rsidR="00A100B4" w:rsidRDefault="00A100B4" w:rsidP="00A100B4"/>
    <w:p w14:paraId="13935B88" w14:textId="77777777" w:rsidR="00A100B4" w:rsidRDefault="00A100B4" w:rsidP="00A100B4"/>
    <w:p w14:paraId="172B32CC" w14:textId="77777777" w:rsidR="00A100B4" w:rsidRDefault="00A100B4" w:rsidP="00A100B4"/>
    <w:p w14:paraId="6F486D09" w14:textId="77777777" w:rsidR="00A100B4" w:rsidRDefault="00A100B4" w:rsidP="00A100B4"/>
    <w:tbl>
      <w:tblPr>
        <w:tblStyle w:val="TableGrid"/>
        <w:tblpPr w:leftFromText="141" w:rightFromText="141" w:vertAnchor="page" w:horzAnchor="margin" w:tblpY="5041"/>
        <w:tblW w:w="9825" w:type="dxa"/>
        <w:tblLook w:val="04A0" w:firstRow="1" w:lastRow="0" w:firstColumn="1" w:lastColumn="0" w:noHBand="0" w:noVBand="1"/>
      </w:tblPr>
      <w:tblGrid>
        <w:gridCol w:w="9825"/>
      </w:tblGrid>
      <w:tr w:rsidR="00A100B4" w:rsidRPr="00B909D0" w14:paraId="39A5D75E" w14:textId="77777777" w:rsidTr="00412EEC">
        <w:trPr>
          <w:trHeight w:val="2679"/>
        </w:trPr>
        <w:tc>
          <w:tcPr>
            <w:tcW w:w="9825" w:type="dxa"/>
          </w:tcPr>
          <w:p w14:paraId="488BE390" w14:textId="6B759866" w:rsidR="001B4585" w:rsidRPr="00231E64" w:rsidRDefault="00A100B4" w:rsidP="00412EEC">
            <w:pPr>
              <w:jc w:val="center"/>
              <w:rPr>
                <w:rFonts w:ascii="Arial" w:eastAsia="Arial" w:hAnsi="Arial" w:cs="Arial"/>
                <w:b/>
                <w:bCs/>
                <w:sz w:val="48"/>
                <w:szCs w:val="48"/>
                <w:lang w:val="fr-CH"/>
              </w:rPr>
            </w:pPr>
            <w:r w:rsidRPr="46FAD0AE">
              <w:rPr>
                <w:rFonts w:ascii="Arial" w:eastAsia="Arial" w:hAnsi="Arial" w:cs="Arial"/>
                <w:b/>
                <w:bCs/>
                <w:sz w:val="48"/>
                <w:szCs w:val="48"/>
                <w:lang w:val="fr-CH"/>
              </w:rPr>
              <w:t>Rapport alternatif de l’ACAT</w:t>
            </w:r>
            <w:r w:rsidR="00CF04D7">
              <w:rPr>
                <w:rFonts w:ascii="Arial" w:eastAsia="Arial" w:hAnsi="Arial" w:cs="Arial"/>
                <w:b/>
                <w:bCs/>
                <w:sz w:val="48"/>
                <w:szCs w:val="48"/>
                <w:lang w:val="fr-CH"/>
              </w:rPr>
              <w:t>-</w:t>
            </w:r>
            <w:r w:rsidRPr="46FAD0AE">
              <w:rPr>
                <w:rFonts w:ascii="Arial" w:eastAsia="Arial" w:hAnsi="Arial" w:cs="Arial"/>
                <w:b/>
                <w:bCs/>
                <w:sz w:val="48"/>
                <w:szCs w:val="48"/>
                <w:lang w:val="fr-CH"/>
              </w:rPr>
              <w:t xml:space="preserve">France et de la FIACAT </w:t>
            </w:r>
            <w:r w:rsidR="00CF04D7">
              <w:rPr>
                <w:rFonts w:ascii="Arial" w:eastAsia="Arial" w:hAnsi="Arial" w:cs="Arial"/>
                <w:b/>
                <w:bCs/>
                <w:sz w:val="48"/>
                <w:szCs w:val="48"/>
                <w:lang w:val="fr-CH"/>
              </w:rPr>
              <w:t xml:space="preserve">concernant la torture et les peines ou traitements cruels, inhumains ou dégradants en </w:t>
            </w:r>
            <w:r w:rsidR="003010B7">
              <w:rPr>
                <w:rFonts w:ascii="Arial" w:eastAsia="Arial" w:hAnsi="Arial" w:cs="Arial"/>
                <w:b/>
                <w:bCs/>
                <w:sz w:val="48"/>
                <w:szCs w:val="48"/>
                <w:lang w:val="fr-CH"/>
              </w:rPr>
              <w:t>France</w:t>
            </w:r>
          </w:p>
        </w:tc>
      </w:tr>
    </w:tbl>
    <w:p w14:paraId="2A43F2A3" w14:textId="77777777" w:rsidR="00A100B4" w:rsidRPr="00972651" w:rsidRDefault="00A100B4" w:rsidP="00A100B4">
      <w:pPr>
        <w:rPr>
          <w:lang w:val="fr-CH"/>
        </w:rPr>
      </w:pPr>
    </w:p>
    <w:p w14:paraId="0BC0279E" w14:textId="77777777" w:rsidR="00A100B4" w:rsidRDefault="00A100B4" w:rsidP="00A100B4">
      <w:pPr>
        <w:rPr>
          <w:rFonts w:ascii="Times New Roman" w:hAnsi="Times New Roman" w:cs="Times New Roman"/>
          <w:sz w:val="24"/>
          <w:szCs w:val="24"/>
          <w:lang w:val="fr-CH"/>
        </w:rPr>
      </w:pPr>
      <w:r>
        <w:rPr>
          <w:rFonts w:ascii="Times New Roman" w:hAnsi="Times New Roman" w:cs="Times New Roman"/>
          <w:sz w:val="24"/>
          <w:szCs w:val="24"/>
          <w:lang w:val="fr-CH"/>
        </w:rPr>
        <w:t xml:space="preserve"> </w:t>
      </w:r>
    </w:p>
    <w:p w14:paraId="7414C4AC" w14:textId="77777777" w:rsidR="00A100B4" w:rsidRDefault="00A100B4" w:rsidP="00A100B4">
      <w:pPr>
        <w:rPr>
          <w:rFonts w:ascii="Times New Roman" w:hAnsi="Times New Roman" w:cs="Times New Roman"/>
          <w:sz w:val="24"/>
          <w:szCs w:val="24"/>
          <w:lang w:val="fr-CH"/>
        </w:rPr>
      </w:pPr>
    </w:p>
    <w:p w14:paraId="3C4E2CAC" w14:textId="77777777" w:rsidR="00412EEC" w:rsidRDefault="00412EEC" w:rsidP="00A100B4">
      <w:pPr>
        <w:rPr>
          <w:rFonts w:ascii="Times New Roman" w:hAnsi="Times New Roman" w:cs="Times New Roman"/>
          <w:sz w:val="24"/>
          <w:szCs w:val="24"/>
          <w:lang w:val="fr-CH"/>
        </w:rPr>
      </w:pPr>
    </w:p>
    <w:p w14:paraId="46C21BAF" w14:textId="1D6923F6" w:rsidR="00231E64" w:rsidRPr="00231E64" w:rsidRDefault="00231E64" w:rsidP="00231E64">
      <w:pPr>
        <w:jc w:val="both"/>
        <w:rPr>
          <w:rFonts w:ascii="Arial" w:eastAsia="Arial" w:hAnsi="Arial" w:cs="Arial"/>
          <w:b/>
          <w:bCs/>
          <w:sz w:val="28"/>
          <w:szCs w:val="28"/>
          <w:lang w:val="fr-CH"/>
        </w:rPr>
      </w:pPr>
      <w:r w:rsidRPr="2241D24C">
        <w:rPr>
          <w:rFonts w:ascii="Arial" w:eastAsia="Arial" w:hAnsi="Arial" w:cs="Arial"/>
          <w:b/>
          <w:bCs/>
          <w:sz w:val="28"/>
          <w:szCs w:val="28"/>
          <w:lang w:val="fr-CH"/>
        </w:rPr>
        <w:t xml:space="preserve">Présenté au Comité contre la torture en vue de l’examen du </w:t>
      </w:r>
      <w:r w:rsidR="0A2D7206" w:rsidRPr="2241D24C">
        <w:rPr>
          <w:rFonts w:ascii="Arial" w:eastAsia="Arial" w:hAnsi="Arial" w:cs="Arial"/>
          <w:b/>
          <w:bCs/>
          <w:sz w:val="28"/>
          <w:szCs w:val="28"/>
          <w:lang w:val="fr-CH"/>
        </w:rPr>
        <w:t xml:space="preserve">neuvième </w:t>
      </w:r>
      <w:r w:rsidRPr="2241D24C">
        <w:rPr>
          <w:rFonts w:ascii="Arial" w:eastAsia="Arial" w:hAnsi="Arial" w:cs="Arial"/>
          <w:b/>
          <w:bCs/>
          <w:sz w:val="28"/>
          <w:szCs w:val="28"/>
          <w:lang w:val="fr-CH"/>
        </w:rPr>
        <w:t>rapport périodique de la France</w:t>
      </w:r>
    </w:p>
    <w:p w14:paraId="3603F46F" w14:textId="66689ED8" w:rsidR="00A100B4" w:rsidRDefault="00231E64" w:rsidP="00412EEC">
      <w:pPr>
        <w:rPr>
          <w:rFonts w:ascii="Garamond" w:hAnsi="Garamond" w:cs="Times New Roman"/>
          <w:b/>
          <w:bCs/>
          <w:sz w:val="30"/>
          <w:szCs w:val="30"/>
          <w:lang w:val="fr-CH"/>
        </w:rPr>
      </w:pPr>
      <w:r w:rsidRPr="00302E8E">
        <w:rPr>
          <w:rFonts w:ascii="Arial" w:eastAsia="Arial" w:hAnsi="Arial" w:cs="Arial"/>
          <w:sz w:val="24"/>
          <w:szCs w:val="24"/>
          <w:lang w:val="fr-CH"/>
        </w:rPr>
        <w:t>82</w:t>
      </w:r>
      <w:r w:rsidRPr="00302E8E">
        <w:rPr>
          <w:rFonts w:ascii="Arial" w:eastAsia="Arial" w:hAnsi="Arial" w:cs="Arial"/>
          <w:sz w:val="24"/>
          <w:szCs w:val="24"/>
          <w:vertAlign w:val="superscript"/>
          <w:lang w:val="fr-CH"/>
        </w:rPr>
        <w:t>e</w:t>
      </w:r>
      <w:r w:rsidRPr="00302E8E">
        <w:rPr>
          <w:rFonts w:ascii="Arial" w:eastAsia="Arial" w:hAnsi="Arial" w:cs="Arial"/>
          <w:sz w:val="24"/>
          <w:szCs w:val="24"/>
          <w:lang w:val="fr-CH"/>
        </w:rPr>
        <w:t xml:space="preserve"> session, 7 avril – 2 mai 2025</w:t>
      </w:r>
    </w:p>
    <w:p w14:paraId="50C50497" w14:textId="77777777" w:rsidR="00A100B4" w:rsidRDefault="00A100B4" w:rsidP="00A100B4">
      <w:pPr>
        <w:jc w:val="center"/>
        <w:rPr>
          <w:rFonts w:ascii="Garamond" w:hAnsi="Garamond" w:cs="Times New Roman"/>
          <w:b/>
          <w:bCs/>
          <w:sz w:val="30"/>
          <w:szCs w:val="30"/>
          <w:lang w:val="fr-CH"/>
        </w:rPr>
      </w:pPr>
    </w:p>
    <w:p w14:paraId="314DEC86" w14:textId="77777777" w:rsidR="00A100B4" w:rsidRDefault="00A100B4" w:rsidP="00A100B4">
      <w:pPr>
        <w:jc w:val="center"/>
        <w:rPr>
          <w:rFonts w:ascii="Garamond" w:hAnsi="Garamond" w:cs="Times New Roman"/>
          <w:b/>
          <w:bCs/>
          <w:sz w:val="30"/>
          <w:szCs w:val="30"/>
          <w:lang w:val="fr-CH"/>
        </w:rPr>
      </w:pPr>
    </w:p>
    <w:p w14:paraId="0576BA0E" w14:textId="77777777" w:rsidR="00412EEC" w:rsidRDefault="00412EEC" w:rsidP="00A100B4">
      <w:pPr>
        <w:jc w:val="center"/>
        <w:rPr>
          <w:rFonts w:ascii="Garamond" w:hAnsi="Garamond" w:cs="Times New Roman"/>
          <w:b/>
          <w:bCs/>
          <w:sz w:val="30"/>
          <w:szCs w:val="30"/>
          <w:lang w:val="fr-CH"/>
        </w:rPr>
      </w:pPr>
    </w:p>
    <w:p w14:paraId="57212555" w14:textId="77777777" w:rsidR="00412EEC" w:rsidRDefault="00412EEC" w:rsidP="00A100B4">
      <w:pPr>
        <w:jc w:val="center"/>
        <w:rPr>
          <w:rFonts w:ascii="Garamond" w:hAnsi="Garamond" w:cs="Times New Roman"/>
          <w:b/>
          <w:bCs/>
          <w:sz w:val="30"/>
          <w:szCs w:val="30"/>
          <w:lang w:val="fr-CH"/>
        </w:rPr>
      </w:pPr>
    </w:p>
    <w:p w14:paraId="15779817" w14:textId="77777777" w:rsidR="00A100B4" w:rsidRDefault="00A100B4" w:rsidP="00A100B4">
      <w:pPr>
        <w:jc w:val="center"/>
        <w:rPr>
          <w:rFonts w:ascii="Garamond" w:hAnsi="Garamond" w:cs="Times New Roman"/>
          <w:b/>
          <w:bCs/>
          <w:sz w:val="30"/>
          <w:szCs w:val="30"/>
          <w:lang w:val="fr-CH"/>
        </w:rPr>
      </w:pPr>
    </w:p>
    <w:p w14:paraId="281261CE" w14:textId="7F3E4FC5" w:rsidR="00A100B4" w:rsidRPr="0061488F" w:rsidRDefault="00A100B4" w:rsidP="00A100B4">
      <w:pPr>
        <w:jc w:val="center"/>
        <w:rPr>
          <w:rFonts w:ascii="Arial" w:hAnsi="Arial" w:cs="Arial"/>
          <w:b/>
          <w:bCs/>
          <w:sz w:val="24"/>
          <w:szCs w:val="24"/>
          <w:lang w:val="fr-CH"/>
        </w:rPr>
      </w:pPr>
      <w:r w:rsidRPr="0061488F">
        <w:rPr>
          <w:rFonts w:ascii="Arial" w:hAnsi="Arial" w:cs="Arial"/>
          <w:b/>
          <w:bCs/>
          <w:sz w:val="24"/>
          <w:szCs w:val="24"/>
          <w:lang w:val="fr-CH"/>
        </w:rPr>
        <w:t>10 mars 2025</w:t>
      </w:r>
    </w:p>
    <w:p w14:paraId="5CD87EE0" w14:textId="77777777" w:rsidR="00A100B4" w:rsidRDefault="00A100B4">
      <w:r>
        <w:br w:type="page"/>
      </w:r>
    </w:p>
    <w:sdt>
      <w:sdtPr>
        <w:rPr>
          <w:rFonts w:eastAsiaTheme="minorHAnsi" w:cs="Times New Roman"/>
          <w:b/>
          <w:bCs/>
          <w:noProof/>
          <w:kern w:val="2"/>
          <w:sz w:val="24"/>
          <w:szCs w:val="24"/>
          <w:u w:val="none"/>
          <w:lang w:eastAsia="en-US"/>
          <w14:ligatures w14:val="standardContextual"/>
        </w:rPr>
        <w:id w:val="334068868"/>
        <w:docPartObj>
          <w:docPartGallery w:val="Table of Contents"/>
          <w:docPartUnique/>
        </w:docPartObj>
      </w:sdtPr>
      <w:sdtEndPr/>
      <w:sdtContent>
        <w:p w14:paraId="0AAAAB07" w14:textId="1DFF0E68" w:rsidR="003D0386" w:rsidRPr="00F16E98" w:rsidRDefault="003D0386" w:rsidP="08215407">
          <w:pPr>
            <w:pStyle w:val="TOCHeading"/>
            <w:rPr>
              <w:rFonts w:cs="Times New Roman"/>
              <w:b/>
              <w:bCs/>
            </w:rPr>
          </w:pPr>
          <w:r w:rsidRPr="08215407">
            <w:rPr>
              <w:rFonts w:cs="Times New Roman"/>
              <w:b/>
              <w:bCs/>
            </w:rPr>
            <w:t>Table des matières</w:t>
          </w:r>
        </w:p>
        <w:p w14:paraId="64D47090" w14:textId="77777777" w:rsidR="00674A01" w:rsidRPr="00674A01" w:rsidRDefault="00674A01" w:rsidP="00674A01">
          <w:pPr>
            <w:rPr>
              <w:lang w:eastAsia="fr-FR"/>
            </w:rPr>
          </w:pPr>
        </w:p>
        <w:p w14:paraId="4CC0C892" w14:textId="756A9F03" w:rsidR="00BC0084" w:rsidRDefault="002E6925">
          <w:pPr>
            <w:pStyle w:val="TOC1"/>
            <w:rPr>
              <w:rStyle w:val="Hyperlink"/>
            </w:rPr>
          </w:pPr>
          <w:r>
            <w:fldChar w:fldCharType="begin"/>
          </w:r>
          <w:r w:rsidR="003D0386">
            <w:instrText>TOC \o "1-3" \z \u \h</w:instrText>
          </w:r>
          <w:r>
            <w:fldChar w:fldCharType="separate"/>
          </w:r>
          <w:hyperlink w:anchor="_Toc192599327" w:history="1">
            <w:r w:rsidR="00BC0084" w:rsidRPr="00130DE3">
              <w:rPr>
                <w:rStyle w:val="Hyperlink"/>
                <w:rFonts w:eastAsia="Arial"/>
                <w:lang w:val="fr-CH"/>
              </w:rPr>
              <w:t>ORGANISATIONS AUTRICES DU RAPPORT</w:t>
            </w:r>
            <w:r w:rsidR="00BC0084">
              <w:rPr>
                <w:webHidden/>
              </w:rPr>
              <w:tab/>
            </w:r>
            <w:r w:rsidR="00BC0084">
              <w:rPr>
                <w:webHidden/>
              </w:rPr>
              <w:fldChar w:fldCharType="begin"/>
            </w:r>
            <w:r w:rsidR="00BC0084">
              <w:rPr>
                <w:webHidden/>
              </w:rPr>
              <w:instrText xml:space="preserve"> PAGEREF _Toc192599327 \h </w:instrText>
            </w:r>
            <w:r w:rsidR="00BC0084">
              <w:rPr>
                <w:webHidden/>
              </w:rPr>
            </w:r>
            <w:r w:rsidR="00BC0084">
              <w:rPr>
                <w:webHidden/>
              </w:rPr>
              <w:fldChar w:fldCharType="separate"/>
            </w:r>
            <w:r w:rsidR="00E034B7">
              <w:rPr>
                <w:webHidden/>
              </w:rPr>
              <w:t>3</w:t>
            </w:r>
            <w:r w:rsidR="00BC0084">
              <w:rPr>
                <w:webHidden/>
              </w:rPr>
              <w:fldChar w:fldCharType="end"/>
            </w:r>
          </w:hyperlink>
        </w:p>
        <w:p w14:paraId="5E0B3970" w14:textId="77777777" w:rsidR="00BC0084" w:rsidRPr="00BC0084" w:rsidRDefault="00BC0084" w:rsidP="00BC0084"/>
        <w:p w14:paraId="1ADB5864" w14:textId="41D3BFEA" w:rsidR="00BC0084" w:rsidRDefault="00720D8F">
          <w:pPr>
            <w:pStyle w:val="TOC1"/>
            <w:rPr>
              <w:rFonts w:asciiTheme="minorHAnsi" w:eastAsiaTheme="minorEastAsia" w:hAnsiTheme="minorHAnsi" w:cstheme="minorBidi"/>
              <w:lang w:eastAsia="fr-FR"/>
            </w:rPr>
          </w:pPr>
          <w:hyperlink w:anchor="_Toc192599328" w:history="1">
            <w:r w:rsidR="00BC0084" w:rsidRPr="00130DE3">
              <w:rPr>
                <w:rStyle w:val="Hyperlink"/>
              </w:rPr>
              <w:t>I.</w:t>
            </w:r>
            <w:r w:rsidR="00BC0084">
              <w:rPr>
                <w:rFonts w:asciiTheme="minorHAnsi" w:eastAsiaTheme="minorEastAsia" w:hAnsiTheme="minorHAnsi" w:cstheme="minorBidi"/>
                <w:lang w:eastAsia="fr-FR"/>
              </w:rPr>
              <w:tab/>
            </w:r>
            <w:r w:rsidR="00BC0084" w:rsidRPr="00130DE3">
              <w:rPr>
                <w:rStyle w:val="Hyperlink"/>
              </w:rPr>
              <w:t>Conditions carcérales et politique pénale (article 11)</w:t>
            </w:r>
            <w:r w:rsidR="00BC0084">
              <w:rPr>
                <w:webHidden/>
              </w:rPr>
              <w:tab/>
            </w:r>
            <w:r w:rsidR="00BC0084">
              <w:rPr>
                <w:webHidden/>
              </w:rPr>
              <w:fldChar w:fldCharType="begin"/>
            </w:r>
            <w:r w:rsidR="00BC0084">
              <w:rPr>
                <w:webHidden/>
              </w:rPr>
              <w:instrText xml:space="preserve"> PAGEREF _Toc192599328 \h </w:instrText>
            </w:r>
            <w:r w:rsidR="00BC0084">
              <w:rPr>
                <w:webHidden/>
              </w:rPr>
            </w:r>
            <w:r w:rsidR="00BC0084">
              <w:rPr>
                <w:webHidden/>
              </w:rPr>
              <w:fldChar w:fldCharType="separate"/>
            </w:r>
            <w:r w:rsidR="00E034B7">
              <w:rPr>
                <w:webHidden/>
              </w:rPr>
              <w:t>5</w:t>
            </w:r>
            <w:r w:rsidR="00BC0084">
              <w:rPr>
                <w:webHidden/>
              </w:rPr>
              <w:fldChar w:fldCharType="end"/>
            </w:r>
          </w:hyperlink>
        </w:p>
        <w:p w14:paraId="6BDAB583" w14:textId="1F1372CC" w:rsidR="00BC0084" w:rsidRDefault="00720D8F">
          <w:pPr>
            <w:pStyle w:val="TOC2"/>
            <w:rPr>
              <w:rFonts w:asciiTheme="minorHAnsi" w:eastAsiaTheme="minorEastAsia" w:hAnsiTheme="minorHAnsi" w:cstheme="minorBidi"/>
              <w:b w:val="0"/>
              <w:bCs w:val="0"/>
              <w:lang w:eastAsia="fr-FR"/>
            </w:rPr>
          </w:pPr>
          <w:hyperlink w:anchor="_Toc192599329" w:history="1">
            <w:r w:rsidR="00BC0084" w:rsidRPr="00130DE3">
              <w:rPr>
                <w:rStyle w:val="Hyperlink"/>
              </w:rPr>
              <w:t>1.</w:t>
            </w:r>
            <w:r w:rsidR="00BC0084">
              <w:rPr>
                <w:rFonts w:asciiTheme="minorHAnsi" w:eastAsiaTheme="minorEastAsia" w:hAnsiTheme="minorHAnsi" w:cstheme="minorBidi"/>
                <w:b w:val="0"/>
                <w:bCs w:val="0"/>
                <w:lang w:eastAsia="fr-FR"/>
              </w:rPr>
              <w:tab/>
            </w:r>
            <w:r w:rsidR="00BC0084" w:rsidRPr="00130DE3">
              <w:rPr>
                <w:rStyle w:val="Hyperlink"/>
              </w:rPr>
              <w:t>Surpopulation carcérale</w:t>
            </w:r>
            <w:r w:rsidR="00BC0084">
              <w:rPr>
                <w:webHidden/>
              </w:rPr>
              <w:tab/>
            </w:r>
            <w:r w:rsidR="00BC0084">
              <w:rPr>
                <w:webHidden/>
              </w:rPr>
              <w:fldChar w:fldCharType="begin"/>
            </w:r>
            <w:r w:rsidR="00BC0084">
              <w:rPr>
                <w:webHidden/>
              </w:rPr>
              <w:instrText xml:space="preserve"> PAGEREF _Toc192599329 \h </w:instrText>
            </w:r>
            <w:r w:rsidR="00BC0084">
              <w:rPr>
                <w:webHidden/>
              </w:rPr>
            </w:r>
            <w:r w:rsidR="00BC0084">
              <w:rPr>
                <w:webHidden/>
              </w:rPr>
              <w:fldChar w:fldCharType="separate"/>
            </w:r>
            <w:r w:rsidR="00E034B7">
              <w:rPr>
                <w:webHidden/>
              </w:rPr>
              <w:t>5</w:t>
            </w:r>
            <w:r w:rsidR="00BC0084">
              <w:rPr>
                <w:webHidden/>
              </w:rPr>
              <w:fldChar w:fldCharType="end"/>
            </w:r>
          </w:hyperlink>
        </w:p>
        <w:p w14:paraId="7F6D15AE" w14:textId="3656D5DA" w:rsidR="00BC0084" w:rsidRDefault="00720D8F" w:rsidP="002D630B">
          <w:pPr>
            <w:pStyle w:val="TOC2"/>
            <w:rPr>
              <w:rFonts w:asciiTheme="minorHAnsi" w:eastAsiaTheme="minorEastAsia" w:hAnsiTheme="minorHAnsi" w:cstheme="minorBidi"/>
              <w:b w:val="0"/>
              <w:bCs w:val="0"/>
              <w:lang w:eastAsia="fr-FR"/>
            </w:rPr>
          </w:pPr>
          <w:hyperlink w:anchor="_Toc192599330" w:history="1">
            <w:r w:rsidR="00BC0084" w:rsidRPr="00130DE3">
              <w:rPr>
                <w:rStyle w:val="Hyperlink"/>
              </w:rPr>
              <w:t>2.</w:t>
            </w:r>
            <w:r w:rsidR="00BC0084">
              <w:rPr>
                <w:rFonts w:asciiTheme="minorHAnsi" w:eastAsiaTheme="minorEastAsia" w:hAnsiTheme="minorHAnsi" w:cstheme="minorBidi"/>
                <w:b w:val="0"/>
                <w:bCs w:val="0"/>
                <w:lang w:eastAsia="fr-FR"/>
              </w:rPr>
              <w:tab/>
            </w:r>
            <w:r w:rsidR="00BC0084" w:rsidRPr="00130DE3">
              <w:rPr>
                <w:rStyle w:val="Hyperlink"/>
              </w:rPr>
              <w:t>Conditions matérielles de détention</w:t>
            </w:r>
            <w:r w:rsidR="00BC0084">
              <w:rPr>
                <w:webHidden/>
              </w:rPr>
              <w:tab/>
            </w:r>
            <w:r w:rsidR="00BC0084">
              <w:rPr>
                <w:webHidden/>
              </w:rPr>
              <w:fldChar w:fldCharType="begin"/>
            </w:r>
            <w:r w:rsidR="00BC0084">
              <w:rPr>
                <w:webHidden/>
              </w:rPr>
              <w:instrText xml:space="preserve"> PAGEREF _Toc192599330 \h </w:instrText>
            </w:r>
            <w:r w:rsidR="00BC0084">
              <w:rPr>
                <w:webHidden/>
              </w:rPr>
            </w:r>
            <w:r w:rsidR="00BC0084">
              <w:rPr>
                <w:webHidden/>
              </w:rPr>
              <w:fldChar w:fldCharType="separate"/>
            </w:r>
            <w:r w:rsidR="00E034B7">
              <w:rPr>
                <w:webHidden/>
              </w:rPr>
              <w:t>6</w:t>
            </w:r>
            <w:r w:rsidR="00BC0084">
              <w:rPr>
                <w:webHidden/>
              </w:rPr>
              <w:fldChar w:fldCharType="end"/>
            </w:r>
          </w:hyperlink>
        </w:p>
        <w:p w14:paraId="16E5A79A" w14:textId="6E396820" w:rsidR="00BC0084" w:rsidRDefault="00720D8F">
          <w:pPr>
            <w:pStyle w:val="TOC2"/>
            <w:rPr>
              <w:rStyle w:val="Hyperlink"/>
            </w:rPr>
          </w:pPr>
          <w:hyperlink w:anchor="_Toc192599332" w:history="1">
            <w:r w:rsidR="00BC0084" w:rsidRPr="00130DE3">
              <w:rPr>
                <w:rStyle w:val="Hyperlink"/>
              </w:rPr>
              <w:t>3.</w:t>
            </w:r>
            <w:r w:rsidR="00BC0084">
              <w:rPr>
                <w:rFonts w:asciiTheme="minorHAnsi" w:eastAsiaTheme="minorEastAsia" w:hAnsiTheme="minorHAnsi" w:cstheme="minorBidi"/>
                <w:b w:val="0"/>
                <w:bCs w:val="0"/>
                <w:lang w:eastAsia="fr-FR"/>
              </w:rPr>
              <w:tab/>
            </w:r>
            <w:r w:rsidR="00BC0084" w:rsidRPr="00130DE3">
              <w:rPr>
                <w:rStyle w:val="Hyperlink"/>
              </w:rPr>
              <w:t>Fouilles corporelles</w:t>
            </w:r>
            <w:r w:rsidR="00BC0084">
              <w:rPr>
                <w:webHidden/>
              </w:rPr>
              <w:tab/>
            </w:r>
            <w:r w:rsidR="00BC0084">
              <w:rPr>
                <w:webHidden/>
              </w:rPr>
              <w:fldChar w:fldCharType="begin"/>
            </w:r>
            <w:r w:rsidR="00BC0084">
              <w:rPr>
                <w:webHidden/>
              </w:rPr>
              <w:instrText xml:space="preserve"> PAGEREF _Toc192599332 \h </w:instrText>
            </w:r>
            <w:r w:rsidR="00BC0084">
              <w:rPr>
                <w:webHidden/>
              </w:rPr>
            </w:r>
            <w:r w:rsidR="00BC0084">
              <w:rPr>
                <w:webHidden/>
              </w:rPr>
              <w:fldChar w:fldCharType="separate"/>
            </w:r>
            <w:r w:rsidR="00E034B7">
              <w:rPr>
                <w:webHidden/>
              </w:rPr>
              <w:t>9</w:t>
            </w:r>
            <w:r w:rsidR="00BC0084">
              <w:rPr>
                <w:webHidden/>
              </w:rPr>
              <w:fldChar w:fldCharType="end"/>
            </w:r>
          </w:hyperlink>
        </w:p>
        <w:p w14:paraId="02096564" w14:textId="77777777" w:rsidR="00BC0084" w:rsidRPr="00BC0084" w:rsidRDefault="00BC0084" w:rsidP="00BC0084"/>
        <w:p w14:paraId="035B8E4C" w14:textId="19C27C37" w:rsidR="00BC0084" w:rsidRDefault="00720D8F">
          <w:pPr>
            <w:pStyle w:val="TOC1"/>
            <w:rPr>
              <w:rFonts w:asciiTheme="minorHAnsi" w:eastAsiaTheme="minorEastAsia" w:hAnsiTheme="minorHAnsi" w:cstheme="minorBidi"/>
              <w:lang w:eastAsia="fr-FR"/>
            </w:rPr>
          </w:pPr>
          <w:hyperlink w:anchor="_Toc192599333" w:history="1">
            <w:r w:rsidR="00BC0084" w:rsidRPr="00130DE3">
              <w:rPr>
                <w:rStyle w:val="Hyperlink"/>
              </w:rPr>
              <w:t>II.</w:t>
            </w:r>
            <w:r w:rsidR="00BC0084">
              <w:rPr>
                <w:rFonts w:asciiTheme="minorHAnsi" w:eastAsiaTheme="minorEastAsia" w:hAnsiTheme="minorHAnsi" w:cstheme="minorBidi"/>
                <w:lang w:eastAsia="fr-FR"/>
              </w:rPr>
              <w:tab/>
            </w:r>
            <w:r w:rsidR="00BC0084" w:rsidRPr="00130DE3">
              <w:rPr>
                <w:rStyle w:val="Hyperlink"/>
              </w:rPr>
              <w:t>Enquête impartiale (article 12)</w:t>
            </w:r>
            <w:r w:rsidR="00BC0084">
              <w:rPr>
                <w:webHidden/>
              </w:rPr>
              <w:tab/>
            </w:r>
            <w:r w:rsidR="00BC0084">
              <w:rPr>
                <w:webHidden/>
              </w:rPr>
              <w:fldChar w:fldCharType="begin"/>
            </w:r>
            <w:r w:rsidR="00BC0084">
              <w:rPr>
                <w:webHidden/>
              </w:rPr>
              <w:instrText xml:space="preserve"> PAGEREF _Toc192599333 \h </w:instrText>
            </w:r>
            <w:r w:rsidR="00BC0084">
              <w:rPr>
                <w:webHidden/>
              </w:rPr>
            </w:r>
            <w:r w:rsidR="00BC0084">
              <w:rPr>
                <w:webHidden/>
              </w:rPr>
              <w:fldChar w:fldCharType="separate"/>
            </w:r>
            <w:r w:rsidR="00E034B7">
              <w:rPr>
                <w:webHidden/>
              </w:rPr>
              <w:t>11</w:t>
            </w:r>
            <w:r w:rsidR="00BC0084">
              <w:rPr>
                <w:webHidden/>
              </w:rPr>
              <w:fldChar w:fldCharType="end"/>
            </w:r>
          </w:hyperlink>
        </w:p>
        <w:p w14:paraId="6A6EBACB" w14:textId="600FEB10" w:rsidR="00BC0084" w:rsidRDefault="00720D8F">
          <w:pPr>
            <w:pStyle w:val="TOC2"/>
            <w:rPr>
              <w:rFonts w:asciiTheme="minorHAnsi" w:eastAsiaTheme="minorEastAsia" w:hAnsiTheme="minorHAnsi" w:cstheme="minorBidi"/>
              <w:b w:val="0"/>
              <w:bCs w:val="0"/>
              <w:lang w:eastAsia="fr-FR"/>
            </w:rPr>
          </w:pPr>
          <w:hyperlink w:anchor="_Toc192599334" w:history="1">
            <w:r w:rsidR="00BC0084" w:rsidRPr="00130DE3">
              <w:rPr>
                <w:rStyle w:val="Hyperlink"/>
              </w:rPr>
              <w:t>1.</w:t>
            </w:r>
            <w:r w:rsidR="00BC0084">
              <w:rPr>
                <w:rFonts w:asciiTheme="minorHAnsi" w:eastAsiaTheme="minorEastAsia" w:hAnsiTheme="minorHAnsi" w:cstheme="minorBidi"/>
                <w:b w:val="0"/>
                <w:bCs w:val="0"/>
                <w:lang w:eastAsia="fr-FR"/>
              </w:rPr>
              <w:tab/>
            </w:r>
            <w:r w:rsidR="00BC0084" w:rsidRPr="00130DE3">
              <w:rPr>
                <w:rStyle w:val="Hyperlink"/>
              </w:rPr>
              <w:t>Identification des agents soupçonnés de violences illégitimes</w:t>
            </w:r>
            <w:r w:rsidR="00BC0084">
              <w:rPr>
                <w:webHidden/>
              </w:rPr>
              <w:tab/>
            </w:r>
            <w:r w:rsidR="00BC0084">
              <w:rPr>
                <w:webHidden/>
              </w:rPr>
              <w:fldChar w:fldCharType="begin"/>
            </w:r>
            <w:r w:rsidR="00BC0084">
              <w:rPr>
                <w:webHidden/>
              </w:rPr>
              <w:instrText xml:space="preserve"> PAGEREF _Toc192599334 \h </w:instrText>
            </w:r>
            <w:r w:rsidR="00BC0084">
              <w:rPr>
                <w:webHidden/>
              </w:rPr>
            </w:r>
            <w:r w:rsidR="00BC0084">
              <w:rPr>
                <w:webHidden/>
              </w:rPr>
              <w:fldChar w:fldCharType="separate"/>
            </w:r>
            <w:r w:rsidR="00E034B7">
              <w:rPr>
                <w:webHidden/>
              </w:rPr>
              <w:t>11</w:t>
            </w:r>
            <w:r w:rsidR="00BC0084">
              <w:rPr>
                <w:webHidden/>
              </w:rPr>
              <w:fldChar w:fldCharType="end"/>
            </w:r>
          </w:hyperlink>
        </w:p>
        <w:p w14:paraId="3500FF00" w14:textId="38247A84" w:rsidR="00BC0084" w:rsidRDefault="00720D8F">
          <w:pPr>
            <w:pStyle w:val="TOC2"/>
            <w:rPr>
              <w:rFonts w:asciiTheme="minorHAnsi" w:eastAsiaTheme="minorEastAsia" w:hAnsiTheme="minorHAnsi" w:cstheme="minorBidi"/>
              <w:b w:val="0"/>
              <w:bCs w:val="0"/>
              <w:lang w:eastAsia="fr-FR"/>
            </w:rPr>
          </w:pPr>
          <w:hyperlink w:anchor="_Toc192599335" w:history="1">
            <w:r w:rsidR="00BC0084" w:rsidRPr="00130DE3">
              <w:rPr>
                <w:rStyle w:val="Hyperlink"/>
              </w:rPr>
              <w:t>2.</w:t>
            </w:r>
            <w:r w:rsidR="00BC0084">
              <w:rPr>
                <w:rFonts w:asciiTheme="minorHAnsi" w:eastAsiaTheme="minorEastAsia" w:hAnsiTheme="minorHAnsi" w:cstheme="minorBidi"/>
                <w:b w:val="0"/>
                <w:bCs w:val="0"/>
                <w:lang w:eastAsia="fr-FR"/>
              </w:rPr>
              <w:tab/>
            </w:r>
            <w:r w:rsidR="00BC0084" w:rsidRPr="00130DE3">
              <w:rPr>
                <w:rStyle w:val="Hyperlink"/>
              </w:rPr>
              <w:t>L’indépendance des enquêteurs en question</w:t>
            </w:r>
            <w:r w:rsidR="00BC0084">
              <w:rPr>
                <w:webHidden/>
              </w:rPr>
              <w:tab/>
            </w:r>
            <w:r w:rsidR="00BC0084">
              <w:rPr>
                <w:webHidden/>
              </w:rPr>
              <w:fldChar w:fldCharType="begin"/>
            </w:r>
            <w:r w:rsidR="00BC0084">
              <w:rPr>
                <w:webHidden/>
              </w:rPr>
              <w:instrText xml:space="preserve"> PAGEREF _Toc192599335 \h </w:instrText>
            </w:r>
            <w:r w:rsidR="00BC0084">
              <w:rPr>
                <w:webHidden/>
              </w:rPr>
            </w:r>
            <w:r w:rsidR="00BC0084">
              <w:rPr>
                <w:webHidden/>
              </w:rPr>
              <w:fldChar w:fldCharType="separate"/>
            </w:r>
            <w:r w:rsidR="00E034B7">
              <w:rPr>
                <w:webHidden/>
              </w:rPr>
              <w:t>12</w:t>
            </w:r>
            <w:r w:rsidR="00BC0084">
              <w:rPr>
                <w:webHidden/>
              </w:rPr>
              <w:fldChar w:fldCharType="end"/>
            </w:r>
          </w:hyperlink>
        </w:p>
        <w:p w14:paraId="02436325" w14:textId="57F79507" w:rsidR="00BC0084" w:rsidRDefault="00720D8F">
          <w:pPr>
            <w:pStyle w:val="TOC3"/>
            <w:rPr>
              <w:rFonts w:asciiTheme="minorHAnsi" w:eastAsiaTheme="minorEastAsia" w:hAnsiTheme="minorHAnsi" w:cstheme="minorBidi"/>
              <w:b w:val="0"/>
              <w:bCs w:val="0"/>
              <w:i w:val="0"/>
              <w:iCs w:val="0"/>
              <w:lang w:eastAsia="fr-FR"/>
            </w:rPr>
          </w:pPr>
          <w:hyperlink w:anchor="_Toc192599336" w:history="1">
            <w:r w:rsidR="00BC0084" w:rsidRPr="00130DE3">
              <w:rPr>
                <w:rStyle w:val="Hyperlink"/>
              </w:rPr>
              <w:t>2.1 Le contrôle interne</w:t>
            </w:r>
            <w:r w:rsidR="00BC0084">
              <w:rPr>
                <w:webHidden/>
              </w:rPr>
              <w:tab/>
            </w:r>
            <w:r w:rsidR="00BC0084">
              <w:rPr>
                <w:webHidden/>
              </w:rPr>
              <w:fldChar w:fldCharType="begin"/>
            </w:r>
            <w:r w:rsidR="00BC0084">
              <w:rPr>
                <w:webHidden/>
              </w:rPr>
              <w:instrText xml:space="preserve"> PAGEREF _Toc192599336 \h </w:instrText>
            </w:r>
            <w:r w:rsidR="00BC0084">
              <w:rPr>
                <w:webHidden/>
              </w:rPr>
            </w:r>
            <w:r w:rsidR="00BC0084">
              <w:rPr>
                <w:webHidden/>
              </w:rPr>
              <w:fldChar w:fldCharType="separate"/>
            </w:r>
            <w:r w:rsidR="00E034B7">
              <w:rPr>
                <w:webHidden/>
              </w:rPr>
              <w:t>12</w:t>
            </w:r>
            <w:r w:rsidR="00BC0084">
              <w:rPr>
                <w:webHidden/>
              </w:rPr>
              <w:fldChar w:fldCharType="end"/>
            </w:r>
          </w:hyperlink>
        </w:p>
        <w:p w14:paraId="6E3F2222" w14:textId="05DEDEB3" w:rsidR="00BC0084" w:rsidRDefault="00720D8F">
          <w:pPr>
            <w:pStyle w:val="TOC3"/>
            <w:rPr>
              <w:rFonts w:asciiTheme="minorHAnsi" w:eastAsiaTheme="minorEastAsia" w:hAnsiTheme="minorHAnsi" w:cstheme="minorBidi"/>
              <w:b w:val="0"/>
              <w:bCs w:val="0"/>
              <w:i w:val="0"/>
              <w:iCs w:val="0"/>
              <w:lang w:eastAsia="fr-FR"/>
            </w:rPr>
          </w:pPr>
          <w:hyperlink w:anchor="_Toc192599337" w:history="1">
            <w:r w:rsidR="00BC0084" w:rsidRPr="00130DE3">
              <w:rPr>
                <w:rStyle w:val="Hyperlink"/>
                <w:rFonts w:eastAsia="Arial"/>
                <w:lang w:val="fr-CH" w:eastAsia="fr-FR"/>
              </w:rPr>
              <w:t>2.2 Le contrôle externe</w:t>
            </w:r>
            <w:r w:rsidR="00BC0084">
              <w:rPr>
                <w:webHidden/>
              </w:rPr>
              <w:tab/>
            </w:r>
            <w:r w:rsidR="00BC0084">
              <w:rPr>
                <w:webHidden/>
              </w:rPr>
              <w:fldChar w:fldCharType="begin"/>
            </w:r>
            <w:r w:rsidR="00BC0084">
              <w:rPr>
                <w:webHidden/>
              </w:rPr>
              <w:instrText xml:space="preserve"> PAGEREF _Toc192599337 \h </w:instrText>
            </w:r>
            <w:r w:rsidR="00BC0084">
              <w:rPr>
                <w:webHidden/>
              </w:rPr>
            </w:r>
            <w:r w:rsidR="00BC0084">
              <w:rPr>
                <w:webHidden/>
              </w:rPr>
              <w:fldChar w:fldCharType="separate"/>
            </w:r>
            <w:r w:rsidR="00E034B7">
              <w:rPr>
                <w:webHidden/>
              </w:rPr>
              <w:t>14</w:t>
            </w:r>
            <w:r w:rsidR="00BC0084">
              <w:rPr>
                <w:webHidden/>
              </w:rPr>
              <w:fldChar w:fldCharType="end"/>
            </w:r>
          </w:hyperlink>
        </w:p>
        <w:p w14:paraId="070D6C31" w14:textId="1C95D5CF" w:rsidR="00BC0084" w:rsidRDefault="00720D8F">
          <w:pPr>
            <w:pStyle w:val="TOC3"/>
            <w:rPr>
              <w:rFonts w:asciiTheme="minorHAnsi" w:eastAsiaTheme="minorEastAsia" w:hAnsiTheme="minorHAnsi" w:cstheme="minorBidi"/>
              <w:b w:val="0"/>
              <w:bCs w:val="0"/>
              <w:i w:val="0"/>
              <w:iCs w:val="0"/>
              <w:lang w:eastAsia="fr-FR"/>
            </w:rPr>
          </w:pPr>
          <w:hyperlink w:anchor="_Toc192599338" w:history="1">
            <w:r w:rsidR="00BC0084" w:rsidRPr="00130DE3">
              <w:rPr>
                <w:rStyle w:val="Hyperlink"/>
                <w:rFonts w:eastAsia="Arial"/>
                <w:lang w:val="fr-CH" w:eastAsia="fr-FR"/>
              </w:rPr>
              <w:t>2.3 Le contrôle judiciaire</w:t>
            </w:r>
            <w:r w:rsidR="00BC0084">
              <w:rPr>
                <w:webHidden/>
              </w:rPr>
              <w:tab/>
            </w:r>
            <w:r w:rsidR="00BC0084">
              <w:rPr>
                <w:webHidden/>
              </w:rPr>
              <w:fldChar w:fldCharType="begin"/>
            </w:r>
            <w:r w:rsidR="00BC0084">
              <w:rPr>
                <w:webHidden/>
              </w:rPr>
              <w:instrText xml:space="preserve"> PAGEREF _Toc192599338 \h </w:instrText>
            </w:r>
            <w:r w:rsidR="00BC0084">
              <w:rPr>
                <w:webHidden/>
              </w:rPr>
            </w:r>
            <w:r w:rsidR="00BC0084">
              <w:rPr>
                <w:webHidden/>
              </w:rPr>
              <w:fldChar w:fldCharType="separate"/>
            </w:r>
            <w:r w:rsidR="00E034B7">
              <w:rPr>
                <w:webHidden/>
              </w:rPr>
              <w:t>15</w:t>
            </w:r>
            <w:r w:rsidR="00BC0084">
              <w:rPr>
                <w:webHidden/>
              </w:rPr>
              <w:fldChar w:fldCharType="end"/>
            </w:r>
          </w:hyperlink>
        </w:p>
        <w:p w14:paraId="28FC4555" w14:textId="723533E8" w:rsidR="00BC0084" w:rsidRDefault="00720D8F">
          <w:pPr>
            <w:pStyle w:val="TOC2"/>
            <w:rPr>
              <w:rStyle w:val="Hyperlink"/>
            </w:rPr>
          </w:pPr>
          <w:hyperlink w:anchor="_Toc192599339" w:history="1">
            <w:r w:rsidR="00BC0084" w:rsidRPr="00130DE3">
              <w:rPr>
                <w:rStyle w:val="Hyperlink"/>
              </w:rPr>
              <w:t>3.</w:t>
            </w:r>
            <w:r w:rsidR="00BC0084">
              <w:rPr>
                <w:rFonts w:asciiTheme="minorHAnsi" w:eastAsiaTheme="minorEastAsia" w:hAnsiTheme="minorHAnsi" w:cstheme="minorBidi"/>
                <w:b w:val="0"/>
                <w:bCs w:val="0"/>
                <w:lang w:eastAsia="fr-FR"/>
              </w:rPr>
              <w:tab/>
            </w:r>
            <w:r w:rsidR="00BC0084" w:rsidRPr="00130DE3">
              <w:rPr>
                <w:rStyle w:val="Hyperlink"/>
              </w:rPr>
              <w:t>Sanctions</w:t>
            </w:r>
            <w:r w:rsidR="00BC0084">
              <w:rPr>
                <w:webHidden/>
              </w:rPr>
              <w:tab/>
            </w:r>
            <w:r w:rsidR="00BC0084">
              <w:rPr>
                <w:webHidden/>
              </w:rPr>
              <w:fldChar w:fldCharType="begin"/>
            </w:r>
            <w:r w:rsidR="00BC0084">
              <w:rPr>
                <w:webHidden/>
              </w:rPr>
              <w:instrText xml:space="preserve"> PAGEREF _Toc192599339 \h </w:instrText>
            </w:r>
            <w:r w:rsidR="00BC0084">
              <w:rPr>
                <w:webHidden/>
              </w:rPr>
            </w:r>
            <w:r w:rsidR="00BC0084">
              <w:rPr>
                <w:webHidden/>
              </w:rPr>
              <w:fldChar w:fldCharType="separate"/>
            </w:r>
            <w:r w:rsidR="00E034B7">
              <w:rPr>
                <w:webHidden/>
              </w:rPr>
              <w:t>15</w:t>
            </w:r>
            <w:r w:rsidR="00BC0084">
              <w:rPr>
                <w:webHidden/>
              </w:rPr>
              <w:fldChar w:fldCharType="end"/>
            </w:r>
          </w:hyperlink>
        </w:p>
        <w:p w14:paraId="74760CE3" w14:textId="77777777" w:rsidR="00BC0084" w:rsidRPr="00BC0084" w:rsidRDefault="00BC0084" w:rsidP="00BC0084"/>
        <w:p w14:paraId="70FC83D3" w14:textId="0E06F386" w:rsidR="00BC0084" w:rsidRDefault="00720D8F">
          <w:pPr>
            <w:pStyle w:val="TOC1"/>
            <w:rPr>
              <w:rFonts w:asciiTheme="minorHAnsi" w:eastAsiaTheme="minorEastAsia" w:hAnsiTheme="minorHAnsi" w:cstheme="minorBidi"/>
              <w:lang w:eastAsia="fr-FR"/>
            </w:rPr>
          </w:pPr>
          <w:hyperlink w:anchor="_Toc192599340" w:history="1">
            <w:r w:rsidR="00BC0084" w:rsidRPr="00130DE3">
              <w:rPr>
                <w:rStyle w:val="Hyperlink"/>
              </w:rPr>
              <w:t>III.</w:t>
            </w:r>
            <w:r w:rsidR="00BC0084">
              <w:rPr>
                <w:rFonts w:asciiTheme="minorHAnsi" w:eastAsiaTheme="minorEastAsia" w:hAnsiTheme="minorHAnsi" w:cstheme="minorBidi"/>
                <w:lang w:eastAsia="fr-FR"/>
              </w:rPr>
              <w:tab/>
            </w:r>
            <w:r w:rsidR="00BC0084" w:rsidRPr="00130DE3">
              <w:rPr>
                <w:rStyle w:val="Hyperlink"/>
              </w:rPr>
              <w:t>Traitements cruels, inhumains ou dégradants commis par les responsables de l’application des lois (article 16)</w:t>
            </w:r>
            <w:r w:rsidR="00BC0084">
              <w:rPr>
                <w:webHidden/>
              </w:rPr>
              <w:tab/>
            </w:r>
            <w:r w:rsidR="00BC0084">
              <w:rPr>
                <w:webHidden/>
              </w:rPr>
              <w:fldChar w:fldCharType="begin"/>
            </w:r>
            <w:r w:rsidR="00BC0084">
              <w:rPr>
                <w:webHidden/>
              </w:rPr>
              <w:instrText xml:space="preserve"> PAGEREF _Toc192599340 \h </w:instrText>
            </w:r>
            <w:r w:rsidR="00BC0084">
              <w:rPr>
                <w:webHidden/>
              </w:rPr>
            </w:r>
            <w:r w:rsidR="00BC0084">
              <w:rPr>
                <w:webHidden/>
              </w:rPr>
              <w:fldChar w:fldCharType="separate"/>
            </w:r>
            <w:r w:rsidR="00E034B7">
              <w:rPr>
                <w:webHidden/>
              </w:rPr>
              <w:t>17</w:t>
            </w:r>
            <w:r w:rsidR="00BC0084">
              <w:rPr>
                <w:webHidden/>
              </w:rPr>
              <w:fldChar w:fldCharType="end"/>
            </w:r>
          </w:hyperlink>
        </w:p>
        <w:p w14:paraId="225A2D77" w14:textId="4719B119" w:rsidR="00BC0084" w:rsidRDefault="00720D8F">
          <w:pPr>
            <w:pStyle w:val="TOC2"/>
            <w:rPr>
              <w:rFonts w:asciiTheme="minorHAnsi" w:eastAsiaTheme="minorEastAsia" w:hAnsiTheme="minorHAnsi" w:cstheme="minorBidi"/>
              <w:b w:val="0"/>
              <w:bCs w:val="0"/>
              <w:lang w:eastAsia="fr-FR"/>
            </w:rPr>
          </w:pPr>
          <w:hyperlink w:anchor="_Toc192599341" w:history="1">
            <w:r w:rsidR="00BC0084" w:rsidRPr="00130DE3">
              <w:rPr>
                <w:rStyle w:val="Hyperlink"/>
              </w:rPr>
              <w:t>1.</w:t>
            </w:r>
            <w:r w:rsidR="00BC0084">
              <w:rPr>
                <w:rFonts w:asciiTheme="minorHAnsi" w:eastAsiaTheme="minorEastAsia" w:hAnsiTheme="minorHAnsi" w:cstheme="minorBidi"/>
                <w:b w:val="0"/>
                <w:bCs w:val="0"/>
                <w:lang w:eastAsia="fr-FR"/>
              </w:rPr>
              <w:tab/>
            </w:r>
            <w:r w:rsidR="00BC0084" w:rsidRPr="00130DE3">
              <w:rPr>
                <w:rStyle w:val="Hyperlink"/>
              </w:rPr>
              <w:t>Transparence en matière d’usage de la force</w:t>
            </w:r>
            <w:r w:rsidR="00BC0084">
              <w:rPr>
                <w:webHidden/>
              </w:rPr>
              <w:tab/>
            </w:r>
            <w:r w:rsidR="00BC0084">
              <w:rPr>
                <w:webHidden/>
              </w:rPr>
              <w:fldChar w:fldCharType="begin"/>
            </w:r>
            <w:r w:rsidR="00BC0084">
              <w:rPr>
                <w:webHidden/>
              </w:rPr>
              <w:instrText xml:space="preserve"> PAGEREF _Toc192599341 \h </w:instrText>
            </w:r>
            <w:r w:rsidR="00BC0084">
              <w:rPr>
                <w:webHidden/>
              </w:rPr>
            </w:r>
            <w:r w:rsidR="00BC0084">
              <w:rPr>
                <w:webHidden/>
              </w:rPr>
              <w:fldChar w:fldCharType="separate"/>
            </w:r>
            <w:r w:rsidR="00E034B7">
              <w:rPr>
                <w:webHidden/>
              </w:rPr>
              <w:t>17</w:t>
            </w:r>
            <w:r w:rsidR="00BC0084">
              <w:rPr>
                <w:webHidden/>
              </w:rPr>
              <w:fldChar w:fldCharType="end"/>
            </w:r>
          </w:hyperlink>
        </w:p>
        <w:p w14:paraId="788EF2C9" w14:textId="4055A3C5" w:rsidR="00BC0084" w:rsidRDefault="00720D8F">
          <w:pPr>
            <w:pStyle w:val="TOC2"/>
            <w:rPr>
              <w:rFonts w:asciiTheme="minorHAnsi" w:eastAsiaTheme="minorEastAsia" w:hAnsiTheme="minorHAnsi" w:cstheme="minorBidi"/>
              <w:b w:val="0"/>
              <w:bCs w:val="0"/>
              <w:lang w:eastAsia="fr-FR"/>
            </w:rPr>
          </w:pPr>
          <w:hyperlink w:anchor="_Toc192599342" w:history="1">
            <w:r w:rsidR="00BC0084" w:rsidRPr="00130DE3">
              <w:rPr>
                <w:rStyle w:val="Hyperlink"/>
              </w:rPr>
              <w:t>2.</w:t>
            </w:r>
            <w:r w:rsidR="00BC0084">
              <w:rPr>
                <w:rFonts w:asciiTheme="minorHAnsi" w:eastAsiaTheme="minorEastAsia" w:hAnsiTheme="minorHAnsi" w:cstheme="minorBidi"/>
                <w:b w:val="0"/>
                <w:bCs w:val="0"/>
                <w:lang w:eastAsia="fr-FR"/>
              </w:rPr>
              <w:tab/>
            </w:r>
            <w:r w:rsidR="00BC0084" w:rsidRPr="00130DE3">
              <w:rPr>
                <w:rStyle w:val="Hyperlink"/>
              </w:rPr>
              <w:t>Usage des armes létales</w:t>
            </w:r>
            <w:r w:rsidR="00BC0084">
              <w:rPr>
                <w:webHidden/>
              </w:rPr>
              <w:tab/>
            </w:r>
            <w:r w:rsidR="00BC0084">
              <w:rPr>
                <w:webHidden/>
              </w:rPr>
              <w:fldChar w:fldCharType="begin"/>
            </w:r>
            <w:r w:rsidR="00BC0084">
              <w:rPr>
                <w:webHidden/>
              </w:rPr>
              <w:instrText xml:space="preserve"> PAGEREF _Toc192599342 \h </w:instrText>
            </w:r>
            <w:r w:rsidR="00BC0084">
              <w:rPr>
                <w:webHidden/>
              </w:rPr>
            </w:r>
            <w:r w:rsidR="00BC0084">
              <w:rPr>
                <w:webHidden/>
              </w:rPr>
              <w:fldChar w:fldCharType="separate"/>
            </w:r>
            <w:r w:rsidR="00E034B7">
              <w:rPr>
                <w:webHidden/>
              </w:rPr>
              <w:t>19</w:t>
            </w:r>
            <w:r w:rsidR="00BC0084">
              <w:rPr>
                <w:webHidden/>
              </w:rPr>
              <w:fldChar w:fldCharType="end"/>
            </w:r>
          </w:hyperlink>
        </w:p>
        <w:p w14:paraId="1F0510F1" w14:textId="1BECF3F1" w:rsidR="00BC0084" w:rsidRDefault="00720D8F">
          <w:pPr>
            <w:pStyle w:val="TOC2"/>
            <w:rPr>
              <w:rFonts w:asciiTheme="minorHAnsi" w:eastAsiaTheme="minorEastAsia" w:hAnsiTheme="minorHAnsi" w:cstheme="minorBidi"/>
              <w:b w:val="0"/>
              <w:bCs w:val="0"/>
              <w:lang w:eastAsia="fr-FR"/>
            </w:rPr>
          </w:pPr>
          <w:hyperlink w:anchor="_Toc192599343" w:history="1">
            <w:r w:rsidR="00BC0084" w:rsidRPr="00130DE3">
              <w:rPr>
                <w:rStyle w:val="Hyperlink"/>
              </w:rPr>
              <w:t>3.</w:t>
            </w:r>
            <w:r w:rsidR="00BC0084">
              <w:rPr>
                <w:rFonts w:asciiTheme="minorHAnsi" w:eastAsiaTheme="minorEastAsia" w:hAnsiTheme="minorHAnsi" w:cstheme="minorBidi"/>
                <w:b w:val="0"/>
                <w:bCs w:val="0"/>
                <w:lang w:eastAsia="fr-FR"/>
              </w:rPr>
              <w:tab/>
            </w:r>
            <w:r w:rsidR="00BC0084" w:rsidRPr="00130DE3">
              <w:rPr>
                <w:rStyle w:val="Hyperlink"/>
              </w:rPr>
              <w:t>Usage des armes de forces intermédiaires</w:t>
            </w:r>
            <w:r w:rsidR="00BC0084">
              <w:rPr>
                <w:webHidden/>
              </w:rPr>
              <w:tab/>
            </w:r>
            <w:r w:rsidR="00BC0084">
              <w:rPr>
                <w:webHidden/>
              </w:rPr>
              <w:fldChar w:fldCharType="begin"/>
            </w:r>
            <w:r w:rsidR="00BC0084">
              <w:rPr>
                <w:webHidden/>
              </w:rPr>
              <w:instrText xml:space="preserve"> PAGEREF _Toc192599343 \h </w:instrText>
            </w:r>
            <w:r w:rsidR="00BC0084">
              <w:rPr>
                <w:webHidden/>
              </w:rPr>
            </w:r>
            <w:r w:rsidR="00BC0084">
              <w:rPr>
                <w:webHidden/>
              </w:rPr>
              <w:fldChar w:fldCharType="separate"/>
            </w:r>
            <w:r w:rsidR="00E034B7">
              <w:rPr>
                <w:webHidden/>
              </w:rPr>
              <w:t>21</w:t>
            </w:r>
            <w:r w:rsidR="00BC0084">
              <w:rPr>
                <w:webHidden/>
              </w:rPr>
              <w:fldChar w:fldCharType="end"/>
            </w:r>
          </w:hyperlink>
        </w:p>
        <w:p w14:paraId="2067B436" w14:textId="645E54EB" w:rsidR="00BC0084" w:rsidRDefault="00720D8F">
          <w:pPr>
            <w:pStyle w:val="TOC3"/>
            <w:rPr>
              <w:rFonts w:asciiTheme="minorHAnsi" w:eastAsiaTheme="minorEastAsia" w:hAnsiTheme="minorHAnsi" w:cstheme="minorBidi"/>
              <w:b w:val="0"/>
              <w:bCs w:val="0"/>
              <w:i w:val="0"/>
              <w:iCs w:val="0"/>
              <w:lang w:eastAsia="fr-FR"/>
            </w:rPr>
          </w:pPr>
          <w:hyperlink w:anchor="_Toc192599344" w:history="1">
            <w:r w:rsidR="00BC0084" w:rsidRPr="00130DE3">
              <w:rPr>
                <w:rStyle w:val="Hyperlink"/>
              </w:rPr>
              <w:t>3.1 Le lanceur de balles de défense (LBD)</w:t>
            </w:r>
            <w:r w:rsidR="00BC0084">
              <w:rPr>
                <w:webHidden/>
              </w:rPr>
              <w:tab/>
            </w:r>
            <w:r w:rsidR="00BC0084">
              <w:rPr>
                <w:webHidden/>
              </w:rPr>
              <w:fldChar w:fldCharType="begin"/>
            </w:r>
            <w:r w:rsidR="00BC0084">
              <w:rPr>
                <w:webHidden/>
              </w:rPr>
              <w:instrText xml:space="preserve"> PAGEREF _Toc192599344 \h </w:instrText>
            </w:r>
            <w:r w:rsidR="00BC0084">
              <w:rPr>
                <w:webHidden/>
              </w:rPr>
            </w:r>
            <w:r w:rsidR="00BC0084">
              <w:rPr>
                <w:webHidden/>
              </w:rPr>
              <w:fldChar w:fldCharType="separate"/>
            </w:r>
            <w:r w:rsidR="00E034B7">
              <w:rPr>
                <w:webHidden/>
              </w:rPr>
              <w:t>22</w:t>
            </w:r>
            <w:r w:rsidR="00BC0084">
              <w:rPr>
                <w:webHidden/>
              </w:rPr>
              <w:fldChar w:fldCharType="end"/>
            </w:r>
          </w:hyperlink>
        </w:p>
        <w:p w14:paraId="45793A1B" w14:textId="41664DC4" w:rsidR="00BC0084" w:rsidRDefault="00720D8F">
          <w:pPr>
            <w:pStyle w:val="TOC3"/>
            <w:rPr>
              <w:rFonts w:asciiTheme="minorHAnsi" w:eastAsiaTheme="minorEastAsia" w:hAnsiTheme="minorHAnsi" w:cstheme="minorBidi"/>
              <w:b w:val="0"/>
              <w:bCs w:val="0"/>
              <w:i w:val="0"/>
              <w:iCs w:val="0"/>
              <w:lang w:eastAsia="fr-FR"/>
            </w:rPr>
          </w:pPr>
          <w:hyperlink w:anchor="_Toc192599345" w:history="1">
            <w:r w:rsidR="00BC0084" w:rsidRPr="00130DE3">
              <w:rPr>
                <w:rStyle w:val="Hyperlink"/>
              </w:rPr>
              <w:t>3.2 Les grenades et engins explosifs</w:t>
            </w:r>
            <w:r w:rsidR="00BC0084">
              <w:rPr>
                <w:webHidden/>
              </w:rPr>
              <w:tab/>
            </w:r>
            <w:r w:rsidR="00BC0084">
              <w:rPr>
                <w:webHidden/>
              </w:rPr>
              <w:fldChar w:fldCharType="begin"/>
            </w:r>
            <w:r w:rsidR="00BC0084">
              <w:rPr>
                <w:webHidden/>
              </w:rPr>
              <w:instrText xml:space="preserve"> PAGEREF _Toc192599345 \h </w:instrText>
            </w:r>
            <w:r w:rsidR="00BC0084">
              <w:rPr>
                <w:webHidden/>
              </w:rPr>
            </w:r>
            <w:r w:rsidR="00BC0084">
              <w:rPr>
                <w:webHidden/>
              </w:rPr>
              <w:fldChar w:fldCharType="separate"/>
            </w:r>
            <w:r w:rsidR="00E034B7">
              <w:rPr>
                <w:webHidden/>
              </w:rPr>
              <w:t>25</w:t>
            </w:r>
            <w:r w:rsidR="00BC0084">
              <w:rPr>
                <w:webHidden/>
              </w:rPr>
              <w:fldChar w:fldCharType="end"/>
            </w:r>
          </w:hyperlink>
        </w:p>
        <w:p w14:paraId="56B70A61" w14:textId="0F62F48E" w:rsidR="00BC0084" w:rsidRDefault="00720D8F">
          <w:pPr>
            <w:pStyle w:val="TOC3"/>
            <w:tabs>
              <w:tab w:val="left" w:pos="1200"/>
            </w:tabs>
            <w:rPr>
              <w:rFonts w:asciiTheme="minorHAnsi" w:eastAsiaTheme="minorEastAsia" w:hAnsiTheme="minorHAnsi" w:cstheme="minorBidi"/>
              <w:b w:val="0"/>
              <w:bCs w:val="0"/>
              <w:i w:val="0"/>
              <w:iCs w:val="0"/>
              <w:lang w:eastAsia="fr-FR"/>
            </w:rPr>
          </w:pPr>
          <w:hyperlink w:anchor="_Toc192599346" w:history="1">
            <w:r w:rsidR="00BC0084" w:rsidRPr="00130DE3">
              <w:rPr>
                <w:rStyle w:val="Hyperlink"/>
                <w:rFonts w:eastAsia="Arial"/>
                <w:lang w:val="fr-CH"/>
              </w:rPr>
              <w:t>3.3</w:t>
            </w:r>
            <w:r w:rsidR="00BC0084">
              <w:rPr>
                <w:rFonts w:asciiTheme="minorHAnsi" w:eastAsiaTheme="minorEastAsia" w:hAnsiTheme="minorHAnsi" w:cstheme="minorBidi"/>
                <w:b w:val="0"/>
                <w:bCs w:val="0"/>
                <w:i w:val="0"/>
                <w:iCs w:val="0"/>
                <w:lang w:eastAsia="fr-FR"/>
              </w:rPr>
              <w:tab/>
            </w:r>
            <w:r w:rsidR="00BC0084" w:rsidRPr="00130DE3">
              <w:rPr>
                <w:rStyle w:val="Hyperlink"/>
                <w:rFonts w:eastAsia="Arial"/>
                <w:lang w:val="fr-CH"/>
              </w:rPr>
              <w:t>Le pistolet à impulsion électrique (Taser)</w:t>
            </w:r>
            <w:r w:rsidR="00BC0084">
              <w:rPr>
                <w:webHidden/>
              </w:rPr>
              <w:tab/>
            </w:r>
            <w:r w:rsidR="00BC0084">
              <w:rPr>
                <w:webHidden/>
              </w:rPr>
              <w:fldChar w:fldCharType="begin"/>
            </w:r>
            <w:r w:rsidR="00BC0084">
              <w:rPr>
                <w:webHidden/>
              </w:rPr>
              <w:instrText xml:space="preserve"> PAGEREF _Toc192599346 \h </w:instrText>
            </w:r>
            <w:r w:rsidR="00BC0084">
              <w:rPr>
                <w:webHidden/>
              </w:rPr>
            </w:r>
            <w:r w:rsidR="00BC0084">
              <w:rPr>
                <w:webHidden/>
              </w:rPr>
              <w:fldChar w:fldCharType="separate"/>
            </w:r>
            <w:r w:rsidR="00E034B7">
              <w:rPr>
                <w:webHidden/>
              </w:rPr>
              <w:t>26</w:t>
            </w:r>
            <w:r w:rsidR="00BC0084">
              <w:rPr>
                <w:webHidden/>
              </w:rPr>
              <w:fldChar w:fldCharType="end"/>
            </w:r>
          </w:hyperlink>
        </w:p>
        <w:p w14:paraId="47160CA5" w14:textId="2E9C1036" w:rsidR="00BC0084" w:rsidRDefault="00720D8F">
          <w:pPr>
            <w:pStyle w:val="TOC2"/>
            <w:rPr>
              <w:rFonts w:asciiTheme="minorHAnsi" w:eastAsiaTheme="minorEastAsia" w:hAnsiTheme="minorHAnsi" w:cstheme="minorBidi"/>
              <w:b w:val="0"/>
              <w:bCs w:val="0"/>
              <w:lang w:eastAsia="fr-FR"/>
            </w:rPr>
          </w:pPr>
          <w:hyperlink w:anchor="_Toc192599347" w:history="1">
            <w:r w:rsidR="00BC0084" w:rsidRPr="00130DE3">
              <w:rPr>
                <w:rStyle w:val="Hyperlink"/>
              </w:rPr>
              <w:t>4.</w:t>
            </w:r>
            <w:r w:rsidR="00BC0084">
              <w:rPr>
                <w:rFonts w:asciiTheme="minorHAnsi" w:eastAsiaTheme="minorEastAsia" w:hAnsiTheme="minorHAnsi" w:cstheme="minorBidi"/>
                <w:b w:val="0"/>
                <w:bCs w:val="0"/>
                <w:lang w:eastAsia="fr-FR"/>
              </w:rPr>
              <w:tab/>
            </w:r>
            <w:r w:rsidR="00BC0084" w:rsidRPr="00130DE3">
              <w:rPr>
                <w:rStyle w:val="Hyperlink"/>
              </w:rPr>
              <w:t>Coups volontaires pouvant constituer un mauvais traitement</w:t>
            </w:r>
            <w:r w:rsidR="00BC0084">
              <w:rPr>
                <w:webHidden/>
              </w:rPr>
              <w:tab/>
            </w:r>
            <w:r w:rsidR="00BC0084">
              <w:rPr>
                <w:webHidden/>
              </w:rPr>
              <w:fldChar w:fldCharType="begin"/>
            </w:r>
            <w:r w:rsidR="00BC0084">
              <w:rPr>
                <w:webHidden/>
              </w:rPr>
              <w:instrText xml:space="preserve"> PAGEREF _Toc192599347 \h </w:instrText>
            </w:r>
            <w:r w:rsidR="00BC0084">
              <w:rPr>
                <w:webHidden/>
              </w:rPr>
            </w:r>
            <w:r w:rsidR="00BC0084">
              <w:rPr>
                <w:webHidden/>
              </w:rPr>
              <w:fldChar w:fldCharType="separate"/>
            </w:r>
            <w:r w:rsidR="00E034B7">
              <w:rPr>
                <w:webHidden/>
              </w:rPr>
              <w:t>29</w:t>
            </w:r>
            <w:r w:rsidR="00BC0084">
              <w:rPr>
                <w:webHidden/>
              </w:rPr>
              <w:fldChar w:fldCharType="end"/>
            </w:r>
          </w:hyperlink>
        </w:p>
        <w:p w14:paraId="4B7FBD2A" w14:textId="33EFF4E0" w:rsidR="002E6925" w:rsidRDefault="002E6925" w:rsidP="08215407">
          <w:pPr>
            <w:pStyle w:val="TOC2"/>
            <w:tabs>
              <w:tab w:val="clear" w:pos="9350"/>
              <w:tab w:val="right" w:leader="dot" w:pos="9345"/>
            </w:tabs>
            <w:rPr>
              <w:rStyle w:val="Hyperlink"/>
              <w:lang w:eastAsia="fr-FR"/>
            </w:rPr>
          </w:pPr>
          <w:r>
            <w:fldChar w:fldCharType="end"/>
          </w:r>
        </w:p>
      </w:sdtContent>
    </w:sdt>
    <w:p w14:paraId="506FF486" w14:textId="165E7065" w:rsidR="003D0386" w:rsidRDefault="003D0386"/>
    <w:p w14:paraId="464BB2A7" w14:textId="77777777" w:rsidR="003D0386" w:rsidRDefault="003D0386">
      <w:pPr>
        <w:rPr>
          <w:rFonts w:ascii="Times New Roman" w:eastAsia="Arial" w:hAnsi="Times New Roman" w:cs="Times New Roman"/>
          <w:sz w:val="30"/>
          <w:szCs w:val="30"/>
          <w:u w:val="single"/>
          <w:lang w:val="fr-CH"/>
        </w:rPr>
      </w:pPr>
      <w:r>
        <w:rPr>
          <w:rFonts w:ascii="Times New Roman" w:eastAsia="Arial" w:hAnsi="Times New Roman" w:cs="Times New Roman"/>
          <w:sz w:val="30"/>
          <w:szCs w:val="30"/>
          <w:u w:val="single"/>
          <w:lang w:val="fr-CH"/>
        </w:rPr>
        <w:br w:type="page"/>
      </w:r>
    </w:p>
    <w:p w14:paraId="7BCE1D06" w14:textId="083076D6" w:rsidR="0049799C" w:rsidRPr="0049799C" w:rsidRDefault="0049799C" w:rsidP="0049799C">
      <w:pPr>
        <w:pStyle w:val="Heading1"/>
        <w:rPr>
          <w:rFonts w:eastAsia="Arial" w:cs="Times New Roman"/>
          <w:sz w:val="30"/>
          <w:szCs w:val="30"/>
          <w:lang w:val="fr-CH"/>
        </w:rPr>
      </w:pPr>
      <w:bookmarkStart w:id="1" w:name="_Toc192599327"/>
      <w:r w:rsidRPr="08215407">
        <w:rPr>
          <w:rFonts w:eastAsia="Arial" w:cs="Times New Roman"/>
          <w:sz w:val="30"/>
          <w:szCs w:val="30"/>
          <w:lang w:val="fr-CH"/>
        </w:rPr>
        <w:lastRenderedPageBreak/>
        <w:t>ORGANISATIONS AUTRICES DU RAPPORT</w:t>
      </w:r>
      <w:bookmarkEnd w:id="0"/>
      <w:bookmarkEnd w:id="1"/>
    </w:p>
    <w:p w14:paraId="2D3C66FE" w14:textId="77777777" w:rsidR="0049799C" w:rsidRPr="0049799C" w:rsidRDefault="0049799C" w:rsidP="0049799C">
      <w:pPr>
        <w:rPr>
          <w:rFonts w:ascii="Times New Roman" w:eastAsia="Arial" w:hAnsi="Times New Roman" w:cs="Times New Roman"/>
          <w:lang w:val="fr-CH"/>
        </w:rPr>
      </w:pPr>
    </w:p>
    <w:p w14:paraId="0147E2D6" w14:textId="77777777" w:rsidR="0049799C" w:rsidRPr="0049799C" w:rsidRDefault="0049799C" w:rsidP="0049799C">
      <w:pPr>
        <w:jc w:val="both"/>
        <w:rPr>
          <w:rFonts w:ascii="Times New Roman" w:eastAsia="Arial" w:hAnsi="Times New Roman" w:cs="Times New Roman"/>
          <w:b/>
          <w:bCs/>
          <w:sz w:val="24"/>
          <w:szCs w:val="24"/>
          <w:u w:val="single"/>
          <w:lang w:val="fr-CH"/>
        </w:rPr>
      </w:pPr>
      <w:r w:rsidRPr="0049799C">
        <w:rPr>
          <w:rFonts w:ascii="Times New Roman" w:eastAsia="Arial" w:hAnsi="Times New Roman" w:cs="Times New Roman"/>
          <w:b/>
          <w:bCs/>
          <w:sz w:val="24"/>
          <w:szCs w:val="24"/>
          <w:u w:val="single"/>
          <w:lang w:val="fr-CH"/>
        </w:rPr>
        <w:t>ACAT-France</w:t>
      </w:r>
    </w:p>
    <w:p w14:paraId="3DD5E6F0" w14:textId="4E8C2763" w:rsidR="0049799C" w:rsidRPr="005F6E8B" w:rsidRDefault="0049799C" w:rsidP="0049799C">
      <w:pPr>
        <w:jc w:val="both"/>
        <w:rPr>
          <w:rFonts w:ascii="Times New Roman" w:eastAsia="Arial" w:hAnsi="Times New Roman" w:cs="Times New Roman"/>
          <w:sz w:val="24"/>
          <w:szCs w:val="24"/>
          <w:lang w:val="fr-CH"/>
        </w:rPr>
      </w:pPr>
      <w:r w:rsidRPr="005F6E8B">
        <w:rPr>
          <w:rFonts w:ascii="Times New Roman" w:eastAsia="Times New Roman" w:hAnsi="Times New Roman" w:cs="Times New Roman"/>
          <w:sz w:val="24"/>
          <w:szCs w:val="24"/>
          <w:lang w:val="fr-CH"/>
        </w:rPr>
        <w:t xml:space="preserve">L’ACAT-France est une ONG </w:t>
      </w:r>
      <w:r w:rsidR="4194134B" w:rsidRPr="005F6E8B">
        <w:rPr>
          <w:rFonts w:ascii="Times New Roman" w:eastAsia="Times New Roman" w:hAnsi="Times New Roman" w:cs="Times New Roman"/>
          <w:sz w:val="24"/>
          <w:szCs w:val="24"/>
          <w:lang w:val="fr-CH"/>
        </w:rPr>
        <w:t xml:space="preserve">chrétienne, </w:t>
      </w:r>
      <w:r w:rsidR="005F6E8B" w:rsidRPr="005F6E8B">
        <w:rPr>
          <w:rFonts w:ascii="Times New Roman" w:eastAsia="Times New Roman" w:hAnsi="Times New Roman" w:cs="Times New Roman"/>
          <w:sz w:val="24"/>
          <w:szCs w:val="24"/>
          <w:lang w:val="fr-CH"/>
        </w:rPr>
        <w:t>œcuménique et</w:t>
      </w:r>
      <w:r w:rsidRPr="005F6E8B">
        <w:rPr>
          <w:rFonts w:ascii="Times New Roman" w:eastAsia="Times New Roman" w:hAnsi="Times New Roman" w:cs="Times New Roman"/>
          <w:sz w:val="24"/>
          <w:szCs w:val="24"/>
          <w:lang w:val="fr-CH"/>
        </w:rPr>
        <w:t xml:space="preserve"> laïque de défense des droits</w:t>
      </w:r>
      <w:r w:rsidR="16B0F275" w:rsidRPr="005F6E8B">
        <w:rPr>
          <w:rFonts w:ascii="Times New Roman" w:eastAsia="Times New Roman" w:hAnsi="Times New Roman" w:cs="Times New Roman"/>
          <w:sz w:val="24"/>
          <w:szCs w:val="24"/>
          <w:lang w:val="fr-CH"/>
        </w:rPr>
        <w:t xml:space="preserve"> humains</w:t>
      </w:r>
      <w:r w:rsidRPr="005F6E8B">
        <w:rPr>
          <w:rFonts w:ascii="Times New Roman" w:eastAsia="Times New Roman" w:hAnsi="Times New Roman" w:cs="Times New Roman"/>
          <w:sz w:val="24"/>
          <w:szCs w:val="24"/>
          <w:lang w:val="fr-CH"/>
        </w:rPr>
        <w:t xml:space="preserve"> créée en 1974. Association loi 1901, elle est reconnue d'utilité publique</w:t>
      </w:r>
      <w:r w:rsidR="51846997" w:rsidRPr="005F6E8B">
        <w:rPr>
          <w:rFonts w:ascii="Times New Roman" w:eastAsia="Times New Roman" w:hAnsi="Times New Roman" w:cs="Times New Roman"/>
          <w:sz w:val="24"/>
          <w:szCs w:val="24"/>
          <w:lang w:val="fr-CH"/>
        </w:rPr>
        <w:t xml:space="preserve">, membre de la </w:t>
      </w:r>
      <w:r w:rsidR="6C357DFD" w:rsidRPr="005F6E8B">
        <w:rPr>
          <w:rFonts w:ascii="Times New Roman" w:eastAsia="Times New Roman" w:hAnsi="Times New Roman" w:cs="Times New Roman"/>
          <w:sz w:val="24"/>
          <w:szCs w:val="24"/>
          <w:lang w:val="fr-CH"/>
        </w:rPr>
        <w:t>Commission nationale consultative des droits de l'homme (</w:t>
      </w:r>
      <w:r w:rsidR="6C357DFD" w:rsidRPr="005F6E8B">
        <w:rPr>
          <w:rFonts w:ascii="Times New Roman" w:eastAsia="Times New Roman" w:hAnsi="Times New Roman" w:cs="Times New Roman"/>
          <w:b/>
          <w:bCs/>
          <w:sz w:val="24"/>
          <w:szCs w:val="24"/>
          <w:lang w:val="fr-CH"/>
        </w:rPr>
        <w:t>CNCDH</w:t>
      </w:r>
      <w:r w:rsidR="6C357DFD" w:rsidRPr="005F6E8B">
        <w:rPr>
          <w:rFonts w:ascii="Times New Roman" w:eastAsia="Times New Roman" w:hAnsi="Times New Roman" w:cs="Times New Roman"/>
          <w:sz w:val="24"/>
          <w:szCs w:val="24"/>
          <w:lang w:val="fr-CH"/>
        </w:rPr>
        <w:t>)</w:t>
      </w:r>
      <w:r w:rsidR="51846997" w:rsidRPr="005F6E8B">
        <w:rPr>
          <w:rFonts w:ascii="Times New Roman" w:eastAsia="Times New Roman" w:hAnsi="Times New Roman" w:cs="Times New Roman"/>
          <w:sz w:val="24"/>
          <w:szCs w:val="24"/>
          <w:lang w:val="fr-CH"/>
        </w:rPr>
        <w:t xml:space="preserve"> et de la Coalition mondiale contre la peine de </w:t>
      </w:r>
      <w:r w:rsidR="005F6E8B" w:rsidRPr="005F6E8B">
        <w:rPr>
          <w:rFonts w:ascii="Times New Roman" w:eastAsia="Times New Roman" w:hAnsi="Times New Roman" w:cs="Times New Roman"/>
          <w:sz w:val="24"/>
          <w:szCs w:val="24"/>
          <w:lang w:val="fr-CH"/>
        </w:rPr>
        <w:t>mort (</w:t>
      </w:r>
      <w:r w:rsidR="346A24F4" w:rsidRPr="005F6E8B">
        <w:rPr>
          <w:rFonts w:ascii="Times New Roman" w:eastAsia="Times New Roman" w:hAnsi="Times New Roman" w:cs="Times New Roman"/>
          <w:sz w:val="24"/>
          <w:szCs w:val="24"/>
          <w:lang w:val="fr-CH"/>
        </w:rPr>
        <w:t>WCADP)</w:t>
      </w:r>
      <w:r w:rsidRPr="005F6E8B">
        <w:rPr>
          <w:rFonts w:ascii="Times New Roman" w:eastAsia="Times New Roman" w:hAnsi="Times New Roman" w:cs="Times New Roman"/>
          <w:sz w:val="24"/>
          <w:szCs w:val="24"/>
          <w:lang w:val="fr-CH"/>
        </w:rPr>
        <w:t>.</w:t>
      </w:r>
      <w:r w:rsidRPr="005F6E8B">
        <w:rPr>
          <w:rFonts w:ascii="Times New Roman" w:eastAsia="Arial" w:hAnsi="Times New Roman" w:cs="Times New Roman"/>
          <w:sz w:val="24"/>
          <w:szCs w:val="24"/>
          <w:lang w:val="fr-CH"/>
        </w:rPr>
        <w:t xml:space="preserve"> </w:t>
      </w:r>
    </w:p>
    <w:p w14:paraId="52094BB2" w14:textId="40983501" w:rsidR="0049799C" w:rsidRPr="0049799C" w:rsidRDefault="0049799C" w:rsidP="0049799C">
      <w:pPr>
        <w:jc w:val="both"/>
        <w:rPr>
          <w:rFonts w:ascii="Times New Roman" w:eastAsia="Arial" w:hAnsi="Times New Roman" w:cs="Times New Roman"/>
          <w:sz w:val="24"/>
          <w:szCs w:val="24"/>
          <w:lang w:val="fr-CH"/>
        </w:rPr>
      </w:pPr>
      <w:r w:rsidRPr="292FBACC">
        <w:rPr>
          <w:rFonts w:ascii="Times New Roman" w:eastAsia="Arial" w:hAnsi="Times New Roman" w:cs="Times New Roman"/>
          <w:sz w:val="24"/>
          <w:szCs w:val="24"/>
          <w:lang w:val="fr-CH"/>
        </w:rPr>
        <w:t>L'ACAT-France a pour but de combattre partout dans le monde</w:t>
      </w:r>
      <w:r w:rsidR="0B058A88" w:rsidRPr="292FBACC">
        <w:rPr>
          <w:rFonts w:ascii="Times New Roman" w:eastAsia="Arial" w:hAnsi="Times New Roman" w:cs="Times New Roman"/>
          <w:sz w:val="24"/>
          <w:szCs w:val="24"/>
          <w:lang w:val="fr-CH"/>
        </w:rPr>
        <w:t>,</w:t>
      </w:r>
      <w:r w:rsidRPr="292FBACC">
        <w:rPr>
          <w:rFonts w:ascii="Times New Roman" w:eastAsia="Arial" w:hAnsi="Times New Roman" w:cs="Times New Roman"/>
          <w:sz w:val="24"/>
          <w:szCs w:val="24"/>
          <w:lang w:val="fr-CH"/>
        </w:rPr>
        <w:t xml:space="preserve"> les peines ou traitements cruels, inhumains ou dégradants, la torture, les exécutions capitales judiciaires ou extra-judiciaires, les disparitions, les crimes de guerre, les crimes contre l’humanité et les génocides. Elle assiste les victimes de tous ces crimes, notamment en se constituant partie civile devant les juridictions pénales et elle concourt à leur protection notamment par toutes actions en faveur du droit d’asile et de la vigilance à l’égard des renvois qui s’avèreraient dangereux.</w:t>
      </w:r>
    </w:p>
    <w:p w14:paraId="49A9CE0B" w14:textId="77777777" w:rsidR="0049799C" w:rsidRPr="0049799C" w:rsidRDefault="0049799C" w:rsidP="0049799C">
      <w:pPr>
        <w:jc w:val="both"/>
        <w:rPr>
          <w:rFonts w:ascii="Times New Roman" w:eastAsia="Arial" w:hAnsi="Times New Roman" w:cs="Times New Roman"/>
          <w:sz w:val="24"/>
          <w:szCs w:val="24"/>
          <w:lang w:val="fr-CH"/>
        </w:rPr>
      </w:pPr>
      <w:r w:rsidRPr="0049799C">
        <w:rPr>
          <w:rFonts w:ascii="Times New Roman" w:eastAsia="Arial" w:hAnsi="Times New Roman" w:cs="Times New Roman"/>
          <w:sz w:val="24"/>
          <w:szCs w:val="24"/>
          <w:lang w:val="fr-CH"/>
        </w:rPr>
        <w:t>L'ACAT-France fonde son action sur un réseau actif de 25 500 membres adhérents, donateurs et salariés.</w:t>
      </w:r>
    </w:p>
    <w:p w14:paraId="125268CC" w14:textId="77777777" w:rsidR="0049799C" w:rsidRPr="0049799C" w:rsidRDefault="0049799C" w:rsidP="0049799C">
      <w:pPr>
        <w:jc w:val="both"/>
        <w:rPr>
          <w:rFonts w:ascii="Times New Roman" w:eastAsia="Arial" w:hAnsi="Times New Roman" w:cs="Times New Roman"/>
          <w:sz w:val="24"/>
          <w:szCs w:val="24"/>
          <w:lang w:val="fr-CH"/>
        </w:rPr>
      </w:pPr>
    </w:p>
    <w:p w14:paraId="7E8B03B1" w14:textId="77777777" w:rsidR="0049799C" w:rsidRPr="0049799C" w:rsidRDefault="0049799C" w:rsidP="0049799C">
      <w:pPr>
        <w:rPr>
          <w:rFonts w:ascii="Times New Roman" w:eastAsia="Arial" w:hAnsi="Times New Roman" w:cs="Times New Roman"/>
          <w:b/>
          <w:bCs/>
          <w:sz w:val="24"/>
          <w:szCs w:val="24"/>
          <w:u w:val="single"/>
          <w:lang w:val="fr-CH"/>
        </w:rPr>
      </w:pPr>
      <w:r w:rsidRPr="0049799C">
        <w:rPr>
          <w:rFonts w:ascii="Times New Roman" w:eastAsia="Arial" w:hAnsi="Times New Roman" w:cs="Times New Roman"/>
          <w:b/>
          <w:bCs/>
          <w:sz w:val="24"/>
          <w:szCs w:val="24"/>
          <w:u w:val="single"/>
          <w:lang w:val="fr-CH"/>
        </w:rPr>
        <w:t>FIACAT</w:t>
      </w:r>
    </w:p>
    <w:p w14:paraId="3619963C" w14:textId="77777777" w:rsidR="0049799C" w:rsidRPr="0049799C" w:rsidRDefault="0049799C" w:rsidP="0049799C">
      <w:pPr>
        <w:jc w:val="both"/>
        <w:rPr>
          <w:rFonts w:ascii="Times New Roman" w:eastAsia="Arial" w:hAnsi="Times New Roman" w:cs="Times New Roman"/>
          <w:sz w:val="24"/>
          <w:szCs w:val="24"/>
          <w:lang w:val="fr-CH"/>
        </w:rPr>
      </w:pPr>
      <w:r w:rsidRPr="0049799C">
        <w:rPr>
          <w:rFonts w:ascii="Times New Roman" w:eastAsia="Arial" w:hAnsi="Times New Roman" w:cs="Times New Roman"/>
          <w:sz w:val="24"/>
          <w:szCs w:val="24"/>
          <w:lang w:val="fr-CH"/>
        </w:rPr>
        <w:t xml:space="preserve">La Fédération internationale de l’Action des chrétiens pour l’abolition de la torture, la FIACAT, est une organisation internationale non gouvernementale de défense des droits de l’homme, créée en 1987, qui lutte pour l’abolition de la torture et de la peine de mort. La Fédération regroupe une trentaine d’associations nationales, les ACAT, présentes sur quatre continents. </w:t>
      </w:r>
    </w:p>
    <w:p w14:paraId="0EA55C3C" w14:textId="77777777" w:rsidR="0049799C" w:rsidRPr="0049799C" w:rsidRDefault="0049799C" w:rsidP="0049799C">
      <w:pPr>
        <w:jc w:val="both"/>
        <w:rPr>
          <w:rFonts w:ascii="Times New Roman" w:eastAsia="Arial" w:hAnsi="Times New Roman" w:cs="Times New Roman"/>
          <w:sz w:val="24"/>
          <w:szCs w:val="24"/>
          <w:lang w:val="fr-CH"/>
        </w:rPr>
      </w:pPr>
      <w:r w:rsidRPr="0049799C">
        <w:rPr>
          <w:rFonts w:ascii="Times New Roman" w:eastAsia="Arial" w:hAnsi="Times New Roman" w:cs="Times New Roman"/>
          <w:sz w:val="24"/>
          <w:szCs w:val="24"/>
          <w:lang w:val="fr-CH"/>
        </w:rPr>
        <w:t xml:space="preserve">La FIACAT représente ses membres auprès des organismes internationaux et régionaux </w:t>
      </w:r>
    </w:p>
    <w:p w14:paraId="78D01481" w14:textId="77777777" w:rsidR="0049799C" w:rsidRPr="0049799C" w:rsidRDefault="0049799C" w:rsidP="0049799C">
      <w:pPr>
        <w:jc w:val="both"/>
        <w:rPr>
          <w:rFonts w:ascii="Times New Roman" w:eastAsia="Arial" w:hAnsi="Times New Roman" w:cs="Times New Roman"/>
          <w:sz w:val="24"/>
          <w:szCs w:val="24"/>
          <w:lang w:val="fr-CH"/>
        </w:rPr>
      </w:pPr>
      <w:r w:rsidRPr="0049799C">
        <w:rPr>
          <w:rFonts w:ascii="Times New Roman" w:eastAsia="Arial" w:hAnsi="Times New Roman" w:cs="Times New Roman"/>
          <w:sz w:val="24"/>
          <w:szCs w:val="24"/>
          <w:lang w:val="fr-CH"/>
        </w:rPr>
        <w:t xml:space="preserve">Elle bénéficie du Statut consultatif auprès des Nations Unies (ONU), du Statut participatif auprès du Conseil de l’Europe et du Statut d’Observateur auprès de la Commission africaine des droits de l’homme et des peuples (CADHP). La FIACAT est également accréditée auprès des instances de l’Organisation internationale de la Francophonie (OIF). </w:t>
      </w:r>
    </w:p>
    <w:p w14:paraId="61AF873B" w14:textId="77777777" w:rsidR="0049799C" w:rsidRPr="0049799C" w:rsidRDefault="0049799C" w:rsidP="0049799C">
      <w:pPr>
        <w:jc w:val="both"/>
        <w:rPr>
          <w:rFonts w:ascii="Times New Roman" w:eastAsia="Arial" w:hAnsi="Times New Roman" w:cs="Times New Roman"/>
          <w:sz w:val="24"/>
          <w:szCs w:val="24"/>
          <w:lang w:val="fr-CH"/>
        </w:rPr>
      </w:pPr>
      <w:r w:rsidRPr="0049799C">
        <w:rPr>
          <w:rFonts w:ascii="Times New Roman" w:eastAsia="Arial" w:hAnsi="Times New Roman" w:cs="Times New Roman"/>
          <w:sz w:val="24"/>
          <w:szCs w:val="24"/>
          <w:lang w:val="fr-CH"/>
        </w:rPr>
        <w:t>En relayant les préoccupations de terrain de ses membres devant les instances internationales, la FIACAT vise l’adoption de recommandations pertinentes et leur mise en œuvre par les gouvernements. La FIACAT concoure à l’application des Conventions internationales de défense des droits de l’homme, à la prévention des actes de torture dans les lieux privatifs de liberté, à la lutte contre les disparitions forcées et au combat contre l’impunité. Elle participe également à la lutte contre la peine de mort en incitant les États à abolir cette disposition dans leur législation.</w:t>
      </w:r>
    </w:p>
    <w:p w14:paraId="52D122E9" w14:textId="25E3D1B4" w:rsidR="00F072B8" w:rsidRDefault="00F072B8" w:rsidP="00994D38">
      <w:pPr>
        <w:rPr>
          <w:rFonts w:ascii="Times New Roman" w:eastAsia="Arial" w:hAnsi="Times New Roman" w:cs="Times New Roman"/>
          <w:b/>
          <w:bCs/>
          <w:sz w:val="32"/>
          <w:szCs w:val="32"/>
          <w:u w:val="single"/>
          <w:lang w:val="fr-CH"/>
        </w:rPr>
      </w:pPr>
    </w:p>
    <w:p w14:paraId="0065F51D" w14:textId="77777777" w:rsidR="0049799C" w:rsidRDefault="0049799C" w:rsidP="00994D38">
      <w:pPr>
        <w:rPr>
          <w:rFonts w:ascii="Times New Roman" w:eastAsia="Arial" w:hAnsi="Times New Roman" w:cs="Times New Roman"/>
          <w:b/>
          <w:bCs/>
          <w:sz w:val="32"/>
          <w:szCs w:val="32"/>
          <w:u w:val="single"/>
          <w:lang w:val="fr-CH"/>
        </w:rPr>
      </w:pPr>
      <w:r>
        <w:rPr>
          <w:rFonts w:ascii="Times New Roman" w:eastAsia="Arial" w:hAnsi="Times New Roman" w:cs="Times New Roman"/>
          <w:b/>
          <w:bCs/>
          <w:sz w:val="32"/>
          <w:szCs w:val="32"/>
          <w:u w:val="single"/>
          <w:lang w:val="fr-CH"/>
        </w:rPr>
        <w:br w:type="page"/>
      </w:r>
    </w:p>
    <w:p w14:paraId="7964905C" w14:textId="5D4D7A9E" w:rsidR="00994D38" w:rsidRPr="001D61F7" w:rsidRDefault="00994D38" w:rsidP="00994D38">
      <w:pPr>
        <w:rPr>
          <w:rFonts w:ascii="Times New Roman" w:eastAsia="Arial" w:hAnsi="Times New Roman" w:cs="Times New Roman"/>
          <w:b/>
          <w:bCs/>
          <w:sz w:val="32"/>
          <w:szCs w:val="32"/>
          <w:u w:val="single"/>
          <w:lang w:val="fr-CH"/>
        </w:rPr>
      </w:pPr>
      <w:r w:rsidRPr="001D61F7">
        <w:rPr>
          <w:rFonts w:ascii="Times New Roman" w:eastAsia="Arial" w:hAnsi="Times New Roman" w:cs="Times New Roman"/>
          <w:b/>
          <w:bCs/>
          <w:sz w:val="32"/>
          <w:szCs w:val="32"/>
          <w:u w:val="single"/>
          <w:lang w:val="fr-CH"/>
        </w:rPr>
        <w:t>RECHERCHE ET REDACTION</w:t>
      </w:r>
    </w:p>
    <w:p w14:paraId="2203216B" w14:textId="77777777" w:rsidR="00994D38" w:rsidRPr="001D61F7" w:rsidRDefault="00994D38" w:rsidP="00994D38">
      <w:pPr>
        <w:rPr>
          <w:rFonts w:ascii="Times New Roman" w:eastAsia="Arial" w:hAnsi="Times New Roman" w:cs="Times New Roman"/>
          <w:b/>
          <w:bCs/>
          <w:sz w:val="24"/>
          <w:szCs w:val="24"/>
          <w:lang w:val="fr-CH"/>
        </w:rPr>
      </w:pPr>
    </w:p>
    <w:p w14:paraId="6D25D36B" w14:textId="77777777" w:rsidR="00994D38" w:rsidRPr="001D61F7" w:rsidRDefault="00994D38" w:rsidP="00994D38">
      <w:pPr>
        <w:rPr>
          <w:rFonts w:ascii="Times New Roman" w:eastAsia="Arial" w:hAnsi="Times New Roman" w:cs="Times New Roman"/>
          <w:b/>
          <w:bCs/>
          <w:sz w:val="24"/>
          <w:szCs w:val="24"/>
          <w:lang w:val="fr-CH"/>
        </w:rPr>
      </w:pPr>
      <w:r w:rsidRPr="001D61F7">
        <w:rPr>
          <w:rFonts w:ascii="Times New Roman" w:eastAsia="Arial" w:hAnsi="Times New Roman" w:cs="Times New Roman"/>
          <w:b/>
          <w:bCs/>
          <w:sz w:val="24"/>
          <w:szCs w:val="24"/>
          <w:lang w:val="fr-CH"/>
        </w:rPr>
        <w:t>ACAT- France</w:t>
      </w:r>
    </w:p>
    <w:p w14:paraId="5F2CAFFF" w14:textId="77777777" w:rsidR="00994D38" w:rsidRPr="001D61F7" w:rsidRDefault="00994D38" w:rsidP="00994D38">
      <w:pPr>
        <w:rPr>
          <w:rFonts w:ascii="Times New Roman" w:eastAsia="Arial" w:hAnsi="Times New Roman" w:cs="Times New Roman"/>
          <w:b/>
          <w:bCs/>
          <w:sz w:val="24"/>
          <w:szCs w:val="24"/>
          <w:lang w:val="fr-CH"/>
        </w:rPr>
      </w:pPr>
      <w:r w:rsidRPr="001D61F7">
        <w:rPr>
          <w:rFonts w:ascii="Times New Roman" w:eastAsia="Arial" w:hAnsi="Times New Roman" w:cs="Times New Roman"/>
          <w:b/>
          <w:bCs/>
          <w:sz w:val="24"/>
          <w:szCs w:val="24"/>
          <w:lang w:val="fr-CH"/>
        </w:rPr>
        <w:t>Emilie Schmidt</w:t>
      </w:r>
      <w:r w:rsidRPr="001D61F7">
        <w:rPr>
          <w:rFonts w:ascii="Times New Roman" w:eastAsia="Arial" w:hAnsi="Times New Roman" w:cs="Times New Roman"/>
          <w:sz w:val="24"/>
          <w:szCs w:val="24"/>
          <w:lang w:val="fr-CH"/>
        </w:rPr>
        <w:t>,</w:t>
      </w:r>
      <w:r w:rsidRPr="001D61F7">
        <w:rPr>
          <w:rFonts w:ascii="Times New Roman" w:eastAsia="Arial" w:hAnsi="Times New Roman" w:cs="Times New Roman"/>
          <w:b/>
          <w:bCs/>
          <w:sz w:val="24"/>
          <w:szCs w:val="24"/>
          <w:lang w:val="fr-CH"/>
        </w:rPr>
        <w:t xml:space="preserve"> </w:t>
      </w:r>
      <w:r w:rsidRPr="001D61F7">
        <w:rPr>
          <w:rFonts w:ascii="Times New Roman" w:eastAsia="Arial" w:hAnsi="Times New Roman" w:cs="Times New Roman"/>
          <w:sz w:val="24"/>
          <w:szCs w:val="24"/>
          <w:lang w:val="fr-CH"/>
        </w:rPr>
        <w:t>responsable programme et plaidoyer Sûreté et Libertés – France</w:t>
      </w:r>
    </w:p>
    <w:p w14:paraId="5CD528A4" w14:textId="77777777" w:rsidR="00994D38" w:rsidRPr="001D61F7" w:rsidRDefault="00994D38" w:rsidP="00994D38">
      <w:pPr>
        <w:rPr>
          <w:rFonts w:ascii="Times New Roman" w:eastAsia="Arial" w:hAnsi="Times New Roman" w:cs="Times New Roman"/>
          <w:b/>
          <w:bCs/>
          <w:sz w:val="28"/>
          <w:szCs w:val="28"/>
          <w:lang w:val="fr-CH"/>
        </w:rPr>
      </w:pPr>
    </w:p>
    <w:p w14:paraId="7885078C" w14:textId="77777777" w:rsidR="00994D38" w:rsidRDefault="00994D38" w:rsidP="00994D38">
      <w:pPr>
        <w:rPr>
          <w:rFonts w:ascii="Times New Roman" w:eastAsia="Arial" w:hAnsi="Times New Roman" w:cs="Times New Roman"/>
          <w:b/>
          <w:bCs/>
          <w:sz w:val="32"/>
          <w:szCs w:val="32"/>
          <w:u w:val="single"/>
          <w:lang w:val="fr-CH"/>
        </w:rPr>
      </w:pPr>
      <w:r w:rsidRPr="001D61F7">
        <w:rPr>
          <w:rFonts w:ascii="Times New Roman" w:eastAsia="Arial" w:hAnsi="Times New Roman" w:cs="Times New Roman"/>
          <w:b/>
          <w:bCs/>
          <w:sz w:val="32"/>
          <w:szCs w:val="32"/>
          <w:u w:val="single"/>
          <w:lang w:val="fr-CH"/>
        </w:rPr>
        <w:t>COORDINATION</w:t>
      </w:r>
    </w:p>
    <w:p w14:paraId="227F7C40" w14:textId="77777777" w:rsidR="00994D38" w:rsidRPr="00782BFC" w:rsidRDefault="00994D38" w:rsidP="00994D38">
      <w:pPr>
        <w:rPr>
          <w:rFonts w:ascii="Times New Roman" w:eastAsia="Arial" w:hAnsi="Times New Roman" w:cs="Times New Roman"/>
          <w:b/>
          <w:bCs/>
          <w:sz w:val="32"/>
          <w:szCs w:val="32"/>
          <w:u w:val="single"/>
          <w:lang w:val="fr-CH"/>
        </w:rPr>
      </w:pPr>
    </w:p>
    <w:p w14:paraId="0FCE566E" w14:textId="77777777" w:rsidR="00994D38" w:rsidRPr="001D61F7" w:rsidRDefault="00994D38" w:rsidP="00994D38">
      <w:pPr>
        <w:rPr>
          <w:rFonts w:ascii="Times New Roman" w:eastAsia="Arial" w:hAnsi="Times New Roman" w:cs="Times New Roman"/>
          <w:b/>
          <w:bCs/>
          <w:sz w:val="24"/>
          <w:szCs w:val="24"/>
          <w:lang w:val="fr-CH"/>
        </w:rPr>
      </w:pPr>
      <w:r w:rsidRPr="001D61F7">
        <w:rPr>
          <w:rFonts w:ascii="Times New Roman" w:eastAsia="Arial" w:hAnsi="Times New Roman" w:cs="Times New Roman"/>
          <w:b/>
          <w:bCs/>
          <w:sz w:val="24"/>
          <w:szCs w:val="24"/>
          <w:lang w:val="fr-CH"/>
        </w:rPr>
        <w:t>ACAT-France</w:t>
      </w:r>
    </w:p>
    <w:p w14:paraId="79D66FC2" w14:textId="05749A65" w:rsidR="00994D38" w:rsidRPr="001D61F7" w:rsidRDefault="00994D38" w:rsidP="00994D38">
      <w:pPr>
        <w:rPr>
          <w:rFonts w:ascii="Times New Roman" w:eastAsia="Arial" w:hAnsi="Times New Roman" w:cs="Times New Roman"/>
          <w:b/>
          <w:bCs/>
          <w:sz w:val="24"/>
          <w:szCs w:val="24"/>
          <w:lang w:val="fr-CH"/>
        </w:rPr>
      </w:pPr>
      <w:r w:rsidRPr="2241D24C">
        <w:rPr>
          <w:rFonts w:ascii="Times New Roman" w:eastAsia="Arial" w:hAnsi="Times New Roman" w:cs="Times New Roman"/>
          <w:b/>
          <w:bCs/>
          <w:sz w:val="24"/>
          <w:szCs w:val="24"/>
          <w:lang w:val="fr-CH"/>
        </w:rPr>
        <w:t>Solange Moumé Etia</w:t>
      </w:r>
      <w:r w:rsidRPr="2241D24C">
        <w:rPr>
          <w:rFonts w:ascii="Times New Roman" w:eastAsia="Arial" w:hAnsi="Times New Roman" w:cs="Times New Roman"/>
          <w:sz w:val="24"/>
          <w:szCs w:val="24"/>
          <w:lang w:val="fr-CH"/>
        </w:rPr>
        <w:t>, directrice du pôle programme</w:t>
      </w:r>
      <w:r w:rsidR="544069D5" w:rsidRPr="2241D24C">
        <w:rPr>
          <w:rFonts w:ascii="Times New Roman" w:eastAsia="Arial" w:hAnsi="Times New Roman" w:cs="Times New Roman"/>
          <w:sz w:val="24"/>
          <w:szCs w:val="24"/>
          <w:lang w:val="fr-CH"/>
        </w:rPr>
        <w:t>s</w:t>
      </w:r>
      <w:r w:rsidRPr="2241D24C">
        <w:rPr>
          <w:rFonts w:ascii="Times New Roman" w:eastAsia="Arial" w:hAnsi="Times New Roman" w:cs="Times New Roman"/>
          <w:sz w:val="24"/>
          <w:szCs w:val="24"/>
          <w:lang w:val="fr-CH"/>
        </w:rPr>
        <w:t xml:space="preserve"> et plaidoyer</w:t>
      </w:r>
    </w:p>
    <w:p w14:paraId="328A4F5A" w14:textId="77777777" w:rsidR="00994D38" w:rsidRPr="001D61F7" w:rsidRDefault="00994D38" w:rsidP="00994D38">
      <w:pPr>
        <w:rPr>
          <w:rFonts w:ascii="Times New Roman" w:eastAsia="Arial" w:hAnsi="Times New Roman" w:cs="Times New Roman"/>
          <w:b/>
          <w:bCs/>
          <w:sz w:val="24"/>
          <w:szCs w:val="24"/>
          <w:lang w:val="fr-CH"/>
        </w:rPr>
      </w:pPr>
    </w:p>
    <w:p w14:paraId="7F12FC7E" w14:textId="77777777" w:rsidR="00994D38" w:rsidRPr="001D61F7" w:rsidRDefault="00994D38" w:rsidP="00994D38">
      <w:pPr>
        <w:rPr>
          <w:rFonts w:ascii="Times New Roman" w:eastAsia="Arial" w:hAnsi="Times New Roman" w:cs="Times New Roman"/>
          <w:b/>
          <w:bCs/>
          <w:sz w:val="24"/>
          <w:szCs w:val="24"/>
          <w:lang w:val="fr-CH"/>
        </w:rPr>
      </w:pPr>
      <w:r w:rsidRPr="001D61F7">
        <w:rPr>
          <w:rFonts w:ascii="Times New Roman" w:eastAsia="Arial" w:hAnsi="Times New Roman" w:cs="Times New Roman"/>
          <w:b/>
          <w:bCs/>
          <w:sz w:val="24"/>
          <w:szCs w:val="24"/>
          <w:lang w:val="fr-CH"/>
        </w:rPr>
        <w:t>FIACAT</w:t>
      </w:r>
    </w:p>
    <w:p w14:paraId="166D74F2" w14:textId="77777777" w:rsidR="00994D38" w:rsidRPr="001D61F7" w:rsidRDefault="00994D38" w:rsidP="00994D38">
      <w:pPr>
        <w:rPr>
          <w:rFonts w:ascii="Times New Roman" w:eastAsia="Arial" w:hAnsi="Times New Roman" w:cs="Times New Roman"/>
          <w:b/>
          <w:bCs/>
          <w:sz w:val="24"/>
          <w:szCs w:val="24"/>
          <w:lang w:val="fr-CH"/>
        </w:rPr>
      </w:pPr>
      <w:r w:rsidRPr="001D61F7">
        <w:rPr>
          <w:rFonts w:ascii="Times New Roman" w:eastAsia="Arial" w:hAnsi="Times New Roman" w:cs="Times New Roman"/>
          <w:b/>
          <w:bCs/>
          <w:sz w:val="24"/>
          <w:szCs w:val="24"/>
          <w:lang w:val="fr-CH"/>
        </w:rPr>
        <w:t>Emeline Swiderski</w:t>
      </w:r>
      <w:r w:rsidRPr="001D61F7">
        <w:rPr>
          <w:rFonts w:ascii="Times New Roman" w:eastAsia="Arial" w:hAnsi="Times New Roman" w:cs="Times New Roman"/>
          <w:sz w:val="24"/>
          <w:szCs w:val="24"/>
          <w:lang w:val="fr-CH"/>
        </w:rPr>
        <w:t>, représentante auprès des Nations Unies à Genève</w:t>
      </w:r>
    </w:p>
    <w:p w14:paraId="002C3578" w14:textId="77777777" w:rsidR="00994D38" w:rsidRPr="001D61F7" w:rsidRDefault="00994D38" w:rsidP="00994D38">
      <w:pPr>
        <w:rPr>
          <w:rFonts w:ascii="Times New Roman" w:eastAsia="Arial" w:hAnsi="Times New Roman" w:cs="Times New Roman"/>
        </w:rPr>
      </w:pPr>
      <w:r w:rsidRPr="001D61F7">
        <w:rPr>
          <w:rFonts w:ascii="Times New Roman" w:eastAsia="Arial" w:hAnsi="Times New Roman" w:cs="Times New Roman"/>
        </w:rPr>
        <w:br w:type="page"/>
      </w:r>
    </w:p>
    <w:p w14:paraId="471B7AAA" w14:textId="31DAE2DB" w:rsidR="004F0840" w:rsidRPr="00834F2D" w:rsidRDefault="007875DF" w:rsidP="00B6391A">
      <w:pPr>
        <w:pStyle w:val="Heading1"/>
        <w:numPr>
          <w:ilvl w:val="0"/>
          <w:numId w:val="15"/>
        </w:numPr>
        <w:spacing w:after="120"/>
      </w:pPr>
      <w:bookmarkStart w:id="2" w:name="_Toc192599328"/>
      <w:r>
        <w:t>Conditions carcérales et politique pénale (article 11)</w:t>
      </w:r>
      <w:bookmarkEnd w:id="2"/>
    </w:p>
    <w:p w14:paraId="7C386CDB" w14:textId="028BFBAF" w:rsidR="007875DF" w:rsidRPr="00674A01" w:rsidRDefault="007875DF" w:rsidP="00B6391A">
      <w:pPr>
        <w:pStyle w:val="Heading2"/>
        <w:numPr>
          <w:ilvl w:val="0"/>
          <w:numId w:val="16"/>
        </w:numPr>
        <w:spacing w:after="120"/>
        <w:rPr>
          <w:rFonts w:cs="Times New Roman"/>
          <w:b w:val="0"/>
        </w:rPr>
      </w:pPr>
      <w:bookmarkStart w:id="3" w:name="_Toc192599329"/>
      <w:r w:rsidRPr="08215407">
        <w:rPr>
          <w:rFonts w:cs="Times New Roman"/>
        </w:rPr>
        <w:t>Surpopulation carcérale</w:t>
      </w:r>
      <w:bookmarkEnd w:id="3"/>
      <w:r w:rsidRPr="08215407">
        <w:rPr>
          <w:rFonts w:cs="Times New Roman"/>
        </w:rPr>
        <w:t xml:space="preserve"> </w:t>
      </w:r>
    </w:p>
    <w:p w14:paraId="18561832" w14:textId="77777777" w:rsidR="00C84DF6" w:rsidRDefault="001918D2"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La population carcérale </w:t>
      </w:r>
      <w:r w:rsidR="00647418" w:rsidRPr="00C84DF6">
        <w:rPr>
          <w:rFonts w:ascii="Times New Roman" w:hAnsi="Times New Roman" w:cs="Times New Roman"/>
          <w:sz w:val="24"/>
          <w:szCs w:val="24"/>
        </w:rPr>
        <w:t xml:space="preserve">française est en </w:t>
      </w:r>
      <w:r w:rsidR="5D62BA8B" w:rsidRPr="00C84DF6">
        <w:rPr>
          <w:rFonts w:ascii="Times New Roman" w:hAnsi="Times New Roman" w:cs="Times New Roman"/>
          <w:sz w:val="24"/>
          <w:szCs w:val="24"/>
        </w:rPr>
        <w:t xml:space="preserve">constante </w:t>
      </w:r>
      <w:r w:rsidR="00647418" w:rsidRPr="00C84DF6">
        <w:rPr>
          <w:rFonts w:ascii="Times New Roman" w:hAnsi="Times New Roman" w:cs="Times New Roman"/>
          <w:sz w:val="24"/>
          <w:szCs w:val="24"/>
        </w:rPr>
        <w:t xml:space="preserve">augmentation depuis </w:t>
      </w:r>
      <w:r w:rsidR="00725FAE" w:rsidRPr="00C84DF6">
        <w:rPr>
          <w:rFonts w:ascii="Times New Roman" w:hAnsi="Times New Roman" w:cs="Times New Roman"/>
          <w:sz w:val="24"/>
          <w:szCs w:val="24"/>
        </w:rPr>
        <w:t xml:space="preserve">vingt ans, et les établissements pénitentiaires français sont </w:t>
      </w:r>
      <w:r w:rsidR="005F6E8B" w:rsidRPr="00C84DF6">
        <w:rPr>
          <w:rFonts w:ascii="Times New Roman" w:hAnsi="Times New Roman" w:cs="Times New Roman"/>
          <w:sz w:val="24"/>
          <w:szCs w:val="24"/>
        </w:rPr>
        <w:t>toujours confrontés</w:t>
      </w:r>
      <w:r w:rsidR="38D6C581" w:rsidRPr="00C84DF6">
        <w:rPr>
          <w:rFonts w:ascii="Times New Roman" w:hAnsi="Times New Roman" w:cs="Times New Roman"/>
          <w:sz w:val="24"/>
          <w:szCs w:val="24"/>
        </w:rPr>
        <w:t xml:space="preserve"> </w:t>
      </w:r>
      <w:r w:rsidR="61B12D99" w:rsidRPr="00C84DF6">
        <w:rPr>
          <w:rFonts w:ascii="Times New Roman" w:hAnsi="Times New Roman" w:cs="Times New Roman"/>
          <w:sz w:val="24"/>
          <w:szCs w:val="24"/>
        </w:rPr>
        <w:t>à</w:t>
      </w:r>
      <w:r w:rsidR="00725FAE" w:rsidRPr="00C84DF6">
        <w:rPr>
          <w:rFonts w:ascii="Times New Roman" w:hAnsi="Times New Roman" w:cs="Times New Roman"/>
          <w:sz w:val="24"/>
          <w:szCs w:val="24"/>
        </w:rPr>
        <w:t xml:space="preserve"> la </w:t>
      </w:r>
      <w:r w:rsidR="005F6E8B" w:rsidRPr="00C84DF6">
        <w:rPr>
          <w:rFonts w:ascii="Times New Roman" w:hAnsi="Times New Roman" w:cs="Times New Roman"/>
          <w:sz w:val="24"/>
          <w:szCs w:val="24"/>
        </w:rPr>
        <w:t>surpopulation.</w:t>
      </w:r>
      <w:r w:rsidR="00725FAE" w:rsidRPr="00C84DF6">
        <w:rPr>
          <w:rFonts w:ascii="Times New Roman" w:hAnsi="Times New Roman" w:cs="Times New Roman"/>
          <w:sz w:val="24"/>
          <w:szCs w:val="24"/>
        </w:rPr>
        <w:t xml:space="preserve"> </w:t>
      </w:r>
      <w:r w:rsidR="00D8494F" w:rsidRPr="00C84DF6">
        <w:rPr>
          <w:rFonts w:ascii="Times New Roman" w:hAnsi="Times New Roman" w:cs="Times New Roman"/>
          <w:sz w:val="24"/>
          <w:szCs w:val="24"/>
        </w:rPr>
        <w:t xml:space="preserve">La France fait partie des </w:t>
      </w:r>
      <w:r w:rsidR="385A101D" w:rsidRPr="00C84DF6">
        <w:rPr>
          <w:rFonts w:ascii="Times New Roman" w:hAnsi="Times New Roman" w:cs="Times New Roman"/>
          <w:sz w:val="24"/>
          <w:szCs w:val="24"/>
        </w:rPr>
        <w:t>É</w:t>
      </w:r>
      <w:r w:rsidR="00D8494F" w:rsidRPr="00C84DF6">
        <w:rPr>
          <w:rFonts w:ascii="Times New Roman" w:hAnsi="Times New Roman" w:cs="Times New Roman"/>
          <w:sz w:val="24"/>
          <w:szCs w:val="24"/>
        </w:rPr>
        <w:t xml:space="preserve">tats européens </w:t>
      </w:r>
      <w:r w:rsidR="009355A3" w:rsidRPr="00C84DF6">
        <w:rPr>
          <w:rFonts w:ascii="Times New Roman" w:hAnsi="Times New Roman" w:cs="Times New Roman"/>
          <w:sz w:val="24"/>
          <w:szCs w:val="24"/>
        </w:rPr>
        <w:t xml:space="preserve">dont les prisons sont les plus encombrées et </w:t>
      </w:r>
      <w:r w:rsidR="72C38DC1" w:rsidRPr="00C84DF6">
        <w:rPr>
          <w:rFonts w:ascii="Times New Roman" w:hAnsi="Times New Roman" w:cs="Times New Roman"/>
          <w:sz w:val="24"/>
          <w:szCs w:val="24"/>
        </w:rPr>
        <w:t>où</w:t>
      </w:r>
      <w:r w:rsidR="009355A3" w:rsidRPr="00C84DF6">
        <w:rPr>
          <w:rFonts w:ascii="Times New Roman" w:hAnsi="Times New Roman" w:cs="Times New Roman"/>
          <w:sz w:val="24"/>
          <w:szCs w:val="24"/>
        </w:rPr>
        <w:t xml:space="preserve"> la population pénale augmente le plus rapidement. </w:t>
      </w:r>
      <w:r w:rsidR="00D470FD" w:rsidRPr="00C84DF6">
        <w:rPr>
          <w:rFonts w:ascii="Times New Roman" w:hAnsi="Times New Roman" w:cs="Times New Roman"/>
          <w:sz w:val="24"/>
          <w:szCs w:val="24"/>
        </w:rPr>
        <w:t xml:space="preserve">Ainsi, </w:t>
      </w:r>
      <w:r w:rsidR="00231A56" w:rsidRPr="00C84DF6">
        <w:rPr>
          <w:rFonts w:ascii="Times New Roman" w:hAnsi="Times New Roman" w:cs="Times New Roman"/>
          <w:sz w:val="24"/>
          <w:szCs w:val="24"/>
        </w:rPr>
        <w:t>au 1</w:t>
      </w:r>
      <w:r w:rsidR="00231A56" w:rsidRPr="00C84DF6">
        <w:rPr>
          <w:rFonts w:ascii="Times New Roman" w:hAnsi="Times New Roman" w:cs="Times New Roman"/>
          <w:sz w:val="24"/>
          <w:szCs w:val="24"/>
          <w:vertAlign w:val="superscript"/>
        </w:rPr>
        <w:t>er</w:t>
      </w:r>
      <w:r w:rsidR="00231A56" w:rsidRPr="00C84DF6">
        <w:rPr>
          <w:rFonts w:ascii="Times New Roman" w:hAnsi="Times New Roman" w:cs="Times New Roman"/>
          <w:sz w:val="24"/>
          <w:szCs w:val="24"/>
        </w:rPr>
        <w:t xml:space="preserve"> septembre 2010, la France comptabilisait 60 789 personnes détenues. Au 1</w:t>
      </w:r>
      <w:r w:rsidR="00231A56" w:rsidRPr="00C84DF6">
        <w:rPr>
          <w:rFonts w:ascii="Times New Roman" w:hAnsi="Times New Roman" w:cs="Times New Roman"/>
          <w:sz w:val="24"/>
          <w:szCs w:val="24"/>
          <w:vertAlign w:val="superscript"/>
        </w:rPr>
        <w:t>er</w:t>
      </w:r>
      <w:r w:rsidR="00231A56" w:rsidRPr="00C84DF6">
        <w:rPr>
          <w:rFonts w:ascii="Times New Roman" w:hAnsi="Times New Roman" w:cs="Times New Roman"/>
          <w:sz w:val="24"/>
          <w:szCs w:val="24"/>
        </w:rPr>
        <w:t xml:space="preserve"> </w:t>
      </w:r>
      <w:r w:rsidR="00037B4B" w:rsidRPr="00C84DF6">
        <w:rPr>
          <w:rFonts w:ascii="Times New Roman" w:hAnsi="Times New Roman" w:cs="Times New Roman"/>
          <w:sz w:val="24"/>
          <w:szCs w:val="24"/>
        </w:rPr>
        <w:t>février</w:t>
      </w:r>
      <w:r w:rsidR="00231A56" w:rsidRPr="00C84DF6">
        <w:rPr>
          <w:rFonts w:ascii="Times New Roman" w:hAnsi="Times New Roman" w:cs="Times New Roman"/>
          <w:sz w:val="24"/>
          <w:szCs w:val="24"/>
        </w:rPr>
        <w:t xml:space="preserve"> 2025</w:t>
      </w:r>
      <w:r w:rsidR="00993020" w:rsidRPr="00C84DF6">
        <w:rPr>
          <w:rFonts w:ascii="Times New Roman" w:hAnsi="Times New Roman" w:cs="Times New Roman"/>
          <w:sz w:val="24"/>
          <w:szCs w:val="24"/>
        </w:rPr>
        <w:t xml:space="preserve">, elle en comptait </w:t>
      </w:r>
      <w:r w:rsidR="00D43A64" w:rsidRPr="00C84DF6">
        <w:rPr>
          <w:rFonts w:ascii="Times New Roman" w:hAnsi="Times New Roman" w:cs="Times New Roman"/>
          <w:sz w:val="24"/>
          <w:szCs w:val="24"/>
        </w:rPr>
        <w:t>8</w:t>
      </w:r>
      <w:r w:rsidR="00037B4B" w:rsidRPr="00C84DF6">
        <w:rPr>
          <w:rFonts w:ascii="Times New Roman" w:hAnsi="Times New Roman" w:cs="Times New Roman"/>
          <w:sz w:val="24"/>
          <w:szCs w:val="24"/>
        </w:rPr>
        <w:t>1</w:t>
      </w:r>
      <w:r w:rsidR="00631A8D" w:rsidRPr="00C84DF6">
        <w:rPr>
          <w:rFonts w:ascii="Times New Roman" w:hAnsi="Times New Roman" w:cs="Times New Roman"/>
          <w:sz w:val="24"/>
          <w:szCs w:val="24"/>
        </w:rPr>
        <w:t> </w:t>
      </w:r>
      <w:r w:rsidR="006228D1" w:rsidRPr="00C84DF6">
        <w:rPr>
          <w:rFonts w:ascii="Times New Roman" w:hAnsi="Times New Roman" w:cs="Times New Roman"/>
          <w:sz w:val="24"/>
          <w:szCs w:val="24"/>
        </w:rPr>
        <w:t>59</w:t>
      </w:r>
      <w:r w:rsidR="00D43A64" w:rsidRPr="00C84DF6">
        <w:rPr>
          <w:rFonts w:ascii="Times New Roman" w:hAnsi="Times New Roman" w:cs="Times New Roman"/>
          <w:sz w:val="24"/>
          <w:szCs w:val="24"/>
        </w:rPr>
        <w:t>9</w:t>
      </w:r>
      <w:r w:rsidR="00631A8D" w:rsidRPr="00C84DF6">
        <w:rPr>
          <w:rFonts w:ascii="Times New Roman" w:hAnsi="Times New Roman" w:cs="Times New Roman"/>
          <w:sz w:val="24"/>
          <w:szCs w:val="24"/>
        </w:rPr>
        <w:t xml:space="preserve">. Sur cette même période, le nombre de places opérationnelles de détention évoluait de </w:t>
      </w:r>
      <w:r w:rsidR="00963C5B" w:rsidRPr="00C84DF6">
        <w:rPr>
          <w:rFonts w:ascii="Times New Roman" w:hAnsi="Times New Roman" w:cs="Times New Roman"/>
          <w:sz w:val="24"/>
          <w:szCs w:val="24"/>
        </w:rPr>
        <w:t>56 428 à 62 3</w:t>
      </w:r>
      <w:r w:rsidR="006228D1" w:rsidRPr="00C84DF6">
        <w:rPr>
          <w:rFonts w:ascii="Times New Roman" w:hAnsi="Times New Roman" w:cs="Times New Roman"/>
          <w:sz w:val="24"/>
          <w:szCs w:val="24"/>
        </w:rPr>
        <w:t>63</w:t>
      </w:r>
      <w:r w:rsidR="00963C5B" w:rsidRPr="00C84DF6">
        <w:rPr>
          <w:rFonts w:ascii="Times New Roman" w:hAnsi="Times New Roman" w:cs="Times New Roman"/>
          <w:sz w:val="24"/>
          <w:szCs w:val="24"/>
        </w:rPr>
        <w:t xml:space="preserve">. </w:t>
      </w:r>
      <w:r w:rsidR="00C03B3B" w:rsidRPr="00C84DF6">
        <w:rPr>
          <w:rFonts w:ascii="Times New Roman" w:hAnsi="Times New Roman" w:cs="Times New Roman"/>
          <w:sz w:val="24"/>
          <w:szCs w:val="24"/>
        </w:rPr>
        <w:t>4 </w:t>
      </w:r>
      <w:r w:rsidR="006228D1" w:rsidRPr="00C84DF6">
        <w:rPr>
          <w:rFonts w:ascii="Times New Roman" w:hAnsi="Times New Roman" w:cs="Times New Roman"/>
          <w:sz w:val="24"/>
          <w:szCs w:val="24"/>
        </w:rPr>
        <w:t>490</w:t>
      </w:r>
      <w:r w:rsidR="00C03B3B" w:rsidRPr="00C84DF6">
        <w:rPr>
          <w:rFonts w:ascii="Times New Roman" w:hAnsi="Times New Roman" w:cs="Times New Roman"/>
          <w:sz w:val="24"/>
          <w:szCs w:val="24"/>
        </w:rPr>
        <w:t xml:space="preserve"> détenus dormaient sur un matelas posé à même le sol au 1</w:t>
      </w:r>
      <w:r w:rsidR="00C03B3B" w:rsidRPr="00C84DF6">
        <w:rPr>
          <w:rFonts w:ascii="Times New Roman" w:hAnsi="Times New Roman" w:cs="Times New Roman"/>
          <w:sz w:val="24"/>
          <w:szCs w:val="24"/>
          <w:vertAlign w:val="superscript"/>
        </w:rPr>
        <w:t>er</w:t>
      </w:r>
      <w:r w:rsidR="00C03B3B" w:rsidRPr="00C84DF6">
        <w:rPr>
          <w:rFonts w:ascii="Times New Roman" w:hAnsi="Times New Roman" w:cs="Times New Roman"/>
          <w:sz w:val="24"/>
          <w:szCs w:val="24"/>
        </w:rPr>
        <w:t xml:space="preserve"> </w:t>
      </w:r>
      <w:r w:rsidR="006228D1" w:rsidRPr="00C84DF6">
        <w:rPr>
          <w:rFonts w:ascii="Times New Roman" w:hAnsi="Times New Roman" w:cs="Times New Roman"/>
          <w:sz w:val="24"/>
          <w:szCs w:val="24"/>
        </w:rPr>
        <w:t>février</w:t>
      </w:r>
      <w:r w:rsidR="00C03B3B" w:rsidRPr="00C84DF6">
        <w:rPr>
          <w:rFonts w:ascii="Times New Roman" w:hAnsi="Times New Roman" w:cs="Times New Roman"/>
          <w:sz w:val="24"/>
          <w:szCs w:val="24"/>
        </w:rPr>
        <w:t xml:space="preserve"> 2025</w:t>
      </w:r>
      <w:r w:rsidR="00B81598">
        <w:rPr>
          <w:rStyle w:val="FootnoteReference"/>
          <w:rFonts w:ascii="Times New Roman" w:hAnsi="Times New Roman" w:cs="Times New Roman"/>
          <w:sz w:val="24"/>
          <w:szCs w:val="24"/>
        </w:rPr>
        <w:footnoteReference w:id="1"/>
      </w:r>
      <w:r w:rsidR="00C03B3B" w:rsidRPr="00C84DF6">
        <w:rPr>
          <w:rFonts w:ascii="Times New Roman" w:hAnsi="Times New Roman" w:cs="Times New Roman"/>
          <w:sz w:val="24"/>
          <w:szCs w:val="24"/>
        </w:rPr>
        <w:t>.</w:t>
      </w:r>
    </w:p>
    <w:p w14:paraId="03D2CD19" w14:textId="77777777" w:rsidR="00C84DF6" w:rsidRDefault="00C84DF6" w:rsidP="00C84DF6">
      <w:pPr>
        <w:pStyle w:val="ListParagraph"/>
        <w:spacing w:after="120"/>
        <w:ind w:left="0"/>
        <w:jc w:val="both"/>
        <w:rPr>
          <w:rFonts w:ascii="Times New Roman" w:hAnsi="Times New Roman" w:cs="Times New Roman"/>
          <w:sz w:val="24"/>
          <w:szCs w:val="24"/>
        </w:rPr>
      </w:pPr>
    </w:p>
    <w:p w14:paraId="0652EBC5" w14:textId="77777777" w:rsidR="00C84DF6" w:rsidRDefault="00922D55"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En </w:t>
      </w:r>
      <w:r w:rsidR="00B22313" w:rsidRPr="00C84DF6">
        <w:rPr>
          <w:rFonts w:ascii="Times New Roman" w:hAnsi="Times New Roman" w:cs="Times New Roman"/>
          <w:sz w:val="24"/>
          <w:szCs w:val="24"/>
        </w:rPr>
        <w:t>juillet</w:t>
      </w:r>
      <w:r w:rsidRPr="00C84DF6">
        <w:rPr>
          <w:rFonts w:ascii="Times New Roman" w:hAnsi="Times New Roman" w:cs="Times New Roman"/>
          <w:sz w:val="24"/>
          <w:szCs w:val="24"/>
        </w:rPr>
        <w:t xml:space="preserve"> 202</w:t>
      </w:r>
      <w:r w:rsidR="00B22313" w:rsidRPr="00C84DF6">
        <w:rPr>
          <w:rFonts w:ascii="Times New Roman" w:hAnsi="Times New Roman" w:cs="Times New Roman"/>
          <w:sz w:val="24"/>
          <w:szCs w:val="24"/>
        </w:rPr>
        <w:t>3</w:t>
      </w:r>
      <w:r w:rsidRPr="00C84DF6">
        <w:rPr>
          <w:rFonts w:ascii="Times New Roman" w:hAnsi="Times New Roman" w:cs="Times New Roman"/>
          <w:sz w:val="24"/>
          <w:szCs w:val="24"/>
        </w:rPr>
        <w:t xml:space="preserve">, </w:t>
      </w:r>
      <w:r w:rsidR="00B22313" w:rsidRPr="00C84DF6">
        <w:rPr>
          <w:rFonts w:ascii="Times New Roman" w:hAnsi="Times New Roman" w:cs="Times New Roman"/>
          <w:sz w:val="24"/>
          <w:szCs w:val="24"/>
        </w:rPr>
        <w:t>un rapport d’information de l’Asse</w:t>
      </w:r>
      <w:r w:rsidR="007E7EC3" w:rsidRPr="00C84DF6">
        <w:rPr>
          <w:rFonts w:ascii="Times New Roman" w:hAnsi="Times New Roman" w:cs="Times New Roman"/>
          <w:sz w:val="24"/>
          <w:szCs w:val="24"/>
        </w:rPr>
        <w:t xml:space="preserve">mblée nationale sur les alternatives à la détention </w:t>
      </w:r>
      <w:r w:rsidR="00547647" w:rsidRPr="00C84DF6">
        <w:rPr>
          <w:rFonts w:ascii="Times New Roman" w:hAnsi="Times New Roman" w:cs="Times New Roman"/>
          <w:sz w:val="24"/>
          <w:szCs w:val="24"/>
        </w:rPr>
        <w:t xml:space="preserve">faisait </w:t>
      </w:r>
      <w:r w:rsidR="008B3D14" w:rsidRPr="00C84DF6">
        <w:rPr>
          <w:rFonts w:ascii="Times New Roman" w:hAnsi="Times New Roman" w:cs="Times New Roman"/>
          <w:sz w:val="24"/>
          <w:szCs w:val="24"/>
        </w:rPr>
        <w:t>le constat</w:t>
      </w:r>
      <w:r w:rsidR="00547647" w:rsidRPr="00C84DF6">
        <w:rPr>
          <w:rFonts w:ascii="Times New Roman" w:hAnsi="Times New Roman" w:cs="Times New Roman"/>
          <w:sz w:val="24"/>
          <w:szCs w:val="24"/>
        </w:rPr>
        <w:t xml:space="preserve"> d’une situation</w:t>
      </w:r>
      <w:r w:rsidR="00801086" w:rsidRPr="00C84DF6">
        <w:rPr>
          <w:rFonts w:ascii="Times New Roman" w:hAnsi="Times New Roman" w:cs="Times New Roman"/>
          <w:sz w:val="24"/>
          <w:szCs w:val="24"/>
        </w:rPr>
        <w:t xml:space="preserve"> de </w:t>
      </w:r>
      <w:r w:rsidR="004C1F18" w:rsidRPr="00C84DF6">
        <w:rPr>
          <w:rFonts w:ascii="Times New Roman" w:hAnsi="Times New Roman" w:cs="Times New Roman"/>
          <w:sz w:val="24"/>
          <w:szCs w:val="24"/>
        </w:rPr>
        <w:t>«</w:t>
      </w:r>
      <w:r w:rsidR="004C1F18" w:rsidRPr="00C84DF6">
        <w:rPr>
          <w:rFonts w:ascii="Times New Roman" w:hAnsi="Times New Roman" w:cs="Times New Roman"/>
          <w:i/>
          <w:iCs/>
          <w:sz w:val="24"/>
          <w:szCs w:val="24"/>
        </w:rPr>
        <w:t> </w:t>
      </w:r>
      <w:r w:rsidR="00801086" w:rsidRPr="00C84DF6">
        <w:rPr>
          <w:rFonts w:ascii="Times New Roman" w:hAnsi="Times New Roman" w:cs="Times New Roman"/>
          <w:i/>
          <w:iCs/>
          <w:sz w:val="24"/>
          <w:szCs w:val="24"/>
        </w:rPr>
        <w:t>surpopulation chronique au sein des ma</w:t>
      </w:r>
      <w:r w:rsidR="004C1F18" w:rsidRPr="00C84DF6">
        <w:rPr>
          <w:rFonts w:ascii="Times New Roman" w:hAnsi="Times New Roman" w:cs="Times New Roman"/>
          <w:i/>
          <w:iCs/>
          <w:sz w:val="24"/>
          <w:szCs w:val="24"/>
        </w:rPr>
        <w:t>i</w:t>
      </w:r>
      <w:r w:rsidR="00801086" w:rsidRPr="00C84DF6">
        <w:rPr>
          <w:rFonts w:ascii="Times New Roman" w:hAnsi="Times New Roman" w:cs="Times New Roman"/>
          <w:i/>
          <w:iCs/>
          <w:sz w:val="24"/>
          <w:szCs w:val="24"/>
        </w:rPr>
        <w:t>sons d’arrêt françaises</w:t>
      </w:r>
      <w:r w:rsidR="004C1F18" w:rsidRPr="00C84DF6">
        <w:rPr>
          <w:rFonts w:ascii="Times New Roman" w:hAnsi="Times New Roman" w:cs="Times New Roman"/>
          <w:i/>
          <w:iCs/>
          <w:sz w:val="24"/>
          <w:szCs w:val="24"/>
        </w:rPr>
        <w:t> </w:t>
      </w:r>
      <w:r w:rsidR="004C1F18" w:rsidRPr="00C84DF6">
        <w:rPr>
          <w:rFonts w:ascii="Times New Roman" w:hAnsi="Times New Roman" w:cs="Times New Roman"/>
          <w:sz w:val="24"/>
          <w:szCs w:val="24"/>
        </w:rPr>
        <w:t>» aux co</w:t>
      </w:r>
      <w:r w:rsidR="00875AD4" w:rsidRPr="00C84DF6">
        <w:rPr>
          <w:rFonts w:ascii="Times New Roman" w:hAnsi="Times New Roman" w:cs="Times New Roman"/>
          <w:sz w:val="24"/>
          <w:szCs w:val="24"/>
        </w:rPr>
        <w:t>n</w:t>
      </w:r>
      <w:r w:rsidR="004C1F18" w:rsidRPr="00C84DF6">
        <w:rPr>
          <w:rFonts w:ascii="Times New Roman" w:hAnsi="Times New Roman" w:cs="Times New Roman"/>
          <w:sz w:val="24"/>
          <w:szCs w:val="24"/>
        </w:rPr>
        <w:t xml:space="preserve">séquences graves sur les conditions de détention, les chances de réinsertion et </w:t>
      </w:r>
      <w:r w:rsidR="00875AD4" w:rsidRPr="00C84DF6">
        <w:rPr>
          <w:rFonts w:ascii="Times New Roman" w:hAnsi="Times New Roman" w:cs="Times New Roman"/>
          <w:sz w:val="24"/>
          <w:szCs w:val="24"/>
        </w:rPr>
        <w:t>la prévention de la récidive</w:t>
      </w:r>
      <w:r w:rsidR="005E3B1E">
        <w:rPr>
          <w:rStyle w:val="FootnoteReference"/>
          <w:rFonts w:ascii="Times New Roman" w:hAnsi="Times New Roman" w:cs="Times New Roman"/>
          <w:sz w:val="24"/>
          <w:szCs w:val="24"/>
        </w:rPr>
        <w:footnoteReference w:id="2"/>
      </w:r>
      <w:r w:rsidR="00875AD4" w:rsidRPr="00C84DF6">
        <w:rPr>
          <w:rFonts w:ascii="Times New Roman" w:hAnsi="Times New Roman" w:cs="Times New Roman"/>
          <w:sz w:val="24"/>
          <w:szCs w:val="24"/>
        </w:rPr>
        <w:t>.</w:t>
      </w:r>
      <w:r w:rsidR="0050595E" w:rsidRPr="00C84DF6">
        <w:rPr>
          <w:rFonts w:ascii="Times New Roman" w:hAnsi="Times New Roman" w:cs="Times New Roman"/>
          <w:sz w:val="24"/>
          <w:szCs w:val="24"/>
        </w:rPr>
        <w:t xml:space="preserve"> </w:t>
      </w:r>
      <w:r w:rsidR="00DD3A96" w:rsidRPr="00C84DF6">
        <w:rPr>
          <w:rFonts w:ascii="Times New Roman" w:hAnsi="Times New Roman" w:cs="Times New Roman"/>
          <w:sz w:val="24"/>
          <w:szCs w:val="24"/>
        </w:rPr>
        <w:t xml:space="preserve">Après avoir étudié les causes et conséquences de </w:t>
      </w:r>
      <w:r w:rsidR="005D491B" w:rsidRPr="00C84DF6">
        <w:rPr>
          <w:rFonts w:ascii="Times New Roman" w:hAnsi="Times New Roman" w:cs="Times New Roman"/>
          <w:sz w:val="24"/>
          <w:szCs w:val="24"/>
        </w:rPr>
        <w:t xml:space="preserve">la surpopulation, le rapport </w:t>
      </w:r>
      <w:r w:rsidR="00D0092B" w:rsidRPr="00C84DF6">
        <w:rPr>
          <w:rFonts w:ascii="Times New Roman" w:hAnsi="Times New Roman" w:cs="Times New Roman"/>
          <w:sz w:val="24"/>
          <w:szCs w:val="24"/>
        </w:rPr>
        <w:t xml:space="preserve">liste 13 recommandations visant à y mettre fin. </w:t>
      </w:r>
      <w:r w:rsidR="00895685" w:rsidRPr="00C84DF6">
        <w:rPr>
          <w:rFonts w:ascii="Times New Roman" w:hAnsi="Times New Roman" w:cs="Times New Roman"/>
          <w:sz w:val="24"/>
          <w:szCs w:val="24"/>
        </w:rPr>
        <w:t xml:space="preserve">Il préconise </w:t>
      </w:r>
      <w:r w:rsidR="009D1CED" w:rsidRPr="00C84DF6">
        <w:rPr>
          <w:rFonts w:ascii="Times New Roman" w:hAnsi="Times New Roman" w:cs="Times New Roman"/>
          <w:sz w:val="24"/>
          <w:szCs w:val="24"/>
        </w:rPr>
        <w:t>de revoir les peines encourues afin de ne punir que d’une peine de probation les délits de moindre intensité</w:t>
      </w:r>
      <w:r w:rsidR="008852DD" w:rsidRPr="00C84DF6">
        <w:rPr>
          <w:rFonts w:ascii="Times New Roman" w:hAnsi="Times New Roman" w:cs="Times New Roman"/>
          <w:sz w:val="24"/>
          <w:szCs w:val="24"/>
        </w:rPr>
        <w:t xml:space="preserve"> et de renforcer les services pénitentiaires d’insertion et de probation. Il </w:t>
      </w:r>
      <w:r w:rsidR="00E340FF" w:rsidRPr="00C84DF6">
        <w:rPr>
          <w:rFonts w:ascii="Times New Roman" w:hAnsi="Times New Roman" w:cs="Times New Roman"/>
          <w:sz w:val="24"/>
          <w:szCs w:val="24"/>
        </w:rPr>
        <w:t xml:space="preserve">propose également d’atteindre les 100% d’occupation carcérale à l’horizon 2027, date prévue d’achèvement du plan immobilier carcéral de 15 000 places. </w:t>
      </w:r>
      <w:r w:rsidR="00EE1512" w:rsidRPr="00C84DF6">
        <w:rPr>
          <w:rFonts w:ascii="Times New Roman" w:hAnsi="Times New Roman" w:cs="Times New Roman"/>
          <w:sz w:val="24"/>
          <w:szCs w:val="24"/>
        </w:rPr>
        <w:t xml:space="preserve">En dernier recours, la mission d’information préconise également </w:t>
      </w:r>
      <w:r w:rsidR="00CB5EC4" w:rsidRPr="00C84DF6">
        <w:rPr>
          <w:rFonts w:ascii="Times New Roman" w:hAnsi="Times New Roman" w:cs="Times New Roman"/>
          <w:sz w:val="24"/>
          <w:szCs w:val="24"/>
        </w:rPr>
        <w:t xml:space="preserve">la mise en œuvre d’un mécanisme progressif de régulation carcérale afin de résorber durablement la surpopulation carcérale. </w:t>
      </w:r>
      <w:r w:rsidR="00091574" w:rsidRPr="00C84DF6">
        <w:rPr>
          <w:rFonts w:ascii="Times New Roman" w:hAnsi="Times New Roman" w:cs="Times New Roman"/>
          <w:sz w:val="24"/>
          <w:szCs w:val="24"/>
        </w:rPr>
        <w:t xml:space="preserve">Une large partie de ces recommandations </w:t>
      </w:r>
      <w:r w:rsidR="006D1956" w:rsidRPr="00C84DF6">
        <w:rPr>
          <w:rFonts w:ascii="Times New Roman" w:hAnsi="Times New Roman" w:cs="Times New Roman"/>
          <w:sz w:val="24"/>
          <w:szCs w:val="24"/>
        </w:rPr>
        <w:t xml:space="preserve">sont </w:t>
      </w:r>
      <w:r w:rsidR="00996750" w:rsidRPr="00C84DF6">
        <w:rPr>
          <w:rFonts w:ascii="Times New Roman" w:hAnsi="Times New Roman" w:cs="Times New Roman"/>
          <w:sz w:val="24"/>
          <w:szCs w:val="24"/>
        </w:rPr>
        <w:t>portées</w:t>
      </w:r>
      <w:r w:rsidR="006D1956" w:rsidRPr="00C84DF6">
        <w:rPr>
          <w:rFonts w:ascii="Times New Roman" w:hAnsi="Times New Roman" w:cs="Times New Roman"/>
          <w:sz w:val="24"/>
          <w:szCs w:val="24"/>
        </w:rPr>
        <w:t xml:space="preserve"> par la société civile ainsi que par la Commission nationale consultative des droits de l’homme (CNCDH</w:t>
      </w:r>
      <w:r w:rsidR="003F07B6" w:rsidRPr="00C84DF6">
        <w:rPr>
          <w:rFonts w:ascii="Times New Roman" w:hAnsi="Times New Roman" w:cs="Times New Roman"/>
          <w:sz w:val="24"/>
          <w:szCs w:val="24"/>
        </w:rPr>
        <w:t>)</w:t>
      </w:r>
      <w:r w:rsidR="000901AB">
        <w:rPr>
          <w:rStyle w:val="FootnoteReference"/>
          <w:rFonts w:ascii="Times New Roman" w:hAnsi="Times New Roman" w:cs="Times New Roman"/>
          <w:sz w:val="24"/>
          <w:szCs w:val="24"/>
        </w:rPr>
        <w:footnoteReference w:id="3"/>
      </w:r>
      <w:r w:rsidR="003F07B6" w:rsidRPr="00C84DF6">
        <w:rPr>
          <w:rFonts w:ascii="Times New Roman" w:hAnsi="Times New Roman" w:cs="Times New Roman"/>
          <w:sz w:val="24"/>
          <w:szCs w:val="24"/>
        </w:rPr>
        <w:t xml:space="preserve">. </w:t>
      </w:r>
    </w:p>
    <w:p w14:paraId="429422BC" w14:textId="77777777" w:rsidR="00C84DF6" w:rsidRDefault="00C84DF6" w:rsidP="00C84DF6">
      <w:pPr>
        <w:pStyle w:val="ListParagraph"/>
        <w:spacing w:after="120"/>
        <w:ind w:left="0"/>
        <w:jc w:val="both"/>
        <w:rPr>
          <w:rFonts w:ascii="Times New Roman" w:hAnsi="Times New Roman" w:cs="Times New Roman"/>
          <w:sz w:val="24"/>
          <w:szCs w:val="24"/>
        </w:rPr>
      </w:pPr>
    </w:p>
    <w:p w14:paraId="512FCD6F" w14:textId="77777777" w:rsidR="00C84DF6" w:rsidRPr="00C84DF6" w:rsidRDefault="00496FDA"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M</w:t>
      </w:r>
      <w:r w:rsidR="00B631A9" w:rsidRPr="00C84DF6">
        <w:rPr>
          <w:rFonts w:ascii="Times New Roman" w:hAnsi="Times New Roman" w:cs="Times New Roman"/>
          <w:sz w:val="24"/>
          <w:szCs w:val="24"/>
        </w:rPr>
        <w:t>algré ces recommandations et les diverses condamnations de la France par des instances internationales</w:t>
      </w:r>
      <w:r w:rsidR="00E60FD4" w:rsidRPr="00C84DF6">
        <w:rPr>
          <w:rFonts w:ascii="Times New Roman" w:hAnsi="Times New Roman" w:cs="Times New Roman"/>
          <w:sz w:val="24"/>
          <w:szCs w:val="24"/>
        </w:rPr>
        <w:t xml:space="preserve"> pour sa surpopulation carcérale chronique</w:t>
      </w:r>
      <w:r w:rsidR="00AD225A">
        <w:rPr>
          <w:rStyle w:val="FootnoteReference"/>
          <w:rFonts w:ascii="Times New Roman" w:hAnsi="Times New Roman" w:cs="Times New Roman"/>
          <w:sz w:val="24"/>
          <w:szCs w:val="24"/>
        </w:rPr>
        <w:footnoteReference w:id="4"/>
      </w:r>
      <w:r w:rsidR="00DC76DD" w:rsidRPr="00C84DF6">
        <w:rPr>
          <w:rFonts w:ascii="Times New Roman" w:hAnsi="Times New Roman" w:cs="Times New Roman"/>
          <w:sz w:val="24"/>
          <w:szCs w:val="24"/>
        </w:rPr>
        <w:t xml:space="preserve">, aucune de ces recommandations ne sont prises en compte par </w:t>
      </w:r>
      <w:r w:rsidR="00BA553B" w:rsidRPr="00C84DF6">
        <w:rPr>
          <w:rFonts w:ascii="Times New Roman" w:hAnsi="Times New Roman" w:cs="Times New Roman"/>
          <w:sz w:val="24"/>
          <w:szCs w:val="24"/>
        </w:rPr>
        <w:t xml:space="preserve">le </w:t>
      </w:r>
      <w:r w:rsidR="000A1FA5" w:rsidRPr="00C84DF6">
        <w:rPr>
          <w:rFonts w:ascii="Times New Roman" w:hAnsi="Times New Roman" w:cs="Times New Roman"/>
          <w:sz w:val="24"/>
          <w:szCs w:val="24"/>
        </w:rPr>
        <w:t>G</w:t>
      </w:r>
      <w:r w:rsidR="00BA553B" w:rsidRPr="00C84DF6">
        <w:rPr>
          <w:rFonts w:ascii="Times New Roman" w:hAnsi="Times New Roman" w:cs="Times New Roman"/>
          <w:sz w:val="24"/>
          <w:szCs w:val="24"/>
        </w:rPr>
        <w:t xml:space="preserve">ouvernement. </w:t>
      </w:r>
      <w:r w:rsidR="00476366" w:rsidRPr="00C84DF6">
        <w:rPr>
          <w:rFonts w:ascii="Times New Roman" w:hAnsi="Times New Roman" w:cs="Times New Roman"/>
          <w:sz w:val="24"/>
          <w:szCs w:val="24"/>
        </w:rPr>
        <w:t xml:space="preserve">Une proposition de loi visant </w:t>
      </w:r>
      <w:r w:rsidR="00505FE6" w:rsidRPr="00C84DF6">
        <w:rPr>
          <w:rFonts w:ascii="Times New Roman" w:hAnsi="Times New Roman" w:cs="Times New Roman"/>
          <w:sz w:val="24"/>
          <w:szCs w:val="24"/>
        </w:rPr>
        <w:t>à l’instauration d’un mécanisme de régulation carcérale et de prévention de la surpopulation pénitentiaire a ainsi été déposée en octobre 2024 et est restée lettre morte depuis</w:t>
      </w:r>
      <w:r w:rsidR="00515B74">
        <w:rPr>
          <w:rStyle w:val="FootnoteReference"/>
          <w:rFonts w:ascii="Times New Roman" w:hAnsi="Times New Roman" w:cs="Times New Roman"/>
          <w:sz w:val="24"/>
          <w:szCs w:val="24"/>
        </w:rPr>
        <w:footnoteReference w:id="5"/>
      </w:r>
      <w:r w:rsidR="00505FE6" w:rsidRPr="00C84DF6">
        <w:rPr>
          <w:rFonts w:ascii="Times New Roman" w:hAnsi="Times New Roman" w:cs="Times New Roman"/>
          <w:sz w:val="24"/>
          <w:szCs w:val="24"/>
        </w:rPr>
        <w:t xml:space="preserve">. </w:t>
      </w:r>
      <w:r w:rsidR="00013076" w:rsidRPr="00C84DF6">
        <w:rPr>
          <w:rFonts w:ascii="Times New Roman" w:hAnsi="Times New Roman" w:cs="Times New Roman"/>
          <w:sz w:val="24"/>
          <w:szCs w:val="24"/>
        </w:rPr>
        <w:t xml:space="preserve">La seule réponse apportée par le </w:t>
      </w:r>
      <w:r w:rsidR="000668C3" w:rsidRPr="00C84DF6">
        <w:rPr>
          <w:rFonts w:ascii="Times New Roman" w:hAnsi="Times New Roman" w:cs="Times New Roman"/>
          <w:sz w:val="24"/>
          <w:szCs w:val="24"/>
        </w:rPr>
        <w:t>g</w:t>
      </w:r>
      <w:r w:rsidR="00013076" w:rsidRPr="00C84DF6">
        <w:rPr>
          <w:rFonts w:ascii="Times New Roman" w:hAnsi="Times New Roman" w:cs="Times New Roman"/>
          <w:sz w:val="24"/>
          <w:szCs w:val="24"/>
        </w:rPr>
        <w:t xml:space="preserve">ouvernement français est la création de nouvelles places de prison. </w:t>
      </w:r>
      <w:r w:rsidR="002A7CB7" w:rsidRPr="00C84DF6">
        <w:rPr>
          <w:rFonts w:ascii="Times New Roman" w:hAnsi="Times New Roman" w:cs="Times New Roman"/>
          <w:sz w:val="24"/>
          <w:szCs w:val="24"/>
        </w:rPr>
        <w:t>Or</w:t>
      </w:r>
      <w:r w:rsidR="005F6E8B" w:rsidRPr="00C84DF6">
        <w:rPr>
          <w:rFonts w:ascii="Times New Roman" w:hAnsi="Times New Roman" w:cs="Times New Roman"/>
          <w:sz w:val="24"/>
          <w:szCs w:val="24"/>
        </w:rPr>
        <w:t>,</w:t>
      </w:r>
      <w:r w:rsidR="002A7CB7" w:rsidRPr="00C84DF6">
        <w:rPr>
          <w:rFonts w:ascii="Times New Roman" w:hAnsi="Times New Roman" w:cs="Times New Roman"/>
          <w:sz w:val="24"/>
          <w:szCs w:val="24"/>
        </w:rPr>
        <w:t xml:space="preserve"> </w:t>
      </w:r>
      <w:r w:rsidR="00DC57CE" w:rsidRPr="00C84DF6">
        <w:rPr>
          <w:rFonts w:ascii="Times New Roman" w:hAnsi="Times New Roman" w:cs="Times New Roman"/>
          <w:sz w:val="24"/>
          <w:szCs w:val="24"/>
        </w:rPr>
        <w:t xml:space="preserve">celles-ci ne permettent pas de résorber le problème chronique de la surpopulation carcérale. </w:t>
      </w:r>
      <w:r w:rsidR="00622C73" w:rsidRPr="00C84DF6">
        <w:rPr>
          <w:rFonts w:ascii="Times New Roman" w:eastAsia="Arial" w:hAnsi="Times New Roman" w:cs="Times New Roman"/>
          <w:sz w:val="24"/>
          <w:szCs w:val="24"/>
          <w:lang w:val="fr-CH" w:eastAsia="fr-FR"/>
        </w:rPr>
        <w:t xml:space="preserve">D’après </w:t>
      </w:r>
      <w:r w:rsidR="00E03920" w:rsidRPr="00C84DF6">
        <w:rPr>
          <w:rFonts w:ascii="Times New Roman" w:eastAsia="Arial" w:hAnsi="Times New Roman" w:cs="Times New Roman"/>
          <w:sz w:val="24"/>
          <w:szCs w:val="24"/>
          <w:lang w:val="fr-CH" w:eastAsia="fr-FR"/>
        </w:rPr>
        <w:t xml:space="preserve">le </w:t>
      </w:r>
      <w:r w:rsidR="00F705E2" w:rsidRPr="00C84DF6">
        <w:rPr>
          <w:rFonts w:ascii="Times New Roman" w:eastAsia="Arial" w:hAnsi="Times New Roman" w:cs="Times New Roman"/>
          <w:sz w:val="24"/>
          <w:szCs w:val="24"/>
          <w:lang w:val="fr-CH" w:eastAsia="fr-FR"/>
        </w:rPr>
        <w:t xml:space="preserve">huitième </w:t>
      </w:r>
      <w:r w:rsidR="00E03920" w:rsidRPr="00C84DF6">
        <w:rPr>
          <w:rFonts w:ascii="Times New Roman" w:eastAsia="Arial" w:hAnsi="Times New Roman" w:cs="Times New Roman"/>
          <w:sz w:val="24"/>
          <w:szCs w:val="24"/>
          <w:lang w:val="fr-CH" w:eastAsia="fr-FR"/>
        </w:rPr>
        <w:t xml:space="preserve">rapport </w:t>
      </w:r>
      <w:r w:rsidR="00F705E2" w:rsidRPr="00C84DF6">
        <w:rPr>
          <w:rFonts w:ascii="Times New Roman" w:eastAsia="Arial" w:hAnsi="Times New Roman" w:cs="Times New Roman"/>
          <w:sz w:val="24"/>
          <w:szCs w:val="24"/>
          <w:lang w:val="fr-CH" w:eastAsia="fr-FR"/>
        </w:rPr>
        <w:t xml:space="preserve">périodique soumis par la France </w:t>
      </w:r>
      <w:r w:rsidR="001938E3" w:rsidRPr="00C84DF6">
        <w:rPr>
          <w:rFonts w:ascii="Times New Roman" w:eastAsia="Arial" w:hAnsi="Times New Roman" w:cs="Times New Roman"/>
          <w:sz w:val="24"/>
          <w:szCs w:val="24"/>
          <w:lang w:val="fr-CH" w:eastAsia="fr-FR"/>
        </w:rPr>
        <w:t>devant le Comité contre la torture</w:t>
      </w:r>
      <w:r w:rsidR="00622C73" w:rsidRPr="00C84DF6">
        <w:rPr>
          <w:rFonts w:ascii="Times New Roman" w:eastAsia="Arial" w:hAnsi="Times New Roman" w:cs="Times New Roman"/>
          <w:sz w:val="24"/>
          <w:szCs w:val="24"/>
          <w:lang w:val="fr-CH" w:eastAsia="fr-FR"/>
        </w:rPr>
        <w:t>, le programme immobilier pénitentiaire, lancé en 2018, prévoyait la livraison de 7 000 places de détention d’ici 2022 et le lancement de 8 000 autres places à l’horizon 2027</w:t>
      </w:r>
      <w:r w:rsidR="001A2B20">
        <w:rPr>
          <w:rStyle w:val="FootnoteReference"/>
          <w:rFonts w:ascii="Times New Roman" w:eastAsia="Arial" w:hAnsi="Times New Roman" w:cs="Times New Roman"/>
          <w:sz w:val="24"/>
          <w:szCs w:val="24"/>
          <w:lang w:val="fr-CH" w:eastAsia="fr-FR"/>
        </w:rPr>
        <w:footnoteReference w:id="6"/>
      </w:r>
      <w:r w:rsidR="00622C73" w:rsidRPr="00C84DF6">
        <w:rPr>
          <w:rFonts w:ascii="Times New Roman" w:eastAsia="Arial" w:hAnsi="Times New Roman" w:cs="Times New Roman"/>
          <w:sz w:val="24"/>
          <w:szCs w:val="24"/>
          <w:lang w:val="fr-CH" w:eastAsia="fr-FR"/>
        </w:rPr>
        <w:t>.</w:t>
      </w:r>
      <w:r w:rsidR="00D72B63" w:rsidRPr="00C84DF6">
        <w:rPr>
          <w:rFonts w:ascii="Times New Roman" w:eastAsia="Arial" w:hAnsi="Times New Roman" w:cs="Times New Roman"/>
          <w:sz w:val="24"/>
          <w:szCs w:val="24"/>
          <w:lang w:val="fr-CH" w:eastAsia="fr-FR"/>
        </w:rPr>
        <w:t xml:space="preserve"> </w:t>
      </w:r>
      <w:r w:rsidR="009B23FD" w:rsidRPr="00C84DF6">
        <w:rPr>
          <w:rFonts w:ascii="Times New Roman" w:eastAsia="Arial" w:hAnsi="Times New Roman" w:cs="Times New Roman"/>
          <w:sz w:val="24"/>
          <w:szCs w:val="24"/>
          <w:lang w:val="fr-CH" w:eastAsia="fr-FR"/>
        </w:rPr>
        <w:t xml:space="preserve">Ce programme visait à réduire la surpopulation carcérale dans les maisons d’arrêt et à atteindre l’objectif de 80 % d’encellulement individuel. </w:t>
      </w:r>
    </w:p>
    <w:p w14:paraId="31E8F29E"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10F1D36F" w14:textId="77777777" w:rsidR="00C84DF6" w:rsidRPr="00C84DF6" w:rsidRDefault="008C0B82"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Seulement, au 1</w:t>
      </w:r>
      <w:r w:rsidRPr="00C84DF6">
        <w:rPr>
          <w:rFonts w:ascii="Times New Roman" w:eastAsia="Arial" w:hAnsi="Times New Roman" w:cs="Times New Roman"/>
          <w:sz w:val="24"/>
          <w:szCs w:val="24"/>
          <w:vertAlign w:val="superscript"/>
          <w:lang w:val="fr-CH" w:eastAsia="fr-FR"/>
        </w:rPr>
        <w:t>er</w:t>
      </w:r>
      <w:r w:rsidRPr="00C84DF6">
        <w:rPr>
          <w:rFonts w:ascii="Times New Roman" w:eastAsia="Arial" w:hAnsi="Times New Roman" w:cs="Times New Roman"/>
          <w:sz w:val="24"/>
          <w:szCs w:val="24"/>
          <w:lang w:val="fr-CH" w:eastAsia="fr-FR"/>
        </w:rPr>
        <w:t xml:space="preserve"> juillet 2023 seules 2 771 places avaient été livrées, un chiffre bien en deçà des attentes</w:t>
      </w:r>
      <w:r w:rsidR="00EC31E3">
        <w:rPr>
          <w:rStyle w:val="FootnoteReference"/>
          <w:rFonts w:ascii="Times New Roman" w:eastAsia="Arial" w:hAnsi="Times New Roman" w:cs="Times New Roman"/>
          <w:sz w:val="24"/>
          <w:szCs w:val="24"/>
          <w:lang w:val="fr-CH" w:eastAsia="fr-FR"/>
        </w:rPr>
        <w:footnoteReference w:id="7"/>
      </w:r>
      <w:r w:rsidRPr="00C84DF6">
        <w:rPr>
          <w:rFonts w:ascii="Times New Roman" w:eastAsia="Arial" w:hAnsi="Times New Roman" w:cs="Times New Roman"/>
          <w:sz w:val="24"/>
          <w:szCs w:val="24"/>
          <w:lang w:val="fr-CH" w:eastAsia="fr-FR"/>
        </w:rPr>
        <w:t xml:space="preserve">. </w:t>
      </w:r>
      <w:r w:rsidR="00D45028" w:rsidRPr="00C84DF6">
        <w:rPr>
          <w:rFonts w:ascii="Times New Roman" w:eastAsia="Arial" w:hAnsi="Times New Roman" w:cs="Times New Roman"/>
          <w:sz w:val="24"/>
          <w:szCs w:val="24"/>
          <w:lang w:val="fr-CH" w:eastAsia="fr-FR"/>
        </w:rPr>
        <w:t>Le rapporteur spécial des crédits de la mission « Justice » a d’ailleurs affirmé que le « </w:t>
      </w:r>
      <w:r w:rsidR="00D45028" w:rsidRPr="00C84DF6">
        <w:rPr>
          <w:rFonts w:ascii="Times New Roman" w:eastAsia="Arial" w:hAnsi="Times New Roman" w:cs="Times New Roman"/>
          <w:i/>
          <w:iCs/>
          <w:sz w:val="24"/>
          <w:szCs w:val="24"/>
          <w:lang w:val="fr-CH" w:eastAsia="fr-FR"/>
        </w:rPr>
        <w:t>plan 15 000 ne permettra pas seul de remédier durablement à la dégradation des conditions de détention</w:t>
      </w:r>
      <w:r w:rsidR="00D45028" w:rsidRPr="00C84DF6">
        <w:rPr>
          <w:rFonts w:ascii="Times New Roman" w:eastAsia="Arial" w:hAnsi="Times New Roman" w:cs="Times New Roman"/>
          <w:sz w:val="24"/>
          <w:szCs w:val="24"/>
          <w:lang w:val="fr-CH" w:eastAsia="fr-FR"/>
        </w:rPr>
        <w:t> »</w:t>
      </w:r>
      <w:r w:rsidR="00A624C3">
        <w:rPr>
          <w:rStyle w:val="FootnoteReference"/>
          <w:rFonts w:ascii="Times New Roman" w:eastAsia="Arial" w:hAnsi="Times New Roman" w:cs="Times New Roman"/>
          <w:sz w:val="24"/>
          <w:szCs w:val="24"/>
          <w:lang w:val="fr-CH" w:eastAsia="fr-FR"/>
        </w:rPr>
        <w:footnoteReference w:id="8"/>
      </w:r>
      <w:r w:rsidR="000E2ACE" w:rsidRPr="00C84DF6">
        <w:rPr>
          <w:rFonts w:ascii="Times New Roman" w:eastAsia="Arial" w:hAnsi="Times New Roman" w:cs="Times New Roman"/>
          <w:sz w:val="24"/>
          <w:szCs w:val="24"/>
          <w:lang w:val="fr-CH" w:eastAsia="fr-FR"/>
        </w:rPr>
        <w:t>.</w:t>
      </w:r>
    </w:p>
    <w:p w14:paraId="284914B4" w14:textId="77777777" w:rsidR="00C84DF6" w:rsidRPr="00C84DF6" w:rsidRDefault="00C84DF6" w:rsidP="00C84DF6">
      <w:pPr>
        <w:pStyle w:val="ListParagraph"/>
        <w:rPr>
          <w:rFonts w:ascii="Times New Roman" w:hAnsi="Times New Roman" w:cs="Times New Roman"/>
          <w:sz w:val="24"/>
          <w:szCs w:val="24"/>
        </w:rPr>
      </w:pPr>
    </w:p>
    <w:p w14:paraId="2B1C0B5C" w14:textId="1C70080E" w:rsidR="000C0BB6" w:rsidRPr="00C84DF6" w:rsidRDefault="009037CD"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Pourtant, </w:t>
      </w:r>
      <w:r w:rsidR="006F04EE" w:rsidRPr="00C84DF6">
        <w:rPr>
          <w:rFonts w:ascii="Times New Roman" w:hAnsi="Times New Roman" w:cs="Times New Roman"/>
          <w:sz w:val="24"/>
          <w:szCs w:val="24"/>
        </w:rPr>
        <w:t>afin de faire face à l’épidémie de COVID-19</w:t>
      </w:r>
      <w:r w:rsidR="00C100D2" w:rsidRPr="00C84DF6">
        <w:rPr>
          <w:rFonts w:ascii="Times New Roman" w:hAnsi="Times New Roman" w:cs="Times New Roman"/>
          <w:sz w:val="24"/>
          <w:szCs w:val="24"/>
        </w:rPr>
        <w:t xml:space="preserve"> et de respecter le</w:t>
      </w:r>
      <w:r w:rsidR="000C2E64" w:rsidRPr="00C84DF6">
        <w:rPr>
          <w:rFonts w:ascii="Times New Roman" w:hAnsi="Times New Roman" w:cs="Times New Roman"/>
          <w:sz w:val="24"/>
          <w:szCs w:val="24"/>
        </w:rPr>
        <w:t xml:space="preserve"> principe de distanciation sociale au sein des lieux de détention</w:t>
      </w:r>
      <w:r w:rsidR="002D1B3A" w:rsidRPr="00C84DF6">
        <w:rPr>
          <w:rFonts w:ascii="Times New Roman" w:hAnsi="Times New Roman" w:cs="Times New Roman"/>
          <w:sz w:val="24"/>
          <w:szCs w:val="24"/>
        </w:rPr>
        <w:t xml:space="preserve">, des mesures exceptionnelles ont été prises afin de réduire drastiquement la population pénitentiaire. </w:t>
      </w:r>
      <w:r w:rsidR="00FF65D8" w:rsidRPr="00C84DF6">
        <w:rPr>
          <w:rFonts w:ascii="Times New Roman" w:hAnsi="Times New Roman" w:cs="Times New Roman"/>
          <w:sz w:val="24"/>
          <w:szCs w:val="24"/>
        </w:rPr>
        <w:t xml:space="preserve">Une ordonnance de mars 2020 </w:t>
      </w:r>
      <w:r w:rsidR="00C958F3" w:rsidRPr="00C84DF6">
        <w:rPr>
          <w:rFonts w:ascii="Times New Roman" w:hAnsi="Times New Roman" w:cs="Times New Roman"/>
          <w:sz w:val="24"/>
          <w:szCs w:val="24"/>
        </w:rPr>
        <w:t>permett</w:t>
      </w:r>
      <w:r w:rsidR="00F7601A" w:rsidRPr="00C84DF6">
        <w:rPr>
          <w:rFonts w:ascii="Times New Roman" w:hAnsi="Times New Roman" w:cs="Times New Roman"/>
          <w:sz w:val="24"/>
          <w:szCs w:val="24"/>
        </w:rPr>
        <w:t>ait ou facilitait la libération anticipée de personnes condamnées détenues</w:t>
      </w:r>
      <w:r w:rsidR="00F7601A">
        <w:rPr>
          <w:rStyle w:val="FootnoteReference"/>
          <w:rFonts w:ascii="Times New Roman" w:hAnsi="Times New Roman" w:cs="Times New Roman"/>
          <w:sz w:val="24"/>
          <w:szCs w:val="24"/>
        </w:rPr>
        <w:footnoteReference w:id="9"/>
      </w:r>
      <w:r w:rsidR="00F7601A" w:rsidRPr="00C84DF6">
        <w:rPr>
          <w:rFonts w:ascii="Times New Roman" w:hAnsi="Times New Roman" w:cs="Times New Roman"/>
          <w:sz w:val="24"/>
          <w:szCs w:val="24"/>
        </w:rPr>
        <w:t xml:space="preserve">. </w:t>
      </w:r>
      <w:r w:rsidR="006E1286" w:rsidRPr="00C84DF6">
        <w:rPr>
          <w:rFonts w:ascii="Times New Roman" w:hAnsi="Times New Roman" w:cs="Times New Roman"/>
          <w:sz w:val="24"/>
          <w:szCs w:val="24"/>
        </w:rPr>
        <w:t>Ainsi au 23 avril 2020</w:t>
      </w:r>
      <w:r w:rsidR="0021398F" w:rsidRPr="00C84DF6">
        <w:rPr>
          <w:rFonts w:ascii="Times New Roman" w:hAnsi="Times New Roman" w:cs="Times New Roman"/>
          <w:sz w:val="24"/>
          <w:szCs w:val="24"/>
        </w:rPr>
        <w:t xml:space="preserve">, le nombre de personnes </w:t>
      </w:r>
      <w:r w:rsidR="003D3986" w:rsidRPr="00C84DF6">
        <w:rPr>
          <w:rFonts w:ascii="Times New Roman" w:hAnsi="Times New Roman" w:cs="Times New Roman"/>
          <w:sz w:val="24"/>
          <w:szCs w:val="24"/>
        </w:rPr>
        <w:t>incarcérées atteignait 60</w:t>
      </w:r>
      <w:r w:rsidR="0078461C" w:rsidRPr="00C84DF6">
        <w:rPr>
          <w:rFonts w:ascii="Times New Roman" w:hAnsi="Times New Roman" w:cs="Times New Roman"/>
          <w:sz w:val="24"/>
          <w:szCs w:val="24"/>
        </w:rPr>
        <w:t> 811 détenus (soit une baisse de 11 764 détenus) portant la densité carcérale à 100% pour l’ensemble des établissements pénitentiaires et à 112% pour les maisons d’arrêt</w:t>
      </w:r>
      <w:r w:rsidR="0078461C">
        <w:rPr>
          <w:rStyle w:val="FootnoteReference"/>
          <w:rFonts w:ascii="Times New Roman" w:hAnsi="Times New Roman" w:cs="Times New Roman"/>
          <w:sz w:val="24"/>
          <w:szCs w:val="24"/>
        </w:rPr>
        <w:footnoteReference w:id="10"/>
      </w:r>
      <w:r w:rsidR="0078461C" w:rsidRPr="00C84DF6">
        <w:rPr>
          <w:rFonts w:ascii="Times New Roman" w:hAnsi="Times New Roman" w:cs="Times New Roman"/>
          <w:sz w:val="24"/>
          <w:szCs w:val="24"/>
        </w:rPr>
        <w:t xml:space="preserve">. </w:t>
      </w:r>
      <w:r w:rsidR="006D65EA" w:rsidRPr="00C84DF6">
        <w:rPr>
          <w:rFonts w:ascii="Times New Roman" w:hAnsi="Times New Roman" w:cs="Times New Roman"/>
          <w:sz w:val="24"/>
          <w:szCs w:val="24"/>
        </w:rPr>
        <w:t>Aujourd’hui, au 1</w:t>
      </w:r>
      <w:r w:rsidR="006D65EA" w:rsidRPr="00C84DF6">
        <w:rPr>
          <w:rFonts w:ascii="Times New Roman" w:hAnsi="Times New Roman" w:cs="Times New Roman"/>
          <w:sz w:val="24"/>
          <w:szCs w:val="24"/>
          <w:vertAlign w:val="superscript"/>
        </w:rPr>
        <w:t>er</w:t>
      </w:r>
      <w:r w:rsidR="006D65EA" w:rsidRPr="00C84DF6">
        <w:rPr>
          <w:rFonts w:ascii="Times New Roman" w:hAnsi="Times New Roman" w:cs="Times New Roman"/>
          <w:sz w:val="24"/>
          <w:szCs w:val="24"/>
        </w:rPr>
        <w:t xml:space="preserve"> </w:t>
      </w:r>
      <w:r w:rsidR="00385FE9" w:rsidRPr="00C84DF6">
        <w:rPr>
          <w:rFonts w:ascii="Times New Roman" w:hAnsi="Times New Roman" w:cs="Times New Roman"/>
          <w:sz w:val="24"/>
          <w:szCs w:val="24"/>
        </w:rPr>
        <w:t>février</w:t>
      </w:r>
      <w:r w:rsidR="006D65EA" w:rsidRPr="00C84DF6">
        <w:rPr>
          <w:rFonts w:ascii="Times New Roman" w:hAnsi="Times New Roman" w:cs="Times New Roman"/>
          <w:sz w:val="24"/>
          <w:szCs w:val="24"/>
        </w:rPr>
        <w:t xml:space="preserve"> 2025, la densité carcérale </w:t>
      </w:r>
      <w:r w:rsidR="0043133C" w:rsidRPr="00C84DF6">
        <w:rPr>
          <w:rFonts w:ascii="Times New Roman" w:hAnsi="Times New Roman" w:cs="Times New Roman"/>
          <w:sz w:val="24"/>
          <w:szCs w:val="24"/>
        </w:rPr>
        <w:t>est de retour à des niveaux alarmants avec 1</w:t>
      </w:r>
      <w:r w:rsidR="00385FE9" w:rsidRPr="00C84DF6">
        <w:rPr>
          <w:rFonts w:ascii="Times New Roman" w:hAnsi="Times New Roman" w:cs="Times New Roman"/>
          <w:sz w:val="24"/>
          <w:szCs w:val="24"/>
        </w:rPr>
        <w:t>30,8</w:t>
      </w:r>
      <w:r w:rsidR="0043133C" w:rsidRPr="00C84DF6">
        <w:rPr>
          <w:rFonts w:ascii="Times New Roman" w:hAnsi="Times New Roman" w:cs="Times New Roman"/>
          <w:sz w:val="24"/>
          <w:szCs w:val="24"/>
        </w:rPr>
        <w:t xml:space="preserve">% de densité carcérale </w:t>
      </w:r>
      <w:r w:rsidR="00256A8D" w:rsidRPr="00C84DF6">
        <w:rPr>
          <w:rFonts w:ascii="Times New Roman" w:hAnsi="Times New Roman" w:cs="Times New Roman"/>
          <w:sz w:val="24"/>
          <w:szCs w:val="24"/>
        </w:rPr>
        <w:t>globale et 15</w:t>
      </w:r>
      <w:r w:rsidR="00385FE9" w:rsidRPr="00C84DF6">
        <w:rPr>
          <w:rFonts w:ascii="Times New Roman" w:hAnsi="Times New Roman" w:cs="Times New Roman"/>
          <w:sz w:val="24"/>
          <w:szCs w:val="24"/>
        </w:rPr>
        <w:t>8,9</w:t>
      </w:r>
      <w:r w:rsidR="00256A8D" w:rsidRPr="00C84DF6">
        <w:rPr>
          <w:rFonts w:ascii="Times New Roman" w:hAnsi="Times New Roman" w:cs="Times New Roman"/>
          <w:sz w:val="24"/>
          <w:szCs w:val="24"/>
        </w:rPr>
        <w:t>% pour les maisons d’arrêts</w:t>
      </w:r>
      <w:r w:rsidR="005C3C71">
        <w:rPr>
          <w:rStyle w:val="FootnoteReference"/>
          <w:rFonts w:ascii="Times New Roman" w:hAnsi="Times New Roman" w:cs="Times New Roman"/>
          <w:sz w:val="24"/>
          <w:szCs w:val="24"/>
        </w:rPr>
        <w:footnoteReference w:id="11"/>
      </w:r>
      <w:r w:rsidR="00256A8D" w:rsidRPr="00C84DF6">
        <w:rPr>
          <w:rFonts w:ascii="Times New Roman" w:hAnsi="Times New Roman" w:cs="Times New Roman"/>
          <w:sz w:val="24"/>
          <w:szCs w:val="24"/>
        </w:rPr>
        <w:t xml:space="preserve">. </w:t>
      </w:r>
      <w:r w:rsidR="0078461C" w:rsidRPr="00C84DF6">
        <w:rPr>
          <w:rFonts w:ascii="Times New Roman" w:hAnsi="Times New Roman" w:cs="Times New Roman"/>
          <w:sz w:val="24"/>
          <w:szCs w:val="24"/>
        </w:rPr>
        <w:t xml:space="preserve">La France a prouvé par le passé que de telles mesures </w:t>
      </w:r>
      <w:r w:rsidR="003012CA" w:rsidRPr="00C84DF6">
        <w:rPr>
          <w:rFonts w:ascii="Times New Roman" w:hAnsi="Times New Roman" w:cs="Times New Roman"/>
          <w:sz w:val="24"/>
          <w:szCs w:val="24"/>
        </w:rPr>
        <w:t xml:space="preserve">de réduction de la population pénale </w:t>
      </w:r>
      <w:r w:rsidR="0078461C" w:rsidRPr="00C84DF6">
        <w:rPr>
          <w:rFonts w:ascii="Times New Roman" w:hAnsi="Times New Roman" w:cs="Times New Roman"/>
          <w:sz w:val="24"/>
          <w:szCs w:val="24"/>
        </w:rPr>
        <w:t>étaient possibles</w:t>
      </w:r>
      <w:r w:rsidR="00256A8D" w:rsidRPr="00C84DF6">
        <w:rPr>
          <w:rFonts w:ascii="Times New Roman" w:hAnsi="Times New Roman" w:cs="Times New Roman"/>
          <w:sz w:val="24"/>
          <w:szCs w:val="24"/>
        </w:rPr>
        <w:t xml:space="preserve">, il faut dorénavant que le </w:t>
      </w:r>
      <w:r w:rsidR="002F51E2" w:rsidRPr="00C84DF6">
        <w:rPr>
          <w:rFonts w:ascii="Times New Roman" w:hAnsi="Times New Roman" w:cs="Times New Roman"/>
          <w:sz w:val="24"/>
          <w:szCs w:val="24"/>
        </w:rPr>
        <w:t>g</w:t>
      </w:r>
      <w:r w:rsidR="00256A8D" w:rsidRPr="00C84DF6">
        <w:rPr>
          <w:rFonts w:ascii="Times New Roman" w:hAnsi="Times New Roman" w:cs="Times New Roman"/>
          <w:sz w:val="24"/>
          <w:szCs w:val="24"/>
        </w:rPr>
        <w:t xml:space="preserve">ouvernement français démontre une volonté </w:t>
      </w:r>
      <w:r w:rsidR="005C3C71" w:rsidRPr="00C84DF6">
        <w:rPr>
          <w:rFonts w:ascii="Times New Roman" w:hAnsi="Times New Roman" w:cs="Times New Roman"/>
          <w:sz w:val="24"/>
          <w:szCs w:val="24"/>
        </w:rPr>
        <w:t>réelle de réduire l’occupation pénitentiaire, autrement qu’à coups de construction de nouvelles places de prison inefficaces</w:t>
      </w:r>
      <w:r w:rsidR="0078461C" w:rsidRPr="00C84DF6">
        <w:rPr>
          <w:rFonts w:ascii="Times New Roman" w:hAnsi="Times New Roman" w:cs="Times New Roman"/>
          <w:sz w:val="24"/>
          <w:szCs w:val="24"/>
        </w:rPr>
        <w:t xml:space="preserve">. </w:t>
      </w:r>
    </w:p>
    <w:p w14:paraId="387E5BAC" w14:textId="23B80F02" w:rsidR="002D023E" w:rsidRDefault="00EC1E80" w:rsidP="00B6391A">
      <w:pPr>
        <w:spacing w:after="1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724797F" wp14:editId="76C09F06">
                <wp:simplePos x="0" y="0"/>
                <wp:positionH relativeFrom="margin">
                  <wp:align>right</wp:align>
                </wp:positionH>
                <wp:positionV relativeFrom="paragraph">
                  <wp:posOffset>185420</wp:posOffset>
                </wp:positionV>
                <wp:extent cx="5915025" cy="1600200"/>
                <wp:effectExtent l="0" t="0" r="28575" b="19050"/>
                <wp:wrapNone/>
                <wp:docPr id="967301439" name="Rectangle 2"/>
                <wp:cNvGraphicFramePr/>
                <a:graphic xmlns:a="http://schemas.openxmlformats.org/drawingml/2006/main">
                  <a:graphicData uri="http://schemas.microsoft.com/office/word/2010/wordprocessingShape">
                    <wps:wsp>
                      <wps:cNvSpPr/>
                      <wps:spPr>
                        <a:xfrm>
                          <a:off x="0" y="0"/>
                          <a:ext cx="5915025" cy="160020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50BBC2" w14:textId="77777777" w:rsidR="00EC3FC4" w:rsidRPr="008B6400" w:rsidRDefault="00EC3FC4" w:rsidP="004929AF">
                            <w:p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 xml:space="preserve">L’ACAT-France et la FIACAT invitent le Comité à recommander à la France de : </w:t>
                            </w:r>
                          </w:p>
                          <w:p w14:paraId="096EE9C3" w14:textId="7B6194D7" w:rsidR="00EC3FC4" w:rsidRPr="008B6400" w:rsidRDefault="00EC3FC4" w:rsidP="004929AF">
                            <w:pPr>
                              <w:pStyle w:val="ListParagraph"/>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Prendre acte de l’arrêt de la CEDH JMB c. France de janvier 2020</w:t>
                            </w:r>
                            <w:r w:rsidR="00F456CE">
                              <w:rPr>
                                <w:rFonts w:ascii="Times New Roman" w:hAnsi="Times New Roman" w:cs="Times New Roman"/>
                                <w:b/>
                                <w:bCs/>
                                <w:color w:val="000000" w:themeColor="text1"/>
                                <w:sz w:val="24"/>
                                <w:szCs w:val="24"/>
                              </w:rPr>
                              <w:t> ;</w:t>
                            </w:r>
                            <w:r w:rsidRPr="008B6400">
                              <w:rPr>
                                <w:rFonts w:ascii="Times New Roman" w:hAnsi="Times New Roman" w:cs="Times New Roman"/>
                                <w:b/>
                                <w:bCs/>
                                <w:color w:val="000000" w:themeColor="text1"/>
                                <w:sz w:val="24"/>
                                <w:szCs w:val="24"/>
                              </w:rPr>
                              <w:t xml:space="preserve"> </w:t>
                            </w:r>
                          </w:p>
                          <w:p w14:paraId="6CD041FA" w14:textId="275F2995" w:rsidR="00EC3FC4" w:rsidRPr="008B6400" w:rsidRDefault="00EC3FC4" w:rsidP="004929AF">
                            <w:pPr>
                              <w:pStyle w:val="ListParagraph"/>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Prendre toutes les mesures nécessaires pour mettre un terme à la surpopulation carcérale ;</w:t>
                            </w:r>
                          </w:p>
                          <w:p w14:paraId="7A948936" w14:textId="50CE151D" w:rsidR="00EC3FC4" w:rsidRDefault="00EC3FC4" w:rsidP="004929AF">
                            <w:pPr>
                              <w:pStyle w:val="ListParagraph"/>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Favoriser les aménagements de peine et peines alternatives à la détention</w:t>
                            </w:r>
                            <w:r w:rsidR="00C61D13">
                              <w:rPr>
                                <w:rFonts w:ascii="Times New Roman" w:hAnsi="Times New Roman" w:cs="Times New Roman"/>
                                <w:b/>
                                <w:bCs/>
                                <w:color w:val="000000" w:themeColor="text1"/>
                                <w:sz w:val="24"/>
                                <w:szCs w:val="24"/>
                              </w:rPr>
                              <w:t> ;</w:t>
                            </w:r>
                          </w:p>
                          <w:p w14:paraId="1F310AC2" w14:textId="77777777" w:rsidR="00C61D13" w:rsidRDefault="00C61D13" w:rsidP="00C61D13">
                            <w:pPr>
                              <w:pStyle w:val="ListParagraph"/>
                              <w:numPr>
                                <w:ilvl w:val="0"/>
                                <w:numId w:val="28"/>
                              </w:numPr>
                              <w:jc w:val="both"/>
                              <w:rPr>
                                <w:rFonts w:ascii="Times New Roman" w:hAnsi="Times New Roman" w:cs="Times New Roman"/>
                                <w:b/>
                                <w:bCs/>
                                <w:color w:val="000000" w:themeColor="text1"/>
                                <w:sz w:val="24"/>
                                <w:szCs w:val="24"/>
                              </w:rPr>
                            </w:pPr>
                            <w:r w:rsidRPr="00344579">
                              <w:rPr>
                                <w:rFonts w:ascii="Times New Roman" w:hAnsi="Times New Roman" w:cs="Times New Roman"/>
                                <w:b/>
                                <w:bCs/>
                                <w:color w:val="000000" w:themeColor="text1"/>
                                <w:sz w:val="24"/>
                                <w:szCs w:val="24"/>
                              </w:rPr>
                              <w:t>Mettre en place un système de régulation carcérale permettant de ne plus dépasser les 100% d’occupation pénitentiaire.</w:t>
                            </w:r>
                          </w:p>
                          <w:p w14:paraId="5190DE57" w14:textId="77777777" w:rsidR="009901A5" w:rsidRDefault="009901A5" w:rsidP="009901A5">
                            <w:pPr>
                              <w:jc w:val="both"/>
                              <w:rPr>
                                <w:rFonts w:ascii="Times New Roman" w:hAnsi="Times New Roman" w:cs="Times New Roman"/>
                                <w:b/>
                                <w:bCs/>
                                <w:color w:val="000000" w:themeColor="text1"/>
                                <w:sz w:val="24"/>
                                <w:szCs w:val="24"/>
                              </w:rPr>
                            </w:pPr>
                          </w:p>
                          <w:p w14:paraId="781E22FA" w14:textId="77777777" w:rsidR="009901A5" w:rsidRPr="009901A5" w:rsidRDefault="009901A5" w:rsidP="009901A5">
                            <w:pPr>
                              <w:jc w:val="both"/>
                              <w:rPr>
                                <w:rFonts w:ascii="Times New Roman" w:hAnsi="Times New Roman" w:cs="Times New Roman"/>
                                <w:b/>
                                <w:bCs/>
                                <w:color w:val="000000" w:themeColor="text1"/>
                                <w:sz w:val="24"/>
                                <w:szCs w:val="24"/>
                              </w:rPr>
                            </w:pPr>
                          </w:p>
                          <w:p w14:paraId="4299BE94" w14:textId="77777777" w:rsidR="00C61D13" w:rsidRPr="008B6400" w:rsidRDefault="00C61D13" w:rsidP="00C61D13">
                            <w:pPr>
                              <w:pStyle w:val="ListParagraph"/>
                              <w:jc w:val="both"/>
                              <w:rPr>
                                <w:rFonts w:ascii="Times New Roman" w:hAnsi="Times New Roman" w:cs="Times New Roman"/>
                                <w:b/>
                                <w:bCs/>
                                <w:color w:val="000000" w:themeColor="text1"/>
                                <w:sz w:val="24"/>
                                <w:szCs w:val="24"/>
                              </w:rPr>
                            </w:pPr>
                          </w:p>
                          <w:p w14:paraId="2F60D5DA" w14:textId="77777777" w:rsidR="00EC3FC4" w:rsidRPr="008B6400" w:rsidRDefault="00EC3FC4" w:rsidP="004929AF">
                            <w:pPr>
                              <w:jc w:val="both"/>
                              <w:rPr>
                                <w:rFonts w:ascii="Times New Roman" w:hAnsi="Times New Roman" w:cs="Times New Roman"/>
                                <w:b/>
                                <w:bCs/>
                                <w:sz w:val="24"/>
                                <w:szCs w:val="24"/>
                              </w:rPr>
                            </w:pPr>
                          </w:p>
                          <w:p w14:paraId="2F76C3A7" w14:textId="77777777" w:rsidR="00EC1E80" w:rsidRDefault="00EC1E80" w:rsidP="00EC1E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724797F" id="Rectangle 2" o:spid="_x0000_s1026" style="position:absolute;left:0;text-align:left;margin-left:414.55pt;margin-top:14.6pt;width:465.75pt;height:12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" fillcolor="#dceaf7 [351]" strokecolor="#030e13 [484]" strokeweight="1pt">
                <v:textbox>
                  <w:txbxContent>
                    <w:p w14:paraId="0550BBC2" w14:textId="77777777" w:rsidR="00EC3FC4" w:rsidRPr="008B6400" w:rsidRDefault="00EC3FC4" w:rsidP="004929AF">
                      <w:p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 xml:space="preserve">L’ACAT-France et la FIACAT invitent le Comité à recommander à la France de : </w:t>
                      </w:r>
                    </w:p>
                    <w:p w14:paraId="096EE9C3" w14:textId="7B6194D7" w:rsidR="00EC3FC4" w:rsidRPr="008B6400" w:rsidRDefault="00EC3FC4" w:rsidP="004929AF">
                      <w:pPr>
                        <w:pStyle w:val="Paragraphedeliste"/>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Prendre acte de l’arrêt de la CEDH JMB c. France de janvier 2020</w:t>
                      </w:r>
                      <w:r w:rsidR="00F456CE">
                        <w:rPr>
                          <w:rFonts w:ascii="Times New Roman" w:hAnsi="Times New Roman" w:cs="Times New Roman"/>
                          <w:b/>
                          <w:bCs/>
                          <w:color w:val="000000" w:themeColor="text1"/>
                          <w:sz w:val="24"/>
                          <w:szCs w:val="24"/>
                        </w:rPr>
                        <w:t> ;</w:t>
                      </w:r>
                      <w:r w:rsidRPr="008B6400">
                        <w:rPr>
                          <w:rFonts w:ascii="Times New Roman" w:hAnsi="Times New Roman" w:cs="Times New Roman"/>
                          <w:b/>
                          <w:bCs/>
                          <w:color w:val="000000" w:themeColor="text1"/>
                          <w:sz w:val="24"/>
                          <w:szCs w:val="24"/>
                        </w:rPr>
                        <w:t xml:space="preserve"> </w:t>
                      </w:r>
                    </w:p>
                    <w:p w14:paraId="6CD041FA" w14:textId="275F2995" w:rsidR="00EC3FC4" w:rsidRPr="008B6400" w:rsidRDefault="00EC3FC4" w:rsidP="004929AF">
                      <w:pPr>
                        <w:pStyle w:val="Paragraphedeliste"/>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Prendre toutes les mesures nécessaires pour mettre un terme à la surpopulation carcérale ;</w:t>
                      </w:r>
                    </w:p>
                    <w:p w14:paraId="7A948936" w14:textId="50CE151D" w:rsidR="00EC3FC4" w:rsidRDefault="00EC3FC4" w:rsidP="004929AF">
                      <w:pPr>
                        <w:pStyle w:val="Paragraphedeliste"/>
                        <w:numPr>
                          <w:ilvl w:val="0"/>
                          <w:numId w:val="28"/>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Favoriser les aménagements de peine et peines alternatives à la détention</w:t>
                      </w:r>
                      <w:r w:rsidR="00C61D13">
                        <w:rPr>
                          <w:rFonts w:ascii="Times New Roman" w:hAnsi="Times New Roman" w:cs="Times New Roman"/>
                          <w:b/>
                          <w:bCs/>
                          <w:color w:val="000000" w:themeColor="text1"/>
                          <w:sz w:val="24"/>
                          <w:szCs w:val="24"/>
                        </w:rPr>
                        <w:t> ;</w:t>
                      </w:r>
                    </w:p>
                    <w:p w14:paraId="1F310AC2" w14:textId="77777777" w:rsidR="00C61D13" w:rsidRDefault="00C61D13" w:rsidP="00C61D13">
                      <w:pPr>
                        <w:pStyle w:val="Paragraphedeliste"/>
                        <w:numPr>
                          <w:ilvl w:val="0"/>
                          <w:numId w:val="28"/>
                        </w:numPr>
                        <w:jc w:val="both"/>
                        <w:rPr>
                          <w:rFonts w:ascii="Times New Roman" w:hAnsi="Times New Roman" w:cs="Times New Roman"/>
                          <w:b/>
                          <w:bCs/>
                          <w:color w:val="000000" w:themeColor="text1"/>
                          <w:sz w:val="24"/>
                          <w:szCs w:val="24"/>
                        </w:rPr>
                      </w:pPr>
                      <w:r w:rsidRPr="00344579">
                        <w:rPr>
                          <w:rFonts w:ascii="Times New Roman" w:hAnsi="Times New Roman" w:cs="Times New Roman"/>
                          <w:b/>
                          <w:bCs/>
                          <w:color w:val="000000" w:themeColor="text1"/>
                          <w:sz w:val="24"/>
                          <w:szCs w:val="24"/>
                        </w:rPr>
                        <w:t>Mettre en place un système de régulation carcérale permettant de ne plus dépasser les 100% d’occupation pénitentiaire.</w:t>
                      </w:r>
                    </w:p>
                    <w:p w14:paraId="5190DE57" w14:textId="77777777" w:rsidR="009901A5" w:rsidRDefault="009901A5" w:rsidP="009901A5">
                      <w:pPr>
                        <w:jc w:val="both"/>
                        <w:rPr>
                          <w:rFonts w:ascii="Times New Roman" w:hAnsi="Times New Roman" w:cs="Times New Roman"/>
                          <w:b/>
                          <w:bCs/>
                          <w:color w:val="000000" w:themeColor="text1"/>
                          <w:sz w:val="24"/>
                          <w:szCs w:val="24"/>
                        </w:rPr>
                      </w:pPr>
                    </w:p>
                    <w:p w14:paraId="781E22FA" w14:textId="77777777" w:rsidR="009901A5" w:rsidRPr="009901A5" w:rsidRDefault="009901A5" w:rsidP="009901A5">
                      <w:pPr>
                        <w:jc w:val="both"/>
                        <w:rPr>
                          <w:rFonts w:ascii="Times New Roman" w:hAnsi="Times New Roman" w:cs="Times New Roman"/>
                          <w:b/>
                          <w:bCs/>
                          <w:color w:val="000000" w:themeColor="text1"/>
                          <w:sz w:val="24"/>
                          <w:szCs w:val="24"/>
                        </w:rPr>
                      </w:pPr>
                    </w:p>
                    <w:p w14:paraId="4299BE94" w14:textId="77777777" w:rsidR="00C61D13" w:rsidRPr="008B6400" w:rsidRDefault="00C61D13" w:rsidP="00C61D13">
                      <w:pPr>
                        <w:pStyle w:val="Paragraphedeliste"/>
                        <w:jc w:val="both"/>
                        <w:rPr>
                          <w:rFonts w:ascii="Times New Roman" w:hAnsi="Times New Roman" w:cs="Times New Roman"/>
                          <w:b/>
                          <w:bCs/>
                          <w:color w:val="000000" w:themeColor="text1"/>
                          <w:sz w:val="24"/>
                          <w:szCs w:val="24"/>
                        </w:rPr>
                      </w:pPr>
                    </w:p>
                    <w:p w14:paraId="2F60D5DA" w14:textId="77777777" w:rsidR="00EC3FC4" w:rsidRPr="008B6400" w:rsidRDefault="00EC3FC4" w:rsidP="004929AF">
                      <w:pPr>
                        <w:jc w:val="both"/>
                        <w:rPr>
                          <w:rFonts w:ascii="Times New Roman" w:hAnsi="Times New Roman" w:cs="Times New Roman"/>
                          <w:b/>
                          <w:bCs/>
                          <w:sz w:val="24"/>
                          <w:szCs w:val="24"/>
                        </w:rPr>
                      </w:pPr>
                    </w:p>
                    <w:p w14:paraId="2F76C3A7" w14:textId="77777777" w:rsidR="00EC1E80" w:rsidRDefault="00EC1E80" w:rsidP="00EC1E80">
                      <w:pPr>
                        <w:jc w:val="center"/>
                      </w:pPr>
                    </w:p>
                  </w:txbxContent>
                </v:textbox>
                <w10:wrap anchorx="margin"/>
              </v:rect>
            </w:pict>
          </mc:Fallback>
        </mc:AlternateContent>
      </w:r>
    </w:p>
    <w:p w14:paraId="2501A9F6" w14:textId="77777777" w:rsidR="002D023E" w:rsidRDefault="002D023E" w:rsidP="00B6391A">
      <w:pPr>
        <w:spacing w:after="120"/>
        <w:jc w:val="both"/>
        <w:rPr>
          <w:rFonts w:ascii="Times New Roman" w:hAnsi="Times New Roman" w:cs="Times New Roman"/>
          <w:sz w:val="24"/>
          <w:szCs w:val="24"/>
        </w:rPr>
      </w:pPr>
    </w:p>
    <w:p w14:paraId="0C1BE581" w14:textId="77777777" w:rsidR="00EC1E80" w:rsidRDefault="00EC1E80" w:rsidP="00B6391A">
      <w:pPr>
        <w:spacing w:after="120"/>
        <w:jc w:val="both"/>
        <w:rPr>
          <w:rFonts w:ascii="Times New Roman" w:hAnsi="Times New Roman" w:cs="Times New Roman"/>
          <w:sz w:val="24"/>
          <w:szCs w:val="24"/>
        </w:rPr>
      </w:pPr>
    </w:p>
    <w:p w14:paraId="3851AA51" w14:textId="77777777" w:rsidR="00EC1E80" w:rsidRDefault="00EC1E80" w:rsidP="00B6391A">
      <w:pPr>
        <w:spacing w:after="120"/>
        <w:jc w:val="both"/>
        <w:rPr>
          <w:rFonts w:ascii="Times New Roman" w:hAnsi="Times New Roman" w:cs="Times New Roman"/>
          <w:sz w:val="24"/>
          <w:szCs w:val="24"/>
        </w:rPr>
      </w:pPr>
    </w:p>
    <w:p w14:paraId="7ECFC299" w14:textId="77777777" w:rsidR="00EC1E80" w:rsidRDefault="00EC1E80" w:rsidP="00B6391A">
      <w:pPr>
        <w:spacing w:after="120"/>
        <w:jc w:val="both"/>
        <w:rPr>
          <w:rFonts w:ascii="Times New Roman" w:hAnsi="Times New Roman" w:cs="Times New Roman"/>
          <w:sz w:val="24"/>
          <w:szCs w:val="24"/>
        </w:rPr>
      </w:pPr>
    </w:p>
    <w:p w14:paraId="0F2D1FCF" w14:textId="77777777" w:rsidR="00B704C1" w:rsidRDefault="00B704C1" w:rsidP="00B704C1">
      <w:pPr>
        <w:pStyle w:val="Heading2"/>
        <w:spacing w:after="120"/>
        <w:ind w:left="720"/>
      </w:pPr>
    </w:p>
    <w:p w14:paraId="5442AA8E" w14:textId="77777777" w:rsidR="00F90AF0" w:rsidRDefault="00F90AF0" w:rsidP="00F90AF0">
      <w:pPr>
        <w:pStyle w:val="Heading2"/>
        <w:spacing w:after="120"/>
      </w:pPr>
    </w:p>
    <w:p w14:paraId="54760A92" w14:textId="77777777" w:rsidR="00AE2F75" w:rsidRPr="00AE2F75" w:rsidRDefault="00AE2F75" w:rsidP="00AE2F75"/>
    <w:p w14:paraId="1ABE0D76" w14:textId="67A2311A" w:rsidR="00C84DF6" w:rsidRPr="009901A5" w:rsidRDefault="00ED4059" w:rsidP="009901A5">
      <w:pPr>
        <w:pStyle w:val="Heading2"/>
        <w:numPr>
          <w:ilvl w:val="0"/>
          <w:numId w:val="16"/>
        </w:numPr>
        <w:spacing w:after="120"/>
      </w:pPr>
      <w:bookmarkStart w:id="7" w:name="_Toc192599330"/>
      <w:r>
        <w:t>Conditions matérielles de détention</w:t>
      </w:r>
      <w:bookmarkEnd w:id="7"/>
    </w:p>
    <w:p w14:paraId="3C71F271" w14:textId="414B1CBA" w:rsidR="00345D31" w:rsidRDefault="00345D31" w:rsidP="00C84DF6">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i/>
          <w:iCs/>
          <w:sz w:val="24"/>
          <w:szCs w:val="24"/>
        </w:rPr>
        <w:t xml:space="preserve">« Le Comité déplore les conditions matérielles </w:t>
      </w:r>
      <w:r w:rsidR="005156B9" w:rsidRPr="00C84DF6">
        <w:rPr>
          <w:rFonts w:ascii="Times New Roman" w:hAnsi="Times New Roman" w:cs="Times New Roman"/>
          <w:i/>
          <w:iCs/>
          <w:sz w:val="24"/>
          <w:szCs w:val="24"/>
        </w:rPr>
        <w:t>inadéquates de détention qui prévalent dans certains établissements, notamment la vétusté et l’absence d’hygiène et de salubrité »</w:t>
      </w:r>
      <w:r w:rsidR="005156B9" w:rsidRPr="00F01336">
        <w:rPr>
          <w:rStyle w:val="FootnoteReference"/>
          <w:rFonts w:ascii="Times New Roman" w:hAnsi="Times New Roman" w:cs="Times New Roman"/>
          <w:i/>
          <w:iCs/>
          <w:sz w:val="24"/>
          <w:szCs w:val="24"/>
        </w:rPr>
        <w:footnoteReference w:id="12"/>
      </w:r>
      <w:r w:rsidR="005156B9" w:rsidRPr="00C84DF6">
        <w:rPr>
          <w:rFonts w:ascii="Times New Roman" w:hAnsi="Times New Roman" w:cs="Times New Roman"/>
          <w:i/>
          <w:iCs/>
          <w:sz w:val="24"/>
          <w:szCs w:val="24"/>
        </w:rPr>
        <w:t xml:space="preserve">. </w:t>
      </w:r>
    </w:p>
    <w:p w14:paraId="0DE481AE" w14:textId="77777777" w:rsidR="00C84DF6" w:rsidRPr="00C84DF6" w:rsidRDefault="00C84DF6" w:rsidP="00C84DF6">
      <w:pPr>
        <w:pStyle w:val="ListParagraph"/>
        <w:spacing w:after="120"/>
        <w:ind w:left="0"/>
        <w:jc w:val="both"/>
        <w:rPr>
          <w:rFonts w:ascii="Times New Roman" w:hAnsi="Times New Roman" w:cs="Times New Roman"/>
          <w:i/>
          <w:iCs/>
          <w:sz w:val="24"/>
          <w:szCs w:val="24"/>
        </w:rPr>
      </w:pPr>
    </w:p>
    <w:p w14:paraId="4820689F" w14:textId="77777777" w:rsidR="00AE2F75" w:rsidRDefault="00AE2F75" w:rsidP="00AE2F75">
      <w:pPr>
        <w:pStyle w:val="ListParagraph"/>
        <w:spacing w:after="120"/>
        <w:ind w:left="0"/>
        <w:jc w:val="both"/>
        <w:rPr>
          <w:rFonts w:ascii="Times New Roman" w:hAnsi="Times New Roman" w:cs="Times New Roman"/>
          <w:sz w:val="24"/>
          <w:szCs w:val="24"/>
        </w:rPr>
      </w:pPr>
    </w:p>
    <w:p w14:paraId="1E5A7C92" w14:textId="77777777" w:rsidR="00AE2F75" w:rsidRPr="00AE2F75" w:rsidRDefault="00AE2F75" w:rsidP="00AE2F75">
      <w:pPr>
        <w:pStyle w:val="ListParagraph"/>
        <w:rPr>
          <w:rFonts w:ascii="Times New Roman" w:hAnsi="Times New Roman" w:cs="Times New Roman"/>
          <w:sz w:val="24"/>
          <w:szCs w:val="24"/>
        </w:rPr>
      </w:pPr>
    </w:p>
    <w:p w14:paraId="3A722579" w14:textId="77777777" w:rsidR="00AE2F75" w:rsidRDefault="00AE2F75" w:rsidP="00AE2F75">
      <w:pPr>
        <w:pStyle w:val="ListParagraph"/>
        <w:spacing w:after="120"/>
        <w:ind w:left="0"/>
        <w:jc w:val="both"/>
        <w:rPr>
          <w:rFonts w:ascii="Times New Roman" w:hAnsi="Times New Roman" w:cs="Times New Roman"/>
          <w:sz w:val="24"/>
          <w:szCs w:val="24"/>
        </w:rPr>
      </w:pPr>
    </w:p>
    <w:p w14:paraId="120B64DF" w14:textId="7D582AE2" w:rsidR="00C84DF6" w:rsidRDefault="00FF2AEC"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L’ACAT-</w:t>
      </w:r>
      <w:r w:rsidR="00345D31" w:rsidRPr="00C84DF6">
        <w:rPr>
          <w:rFonts w:ascii="Times New Roman" w:hAnsi="Times New Roman" w:cs="Times New Roman"/>
          <w:sz w:val="24"/>
          <w:szCs w:val="24"/>
        </w:rPr>
        <w:t>France, tout comme le Comité,</w:t>
      </w:r>
      <w:r w:rsidRPr="00C84DF6">
        <w:rPr>
          <w:rFonts w:ascii="Times New Roman" w:hAnsi="Times New Roman" w:cs="Times New Roman"/>
          <w:sz w:val="24"/>
          <w:szCs w:val="24"/>
        </w:rPr>
        <w:t xml:space="preserve"> déplore l’état de vétusté de certaines prisons anciennes</w:t>
      </w:r>
      <w:r w:rsidR="00A043EA" w:rsidRPr="00C84DF6">
        <w:rPr>
          <w:rFonts w:ascii="Times New Roman" w:hAnsi="Times New Roman" w:cs="Times New Roman"/>
          <w:sz w:val="24"/>
          <w:szCs w:val="24"/>
        </w:rPr>
        <w:t xml:space="preserve"> et la vitesse à laquelle les nouveaux établissements se dégradent. </w:t>
      </w:r>
      <w:r w:rsidR="000D0C68" w:rsidRPr="00C84DF6">
        <w:rPr>
          <w:rFonts w:ascii="Times New Roman" w:hAnsi="Times New Roman" w:cs="Times New Roman"/>
          <w:sz w:val="24"/>
          <w:szCs w:val="24"/>
        </w:rPr>
        <w:t xml:space="preserve">En effet, la surpopulation carcérale déprécie rapidement la qualité des nouveaux </w:t>
      </w:r>
      <w:r w:rsidR="00E96F77" w:rsidRPr="00C84DF6">
        <w:rPr>
          <w:rFonts w:ascii="Times New Roman" w:hAnsi="Times New Roman" w:cs="Times New Roman"/>
          <w:sz w:val="24"/>
          <w:szCs w:val="24"/>
        </w:rPr>
        <w:t xml:space="preserve">bâtiments de détention. Les conditions de détention peuvent donc y être indignes quand bien même les équipements sont neufs. </w:t>
      </w:r>
      <w:r w:rsidR="00621F6E" w:rsidRPr="00C84DF6">
        <w:rPr>
          <w:rFonts w:ascii="Times New Roman" w:hAnsi="Times New Roman" w:cs="Times New Roman"/>
          <w:sz w:val="24"/>
          <w:szCs w:val="24"/>
        </w:rPr>
        <w:t>Au 1</w:t>
      </w:r>
      <w:r w:rsidR="00621F6E" w:rsidRPr="00C84DF6">
        <w:rPr>
          <w:rFonts w:ascii="Times New Roman" w:hAnsi="Times New Roman" w:cs="Times New Roman"/>
          <w:sz w:val="24"/>
          <w:szCs w:val="24"/>
          <w:vertAlign w:val="superscript"/>
        </w:rPr>
        <w:t>er</w:t>
      </w:r>
      <w:r w:rsidR="00621F6E" w:rsidRPr="00C84DF6">
        <w:rPr>
          <w:rFonts w:ascii="Times New Roman" w:hAnsi="Times New Roman" w:cs="Times New Roman"/>
          <w:sz w:val="24"/>
          <w:szCs w:val="24"/>
        </w:rPr>
        <w:t xml:space="preserve"> </w:t>
      </w:r>
      <w:r w:rsidR="002F51E2" w:rsidRPr="00C84DF6">
        <w:rPr>
          <w:rFonts w:ascii="Times New Roman" w:hAnsi="Times New Roman" w:cs="Times New Roman"/>
          <w:sz w:val="24"/>
          <w:szCs w:val="24"/>
        </w:rPr>
        <w:t>février</w:t>
      </w:r>
      <w:r w:rsidR="00621F6E" w:rsidRPr="00C84DF6">
        <w:rPr>
          <w:rFonts w:ascii="Times New Roman" w:hAnsi="Times New Roman" w:cs="Times New Roman"/>
          <w:sz w:val="24"/>
          <w:szCs w:val="24"/>
        </w:rPr>
        <w:t xml:space="preserve"> 2025, </w:t>
      </w:r>
      <w:r w:rsidR="00574207" w:rsidRPr="00C84DF6">
        <w:rPr>
          <w:rFonts w:ascii="Times New Roman" w:hAnsi="Times New Roman" w:cs="Times New Roman"/>
          <w:sz w:val="24"/>
          <w:szCs w:val="24"/>
        </w:rPr>
        <w:t>4 </w:t>
      </w:r>
      <w:r w:rsidR="00021B46" w:rsidRPr="00C84DF6">
        <w:rPr>
          <w:rFonts w:ascii="Times New Roman" w:hAnsi="Times New Roman" w:cs="Times New Roman"/>
          <w:sz w:val="24"/>
          <w:szCs w:val="24"/>
        </w:rPr>
        <w:t>490</w:t>
      </w:r>
      <w:r w:rsidR="00574207" w:rsidRPr="00C84DF6">
        <w:rPr>
          <w:rFonts w:ascii="Times New Roman" w:hAnsi="Times New Roman" w:cs="Times New Roman"/>
          <w:sz w:val="24"/>
          <w:szCs w:val="24"/>
        </w:rPr>
        <w:t xml:space="preserve"> détenus dormaient sur des matelas au sol et seulement </w:t>
      </w:r>
      <w:r w:rsidR="00CC483B" w:rsidRPr="00C84DF6">
        <w:rPr>
          <w:rFonts w:ascii="Times New Roman" w:hAnsi="Times New Roman" w:cs="Times New Roman"/>
          <w:sz w:val="24"/>
          <w:szCs w:val="24"/>
        </w:rPr>
        <w:t>37,</w:t>
      </w:r>
      <w:r w:rsidR="00021B46" w:rsidRPr="00C84DF6">
        <w:rPr>
          <w:rFonts w:ascii="Times New Roman" w:hAnsi="Times New Roman" w:cs="Times New Roman"/>
          <w:sz w:val="24"/>
          <w:szCs w:val="24"/>
        </w:rPr>
        <w:t>1</w:t>
      </w:r>
      <w:r w:rsidR="00CC483B" w:rsidRPr="00C84DF6">
        <w:rPr>
          <w:rFonts w:ascii="Times New Roman" w:hAnsi="Times New Roman" w:cs="Times New Roman"/>
          <w:sz w:val="24"/>
          <w:szCs w:val="24"/>
        </w:rPr>
        <w:t xml:space="preserve">% </w:t>
      </w:r>
      <w:r w:rsidR="0062636B" w:rsidRPr="00C84DF6">
        <w:rPr>
          <w:rFonts w:ascii="Times New Roman" w:hAnsi="Times New Roman" w:cs="Times New Roman"/>
          <w:sz w:val="24"/>
          <w:szCs w:val="24"/>
        </w:rPr>
        <w:t>des détenus sont dans une cellule individuelle</w:t>
      </w:r>
      <w:r w:rsidR="0062636B">
        <w:rPr>
          <w:rStyle w:val="FootnoteReference"/>
          <w:rFonts w:ascii="Times New Roman" w:hAnsi="Times New Roman" w:cs="Times New Roman"/>
          <w:sz w:val="24"/>
          <w:szCs w:val="24"/>
        </w:rPr>
        <w:footnoteReference w:id="13"/>
      </w:r>
      <w:r w:rsidR="001473DF" w:rsidRPr="00C84DF6">
        <w:rPr>
          <w:rFonts w:ascii="Times New Roman" w:hAnsi="Times New Roman" w:cs="Times New Roman"/>
          <w:sz w:val="24"/>
          <w:szCs w:val="24"/>
        </w:rPr>
        <w:t xml:space="preserve"> alors même que le principe du placement en cellule individuelle est inscrit dans la loi depuis </w:t>
      </w:r>
      <w:r w:rsidR="00C13EDA" w:rsidRPr="00C84DF6">
        <w:rPr>
          <w:rFonts w:ascii="Times New Roman" w:hAnsi="Times New Roman" w:cs="Times New Roman"/>
          <w:sz w:val="24"/>
          <w:szCs w:val="24"/>
        </w:rPr>
        <w:t>1875 et a été réaffirmé dans la loi pénitentiaire de 2009</w:t>
      </w:r>
      <w:r w:rsidR="0062636B" w:rsidRPr="00C84DF6">
        <w:rPr>
          <w:rFonts w:ascii="Times New Roman" w:hAnsi="Times New Roman" w:cs="Times New Roman"/>
          <w:sz w:val="24"/>
          <w:szCs w:val="24"/>
        </w:rPr>
        <w:t>.</w:t>
      </w:r>
    </w:p>
    <w:p w14:paraId="5A297A21" w14:textId="77777777" w:rsidR="00C84DF6" w:rsidRPr="00C84DF6" w:rsidRDefault="00C84DF6" w:rsidP="00C84DF6">
      <w:pPr>
        <w:pStyle w:val="ListParagraph"/>
        <w:rPr>
          <w:rFonts w:ascii="Times New Roman" w:hAnsi="Times New Roman" w:cs="Times New Roman"/>
          <w:sz w:val="24"/>
          <w:szCs w:val="24"/>
        </w:rPr>
      </w:pPr>
    </w:p>
    <w:p w14:paraId="65FFD0B8" w14:textId="77777777" w:rsidR="00C84DF6" w:rsidRPr="00C84DF6" w:rsidRDefault="00196129"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L’objectif </w:t>
      </w:r>
      <w:r w:rsidR="00CB1222" w:rsidRPr="00C84DF6">
        <w:rPr>
          <w:rFonts w:ascii="Times New Roman" w:hAnsi="Times New Roman" w:cs="Times New Roman"/>
          <w:sz w:val="24"/>
          <w:szCs w:val="24"/>
        </w:rPr>
        <w:t xml:space="preserve">ambitieux de 80% d’encellulement individuel </w:t>
      </w:r>
      <w:r w:rsidR="00D0633E" w:rsidRPr="00C84DF6">
        <w:rPr>
          <w:rFonts w:ascii="Times New Roman" w:hAnsi="Times New Roman" w:cs="Times New Roman"/>
          <w:sz w:val="24"/>
          <w:szCs w:val="24"/>
        </w:rPr>
        <w:t xml:space="preserve">des détenus dans les maisons d’arrêt affirmé dans le rapport français au Comité contre la torture est ainsi loin d’être rempli. </w:t>
      </w:r>
      <w:r w:rsidR="005D28EE" w:rsidRPr="00C84DF6">
        <w:rPr>
          <w:rFonts w:ascii="Times New Roman" w:eastAsia="Arial" w:hAnsi="Times New Roman" w:cs="Times New Roman"/>
          <w:sz w:val="24"/>
          <w:szCs w:val="24"/>
        </w:rPr>
        <w:t>Par exemple, le nouveau centre pénitentiaire de Bordeaux-Gradignan livré au printemps 2024, a un taux d’occupation de 203% et déjà 55 cellules à trois détenus alors que la limite recommandée est de deux détenus</w:t>
      </w:r>
      <w:r w:rsidR="005D28EE" w:rsidRPr="005D28EE">
        <w:rPr>
          <w:rFonts w:eastAsia="Arial"/>
          <w:vertAlign w:val="superscript"/>
        </w:rPr>
        <w:footnoteReference w:id="14"/>
      </w:r>
      <w:r w:rsidR="005D28EE" w:rsidRPr="00C84DF6">
        <w:rPr>
          <w:rFonts w:ascii="Times New Roman" w:eastAsia="Arial" w:hAnsi="Times New Roman" w:cs="Times New Roman"/>
          <w:sz w:val="24"/>
          <w:szCs w:val="24"/>
        </w:rPr>
        <w:t>.</w:t>
      </w:r>
    </w:p>
    <w:p w14:paraId="21F709DF" w14:textId="77777777" w:rsidR="00C84DF6" w:rsidRPr="00C84DF6" w:rsidRDefault="00C84DF6" w:rsidP="00C84DF6">
      <w:pPr>
        <w:pStyle w:val="ListParagraph"/>
        <w:rPr>
          <w:rFonts w:ascii="Times New Roman" w:hAnsi="Times New Roman" w:cs="Times New Roman"/>
          <w:sz w:val="24"/>
          <w:szCs w:val="24"/>
        </w:rPr>
      </w:pPr>
    </w:p>
    <w:p w14:paraId="660388C6" w14:textId="77777777" w:rsidR="00C84DF6" w:rsidRPr="00C84DF6" w:rsidRDefault="002E0038" w:rsidP="306731B5">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Dans son rapport d’activité, l</w:t>
      </w:r>
      <w:r w:rsidR="00C542AF" w:rsidRPr="00C84DF6">
        <w:rPr>
          <w:rFonts w:ascii="Times New Roman" w:hAnsi="Times New Roman" w:cs="Times New Roman"/>
          <w:sz w:val="24"/>
          <w:szCs w:val="24"/>
        </w:rPr>
        <w:t>e</w:t>
      </w:r>
      <w:r w:rsidRPr="00C84DF6">
        <w:rPr>
          <w:rFonts w:ascii="Times New Roman" w:hAnsi="Times New Roman" w:cs="Times New Roman"/>
          <w:sz w:val="24"/>
          <w:szCs w:val="24"/>
        </w:rPr>
        <w:t xml:space="preserve"> Contrôleur général des lieux de privation de liberté (CGLPL)</w:t>
      </w:r>
      <w:r w:rsidR="00AE7FD5" w:rsidRPr="00C84DF6">
        <w:rPr>
          <w:rFonts w:ascii="Times New Roman" w:hAnsi="Times New Roman" w:cs="Times New Roman"/>
          <w:sz w:val="24"/>
          <w:szCs w:val="24"/>
        </w:rPr>
        <w:t xml:space="preserve"> constatait </w:t>
      </w:r>
      <w:r w:rsidR="006102D1" w:rsidRPr="00C84DF6">
        <w:rPr>
          <w:rFonts w:ascii="Times New Roman" w:hAnsi="Times New Roman" w:cs="Times New Roman"/>
          <w:sz w:val="24"/>
          <w:szCs w:val="24"/>
        </w:rPr>
        <w:t xml:space="preserve">ainsi </w:t>
      </w:r>
      <w:r w:rsidR="00AE7FD5" w:rsidRPr="00C84DF6">
        <w:rPr>
          <w:rFonts w:ascii="Times New Roman" w:hAnsi="Times New Roman" w:cs="Times New Roman"/>
          <w:sz w:val="24"/>
          <w:szCs w:val="24"/>
        </w:rPr>
        <w:t>qu’</w:t>
      </w:r>
      <w:r w:rsidR="00E72135" w:rsidRPr="00C84DF6">
        <w:rPr>
          <w:rFonts w:ascii="Times New Roman" w:eastAsia="Arial" w:hAnsi="Times New Roman" w:cs="Times New Roman"/>
          <w:sz w:val="24"/>
          <w:szCs w:val="24"/>
          <w:shd w:val="clear" w:color="auto" w:fill="FFFFFF"/>
          <w:lang w:val="fr-CH" w:eastAsia="fr-FR"/>
        </w:rPr>
        <w:t>« </w:t>
      </w:r>
      <w:r w:rsidR="00E72135" w:rsidRPr="00C84DF6">
        <w:rPr>
          <w:rFonts w:ascii="Times New Roman" w:eastAsia="Arial" w:hAnsi="Times New Roman" w:cs="Times New Roman"/>
          <w:i/>
          <w:iCs/>
          <w:sz w:val="24"/>
          <w:szCs w:val="24"/>
          <w:shd w:val="clear" w:color="auto" w:fill="FFFFFF"/>
          <w:lang w:val="fr-CH" w:eastAsia="fr-FR"/>
        </w:rPr>
        <w:t xml:space="preserve">A l’exception de quelques bâtiments rénovés, mais qui se dégradent vite, l’hygiène est défaillante : l’achat d’extracteurs d’humidité ne permet pas d’assécher les pièces ; il n’y a pas de cloison séparant le coin sanitaire en cellule ; les douches collectives, souvent mal ventilées, sont couvertes de moisissures ; la lutte contre les nuisibles n’est pas efficace ; dans certaines cellules les fenêtres sont détériorées ; en hiver le chauffage est insuffisant et il fait très froid, tandis qu’à l’inverse la chaleur peut être suffocante en été </w:t>
      </w:r>
      <w:r w:rsidR="00E72135" w:rsidRPr="00C84DF6">
        <w:rPr>
          <w:rFonts w:ascii="Times New Roman" w:eastAsia="Arial" w:hAnsi="Times New Roman" w:cs="Times New Roman"/>
          <w:sz w:val="24"/>
          <w:szCs w:val="24"/>
          <w:shd w:val="clear" w:color="auto" w:fill="FFFFFF"/>
          <w:lang w:val="fr-CH" w:eastAsia="fr-FR"/>
        </w:rPr>
        <w:t>»</w:t>
      </w:r>
      <w:r w:rsidR="00E72135">
        <w:rPr>
          <w:rStyle w:val="FootnoteReference"/>
          <w:rFonts w:ascii="Times New Roman" w:eastAsia="Arial" w:hAnsi="Times New Roman" w:cs="Times New Roman"/>
          <w:sz w:val="24"/>
          <w:szCs w:val="24"/>
          <w:shd w:val="clear" w:color="auto" w:fill="FFFFFF"/>
          <w:lang w:val="fr-CH" w:eastAsia="fr-FR"/>
        </w:rPr>
        <w:footnoteReference w:id="15"/>
      </w:r>
      <w:r w:rsidR="00E72135" w:rsidRPr="00C84DF6">
        <w:rPr>
          <w:rFonts w:ascii="Times New Roman" w:eastAsia="Arial" w:hAnsi="Times New Roman" w:cs="Times New Roman"/>
          <w:sz w:val="24"/>
          <w:szCs w:val="24"/>
          <w:shd w:val="clear" w:color="auto" w:fill="FFFFFF"/>
          <w:lang w:val="fr-CH" w:eastAsia="fr-FR"/>
        </w:rPr>
        <w:t xml:space="preserve">. </w:t>
      </w:r>
    </w:p>
    <w:p w14:paraId="30A3061F" w14:textId="77777777" w:rsidR="00C84DF6" w:rsidRPr="00C84DF6" w:rsidRDefault="00C84DF6" w:rsidP="00C84DF6">
      <w:pPr>
        <w:pStyle w:val="ListParagraph"/>
        <w:rPr>
          <w:rFonts w:ascii="Times New Roman" w:eastAsia="Arial" w:hAnsi="Times New Roman" w:cs="Times New Roman"/>
          <w:sz w:val="24"/>
          <w:szCs w:val="24"/>
          <w:lang w:eastAsia="fr-FR"/>
        </w:rPr>
      </w:pPr>
    </w:p>
    <w:p w14:paraId="47B9C9D0" w14:textId="77777777" w:rsidR="00C84DF6" w:rsidRPr="00C84DF6" w:rsidRDefault="002D4A6D"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eastAsia="fr-FR"/>
        </w:rPr>
        <w:t xml:space="preserve">Le 30 janvier 2020, la CEDH a condamné la France en raison des conditions indignes de détention de trente-deux personnes incarcérées dans les établissements pénitentiaires de Fresnes, Nîmes, Nice, Ducos (Martinique), Baie-Mahault (Guadeloupe) et </w:t>
      </w:r>
      <w:proofErr w:type="spellStart"/>
      <w:r w:rsidRPr="00C84DF6">
        <w:rPr>
          <w:rFonts w:ascii="Times New Roman" w:eastAsia="Arial" w:hAnsi="Times New Roman" w:cs="Times New Roman"/>
          <w:sz w:val="24"/>
          <w:szCs w:val="24"/>
          <w:lang w:eastAsia="fr-FR"/>
        </w:rPr>
        <w:t>Faa'a</w:t>
      </w:r>
      <w:proofErr w:type="spellEnd"/>
      <w:r w:rsidRPr="00C84DF6">
        <w:rPr>
          <w:rFonts w:ascii="Times New Roman" w:eastAsia="Arial" w:hAnsi="Times New Roman" w:cs="Times New Roman"/>
          <w:sz w:val="24"/>
          <w:szCs w:val="24"/>
          <w:lang w:eastAsia="fr-FR"/>
        </w:rPr>
        <w:t xml:space="preserve"> </w:t>
      </w:r>
      <w:proofErr w:type="spellStart"/>
      <w:r w:rsidRPr="00C84DF6">
        <w:rPr>
          <w:rFonts w:ascii="Times New Roman" w:eastAsia="Arial" w:hAnsi="Times New Roman" w:cs="Times New Roman"/>
          <w:sz w:val="24"/>
          <w:szCs w:val="24"/>
          <w:lang w:eastAsia="fr-FR"/>
        </w:rPr>
        <w:t>Nuutania</w:t>
      </w:r>
      <w:proofErr w:type="spellEnd"/>
      <w:r w:rsidRPr="00C84DF6">
        <w:rPr>
          <w:rFonts w:ascii="Times New Roman" w:eastAsia="Arial" w:hAnsi="Times New Roman" w:cs="Times New Roman"/>
          <w:sz w:val="24"/>
          <w:szCs w:val="24"/>
          <w:lang w:eastAsia="fr-FR"/>
        </w:rPr>
        <w:t xml:space="preserve"> (Polynésie française)</w:t>
      </w:r>
      <w:r w:rsidR="00AE37DD" w:rsidRPr="306731B5">
        <w:rPr>
          <w:rStyle w:val="FootnoteReference"/>
          <w:rFonts w:ascii="Times New Roman" w:eastAsia="Arial" w:hAnsi="Times New Roman" w:cs="Times New Roman"/>
          <w:sz w:val="24"/>
          <w:szCs w:val="24"/>
          <w:lang w:eastAsia="fr-FR"/>
        </w:rPr>
        <w:footnoteReference w:id="16"/>
      </w:r>
      <w:r w:rsidRPr="00C84DF6">
        <w:rPr>
          <w:rFonts w:ascii="Times New Roman" w:eastAsia="Arial" w:hAnsi="Times New Roman" w:cs="Times New Roman"/>
          <w:sz w:val="24"/>
          <w:szCs w:val="24"/>
          <w:lang w:eastAsia="fr-FR"/>
        </w:rPr>
        <w:t>.</w:t>
      </w:r>
      <w:r w:rsidR="00AE37DD" w:rsidRPr="00C84DF6">
        <w:rPr>
          <w:rFonts w:ascii="Times New Roman" w:eastAsia="Arial" w:hAnsi="Times New Roman" w:cs="Times New Roman"/>
          <w:sz w:val="24"/>
          <w:szCs w:val="24"/>
          <w:lang w:eastAsia="fr-FR"/>
        </w:rPr>
        <w:t xml:space="preserve"> </w:t>
      </w:r>
      <w:r w:rsidR="00426CC2" w:rsidRPr="00C84DF6">
        <w:rPr>
          <w:rFonts w:ascii="Times New Roman" w:eastAsia="Arial" w:hAnsi="Times New Roman" w:cs="Times New Roman"/>
          <w:sz w:val="24"/>
          <w:szCs w:val="24"/>
          <w:lang w:eastAsia="fr-FR"/>
        </w:rPr>
        <w:t>En 2016, l’ACAT-France s’inquiétait déjà de la situation préoccupante du centre pénitentiaire de Ducos</w:t>
      </w:r>
      <w:r w:rsidR="00576088" w:rsidRPr="00C84DF6">
        <w:rPr>
          <w:rFonts w:ascii="Times New Roman" w:eastAsia="Arial" w:hAnsi="Times New Roman" w:cs="Times New Roman"/>
          <w:sz w:val="24"/>
          <w:szCs w:val="24"/>
          <w:lang w:eastAsia="fr-FR"/>
        </w:rPr>
        <w:t xml:space="preserve">, dénoncé alors comme un lieu indigne de détention. </w:t>
      </w:r>
      <w:r w:rsidR="00DF5586" w:rsidRPr="00C84DF6">
        <w:rPr>
          <w:rFonts w:ascii="Times New Roman" w:eastAsia="Arial" w:hAnsi="Times New Roman" w:cs="Times New Roman"/>
          <w:sz w:val="24"/>
          <w:szCs w:val="24"/>
          <w:lang w:eastAsia="fr-FR"/>
        </w:rPr>
        <w:t xml:space="preserve">Les conditions matérielles de détention </w:t>
      </w:r>
      <w:r w:rsidR="00611CBE" w:rsidRPr="00C84DF6">
        <w:rPr>
          <w:rFonts w:ascii="Times New Roman" w:eastAsia="Arial" w:hAnsi="Times New Roman" w:cs="Times New Roman"/>
          <w:sz w:val="24"/>
          <w:szCs w:val="24"/>
          <w:lang w:eastAsia="fr-FR"/>
        </w:rPr>
        <w:t>y sont déplorables : saleté des cellules, manque d’entretien des cours de promenades, insuffisance du système de collecte</w:t>
      </w:r>
      <w:r w:rsidR="0076315C" w:rsidRPr="00C84DF6">
        <w:rPr>
          <w:rFonts w:ascii="Times New Roman" w:eastAsia="Arial" w:hAnsi="Times New Roman" w:cs="Times New Roman"/>
          <w:sz w:val="24"/>
          <w:szCs w:val="24"/>
          <w:lang w:eastAsia="fr-FR"/>
        </w:rPr>
        <w:t xml:space="preserve"> et d’évacuation des déchets, aération et luminosité insuffisantes, etc. L’établissement est, comme bien d’autres, infesté de rats et autres nuisibles. </w:t>
      </w:r>
      <w:r w:rsidR="0021028A" w:rsidRPr="00C84DF6">
        <w:rPr>
          <w:rFonts w:ascii="Times New Roman" w:eastAsia="Arial" w:hAnsi="Times New Roman" w:cs="Times New Roman"/>
          <w:sz w:val="24"/>
          <w:szCs w:val="24"/>
          <w:lang w:eastAsia="fr-FR"/>
        </w:rPr>
        <w:t xml:space="preserve">L’accès aux soins est lui aussi insuffisant (manque de matériels, de personnel). Plusieurs semaines d’attente peuvent être nécessaires </w:t>
      </w:r>
      <w:r w:rsidR="00163EBB" w:rsidRPr="00C84DF6">
        <w:rPr>
          <w:rFonts w:ascii="Times New Roman" w:eastAsia="Arial" w:hAnsi="Times New Roman" w:cs="Times New Roman"/>
          <w:sz w:val="24"/>
          <w:szCs w:val="24"/>
          <w:lang w:eastAsia="fr-FR"/>
        </w:rPr>
        <w:t xml:space="preserve">pour obtenir un rendez-vous. </w:t>
      </w:r>
      <w:r w:rsidR="00D34A60" w:rsidRPr="00C84DF6">
        <w:rPr>
          <w:rFonts w:ascii="Times New Roman" w:eastAsia="Arial" w:hAnsi="Times New Roman" w:cs="Times New Roman"/>
          <w:sz w:val="24"/>
          <w:szCs w:val="24"/>
          <w:lang w:eastAsia="fr-FR"/>
        </w:rPr>
        <w:t>Encore aujourd’hui, au 1</w:t>
      </w:r>
      <w:r w:rsidR="00D34A60" w:rsidRPr="00C84DF6">
        <w:rPr>
          <w:rFonts w:ascii="Times New Roman" w:eastAsia="Arial" w:hAnsi="Times New Roman" w:cs="Times New Roman"/>
          <w:sz w:val="24"/>
          <w:szCs w:val="24"/>
          <w:vertAlign w:val="superscript"/>
          <w:lang w:eastAsia="fr-FR"/>
        </w:rPr>
        <w:t>er</w:t>
      </w:r>
      <w:r w:rsidR="00D34A60" w:rsidRPr="00C84DF6">
        <w:rPr>
          <w:rFonts w:ascii="Times New Roman" w:eastAsia="Arial" w:hAnsi="Times New Roman" w:cs="Times New Roman"/>
          <w:sz w:val="24"/>
          <w:szCs w:val="24"/>
          <w:lang w:eastAsia="fr-FR"/>
        </w:rPr>
        <w:t xml:space="preserve"> </w:t>
      </w:r>
      <w:r w:rsidR="00B519B8" w:rsidRPr="00C84DF6">
        <w:rPr>
          <w:rFonts w:ascii="Times New Roman" w:eastAsia="Arial" w:hAnsi="Times New Roman" w:cs="Times New Roman"/>
          <w:sz w:val="24"/>
          <w:szCs w:val="24"/>
          <w:lang w:eastAsia="fr-FR"/>
        </w:rPr>
        <w:t>février</w:t>
      </w:r>
      <w:r w:rsidR="00D34A60" w:rsidRPr="00C84DF6">
        <w:rPr>
          <w:rFonts w:ascii="Times New Roman" w:eastAsia="Arial" w:hAnsi="Times New Roman" w:cs="Times New Roman"/>
          <w:sz w:val="24"/>
          <w:szCs w:val="24"/>
          <w:lang w:eastAsia="fr-FR"/>
        </w:rPr>
        <w:t xml:space="preserve"> 2025</w:t>
      </w:r>
      <w:r w:rsidR="0074050A" w:rsidRPr="00C84DF6">
        <w:rPr>
          <w:rFonts w:ascii="Times New Roman" w:eastAsia="Arial" w:hAnsi="Times New Roman" w:cs="Times New Roman"/>
          <w:sz w:val="24"/>
          <w:szCs w:val="24"/>
          <w:lang w:eastAsia="fr-FR"/>
        </w:rPr>
        <w:t>, 6</w:t>
      </w:r>
      <w:r w:rsidR="005536C9" w:rsidRPr="00C84DF6">
        <w:rPr>
          <w:rFonts w:ascii="Times New Roman" w:eastAsia="Arial" w:hAnsi="Times New Roman" w:cs="Times New Roman"/>
          <w:sz w:val="24"/>
          <w:szCs w:val="24"/>
          <w:lang w:eastAsia="fr-FR"/>
        </w:rPr>
        <w:t>21</w:t>
      </w:r>
      <w:r w:rsidR="0074050A" w:rsidRPr="00C84DF6">
        <w:rPr>
          <w:rFonts w:ascii="Times New Roman" w:eastAsia="Arial" w:hAnsi="Times New Roman" w:cs="Times New Roman"/>
          <w:sz w:val="24"/>
          <w:szCs w:val="24"/>
          <w:lang w:eastAsia="fr-FR"/>
        </w:rPr>
        <w:t xml:space="preserve"> </w:t>
      </w:r>
      <w:r w:rsidR="00707240" w:rsidRPr="00C84DF6">
        <w:rPr>
          <w:rFonts w:ascii="Times New Roman" w:eastAsia="Arial" w:hAnsi="Times New Roman" w:cs="Times New Roman"/>
          <w:sz w:val="24"/>
          <w:szCs w:val="24"/>
          <w:lang w:eastAsia="fr-FR"/>
        </w:rPr>
        <w:t xml:space="preserve">personnes sont détenues </w:t>
      </w:r>
      <w:r w:rsidR="005536C9" w:rsidRPr="00C84DF6">
        <w:rPr>
          <w:rFonts w:ascii="Times New Roman" w:eastAsia="Arial" w:hAnsi="Times New Roman" w:cs="Times New Roman"/>
          <w:sz w:val="24"/>
          <w:szCs w:val="24"/>
          <w:lang w:eastAsia="fr-FR"/>
        </w:rPr>
        <w:t xml:space="preserve">au quartier de la maison d’arrêt </w:t>
      </w:r>
      <w:r w:rsidR="00707240" w:rsidRPr="00C84DF6">
        <w:rPr>
          <w:rFonts w:ascii="Times New Roman" w:eastAsia="Arial" w:hAnsi="Times New Roman" w:cs="Times New Roman"/>
          <w:sz w:val="24"/>
          <w:szCs w:val="24"/>
          <w:lang w:eastAsia="fr-FR"/>
        </w:rPr>
        <w:t xml:space="preserve">pour </w:t>
      </w:r>
      <w:r w:rsidR="002A5FB8" w:rsidRPr="00C84DF6">
        <w:rPr>
          <w:rFonts w:ascii="Times New Roman" w:eastAsia="Arial" w:hAnsi="Times New Roman" w:cs="Times New Roman"/>
          <w:sz w:val="24"/>
          <w:szCs w:val="24"/>
          <w:lang w:eastAsia="fr-FR"/>
        </w:rPr>
        <w:t xml:space="preserve">371 places opérationnelles à </w:t>
      </w:r>
      <w:r w:rsidR="00D34A60" w:rsidRPr="00C84DF6">
        <w:rPr>
          <w:rFonts w:ascii="Times New Roman" w:eastAsia="Arial" w:hAnsi="Times New Roman" w:cs="Times New Roman"/>
          <w:sz w:val="24"/>
          <w:szCs w:val="24"/>
          <w:lang w:eastAsia="fr-FR"/>
        </w:rPr>
        <w:t xml:space="preserve">la maison d’arrêt de Ducos </w:t>
      </w:r>
      <w:r w:rsidR="002A5FB8" w:rsidRPr="00C84DF6">
        <w:rPr>
          <w:rFonts w:ascii="Times New Roman" w:eastAsia="Arial" w:hAnsi="Times New Roman" w:cs="Times New Roman"/>
          <w:sz w:val="24"/>
          <w:szCs w:val="24"/>
          <w:lang w:eastAsia="fr-FR"/>
        </w:rPr>
        <w:t xml:space="preserve">(soit </w:t>
      </w:r>
      <w:r w:rsidR="00AE0278" w:rsidRPr="00C84DF6">
        <w:rPr>
          <w:rFonts w:ascii="Times New Roman" w:eastAsia="Arial" w:hAnsi="Times New Roman" w:cs="Times New Roman"/>
          <w:sz w:val="24"/>
          <w:szCs w:val="24"/>
          <w:lang w:eastAsia="fr-FR"/>
        </w:rPr>
        <w:t>une densité carcérale de 16</w:t>
      </w:r>
      <w:r w:rsidR="00564EB1" w:rsidRPr="00C84DF6">
        <w:rPr>
          <w:rFonts w:ascii="Times New Roman" w:eastAsia="Arial" w:hAnsi="Times New Roman" w:cs="Times New Roman"/>
          <w:sz w:val="24"/>
          <w:szCs w:val="24"/>
          <w:lang w:eastAsia="fr-FR"/>
        </w:rPr>
        <w:t>7,4</w:t>
      </w:r>
      <w:r w:rsidR="00AE0278" w:rsidRPr="00C84DF6">
        <w:rPr>
          <w:rFonts w:ascii="Times New Roman" w:eastAsia="Arial" w:hAnsi="Times New Roman" w:cs="Times New Roman"/>
          <w:sz w:val="24"/>
          <w:szCs w:val="24"/>
          <w:lang w:eastAsia="fr-FR"/>
        </w:rPr>
        <w:t>%</w:t>
      </w:r>
      <w:r w:rsidR="002A5FB8" w:rsidRPr="00C84DF6">
        <w:rPr>
          <w:rFonts w:ascii="Times New Roman" w:eastAsia="Arial" w:hAnsi="Times New Roman" w:cs="Times New Roman"/>
          <w:sz w:val="24"/>
          <w:szCs w:val="24"/>
          <w:lang w:eastAsia="fr-FR"/>
        </w:rPr>
        <w:t>)</w:t>
      </w:r>
      <w:r w:rsidR="00AE0278" w:rsidRPr="306731B5">
        <w:rPr>
          <w:rStyle w:val="FootnoteReference"/>
          <w:rFonts w:ascii="Times New Roman" w:eastAsia="Arial" w:hAnsi="Times New Roman" w:cs="Times New Roman"/>
          <w:sz w:val="24"/>
          <w:szCs w:val="24"/>
          <w:lang w:eastAsia="fr-FR"/>
        </w:rPr>
        <w:footnoteReference w:id="17"/>
      </w:r>
      <w:r w:rsidR="00AE0278" w:rsidRPr="00C84DF6">
        <w:rPr>
          <w:rFonts w:ascii="Times New Roman" w:eastAsia="Arial" w:hAnsi="Times New Roman" w:cs="Times New Roman"/>
          <w:sz w:val="24"/>
          <w:szCs w:val="24"/>
          <w:lang w:eastAsia="fr-FR"/>
        </w:rPr>
        <w:t xml:space="preserve">. </w:t>
      </w:r>
    </w:p>
    <w:p w14:paraId="76C4C86D" w14:textId="77777777" w:rsidR="00C84DF6" w:rsidRDefault="00C84DF6" w:rsidP="00C84DF6">
      <w:pPr>
        <w:pStyle w:val="ListParagraph"/>
        <w:spacing w:after="120"/>
        <w:ind w:left="0"/>
        <w:jc w:val="both"/>
        <w:rPr>
          <w:rFonts w:ascii="Times New Roman" w:hAnsi="Times New Roman" w:cs="Times New Roman"/>
          <w:sz w:val="24"/>
          <w:szCs w:val="24"/>
        </w:rPr>
      </w:pPr>
    </w:p>
    <w:p w14:paraId="16F34B1D" w14:textId="77777777" w:rsidR="00EF1D0C" w:rsidRPr="00C84DF6" w:rsidRDefault="00EF1D0C" w:rsidP="00C84DF6">
      <w:pPr>
        <w:pStyle w:val="ListParagraph"/>
        <w:spacing w:after="120"/>
        <w:ind w:left="0"/>
        <w:jc w:val="both"/>
        <w:rPr>
          <w:rFonts w:ascii="Times New Roman" w:hAnsi="Times New Roman" w:cs="Times New Roman"/>
          <w:sz w:val="24"/>
          <w:szCs w:val="24"/>
        </w:rPr>
      </w:pPr>
    </w:p>
    <w:p w14:paraId="0F89BA13" w14:textId="77777777" w:rsidR="00C84DF6" w:rsidRPr="00C84DF6" w:rsidRDefault="00E65DFF"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Même dans les prisons les plus récentes, les cellules ne sont pas toujours adaptées au climat.</w:t>
      </w:r>
      <w:r w:rsidR="004929AF" w:rsidRPr="00C84DF6">
        <w:rPr>
          <w:rFonts w:ascii="Times New Roman" w:eastAsia="Arial" w:hAnsi="Times New Roman" w:cs="Times New Roman"/>
          <w:sz w:val="24"/>
          <w:szCs w:val="24"/>
          <w:lang w:val="fr-CH" w:eastAsia="fr-FR"/>
        </w:rPr>
        <w:t xml:space="preserve"> À </w:t>
      </w:r>
      <w:r w:rsidR="001F7B48" w:rsidRPr="00C84DF6">
        <w:rPr>
          <w:rFonts w:ascii="Times New Roman" w:eastAsia="Arial" w:hAnsi="Times New Roman" w:cs="Times New Roman"/>
          <w:sz w:val="24"/>
          <w:szCs w:val="24"/>
          <w:lang w:val="fr-CH" w:eastAsia="fr-FR"/>
        </w:rPr>
        <w:t>la prison des Beaumettes</w:t>
      </w:r>
      <w:r w:rsidR="007A0FC7" w:rsidRPr="00C84DF6">
        <w:rPr>
          <w:rFonts w:ascii="Times New Roman" w:eastAsia="Arial" w:hAnsi="Times New Roman" w:cs="Times New Roman"/>
          <w:sz w:val="24"/>
          <w:szCs w:val="24"/>
          <w:lang w:val="fr-CH" w:eastAsia="fr-FR"/>
        </w:rPr>
        <w:t xml:space="preserve"> 2</w:t>
      </w:r>
      <w:r w:rsidR="001F7B48" w:rsidRPr="00C84DF6">
        <w:rPr>
          <w:rFonts w:ascii="Times New Roman" w:eastAsia="Arial" w:hAnsi="Times New Roman" w:cs="Times New Roman"/>
          <w:sz w:val="24"/>
          <w:szCs w:val="24"/>
          <w:lang w:val="fr-CH" w:eastAsia="fr-FR"/>
        </w:rPr>
        <w:t xml:space="preserve"> à Marseille, </w:t>
      </w:r>
      <w:r w:rsidR="007A0FC7" w:rsidRPr="00C84DF6">
        <w:rPr>
          <w:rFonts w:ascii="Times New Roman" w:eastAsia="Arial" w:hAnsi="Times New Roman" w:cs="Times New Roman"/>
          <w:sz w:val="24"/>
          <w:szCs w:val="24"/>
          <w:lang w:val="fr-CH" w:eastAsia="fr-FR"/>
        </w:rPr>
        <w:t>mis en service en 2017</w:t>
      </w:r>
      <w:r w:rsidR="009B67ED" w:rsidRPr="00C84DF6">
        <w:rPr>
          <w:rFonts w:ascii="Times New Roman" w:eastAsia="Arial" w:hAnsi="Times New Roman" w:cs="Times New Roman"/>
          <w:sz w:val="24"/>
          <w:szCs w:val="24"/>
          <w:lang w:val="fr-CH" w:eastAsia="fr-FR"/>
        </w:rPr>
        <w:t>, des personnes détenues rapportent que les fenêtres anti-bruit empêchent le passage de l’air rendant l’atmosphère irrespirable en été</w:t>
      </w:r>
      <w:r w:rsidR="00361D19" w:rsidRPr="00C84DF6">
        <w:rPr>
          <w:rFonts w:ascii="Times New Roman" w:eastAsia="Arial" w:hAnsi="Times New Roman" w:cs="Times New Roman"/>
          <w:sz w:val="24"/>
          <w:szCs w:val="24"/>
          <w:lang w:val="fr-CH" w:eastAsia="fr-FR"/>
        </w:rPr>
        <w:t>. Toutes les prisons du pays sont exposées à des risques climatiques, notamment lors des vagues de chaleur chaque été</w:t>
      </w:r>
      <w:r w:rsidR="00361D19">
        <w:rPr>
          <w:rStyle w:val="FootnoteReference"/>
          <w:rFonts w:ascii="Times New Roman" w:eastAsia="Arial" w:hAnsi="Times New Roman" w:cs="Times New Roman"/>
          <w:sz w:val="24"/>
          <w:szCs w:val="24"/>
          <w:lang w:val="fr-CH" w:eastAsia="fr-FR"/>
        </w:rPr>
        <w:footnoteReference w:id="18"/>
      </w:r>
      <w:r w:rsidR="00361D19" w:rsidRPr="00C84DF6">
        <w:rPr>
          <w:rFonts w:ascii="Times New Roman" w:eastAsia="Arial" w:hAnsi="Times New Roman" w:cs="Times New Roman"/>
          <w:sz w:val="24"/>
          <w:szCs w:val="24"/>
          <w:lang w:val="fr-CH" w:eastAsia="fr-FR"/>
        </w:rPr>
        <w:t xml:space="preserve">. </w:t>
      </w:r>
    </w:p>
    <w:p w14:paraId="31B42FB0" w14:textId="7CE50381" w:rsidR="00C84DF6" w:rsidRPr="00C84DF6" w:rsidRDefault="00C84DF6" w:rsidP="00C84DF6">
      <w:pPr>
        <w:pStyle w:val="ListParagraph"/>
        <w:rPr>
          <w:rFonts w:ascii="Times New Roman" w:eastAsia="Arial" w:hAnsi="Times New Roman" w:cs="Times New Roman"/>
          <w:sz w:val="24"/>
          <w:szCs w:val="24"/>
          <w:lang w:val="fr-CH" w:eastAsia="fr-FR"/>
        </w:rPr>
      </w:pPr>
    </w:p>
    <w:p w14:paraId="0A59384B" w14:textId="77777777" w:rsidR="00C84DF6" w:rsidRPr="00C84DF6" w:rsidRDefault="007E3777"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Trois ans après l’arrêt historique de la cour européenne JMB contre France, la France a de nouveau été condamnée le 6 juillet 2023 par la CEDH pour « </w:t>
      </w:r>
      <w:r w:rsidRPr="00C84DF6">
        <w:rPr>
          <w:rFonts w:ascii="Times New Roman" w:eastAsia="Arial" w:hAnsi="Times New Roman" w:cs="Times New Roman"/>
          <w:i/>
          <w:iCs/>
          <w:sz w:val="24"/>
          <w:szCs w:val="24"/>
          <w:lang w:val="fr-CH" w:eastAsia="fr-FR"/>
        </w:rPr>
        <w:t>les conditions de détention subies</w:t>
      </w:r>
      <w:r w:rsidRPr="00C84DF6">
        <w:rPr>
          <w:rFonts w:ascii="Times New Roman" w:eastAsia="Arial" w:hAnsi="Times New Roman" w:cs="Times New Roman"/>
          <w:sz w:val="24"/>
          <w:szCs w:val="24"/>
          <w:lang w:val="fr-CH" w:eastAsia="fr-FR"/>
        </w:rPr>
        <w:t> </w:t>
      </w:r>
      <w:r w:rsidRPr="00C84DF6">
        <w:rPr>
          <w:rFonts w:ascii="Times New Roman" w:eastAsia="Arial" w:hAnsi="Times New Roman" w:cs="Times New Roman"/>
          <w:i/>
          <w:iCs/>
          <w:sz w:val="24"/>
          <w:szCs w:val="24"/>
          <w:lang w:val="fr-CH" w:eastAsia="fr-FR"/>
        </w:rPr>
        <w:t>du fait de la surpopulation carcérale</w:t>
      </w:r>
      <w:r w:rsidRPr="00C84DF6">
        <w:rPr>
          <w:rFonts w:ascii="Times New Roman" w:eastAsia="Arial" w:hAnsi="Times New Roman" w:cs="Times New Roman"/>
          <w:sz w:val="24"/>
          <w:szCs w:val="24"/>
          <w:lang w:val="fr-CH" w:eastAsia="fr-FR"/>
        </w:rPr>
        <w:t xml:space="preserve"> » par trois détenus de la prison de Fresnes</w:t>
      </w:r>
      <w:r>
        <w:rPr>
          <w:rStyle w:val="FootnoteReference"/>
          <w:rFonts w:ascii="Times New Roman" w:eastAsia="Arial" w:hAnsi="Times New Roman" w:cs="Times New Roman"/>
          <w:sz w:val="24"/>
          <w:szCs w:val="24"/>
          <w:lang w:val="fr-CH" w:eastAsia="fr-FR"/>
        </w:rPr>
        <w:footnoteReference w:id="19"/>
      </w:r>
      <w:r w:rsidRPr="00C84DF6">
        <w:rPr>
          <w:rFonts w:ascii="Times New Roman" w:eastAsia="Arial" w:hAnsi="Times New Roman" w:cs="Times New Roman"/>
          <w:sz w:val="24"/>
          <w:szCs w:val="24"/>
          <w:lang w:val="fr-CH" w:eastAsia="fr-FR"/>
        </w:rPr>
        <w:t xml:space="preserve">. </w:t>
      </w:r>
      <w:r w:rsidR="00D62FFA" w:rsidRPr="00C84DF6">
        <w:rPr>
          <w:rFonts w:ascii="Times New Roman" w:eastAsia="Arial" w:hAnsi="Times New Roman" w:cs="Times New Roman"/>
          <w:sz w:val="24"/>
          <w:szCs w:val="24"/>
          <w:lang w:val="fr-CH" w:eastAsia="fr-FR"/>
        </w:rPr>
        <w:t xml:space="preserve">Pourtant, la situation reste la même sans aucune intervention du gouvernement ou de la direction de l’administration pénitentiaire. </w:t>
      </w:r>
    </w:p>
    <w:p w14:paraId="1BD13D7C"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5A1F7178" w14:textId="77777777" w:rsidR="00C84DF6" w:rsidRPr="00C84DF6" w:rsidRDefault="00317E15"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Le 8 juillet 2020, la chambre criminelle de la Cour de cassation a tiré les conséquences de l’arrêt JMB en énonçant qu'il appartient au juge judiciaire de faire vérifier les allégations de conditions indignes de détention formulées par un détenu sous réserve que celles-ci soient crédibles, précises, actuelles et personnelles. Puis le Conseil constitutionnel a décidé, le 2 octobre 2020</w:t>
      </w:r>
      <w:r w:rsidRPr="00317E15">
        <w:rPr>
          <w:vertAlign w:val="superscript"/>
          <w:lang w:val="en-GB" w:eastAsia="fr-FR"/>
        </w:rPr>
        <w:footnoteReference w:id="20"/>
      </w:r>
      <w:r w:rsidRPr="00C84DF6">
        <w:rPr>
          <w:rFonts w:ascii="Times New Roman" w:eastAsia="Arial" w:hAnsi="Times New Roman" w:cs="Times New Roman"/>
          <w:sz w:val="24"/>
          <w:szCs w:val="24"/>
          <w:lang w:val="fr-CH" w:eastAsia="fr-FR"/>
        </w:rPr>
        <w:t>, que le Code de procédure pénale devait être modifié d'ici au 1</w:t>
      </w:r>
      <w:r w:rsidRPr="00C84DF6">
        <w:rPr>
          <w:rFonts w:ascii="Times New Roman" w:eastAsia="Arial" w:hAnsi="Times New Roman" w:cs="Times New Roman"/>
          <w:sz w:val="24"/>
          <w:szCs w:val="24"/>
          <w:vertAlign w:val="superscript"/>
          <w:lang w:val="fr-CH" w:eastAsia="fr-FR"/>
        </w:rPr>
        <w:t>er</w:t>
      </w:r>
      <w:r w:rsidRPr="00C84DF6">
        <w:rPr>
          <w:rFonts w:ascii="Times New Roman" w:eastAsia="Arial" w:hAnsi="Times New Roman" w:cs="Times New Roman"/>
          <w:sz w:val="24"/>
          <w:szCs w:val="24"/>
          <w:lang w:val="fr-CH" w:eastAsia="fr-FR"/>
        </w:rPr>
        <w:t> mars 2021 afin de garantir aux personnes placées en détention provisoire la possibilité de saisir le juge de conditions de détention contraires à la dignité de la personne humaine afin qu'il y soit mis fin. Sans qu'il s'agisse d'un critère exclusif, l'appréciation des conditions de détention tient compte de l'espace personnel dont dispose chaque détenu et de la salubrité des cellules. Depuis avril 2021, un recours est rendu possible devant le juge des libertés et de la détention</w:t>
      </w:r>
      <w:r w:rsidRPr="00317E15">
        <w:rPr>
          <w:vertAlign w:val="superscript"/>
          <w:lang w:val="fr-CH" w:eastAsia="fr-FR"/>
        </w:rPr>
        <w:footnoteReference w:id="21"/>
      </w:r>
      <w:r w:rsidRPr="00C84DF6">
        <w:rPr>
          <w:rFonts w:ascii="Times New Roman" w:eastAsia="Arial" w:hAnsi="Times New Roman" w:cs="Times New Roman"/>
          <w:sz w:val="24"/>
          <w:szCs w:val="24"/>
          <w:lang w:val="fr-CH" w:eastAsia="fr-FR"/>
        </w:rPr>
        <w:t xml:space="preserve">. Le juge peut ainsi décider, s’il n’a pas été mis fin aux conditions indignes de détention, de la mise en liberté immédiate de la personne si elle est en détention provisoire (sous contrôle judiciaire) ou du transfèrement de la personne dans un autre établissement. Or, en pratique, cette solution n’est pas envisageable pour les détenus qui se retrouvent déracinés, éloignés de leur famille et de leurs proches, et pour ces raisons n’osent pas former un recours pour mettre fin aux conditions indignes de détention. </w:t>
      </w:r>
    </w:p>
    <w:p w14:paraId="53D18E0D" w14:textId="77777777" w:rsidR="00C84DF6" w:rsidRPr="00C84DF6" w:rsidRDefault="00C84DF6" w:rsidP="00C84DF6">
      <w:pPr>
        <w:pStyle w:val="ListParagraph"/>
        <w:spacing w:after="120"/>
        <w:ind w:left="0"/>
        <w:jc w:val="both"/>
        <w:rPr>
          <w:rFonts w:ascii="Times New Roman" w:hAnsi="Times New Roman" w:cs="Times New Roman"/>
          <w:sz w:val="24"/>
          <w:szCs w:val="24"/>
        </w:rPr>
      </w:pPr>
    </w:p>
    <w:p w14:paraId="36A6F1BA" w14:textId="32BCE8ED" w:rsidR="00EC3FC4" w:rsidRPr="00AE2F75" w:rsidRDefault="00711CB7"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La</w:t>
      </w:r>
      <w:r w:rsidR="00AC0201" w:rsidRPr="00C84DF6">
        <w:rPr>
          <w:rFonts w:ascii="Times New Roman" w:eastAsia="Arial" w:hAnsi="Times New Roman" w:cs="Times New Roman"/>
          <w:sz w:val="24"/>
          <w:szCs w:val="24"/>
          <w:lang w:val="fr-CH" w:eastAsia="fr-FR"/>
        </w:rPr>
        <w:t xml:space="preserve"> ratification du Protocole facultatif à la Convention contre la torture </w:t>
      </w:r>
      <w:r w:rsidR="0069723C" w:rsidRPr="00C84DF6">
        <w:rPr>
          <w:rFonts w:ascii="Times New Roman" w:eastAsia="Arial" w:hAnsi="Times New Roman" w:cs="Times New Roman"/>
          <w:sz w:val="24"/>
          <w:szCs w:val="24"/>
          <w:lang w:val="fr-CH" w:eastAsia="fr-FR"/>
        </w:rPr>
        <w:t>par la France en 2008 a permis la création d’un mécanisme national de prévention de la torture : le Contrôleur général des lieux de privation de liberté (CGLPL)</w:t>
      </w:r>
      <w:r w:rsidRPr="00C84DF6">
        <w:rPr>
          <w:rFonts w:ascii="Times New Roman" w:eastAsia="Arial" w:hAnsi="Times New Roman" w:cs="Times New Roman"/>
          <w:sz w:val="24"/>
          <w:szCs w:val="24"/>
          <w:lang w:val="fr-CH" w:eastAsia="fr-FR"/>
        </w:rPr>
        <w:t xml:space="preserve">. </w:t>
      </w:r>
      <w:r w:rsidR="007976E3" w:rsidRPr="00C84DF6">
        <w:rPr>
          <w:rFonts w:ascii="Times New Roman" w:eastAsia="Arial" w:hAnsi="Times New Roman" w:cs="Times New Roman"/>
          <w:sz w:val="24"/>
          <w:szCs w:val="24"/>
          <w:lang w:val="fr-CH" w:eastAsia="fr-FR"/>
        </w:rPr>
        <w:t>Le Contrôle</w:t>
      </w:r>
      <w:r w:rsidR="00C235F9" w:rsidRPr="00C84DF6">
        <w:rPr>
          <w:rFonts w:ascii="Times New Roman" w:eastAsia="Arial" w:hAnsi="Times New Roman" w:cs="Times New Roman"/>
          <w:sz w:val="24"/>
          <w:szCs w:val="24"/>
          <w:lang w:val="fr-CH" w:eastAsia="fr-FR"/>
        </w:rPr>
        <w:t>ur</w:t>
      </w:r>
      <w:r w:rsidR="007976E3" w:rsidRPr="00C84DF6">
        <w:rPr>
          <w:rFonts w:ascii="Times New Roman" w:eastAsia="Arial" w:hAnsi="Times New Roman" w:cs="Times New Roman"/>
          <w:sz w:val="24"/>
          <w:szCs w:val="24"/>
          <w:lang w:val="fr-CH" w:eastAsia="fr-FR"/>
        </w:rPr>
        <w:t xml:space="preserve"> </w:t>
      </w:r>
      <w:r w:rsidR="00AB0120" w:rsidRPr="00C84DF6">
        <w:rPr>
          <w:rFonts w:ascii="Times New Roman" w:eastAsia="Arial" w:hAnsi="Times New Roman" w:cs="Times New Roman"/>
          <w:sz w:val="24"/>
          <w:szCs w:val="24"/>
          <w:lang w:val="fr-CH" w:eastAsia="fr-FR"/>
        </w:rPr>
        <w:t>est habilité à effectuer des inspections qu’elles soient prévues ou impromptues et publie des rapports après chaque visite</w:t>
      </w:r>
      <w:r w:rsidR="00C235F9" w:rsidRPr="00C84DF6">
        <w:rPr>
          <w:rFonts w:ascii="Times New Roman" w:eastAsia="Arial" w:hAnsi="Times New Roman" w:cs="Times New Roman"/>
          <w:sz w:val="24"/>
          <w:szCs w:val="24"/>
          <w:lang w:val="fr-CH" w:eastAsia="fr-FR"/>
        </w:rPr>
        <w:t xml:space="preserve"> qui sont disponibles en ligne</w:t>
      </w:r>
      <w:r w:rsidR="00AB0120" w:rsidRPr="00C84DF6">
        <w:rPr>
          <w:rFonts w:ascii="Times New Roman" w:eastAsia="Arial" w:hAnsi="Times New Roman" w:cs="Times New Roman"/>
          <w:sz w:val="24"/>
          <w:szCs w:val="24"/>
          <w:lang w:val="fr-CH" w:eastAsia="fr-FR"/>
        </w:rPr>
        <w:t xml:space="preserve">. </w:t>
      </w:r>
      <w:r w:rsidR="00464C4A" w:rsidRPr="00C84DF6">
        <w:rPr>
          <w:rFonts w:ascii="Times New Roman" w:eastAsia="Arial" w:hAnsi="Times New Roman" w:cs="Times New Roman"/>
          <w:sz w:val="24"/>
          <w:szCs w:val="24"/>
          <w:lang w:val="fr-CH" w:eastAsia="fr-FR"/>
        </w:rPr>
        <w:t xml:space="preserve">Seulement, faute de ressources, les établissements ne sont pas visités </w:t>
      </w:r>
      <w:r w:rsidR="00B100B2" w:rsidRPr="00C84DF6">
        <w:rPr>
          <w:rFonts w:ascii="Times New Roman" w:eastAsia="Arial" w:hAnsi="Times New Roman" w:cs="Times New Roman"/>
          <w:sz w:val="24"/>
          <w:szCs w:val="24"/>
          <w:lang w:val="fr-CH" w:eastAsia="fr-FR"/>
        </w:rPr>
        <w:t xml:space="preserve">assez fréquemment. Cela est d’autant plus vrai pour les </w:t>
      </w:r>
      <w:r w:rsidR="00ED0D16" w:rsidRPr="00C84DF6">
        <w:rPr>
          <w:rFonts w:ascii="Times New Roman" w:eastAsia="Arial" w:hAnsi="Times New Roman" w:cs="Times New Roman"/>
          <w:sz w:val="24"/>
          <w:szCs w:val="24"/>
          <w:lang w:val="fr-CH" w:eastAsia="fr-FR"/>
        </w:rPr>
        <w:t xml:space="preserve">établissements d’Outre-mer qui peuvent parfois voir s’écouler </w:t>
      </w:r>
      <w:r w:rsidR="001C1A39" w:rsidRPr="00C84DF6">
        <w:rPr>
          <w:rFonts w:ascii="Times New Roman" w:eastAsia="Arial" w:hAnsi="Times New Roman" w:cs="Times New Roman"/>
          <w:sz w:val="24"/>
          <w:szCs w:val="24"/>
          <w:lang w:val="fr-CH" w:eastAsia="fr-FR"/>
        </w:rPr>
        <w:t>des années</w:t>
      </w:r>
      <w:r w:rsidR="00ED0D16" w:rsidRPr="00C84DF6">
        <w:rPr>
          <w:rFonts w:ascii="Times New Roman" w:eastAsia="Arial" w:hAnsi="Times New Roman" w:cs="Times New Roman"/>
          <w:sz w:val="24"/>
          <w:szCs w:val="24"/>
          <w:lang w:val="fr-CH" w:eastAsia="fr-FR"/>
        </w:rPr>
        <w:t xml:space="preserve"> entre deux visites pour un même territoire. Par exemple, pour le </w:t>
      </w:r>
      <w:r w:rsidR="006B0657" w:rsidRPr="00C84DF6">
        <w:rPr>
          <w:rFonts w:ascii="Times New Roman" w:eastAsia="Arial" w:hAnsi="Times New Roman" w:cs="Times New Roman"/>
          <w:sz w:val="24"/>
          <w:szCs w:val="24"/>
          <w:lang w:val="fr-CH" w:eastAsia="fr-FR"/>
        </w:rPr>
        <w:t>centre pénitentiaire de Ducos en Martinique, la dernière visite du CGLPL date d</w:t>
      </w:r>
      <w:r w:rsidR="00DB7AD2" w:rsidRPr="00C84DF6">
        <w:rPr>
          <w:rFonts w:ascii="Times New Roman" w:eastAsia="Arial" w:hAnsi="Times New Roman" w:cs="Times New Roman"/>
          <w:sz w:val="24"/>
          <w:szCs w:val="24"/>
          <w:lang w:val="fr-CH" w:eastAsia="fr-FR"/>
        </w:rPr>
        <w:t>’octobre 2017 alors même que les conditions de détention y sont toujours décrites comme indignes</w:t>
      </w:r>
      <w:r w:rsidR="00DB7AD2">
        <w:rPr>
          <w:rStyle w:val="FootnoteReference"/>
          <w:rFonts w:ascii="Times New Roman" w:eastAsia="Arial" w:hAnsi="Times New Roman" w:cs="Times New Roman"/>
          <w:sz w:val="24"/>
          <w:szCs w:val="24"/>
          <w:lang w:val="fr-CH" w:eastAsia="fr-FR"/>
        </w:rPr>
        <w:footnoteReference w:id="22"/>
      </w:r>
      <w:r w:rsidR="00DB7AD2" w:rsidRPr="00C84DF6">
        <w:rPr>
          <w:rFonts w:ascii="Times New Roman" w:eastAsia="Arial" w:hAnsi="Times New Roman" w:cs="Times New Roman"/>
          <w:sz w:val="24"/>
          <w:szCs w:val="24"/>
          <w:lang w:val="fr-CH" w:eastAsia="fr-FR"/>
        </w:rPr>
        <w:t>.</w:t>
      </w:r>
    </w:p>
    <w:p w14:paraId="7DD9A1AF" w14:textId="77777777" w:rsidR="00EC3FC4" w:rsidRDefault="00EC3FC4" w:rsidP="00B6391A">
      <w:pPr>
        <w:spacing w:after="120"/>
        <w:jc w:val="both"/>
        <w:rPr>
          <w:rFonts w:ascii="Times New Roman" w:eastAsia="Arial" w:hAnsi="Times New Roman" w:cs="Times New Roman"/>
          <w:sz w:val="24"/>
          <w:szCs w:val="24"/>
          <w:lang w:val="fr-CH" w:eastAsia="fr-FR"/>
        </w:rPr>
      </w:pPr>
    </w:p>
    <w:bookmarkStart w:id="9" w:name="_Toc192599331"/>
    <w:p w14:paraId="1B392861" w14:textId="1BC3C38F" w:rsidR="00FB3665" w:rsidRDefault="00FB3665" w:rsidP="00FB3665">
      <w:pPr>
        <w:pStyle w:val="Heading2"/>
        <w:spacing w:after="120"/>
        <w:ind w:left="720"/>
      </w:pPr>
      <w:r>
        <w:rPr>
          <w:rFonts w:cs="Times New Roman"/>
          <w:noProof/>
          <w:szCs w:val="24"/>
        </w:rPr>
        <mc:AlternateContent>
          <mc:Choice Requires="wps">
            <w:drawing>
              <wp:anchor distT="0" distB="0" distL="114300" distR="114300" simplePos="0" relativeHeight="251663360" behindDoc="0" locked="0" layoutInCell="1" allowOverlap="1" wp14:anchorId="79CF1C19" wp14:editId="5F45FBD1">
                <wp:simplePos x="0" y="0"/>
                <wp:positionH relativeFrom="margin">
                  <wp:align>right</wp:align>
                </wp:positionH>
                <wp:positionV relativeFrom="paragraph">
                  <wp:posOffset>2540</wp:posOffset>
                </wp:positionV>
                <wp:extent cx="5953125" cy="2067636"/>
                <wp:effectExtent l="0" t="0" r="28575" b="27940"/>
                <wp:wrapNone/>
                <wp:docPr id="1065068657" name="Rectangle 2"/>
                <wp:cNvGraphicFramePr/>
                <a:graphic xmlns:a="http://schemas.openxmlformats.org/drawingml/2006/main">
                  <a:graphicData uri="http://schemas.microsoft.com/office/word/2010/wordprocessingShape">
                    <wps:wsp>
                      <wps:cNvSpPr/>
                      <wps:spPr>
                        <a:xfrm>
                          <a:off x="0" y="0"/>
                          <a:ext cx="5953125" cy="2067636"/>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002C5667" w14:textId="77777777" w:rsidR="00EC3FC4" w:rsidRPr="008B6400" w:rsidRDefault="00EC3FC4" w:rsidP="004929AF">
                            <w:p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 xml:space="preserve">L’ACAT-France et la FIACAT invitent le Comité à recommander à la France de : </w:t>
                            </w:r>
                          </w:p>
                          <w:p w14:paraId="3390294E" w14:textId="77EAA797" w:rsidR="00EC3FC4" w:rsidRPr="008B6400" w:rsidRDefault="00EC3FC4" w:rsidP="004929AF">
                            <w:pPr>
                              <w:pStyle w:val="ListParagraph"/>
                              <w:numPr>
                                <w:ilvl w:val="0"/>
                                <w:numId w:val="29"/>
                              </w:numPr>
                              <w:jc w:val="both"/>
                              <w:rPr>
                                <w:rFonts w:ascii="Times New Roman" w:hAnsi="Times New Roman" w:cs="Times New Roman"/>
                                <w:b/>
                                <w:bCs/>
                                <w:i/>
                                <w:iCs/>
                                <w:color w:val="000000" w:themeColor="text1"/>
                                <w:sz w:val="24"/>
                                <w:szCs w:val="24"/>
                                <w:lang w:val="fr-CH"/>
                              </w:rPr>
                            </w:pPr>
                            <w:r w:rsidRPr="008B6400">
                              <w:rPr>
                                <w:rFonts w:ascii="Times New Roman" w:hAnsi="Times New Roman" w:cs="Times New Roman"/>
                                <w:b/>
                                <w:bCs/>
                                <w:color w:val="000000" w:themeColor="text1"/>
                                <w:sz w:val="24"/>
                                <w:szCs w:val="24"/>
                                <w:lang w:val="fr-CH"/>
                              </w:rPr>
                              <w:t>Mettre en place et généraliser le principe de l’encellulement individuel ;</w:t>
                            </w:r>
                          </w:p>
                          <w:p w14:paraId="67C025F7" w14:textId="47EB613C" w:rsidR="004929AF" w:rsidRPr="008B6400" w:rsidRDefault="00EC3FC4" w:rsidP="004929AF">
                            <w:pPr>
                              <w:pStyle w:val="ListParagraph"/>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Intensifier ses efforts pour rendre les conditions de détention conformes à l’Ensemble de règles minima des Nations Unies pour le traitement des détenus (Règles Nelson Mandela), y compris en allouant davantage de ressources à ces efforts ;</w:t>
                            </w:r>
                          </w:p>
                          <w:p w14:paraId="03CFBEA2" w14:textId="2D28FAEB" w:rsidR="00A934A4" w:rsidRPr="008B6400" w:rsidRDefault="00EC3FC4" w:rsidP="004929AF">
                            <w:pPr>
                              <w:pStyle w:val="ListParagraph"/>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Rénover et mettre en conformité le parc carcéral existant ;</w:t>
                            </w:r>
                          </w:p>
                          <w:p w14:paraId="3EEF3A15" w14:textId="77777777" w:rsidR="00EC3FC4" w:rsidRPr="008B6400" w:rsidRDefault="00EC3FC4" w:rsidP="004929AF">
                            <w:pPr>
                              <w:pStyle w:val="ListParagraph"/>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Assurer la vulgarisation des procédures permettant aux personnes détenues de contester leurs conditions de détention et d’obtenir réparation.</w:t>
                            </w:r>
                          </w:p>
                          <w:p w14:paraId="4889F3B6" w14:textId="77777777" w:rsidR="00EC3FC4" w:rsidRPr="004929AF" w:rsidRDefault="00EC3FC4" w:rsidP="004929AF">
                            <w:pPr>
                              <w:jc w:val="both"/>
                              <w:rPr>
                                <w:rFonts w:ascii="Times New Roman" w:hAnsi="Times New Roman" w:cs="Times New Roman"/>
                                <w:b/>
                                <w:bCs/>
                                <w:color w:val="FFFFFF" w:themeColor="background1"/>
                                <w:lang w:val="fr-CH"/>
                              </w:rPr>
                            </w:pPr>
                          </w:p>
                          <w:p w14:paraId="6F575D4A" w14:textId="77777777" w:rsidR="00EC3FC4" w:rsidRDefault="00EC3FC4" w:rsidP="00EC3F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9CF1C19" id="_x0000_s1027" style="position:absolute;left:0;text-align:left;margin-left:417.55pt;margin-top:.2pt;width:468.75pt;height:162.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" fillcolor="#dceaf7 [351]" strokecolor="#042433" strokeweight="1pt">
                <v:textbox>
                  <w:txbxContent>
                    <w:p w14:paraId="002C5667" w14:textId="77777777" w:rsidR="00EC3FC4" w:rsidRPr="008B6400" w:rsidRDefault="00EC3FC4" w:rsidP="004929AF">
                      <w:p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 xml:space="preserve">L’ACAT-France et la FIACAT invitent le Comité à recommander à la France de : </w:t>
                      </w:r>
                    </w:p>
                    <w:p w14:paraId="3390294E" w14:textId="77EAA797" w:rsidR="00EC3FC4" w:rsidRPr="008B6400" w:rsidRDefault="00EC3FC4" w:rsidP="004929AF">
                      <w:pPr>
                        <w:pStyle w:val="Paragraphedeliste"/>
                        <w:numPr>
                          <w:ilvl w:val="0"/>
                          <w:numId w:val="29"/>
                        </w:numPr>
                        <w:jc w:val="both"/>
                        <w:rPr>
                          <w:rFonts w:ascii="Times New Roman" w:hAnsi="Times New Roman" w:cs="Times New Roman"/>
                          <w:b/>
                          <w:bCs/>
                          <w:i/>
                          <w:iCs/>
                          <w:color w:val="000000" w:themeColor="text1"/>
                          <w:sz w:val="24"/>
                          <w:szCs w:val="24"/>
                          <w:lang w:val="fr-CH"/>
                        </w:rPr>
                      </w:pPr>
                      <w:r w:rsidRPr="008B6400">
                        <w:rPr>
                          <w:rFonts w:ascii="Times New Roman" w:hAnsi="Times New Roman" w:cs="Times New Roman"/>
                          <w:b/>
                          <w:bCs/>
                          <w:color w:val="000000" w:themeColor="text1"/>
                          <w:sz w:val="24"/>
                          <w:szCs w:val="24"/>
                          <w:lang w:val="fr-CH"/>
                        </w:rPr>
                        <w:t>Mettre en place et généraliser le principe de l’encellulement individuel ;</w:t>
                      </w:r>
                    </w:p>
                    <w:p w14:paraId="67C025F7" w14:textId="47EB613C" w:rsidR="004929AF" w:rsidRPr="008B6400" w:rsidRDefault="00EC3FC4" w:rsidP="004929AF">
                      <w:pPr>
                        <w:pStyle w:val="Paragraphedeliste"/>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Intensifier ses efforts pour rendre les conditions de détention conformes à l’Ensemble de règles minima des Nations Unies pour le traitement des détenus (Règles Nelson Mandela), y compris en allouant davantage de ressources à ces efforts ;</w:t>
                      </w:r>
                    </w:p>
                    <w:p w14:paraId="03CFBEA2" w14:textId="2D28FAEB" w:rsidR="00A934A4" w:rsidRPr="008B6400" w:rsidRDefault="00EC3FC4" w:rsidP="004929AF">
                      <w:pPr>
                        <w:pStyle w:val="Paragraphedeliste"/>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Rénover et mettre en conformité le parc carcéral existant ;</w:t>
                      </w:r>
                    </w:p>
                    <w:p w14:paraId="3EEF3A15" w14:textId="77777777" w:rsidR="00EC3FC4" w:rsidRPr="008B6400" w:rsidRDefault="00EC3FC4" w:rsidP="004929AF">
                      <w:pPr>
                        <w:pStyle w:val="Paragraphedeliste"/>
                        <w:numPr>
                          <w:ilvl w:val="0"/>
                          <w:numId w:val="29"/>
                        </w:numPr>
                        <w:jc w:val="both"/>
                        <w:rPr>
                          <w:rFonts w:ascii="Times New Roman" w:hAnsi="Times New Roman" w:cs="Times New Roman"/>
                          <w:b/>
                          <w:bCs/>
                          <w:color w:val="000000" w:themeColor="text1"/>
                          <w:sz w:val="24"/>
                          <w:szCs w:val="24"/>
                          <w:lang w:val="fr-CH"/>
                        </w:rPr>
                      </w:pPr>
                      <w:r w:rsidRPr="008B6400">
                        <w:rPr>
                          <w:rFonts w:ascii="Times New Roman" w:hAnsi="Times New Roman" w:cs="Times New Roman"/>
                          <w:b/>
                          <w:bCs/>
                          <w:color w:val="000000" w:themeColor="text1"/>
                          <w:sz w:val="24"/>
                          <w:szCs w:val="24"/>
                          <w:lang w:val="fr-CH"/>
                        </w:rPr>
                        <w:t>Assurer la vulgarisation des procédures permettant aux personnes détenues de contester leurs conditions de détention et d’obtenir réparation.</w:t>
                      </w:r>
                    </w:p>
                    <w:p w14:paraId="4889F3B6" w14:textId="77777777" w:rsidR="00EC3FC4" w:rsidRPr="004929AF" w:rsidRDefault="00EC3FC4" w:rsidP="004929AF">
                      <w:pPr>
                        <w:jc w:val="both"/>
                        <w:rPr>
                          <w:rFonts w:ascii="Times New Roman" w:hAnsi="Times New Roman" w:cs="Times New Roman"/>
                          <w:b/>
                          <w:bCs/>
                          <w:color w:val="FFFFFF" w:themeColor="background1"/>
                          <w:lang w:val="fr-CH"/>
                        </w:rPr>
                      </w:pPr>
                    </w:p>
                    <w:p w14:paraId="6F575D4A" w14:textId="77777777" w:rsidR="00EC3FC4" w:rsidRDefault="00EC3FC4" w:rsidP="00EC3FC4">
                      <w:pPr>
                        <w:jc w:val="center"/>
                      </w:pPr>
                    </w:p>
                  </w:txbxContent>
                </v:textbox>
                <w10:wrap anchorx="margin"/>
              </v:rect>
            </w:pict>
          </mc:Fallback>
        </mc:AlternateContent>
      </w:r>
      <w:bookmarkEnd w:id="9"/>
    </w:p>
    <w:p w14:paraId="6D628F5A" w14:textId="77777777" w:rsidR="00FB3665" w:rsidRDefault="00FB3665" w:rsidP="00FB3665">
      <w:pPr>
        <w:pStyle w:val="Heading2"/>
        <w:spacing w:after="120"/>
        <w:ind w:left="720"/>
      </w:pPr>
    </w:p>
    <w:p w14:paraId="38AD21FE" w14:textId="77777777" w:rsidR="00FB3665" w:rsidRDefault="00FB3665" w:rsidP="00FB3665">
      <w:pPr>
        <w:pStyle w:val="Heading2"/>
        <w:spacing w:after="120"/>
        <w:ind w:left="720"/>
      </w:pPr>
    </w:p>
    <w:p w14:paraId="7B029BEE" w14:textId="77777777" w:rsidR="00FB3665" w:rsidRDefault="00FB3665" w:rsidP="00FB3665">
      <w:pPr>
        <w:pStyle w:val="Heading2"/>
        <w:spacing w:after="120"/>
        <w:ind w:left="720"/>
      </w:pPr>
    </w:p>
    <w:p w14:paraId="0770D2BA" w14:textId="77777777" w:rsidR="00FB3665" w:rsidRDefault="00FB3665" w:rsidP="00FB3665">
      <w:pPr>
        <w:pStyle w:val="Heading2"/>
        <w:spacing w:after="120"/>
        <w:ind w:left="720"/>
      </w:pPr>
    </w:p>
    <w:p w14:paraId="513F6FE2" w14:textId="77777777" w:rsidR="00FB3665" w:rsidRDefault="00FB3665" w:rsidP="00FB3665">
      <w:pPr>
        <w:pStyle w:val="Heading2"/>
        <w:spacing w:after="120"/>
        <w:ind w:left="720"/>
      </w:pPr>
    </w:p>
    <w:p w14:paraId="06CA5421" w14:textId="77777777" w:rsidR="00AE2F75" w:rsidRDefault="00AE2F75" w:rsidP="00AE2F75">
      <w:pPr>
        <w:pStyle w:val="Heading2"/>
        <w:spacing w:after="120"/>
        <w:ind w:left="720"/>
      </w:pPr>
    </w:p>
    <w:p w14:paraId="6FDCEC4A" w14:textId="77777777" w:rsidR="00AE2F75" w:rsidRDefault="00AE2F75" w:rsidP="00AE2F75">
      <w:pPr>
        <w:pStyle w:val="Heading2"/>
        <w:spacing w:after="120"/>
        <w:ind w:left="720"/>
      </w:pPr>
    </w:p>
    <w:p w14:paraId="3D1D2183" w14:textId="1B0A293E" w:rsidR="007A06AB" w:rsidRPr="00674A01" w:rsidRDefault="007A06AB" w:rsidP="00B6391A">
      <w:pPr>
        <w:pStyle w:val="Heading2"/>
        <w:numPr>
          <w:ilvl w:val="0"/>
          <w:numId w:val="16"/>
        </w:numPr>
        <w:spacing w:after="120"/>
      </w:pPr>
      <w:bookmarkStart w:id="10" w:name="_Toc192599332"/>
      <w:r>
        <w:t>Fouilles corporelles</w:t>
      </w:r>
      <w:bookmarkEnd w:id="10"/>
    </w:p>
    <w:p w14:paraId="10DEA7CA" w14:textId="77777777" w:rsidR="00C84DF6" w:rsidRDefault="001A1919"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i/>
          <w:iCs/>
          <w:sz w:val="24"/>
          <w:szCs w:val="24"/>
        </w:rPr>
        <w:t>« Le Comité reste préoccupé par les informations faisant état d’un recours plus fréquent, voire systématique</w:t>
      </w:r>
      <w:r w:rsidR="003A0F4D" w:rsidRPr="00C84DF6">
        <w:rPr>
          <w:rFonts w:ascii="Times New Roman" w:hAnsi="Times New Roman" w:cs="Times New Roman"/>
          <w:i/>
          <w:iCs/>
          <w:sz w:val="24"/>
          <w:szCs w:val="24"/>
        </w:rPr>
        <w:t>, aux fouilles intégrales dans certains établissements »</w:t>
      </w:r>
      <w:r w:rsidR="003A0F4D" w:rsidRPr="000D1D9D">
        <w:rPr>
          <w:rStyle w:val="FootnoteReference"/>
          <w:rFonts w:ascii="Times New Roman" w:hAnsi="Times New Roman" w:cs="Times New Roman"/>
          <w:i/>
          <w:iCs/>
          <w:sz w:val="24"/>
          <w:szCs w:val="24"/>
        </w:rPr>
        <w:footnoteReference w:id="23"/>
      </w:r>
      <w:r w:rsidR="003A0F4D" w:rsidRPr="00C84DF6">
        <w:rPr>
          <w:rFonts w:ascii="Times New Roman" w:hAnsi="Times New Roman" w:cs="Times New Roman"/>
          <w:i/>
          <w:iCs/>
          <w:sz w:val="24"/>
          <w:szCs w:val="24"/>
        </w:rPr>
        <w:t xml:space="preserve">. </w:t>
      </w:r>
    </w:p>
    <w:p w14:paraId="069E5FB0" w14:textId="77777777" w:rsidR="00C84DF6" w:rsidRDefault="00C84DF6" w:rsidP="00C84DF6">
      <w:pPr>
        <w:pStyle w:val="ListParagraph"/>
        <w:spacing w:after="120"/>
        <w:ind w:left="0"/>
        <w:jc w:val="both"/>
        <w:rPr>
          <w:rFonts w:ascii="Times New Roman" w:hAnsi="Times New Roman" w:cs="Times New Roman"/>
          <w:i/>
          <w:iCs/>
          <w:sz w:val="24"/>
          <w:szCs w:val="24"/>
        </w:rPr>
      </w:pPr>
    </w:p>
    <w:p w14:paraId="26CD8BF4" w14:textId="77777777" w:rsidR="00C84DF6" w:rsidRPr="00C84DF6" w:rsidRDefault="005B210E"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Le recours aux fouilles corporelles en détention est strictement encadré par l</w:t>
      </w:r>
      <w:r w:rsidR="001A6F79" w:rsidRPr="00C84DF6">
        <w:rPr>
          <w:rFonts w:ascii="Times New Roman" w:hAnsi="Times New Roman" w:cs="Times New Roman"/>
          <w:sz w:val="24"/>
          <w:szCs w:val="24"/>
        </w:rPr>
        <w:t xml:space="preserve">es </w:t>
      </w:r>
      <w:r w:rsidRPr="00C84DF6">
        <w:rPr>
          <w:rFonts w:ascii="Times New Roman" w:hAnsi="Times New Roman" w:cs="Times New Roman"/>
          <w:sz w:val="24"/>
          <w:szCs w:val="24"/>
        </w:rPr>
        <w:t>article</w:t>
      </w:r>
      <w:r w:rsidR="001A6F79" w:rsidRPr="00C84DF6">
        <w:rPr>
          <w:rFonts w:ascii="Times New Roman" w:hAnsi="Times New Roman" w:cs="Times New Roman"/>
          <w:sz w:val="24"/>
          <w:szCs w:val="24"/>
        </w:rPr>
        <w:t>s</w:t>
      </w:r>
      <w:r w:rsidRPr="00C84DF6">
        <w:rPr>
          <w:rFonts w:ascii="Times New Roman" w:hAnsi="Times New Roman" w:cs="Times New Roman"/>
          <w:sz w:val="24"/>
          <w:szCs w:val="24"/>
        </w:rPr>
        <w:t xml:space="preserve"> </w:t>
      </w:r>
      <w:r w:rsidR="001A6F79" w:rsidRPr="00C84DF6">
        <w:rPr>
          <w:rFonts w:ascii="Times New Roman" w:hAnsi="Times New Roman" w:cs="Times New Roman"/>
          <w:sz w:val="24"/>
          <w:szCs w:val="24"/>
        </w:rPr>
        <w:t>L</w:t>
      </w:r>
      <w:r w:rsidR="009C0CB1" w:rsidRPr="00C84DF6">
        <w:rPr>
          <w:rFonts w:ascii="Times New Roman" w:hAnsi="Times New Roman" w:cs="Times New Roman"/>
          <w:sz w:val="24"/>
          <w:szCs w:val="24"/>
        </w:rPr>
        <w:t>225-1 et suivants</w:t>
      </w:r>
      <w:r w:rsidRPr="00C84DF6">
        <w:rPr>
          <w:rFonts w:ascii="Times New Roman" w:hAnsi="Times New Roman" w:cs="Times New Roman"/>
          <w:sz w:val="24"/>
          <w:szCs w:val="24"/>
        </w:rPr>
        <w:t xml:space="preserve"> </w:t>
      </w:r>
      <w:r w:rsidR="009C0CB1" w:rsidRPr="00C84DF6">
        <w:rPr>
          <w:rFonts w:ascii="Times New Roman" w:hAnsi="Times New Roman" w:cs="Times New Roman"/>
          <w:sz w:val="24"/>
          <w:szCs w:val="24"/>
        </w:rPr>
        <w:t>du Code pénitentiaire</w:t>
      </w:r>
      <w:r w:rsidRPr="00C84DF6">
        <w:rPr>
          <w:rFonts w:ascii="Times New Roman" w:hAnsi="Times New Roman" w:cs="Times New Roman"/>
          <w:sz w:val="24"/>
          <w:szCs w:val="24"/>
        </w:rPr>
        <w:t xml:space="preserve">. </w:t>
      </w:r>
      <w:r w:rsidR="00DC174B" w:rsidRPr="00C84DF6">
        <w:rPr>
          <w:rFonts w:ascii="Times New Roman" w:hAnsi="Times New Roman" w:cs="Times New Roman"/>
          <w:sz w:val="24"/>
          <w:szCs w:val="24"/>
        </w:rPr>
        <w:t>Ce dern</w:t>
      </w:r>
      <w:r w:rsidR="009C0CB1" w:rsidRPr="00C84DF6">
        <w:rPr>
          <w:rFonts w:ascii="Times New Roman" w:hAnsi="Times New Roman" w:cs="Times New Roman"/>
          <w:sz w:val="24"/>
          <w:szCs w:val="24"/>
        </w:rPr>
        <w:t>ier</w:t>
      </w:r>
      <w:r w:rsidR="00DC174B" w:rsidRPr="00C84DF6">
        <w:rPr>
          <w:rFonts w:ascii="Times New Roman" w:hAnsi="Times New Roman" w:cs="Times New Roman"/>
          <w:sz w:val="24"/>
          <w:szCs w:val="24"/>
        </w:rPr>
        <w:t xml:space="preserve"> exige que tout type de fouille (intégrale ou par palpation) soit adapté à la personnalité du détenu et justifié par la présomption d’une infraction </w:t>
      </w:r>
      <w:r w:rsidR="00503C08" w:rsidRPr="00C84DF6">
        <w:rPr>
          <w:rFonts w:ascii="Times New Roman" w:hAnsi="Times New Roman" w:cs="Times New Roman"/>
          <w:sz w:val="24"/>
          <w:szCs w:val="24"/>
        </w:rPr>
        <w:t xml:space="preserve">ou un risque pour la sécurité. </w:t>
      </w:r>
      <w:r w:rsidR="00BE79A6" w:rsidRPr="00C84DF6">
        <w:rPr>
          <w:rFonts w:ascii="Times New Roman" w:hAnsi="Times New Roman" w:cs="Times New Roman"/>
          <w:sz w:val="24"/>
          <w:szCs w:val="24"/>
        </w:rPr>
        <w:t xml:space="preserve">Il prévoit que la pratique des </w:t>
      </w:r>
      <w:r w:rsidR="00503C08" w:rsidRPr="00C84DF6">
        <w:rPr>
          <w:rFonts w:ascii="Times New Roman" w:hAnsi="Times New Roman" w:cs="Times New Roman"/>
          <w:sz w:val="24"/>
          <w:szCs w:val="24"/>
        </w:rPr>
        <w:t>fouilles systématiques</w:t>
      </w:r>
      <w:r w:rsidR="00DB1161" w:rsidRPr="00C84DF6">
        <w:rPr>
          <w:rFonts w:ascii="Times New Roman" w:hAnsi="Times New Roman" w:cs="Times New Roman"/>
          <w:sz w:val="24"/>
          <w:szCs w:val="24"/>
        </w:rPr>
        <w:t xml:space="preserve"> est extrêmement encadré</w:t>
      </w:r>
      <w:r w:rsidR="000C3B22" w:rsidRPr="00C84DF6">
        <w:rPr>
          <w:rFonts w:ascii="Times New Roman" w:hAnsi="Times New Roman" w:cs="Times New Roman"/>
          <w:sz w:val="24"/>
          <w:szCs w:val="24"/>
        </w:rPr>
        <w:t>e</w:t>
      </w:r>
      <w:r w:rsidR="00DB1161" w:rsidRPr="00C84DF6">
        <w:rPr>
          <w:rFonts w:ascii="Times New Roman" w:hAnsi="Times New Roman" w:cs="Times New Roman"/>
          <w:sz w:val="24"/>
          <w:szCs w:val="24"/>
        </w:rPr>
        <w:t xml:space="preserve"> et uniquement autorisé</w:t>
      </w:r>
      <w:r w:rsidR="000C3B22" w:rsidRPr="00C84DF6">
        <w:rPr>
          <w:rFonts w:ascii="Times New Roman" w:hAnsi="Times New Roman" w:cs="Times New Roman"/>
          <w:sz w:val="24"/>
          <w:szCs w:val="24"/>
        </w:rPr>
        <w:t>e</w:t>
      </w:r>
      <w:r w:rsidR="00DB1161" w:rsidRPr="00C84DF6">
        <w:rPr>
          <w:rFonts w:ascii="Times New Roman" w:hAnsi="Times New Roman" w:cs="Times New Roman"/>
          <w:sz w:val="24"/>
          <w:szCs w:val="24"/>
        </w:rPr>
        <w:t xml:space="preserve"> pour des nécessités d’ordre public</w:t>
      </w:r>
      <w:r w:rsidR="00503C08" w:rsidRPr="00C84DF6">
        <w:rPr>
          <w:rFonts w:ascii="Times New Roman" w:hAnsi="Times New Roman" w:cs="Times New Roman"/>
          <w:sz w:val="24"/>
          <w:szCs w:val="24"/>
        </w:rPr>
        <w:t>.</w:t>
      </w:r>
      <w:r w:rsidR="000C3B22" w:rsidRPr="00C84DF6">
        <w:rPr>
          <w:rFonts w:ascii="Times New Roman" w:hAnsi="Times New Roman" w:cs="Times New Roman"/>
          <w:sz w:val="24"/>
          <w:szCs w:val="24"/>
        </w:rPr>
        <w:t xml:space="preserve"> </w:t>
      </w:r>
      <w:r w:rsidR="00F113C0" w:rsidRPr="00C84DF6">
        <w:rPr>
          <w:rFonts w:ascii="Times New Roman" w:hAnsi="Times New Roman" w:cs="Times New Roman"/>
          <w:sz w:val="24"/>
          <w:szCs w:val="24"/>
        </w:rPr>
        <w:t xml:space="preserve">Les fouilles intégrales ne peuvent </w:t>
      </w:r>
      <w:r w:rsidR="00A61AB9" w:rsidRPr="00C84DF6">
        <w:rPr>
          <w:rFonts w:ascii="Times New Roman" w:hAnsi="Times New Roman" w:cs="Times New Roman"/>
          <w:sz w:val="24"/>
          <w:szCs w:val="24"/>
        </w:rPr>
        <w:t xml:space="preserve">par ailleurs intervenir que de manière subsidiaire, lorsque les autres moyens de fouilles s’avèrent insuffisants. </w:t>
      </w:r>
      <w:r w:rsidR="003F1B3E" w:rsidRPr="00C84DF6">
        <w:rPr>
          <w:rFonts w:ascii="Times New Roman" w:hAnsi="Times New Roman" w:cs="Times New Roman"/>
          <w:sz w:val="24"/>
          <w:szCs w:val="24"/>
        </w:rPr>
        <w:t xml:space="preserve">Pourtant, malgré le cadre prévu par la loi, l’administration pénitentiaire s’obstine à maintenir cette pratique. </w:t>
      </w:r>
    </w:p>
    <w:p w14:paraId="367EDC2E" w14:textId="77777777" w:rsidR="00C84DF6" w:rsidRPr="00C84DF6" w:rsidRDefault="00C84DF6" w:rsidP="00C84DF6">
      <w:pPr>
        <w:pStyle w:val="ListParagraph"/>
        <w:rPr>
          <w:rFonts w:ascii="Times New Roman" w:hAnsi="Times New Roman" w:cs="Times New Roman"/>
          <w:sz w:val="24"/>
          <w:szCs w:val="24"/>
        </w:rPr>
      </w:pPr>
    </w:p>
    <w:p w14:paraId="5CB48B34" w14:textId="77777777" w:rsidR="00C84DF6" w:rsidRPr="00C84DF6" w:rsidRDefault="00826516"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 xml:space="preserve">Certains </w:t>
      </w:r>
      <w:r w:rsidR="005C2BC4" w:rsidRPr="00C84DF6">
        <w:rPr>
          <w:rFonts w:ascii="Times New Roman" w:hAnsi="Times New Roman" w:cs="Times New Roman"/>
          <w:sz w:val="24"/>
          <w:szCs w:val="24"/>
        </w:rPr>
        <w:t xml:space="preserve">directeurs d’établissements pénitentiaires </w:t>
      </w:r>
      <w:r w:rsidR="004F03A4" w:rsidRPr="00C84DF6">
        <w:rPr>
          <w:rFonts w:ascii="Times New Roman" w:hAnsi="Times New Roman" w:cs="Times New Roman"/>
          <w:sz w:val="24"/>
          <w:szCs w:val="24"/>
        </w:rPr>
        <w:t xml:space="preserve">ont même mis en place un régime de fouilles </w:t>
      </w:r>
      <w:r w:rsidR="000411EC" w:rsidRPr="00C84DF6">
        <w:rPr>
          <w:rFonts w:ascii="Times New Roman" w:hAnsi="Times New Roman" w:cs="Times New Roman"/>
          <w:sz w:val="24"/>
          <w:szCs w:val="24"/>
        </w:rPr>
        <w:t>corporelles intégrales</w:t>
      </w:r>
      <w:r w:rsidR="004F03A4" w:rsidRPr="00C84DF6">
        <w:rPr>
          <w:rFonts w:ascii="Times New Roman" w:hAnsi="Times New Roman" w:cs="Times New Roman"/>
          <w:sz w:val="24"/>
          <w:szCs w:val="24"/>
        </w:rPr>
        <w:t xml:space="preserve"> </w:t>
      </w:r>
      <w:r w:rsidR="000411EC" w:rsidRPr="00C84DF6">
        <w:rPr>
          <w:rFonts w:ascii="Times New Roman" w:hAnsi="Times New Roman" w:cs="Times New Roman"/>
          <w:sz w:val="24"/>
          <w:szCs w:val="24"/>
        </w:rPr>
        <w:t xml:space="preserve">systématiques des détenus au retour des parloirs. </w:t>
      </w:r>
      <w:r w:rsidR="00FB6DB6" w:rsidRPr="00C84DF6">
        <w:rPr>
          <w:rFonts w:ascii="Times New Roman" w:hAnsi="Times New Roman" w:cs="Times New Roman"/>
          <w:sz w:val="24"/>
          <w:szCs w:val="24"/>
        </w:rPr>
        <w:t xml:space="preserve">A ce sujet, plusieurs établissements ont été sanctionnés par le juge administratif. </w:t>
      </w:r>
      <w:r w:rsidR="00D953B0" w:rsidRPr="00C84DF6">
        <w:rPr>
          <w:rFonts w:ascii="Times New Roman" w:hAnsi="Times New Roman" w:cs="Times New Roman"/>
          <w:sz w:val="24"/>
          <w:szCs w:val="24"/>
        </w:rPr>
        <w:t xml:space="preserve">La cour </w:t>
      </w:r>
      <w:r w:rsidR="00421206" w:rsidRPr="00C84DF6">
        <w:rPr>
          <w:rFonts w:ascii="Times New Roman" w:hAnsi="Times New Roman" w:cs="Times New Roman"/>
          <w:sz w:val="24"/>
          <w:szCs w:val="24"/>
        </w:rPr>
        <w:t xml:space="preserve">administrative </w:t>
      </w:r>
      <w:r w:rsidR="00D953B0" w:rsidRPr="00C84DF6">
        <w:rPr>
          <w:rFonts w:ascii="Times New Roman" w:hAnsi="Times New Roman" w:cs="Times New Roman"/>
          <w:sz w:val="24"/>
          <w:szCs w:val="24"/>
        </w:rPr>
        <w:t xml:space="preserve">d’appel </w:t>
      </w:r>
      <w:r w:rsidR="00421206" w:rsidRPr="00C84DF6">
        <w:rPr>
          <w:rFonts w:ascii="Times New Roman" w:hAnsi="Times New Roman" w:cs="Times New Roman"/>
          <w:sz w:val="24"/>
          <w:szCs w:val="24"/>
        </w:rPr>
        <w:t xml:space="preserve">de Douai a </w:t>
      </w:r>
      <w:r w:rsidR="001468DE" w:rsidRPr="00C84DF6">
        <w:rPr>
          <w:rFonts w:ascii="Times New Roman" w:hAnsi="Times New Roman" w:cs="Times New Roman"/>
          <w:sz w:val="24"/>
          <w:szCs w:val="24"/>
        </w:rPr>
        <w:t xml:space="preserve">annulé </w:t>
      </w:r>
      <w:r w:rsidR="00241F88" w:rsidRPr="00C84DF6">
        <w:rPr>
          <w:rFonts w:ascii="Times New Roman" w:hAnsi="Times New Roman" w:cs="Times New Roman"/>
          <w:sz w:val="24"/>
          <w:szCs w:val="24"/>
        </w:rPr>
        <w:t xml:space="preserve">pour excès de pouvoir la décision par laquelle le directeur du centre pénitentiaire de Maubeuge </w:t>
      </w:r>
      <w:r w:rsidR="00054E93" w:rsidRPr="00C84DF6">
        <w:rPr>
          <w:rFonts w:ascii="Times New Roman" w:hAnsi="Times New Roman" w:cs="Times New Roman"/>
          <w:sz w:val="24"/>
          <w:szCs w:val="24"/>
        </w:rPr>
        <w:t>a instauré un régime de fouilles corporelles intégrales systématiques des détenus au retour des parloirs</w:t>
      </w:r>
      <w:r w:rsidR="00621872">
        <w:rPr>
          <w:rStyle w:val="FootnoteReference"/>
          <w:rFonts w:ascii="Times New Roman" w:hAnsi="Times New Roman" w:cs="Times New Roman"/>
          <w:sz w:val="24"/>
          <w:szCs w:val="24"/>
        </w:rPr>
        <w:footnoteReference w:id="24"/>
      </w:r>
      <w:r w:rsidR="00054E93" w:rsidRPr="00C84DF6">
        <w:rPr>
          <w:rFonts w:ascii="Times New Roman" w:hAnsi="Times New Roman" w:cs="Times New Roman"/>
          <w:sz w:val="24"/>
          <w:szCs w:val="24"/>
        </w:rPr>
        <w:t xml:space="preserve">. </w:t>
      </w:r>
      <w:r w:rsidR="00E64677" w:rsidRPr="00C84DF6">
        <w:rPr>
          <w:rFonts w:ascii="Times New Roman" w:hAnsi="Times New Roman" w:cs="Times New Roman"/>
          <w:sz w:val="24"/>
          <w:szCs w:val="24"/>
        </w:rPr>
        <w:t xml:space="preserve">Ainsi selon </w:t>
      </w:r>
      <w:r w:rsidR="00D13589" w:rsidRPr="00C84DF6">
        <w:rPr>
          <w:rFonts w:ascii="Times New Roman" w:hAnsi="Times New Roman" w:cs="Times New Roman"/>
          <w:sz w:val="24"/>
          <w:szCs w:val="24"/>
        </w:rPr>
        <w:t>les règles conformes à la jurisprudence du juge administratif et de la CEDH</w:t>
      </w:r>
      <w:r w:rsidR="00D13589">
        <w:rPr>
          <w:rStyle w:val="FootnoteReference"/>
          <w:rFonts w:ascii="Times New Roman" w:hAnsi="Times New Roman" w:cs="Times New Roman"/>
          <w:sz w:val="24"/>
          <w:szCs w:val="24"/>
        </w:rPr>
        <w:footnoteReference w:id="25"/>
      </w:r>
      <w:r w:rsidR="009551F9" w:rsidRPr="00C84DF6">
        <w:rPr>
          <w:rFonts w:ascii="Times New Roman" w:hAnsi="Times New Roman" w:cs="Times New Roman"/>
          <w:sz w:val="24"/>
          <w:szCs w:val="24"/>
        </w:rPr>
        <w:t xml:space="preserve"> </w:t>
      </w:r>
      <w:r w:rsidR="006F5BE2" w:rsidRPr="00C84DF6">
        <w:rPr>
          <w:rFonts w:ascii="Times New Roman" w:hAnsi="Times New Roman" w:cs="Times New Roman"/>
          <w:sz w:val="24"/>
          <w:szCs w:val="24"/>
        </w:rPr>
        <w:t>toute</w:t>
      </w:r>
      <w:r w:rsidR="00B55F17" w:rsidRPr="00C84DF6">
        <w:rPr>
          <w:rFonts w:ascii="Times New Roman" w:hAnsi="Times New Roman" w:cs="Times New Roman"/>
          <w:sz w:val="24"/>
          <w:szCs w:val="24"/>
        </w:rPr>
        <w:t xml:space="preserve"> décision de fouille corporelle intégrale doit être fondée sur les principes de nécessité et de proportionnalité ainsi que dans le respect de la dignité des personnes détenues</w:t>
      </w:r>
      <w:r w:rsidR="00526E01" w:rsidRPr="00C84DF6">
        <w:rPr>
          <w:rFonts w:ascii="Times New Roman" w:hAnsi="Times New Roman" w:cs="Times New Roman"/>
          <w:sz w:val="24"/>
          <w:szCs w:val="24"/>
        </w:rPr>
        <w:t xml:space="preserve">. </w:t>
      </w:r>
    </w:p>
    <w:p w14:paraId="154D2096" w14:textId="77777777" w:rsidR="00C84DF6" w:rsidRDefault="00C84DF6" w:rsidP="00C84DF6">
      <w:pPr>
        <w:pStyle w:val="ListParagraph"/>
        <w:rPr>
          <w:rFonts w:ascii="Times New Roman" w:hAnsi="Times New Roman" w:cs="Times New Roman"/>
          <w:sz w:val="24"/>
          <w:szCs w:val="24"/>
        </w:rPr>
      </w:pPr>
    </w:p>
    <w:p w14:paraId="4340D069" w14:textId="77777777" w:rsidR="00EF1D0C" w:rsidRPr="00C84DF6" w:rsidRDefault="00EF1D0C" w:rsidP="00C84DF6">
      <w:pPr>
        <w:pStyle w:val="ListParagraph"/>
        <w:rPr>
          <w:rFonts w:ascii="Times New Roman" w:hAnsi="Times New Roman" w:cs="Times New Roman"/>
          <w:sz w:val="24"/>
          <w:szCs w:val="24"/>
        </w:rPr>
      </w:pPr>
    </w:p>
    <w:p w14:paraId="0774A13B" w14:textId="77777777" w:rsidR="00C84DF6" w:rsidRPr="00C84DF6" w:rsidRDefault="00526E01"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 xml:space="preserve">Pourtant, le </w:t>
      </w:r>
      <w:r w:rsidR="00356C21" w:rsidRPr="00C84DF6">
        <w:rPr>
          <w:rFonts w:ascii="Times New Roman" w:hAnsi="Times New Roman" w:cs="Times New Roman"/>
          <w:sz w:val="24"/>
          <w:szCs w:val="24"/>
        </w:rPr>
        <w:t>21 janvier 2025</w:t>
      </w:r>
      <w:r w:rsidR="006973A5" w:rsidRPr="00C84DF6">
        <w:rPr>
          <w:rFonts w:ascii="Times New Roman" w:hAnsi="Times New Roman" w:cs="Times New Roman"/>
          <w:sz w:val="24"/>
          <w:szCs w:val="24"/>
        </w:rPr>
        <w:t>,</w:t>
      </w:r>
      <w:r w:rsidR="00356C21" w:rsidRPr="00C84DF6">
        <w:rPr>
          <w:rFonts w:ascii="Times New Roman" w:hAnsi="Times New Roman" w:cs="Times New Roman"/>
          <w:sz w:val="24"/>
          <w:szCs w:val="24"/>
        </w:rPr>
        <w:t xml:space="preserve"> un </w:t>
      </w:r>
      <w:r w:rsidR="00BF617B" w:rsidRPr="00C84DF6">
        <w:rPr>
          <w:rFonts w:ascii="Times New Roman" w:hAnsi="Times New Roman" w:cs="Times New Roman"/>
          <w:sz w:val="24"/>
          <w:szCs w:val="24"/>
        </w:rPr>
        <w:t>jeune homme de 17 ans détenu au centre pénitentiaire de Seine-Saint-Denis</w:t>
      </w:r>
      <w:r w:rsidR="006973A5" w:rsidRPr="00C84DF6">
        <w:rPr>
          <w:rFonts w:ascii="Times New Roman" w:hAnsi="Times New Roman" w:cs="Times New Roman"/>
          <w:sz w:val="24"/>
          <w:szCs w:val="24"/>
        </w:rPr>
        <w:t xml:space="preserve"> a subi une fouille intégrale alors qu’il sortait d’un entretien au parloir avec une psychologue de la Protection judiciaire de la jeunesse (PJJ). Le cas, documenté par la section française de l’Observatoire international des prisons (OIP)</w:t>
      </w:r>
      <w:r w:rsidR="00B52A55" w:rsidRPr="00C84DF6">
        <w:rPr>
          <w:rFonts w:ascii="Times New Roman" w:hAnsi="Times New Roman" w:cs="Times New Roman"/>
          <w:sz w:val="24"/>
          <w:szCs w:val="24"/>
        </w:rPr>
        <w:t>, apparait comme une sanction déguisée envers le jeune, ne respectant aucun cadre légal</w:t>
      </w:r>
      <w:r w:rsidR="00B52A55">
        <w:rPr>
          <w:rStyle w:val="FootnoteReference"/>
          <w:rFonts w:ascii="Times New Roman" w:hAnsi="Times New Roman" w:cs="Times New Roman"/>
          <w:sz w:val="24"/>
          <w:szCs w:val="24"/>
        </w:rPr>
        <w:footnoteReference w:id="26"/>
      </w:r>
      <w:r w:rsidR="00B52A55" w:rsidRPr="00C84DF6">
        <w:rPr>
          <w:rFonts w:ascii="Times New Roman" w:hAnsi="Times New Roman" w:cs="Times New Roman"/>
          <w:sz w:val="24"/>
          <w:szCs w:val="24"/>
        </w:rPr>
        <w:t xml:space="preserve">. </w:t>
      </w:r>
      <w:r w:rsidR="00EB6653" w:rsidRPr="00C84DF6">
        <w:rPr>
          <w:rFonts w:ascii="Times New Roman" w:hAnsi="Times New Roman" w:cs="Times New Roman"/>
          <w:sz w:val="24"/>
          <w:szCs w:val="24"/>
        </w:rPr>
        <w:t xml:space="preserve">De plus, </w:t>
      </w:r>
      <w:r w:rsidR="00173977" w:rsidRPr="00C84DF6">
        <w:rPr>
          <w:rFonts w:ascii="Times New Roman" w:hAnsi="Times New Roman" w:cs="Times New Roman"/>
          <w:sz w:val="24"/>
          <w:szCs w:val="24"/>
        </w:rPr>
        <w:t xml:space="preserve">la fouille n’a pas été tracée dans le logiciel de suivi de l’administration pénitentiaire, passant sous silence cet épisode </w:t>
      </w:r>
      <w:r w:rsidR="00E6429D" w:rsidRPr="00C84DF6">
        <w:rPr>
          <w:rFonts w:ascii="Times New Roman" w:hAnsi="Times New Roman" w:cs="Times New Roman"/>
          <w:sz w:val="24"/>
          <w:szCs w:val="24"/>
        </w:rPr>
        <w:t xml:space="preserve">au cours de la détention du jeune homme. </w:t>
      </w:r>
    </w:p>
    <w:p w14:paraId="205A030B" w14:textId="77777777" w:rsidR="00C84DF6" w:rsidRPr="00C84DF6" w:rsidRDefault="00C84DF6" w:rsidP="00C84DF6">
      <w:pPr>
        <w:pStyle w:val="ListParagraph"/>
        <w:rPr>
          <w:rFonts w:ascii="Times New Roman" w:hAnsi="Times New Roman" w:cs="Times New Roman"/>
          <w:sz w:val="24"/>
          <w:szCs w:val="24"/>
        </w:rPr>
      </w:pPr>
    </w:p>
    <w:p w14:paraId="1E59D1D0" w14:textId="77777777" w:rsidR="00C84DF6" w:rsidRPr="00C84DF6" w:rsidRDefault="00AA2FA9"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L</w:t>
      </w:r>
      <w:r w:rsidR="007B6371" w:rsidRPr="00C84DF6">
        <w:rPr>
          <w:rFonts w:ascii="Times New Roman" w:hAnsi="Times New Roman" w:cs="Times New Roman"/>
          <w:sz w:val="24"/>
          <w:szCs w:val="24"/>
        </w:rPr>
        <w:t>’Assemblée générale des N</w:t>
      </w:r>
      <w:r w:rsidRPr="00C84DF6">
        <w:rPr>
          <w:rFonts w:ascii="Times New Roman" w:hAnsi="Times New Roman" w:cs="Times New Roman"/>
          <w:sz w:val="24"/>
          <w:szCs w:val="24"/>
        </w:rPr>
        <w:t xml:space="preserve">ations unies </w:t>
      </w:r>
      <w:r w:rsidR="007B6371" w:rsidRPr="00C84DF6">
        <w:rPr>
          <w:rFonts w:ascii="Times New Roman" w:hAnsi="Times New Roman" w:cs="Times New Roman"/>
          <w:sz w:val="24"/>
          <w:szCs w:val="24"/>
        </w:rPr>
        <w:t>insiste, par le biais des « </w:t>
      </w:r>
      <w:r w:rsidR="007B6371" w:rsidRPr="00C84DF6">
        <w:rPr>
          <w:rFonts w:ascii="Times New Roman" w:hAnsi="Times New Roman" w:cs="Times New Roman"/>
          <w:i/>
          <w:iCs/>
          <w:sz w:val="24"/>
          <w:szCs w:val="24"/>
        </w:rPr>
        <w:t>règles Nelson Mandela</w:t>
      </w:r>
      <w:r w:rsidR="007B6371" w:rsidRPr="00C84DF6">
        <w:rPr>
          <w:rFonts w:ascii="Times New Roman" w:hAnsi="Times New Roman" w:cs="Times New Roman"/>
          <w:sz w:val="24"/>
          <w:szCs w:val="24"/>
        </w:rPr>
        <w:t> »</w:t>
      </w:r>
      <w:r w:rsidR="00CC4115" w:rsidRPr="00C84DF6">
        <w:rPr>
          <w:rFonts w:ascii="Times New Roman" w:hAnsi="Times New Roman" w:cs="Times New Roman"/>
          <w:sz w:val="24"/>
          <w:szCs w:val="24"/>
        </w:rPr>
        <w:t>, sur l’importance de suivi des fouilles corporelles</w:t>
      </w:r>
      <w:r w:rsidR="00F769C0" w:rsidRPr="00C84DF6">
        <w:rPr>
          <w:rFonts w:ascii="Times New Roman" w:hAnsi="Times New Roman" w:cs="Times New Roman"/>
          <w:sz w:val="24"/>
          <w:szCs w:val="24"/>
        </w:rPr>
        <w:t xml:space="preserve"> intégrales afin de responsabiliser l’administration pénitentiaire. Ces règles rappellent </w:t>
      </w:r>
      <w:r w:rsidR="000206CD" w:rsidRPr="00C84DF6">
        <w:rPr>
          <w:rFonts w:ascii="Times New Roman" w:hAnsi="Times New Roman" w:cs="Times New Roman"/>
          <w:sz w:val="24"/>
          <w:szCs w:val="24"/>
        </w:rPr>
        <w:t>que les fouilles ne « </w:t>
      </w:r>
      <w:r w:rsidR="000206CD" w:rsidRPr="00C84DF6">
        <w:rPr>
          <w:rFonts w:ascii="Times New Roman" w:hAnsi="Times New Roman" w:cs="Times New Roman"/>
          <w:i/>
          <w:iCs/>
          <w:sz w:val="24"/>
          <w:szCs w:val="24"/>
        </w:rPr>
        <w:t>doivent pas être un moyen de harceler ou d’intimider un détenu, ou de porter inutilement atteinte à sa vie privée</w:t>
      </w:r>
      <w:r w:rsidR="000206CD" w:rsidRPr="00C84DF6">
        <w:rPr>
          <w:rFonts w:ascii="Times New Roman" w:hAnsi="Times New Roman" w:cs="Times New Roman"/>
          <w:sz w:val="24"/>
          <w:szCs w:val="24"/>
        </w:rPr>
        <w:t> »</w:t>
      </w:r>
      <w:r w:rsidR="000206CD">
        <w:rPr>
          <w:rStyle w:val="FootnoteReference"/>
          <w:rFonts w:ascii="Times New Roman" w:hAnsi="Times New Roman" w:cs="Times New Roman"/>
          <w:sz w:val="24"/>
          <w:szCs w:val="24"/>
        </w:rPr>
        <w:footnoteReference w:id="27"/>
      </w:r>
      <w:r w:rsidR="000206CD" w:rsidRPr="00C84DF6">
        <w:rPr>
          <w:rFonts w:ascii="Times New Roman" w:hAnsi="Times New Roman" w:cs="Times New Roman"/>
          <w:sz w:val="24"/>
          <w:szCs w:val="24"/>
        </w:rPr>
        <w:t xml:space="preserve">. </w:t>
      </w:r>
    </w:p>
    <w:p w14:paraId="76D2CD3C" w14:textId="77777777" w:rsidR="00C84DF6" w:rsidRPr="00C84DF6" w:rsidRDefault="00C84DF6" w:rsidP="00C84DF6">
      <w:pPr>
        <w:pStyle w:val="ListParagraph"/>
        <w:rPr>
          <w:rFonts w:ascii="Times New Roman" w:hAnsi="Times New Roman" w:cs="Times New Roman"/>
          <w:sz w:val="24"/>
          <w:szCs w:val="24"/>
        </w:rPr>
      </w:pPr>
    </w:p>
    <w:p w14:paraId="46D0B36A" w14:textId="77777777" w:rsidR="00C84DF6" w:rsidRPr="00C84DF6" w:rsidRDefault="00E6429D"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 xml:space="preserve">Le CGLPL </w:t>
      </w:r>
      <w:r w:rsidR="00F34045" w:rsidRPr="00C84DF6">
        <w:rPr>
          <w:rFonts w:ascii="Times New Roman" w:hAnsi="Times New Roman" w:cs="Times New Roman"/>
          <w:sz w:val="24"/>
          <w:szCs w:val="24"/>
        </w:rPr>
        <w:t xml:space="preserve">lui-même, ne cesse de signaler des atteintes à la dignité humaine à l’occasion de fouilles intégrales pratiquées en détention : </w:t>
      </w:r>
      <w:r w:rsidR="00F9319A" w:rsidRPr="00C84DF6">
        <w:rPr>
          <w:rFonts w:ascii="Times New Roman" w:hAnsi="Times New Roman" w:cs="Times New Roman"/>
          <w:sz w:val="24"/>
          <w:szCs w:val="24"/>
        </w:rPr>
        <w:t>elles demeurent généralement très nombreuses, ne sont pas motivées et ne respectent pas les principes de proportionnalité et de nécessité</w:t>
      </w:r>
      <w:r w:rsidR="00637322">
        <w:rPr>
          <w:rStyle w:val="FootnoteReference"/>
          <w:rFonts w:ascii="Times New Roman" w:hAnsi="Times New Roman" w:cs="Times New Roman"/>
          <w:sz w:val="24"/>
          <w:szCs w:val="24"/>
        </w:rPr>
        <w:footnoteReference w:id="28"/>
      </w:r>
      <w:r w:rsidR="00F9319A" w:rsidRPr="00C84DF6">
        <w:rPr>
          <w:rFonts w:ascii="Times New Roman" w:hAnsi="Times New Roman" w:cs="Times New Roman"/>
          <w:sz w:val="24"/>
          <w:szCs w:val="24"/>
        </w:rPr>
        <w:t xml:space="preserve">. </w:t>
      </w:r>
    </w:p>
    <w:p w14:paraId="4F7FD6FA" w14:textId="77777777" w:rsidR="00C84DF6" w:rsidRPr="00C84DF6" w:rsidRDefault="00C84DF6" w:rsidP="00C84DF6">
      <w:pPr>
        <w:pStyle w:val="ListParagraph"/>
        <w:rPr>
          <w:rFonts w:ascii="Times New Roman" w:hAnsi="Times New Roman" w:cs="Times New Roman"/>
          <w:sz w:val="24"/>
          <w:szCs w:val="24"/>
        </w:rPr>
      </w:pPr>
    </w:p>
    <w:p w14:paraId="5758DFE8" w14:textId="4E3E4B04" w:rsidR="001D5CA2" w:rsidRPr="00C84DF6" w:rsidRDefault="00DA190A" w:rsidP="00B6391A">
      <w:pPr>
        <w:pStyle w:val="ListParagraph"/>
        <w:numPr>
          <w:ilvl w:val="0"/>
          <w:numId w:val="35"/>
        </w:numPr>
        <w:spacing w:after="120"/>
        <w:ind w:left="0"/>
        <w:jc w:val="both"/>
        <w:rPr>
          <w:rFonts w:ascii="Times New Roman" w:hAnsi="Times New Roman" w:cs="Times New Roman"/>
          <w:i/>
          <w:iCs/>
          <w:sz w:val="24"/>
          <w:szCs w:val="24"/>
        </w:rPr>
      </w:pPr>
      <w:r w:rsidRPr="00C84DF6">
        <w:rPr>
          <w:rFonts w:ascii="Times New Roman" w:hAnsi="Times New Roman" w:cs="Times New Roman"/>
          <w:sz w:val="24"/>
          <w:szCs w:val="24"/>
        </w:rPr>
        <w:t xml:space="preserve">Le centre </w:t>
      </w:r>
      <w:r w:rsidR="00837781" w:rsidRPr="00C84DF6">
        <w:rPr>
          <w:rFonts w:ascii="Times New Roman" w:hAnsi="Times New Roman" w:cs="Times New Roman"/>
          <w:sz w:val="24"/>
          <w:szCs w:val="24"/>
        </w:rPr>
        <w:t>pénitentiaire de Perpignan a récemment été épinglé par le CGLPL</w:t>
      </w:r>
      <w:r w:rsidR="00257C8C" w:rsidRPr="00C84DF6">
        <w:rPr>
          <w:rFonts w:ascii="Times New Roman" w:hAnsi="Times New Roman" w:cs="Times New Roman"/>
          <w:sz w:val="24"/>
          <w:szCs w:val="24"/>
        </w:rPr>
        <w:t xml:space="preserve"> pour sa pratique des fouilles intégrales</w:t>
      </w:r>
      <w:r w:rsidR="00837781" w:rsidRPr="00C84DF6">
        <w:rPr>
          <w:rFonts w:ascii="Times New Roman" w:hAnsi="Times New Roman" w:cs="Times New Roman"/>
          <w:sz w:val="24"/>
          <w:szCs w:val="24"/>
        </w:rPr>
        <w:t xml:space="preserve">. Au cours de sa visite en </w:t>
      </w:r>
      <w:r w:rsidR="00BF200D" w:rsidRPr="00C84DF6">
        <w:rPr>
          <w:rFonts w:ascii="Times New Roman" w:hAnsi="Times New Roman" w:cs="Times New Roman"/>
          <w:sz w:val="24"/>
          <w:szCs w:val="24"/>
        </w:rPr>
        <w:t xml:space="preserve">mars 2023, le CGLPL avait constaté un </w:t>
      </w:r>
      <w:r w:rsidR="00DF07E5" w:rsidRPr="00C84DF6">
        <w:rPr>
          <w:rFonts w:ascii="Times New Roman" w:hAnsi="Times New Roman" w:cs="Times New Roman"/>
          <w:sz w:val="24"/>
          <w:szCs w:val="24"/>
        </w:rPr>
        <w:t>« </w:t>
      </w:r>
      <w:r w:rsidR="00BF200D" w:rsidRPr="00C84DF6">
        <w:rPr>
          <w:rFonts w:ascii="Times New Roman" w:hAnsi="Times New Roman" w:cs="Times New Roman"/>
          <w:i/>
          <w:iCs/>
          <w:sz w:val="24"/>
          <w:szCs w:val="24"/>
        </w:rPr>
        <w:t xml:space="preserve">recours massif et systématique à des mesures de fouilles intégrales mises en œuvre selon des modalités </w:t>
      </w:r>
      <w:r w:rsidR="00DF07E5" w:rsidRPr="00C84DF6">
        <w:rPr>
          <w:rFonts w:ascii="Times New Roman" w:hAnsi="Times New Roman" w:cs="Times New Roman"/>
          <w:i/>
          <w:iCs/>
          <w:sz w:val="24"/>
          <w:szCs w:val="24"/>
        </w:rPr>
        <w:t>non conformes au droit</w:t>
      </w:r>
      <w:r w:rsidR="00DF07E5" w:rsidRPr="00C84DF6">
        <w:rPr>
          <w:rFonts w:ascii="Times New Roman" w:hAnsi="Times New Roman" w:cs="Times New Roman"/>
          <w:sz w:val="24"/>
          <w:szCs w:val="24"/>
        </w:rPr>
        <w:t> »</w:t>
      </w:r>
      <w:r w:rsidR="00DF07E5">
        <w:rPr>
          <w:rStyle w:val="FootnoteReference"/>
          <w:rFonts w:ascii="Times New Roman" w:hAnsi="Times New Roman" w:cs="Times New Roman"/>
          <w:sz w:val="24"/>
          <w:szCs w:val="24"/>
        </w:rPr>
        <w:footnoteReference w:id="29"/>
      </w:r>
      <w:r w:rsidR="00DF07E5" w:rsidRPr="00C84DF6">
        <w:rPr>
          <w:rFonts w:ascii="Times New Roman" w:hAnsi="Times New Roman" w:cs="Times New Roman"/>
          <w:sz w:val="24"/>
          <w:szCs w:val="24"/>
        </w:rPr>
        <w:t>.</w:t>
      </w:r>
      <w:r w:rsidR="005A66A1" w:rsidRPr="00C84DF6">
        <w:rPr>
          <w:rFonts w:ascii="Times New Roman" w:hAnsi="Times New Roman" w:cs="Times New Roman"/>
          <w:sz w:val="24"/>
          <w:szCs w:val="24"/>
        </w:rPr>
        <w:t xml:space="preserve"> </w:t>
      </w:r>
      <w:r w:rsidR="00954769" w:rsidRPr="00C84DF6">
        <w:rPr>
          <w:rFonts w:ascii="Times New Roman" w:hAnsi="Times New Roman" w:cs="Times New Roman"/>
          <w:sz w:val="24"/>
          <w:szCs w:val="24"/>
        </w:rPr>
        <w:t>Si une seconde visite en avril 2023 s’était révélée encourageante</w:t>
      </w:r>
      <w:r w:rsidR="00473ABB" w:rsidRPr="00C84DF6">
        <w:rPr>
          <w:rFonts w:ascii="Times New Roman" w:hAnsi="Times New Roman" w:cs="Times New Roman"/>
          <w:sz w:val="24"/>
          <w:szCs w:val="24"/>
        </w:rPr>
        <w:t xml:space="preserve">, des manquements liés à la traçabilité et à la réalisation des fouilles dans des milieux non adaptés étaient encore observés. </w:t>
      </w:r>
      <w:r w:rsidR="005E3164" w:rsidRPr="00C84DF6">
        <w:rPr>
          <w:rFonts w:ascii="Times New Roman" w:hAnsi="Times New Roman" w:cs="Times New Roman"/>
          <w:sz w:val="24"/>
          <w:szCs w:val="24"/>
        </w:rPr>
        <w:t xml:space="preserve">Dans </w:t>
      </w:r>
      <w:r w:rsidR="00616712" w:rsidRPr="00C84DF6">
        <w:rPr>
          <w:rFonts w:ascii="Times New Roman" w:hAnsi="Times New Roman" w:cs="Times New Roman"/>
          <w:sz w:val="24"/>
          <w:szCs w:val="24"/>
        </w:rPr>
        <w:t xml:space="preserve">son rapport d’activité de 2023, le CGLPL </w:t>
      </w:r>
      <w:r w:rsidR="00AC12E6" w:rsidRPr="00C84DF6">
        <w:rPr>
          <w:rFonts w:ascii="Times New Roman" w:hAnsi="Times New Roman" w:cs="Times New Roman"/>
          <w:sz w:val="24"/>
          <w:szCs w:val="24"/>
        </w:rPr>
        <w:t>a</w:t>
      </w:r>
      <w:r w:rsidR="005E3164" w:rsidRPr="00C84DF6">
        <w:rPr>
          <w:rFonts w:ascii="Times New Roman" w:hAnsi="Times New Roman" w:cs="Times New Roman"/>
          <w:sz w:val="24"/>
          <w:szCs w:val="24"/>
        </w:rPr>
        <w:t xml:space="preserve">ffirme avoir </w:t>
      </w:r>
      <w:r w:rsidR="00AC12E6" w:rsidRPr="00C84DF6">
        <w:rPr>
          <w:rFonts w:ascii="Times New Roman" w:hAnsi="Times New Roman" w:cs="Times New Roman"/>
          <w:sz w:val="24"/>
          <w:szCs w:val="24"/>
        </w:rPr>
        <w:t>systématiquement formulé des recommandations relatives à la pratique des fouilles intégrales</w:t>
      </w:r>
      <w:r w:rsidR="00761110" w:rsidRPr="00C84DF6">
        <w:rPr>
          <w:rFonts w:ascii="Times New Roman" w:hAnsi="Times New Roman" w:cs="Times New Roman"/>
          <w:sz w:val="24"/>
          <w:szCs w:val="24"/>
        </w:rPr>
        <w:t xml:space="preserve"> dans les établissements visités. Ces recommandations visent principalement à ce que les fouilles soient </w:t>
      </w:r>
      <w:r w:rsidR="003E1382" w:rsidRPr="00C84DF6">
        <w:rPr>
          <w:rFonts w:ascii="Times New Roman" w:hAnsi="Times New Roman" w:cs="Times New Roman"/>
          <w:sz w:val="24"/>
          <w:szCs w:val="24"/>
        </w:rPr>
        <w:t>« </w:t>
      </w:r>
      <w:r w:rsidR="00761110" w:rsidRPr="00C84DF6">
        <w:rPr>
          <w:rFonts w:ascii="Times New Roman" w:hAnsi="Times New Roman" w:cs="Times New Roman"/>
          <w:i/>
          <w:iCs/>
          <w:sz w:val="24"/>
          <w:szCs w:val="24"/>
        </w:rPr>
        <w:t xml:space="preserve">strictement nécessaires et individualisées et que les </w:t>
      </w:r>
      <w:r w:rsidR="003E1382" w:rsidRPr="00C84DF6">
        <w:rPr>
          <w:rFonts w:ascii="Times New Roman" w:hAnsi="Times New Roman" w:cs="Times New Roman"/>
          <w:i/>
          <w:iCs/>
          <w:sz w:val="24"/>
          <w:szCs w:val="24"/>
        </w:rPr>
        <w:t>gestes professionnels employés soient adaptés et contrôlés</w:t>
      </w:r>
      <w:r w:rsidR="003E1382" w:rsidRPr="00C84DF6">
        <w:rPr>
          <w:rFonts w:ascii="Times New Roman" w:hAnsi="Times New Roman" w:cs="Times New Roman"/>
          <w:sz w:val="24"/>
          <w:szCs w:val="24"/>
        </w:rPr>
        <w:t> »</w:t>
      </w:r>
      <w:r w:rsidR="00562B29">
        <w:rPr>
          <w:rStyle w:val="FootnoteReference"/>
          <w:rFonts w:ascii="Times New Roman" w:hAnsi="Times New Roman" w:cs="Times New Roman"/>
          <w:sz w:val="24"/>
          <w:szCs w:val="24"/>
        </w:rPr>
        <w:footnoteReference w:id="30"/>
      </w:r>
      <w:r w:rsidR="003E1382" w:rsidRPr="00C84DF6">
        <w:rPr>
          <w:rFonts w:ascii="Times New Roman" w:hAnsi="Times New Roman" w:cs="Times New Roman"/>
          <w:sz w:val="24"/>
          <w:szCs w:val="24"/>
        </w:rPr>
        <w:t>.</w:t>
      </w:r>
    </w:p>
    <w:p w14:paraId="7244C8FC" w14:textId="790EE4E5" w:rsidR="00516E4C" w:rsidRDefault="0081079E" w:rsidP="00B6391A">
      <w:pPr>
        <w:spacing w:after="1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919FCF4" wp14:editId="72F1B9D4">
                <wp:simplePos x="0" y="0"/>
                <wp:positionH relativeFrom="margin">
                  <wp:align>left</wp:align>
                </wp:positionH>
                <wp:positionV relativeFrom="paragraph">
                  <wp:posOffset>260351</wp:posOffset>
                </wp:positionV>
                <wp:extent cx="5953125" cy="981075"/>
                <wp:effectExtent l="0" t="0" r="28575" b="28575"/>
                <wp:wrapNone/>
                <wp:docPr id="2139488863" name="Rectangle 2"/>
                <wp:cNvGraphicFramePr/>
                <a:graphic xmlns:a="http://schemas.openxmlformats.org/drawingml/2006/main">
                  <a:graphicData uri="http://schemas.microsoft.com/office/word/2010/wordprocessingShape">
                    <wps:wsp>
                      <wps:cNvSpPr/>
                      <wps:spPr>
                        <a:xfrm>
                          <a:off x="0" y="0"/>
                          <a:ext cx="5953125" cy="981075"/>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89C2176" w14:textId="4672971F" w:rsidR="0081079E" w:rsidRPr="008B6400" w:rsidRDefault="00F02B1F" w:rsidP="0081079E">
                            <w:pPr>
                              <w:spacing w:after="120"/>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L’ACAT-France et la FIACAT invitent le Comité à recommander à la France de mettre un terme définitif aux fouilles intégrales et de les remplacer par d’autres moyens permettant d’assurer la sécurité des établissements pénitentiaires tout en garantissant le respect de la dignité humaine des personnes détenues.</w:t>
                            </w:r>
                          </w:p>
                          <w:p w14:paraId="30C95DCE" w14:textId="78BC8734" w:rsidR="0081079E" w:rsidRPr="008B6400" w:rsidRDefault="0081079E" w:rsidP="0081079E">
                            <w:pPr>
                              <w:spacing w:after="120" w:line="276" w:lineRule="auto"/>
                              <w:rPr>
                                <w:rFonts w:ascii="Times New Roman" w:hAnsi="Times New Roman" w:cs="Times New Roman"/>
                                <w:color w:val="000000" w:themeColor="text1"/>
                                <w:sz w:val="24"/>
                                <w:szCs w:val="24"/>
                              </w:rPr>
                            </w:pPr>
                          </w:p>
                          <w:p w14:paraId="38207636" w14:textId="77777777" w:rsidR="0081079E" w:rsidRDefault="0081079E" w:rsidP="008107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919FCF4" id="_x0000_s1028" style="position:absolute;left:0;text-align:left;margin-left:0;margin-top:20.5pt;width:468.75pt;height:77.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" fillcolor="#dceaf7 [351]" strokecolor="#042433" strokeweight="1pt">
                <v:textbox>
                  <w:txbxContent>
                    <w:p w14:paraId="589C2176" w14:textId="4672971F" w:rsidR="0081079E" w:rsidRPr="008B6400" w:rsidRDefault="00F02B1F" w:rsidP="0081079E">
                      <w:pPr>
                        <w:spacing w:after="120"/>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L’ACAT-France et la FIACAT invitent le Comité à recommander à la France de mettre un terme définitif aux fouilles intégrales et de les remplacer par d’autres moyens permettant d’assurer la sécurité des établissements pénitentiaires tout en garantissant le respect de la dignité humaine des personnes détenues.</w:t>
                      </w:r>
                    </w:p>
                    <w:p w14:paraId="30C95DCE" w14:textId="78BC8734" w:rsidR="0081079E" w:rsidRPr="008B6400" w:rsidRDefault="0081079E" w:rsidP="0081079E">
                      <w:pPr>
                        <w:spacing w:after="120" w:line="276" w:lineRule="auto"/>
                        <w:rPr>
                          <w:rFonts w:ascii="Times New Roman" w:hAnsi="Times New Roman" w:cs="Times New Roman"/>
                          <w:color w:val="000000" w:themeColor="text1"/>
                          <w:sz w:val="24"/>
                          <w:szCs w:val="24"/>
                        </w:rPr>
                      </w:pPr>
                    </w:p>
                    <w:p w14:paraId="38207636" w14:textId="77777777" w:rsidR="0081079E" w:rsidRDefault="0081079E" w:rsidP="0081079E">
                      <w:pPr>
                        <w:jc w:val="center"/>
                      </w:pPr>
                    </w:p>
                  </w:txbxContent>
                </v:textbox>
                <w10:wrap anchorx="margin"/>
              </v:rect>
            </w:pict>
          </mc:Fallback>
        </mc:AlternateContent>
      </w:r>
    </w:p>
    <w:p w14:paraId="29C19525" w14:textId="77777777" w:rsidR="0081079E" w:rsidRDefault="0081079E" w:rsidP="00B6391A">
      <w:pPr>
        <w:spacing w:after="120"/>
        <w:jc w:val="both"/>
        <w:rPr>
          <w:rFonts w:ascii="Times New Roman" w:hAnsi="Times New Roman" w:cs="Times New Roman"/>
          <w:sz w:val="24"/>
          <w:szCs w:val="24"/>
        </w:rPr>
      </w:pPr>
    </w:p>
    <w:p w14:paraId="08A9C204" w14:textId="77777777" w:rsidR="0081079E" w:rsidRDefault="0081079E" w:rsidP="00B6391A">
      <w:pPr>
        <w:spacing w:after="120"/>
        <w:jc w:val="both"/>
        <w:rPr>
          <w:rFonts w:ascii="Times New Roman" w:hAnsi="Times New Roman" w:cs="Times New Roman"/>
          <w:sz w:val="24"/>
          <w:szCs w:val="24"/>
        </w:rPr>
      </w:pPr>
    </w:p>
    <w:p w14:paraId="48409C15" w14:textId="77777777" w:rsidR="0081079E" w:rsidRDefault="0081079E" w:rsidP="00B6391A">
      <w:pPr>
        <w:spacing w:after="120"/>
        <w:jc w:val="both"/>
        <w:rPr>
          <w:rFonts w:ascii="Times New Roman" w:hAnsi="Times New Roman" w:cs="Times New Roman"/>
          <w:sz w:val="24"/>
          <w:szCs w:val="24"/>
        </w:rPr>
      </w:pPr>
    </w:p>
    <w:p w14:paraId="76EE7122" w14:textId="77777777" w:rsidR="002539B1" w:rsidRDefault="002539B1" w:rsidP="00B6391A">
      <w:pPr>
        <w:spacing w:after="120"/>
        <w:jc w:val="both"/>
        <w:rPr>
          <w:rFonts w:ascii="Times New Roman" w:hAnsi="Times New Roman" w:cs="Times New Roman"/>
          <w:sz w:val="24"/>
          <w:szCs w:val="24"/>
        </w:rPr>
      </w:pPr>
    </w:p>
    <w:p w14:paraId="1D84806F" w14:textId="77777777" w:rsidR="00AE2F75" w:rsidRDefault="00AE2F75" w:rsidP="00AE2F75">
      <w:pPr>
        <w:pStyle w:val="Heading1"/>
        <w:spacing w:after="120"/>
      </w:pPr>
    </w:p>
    <w:p w14:paraId="20EFEB32" w14:textId="77777777" w:rsidR="00FB3061" w:rsidRDefault="00FB3061" w:rsidP="00FB3061"/>
    <w:p w14:paraId="44A51DF9" w14:textId="77777777" w:rsidR="00FB3061" w:rsidRPr="00FB3061" w:rsidRDefault="00FB3061" w:rsidP="00FB3061"/>
    <w:p w14:paraId="0E15CE86" w14:textId="01405EE1" w:rsidR="00EA2794" w:rsidRPr="008E7CBE" w:rsidRDefault="007A06AB" w:rsidP="00B6391A">
      <w:pPr>
        <w:pStyle w:val="Heading1"/>
        <w:numPr>
          <w:ilvl w:val="0"/>
          <w:numId w:val="15"/>
        </w:numPr>
        <w:spacing w:after="120"/>
      </w:pPr>
      <w:bookmarkStart w:id="12" w:name="_Toc192599333"/>
      <w:r>
        <w:t>Enquête impartiale (article 12)</w:t>
      </w:r>
      <w:bookmarkEnd w:id="12"/>
    </w:p>
    <w:p w14:paraId="48E79C10" w14:textId="344D660F" w:rsidR="009B3D81" w:rsidRPr="00C84DF6" w:rsidRDefault="001028AC"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Des enquêtes effectives capables d’identifier et de sanctionner les personnes responsables de mauvais traitements </w:t>
      </w:r>
      <w:r w:rsidR="009B3D81" w:rsidRPr="00C84DF6">
        <w:rPr>
          <w:rFonts w:ascii="Times New Roman" w:hAnsi="Times New Roman" w:cs="Times New Roman"/>
          <w:sz w:val="24"/>
          <w:szCs w:val="24"/>
        </w:rPr>
        <w:t xml:space="preserve">sont indispensables pour donner un sens pratique à la prohibition de la torture et des peines ou traitements inhumains ou dégradants. Pourtant, dans les faits, ces obligations sont régulièrement mises à </w:t>
      </w:r>
      <w:r w:rsidR="000E1D0E" w:rsidRPr="00C84DF6">
        <w:rPr>
          <w:rFonts w:ascii="Times New Roman" w:hAnsi="Times New Roman" w:cs="Times New Roman"/>
          <w:sz w:val="24"/>
          <w:szCs w:val="24"/>
        </w:rPr>
        <w:t>mal lorsqu’il s’agit de violences policières. Il s’avère extrêmement difficile, dans ces affaires, d’obtenir une enquête effective</w:t>
      </w:r>
      <w:r w:rsidR="00525AB0" w:rsidRPr="00C84DF6">
        <w:rPr>
          <w:rFonts w:ascii="Times New Roman" w:hAnsi="Times New Roman" w:cs="Times New Roman"/>
          <w:sz w:val="24"/>
          <w:szCs w:val="24"/>
        </w:rPr>
        <w:t xml:space="preserve">. L’indépendance des enquêteurs est questionnée, les investigations menées sont régulièrement perçues comme douteuses, peu approfondies et largement opaques, laissant peu de place au regard du public, tant sur leur déroulement que sur leurs conclusions. </w:t>
      </w:r>
    </w:p>
    <w:p w14:paraId="47486852" w14:textId="73C95C13" w:rsidR="00EA2794" w:rsidRPr="00674A01" w:rsidRDefault="00EA2794" w:rsidP="00B6391A">
      <w:pPr>
        <w:pStyle w:val="Heading2"/>
        <w:numPr>
          <w:ilvl w:val="0"/>
          <w:numId w:val="17"/>
        </w:numPr>
        <w:spacing w:after="120"/>
      </w:pPr>
      <w:bookmarkStart w:id="13" w:name="_Toc192599334"/>
      <w:r>
        <w:t>Identification des agents soupçonnés de violences illégitimes</w:t>
      </w:r>
      <w:bookmarkEnd w:id="13"/>
      <w:r>
        <w:t xml:space="preserve"> </w:t>
      </w:r>
    </w:p>
    <w:p w14:paraId="02BB93A6" w14:textId="77777777" w:rsidR="00C84DF6" w:rsidRDefault="00EA2794"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Les personnes victimes de violences policières illégitimes sont confrontées à une première étape : celle d’identifier les agents en cause. Les rapporteurs spéciaux des Nations unies sur le droit de réunion pacifique et la liberté d’association insistent sur l’importance d’une identification claire et individuelle, par exemple grâce à un insigne nominatif ou un matricule qui devraient être visibles et non détachables, des forces de l’ordre afin de savoir quels agents sont présents dans quelle zone et quels sont les tâches et les moyens de force dont ils sont responsables</w:t>
      </w:r>
      <w:r w:rsidRPr="000E3D9A">
        <w:rPr>
          <w:vertAlign w:val="superscript"/>
          <w:lang w:val="fr-CH" w:eastAsia="fr-FR"/>
        </w:rPr>
        <w:footnoteReference w:id="31"/>
      </w:r>
      <w:r w:rsidRPr="00C84DF6">
        <w:rPr>
          <w:rFonts w:ascii="Times New Roman" w:eastAsia="Arial" w:hAnsi="Times New Roman" w:cs="Times New Roman"/>
          <w:sz w:val="24"/>
          <w:szCs w:val="24"/>
          <w:lang w:val="fr-CH" w:eastAsia="fr-FR"/>
        </w:rPr>
        <w:t xml:space="preserve">. </w:t>
      </w:r>
    </w:p>
    <w:p w14:paraId="5911C099" w14:textId="77777777" w:rsidR="00C84DF6" w:rsidRDefault="00C84DF6" w:rsidP="00C84DF6">
      <w:pPr>
        <w:pStyle w:val="ListParagraph"/>
        <w:spacing w:after="120"/>
        <w:ind w:left="0"/>
        <w:jc w:val="both"/>
        <w:rPr>
          <w:rFonts w:ascii="Times New Roman" w:eastAsia="Arial" w:hAnsi="Times New Roman" w:cs="Times New Roman"/>
          <w:sz w:val="24"/>
          <w:szCs w:val="24"/>
          <w:lang w:val="fr-CH" w:eastAsia="fr-FR"/>
        </w:rPr>
      </w:pPr>
    </w:p>
    <w:p w14:paraId="3202E1C8" w14:textId="77777777" w:rsidR="00C84DF6" w:rsidRDefault="00EA2794"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En France, depuis le 1</w:t>
      </w:r>
      <w:r w:rsidRPr="00C84DF6">
        <w:rPr>
          <w:rFonts w:ascii="Times New Roman" w:eastAsia="Arial" w:hAnsi="Times New Roman" w:cs="Times New Roman"/>
          <w:sz w:val="24"/>
          <w:szCs w:val="24"/>
          <w:vertAlign w:val="superscript"/>
          <w:lang w:val="fr-CH" w:eastAsia="fr-FR"/>
        </w:rPr>
        <w:t>er</w:t>
      </w:r>
      <w:r w:rsidRPr="00C84DF6">
        <w:rPr>
          <w:rFonts w:ascii="Times New Roman" w:eastAsia="Arial" w:hAnsi="Times New Roman" w:cs="Times New Roman"/>
          <w:sz w:val="24"/>
          <w:szCs w:val="24"/>
          <w:lang w:val="fr-CH" w:eastAsia="fr-FR"/>
        </w:rPr>
        <w:t xml:space="preserve"> janvier 2014, les policiers et gendarmes sont tenus de porter, sur la poitrine ou le brassard pour les policiers, sur l’épaule ou au-dessus du galon de poitrine pour les gendarmes, un numéro à sept chiffres : le numéro référentiel des identités et de l’organisation (RIO)</w:t>
      </w:r>
      <w:r w:rsidRPr="000E3D9A">
        <w:rPr>
          <w:vertAlign w:val="superscript"/>
          <w:lang w:val="fr-CH" w:eastAsia="fr-FR"/>
        </w:rPr>
        <w:footnoteReference w:id="32"/>
      </w:r>
      <w:r w:rsidRPr="00C84DF6">
        <w:rPr>
          <w:rFonts w:ascii="Times New Roman" w:eastAsia="Arial" w:hAnsi="Times New Roman" w:cs="Times New Roman"/>
          <w:sz w:val="24"/>
          <w:szCs w:val="24"/>
          <w:lang w:val="fr-CH" w:eastAsia="fr-FR"/>
        </w:rPr>
        <w:t>.</w:t>
      </w:r>
    </w:p>
    <w:p w14:paraId="339C920B"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0A0DC9AC" w14:textId="77777777" w:rsidR="00C84DF6" w:rsidRDefault="00EA2794"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Au-delà des difficultés à mémoriser ce numéro et à le lire à une distance de plusieurs mètres, des problèmes d’identification sont pointés depuis plusieurs années. En effet, nombreux sont les agents ne respectant pas l’obligation de port du RIO. Cette tendance s’observe particulièrement dans des situations de maintien de l’ordre où l’équipement des agents ne permet pas le port du matricule d’identification. En outre et depuis 2014, aucune sanction n’a jamais été prononcée pour non-port du RIO. C’est pourquoi en septembre 2022, l’ACAT-France ainsi que plusieurs autres associations ont saisi la justice administrative afin que le non-port du RIO par les agents des forces de l’ordre soit justement sanctionné</w:t>
      </w:r>
      <w:r w:rsidRPr="001A7615">
        <w:rPr>
          <w:vertAlign w:val="superscript"/>
          <w:lang w:val="fr-CH" w:eastAsia="fr-FR"/>
        </w:rPr>
        <w:footnoteReference w:id="33"/>
      </w:r>
      <w:r w:rsidRPr="00C84DF6">
        <w:rPr>
          <w:rFonts w:ascii="Times New Roman" w:eastAsia="Arial" w:hAnsi="Times New Roman" w:cs="Times New Roman"/>
          <w:sz w:val="24"/>
          <w:szCs w:val="24"/>
          <w:lang w:val="fr-CH" w:eastAsia="fr-FR"/>
        </w:rPr>
        <w:t xml:space="preserve">. </w:t>
      </w:r>
    </w:p>
    <w:p w14:paraId="4DFE8494" w14:textId="77777777" w:rsidR="00C84DF6" w:rsidRDefault="00C84DF6" w:rsidP="00C84DF6">
      <w:pPr>
        <w:pStyle w:val="ListParagraph"/>
        <w:rPr>
          <w:rFonts w:ascii="Times New Roman" w:eastAsia="Arial" w:hAnsi="Times New Roman" w:cs="Times New Roman"/>
          <w:sz w:val="24"/>
          <w:szCs w:val="24"/>
          <w:lang w:val="fr-CH" w:eastAsia="fr-FR"/>
        </w:rPr>
      </w:pPr>
    </w:p>
    <w:p w14:paraId="0B50F8C6" w14:textId="77777777" w:rsidR="00EF1D0C" w:rsidRDefault="00EF1D0C" w:rsidP="00C84DF6">
      <w:pPr>
        <w:pStyle w:val="ListParagraph"/>
        <w:rPr>
          <w:rFonts w:ascii="Times New Roman" w:eastAsia="Arial" w:hAnsi="Times New Roman" w:cs="Times New Roman"/>
          <w:sz w:val="24"/>
          <w:szCs w:val="24"/>
          <w:lang w:val="fr-CH" w:eastAsia="fr-FR"/>
        </w:rPr>
      </w:pPr>
    </w:p>
    <w:p w14:paraId="74376E9B" w14:textId="77777777" w:rsidR="00EF1D0C" w:rsidRPr="00C84DF6" w:rsidRDefault="00EF1D0C" w:rsidP="00C84DF6">
      <w:pPr>
        <w:pStyle w:val="ListParagraph"/>
        <w:rPr>
          <w:rFonts w:ascii="Times New Roman" w:eastAsia="Arial" w:hAnsi="Times New Roman" w:cs="Times New Roman"/>
          <w:sz w:val="24"/>
          <w:szCs w:val="24"/>
          <w:lang w:val="fr-CH" w:eastAsia="fr-FR"/>
        </w:rPr>
      </w:pPr>
    </w:p>
    <w:p w14:paraId="208745B6" w14:textId="77777777" w:rsidR="00C84DF6" w:rsidRDefault="00EA2794"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Des failles dans l’identification des forces de l’ordre ont ainsi été reconnues par le Conseil d’Etat qui a ordonné au ministre de l’Intérieur de prendre toutes mesures utiles afin de rendre effectif le port du RIO dans l’année suivant cette décision</w:t>
      </w:r>
      <w:r w:rsidRPr="001A7615">
        <w:rPr>
          <w:vertAlign w:val="superscript"/>
          <w:lang w:val="fr-CH" w:eastAsia="fr-FR"/>
        </w:rPr>
        <w:footnoteReference w:id="34"/>
      </w:r>
      <w:r w:rsidRPr="00C84DF6">
        <w:rPr>
          <w:rFonts w:ascii="Times New Roman" w:eastAsia="Arial" w:hAnsi="Times New Roman" w:cs="Times New Roman"/>
          <w:sz w:val="24"/>
          <w:szCs w:val="24"/>
          <w:lang w:val="fr-CH" w:eastAsia="fr-FR"/>
        </w:rPr>
        <w:t>. Seulement, plus d’un an après cette décision aucune mesure n’a été prise par le ministère de l’Intérieur et le phénomène du non-port du RIO est toujours symptomatique des interventions de police en France. L’inaction du ministre de l’Intérieur a poussé l’ACAT-France à saisir une nouvelle fois le Conseil d’Etat d’une demande en exécution de l’arrêt du 11 octobre 2023</w:t>
      </w:r>
      <w:r>
        <w:rPr>
          <w:rStyle w:val="FootnoteReference"/>
          <w:rFonts w:ascii="Times New Roman" w:eastAsia="Arial" w:hAnsi="Times New Roman" w:cs="Times New Roman"/>
          <w:sz w:val="24"/>
          <w:szCs w:val="24"/>
          <w:lang w:val="fr-CH" w:eastAsia="fr-FR"/>
        </w:rPr>
        <w:footnoteReference w:id="35"/>
      </w:r>
      <w:r w:rsidRPr="00C84DF6">
        <w:rPr>
          <w:rFonts w:ascii="Times New Roman" w:eastAsia="Arial" w:hAnsi="Times New Roman" w:cs="Times New Roman"/>
          <w:sz w:val="24"/>
          <w:szCs w:val="24"/>
          <w:lang w:val="fr-CH" w:eastAsia="fr-FR"/>
        </w:rPr>
        <w:t xml:space="preserve">. </w:t>
      </w:r>
    </w:p>
    <w:p w14:paraId="008A1DA1"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4596057D" w14:textId="11DE8454" w:rsidR="00EA2794" w:rsidRPr="00C84DF6" w:rsidRDefault="00EA2794"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Cette absence de réponse a poussé l’ACAT-France à demander, lors du dernier examen de la France par le Comité des droits de l’homme, aux experts de soulever la question de la modification des conditions de port du RIO. Lors de la session formelle de l’examen les 22 et 23 octobre 2024, la délégation française a affirmé qu’un groupe de travail travaillait sur la question. Le Comité des droits de l’homme a donc rappelé à la France la nécessité de port obligatoire du RIO afin de permettre une parfaite identification des forces de l’ordre dans le cadre de leurs missions</w:t>
      </w:r>
      <w:r>
        <w:rPr>
          <w:rStyle w:val="FootnoteReference"/>
          <w:rFonts w:ascii="Times New Roman" w:eastAsia="Arial" w:hAnsi="Times New Roman" w:cs="Times New Roman"/>
          <w:sz w:val="24"/>
          <w:szCs w:val="24"/>
          <w:lang w:val="fr-CH" w:eastAsia="fr-FR"/>
        </w:rPr>
        <w:footnoteReference w:id="36"/>
      </w:r>
      <w:r w:rsidRPr="00C84DF6">
        <w:rPr>
          <w:rFonts w:ascii="Times New Roman" w:eastAsia="Arial" w:hAnsi="Times New Roman" w:cs="Times New Roman"/>
          <w:sz w:val="24"/>
          <w:szCs w:val="24"/>
          <w:lang w:val="fr-CH" w:eastAsia="fr-FR"/>
        </w:rPr>
        <w:t xml:space="preserve">. </w:t>
      </w:r>
    </w:p>
    <w:p w14:paraId="4A0A4095" w14:textId="77777777" w:rsidR="00BC4927" w:rsidRDefault="00BC4927" w:rsidP="00B6391A">
      <w:pPr>
        <w:spacing w:after="120"/>
        <w:jc w:val="both"/>
        <w:rPr>
          <w:rFonts w:ascii="Times New Roman" w:eastAsia="Arial" w:hAnsi="Times New Roman" w:cs="Times New Roman"/>
          <w:sz w:val="24"/>
          <w:szCs w:val="24"/>
          <w:lang w:val="fr-CH" w:eastAsia="fr-FR"/>
        </w:rPr>
      </w:pPr>
    </w:p>
    <w:p w14:paraId="779673FB" w14:textId="5BAE7C76" w:rsidR="00BC4927" w:rsidRDefault="00BC4927" w:rsidP="00B6391A">
      <w:pPr>
        <w:spacing w:after="120"/>
        <w:jc w:val="both"/>
        <w:rPr>
          <w:rFonts w:ascii="Times New Roman" w:eastAsia="Arial" w:hAnsi="Times New Roman" w:cs="Times New Roman"/>
          <w:sz w:val="24"/>
          <w:szCs w:val="24"/>
          <w:lang w:val="fr-CH" w:eastAsia="fr-FR"/>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FE9AEC8" wp14:editId="0A6208A4">
                <wp:simplePos x="0" y="0"/>
                <wp:positionH relativeFrom="margin">
                  <wp:align>right</wp:align>
                </wp:positionH>
                <wp:positionV relativeFrom="paragraph">
                  <wp:posOffset>-46990</wp:posOffset>
                </wp:positionV>
                <wp:extent cx="5953125" cy="895350"/>
                <wp:effectExtent l="0" t="0" r="28575" b="19050"/>
                <wp:wrapNone/>
                <wp:docPr id="1393588974" name="Rectangle 2"/>
                <wp:cNvGraphicFramePr/>
                <a:graphic xmlns:a="http://schemas.openxmlformats.org/drawingml/2006/main">
                  <a:graphicData uri="http://schemas.microsoft.com/office/word/2010/wordprocessingShape">
                    <wps:wsp>
                      <wps:cNvSpPr/>
                      <wps:spPr>
                        <a:xfrm>
                          <a:off x="0" y="0"/>
                          <a:ext cx="5953125" cy="89535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6C0C7F19" w14:textId="27F65E6C" w:rsidR="00BC4927" w:rsidRPr="008B6400" w:rsidRDefault="00BC4927" w:rsidP="00BC4927">
                            <w:pPr>
                              <w:spacing w:after="120"/>
                              <w:jc w:val="both"/>
                              <w:rPr>
                                <w:rFonts w:ascii="Times New Roman" w:hAnsi="Times New Roman" w:cs="Times New Roman"/>
                                <w:b/>
                                <w:bCs/>
                                <w:sz w:val="24"/>
                                <w:szCs w:val="24"/>
                              </w:rPr>
                            </w:pPr>
                            <w:r w:rsidRPr="008B6400">
                              <w:rPr>
                                <w:rFonts w:ascii="Times New Roman" w:eastAsia="Arial" w:hAnsi="Times New Roman" w:cs="Times New Roman"/>
                                <w:b/>
                                <w:bCs/>
                                <w:sz w:val="24"/>
                                <w:szCs w:val="24"/>
                                <w:lang w:val="fr-CH"/>
                              </w:rPr>
                              <w:t xml:space="preserve">L’ACAT-France et la FIACAT invitent le Comité à recommander à la France </w:t>
                            </w:r>
                            <w:r w:rsidRPr="008B6400">
                              <w:rPr>
                                <w:rFonts w:ascii="Times New Roman" w:hAnsi="Times New Roman" w:cs="Times New Roman"/>
                                <w:b/>
                                <w:bCs/>
                                <w:sz w:val="24"/>
                                <w:szCs w:val="24"/>
                              </w:rPr>
                              <w:t xml:space="preserve">de suivre l’arrêt du Conseil d’Etat portant sur le RIO et les recommandations des procédures spéciales des Nations unies en s’assurant </w:t>
                            </w:r>
                            <w:r w:rsidR="00185657">
                              <w:rPr>
                                <w:rFonts w:ascii="Times New Roman" w:hAnsi="Times New Roman" w:cs="Times New Roman"/>
                                <w:b/>
                                <w:bCs/>
                                <w:sz w:val="24"/>
                                <w:szCs w:val="24"/>
                              </w:rPr>
                              <w:t>que</w:t>
                            </w:r>
                            <w:r w:rsidRPr="008B6400">
                              <w:rPr>
                                <w:rFonts w:ascii="Times New Roman" w:hAnsi="Times New Roman" w:cs="Times New Roman"/>
                                <w:b/>
                                <w:bCs/>
                                <w:sz w:val="24"/>
                                <w:szCs w:val="24"/>
                              </w:rPr>
                              <w:t xml:space="preserve"> les agents des forces de l’ordre soient systématiquement identifiés dans le cadre de leurs missions.  </w:t>
                            </w:r>
                          </w:p>
                          <w:p w14:paraId="07B77938" w14:textId="3674E0F0" w:rsidR="00BC4927" w:rsidRPr="008B6400" w:rsidRDefault="00BC4927" w:rsidP="00BC4927">
                            <w:pPr>
                              <w:spacing w:after="120"/>
                              <w:jc w:val="both"/>
                              <w:rPr>
                                <w:rFonts w:ascii="Times New Roman" w:hAnsi="Times New Roman" w:cs="Times New Roman"/>
                                <w:sz w:val="24"/>
                                <w:szCs w:val="24"/>
                              </w:rPr>
                            </w:pPr>
                          </w:p>
                          <w:p w14:paraId="24B1FFC9" w14:textId="77777777" w:rsidR="00BC4927" w:rsidRDefault="00BC4927" w:rsidP="00BC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FE9AEC8" id="_x0000_s1029" style="position:absolute;left:0;text-align:left;margin-left:417.55pt;margin-top:-3.7pt;width:468.75pt;height:7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" fillcolor="#dceaf7 [351]" strokecolor="#042433" strokeweight="1pt">
                <v:textbox>
                  <w:txbxContent>
                    <w:p w14:paraId="6C0C7F19" w14:textId="27F65E6C" w:rsidR="00BC4927" w:rsidRPr="008B6400" w:rsidRDefault="00BC4927" w:rsidP="00BC4927">
                      <w:pPr>
                        <w:spacing w:after="120"/>
                        <w:jc w:val="both"/>
                        <w:rPr>
                          <w:rFonts w:ascii="Times New Roman" w:hAnsi="Times New Roman" w:cs="Times New Roman"/>
                          <w:b/>
                          <w:bCs/>
                          <w:sz w:val="24"/>
                          <w:szCs w:val="24"/>
                        </w:rPr>
                      </w:pPr>
                      <w:r w:rsidRPr="008B6400">
                        <w:rPr>
                          <w:rFonts w:ascii="Times New Roman" w:eastAsia="Arial" w:hAnsi="Times New Roman" w:cs="Times New Roman"/>
                          <w:b/>
                          <w:bCs/>
                          <w:sz w:val="24"/>
                          <w:szCs w:val="24"/>
                          <w:lang w:val="fr-CH"/>
                        </w:rPr>
                        <w:t xml:space="preserve">L’ACAT-France et la FIACAT invitent le Comité à recommander à la France </w:t>
                      </w:r>
                      <w:r w:rsidRPr="008B6400">
                        <w:rPr>
                          <w:rFonts w:ascii="Times New Roman" w:hAnsi="Times New Roman" w:cs="Times New Roman"/>
                          <w:b/>
                          <w:bCs/>
                          <w:sz w:val="24"/>
                          <w:szCs w:val="24"/>
                        </w:rPr>
                        <w:t xml:space="preserve">de suivre l’arrêt du Conseil d’Etat portant sur le RIO et les recommandations des procédures spéciales des Nations unies en s’assurant </w:t>
                      </w:r>
                      <w:r w:rsidR="00185657">
                        <w:rPr>
                          <w:rFonts w:ascii="Times New Roman" w:hAnsi="Times New Roman" w:cs="Times New Roman"/>
                          <w:b/>
                          <w:bCs/>
                          <w:sz w:val="24"/>
                          <w:szCs w:val="24"/>
                        </w:rPr>
                        <w:t>que</w:t>
                      </w:r>
                      <w:r w:rsidRPr="008B6400">
                        <w:rPr>
                          <w:rFonts w:ascii="Times New Roman" w:hAnsi="Times New Roman" w:cs="Times New Roman"/>
                          <w:b/>
                          <w:bCs/>
                          <w:sz w:val="24"/>
                          <w:szCs w:val="24"/>
                        </w:rPr>
                        <w:t xml:space="preserve"> les agents des forces de l’ordre soient systématiquement identifiés dans le cadre de leurs missions.  </w:t>
                      </w:r>
                    </w:p>
                    <w:p w14:paraId="07B77938" w14:textId="3674E0F0" w:rsidR="00BC4927" w:rsidRPr="008B6400" w:rsidRDefault="00BC4927" w:rsidP="00BC4927">
                      <w:pPr>
                        <w:spacing w:after="120"/>
                        <w:jc w:val="both"/>
                        <w:rPr>
                          <w:rFonts w:ascii="Times New Roman" w:hAnsi="Times New Roman" w:cs="Times New Roman"/>
                          <w:sz w:val="24"/>
                          <w:szCs w:val="24"/>
                        </w:rPr>
                      </w:pPr>
                    </w:p>
                    <w:p w14:paraId="24B1FFC9" w14:textId="77777777" w:rsidR="00BC4927" w:rsidRDefault="00BC4927" w:rsidP="00BC4927">
                      <w:pPr>
                        <w:jc w:val="center"/>
                      </w:pPr>
                    </w:p>
                  </w:txbxContent>
                </v:textbox>
                <w10:wrap anchorx="margin"/>
              </v:rect>
            </w:pict>
          </mc:Fallback>
        </mc:AlternateContent>
      </w:r>
    </w:p>
    <w:p w14:paraId="1DEB667A" w14:textId="77777777" w:rsidR="00001CE5" w:rsidRPr="001A7615" w:rsidRDefault="00001CE5" w:rsidP="00B6391A">
      <w:pPr>
        <w:spacing w:after="120"/>
        <w:jc w:val="both"/>
        <w:rPr>
          <w:rFonts w:ascii="Times New Roman" w:eastAsia="Arial" w:hAnsi="Times New Roman" w:cs="Times New Roman"/>
          <w:sz w:val="24"/>
          <w:szCs w:val="24"/>
          <w:lang w:val="fr-CH" w:eastAsia="fr-FR"/>
        </w:rPr>
      </w:pPr>
    </w:p>
    <w:p w14:paraId="3D5FA7C8" w14:textId="77777777" w:rsidR="00194881" w:rsidRDefault="00194881" w:rsidP="00194881">
      <w:pPr>
        <w:pStyle w:val="Heading2"/>
        <w:spacing w:after="120"/>
        <w:ind w:left="720"/>
      </w:pPr>
    </w:p>
    <w:p w14:paraId="3D30B7F2" w14:textId="77777777" w:rsidR="00194881" w:rsidRDefault="00194881" w:rsidP="00194881">
      <w:pPr>
        <w:pStyle w:val="Heading2"/>
        <w:spacing w:after="120"/>
      </w:pPr>
    </w:p>
    <w:p w14:paraId="7AC3E051" w14:textId="7188458E" w:rsidR="00194881" w:rsidRPr="00194881" w:rsidRDefault="007A06AB" w:rsidP="00194881">
      <w:pPr>
        <w:pStyle w:val="Heading2"/>
        <w:numPr>
          <w:ilvl w:val="0"/>
          <w:numId w:val="17"/>
        </w:numPr>
        <w:spacing w:after="120"/>
      </w:pPr>
      <w:bookmarkStart w:id="14" w:name="_Toc192599335"/>
      <w:r>
        <w:t>L’indépendance des enquêteurs en question</w:t>
      </w:r>
      <w:bookmarkEnd w:id="14"/>
    </w:p>
    <w:p w14:paraId="7443C95A" w14:textId="42E6E6E7" w:rsidR="00C33798" w:rsidRPr="00C84DF6" w:rsidRDefault="005F2229"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Deux types de contrôle existent en France :</w:t>
      </w:r>
    </w:p>
    <w:p w14:paraId="239C6BF9" w14:textId="77777777" w:rsidR="00C84DF6" w:rsidRPr="00C84DF6" w:rsidRDefault="00C84DF6" w:rsidP="00C84DF6">
      <w:pPr>
        <w:pStyle w:val="ListParagraph"/>
        <w:spacing w:after="120"/>
        <w:jc w:val="both"/>
        <w:rPr>
          <w:rFonts w:ascii="Times New Roman" w:hAnsi="Times New Roman" w:cs="Times New Roman"/>
          <w:sz w:val="24"/>
          <w:szCs w:val="24"/>
        </w:rPr>
      </w:pPr>
    </w:p>
    <w:p w14:paraId="61C96153" w14:textId="63242E08" w:rsidR="00C84DF6" w:rsidRPr="00C84DF6" w:rsidRDefault="00EA2794" w:rsidP="00C84DF6">
      <w:pPr>
        <w:pStyle w:val="Heading3"/>
        <w:spacing w:after="120"/>
        <w:rPr>
          <w:b w:val="0"/>
          <w:i w:val="0"/>
        </w:rPr>
      </w:pPr>
      <w:bookmarkStart w:id="15" w:name="_Toc192599336"/>
      <w:r>
        <w:t>2</w:t>
      </w:r>
      <w:r w:rsidR="00202646">
        <w:t>.1 Le c</w:t>
      </w:r>
      <w:r w:rsidR="005F2229">
        <w:t>ontrôle interne</w:t>
      </w:r>
      <w:bookmarkEnd w:id="15"/>
    </w:p>
    <w:p w14:paraId="7A6BE882" w14:textId="60F2F635" w:rsidR="00C84DF6" w:rsidRDefault="00926386" w:rsidP="00B6391A">
      <w:pPr>
        <w:pStyle w:val="ListParagraph"/>
        <w:numPr>
          <w:ilvl w:val="0"/>
          <w:numId w:val="35"/>
        </w:numPr>
        <w:spacing w:after="120"/>
        <w:ind w:left="0"/>
        <w:jc w:val="both"/>
        <w:rPr>
          <w:rFonts w:ascii="Times New Roman" w:eastAsia="Arial" w:hAnsi="Times New Roman" w:cs="Times New Roman"/>
          <w:sz w:val="24"/>
          <w:szCs w:val="24"/>
          <w:lang w:val="fr-CH" w:eastAsia="fr-FR"/>
        </w:rPr>
      </w:pPr>
      <w:r w:rsidRPr="00C84DF6">
        <w:rPr>
          <w:rFonts w:ascii="Times New Roman" w:eastAsia="Arial" w:hAnsi="Times New Roman" w:cs="Times New Roman"/>
          <w:sz w:val="24"/>
          <w:szCs w:val="24"/>
          <w:lang w:val="fr-CH" w:eastAsia="fr-FR"/>
        </w:rPr>
        <w:t>Les forces de l’ordre, police et gendarmerie nationale, sont soumises à différents organismes de contrôle, chacun chargés d’examiner les allégations d’usage excessif de la force de ces agents. La pluralité de ces mécanismes amène souvent les représentants de ces deux institutions à affirmer qu’elles sont les plus contrôlées du pays. Bien que répétée à l’envie, cette description ne reflète en rien la réalité que vivent nombre de citoyen français.</w:t>
      </w:r>
    </w:p>
    <w:p w14:paraId="161F5DA6" w14:textId="77777777" w:rsidR="00EF1D0C" w:rsidRPr="00FB3061" w:rsidRDefault="00EF1D0C" w:rsidP="00EF1D0C">
      <w:pPr>
        <w:pStyle w:val="ListParagraph"/>
        <w:spacing w:after="120"/>
        <w:ind w:left="0"/>
        <w:jc w:val="both"/>
        <w:rPr>
          <w:rFonts w:ascii="Times New Roman" w:eastAsia="Arial" w:hAnsi="Times New Roman" w:cs="Times New Roman"/>
          <w:sz w:val="24"/>
          <w:szCs w:val="24"/>
          <w:lang w:val="fr-CH" w:eastAsia="fr-FR"/>
        </w:rPr>
      </w:pPr>
    </w:p>
    <w:p w14:paraId="4474CB21" w14:textId="607404DB" w:rsidR="009F26BA" w:rsidRDefault="009F26BA" w:rsidP="00B6391A">
      <w:pPr>
        <w:pStyle w:val="ListParagraph"/>
        <w:numPr>
          <w:ilvl w:val="0"/>
          <w:numId w:val="10"/>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Le premier contrôle est hiérarchique :</w:t>
      </w:r>
    </w:p>
    <w:p w14:paraId="2DBFF67A" w14:textId="77777777" w:rsidR="00C84DF6" w:rsidRDefault="00BD1B67"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Il correspond à ce que les autorités françaises qualifient de contrôle par les pairs. Il repose notamment sur l’article R43</w:t>
      </w:r>
      <w:r w:rsidR="00067B63" w:rsidRPr="00C84DF6">
        <w:rPr>
          <w:rFonts w:ascii="Times New Roman" w:hAnsi="Times New Roman" w:cs="Times New Roman"/>
          <w:sz w:val="24"/>
          <w:szCs w:val="24"/>
        </w:rPr>
        <w:t xml:space="preserve">4-26 du Code de la sécurité intérieure. </w:t>
      </w:r>
    </w:p>
    <w:p w14:paraId="3EA58608" w14:textId="77777777" w:rsidR="00C84DF6" w:rsidRDefault="00C84DF6" w:rsidP="00C84DF6">
      <w:pPr>
        <w:pStyle w:val="ListParagraph"/>
        <w:spacing w:after="120"/>
        <w:ind w:left="0"/>
        <w:jc w:val="both"/>
        <w:rPr>
          <w:rFonts w:ascii="Times New Roman" w:hAnsi="Times New Roman" w:cs="Times New Roman"/>
          <w:sz w:val="24"/>
          <w:szCs w:val="24"/>
        </w:rPr>
      </w:pPr>
    </w:p>
    <w:p w14:paraId="05E79D61" w14:textId="77777777" w:rsidR="00C84DF6" w:rsidRPr="00C84DF6" w:rsidRDefault="0063318D"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eastAsia="fr-FR"/>
        </w:rPr>
        <w:t xml:space="preserve">Echelon indispensable, celui-ci ne semble pas remplir la mission qui lui est dévolue. Plusieurs raisons contribuent à cet état de fait. D’abord un problème structurel : en région parisienne, lieu particulièrement concerné par les violations décrites dans cette contribution, le taux d’encadrement est extrêmement bas. Un rapport de la Cour des comptes </w:t>
      </w:r>
      <w:r w:rsidRPr="00C84DF6">
        <w:rPr>
          <w:rFonts w:ascii="Times New Roman" w:eastAsia="Arial" w:hAnsi="Times New Roman" w:cs="Times New Roman"/>
          <w:sz w:val="24"/>
          <w:szCs w:val="24"/>
          <w:lang w:val="fr-CH"/>
        </w:rPr>
        <w:t>(chambre régionale de l’Ile-de-France)</w:t>
      </w:r>
      <w:r w:rsidRPr="0063318D">
        <w:rPr>
          <w:vertAlign w:val="superscript"/>
          <w:lang w:val="en-GB"/>
        </w:rPr>
        <w:footnoteReference w:id="37"/>
      </w:r>
      <w:r w:rsidRPr="00C84DF6">
        <w:rPr>
          <w:rFonts w:ascii="Times New Roman" w:eastAsia="Arial" w:hAnsi="Times New Roman" w:cs="Times New Roman"/>
          <w:sz w:val="24"/>
          <w:szCs w:val="24"/>
          <w:lang w:val="fr-CH"/>
        </w:rPr>
        <w:t xml:space="preserve"> décrit une situation préoccupante : les deux structures ayant en charge la police de voie publique (La Direction de la sécurité de proximité de l'agglomération parisienne - DSPAP et la DOPC) ont des taux d’encadrement de 17 et 11%, bien en-dessous du taux au niveau national (33%).</w:t>
      </w:r>
    </w:p>
    <w:p w14:paraId="218D4438" w14:textId="77777777" w:rsidR="00C84DF6" w:rsidRPr="00C84DF6" w:rsidRDefault="00C84DF6" w:rsidP="00C84DF6">
      <w:pPr>
        <w:pStyle w:val="ListParagraph"/>
        <w:rPr>
          <w:rFonts w:ascii="Times New Roman" w:eastAsia="Arial" w:hAnsi="Times New Roman" w:cs="Times New Roman"/>
          <w:sz w:val="24"/>
          <w:szCs w:val="24"/>
          <w:lang w:val="fr-CH"/>
        </w:rPr>
      </w:pPr>
    </w:p>
    <w:p w14:paraId="7ED881E0" w14:textId="77777777" w:rsidR="00C84DF6" w:rsidRPr="00C84DF6" w:rsidRDefault="0070761E"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rPr>
        <w:t xml:space="preserve">Cet état de fait, connu depuis longtemps, est d’autant plus dramatique que l’autre particularité de la région Ile-de-France est d’être composée </w:t>
      </w:r>
      <w:r w:rsidR="003C1267" w:rsidRPr="00C84DF6">
        <w:rPr>
          <w:rFonts w:ascii="Times New Roman" w:eastAsia="Arial" w:hAnsi="Times New Roman" w:cs="Times New Roman"/>
          <w:sz w:val="24"/>
          <w:szCs w:val="24"/>
          <w:lang w:val="fr-CH"/>
        </w:rPr>
        <w:t>essentiellement de jeunes recrues en début de carrière</w:t>
      </w:r>
      <w:r w:rsidR="00E14E4E" w:rsidRPr="00C84DF6">
        <w:rPr>
          <w:rFonts w:ascii="Times New Roman" w:eastAsia="Arial" w:hAnsi="Times New Roman" w:cs="Times New Roman"/>
          <w:sz w:val="24"/>
          <w:szCs w:val="24"/>
          <w:lang w:val="fr-CH"/>
        </w:rPr>
        <w:t xml:space="preserve">, ayant grand besoin d’encadrement dans un environnement bien souvent inconnu. </w:t>
      </w:r>
    </w:p>
    <w:p w14:paraId="52FB5D0B" w14:textId="77777777" w:rsidR="00C84DF6" w:rsidRPr="00C84DF6" w:rsidRDefault="00C84DF6" w:rsidP="00C84DF6">
      <w:pPr>
        <w:pStyle w:val="ListParagraph"/>
        <w:rPr>
          <w:rFonts w:ascii="Times New Roman" w:eastAsia="Arial" w:hAnsi="Times New Roman" w:cs="Times New Roman"/>
          <w:sz w:val="24"/>
          <w:szCs w:val="24"/>
          <w:lang w:val="fr-CH"/>
        </w:rPr>
      </w:pPr>
    </w:p>
    <w:p w14:paraId="7033498A" w14:textId="77777777" w:rsidR="00C84DF6" w:rsidRDefault="00E14E4E"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rPr>
        <w:t xml:space="preserve">Problème accentué par le fait que les policiers affectés en région parisienne n’ont bien souvent aucune expérience. En 2018, 71,5% des élèves gardiens de la paix </w:t>
      </w:r>
      <w:r w:rsidR="00147A1A" w:rsidRPr="00C84DF6">
        <w:rPr>
          <w:rFonts w:ascii="Times New Roman" w:eastAsia="Arial" w:hAnsi="Times New Roman" w:cs="Times New Roman"/>
          <w:sz w:val="24"/>
          <w:szCs w:val="24"/>
          <w:lang w:val="fr-CH"/>
        </w:rPr>
        <w:t xml:space="preserve">sortant d’école ont été affectés à la préfecture de police de Paris. </w:t>
      </w:r>
    </w:p>
    <w:p w14:paraId="7A9933B5" w14:textId="77777777" w:rsidR="00C84DF6" w:rsidRPr="00C84DF6" w:rsidRDefault="00C84DF6" w:rsidP="00C84DF6">
      <w:pPr>
        <w:pStyle w:val="ListParagraph"/>
        <w:rPr>
          <w:rFonts w:ascii="Times New Roman" w:hAnsi="Times New Roman" w:cs="Times New Roman"/>
          <w:sz w:val="24"/>
          <w:szCs w:val="24"/>
        </w:rPr>
      </w:pPr>
    </w:p>
    <w:p w14:paraId="23070E68" w14:textId="77777777" w:rsidR="00C84DF6" w:rsidRDefault="00726823"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Le </w:t>
      </w:r>
      <w:r w:rsidRPr="00C84DF6">
        <w:rPr>
          <w:rFonts w:ascii="Times New Roman" w:eastAsia="Arial" w:hAnsi="Times New Roman" w:cs="Times New Roman"/>
          <w:sz w:val="24"/>
          <w:szCs w:val="24"/>
          <w:lang w:val="fr-CH"/>
        </w:rPr>
        <w:t>taux de rotation est également important, estimé à 20% chaque année, compensé uniquement par le remplacement des policiers expérimentés par des agents sortant de formation. L’analyse de la Cour des comptes est sans appel : « </w:t>
      </w:r>
      <w:r w:rsidRPr="00C84DF6">
        <w:rPr>
          <w:rFonts w:ascii="Times New Roman" w:eastAsia="Arial" w:hAnsi="Times New Roman" w:cs="Times New Roman"/>
          <w:i/>
          <w:iCs/>
          <w:sz w:val="24"/>
          <w:szCs w:val="24"/>
          <w:lang w:val="fr-CH"/>
        </w:rPr>
        <w:t>La jeunesse des effectifs et l’insuffisance de l’encadrement imposent à la préfecture de police de gérer des conséquences, particulières au plan disciplinaire, d’une ressource plus jeune et plus nombreuse de gardiens sortants d’école qu’ailleurs. Cette situation doit être redressée pour mettre en place un encadrement effectif suffisant pour transmettre les compétences techniques et opérationnelles, ainsi que les repères déontologiques.</w:t>
      </w:r>
      <w:r w:rsidRPr="00C84DF6">
        <w:rPr>
          <w:rFonts w:ascii="Times New Roman" w:eastAsia="Arial" w:hAnsi="Times New Roman" w:cs="Times New Roman"/>
          <w:sz w:val="24"/>
          <w:szCs w:val="24"/>
          <w:lang w:val="fr-CH"/>
        </w:rPr>
        <w:t> »</w:t>
      </w:r>
    </w:p>
    <w:p w14:paraId="60C062B4" w14:textId="77777777" w:rsidR="00C84DF6" w:rsidRPr="00C84DF6" w:rsidRDefault="00C84DF6" w:rsidP="00C84DF6">
      <w:pPr>
        <w:pStyle w:val="ListParagraph"/>
        <w:rPr>
          <w:rFonts w:ascii="Times New Roman" w:eastAsia="Arial" w:hAnsi="Times New Roman" w:cs="Times New Roman"/>
          <w:sz w:val="24"/>
          <w:szCs w:val="24"/>
          <w:lang w:val="fr-CH"/>
        </w:rPr>
      </w:pPr>
    </w:p>
    <w:p w14:paraId="0572A3E4" w14:textId="4EC97E82" w:rsidR="00F02B1F" w:rsidRPr="00C84DF6" w:rsidRDefault="00694D01"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lang w:val="fr-CH"/>
        </w:rPr>
        <w:t xml:space="preserve">Au-delà de ce problème structurel, des agents de police ou de gendarmerie peuvent être amenés à enquêter sur des faits mettant en cause leurs propres collègues. La question de l’indépendance est complètement remise en question. C'était notamment le cas dans l’affaire d’Ali </w:t>
      </w:r>
      <w:proofErr w:type="spellStart"/>
      <w:r w:rsidRPr="00C84DF6">
        <w:rPr>
          <w:rFonts w:ascii="Times New Roman" w:eastAsia="Arial" w:hAnsi="Times New Roman" w:cs="Times New Roman"/>
          <w:sz w:val="24"/>
          <w:szCs w:val="24"/>
          <w:lang w:val="fr-CH"/>
        </w:rPr>
        <w:t>Ziri</w:t>
      </w:r>
      <w:proofErr w:type="spellEnd"/>
      <w:r w:rsidRPr="00C84DF6">
        <w:rPr>
          <w:rFonts w:ascii="Times New Roman" w:eastAsia="Arial" w:hAnsi="Times New Roman" w:cs="Times New Roman"/>
          <w:sz w:val="24"/>
          <w:szCs w:val="24"/>
          <w:lang w:val="fr-CH"/>
        </w:rPr>
        <w:t xml:space="preserve">, décédé en juin 2009 à la suite d’un contrôle de routier. Ayant eu accès à la totalité du dossier judiciaire, l’ACAT-France a pu observer qu’une partie des investigations avaient été réalisées dans un premier temps par des policiers exerçant au sein du même commissariat que les agents mis en cause. </w:t>
      </w:r>
    </w:p>
    <w:p w14:paraId="0978FDEE" w14:textId="28BA6E17" w:rsidR="00747133" w:rsidRDefault="00694D01" w:rsidP="00B6391A">
      <w:pPr>
        <w:pStyle w:val="ListParagraph"/>
        <w:spacing w:after="120"/>
        <w:ind w:left="0"/>
        <w:contextualSpacing w:val="0"/>
        <w:jc w:val="both"/>
        <w:rPr>
          <w:rFonts w:ascii="Times New Roman" w:eastAsia="Arial" w:hAnsi="Times New Roman" w:cs="Times New Roman"/>
          <w:sz w:val="24"/>
          <w:szCs w:val="24"/>
          <w:lang w:val="fr-CH"/>
        </w:rPr>
      </w:pPr>
      <w:r w:rsidRPr="00A217AF">
        <w:rPr>
          <w:rFonts w:ascii="Times New Roman" w:eastAsia="Arial" w:hAnsi="Times New Roman" w:cs="Times New Roman"/>
          <w:sz w:val="24"/>
          <w:szCs w:val="24"/>
          <w:lang w:val="fr-CH"/>
        </w:rPr>
        <w:t>Ils ont ainsi procédé aux auditions de certains témoins et ont examiné la vidéo surveillance du commissariat, élément principal de preuve matérielle dans cette affaire. C’est sur la base de leur analyse que se déroulera toute la procédure judiciaire qui se clôturera par un non-lieu confirmé par la cour d’appel de Rennes.</w:t>
      </w:r>
    </w:p>
    <w:p w14:paraId="4E043451" w14:textId="6645F12C" w:rsidR="007F3ED4" w:rsidRDefault="007F3ED4" w:rsidP="00B6391A">
      <w:pPr>
        <w:pStyle w:val="ListParagraph"/>
        <w:numPr>
          <w:ilvl w:val="0"/>
          <w:numId w:val="10"/>
        </w:numPr>
        <w:spacing w:after="120"/>
        <w:contextualSpacing w:val="0"/>
        <w:jc w:val="both"/>
        <w:rPr>
          <w:rFonts w:ascii="Times New Roman" w:eastAsia="Arial" w:hAnsi="Times New Roman" w:cs="Times New Roman"/>
          <w:sz w:val="24"/>
          <w:szCs w:val="24"/>
          <w:lang w:val="fr-CH" w:eastAsia="fr-FR"/>
        </w:rPr>
      </w:pPr>
      <w:r>
        <w:rPr>
          <w:rFonts w:ascii="Times New Roman" w:eastAsia="Arial" w:hAnsi="Times New Roman" w:cs="Times New Roman"/>
          <w:sz w:val="24"/>
          <w:szCs w:val="24"/>
          <w:lang w:val="fr-CH" w:eastAsia="fr-FR"/>
        </w:rPr>
        <w:t>Le second contrôle est effectué par des inspections, une dédiée à chaque institution : l</w:t>
      </w:r>
      <w:r w:rsidR="00474F74">
        <w:rPr>
          <w:rFonts w:ascii="Times New Roman" w:eastAsia="Arial" w:hAnsi="Times New Roman" w:cs="Times New Roman"/>
          <w:sz w:val="24"/>
          <w:szCs w:val="24"/>
          <w:lang w:val="fr-CH" w:eastAsia="fr-FR"/>
        </w:rPr>
        <w:t xml:space="preserve">es </w:t>
      </w:r>
      <w:r>
        <w:rPr>
          <w:rFonts w:ascii="Times New Roman" w:eastAsia="Arial" w:hAnsi="Times New Roman" w:cs="Times New Roman"/>
          <w:sz w:val="24"/>
          <w:szCs w:val="24"/>
          <w:lang w:val="fr-CH" w:eastAsia="fr-FR"/>
        </w:rPr>
        <w:t>Inspection</w:t>
      </w:r>
      <w:r w:rsidR="00474F74">
        <w:rPr>
          <w:rFonts w:ascii="Times New Roman" w:eastAsia="Arial" w:hAnsi="Times New Roman" w:cs="Times New Roman"/>
          <w:sz w:val="24"/>
          <w:szCs w:val="24"/>
          <w:lang w:val="fr-CH" w:eastAsia="fr-FR"/>
        </w:rPr>
        <w:t>s</w:t>
      </w:r>
      <w:r>
        <w:rPr>
          <w:rFonts w:ascii="Times New Roman" w:eastAsia="Arial" w:hAnsi="Times New Roman" w:cs="Times New Roman"/>
          <w:sz w:val="24"/>
          <w:szCs w:val="24"/>
          <w:lang w:val="fr-CH" w:eastAsia="fr-FR"/>
        </w:rPr>
        <w:t xml:space="preserve"> générale</w:t>
      </w:r>
      <w:r w:rsidR="00474F74">
        <w:rPr>
          <w:rFonts w:ascii="Times New Roman" w:eastAsia="Arial" w:hAnsi="Times New Roman" w:cs="Times New Roman"/>
          <w:sz w:val="24"/>
          <w:szCs w:val="24"/>
          <w:lang w:val="fr-CH" w:eastAsia="fr-FR"/>
        </w:rPr>
        <w:t>s</w:t>
      </w:r>
      <w:r>
        <w:rPr>
          <w:rFonts w:ascii="Times New Roman" w:eastAsia="Arial" w:hAnsi="Times New Roman" w:cs="Times New Roman"/>
          <w:sz w:val="24"/>
          <w:szCs w:val="24"/>
          <w:lang w:val="fr-CH" w:eastAsia="fr-FR"/>
        </w:rPr>
        <w:t xml:space="preserve"> de la Police </w:t>
      </w:r>
      <w:r w:rsidR="00474F74">
        <w:rPr>
          <w:rFonts w:ascii="Times New Roman" w:eastAsia="Arial" w:hAnsi="Times New Roman" w:cs="Times New Roman"/>
          <w:sz w:val="24"/>
          <w:szCs w:val="24"/>
          <w:lang w:val="fr-CH" w:eastAsia="fr-FR"/>
        </w:rPr>
        <w:t xml:space="preserve">et </w:t>
      </w:r>
      <w:r>
        <w:rPr>
          <w:rFonts w:ascii="Times New Roman" w:eastAsia="Arial" w:hAnsi="Times New Roman" w:cs="Times New Roman"/>
          <w:sz w:val="24"/>
          <w:szCs w:val="24"/>
          <w:lang w:val="fr-CH" w:eastAsia="fr-FR"/>
        </w:rPr>
        <w:t>de la Gendarmerie nationale</w:t>
      </w:r>
    </w:p>
    <w:p w14:paraId="078F3F34" w14:textId="77777777" w:rsidR="00C84DF6" w:rsidRDefault="0034144E" w:rsidP="00B6391A">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rPr>
        <w:t>Dans les cas d’affaires les plus graves, les enquêtes sont confiées à ces services d’inspection interne. Aucune de ces deux institutions n’est indépendante : elles agissent sous l’autorité du directeur général de la Police et de la Gendarmerie, institutions dont l’impartialité est largement questionnée. Les révélations parues dans la presse sur le travail de l’institution</w:t>
      </w:r>
      <w:r w:rsidRPr="0034144E">
        <w:rPr>
          <w:vertAlign w:val="superscript"/>
          <w:lang w:val="en-GB"/>
        </w:rPr>
        <w:footnoteReference w:id="38"/>
      </w:r>
      <w:r w:rsidRPr="00C84DF6">
        <w:rPr>
          <w:rFonts w:ascii="Times New Roman" w:eastAsia="Arial" w:hAnsi="Times New Roman" w:cs="Times New Roman"/>
          <w:sz w:val="24"/>
          <w:szCs w:val="24"/>
          <w:lang w:val="fr-CH"/>
        </w:rPr>
        <w:t xml:space="preserve"> confirment les constatations effectuées par l’ACAT-France dans ses travaux : crédit supérieur donné à la parole de l’agent, manque de volonté de coopération des supérieurs hiérarchiques, manque de volonté à effectuer certains actes d’instruction, etc.</w:t>
      </w:r>
    </w:p>
    <w:p w14:paraId="2ED47DF8" w14:textId="77777777" w:rsidR="00C84DF6" w:rsidRDefault="00C84DF6" w:rsidP="00C84DF6">
      <w:pPr>
        <w:pStyle w:val="ListParagraph"/>
        <w:spacing w:after="120"/>
        <w:ind w:left="0"/>
        <w:jc w:val="both"/>
        <w:rPr>
          <w:rFonts w:ascii="Times New Roman" w:eastAsia="Arial" w:hAnsi="Times New Roman" w:cs="Times New Roman"/>
          <w:sz w:val="24"/>
          <w:szCs w:val="24"/>
          <w:lang w:val="fr-CH"/>
        </w:rPr>
      </w:pPr>
    </w:p>
    <w:p w14:paraId="7C9DA7B0" w14:textId="165EFB13" w:rsidR="00BE5A29" w:rsidRDefault="00CC701D" w:rsidP="00B6391A">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rPr>
        <w:t>En outre, c</w:t>
      </w:r>
      <w:r w:rsidR="00E35AC8" w:rsidRPr="00C84DF6">
        <w:rPr>
          <w:rFonts w:ascii="Times New Roman" w:eastAsia="Arial" w:hAnsi="Times New Roman" w:cs="Times New Roman"/>
          <w:sz w:val="24"/>
          <w:szCs w:val="24"/>
          <w:lang w:val="fr-CH"/>
        </w:rPr>
        <w:t xml:space="preserve">es contrôles internes à la police et à la gendarmerie </w:t>
      </w:r>
      <w:r w:rsidR="00A6513D" w:rsidRPr="00C84DF6">
        <w:rPr>
          <w:rFonts w:ascii="Times New Roman" w:eastAsia="Arial" w:hAnsi="Times New Roman" w:cs="Times New Roman"/>
          <w:sz w:val="24"/>
          <w:szCs w:val="24"/>
          <w:lang w:val="fr-CH"/>
        </w:rPr>
        <w:t xml:space="preserve">suscitent une certaine méfiance de la part des particuliers. Les enquêteurs de l’IGPN et de l’IGGN sont suspectés d’accorder </w:t>
      </w:r>
      <w:r w:rsidRPr="00C84DF6">
        <w:rPr>
          <w:rFonts w:ascii="Times New Roman" w:eastAsia="Arial" w:hAnsi="Times New Roman" w:cs="Times New Roman"/>
          <w:sz w:val="24"/>
          <w:szCs w:val="24"/>
          <w:lang w:val="fr-CH"/>
        </w:rPr>
        <w:t xml:space="preserve">plus de crédibilité </w:t>
      </w:r>
      <w:r w:rsidR="00235CB3" w:rsidRPr="00C84DF6">
        <w:rPr>
          <w:rFonts w:ascii="Times New Roman" w:eastAsia="Arial" w:hAnsi="Times New Roman" w:cs="Times New Roman"/>
          <w:sz w:val="24"/>
          <w:szCs w:val="24"/>
          <w:lang w:val="fr-CH"/>
        </w:rPr>
        <w:t xml:space="preserve">aux dires des policiers et des gendarmes qu’aux tiers les mettant en cause. Un sévère rapport </w:t>
      </w:r>
      <w:r w:rsidR="00DA4099" w:rsidRPr="00C84DF6">
        <w:rPr>
          <w:rFonts w:ascii="Times New Roman" w:eastAsia="Arial" w:hAnsi="Times New Roman" w:cs="Times New Roman"/>
          <w:sz w:val="24"/>
          <w:szCs w:val="24"/>
          <w:lang w:val="fr-CH"/>
        </w:rPr>
        <w:t xml:space="preserve">de la Cour des comptes </w:t>
      </w:r>
      <w:r w:rsidR="00D81533" w:rsidRPr="00C84DF6">
        <w:rPr>
          <w:rFonts w:ascii="Times New Roman" w:eastAsia="Arial" w:hAnsi="Times New Roman" w:cs="Times New Roman"/>
          <w:sz w:val="24"/>
          <w:szCs w:val="24"/>
          <w:lang w:val="fr-CH"/>
        </w:rPr>
        <w:t>signalait déjà en juillet 2010 de graves dysfonctionnements au sein de ces institutions</w:t>
      </w:r>
      <w:r w:rsidR="00D711E6" w:rsidRPr="00C84DF6">
        <w:rPr>
          <w:rFonts w:ascii="Times New Roman" w:eastAsia="Arial" w:hAnsi="Times New Roman" w:cs="Times New Roman"/>
          <w:sz w:val="24"/>
          <w:szCs w:val="24"/>
          <w:lang w:val="fr-CH"/>
        </w:rPr>
        <w:t>. Le rapport mettait notamment en doute leur impartialité : « </w:t>
      </w:r>
      <w:r w:rsidR="00D711E6" w:rsidRPr="00C84DF6">
        <w:rPr>
          <w:rFonts w:ascii="Times New Roman" w:eastAsia="Arial" w:hAnsi="Times New Roman" w:cs="Times New Roman"/>
          <w:i/>
          <w:iCs/>
          <w:sz w:val="24"/>
          <w:szCs w:val="24"/>
          <w:lang w:val="fr-CH"/>
        </w:rPr>
        <w:t>à la différence de certaines de leurs homologues européennes, elles sont toutes deux placées sous l’autorité directe du responsable des forces de police soumises à leur pouvoir d’enquête</w:t>
      </w:r>
      <w:r w:rsidR="00D711E6" w:rsidRPr="00C84DF6">
        <w:rPr>
          <w:rFonts w:ascii="Times New Roman" w:eastAsia="Arial" w:hAnsi="Times New Roman" w:cs="Times New Roman"/>
          <w:sz w:val="24"/>
          <w:szCs w:val="24"/>
          <w:lang w:val="fr-CH"/>
        </w:rPr>
        <w:t xml:space="preserve"> ». </w:t>
      </w:r>
      <w:r w:rsidR="001244B2" w:rsidRPr="00C84DF6">
        <w:rPr>
          <w:rFonts w:ascii="Times New Roman" w:eastAsia="Arial" w:hAnsi="Times New Roman" w:cs="Times New Roman"/>
          <w:sz w:val="24"/>
          <w:szCs w:val="24"/>
          <w:lang w:val="fr-CH"/>
        </w:rPr>
        <w:t>La Cour des comptes dénonçait l’absence d’intervention extérieure dans le processus de contrôle de l’activité policière et concluait qu</w:t>
      </w:r>
      <w:r w:rsidR="00DC686B" w:rsidRPr="00C84DF6">
        <w:rPr>
          <w:rFonts w:ascii="Times New Roman" w:eastAsia="Arial" w:hAnsi="Times New Roman" w:cs="Times New Roman"/>
          <w:sz w:val="24"/>
          <w:szCs w:val="24"/>
          <w:lang w:val="fr-CH"/>
        </w:rPr>
        <w:t>’ «</w:t>
      </w:r>
      <w:r w:rsidR="001244B2" w:rsidRPr="00C84DF6">
        <w:rPr>
          <w:rFonts w:ascii="Times New Roman" w:eastAsia="Arial" w:hAnsi="Times New Roman" w:cs="Times New Roman"/>
          <w:sz w:val="24"/>
          <w:szCs w:val="24"/>
          <w:lang w:val="fr-CH"/>
        </w:rPr>
        <w:t> </w:t>
      </w:r>
      <w:r w:rsidR="001244B2" w:rsidRPr="00C84DF6">
        <w:rPr>
          <w:rFonts w:ascii="Times New Roman" w:eastAsia="Arial" w:hAnsi="Times New Roman" w:cs="Times New Roman"/>
          <w:i/>
          <w:iCs/>
          <w:sz w:val="24"/>
          <w:szCs w:val="24"/>
          <w:lang w:val="fr-CH"/>
        </w:rPr>
        <w:t xml:space="preserve">en l’absence de réformes instaurant une organisation à la fois plus intégrée et plus transparente, la question de la pertinence d’un tel système de contrôle interne de la police pourrait se poser, au regard des institutions indépendantes créées dans </w:t>
      </w:r>
      <w:r w:rsidR="001D5AEA" w:rsidRPr="00C84DF6">
        <w:rPr>
          <w:rFonts w:ascii="Times New Roman" w:eastAsia="Arial" w:hAnsi="Times New Roman" w:cs="Times New Roman"/>
          <w:i/>
          <w:iCs/>
          <w:sz w:val="24"/>
          <w:szCs w:val="24"/>
          <w:lang w:val="fr-CH"/>
        </w:rPr>
        <w:t>d’autres pays européen</w:t>
      </w:r>
      <w:r w:rsidR="00F45550" w:rsidRPr="00C84DF6">
        <w:rPr>
          <w:rFonts w:ascii="Times New Roman" w:eastAsia="Arial" w:hAnsi="Times New Roman" w:cs="Times New Roman"/>
          <w:i/>
          <w:iCs/>
          <w:sz w:val="24"/>
          <w:szCs w:val="24"/>
          <w:lang w:val="fr-CH"/>
        </w:rPr>
        <w:t>s</w:t>
      </w:r>
      <w:r w:rsidR="001D5AEA" w:rsidRPr="00C84DF6">
        <w:rPr>
          <w:rFonts w:ascii="Times New Roman" w:eastAsia="Arial" w:hAnsi="Times New Roman" w:cs="Times New Roman"/>
          <w:sz w:val="24"/>
          <w:szCs w:val="24"/>
          <w:lang w:val="fr-CH"/>
        </w:rPr>
        <w:t>»</w:t>
      </w:r>
      <w:r w:rsidR="00321C03">
        <w:rPr>
          <w:rStyle w:val="FootnoteReference"/>
          <w:rFonts w:ascii="Times New Roman" w:eastAsia="Arial" w:hAnsi="Times New Roman" w:cs="Times New Roman"/>
          <w:sz w:val="24"/>
          <w:szCs w:val="24"/>
          <w:lang w:val="fr-CH"/>
        </w:rPr>
        <w:footnoteReference w:id="39"/>
      </w:r>
      <w:r w:rsidR="00321C03" w:rsidRPr="00C84DF6">
        <w:rPr>
          <w:rFonts w:ascii="Times New Roman" w:eastAsia="Arial" w:hAnsi="Times New Roman" w:cs="Times New Roman"/>
          <w:sz w:val="24"/>
          <w:szCs w:val="24"/>
          <w:lang w:val="fr-CH"/>
        </w:rPr>
        <w:t>.</w:t>
      </w:r>
      <w:r w:rsidR="001D5AEA" w:rsidRPr="00C84DF6">
        <w:rPr>
          <w:rFonts w:ascii="Times New Roman" w:eastAsia="Arial" w:hAnsi="Times New Roman" w:cs="Times New Roman"/>
          <w:sz w:val="24"/>
          <w:szCs w:val="24"/>
          <w:lang w:val="fr-CH"/>
        </w:rPr>
        <w:t xml:space="preserve"> Pourtant, les exigences </w:t>
      </w:r>
      <w:r w:rsidR="00F9102B" w:rsidRPr="00C84DF6">
        <w:rPr>
          <w:rFonts w:ascii="Times New Roman" w:eastAsia="Arial" w:hAnsi="Times New Roman" w:cs="Times New Roman"/>
          <w:sz w:val="24"/>
          <w:szCs w:val="24"/>
          <w:lang w:val="fr-CH"/>
        </w:rPr>
        <w:t>d’impartialité, d’effectivité et de célérité imposées par le droit international peinent à être respectées en France</w:t>
      </w:r>
      <w:r w:rsidR="00F45550" w:rsidRPr="00C84DF6">
        <w:rPr>
          <w:rFonts w:ascii="Times New Roman" w:eastAsia="Arial" w:hAnsi="Times New Roman" w:cs="Times New Roman"/>
          <w:sz w:val="24"/>
          <w:szCs w:val="24"/>
          <w:lang w:val="fr-CH"/>
        </w:rPr>
        <w:t xml:space="preserve">. </w:t>
      </w:r>
    </w:p>
    <w:p w14:paraId="156E125A" w14:textId="77777777" w:rsidR="00FB3061" w:rsidRPr="00C84DF6" w:rsidRDefault="00FB3061" w:rsidP="00FB3061">
      <w:pPr>
        <w:pStyle w:val="ListParagraph"/>
        <w:spacing w:after="120"/>
        <w:ind w:left="0"/>
        <w:jc w:val="both"/>
        <w:rPr>
          <w:rFonts w:ascii="Times New Roman" w:eastAsia="Arial" w:hAnsi="Times New Roman" w:cs="Times New Roman"/>
          <w:sz w:val="24"/>
          <w:szCs w:val="24"/>
          <w:lang w:val="fr-CH"/>
        </w:rPr>
      </w:pPr>
    </w:p>
    <w:p w14:paraId="55F06E15" w14:textId="69AEEFE5" w:rsidR="00C84DF6" w:rsidRPr="00C84DF6" w:rsidRDefault="00EA2794" w:rsidP="00C84DF6">
      <w:pPr>
        <w:pStyle w:val="Heading3"/>
        <w:spacing w:after="120"/>
        <w:rPr>
          <w:rFonts w:eastAsia="Arial"/>
          <w:lang w:val="fr-CH" w:eastAsia="fr-FR"/>
        </w:rPr>
      </w:pPr>
      <w:bookmarkStart w:id="16" w:name="_Toc192599337"/>
      <w:r w:rsidRPr="08215407">
        <w:rPr>
          <w:rFonts w:eastAsia="Arial"/>
          <w:lang w:val="fr-CH" w:eastAsia="fr-FR"/>
        </w:rPr>
        <w:t>2</w:t>
      </w:r>
      <w:r w:rsidR="00202646" w:rsidRPr="08215407">
        <w:rPr>
          <w:rFonts w:eastAsia="Arial"/>
          <w:lang w:val="fr-CH" w:eastAsia="fr-FR"/>
        </w:rPr>
        <w:t>.2 Le contrôle externe</w:t>
      </w:r>
      <w:bookmarkEnd w:id="16"/>
    </w:p>
    <w:p w14:paraId="57071FC5" w14:textId="77777777" w:rsidR="00C84DF6" w:rsidRDefault="0054121C" w:rsidP="00B6391A">
      <w:pPr>
        <w:pStyle w:val="ListParagraph"/>
        <w:numPr>
          <w:ilvl w:val="0"/>
          <w:numId w:val="35"/>
        </w:numPr>
        <w:spacing w:after="120"/>
        <w:ind w:left="0"/>
        <w:contextualSpacing w:val="0"/>
        <w:jc w:val="both"/>
        <w:rPr>
          <w:rFonts w:ascii="Times New Roman" w:eastAsia="Arial" w:hAnsi="Times New Roman" w:cs="Times New Roman"/>
          <w:i/>
          <w:iCs/>
          <w:sz w:val="24"/>
          <w:szCs w:val="24"/>
          <w:lang w:val="fr-CH" w:eastAsia="fr-FR"/>
        </w:rPr>
      </w:pPr>
      <w:r>
        <w:rPr>
          <w:rFonts w:ascii="Times New Roman" w:eastAsia="Arial" w:hAnsi="Times New Roman" w:cs="Times New Roman"/>
          <w:sz w:val="24"/>
          <w:szCs w:val="24"/>
          <w:lang w:val="fr-CH" w:eastAsia="fr-FR"/>
        </w:rPr>
        <w:t xml:space="preserve">La </w:t>
      </w:r>
      <w:r w:rsidRPr="00D81147">
        <w:rPr>
          <w:rFonts w:ascii="Times New Roman" w:eastAsia="Arial" w:hAnsi="Times New Roman" w:cs="Times New Roman"/>
          <w:sz w:val="24"/>
          <w:szCs w:val="24"/>
          <w:lang w:val="fr-CH" w:eastAsia="fr-FR"/>
        </w:rPr>
        <w:t xml:space="preserve">police nationale et la gendarmerie sont néanmoins soumises au contrôle d’un organe indépendant : le Défenseur des droits, autorité administrative indépendante chargée du contrôle du respect du droit et de la déontologie par les forces de l’ordre. Son rôle est clairement indiqué dans le code de la sécurité intérieure à l’article R 434-24. L’article précise que l’exercice </w:t>
      </w:r>
      <w:r w:rsidRPr="00D81147">
        <w:rPr>
          <w:rFonts w:ascii="Times New Roman" w:eastAsia="Arial" w:hAnsi="Times New Roman" w:cs="Times New Roman"/>
          <w:i/>
          <w:iCs/>
          <w:sz w:val="24"/>
          <w:szCs w:val="24"/>
          <w:lang w:val="fr-CH" w:eastAsia="fr-FR"/>
        </w:rPr>
        <w:t>« par le défenseur de ce contrôle peut le conduire à saisir l’autorité chargée d’engager les poursuites disciplinaires des faits portés à sa connaissance qui lui paraissent de nature à justifier une sanction</w:t>
      </w:r>
      <w:r w:rsidRPr="00D81147">
        <w:rPr>
          <w:rFonts w:ascii="Times New Roman" w:eastAsia="Arial" w:hAnsi="Times New Roman" w:cs="Times New Roman"/>
          <w:sz w:val="24"/>
          <w:szCs w:val="24"/>
          <w:lang w:val="fr-CH" w:eastAsia="fr-FR"/>
        </w:rPr>
        <w:t> </w:t>
      </w:r>
      <w:r w:rsidRPr="00D81147">
        <w:rPr>
          <w:rFonts w:ascii="Times New Roman" w:eastAsia="Arial" w:hAnsi="Times New Roman" w:cs="Times New Roman"/>
          <w:i/>
          <w:iCs/>
          <w:sz w:val="24"/>
          <w:szCs w:val="24"/>
          <w:lang w:val="fr-CH" w:eastAsia="fr-FR"/>
        </w:rPr>
        <w:t xml:space="preserve">». </w:t>
      </w:r>
    </w:p>
    <w:p w14:paraId="092E80B6" w14:textId="77777777" w:rsidR="00C84DF6" w:rsidRPr="00C84DF6" w:rsidRDefault="00222338" w:rsidP="00B6391A">
      <w:pPr>
        <w:pStyle w:val="ListParagraph"/>
        <w:numPr>
          <w:ilvl w:val="0"/>
          <w:numId w:val="35"/>
        </w:numPr>
        <w:spacing w:after="120"/>
        <w:ind w:left="0"/>
        <w:contextualSpacing w:val="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 xml:space="preserve">Malgré </w:t>
      </w:r>
      <w:r w:rsidR="007212D7" w:rsidRPr="00C84DF6">
        <w:rPr>
          <w:rFonts w:ascii="Times New Roman" w:eastAsia="Arial" w:hAnsi="Times New Roman" w:cs="Times New Roman"/>
          <w:sz w:val="24"/>
          <w:szCs w:val="24"/>
          <w:lang w:val="fr-CH" w:eastAsia="fr-FR"/>
        </w:rPr>
        <w:t xml:space="preserve">la </w:t>
      </w:r>
      <w:r w:rsidRPr="00C84DF6">
        <w:rPr>
          <w:rFonts w:ascii="Times New Roman" w:eastAsia="Arial" w:hAnsi="Times New Roman" w:cs="Times New Roman"/>
          <w:sz w:val="24"/>
          <w:szCs w:val="24"/>
          <w:lang w:val="fr-CH" w:eastAsia="fr-FR"/>
        </w:rPr>
        <w:t>clarté de ces dispositions, la réalité est toute autre : à la fin de son mandat de six ans, le Défenseur des droits Jacques Toubon, titulaire du poste en 2014 et 2020, rappelait que sur les 36 propositions de sanctions soumises au ministère de l’Intérieur par ses services, aucune n’a été suivie d’un engagement de poursuites contre les agents désignés</w:t>
      </w:r>
      <w:r w:rsidRPr="00222338">
        <w:rPr>
          <w:rFonts w:ascii="Times New Roman" w:eastAsia="Arial" w:hAnsi="Times New Roman" w:cs="Times New Roman"/>
          <w:sz w:val="24"/>
          <w:szCs w:val="24"/>
          <w:vertAlign w:val="superscript"/>
          <w:lang w:val="en-GB" w:eastAsia="fr-FR"/>
        </w:rPr>
        <w:footnoteReference w:id="40"/>
      </w:r>
      <w:r w:rsidRPr="00C84DF6">
        <w:rPr>
          <w:rFonts w:ascii="Times New Roman" w:eastAsia="Arial" w:hAnsi="Times New Roman" w:cs="Times New Roman"/>
          <w:sz w:val="24"/>
          <w:szCs w:val="24"/>
          <w:lang w:val="fr-CH" w:eastAsia="fr-FR"/>
        </w:rPr>
        <w:t xml:space="preserve">. Toutes les demandes ont reçu une réponse négative de la part du ministère. </w:t>
      </w:r>
    </w:p>
    <w:p w14:paraId="64101C21" w14:textId="1EB10C38" w:rsidR="00202646" w:rsidRPr="00FB3061" w:rsidRDefault="00057601" w:rsidP="00B6391A">
      <w:pPr>
        <w:pStyle w:val="ListParagraph"/>
        <w:numPr>
          <w:ilvl w:val="0"/>
          <w:numId w:val="35"/>
        </w:numPr>
        <w:spacing w:after="120"/>
        <w:ind w:left="0"/>
        <w:contextualSpacing w:val="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Pourtant ces décisions transmises par les services du Défenseur sont le fruit d’un processus long et rigoureux : les éléments transmis sont analysés, si un manquement est constaté, les parties sont convoquées, une note récapitulative est transmise, avec un mois pour y répondre, puis un collège se réunit, qui donne un avis, et la décision est ensuite transmise au ministère demandant que des poursuites disciplinaires soient engagées. Cela ne concerne qu’1% des saisines que le Défenseur reçoit chaque année. Mais cela ne suffit pas à convaincre le ministère de l’Intérieur de l’opportunité d’engager des poursuites.</w:t>
      </w:r>
    </w:p>
    <w:p w14:paraId="5D10A8C6" w14:textId="77777777" w:rsidR="00FB3061" w:rsidRPr="00C84DF6" w:rsidRDefault="00FB3061" w:rsidP="00FB3061">
      <w:pPr>
        <w:pStyle w:val="ListParagraph"/>
        <w:spacing w:after="120"/>
        <w:ind w:left="0"/>
        <w:contextualSpacing w:val="0"/>
        <w:jc w:val="both"/>
        <w:rPr>
          <w:rFonts w:ascii="Times New Roman" w:eastAsia="Arial" w:hAnsi="Times New Roman" w:cs="Times New Roman"/>
          <w:i/>
          <w:iCs/>
          <w:sz w:val="24"/>
          <w:szCs w:val="24"/>
          <w:lang w:val="fr-CH" w:eastAsia="fr-FR"/>
        </w:rPr>
      </w:pPr>
    </w:p>
    <w:p w14:paraId="47F065CE" w14:textId="659D01F0" w:rsidR="00C84DF6" w:rsidRPr="00C84DF6" w:rsidRDefault="00EA2794" w:rsidP="00C84DF6">
      <w:pPr>
        <w:pStyle w:val="Heading3"/>
        <w:spacing w:after="120"/>
        <w:rPr>
          <w:rFonts w:eastAsia="Arial"/>
          <w:lang w:val="fr-CH" w:eastAsia="fr-FR"/>
        </w:rPr>
      </w:pPr>
      <w:bookmarkStart w:id="17" w:name="_Toc192599338"/>
      <w:r w:rsidRPr="08215407">
        <w:rPr>
          <w:rFonts w:eastAsia="Arial"/>
          <w:lang w:val="fr-CH" w:eastAsia="fr-FR"/>
        </w:rPr>
        <w:t xml:space="preserve">2.3 </w:t>
      </w:r>
      <w:r w:rsidR="00057601" w:rsidRPr="08215407">
        <w:rPr>
          <w:rFonts w:eastAsia="Arial"/>
          <w:lang w:val="fr-CH" w:eastAsia="fr-FR"/>
        </w:rPr>
        <w:t>Le contrôle judiciaire</w:t>
      </w:r>
      <w:bookmarkEnd w:id="17"/>
    </w:p>
    <w:p w14:paraId="46F4771B" w14:textId="77777777" w:rsidR="00C84DF6" w:rsidRDefault="0020273A" w:rsidP="00B6391A">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rPr>
        <w:t>L’étude des affaires qui arrivent devant la Cour européenne des droits de l’homme amène à dresser un constat sévère : les agents impliqués demeurent tout au long de la procédure sous le statut de témoin assisté, position intermédiaire entre le statut de témoin et de mis en examen. Aucune mesure disciplinaire n’est prise à leur encontre, et la plupart reste en poste au cours de l’instruction et exerce encore aujourd’hui malgré le constat, la plupart du temps unanime, de faits suffisamment graves et caractérisés pour justifier une condamnation de la France.</w:t>
      </w:r>
    </w:p>
    <w:p w14:paraId="6BE85F6D" w14:textId="77777777" w:rsidR="00C84DF6" w:rsidRDefault="00C84DF6" w:rsidP="00C84DF6">
      <w:pPr>
        <w:pStyle w:val="ListParagraph"/>
        <w:spacing w:after="120"/>
        <w:ind w:left="0"/>
        <w:jc w:val="both"/>
        <w:rPr>
          <w:rFonts w:ascii="Times New Roman" w:eastAsia="Arial" w:hAnsi="Times New Roman" w:cs="Times New Roman"/>
          <w:sz w:val="24"/>
          <w:szCs w:val="24"/>
          <w:lang w:val="fr-CH"/>
        </w:rPr>
      </w:pPr>
    </w:p>
    <w:p w14:paraId="13893FF9" w14:textId="77777777" w:rsidR="00C84DF6" w:rsidRDefault="00927595" w:rsidP="00B6391A">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eastAsia="fr-FR"/>
        </w:rPr>
        <w:t xml:space="preserve">Pourtant, </w:t>
      </w:r>
      <w:r w:rsidRPr="00C84DF6">
        <w:rPr>
          <w:rFonts w:ascii="Times New Roman" w:eastAsia="Arial" w:hAnsi="Times New Roman" w:cs="Times New Roman"/>
          <w:sz w:val="24"/>
          <w:szCs w:val="24"/>
          <w:lang w:val="fr-CH"/>
        </w:rPr>
        <w:t>la position de la Cour européenne des droits de l’homme est claire sur le traitement judiciaire qui doit être réservé à ce type d’allégations : l’issue de l’enquête et des poursuites pénales qu’elle déclenche, y compris la sanction prononcée ainsi que les mesures disciplinaires prises, passent pour déterminantes. Elles sont essentielles si l’on veut préserver l’effet dissuasif du système judiciaire en place et le rôle qu’il est tenu d’exercer dans la prévention des atteintes à l’interdiction des mauvais traitements</w:t>
      </w:r>
      <w:r w:rsidRPr="00927595">
        <w:rPr>
          <w:vertAlign w:val="superscript"/>
          <w:lang w:val="en-GB"/>
        </w:rPr>
        <w:footnoteReference w:id="41"/>
      </w:r>
      <w:r w:rsidRPr="00C84DF6">
        <w:rPr>
          <w:rFonts w:ascii="Times New Roman" w:eastAsia="Arial" w:hAnsi="Times New Roman" w:cs="Times New Roman"/>
          <w:sz w:val="24"/>
          <w:szCs w:val="24"/>
          <w:lang w:val="fr-CH"/>
        </w:rPr>
        <w:t xml:space="preserve">. </w:t>
      </w:r>
    </w:p>
    <w:p w14:paraId="1368019C"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376AD31B" w14:textId="0867DCAB" w:rsidR="00E675F3" w:rsidRPr="00C84DF6" w:rsidRDefault="00163286" w:rsidP="00B6391A">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eastAsia="fr-FR"/>
        </w:rPr>
        <w:t xml:space="preserve">Dans </w:t>
      </w:r>
      <w:r w:rsidRPr="00C84DF6">
        <w:rPr>
          <w:rFonts w:ascii="Times New Roman" w:eastAsia="Arial" w:hAnsi="Times New Roman" w:cs="Times New Roman"/>
          <w:sz w:val="24"/>
          <w:szCs w:val="24"/>
          <w:lang w:val="fr-CH"/>
        </w:rPr>
        <w:t xml:space="preserve">une affaire impliquant des agents de l’administration pénitentiaire à l’encontre d’un détenu, la CEDH fait un constat sévère sur le traitement judiciaire réservé à ces affaires, y compris par les magistrats du siège. Elle relève en effet que « </w:t>
      </w:r>
      <w:r w:rsidRPr="00C84DF6">
        <w:rPr>
          <w:rFonts w:ascii="Times New Roman" w:eastAsia="Arial" w:hAnsi="Times New Roman" w:cs="Times New Roman"/>
          <w:i/>
          <w:iCs/>
          <w:sz w:val="24"/>
          <w:szCs w:val="24"/>
          <w:lang w:val="fr-CH"/>
        </w:rPr>
        <w:t>l’instruction s’est certes déroulée en conformité avec les prescriptions légales et elle était entre les mains d’une autorité indépendante. Cependant, la Cour relève que l’enquête n’a pas mené à l’identification et à la punition des responsables des traitements inhumains et dégradants qu’elle a constatés</w:t>
      </w:r>
      <w:r w:rsidRPr="00C84DF6">
        <w:rPr>
          <w:rFonts w:ascii="Times New Roman" w:eastAsia="Arial" w:hAnsi="Times New Roman" w:cs="Times New Roman"/>
          <w:sz w:val="24"/>
          <w:szCs w:val="24"/>
          <w:lang w:val="fr-CH"/>
        </w:rPr>
        <w:t>. »</w:t>
      </w:r>
    </w:p>
    <w:p w14:paraId="73AEC28F" w14:textId="77777777" w:rsidR="00F02B1F" w:rsidRDefault="00F02B1F" w:rsidP="00B6391A">
      <w:pPr>
        <w:spacing w:after="120"/>
        <w:jc w:val="both"/>
        <w:rPr>
          <w:rFonts w:ascii="Times New Roman" w:eastAsia="Arial" w:hAnsi="Times New Roman" w:cs="Times New Roman"/>
          <w:sz w:val="24"/>
          <w:szCs w:val="24"/>
          <w:lang w:val="fr-CH"/>
        </w:rPr>
      </w:pPr>
    </w:p>
    <w:p w14:paraId="713380D4" w14:textId="57B8E969" w:rsidR="00BC4927" w:rsidRPr="00BC4927" w:rsidRDefault="00BC4927" w:rsidP="00B6391A">
      <w:pPr>
        <w:spacing w:after="120"/>
        <w:jc w:val="both"/>
        <w:rPr>
          <w:rFonts w:ascii="Times New Roman" w:eastAsia="Arial"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BDF4506" wp14:editId="402D5F27">
                <wp:simplePos x="0" y="0"/>
                <wp:positionH relativeFrom="margin">
                  <wp:posOffset>0</wp:posOffset>
                </wp:positionH>
                <wp:positionV relativeFrom="paragraph">
                  <wp:posOffset>-635</wp:posOffset>
                </wp:positionV>
                <wp:extent cx="5953125" cy="895350"/>
                <wp:effectExtent l="0" t="0" r="28575" b="19050"/>
                <wp:wrapNone/>
                <wp:docPr id="1438979123" name="Rectangle 2"/>
                <wp:cNvGraphicFramePr/>
                <a:graphic xmlns:a="http://schemas.openxmlformats.org/drawingml/2006/main">
                  <a:graphicData uri="http://schemas.microsoft.com/office/word/2010/wordprocessingShape">
                    <wps:wsp>
                      <wps:cNvSpPr/>
                      <wps:spPr>
                        <a:xfrm>
                          <a:off x="0" y="0"/>
                          <a:ext cx="5953125" cy="89535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31B3C9F0" w14:textId="25DD22BA" w:rsidR="00BC4927" w:rsidRPr="008B6400" w:rsidRDefault="00BC4927" w:rsidP="00BC4927">
                            <w:pPr>
                              <w:spacing w:after="120"/>
                              <w:jc w:val="both"/>
                              <w:rPr>
                                <w:rFonts w:ascii="Times New Roman" w:hAnsi="Times New Roman" w:cs="Times New Roman"/>
                                <w:sz w:val="24"/>
                                <w:szCs w:val="24"/>
                              </w:rPr>
                            </w:pPr>
                            <w:r w:rsidRPr="008B6400">
                              <w:rPr>
                                <w:rFonts w:ascii="Times New Roman" w:eastAsia="Arial" w:hAnsi="Times New Roman" w:cs="Times New Roman"/>
                                <w:b/>
                                <w:bCs/>
                                <w:sz w:val="24"/>
                                <w:szCs w:val="24"/>
                                <w:lang w:val="fr-CH"/>
                              </w:rPr>
                              <w:t xml:space="preserve">L’ACAT-France et la FIACAT invitent le Comité à recommander à la France </w:t>
                            </w:r>
                            <w:r w:rsidRPr="008B6400">
                              <w:rPr>
                                <w:rFonts w:ascii="Times New Roman" w:hAnsi="Times New Roman" w:cs="Times New Roman"/>
                                <w:b/>
                                <w:bCs/>
                                <w:sz w:val="24"/>
                                <w:szCs w:val="24"/>
                              </w:rPr>
                              <w:t>de créer un organe indépendant chargé d’enquêter</w:t>
                            </w:r>
                            <w:r w:rsidR="00001C7A">
                              <w:rPr>
                                <w:rFonts w:ascii="Times New Roman" w:hAnsi="Times New Roman" w:cs="Times New Roman"/>
                                <w:b/>
                                <w:bCs/>
                                <w:sz w:val="24"/>
                                <w:szCs w:val="24"/>
                              </w:rPr>
                              <w:t xml:space="preserve"> sur</w:t>
                            </w:r>
                            <w:r w:rsidRPr="008B6400">
                              <w:rPr>
                                <w:rFonts w:ascii="Times New Roman" w:hAnsi="Times New Roman" w:cs="Times New Roman"/>
                                <w:b/>
                                <w:bCs/>
                                <w:sz w:val="24"/>
                                <w:szCs w:val="24"/>
                              </w:rPr>
                              <w:t xml:space="preserve"> les allégations de violations imputables aux agents de police et de gendarmerie, et dont les décisions soient contraignantes. </w:t>
                            </w:r>
                          </w:p>
                          <w:p w14:paraId="19010788" w14:textId="5956BBCD" w:rsidR="00BC4927" w:rsidRPr="008B6400" w:rsidRDefault="00BC4927" w:rsidP="00BC4927">
                            <w:pPr>
                              <w:spacing w:after="120"/>
                              <w:jc w:val="both"/>
                              <w:rPr>
                                <w:rFonts w:ascii="Times New Roman" w:hAnsi="Times New Roman" w:cs="Times New Roman"/>
                                <w:sz w:val="24"/>
                                <w:szCs w:val="24"/>
                              </w:rPr>
                            </w:pPr>
                          </w:p>
                          <w:p w14:paraId="578ABB3B" w14:textId="77777777" w:rsidR="00BC4927" w:rsidRDefault="00BC4927" w:rsidP="00BC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BDF4506" id="_x0000_s1030" style="position:absolute;left:0;text-align:left;margin-left:0;margin-top:-.05pt;width:468.75pt;height:7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" fillcolor="#dceaf7 [351]" strokecolor="#042433" strokeweight="1pt">
                <v:textbox>
                  <w:txbxContent>
                    <w:p w14:paraId="31B3C9F0" w14:textId="25DD22BA" w:rsidR="00BC4927" w:rsidRPr="008B6400" w:rsidRDefault="00BC4927" w:rsidP="00BC4927">
                      <w:pPr>
                        <w:spacing w:after="120"/>
                        <w:jc w:val="both"/>
                        <w:rPr>
                          <w:rFonts w:ascii="Times New Roman" w:hAnsi="Times New Roman" w:cs="Times New Roman"/>
                          <w:sz w:val="24"/>
                          <w:szCs w:val="24"/>
                        </w:rPr>
                      </w:pPr>
                      <w:r w:rsidRPr="008B6400">
                        <w:rPr>
                          <w:rFonts w:ascii="Times New Roman" w:eastAsia="Arial" w:hAnsi="Times New Roman" w:cs="Times New Roman"/>
                          <w:b/>
                          <w:bCs/>
                          <w:sz w:val="24"/>
                          <w:szCs w:val="24"/>
                          <w:lang w:val="fr-CH"/>
                        </w:rPr>
                        <w:t xml:space="preserve">L’ACAT-France et la FIACAT invitent le Comité à recommander à la France </w:t>
                      </w:r>
                      <w:r w:rsidRPr="008B6400">
                        <w:rPr>
                          <w:rFonts w:ascii="Times New Roman" w:hAnsi="Times New Roman" w:cs="Times New Roman"/>
                          <w:b/>
                          <w:bCs/>
                          <w:sz w:val="24"/>
                          <w:szCs w:val="24"/>
                        </w:rPr>
                        <w:t>de créer un organe indépendant chargé d’enquêter</w:t>
                      </w:r>
                      <w:r w:rsidR="00001C7A">
                        <w:rPr>
                          <w:rFonts w:ascii="Times New Roman" w:hAnsi="Times New Roman" w:cs="Times New Roman"/>
                          <w:b/>
                          <w:bCs/>
                          <w:sz w:val="24"/>
                          <w:szCs w:val="24"/>
                        </w:rPr>
                        <w:t xml:space="preserve"> sur</w:t>
                      </w:r>
                      <w:r w:rsidRPr="008B6400">
                        <w:rPr>
                          <w:rFonts w:ascii="Times New Roman" w:hAnsi="Times New Roman" w:cs="Times New Roman"/>
                          <w:b/>
                          <w:bCs/>
                          <w:sz w:val="24"/>
                          <w:szCs w:val="24"/>
                        </w:rPr>
                        <w:t xml:space="preserve"> les allégations de violations imputables aux agents de police et de gendarmerie, et dont les décisions soient contraignantes. </w:t>
                      </w:r>
                    </w:p>
                    <w:p w14:paraId="19010788" w14:textId="5956BBCD" w:rsidR="00BC4927" w:rsidRPr="008B6400" w:rsidRDefault="00BC4927" w:rsidP="00BC4927">
                      <w:pPr>
                        <w:spacing w:after="120"/>
                        <w:jc w:val="both"/>
                        <w:rPr>
                          <w:rFonts w:ascii="Times New Roman" w:hAnsi="Times New Roman" w:cs="Times New Roman"/>
                          <w:sz w:val="24"/>
                          <w:szCs w:val="24"/>
                        </w:rPr>
                      </w:pPr>
                    </w:p>
                    <w:p w14:paraId="578ABB3B" w14:textId="77777777" w:rsidR="00BC4927" w:rsidRDefault="00BC4927" w:rsidP="00BC4927">
                      <w:pPr>
                        <w:jc w:val="center"/>
                      </w:pPr>
                    </w:p>
                  </w:txbxContent>
                </v:textbox>
                <w10:wrap anchorx="margin"/>
              </v:rect>
            </w:pict>
          </mc:Fallback>
        </mc:AlternateContent>
      </w:r>
    </w:p>
    <w:p w14:paraId="051EF756" w14:textId="77777777" w:rsidR="00BC4927" w:rsidRDefault="00BC4927" w:rsidP="00B6391A">
      <w:pPr>
        <w:spacing w:after="120"/>
        <w:jc w:val="both"/>
        <w:rPr>
          <w:rFonts w:ascii="Times New Roman" w:eastAsia="Arial" w:hAnsi="Times New Roman" w:cs="Times New Roman"/>
          <w:sz w:val="24"/>
          <w:szCs w:val="24"/>
          <w:lang w:val="fr-CH"/>
        </w:rPr>
      </w:pPr>
    </w:p>
    <w:p w14:paraId="053587DD" w14:textId="77777777" w:rsidR="00001CE5" w:rsidRPr="00732D0E" w:rsidRDefault="00001CE5" w:rsidP="00B6391A">
      <w:pPr>
        <w:spacing w:after="120"/>
        <w:jc w:val="both"/>
        <w:rPr>
          <w:rFonts w:ascii="Times New Roman" w:eastAsia="Arial" w:hAnsi="Times New Roman" w:cs="Times New Roman"/>
          <w:sz w:val="24"/>
          <w:szCs w:val="24"/>
          <w:lang w:val="fr-CH" w:eastAsia="fr-FR"/>
        </w:rPr>
      </w:pPr>
    </w:p>
    <w:p w14:paraId="23550BB6" w14:textId="77777777" w:rsidR="004159DB" w:rsidRDefault="004159DB" w:rsidP="00B6391A">
      <w:pPr>
        <w:spacing w:after="120"/>
        <w:jc w:val="both"/>
        <w:rPr>
          <w:rFonts w:ascii="Times New Roman" w:hAnsi="Times New Roman" w:cs="Times New Roman"/>
          <w:sz w:val="24"/>
          <w:szCs w:val="24"/>
        </w:rPr>
      </w:pPr>
    </w:p>
    <w:p w14:paraId="1ACC988F" w14:textId="77777777" w:rsidR="00FB3061" w:rsidRPr="00E675F3" w:rsidRDefault="00FB3061" w:rsidP="00B6391A">
      <w:pPr>
        <w:spacing w:after="120"/>
        <w:jc w:val="both"/>
        <w:rPr>
          <w:rFonts w:ascii="Times New Roman" w:hAnsi="Times New Roman" w:cs="Times New Roman"/>
          <w:sz w:val="24"/>
          <w:szCs w:val="24"/>
        </w:rPr>
      </w:pPr>
    </w:p>
    <w:p w14:paraId="2F3E696B" w14:textId="4ED764C0" w:rsidR="007A06AB" w:rsidRPr="00674A01" w:rsidRDefault="007A06AB" w:rsidP="00B6391A">
      <w:pPr>
        <w:pStyle w:val="Heading2"/>
        <w:numPr>
          <w:ilvl w:val="0"/>
          <w:numId w:val="17"/>
        </w:numPr>
        <w:spacing w:after="120"/>
      </w:pPr>
      <w:bookmarkStart w:id="18" w:name="_Toc192599339"/>
      <w:r>
        <w:t>Sanctions</w:t>
      </w:r>
      <w:bookmarkEnd w:id="18"/>
    </w:p>
    <w:p w14:paraId="78F39603" w14:textId="77777777" w:rsidR="00C84DF6" w:rsidRDefault="00592BC6"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i/>
          <w:iCs/>
          <w:sz w:val="24"/>
          <w:szCs w:val="24"/>
          <w:lang w:val="fr-CH" w:eastAsia="fr-FR"/>
        </w:rPr>
        <w:t xml:space="preserve">« Le Comité est préoccupé par le manque d’informations détaillées sur les condamnations judiciaires des fonctionnaires de police et de gendarmerie reconnus coupables et les sanctions </w:t>
      </w:r>
      <w:r w:rsidR="000107B1" w:rsidRPr="00C84DF6">
        <w:rPr>
          <w:rFonts w:ascii="Times New Roman" w:eastAsia="Arial" w:hAnsi="Times New Roman" w:cs="Times New Roman"/>
          <w:i/>
          <w:iCs/>
          <w:sz w:val="24"/>
          <w:szCs w:val="24"/>
          <w:lang w:val="fr-CH" w:eastAsia="fr-FR"/>
        </w:rPr>
        <w:t>prononcées à leur égard »</w:t>
      </w:r>
      <w:r w:rsidR="000107B1" w:rsidRPr="004D1F14">
        <w:rPr>
          <w:rStyle w:val="FootnoteReference"/>
          <w:rFonts w:ascii="Times New Roman" w:eastAsia="Arial" w:hAnsi="Times New Roman" w:cs="Times New Roman"/>
          <w:i/>
          <w:iCs/>
          <w:sz w:val="24"/>
          <w:szCs w:val="24"/>
          <w:lang w:val="fr-CH" w:eastAsia="fr-FR"/>
        </w:rPr>
        <w:footnoteReference w:id="42"/>
      </w:r>
      <w:r w:rsidR="000107B1" w:rsidRPr="00C84DF6">
        <w:rPr>
          <w:rFonts w:ascii="Times New Roman" w:eastAsia="Arial" w:hAnsi="Times New Roman" w:cs="Times New Roman"/>
          <w:i/>
          <w:iCs/>
          <w:sz w:val="24"/>
          <w:szCs w:val="24"/>
          <w:lang w:val="fr-CH" w:eastAsia="fr-FR"/>
        </w:rPr>
        <w:t xml:space="preserve">. </w:t>
      </w:r>
    </w:p>
    <w:p w14:paraId="2434059F" w14:textId="77777777" w:rsidR="00C84DF6" w:rsidRDefault="00C84DF6" w:rsidP="00C84DF6">
      <w:pPr>
        <w:pStyle w:val="ListParagraph"/>
        <w:spacing w:after="120"/>
        <w:ind w:left="0"/>
        <w:jc w:val="both"/>
        <w:rPr>
          <w:rFonts w:ascii="Times New Roman" w:eastAsia="Arial" w:hAnsi="Times New Roman" w:cs="Times New Roman"/>
          <w:i/>
          <w:iCs/>
          <w:sz w:val="24"/>
          <w:szCs w:val="24"/>
          <w:lang w:val="fr-CH" w:eastAsia="fr-FR"/>
        </w:rPr>
      </w:pPr>
    </w:p>
    <w:p w14:paraId="094EBBD1" w14:textId="77777777" w:rsidR="00747133" w:rsidRDefault="00747133" w:rsidP="00C84DF6">
      <w:pPr>
        <w:pStyle w:val="ListParagraph"/>
        <w:spacing w:after="120"/>
        <w:ind w:left="0"/>
        <w:jc w:val="both"/>
        <w:rPr>
          <w:rFonts w:ascii="Times New Roman" w:eastAsia="Arial" w:hAnsi="Times New Roman" w:cs="Times New Roman"/>
          <w:i/>
          <w:iCs/>
          <w:sz w:val="24"/>
          <w:szCs w:val="24"/>
          <w:lang w:val="fr-CH" w:eastAsia="fr-FR"/>
        </w:rPr>
      </w:pPr>
    </w:p>
    <w:p w14:paraId="3B195E9C" w14:textId="77777777" w:rsidR="00C84DF6" w:rsidRDefault="00AB0912"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L’ACAT-France déplore une opacité sur le taux de condamnation des policiers et des gendarmes. Aucun chiffre n’est publié par le ministère de la Justice. Selon des magistrats rencontrés par l’ACAT-France</w:t>
      </w:r>
      <w:r w:rsidR="00636DE2" w:rsidRPr="00C84DF6">
        <w:rPr>
          <w:rFonts w:ascii="Times New Roman" w:eastAsia="Arial" w:hAnsi="Times New Roman" w:cs="Times New Roman"/>
          <w:sz w:val="24"/>
          <w:szCs w:val="24"/>
          <w:lang w:val="fr-CH" w:eastAsia="fr-FR"/>
        </w:rPr>
        <w:t>, il serait pourtant possible de connaître le nombre de condamnations prononcées contre des personnes dépositaires de l’autorité publique, dans la mesure où ces données sont renseignées. Ces chiffres ont d’ailleurs été</w:t>
      </w:r>
      <w:r w:rsidR="00844CB7" w:rsidRPr="00C84DF6">
        <w:rPr>
          <w:rFonts w:ascii="Times New Roman" w:eastAsia="Arial" w:hAnsi="Times New Roman" w:cs="Times New Roman"/>
          <w:sz w:val="24"/>
          <w:szCs w:val="24"/>
          <w:lang w:val="fr-CH" w:eastAsia="fr-FR"/>
        </w:rPr>
        <w:t xml:space="preserve">, par le passé, </w:t>
      </w:r>
      <w:r w:rsidR="00636DE2" w:rsidRPr="00C84DF6">
        <w:rPr>
          <w:rFonts w:ascii="Times New Roman" w:eastAsia="Arial" w:hAnsi="Times New Roman" w:cs="Times New Roman"/>
          <w:sz w:val="24"/>
          <w:szCs w:val="24"/>
          <w:lang w:val="fr-CH" w:eastAsia="fr-FR"/>
        </w:rPr>
        <w:t>ponctuellement communiqués par les autorités françaises, notamment à la demande du Comité</w:t>
      </w:r>
      <w:r w:rsidR="0022035E">
        <w:rPr>
          <w:rStyle w:val="FootnoteReference"/>
          <w:rFonts w:ascii="Times New Roman" w:eastAsia="Arial" w:hAnsi="Times New Roman" w:cs="Times New Roman"/>
          <w:sz w:val="24"/>
          <w:szCs w:val="24"/>
          <w:lang w:val="fr-CH" w:eastAsia="fr-FR"/>
        </w:rPr>
        <w:footnoteReference w:id="43"/>
      </w:r>
      <w:r w:rsidR="00636DE2" w:rsidRPr="00C84DF6">
        <w:rPr>
          <w:rFonts w:ascii="Times New Roman" w:eastAsia="Arial" w:hAnsi="Times New Roman" w:cs="Times New Roman"/>
          <w:sz w:val="24"/>
          <w:szCs w:val="24"/>
          <w:lang w:val="fr-CH" w:eastAsia="fr-FR"/>
        </w:rPr>
        <w:t xml:space="preserve">. </w:t>
      </w:r>
      <w:r w:rsidR="00145CCD" w:rsidRPr="00C84DF6">
        <w:rPr>
          <w:rFonts w:ascii="Times New Roman" w:eastAsia="Arial" w:hAnsi="Times New Roman" w:cs="Times New Roman"/>
          <w:sz w:val="24"/>
          <w:szCs w:val="24"/>
          <w:lang w:val="fr-CH" w:eastAsia="fr-FR"/>
        </w:rPr>
        <w:t>Il est nécessaire que de tell</w:t>
      </w:r>
      <w:r w:rsidR="000A050A" w:rsidRPr="00C84DF6">
        <w:rPr>
          <w:rFonts w:ascii="Times New Roman" w:eastAsia="Arial" w:hAnsi="Times New Roman" w:cs="Times New Roman"/>
          <w:sz w:val="24"/>
          <w:szCs w:val="24"/>
          <w:lang w:val="fr-CH" w:eastAsia="fr-FR"/>
        </w:rPr>
        <w:t>es statistiques soient publiées annuellement. Seules, elles ne seraient cependant pas suffisantes</w:t>
      </w:r>
      <w:r w:rsidR="0074593A" w:rsidRPr="00C84DF6">
        <w:rPr>
          <w:rFonts w:ascii="Times New Roman" w:eastAsia="Arial" w:hAnsi="Times New Roman" w:cs="Times New Roman"/>
          <w:sz w:val="24"/>
          <w:szCs w:val="24"/>
          <w:lang w:val="fr-CH" w:eastAsia="fr-FR"/>
        </w:rPr>
        <w:t xml:space="preserve">, car elles ne permettraient de tirer aucune conclusion si elles ne précisaient pas également le nombre de plaintes déposées, d’instructions ouvertes, </w:t>
      </w:r>
      <w:r w:rsidR="00937AAB" w:rsidRPr="00C84DF6">
        <w:rPr>
          <w:rFonts w:ascii="Times New Roman" w:eastAsia="Arial" w:hAnsi="Times New Roman" w:cs="Times New Roman"/>
          <w:sz w:val="24"/>
          <w:szCs w:val="24"/>
          <w:lang w:val="fr-CH" w:eastAsia="fr-FR"/>
        </w:rPr>
        <w:t>de non-lieux prononcés, la proportion d’accusés ou prévenus ayant été acquittés ou relaxés, ainsi que le quantum des peines prononcées.</w:t>
      </w:r>
      <w:r w:rsidR="00770F37" w:rsidRPr="00C84DF6">
        <w:rPr>
          <w:rFonts w:ascii="Times New Roman" w:eastAsia="Arial" w:hAnsi="Times New Roman" w:cs="Times New Roman"/>
          <w:sz w:val="24"/>
          <w:szCs w:val="24"/>
          <w:lang w:val="fr-CH" w:eastAsia="fr-FR"/>
        </w:rPr>
        <w:t xml:space="preserve"> Or, aucun de ces éléments n’est à ce jour publié. </w:t>
      </w:r>
    </w:p>
    <w:p w14:paraId="574F5BF0"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4B2FE71F" w14:textId="77777777" w:rsidR="00C84DF6" w:rsidRDefault="00D12C30"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Les chiffres permettant de saisir la réalité de ce phénomène manquent</w:t>
      </w:r>
      <w:r w:rsidR="003E4AEE" w:rsidRPr="00C84DF6">
        <w:rPr>
          <w:rFonts w:ascii="Times New Roman" w:eastAsia="Arial" w:hAnsi="Times New Roman" w:cs="Times New Roman"/>
          <w:sz w:val="24"/>
          <w:szCs w:val="24"/>
          <w:lang w:val="fr-CH" w:eastAsia="fr-FR"/>
        </w:rPr>
        <w:t xml:space="preserve"> cruellement</w:t>
      </w:r>
      <w:r w:rsidRPr="00C84DF6">
        <w:rPr>
          <w:rFonts w:ascii="Times New Roman" w:eastAsia="Arial" w:hAnsi="Times New Roman" w:cs="Times New Roman"/>
          <w:sz w:val="24"/>
          <w:szCs w:val="24"/>
          <w:lang w:val="fr-CH" w:eastAsia="fr-FR"/>
        </w:rPr>
        <w:t>. Les informations qui sont rendues publiques sont en effet parcellaires : l’IGPN communique le nombre de signalement qu’elle reçoit ainsi que les saisines de la justice et pour sanction administrative, mais les décisions prises à la suite de ces saisines ne sont pas connues.</w:t>
      </w:r>
    </w:p>
    <w:p w14:paraId="07C27618"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5D516BB5" w14:textId="77777777" w:rsidR="00C84DF6" w:rsidRDefault="00D12C30"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Le parquet de son côté mentionne également le nombre de saisines de ses services pour des allégations de violences commises par des personnes dépositaires mais là aussi n’informe pas sur les suites données à ces affaires, et cette catégorie inclut d’autres fonctions (magistrats, agents pénitentiaires, etc.).</w:t>
      </w:r>
    </w:p>
    <w:p w14:paraId="179DE555"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37D93A92" w14:textId="77777777" w:rsidR="00C84DF6" w:rsidRPr="00C84DF6" w:rsidRDefault="00D12C30"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 xml:space="preserve">Il n’est ainsi pas possible de dresser un tableau statistique des condamnations de représentants des forces de l’ordre pour un usage excessif de la force du fait de la publication incomplète des chiffres au niveau de l’IGPN et des parquets. </w:t>
      </w:r>
    </w:p>
    <w:p w14:paraId="23A8D6C5"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2A9DAC98" w14:textId="77777777" w:rsidR="00C84DF6" w:rsidRPr="00C84DF6" w:rsidRDefault="00D82C5B"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Ces préoc</w:t>
      </w:r>
      <w:r w:rsidR="00C27D2C" w:rsidRPr="00C84DF6">
        <w:rPr>
          <w:rFonts w:ascii="Times New Roman" w:eastAsia="Arial" w:hAnsi="Times New Roman" w:cs="Times New Roman"/>
          <w:sz w:val="24"/>
          <w:szCs w:val="24"/>
          <w:lang w:val="fr-CH" w:eastAsia="fr-FR"/>
        </w:rPr>
        <w:t xml:space="preserve">cupations sont d’autant plus importantes qu’il ressort de l’enquête de l’ACAT-France que les affaires mettant en cause un usage illégal de la force </w:t>
      </w:r>
      <w:r w:rsidR="00C36BAA" w:rsidRPr="00C84DF6">
        <w:rPr>
          <w:rFonts w:ascii="Times New Roman" w:eastAsia="Arial" w:hAnsi="Times New Roman" w:cs="Times New Roman"/>
          <w:sz w:val="24"/>
          <w:szCs w:val="24"/>
          <w:lang w:val="fr-CH" w:eastAsia="fr-FR"/>
        </w:rPr>
        <w:t>aboutissent, semble-t-il, rarement à des condamnations</w:t>
      </w:r>
      <w:r w:rsidR="00B41D3D" w:rsidRPr="00C84DF6">
        <w:rPr>
          <w:rFonts w:ascii="Times New Roman" w:eastAsia="Arial" w:hAnsi="Times New Roman" w:cs="Times New Roman"/>
          <w:sz w:val="24"/>
          <w:szCs w:val="24"/>
          <w:lang w:val="fr-CH" w:eastAsia="fr-FR"/>
        </w:rPr>
        <w:t xml:space="preserve"> et plus souvent à des non-lieux. </w:t>
      </w:r>
    </w:p>
    <w:p w14:paraId="7DF2FF02"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492FC983" w14:textId="77777777" w:rsidR="00C84DF6" w:rsidRPr="00C84DF6" w:rsidRDefault="00483A65"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En outre, lorsque</w:t>
      </w:r>
      <w:r w:rsidR="00540731" w:rsidRPr="00C84DF6">
        <w:rPr>
          <w:rFonts w:ascii="Times New Roman" w:eastAsia="Arial" w:hAnsi="Times New Roman" w:cs="Times New Roman"/>
          <w:sz w:val="24"/>
          <w:szCs w:val="24"/>
          <w:lang w:val="fr-CH" w:eastAsia="fr-FR"/>
        </w:rPr>
        <w:t xml:space="preserve"> des violences policières sont prouvées et que la responsabilité des agents est démontrée,</w:t>
      </w:r>
      <w:r w:rsidR="00205FC5" w:rsidRPr="00C84DF6">
        <w:rPr>
          <w:rFonts w:ascii="Times New Roman" w:eastAsia="Arial" w:hAnsi="Times New Roman" w:cs="Times New Roman"/>
          <w:sz w:val="24"/>
          <w:szCs w:val="24"/>
          <w:lang w:val="fr-CH" w:eastAsia="fr-FR"/>
        </w:rPr>
        <w:t xml:space="preserve"> il est observé qu</w:t>
      </w:r>
      <w:r w:rsidRPr="00C84DF6">
        <w:rPr>
          <w:rFonts w:ascii="Times New Roman" w:eastAsia="Arial" w:hAnsi="Times New Roman" w:cs="Times New Roman"/>
          <w:sz w:val="24"/>
          <w:szCs w:val="24"/>
          <w:lang w:val="fr-CH" w:eastAsia="fr-FR"/>
        </w:rPr>
        <w:t>e le</w:t>
      </w:r>
      <w:r w:rsidR="00205FC5" w:rsidRPr="00C84DF6">
        <w:rPr>
          <w:rFonts w:ascii="Times New Roman" w:eastAsia="Arial" w:hAnsi="Times New Roman" w:cs="Times New Roman"/>
          <w:sz w:val="24"/>
          <w:szCs w:val="24"/>
          <w:lang w:val="fr-CH" w:eastAsia="fr-FR"/>
        </w:rPr>
        <w:t>s</w:t>
      </w:r>
      <w:r w:rsidRPr="00C84DF6">
        <w:rPr>
          <w:rFonts w:ascii="Times New Roman" w:eastAsia="Arial" w:hAnsi="Times New Roman" w:cs="Times New Roman"/>
          <w:sz w:val="24"/>
          <w:szCs w:val="24"/>
          <w:lang w:val="fr-CH" w:eastAsia="fr-FR"/>
        </w:rPr>
        <w:t xml:space="preserve"> sanctions</w:t>
      </w:r>
      <w:r w:rsidR="00205FC5" w:rsidRPr="00C84DF6">
        <w:rPr>
          <w:rFonts w:ascii="Times New Roman" w:eastAsia="Arial" w:hAnsi="Times New Roman" w:cs="Times New Roman"/>
          <w:sz w:val="24"/>
          <w:szCs w:val="24"/>
          <w:lang w:val="fr-CH" w:eastAsia="fr-FR"/>
        </w:rPr>
        <w:t xml:space="preserve"> sont rarement proportionnées à la gravité des faits. </w:t>
      </w:r>
      <w:r w:rsidR="002C2432" w:rsidRPr="00C84DF6">
        <w:rPr>
          <w:rFonts w:ascii="Times New Roman" w:eastAsia="Arial" w:hAnsi="Times New Roman" w:cs="Times New Roman"/>
          <w:sz w:val="24"/>
          <w:szCs w:val="24"/>
          <w:lang w:val="fr-CH" w:eastAsia="fr-FR"/>
        </w:rPr>
        <w:t xml:space="preserve">Le constat est sans appel : victimes, avocats, magistrats et associations entendus estiment que les condamnations sont rarement proportionnées </w:t>
      </w:r>
      <w:r w:rsidR="00A241CB" w:rsidRPr="00C84DF6">
        <w:rPr>
          <w:rFonts w:ascii="Times New Roman" w:eastAsia="Arial" w:hAnsi="Times New Roman" w:cs="Times New Roman"/>
          <w:sz w:val="24"/>
          <w:szCs w:val="24"/>
          <w:lang w:val="fr-CH" w:eastAsia="fr-FR"/>
        </w:rPr>
        <w:t xml:space="preserve">à la gravité des faits lorsqu’il s’agit de violences policières illégitimes. </w:t>
      </w:r>
      <w:r w:rsidR="00205FC5" w:rsidRPr="00C84DF6">
        <w:rPr>
          <w:rFonts w:ascii="Times New Roman" w:eastAsia="Arial" w:hAnsi="Times New Roman" w:cs="Times New Roman"/>
          <w:sz w:val="24"/>
          <w:szCs w:val="24"/>
          <w:lang w:val="fr-CH" w:eastAsia="fr-FR"/>
        </w:rPr>
        <w:t>Il existe sur ce point une nette différence de traitement entre les policiers poursuivis pour violences et les autres justiciables.</w:t>
      </w:r>
    </w:p>
    <w:p w14:paraId="49527005" w14:textId="77777777" w:rsidR="00C84DF6" w:rsidRPr="00C84DF6" w:rsidRDefault="00C84DF6" w:rsidP="00C84DF6">
      <w:pPr>
        <w:pStyle w:val="ListParagraph"/>
        <w:rPr>
          <w:rFonts w:ascii="Times New Roman" w:eastAsia="Arial" w:hAnsi="Times New Roman" w:cs="Times New Roman"/>
          <w:sz w:val="24"/>
          <w:szCs w:val="24"/>
          <w:lang w:val="fr-CH" w:eastAsia="fr-FR"/>
        </w:rPr>
      </w:pPr>
    </w:p>
    <w:p w14:paraId="62ABEC90" w14:textId="77777777" w:rsidR="00C84DF6" w:rsidRPr="00C84DF6" w:rsidRDefault="00205FC5"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eastAsia="Arial" w:hAnsi="Times New Roman" w:cs="Times New Roman"/>
          <w:sz w:val="24"/>
          <w:szCs w:val="24"/>
          <w:lang w:val="fr-CH" w:eastAsia="fr-FR"/>
        </w:rPr>
        <w:t xml:space="preserve">Lorsque des condamnations sont prononcées, elles excèdent rarement </w:t>
      </w:r>
      <w:r w:rsidR="007458EE" w:rsidRPr="00C84DF6">
        <w:rPr>
          <w:rFonts w:ascii="Times New Roman" w:eastAsia="Arial" w:hAnsi="Times New Roman" w:cs="Times New Roman"/>
          <w:sz w:val="24"/>
          <w:szCs w:val="24"/>
          <w:lang w:val="fr-CH" w:eastAsia="fr-FR"/>
        </w:rPr>
        <w:t xml:space="preserve">l’emprisonnement avec sursis, y compris lorsque les agents ont été reconnus coupables d’homicide involontaire ou de violences volontaires aggravées </w:t>
      </w:r>
      <w:r w:rsidR="001D700B" w:rsidRPr="00C84DF6">
        <w:rPr>
          <w:rFonts w:ascii="Times New Roman" w:eastAsia="Arial" w:hAnsi="Times New Roman" w:cs="Times New Roman"/>
          <w:sz w:val="24"/>
          <w:szCs w:val="24"/>
          <w:lang w:val="fr-CH" w:eastAsia="fr-FR"/>
        </w:rPr>
        <w:t xml:space="preserve">avec faux et usage de faux. </w:t>
      </w:r>
      <w:r w:rsidR="00DB11C7" w:rsidRPr="00C84DF6">
        <w:rPr>
          <w:rFonts w:ascii="Times New Roman" w:eastAsia="Arial" w:hAnsi="Times New Roman" w:cs="Times New Roman"/>
          <w:sz w:val="24"/>
          <w:szCs w:val="24"/>
          <w:lang w:val="fr-CH" w:eastAsia="fr-FR"/>
        </w:rPr>
        <w:t xml:space="preserve">Pourtant, le fait d’être policier étant une charge, cela devrait </w:t>
      </w:r>
      <w:r w:rsidR="00491309" w:rsidRPr="00C84DF6">
        <w:rPr>
          <w:rFonts w:ascii="Times New Roman" w:eastAsia="Arial" w:hAnsi="Times New Roman" w:cs="Times New Roman"/>
          <w:sz w:val="24"/>
          <w:szCs w:val="24"/>
          <w:lang w:val="fr-CH" w:eastAsia="fr-FR"/>
        </w:rPr>
        <w:t>au contraire entraîner de plus lourdes responsabilités pénales.</w:t>
      </w:r>
    </w:p>
    <w:p w14:paraId="789F34F0" w14:textId="77777777" w:rsidR="00C84DF6" w:rsidRPr="00C84DF6" w:rsidRDefault="00C84DF6" w:rsidP="00C84DF6">
      <w:pPr>
        <w:pStyle w:val="ListParagraph"/>
        <w:rPr>
          <w:rFonts w:ascii="Times New Roman" w:hAnsi="Times New Roman" w:cs="Times New Roman"/>
          <w:sz w:val="24"/>
          <w:szCs w:val="24"/>
        </w:rPr>
      </w:pPr>
    </w:p>
    <w:p w14:paraId="23E29035" w14:textId="0E72BC3B" w:rsidR="001D700B" w:rsidRPr="00C84DF6" w:rsidRDefault="004D3DE5" w:rsidP="00B6391A">
      <w:pPr>
        <w:pStyle w:val="ListParagraph"/>
        <w:numPr>
          <w:ilvl w:val="0"/>
          <w:numId w:val="35"/>
        </w:numPr>
        <w:spacing w:after="120"/>
        <w:ind w:left="0"/>
        <w:jc w:val="both"/>
        <w:rPr>
          <w:rFonts w:ascii="Times New Roman" w:eastAsia="Arial" w:hAnsi="Times New Roman" w:cs="Times New Roman"/>
          <w:i/>
          <w:iCs/>
          <w:sz w:val="24"/>
          <w:szCs w:val="24"/>
          <w:lang w:val="fr-CH" w:eastAsia="fr-FR"/>
        </w:rPr>
      </w:pPr>
      <w:r w:rsidRPr="00C84DF6">
        <w:rPr>
          <w:rFonts w:ascii="Times New Roman" w:hAnsi="Times New Roman" w:cs="Times New Roman"/>
          <w:sz w:val="24"/>
          <w:szCs w:val="24"/>
        </w:rPr>
        <w:t xml:space="preserve">Ainsi </w:t>
      </w:r>
      <w:r w:rsidRPr="00C84DF6">
        <w:rPr>
          <w:rFonts w:ascii="Times New Roman" w:eastAsia="Arial" w:hAnsi="Times New Roman" w:cs="Times New Roman"/>
          <w:sz w:val="24"/>
          <w:szCs w:val="24"/>
          <w:lang w:val="fr-CH" w:eastAsia="fr-FR"/>
        </w:rPr>
        <w:t xml:space="preserve">dans l’affaire Amadou </w:t>
      </w:r>
      <w:proofErr w:type="spellStart"/>
      <w:r w:rsidRPr="00C84DF6">
        <w:rPr>
          <w:rFonts w:ascii="Times New Roman" w:eastAsia="Arial" w:hAnsi="Times New Roman" w:cs="Times New Roman"/>
          <w:sz w:val="24"/>
          <w:szCs w:val="24"/>
          <w:lang w:val="fr-CH" w:eastAsia="fr-FR"/>
        </w:rPr>
        <w:t>Koumé</w:t>
      </w:r>
      <w:proofErr w:type="spellEnd"/>
      <w:r w:rsidRPr="00C84DF6">
        <w:rPr>
          <w:rFonts w:ascii="Times New Roman" w:eastAsia="Arial" w:hAnsi="Times New Roman" w:cs="Times New Roman"/>
          <w:sz w:val="24"/>
          <w:szCs w:val="24"/>
          <w:lang w:val="fr-CH" w:eastAsia="fr-FR"/>
        </w:rPr>
        <w:t>, décédé en mars 2015 lors de son interpellation par des agents de police, les trois policiers poursuivis ont été reconnus coupables d’homicide involontaire et ont été condamnés à quinze mois de prison avec sursis</w:t>
      </w:r>
      <w:r w:rsidRPr="004D3DE5">
        <w:rPr>
          <w:vertAlign w:val="superscript"/>
          <w:lang w:val="fr-CH" w:eastAsia="fr-FR"/>
        </w:rPr>
        <w:footnoteReference w:id="44"/>
      </w:r>
      <w:r w:rsidRPr="00C84DF6">
        <w:rPr>
          <w:rFonts w:ascii="Times New Roman" w:eastAsia="Arial" w:hAnsi="Times New Roman" w:cs="Times New Roman"/>
          <w:sz w:val="24"/>
          <w:szCs w:val="24"/>
          <w:lang w:val="fr-CH" w:eastAsia="fr-FR"/>
        </w:rPr>
        <w:t xml:space="preserve">. L’enquête avait permis d’établir que la victime avait été étranglée une première fois pendant une dizaine de secondes puis une seconde fois au sol, plus longuement. Elle avait ensuite été maintenue au sol, un policier faisant pression sur ses lombaires avec un genou. Une fois menotté, Amadou </w:t>
      </w:r>
      <w:proofErr w:type="spellStart"/>
      <w:r w:rsidRPr="00C84DF6">
        <w:rPr>
          <w:rFonts w:ascii="Times New Roman" w:eastAsia="Arial" w:hAnsi="Times New Roman" w:cs="Times New Roman"/>
          <w:sz w:val="24"/>
          <w:szCs w:val="24"/>
          <w:lang w:val="fr-CH" w:eastAsia="fr-FR"/>
        </w:rPr>
        <w:t>Koumé</w:t>
      </w:r>
      <w:proofErr w:type="spellEnd"/>
      <w:r w:rsidRPr="00C84DF6">
        <w:rPr>
          <w:rFonts w:ascii="Times New Roman" w:eastAsia="Arial" w:hAnsi="Times New Roman" w:cs="Times New Roman"/>
          <w:sz w:val="24"/>
          <w:szCs w:val="24"/>
          <w:lang w:val="fr-CH" w:eastAsia="fr-FR"/>
        </w:rPr>
        <w:t xml:space="preserve"> avait été laissé allongé sur le ventre, face contre le sol. L’autopsie avait démontré que le décès était dû à une </w:t>
      </w:r>
      <w:r w:rsidRPr="00C84DF6">
        <w:rPr>
          <w:rFonts w:ascii="Times New Roman" w:eastAsia="Arial" w:hAnsi="Times New Roman" w:cs="Times New Roman"/>
          <w:sz w:val="24"/>
          <w:szCs w:val="24"/>
          <w:lang w:val="fr-CH"/>
        </w:rPr>
        <w:t xml:space="preserve">« </w:t>
      </w:r>
      <w:r w:rsidRPr="00C84DF6">
        <w:rPr>
          <w:rFonts w:ascii="Times New Roman" w:eastAsia="Arial" w:hAnsi="Times New Roman" w:cs="Times New Roman"/>
          <w:i/>
          <w:iCs/>
          <w:sz w:val="24"/>
          <w:szCs w:val="24"/>
          <w:lang w:val="fr-CH"/>
        </w:rPr>
        <w:t>asphyxie mécanique lente</w:t>
      </w:r>
      <w:r w:rsidRPr="00C84DF6">
        <w:rPr>
          <w:rFonts w:ascii="Times New Roman" w:eastAsia="Arial" w:hAnsi="Times New Roman" w:cs="Times New Roman"/>
          <w:sz w:val="24"/>
          <w:szCs w:val="24"/>
          <w:lang w:val="fr-CH"/>
        </w:rPr>
        <w:t xml:space="preserve"> ». Si le tribunal a retenu une série de manquements et de fautes de la part des trois policiers, ils n’ont néanmoins été condamnés qu’à une peine d’emprisonnement avec sursis sans interdiction d’exercer la profession ou sanction disciplinaire à minima. Ainsi, l’un des policiers avait pris sa retraite et un autre avait été promu au rang d’instructeur pendant le temps de cette enquête judiciaire.</w:t>
      </w:r>
    </w:p>
    <w:p w14:paraId="76B58FE9" w14:textId="4384621B" w:rsidR="00BC4927" w:rsidRDefault="00747133" w:rsidP="00B6391A">
      <w:pPr>
        <w:spacing w:after="120"/>
        <w:jc w:val="both"/>
        <w:rPr>
          <w:rFonts w:ascii="Times New Roman" w:eastAsia="Arial" w:hAnsi="Times New Roman" w:cs="Times New Roman"/>
          <w:sz w:val="24"/>
          <w:szCs w:val="24"/>
          <w:lang w:val="fr-CH"/>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4025F08B" wp14:editId="48B4772E">
                <wp:simplePos x="0" y="0"/>
                <wp:positionH relativeFrom="margin">
                  <wp:align>left</wp:align>
                </wp:positionH>
                <wp:positionV relativeFrom="paragraph">
                  <wp:posOffset>31750</wp:posOffset>
                </wp:positionV>
                <wp:extent cx="5953125" cy="1676400"/>
                <wp:effectExtent l="0" t="0" r="28575" b="19050"/>
                <wp:wrapNone/>
                <wp:docPr id="1996769506" name="Rectangle 2"/>
                <wp:cNvGraphicFramePr/>
                <a:graphic xmlns:a="http://schemas.openxmlformats.org/drawingml/2006/main">
                  <a:graphicData uri="http://schemas.microsoft.com/office/word/2010/wordprocessingShape">
                    <wps:wsp>
                      <wps:cNvSpPr/>
                      <wps:spPr>
                        <a:xfrm>
                          <a:off x="0" y="0"/>
                          <a:ext cx="5953125" cy="167640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978E1E8" w14:textId="77777777" w:rsidR="00BC4927" w:rsidRPr="009F031F" w:rsidRDefault="00BC4927" w:rsidP="00BC4927">
                            <w:pPr>
                              <w:spacing w:after="120"/>
                              <w:jc w:val="both"/>
                              <w:rPr>
                                <w:rFonts w:ascii="Times New Roman" w:hAnsi="Times New Roman" w:cs="Times New Roman"/>
                                <w:b/>
                                <w:bCs/>
                                <w:color w:val="000000" w:themeColor="text1"/>
                                <w:sz w:val="24"/>
                                <w:szCs w:val="24"/>
                              </w:rPr>
                            </w:pPr>
                            <w:r w:rsidRPr="009F031F">
                              <w:rPr>
                                <w:rFonts w:ascii="Times New Roman" w:eastAsia="Arial" w:hAnsi="Times New Roman" w:cs="Times New Roman"/>
                                <w:b/>
                                <w:bCs/>
                                <w:color w:val="000000" w:themeColor="text1"/>
                                <w:sz w:val="24"/>
                                <w:szCs w:val="24"/>
                                <w:lang w:val="fr-CH"/>
                              </w:rPr>
                              <w:t xml:space="preserve">L’ACAT-France et la FIACAT invitent le Comité à recommander à la France </w:t>
                            </w:r>
                            <w:r w:rsidRPr="009F031F">
                              <w:rPr>
                                <w:rFonts w:ascii="Times New Roman" w:hAnsi="Times New Roman" w:cs="Times New Roman"/>
                                <w:b/>
                                <w:bCs/>
                                <w:color w:val="000000" w:themeColor="text1"/>
                                <w:sz w:val="24"/>
                                <w:szCs w:val="24"/>
                              </w:rPr>
                              <w:t>de :</w:t>
                            </w:r>
                          </w:p>
                          <w:p w14:paraId="6CC8A40C" w14:textId="2153AF37" w:rsidR="00BC4927" w:rsidRPr="009F031F" w:rsidRDefault="00BC4927" w:rsidP="00F02B1F">
                            <w:pPr>
                              <w:pStyle w:val="ListParagraph"/>
                              <w:numPr>
                                <w:ilvl w:val="0"/>
                                <w:numId w:val="31"/>
                              </w:numPr>
                              <w:spacing w:after="120"/>
                              <w:jc w:val="both"/>
                              <w:rPr>
                                <w:rFonts w:ascii="Times New Roman" w:hAnsi="Times New Roman" w:cs="Times New Roman"/>
                                <w:b/>
                                <w:bCs/>
                                <w:color w:val="000000" w:themeColor="text1"/>
                                <w:sz w:val="24"/>
                                <w:szCs w:val="24"/>
                              </w:rPr>
                            </w:pPr>
                            <w:r w:rsidRPr="009F031F">
                              <w:rPr>
                                <w:rFonts w:ascii="Times New Roman" w:hAnsi="Times New Roman" w:cs="Times New Roman"/>
                                <w:b/>
                                <w:bCs/>
                                <w:color w:val="000000" w:themeColor="text1"/>
                                <w:sz w:val="24"/>
                                <w:szCs w:val="24"/>
                              </w:rPr>
                              <w:t>Publier les chiffres relatifs aux allégations de mauvais traitements et aux sanctions judiciaires et disciplinaires prises à la suite de ces allégations ;</w:t>
                            </w:r>
                          </w:p>
                          <w:p w14:paraId="65EE7515" w14:textId="77777777" w:rsidR="00F02B1F" w:rsidRPr="009F031F" w:rsidRDefault="00F02B1F" w:rsidP="00F02B1F">
                            <w:pPr>
                              <w:pStyle w:val="ListParagraph"/>
                              <w:spacing w:after="120"/>
                              <w:jc w:val="both"/>
                              <w:rPr>
                                <w:rFonts w:ascii="Times New Roman" w:hAnsi="Times New Roman" w:cs="Times New Roman"/>
                                <w:b/>
                                <w:bCs/>
                                <w:color w:val="000000" w:themeColor="text1"/>
                                <w:sz w:val="24"/>
                                <w:szCs w:val="24"/>
                              </w:rPr>
                            </w:pPr>
                          </w:p>
                          <w:p w14:paraId="684A5A91" w14:textId="77777777" w:rsidR="00BC4927" w:rsidRPr="009F031F" w:rsidRDefault="00BC4927" w:rsidP="00F02B1F">
                            <w:pPr>
                              <w:pStyle w:val="ListParagraph"/>
                              <w:numPr>
                                <w:ilvl w:val="0"/>
                                <w:numId w:val="31"/>
                              </w:numPr>
                              <w:spacing w:after="120"/>
                              <w:jc w:val="both"/>
                              <w:rPr>
                                <w:rFonts w:ascii="Times New Roman" w:hAnsi="Times New Roman" w:cs="Times New Roman"/>
                                <w:color w:val="000000" w:themeColor="text1"/>
                                <w:sz w:val="24"/>
                                <w:szCs w:val="24"/>
                              </w:rPr>
                            </w:pPr>
                            <w:r w:rsidRPr="009F031F">
                              <w:rPr>
                                <w:rFonts w:ascii="Times New Roman" w:hAnsi="Times New Roman" w:cs="Times New Roman"/>
                                <w:b/>
                                <w:bCs/>
                                <w:color w:val="000000" w:themeColor="text1"/>
                                <w:sz w:val="24"/>
                                <w:szCs w:val="24"/>
                              </w:rPr>
                              <w:t>Veiller à ce que les auteurs soient traduits en justice et, s’ils sont reconnus coupables, que soient prononcées des sanctions et condamnations proportionnées à la gravité des faits reprochés, et que les victimes reçoivent une indemnisation adéquate.</w:t>
                            </w:r>
                          </w:p>
                          <w:p w14:paraId="07815069" w14:textId="77777777" w:rsidR="00BC4927" w:rsidRDefault="00BC4927" w:rsidP="00BC4927">
                            <w:pPr>
                              <w:spacing w:after="120"/>
                              <w:jc w:val="both"/>
                              <w:rPr>
                                <w:rFonts w:ascii="Times New Roman" w:hAnsi="Times New Roman" w:cs="Times New Roman"/>
                                <w:sz w:val="24"/>
                                <w:szCs w:val="24"/>
                              </w:rPr>
                            </w:pPr>
                          </w:p>
                          <w:p w14:paraId="32C42309" w14:textId="06F6768F" w:rsidR="00BC4927" w:rsidRPr="00BC4927" w:rsidRDefault="00BC4927" w:rsidP="00BC4927">
                            <w:pPr>
                              <w:spacing w:after="120"/>
                              <w:jc w:val="both"/>
                              <w:rPr>
                                <w:rFonts w:ascii="Times New Roman" w:hAnsi="Times New Roman" w:cs="Times New Roman"/>
                                <w:color w:val="FFFFFF" w:themeColor="background1"/>
                                <w:sz w:val="24"/>
                                <w:szCs w:val="24"/>
                              </w:rPr>
                            </w:pPr>
                          </w:p>
                          <w:p w14:paraId="2980DF2C" w14:textId="77777777" w:rsidR="00BC4927" w:rsidRPr="0081079E" w:rsidRDefault="00BC4927" w:rsidP="00BC4927">
                            <w:pPr>
                              <w:spacing w:after="120"/>
                              <w:jc w:val="both"/>
                              <w:rPr>
                                <w:rFonts w:ascii="Times New Roman" w:hAnsi="Times New Roman" w:cs="Times New Roman"/>
                                <w:sz w:val="24"/>
                                <w:szCs w:val="24"/>
                              </w:rPr>
                            </w:pPr>
                          </w:p>
                          <w:p w14:paraId="4FFE58BA" w14:textId="77777777" w:rsidR="00BC4927" w:rsidRDefault="00BC4927" w:rsidP="00BC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4025F08B" id="_x0000_s1031" style="position:absolute;left:0;text-align:left;margin-left:0;margin-top:2.5pt;width:468.75pt;height:132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" fillcolor="#dceaf7 [351]" strokecolor="#042433" strokeweight="1pt">
                <v:textbox>
                  <w:txbxContent>
                    <w:p w14:paraId="5978E1E8" w14:textId="77777777" w:rsidR="00BC4927" w:rsidRPr="009F031F" w:rsidRDefault="00BC4927" w:rsidP="00BC4927">
                      <w:pPr>
                        <w:spacing w:after="120"/>
                        <w:jc w:val="both"/>
                        <w:rPr>
                          <w:rFonts w:ascii="Times New Roman" w:hAnsi="Times New Roman" w:cs="Times New Roman"/>
                          <w:b/>
                          <w:bCs/>
                          <w:color w:val="000000" w:themeColor="text1"/>
                          <w:sz w:val="24"/>
                          <w:szCs w:val="24"/>
                        </w:rPr>
                      </w:pPr>
                      <w:r w:rsidRPr="009F031F">
                        <w:rPr>
                          <w:rFonts w:ascii="Times New Roman" w:eastAsia="Arial" w:hAnsi="Times New Roman" w:cs="Times New Roman"/>
                          <w:b/>
                          <w:bCs/>
                          <w:color w:val="000000" w:themeColor="text1"/>
                          <w:sz w:val="24"/>
                          <w:szCs w:val="24"/>
                          <w:lang w:val="fr-CH"/>
                        </w:rPr>
                        <w:t xml:space="preserve">L’ACAT-France et la FIACAT invitent le Comité à recommander à la France </w:t>
                      </w:r>
                      <w:r w:rsidRPr="009F031F">
                        <w:rPr>
                          <w:rFonts w:ascii="Times New Roman" w:hAnsi="Times New Roman" w:cs="Times New Roman"/>
                          <w:b/>
                          <w:bCs/>
                          <w:color w:val="000000" w:themeColor="text1"/>
                          <w:sz w:val="24"/>
                          <w:szCs w:val="24"/>
                        </w:rPr>
                        <w:t>de :</w:t>
                      </w:r>
                    </w:p>
                    <w:p w14:paraId="6CC8A40C" w14:textId="2153AF37" w:rsidR="00BC4927" w:rsidRPr="009F031F" w:rsidRDefault="00BC4927" w:rsidP="00F02B1F">
                      <w:pPr>
                        <w:pStyle w:val="Paragraphedeliste"/>
                        <w:numPr>
                          <w:ilvl w:val="0"/>
                          <w:numId w:val="31"/>
                        </w:numPr>
                        <w:spacing w:after="120"/>
                        <w:jc w:val="both"/>
                        <w:rPr>
                          <w:rFonts w:ascii="Times New Roman" w:hAnsi="Times New Roman" w:cs="Times New Roman"/>
                          <w:b/>
                          <w:bCs/>
                          <w:color w:val="000000" w:themeColor="text1"/>
                          <w:sz w:val="24"/>
                          <w:szCs w:val="24"/>
                        </w:rPr>
                      </w:pPr>
                      <w:r w:rsidRPr="009F031F">
                        <w:rPr>
                          <w:rFonts w:ascii="Times New Roman" w:hAnsi="Times New Roman" w:cs="Times New Roman"/>
                          <w:b/>
                          <w:bCs/>
                          <w:color w:val="000000" w:themeColor="text1"/>
                          <w:sz w:val="24"/>
                          <w:szCs w:val="24"/>
                        </w:rPr>
                        <w:t>Publier les chiffres relatifs aux allégations de mauvais traitements et aux sanctions judiciaires et disciplinaires prises à la suite de ces allégations ;</w:t>
                      </w:r>
                    </w:p>
                    <w:p w14:paraId="65EE7515" w14:textId="77777777" w:rsidR="00F02B1F" w:rsidRPr="009F031F" w:rsidRDefault="00F02B1F" w:rsidP="00F02B1F">
                      <w:pPr>
                        <w:pStyle w:val="Paragraphedeliste"/>
                        <w:spacing w:after="120"/>
                        <w:jc w:val="both"/>
                        <w:rPr>
                          <w:rFonts w:ascii="Times New Roman" w:hAnsi="Times New Roman" w:cs="Times New Roman"/>
                          <w:b/>
                          <w:bCs/>
                          <w:color w:val="000000" w:themeColor="text1"/>
                          <w:sz w:val="24"/>
                          <w:szCs w:val="24"/>
                        </w:rPr>
                      </w:pPr>
                    </w:p>
                    <w:p w14:paraId="684A5A91" w14:textId="77777777" w:rsidR="00BC4927" w:rsidRPr="009F031F" w:rsidRDefault="00BC4927" w:rsidP="00F02B1F">
                      <w:pPr>
                        <w:pStyle w:val="Paragraphedeliste"/>
                        <w:numPr>
                          <w:ilvl w:val="0"/>
                          <w:numId w:val="31"/>
                        </w:numPr>
                        <w:spacing w:after="120"/>
                        <w:jc w:val="both"/>
                        <w:rPr>
                          <w:rFonts w:ascii="Times New Roman" w:hAnsi="Times New Roman" w:cs="Times New Roman"/>
                          <w:color w:val="000000" w:themeColor="text1"/>
                          <w:sz w:val="24"/>
                          <w:szCs w:val="24"/>
                        </w:rPr>
                      </w:pPr>
                      <w:r w:rsidRPr="009F031F">
                        <w:rPr>
                          <w:rFonts w:ascii="Times New Roman" w:hAnsi="Times New Roman" w:cs="Times New Roman"/>
                          <w:b/>
                          <w:bCs/>
                          <w:color w:val="000000" w:themeColor="text1"/>
                          <w:sz w:val="24"/>
                          <w:szCs w:val="24"/>
                        </w:rPr>
                        <w:t>Veiller à ce que les auteurs soient traduits en justice et, s’ils sont reconnus coupables, que soient prononcées des sanctions et condamnations proportionnées à la gravité des faits reprochés, et que les victimes reçoivent une indemnisation adéquate.</w:t>
                      </w:r>
                    </w:p>
                    <w:p w14:paraId="07815069" w14:textId="77777777" w:rsidR="00BC4927" w:rsidRDefault="00BC4927" w:rsidP="00BC4927">
                      <w:pPr>
                        <w:spacing w:after="120"/>
                        <w:jc w:val="both"/>
                        <w:rPr>
                          <w:rFonts w:ascii="Times New Roman" w:hAnsi="Times New Roman" w:cs="Times New Roman"/>
                          <w:sz w:val="24"/>
                          <w:szCs w:val="24"/>
                        </w:rPr>
                      </w:pPr>
                    </w:p>
                    <w:p w14:paraId="32C42309" w14:textId="06F6768F" w:rsidR="00BC4927" w:rsidRPr="00BC4927" w:rsidRDefault="00BC4927" w:rsidP="00BC4927">
                      <w:pPr>
                        <w:spacing w:after="120"/>
                        <w:jc w:val="both"/>
                        <w:rPr>
                          <w:rFonts w:ascii="Times New Roman" w:hAnsi="Times New Roman" w:cs="Times New Roman"/>
                          <w:color w:val="FFFFFF" w:themeColor="background1"/>
                          <w:sz w:val="24"/>
                          <w:szCs w:val="24"/>
                        </w:rPr>
                      </w:pPr>
                    </w:p>
                    <w:p w14:paraId="2980DF2C" w14:textId="77777777" w:rsidR="00BC4927" w:rsidRPr="0081079E" w:rsidRDefault="00BC4927" w:rsidP="00BC4927">
                      <w:pPr>
                        <w:spacing w:after="120"/>
                        <w:jc w:val="both"/>
                        <w:rPr>
                          <w:rFonts w:ascii="Times New Roman" w:hAnsi="Times New Roman" w:cs="Times New Roman"/>
                          <w:sz w:val="24"/>
                          <w:szCs w:val="24"/>
                        </w:rPr>
                      </w:pPr>
                    </w:p>
                    <w:p w14:paraId="4FFE58BA" w14:textId="77777777" w:rsidR="00BC4927" w:rsidRDefault="00BC4927" w:rsidP="00BC4927">
                      <w:pPr>
                        <w:jc w:val="center"/>
                      </w:pPr>
                    </w:p>
                  </w:txbxContent>
                </v:textbox>
                <w10:wrap anchorx="margin"/>
              </v:rect>
            </w:pict>
          </mc:Fallback>
        </mc:AlternateContent>
      </w:r>
    </w:p>
    <w:p w14:paraId="70B93323" w14:textId="2E245958" w:rsidR="00BC4927" w:rsidRDefault="00BC4927" w:rsidP="00B6391A">
      <w:pPr>
        <w:spacing w:after="120"/>
        <w:jc w:val="both"/>
        <w:rPr>
          <w:rFonts w:ascii="Times New Roman" w:eastAsia="Arial" w:hAnsi="Times New Roman" w:cs="Times New Roman"/>
          <w:sz w:val="24"/>
          <w:szCs w:val="24"/>
          <w:lang w:val="fr-CH"/>
        </w:rPr>
      </w:pPr>
    </w:p>
    <w:p w14:paraId="6CBEB504" w14:textId="77777777" w:rsidR="00BC4927" w:rsidRDefault="00BC4927" w:rsidP="00B6391A">
      <w:pPr>
        <w:spacing w:after="120"/>
        <w:jc w:val="both"/>
        <w:rPr>
          <w:rFonts w:ascii="Times New Roman" w:eastAsia="Arial" w:hAnsi="Times New Roman" w:cs="Times New Roman"/>
          <w:sz w:val="24"/>
          <w:szCs w:val="24"/>
          <w:lang w:val="fr-CH"/>
        </w:rPr>
      </w:pPr>
    </w:p>
    <w:p w14:paraId="295DF10F" w14:textId="77777777" w:rsidR="00BC4927" w:rsidRDefault="00BC4927" w:rsidP="00B6391A">
      <w:pPr>
        <w:spacing w:after="120"/>
        <w:jc w:val="both"/>
        <w:rPr>
          <w:rFonts w:ascii="Times New Roman" w:eastAsia="Arial" w:hAnsi="Times New Roman" w:cs="Times New Roman"/>
          <w:sz w:val="24"/>
          <w:szCs w:val="24"/>
          <w:lang w:val="fr-CH"/>
        </w:rPr>
      </w:pPr>
    </w:p>
    <w:p w14:paraId="4CCEF20B" w14:textId="77777777" w:rsidR="00BC4927" w:rsidRDefault="00BC4927" w:rsidP="00B6391A">
      <w:pPr>
        <w:spacing w:after="120"/>
        <w:jc w:val="both"/>
        <w:rPr>
          <w:rFonts w:ascii="Times New Roman" w:eastAsia="Arial" w:hAnsi="Times New Roman" w:cs="Times New Roman"/>
          <w:sz w:val="24"/>
          <w:szCs w:val="24"/>
          <w:lang w:val="fr-CH"/>
        </w:rPr>
      </w:pPr>
    </w:p>
    <w:p w14:paraId="3DC12DC6" w14:textId="77777777" w:rsidR="00BC4927" w:rsidRDefault="00BC4927" w:rsidP="00B6391A">
      <w:pPr>
        <w:spacing w:after="120"/>
        <w:jc w:val="both"/>
        <w:rPr>
          <w:rFonts w:ascii="Times New Roman" w:eastAsia="Arial" w:hAnsi="Times New Roman" w:cs="Times New Roman"/>
          <w:sz w:val="24"/>
          <w:szCs w:val="24"/>
          <w:lang w:val="fr-CH"/>
        </w:rPr>
      </w:pPr>
    </w:p>
    <w:p w14:paraId="54A7AFE7" w14:textId="77777777" w:rsidR="00601F2E" w:rsidRDefault="00601F2E" w:rsidP="00601F2E">
      <w:pPr>
        <w:pStyle w:val="Heading1"/>
        <w:spacing w:after="120"/>
        <w:ind w:left="1080"/>
      </w:pPr>
    </w:p>
    <w:p w14:paraId="4D4D7526" w14:textId="4F7EF5C7" w:rsidR="007A06AB" w:rsidRPr="00834F2D" w:rsidRDefault="007A06AB" w:rsidP="00B6391A">
      <w:pPr>
        <w:pStyle w:val="Heading1"/>
        <w:numPr>
          <w:ilvl w:val="0"/>
          <w:numId w:val="15"/>
        </w:numPr>
        <w:spacing w:after="120"/>
      </w:pPr>
      <w:bookmarkStart w:id="19" w:name="_Toc192599340"/>
      <w:r>
        <w:t>Traitements cruels, inhumains ou dégradants commis par les responsables de l’application des lois (article 16)</w:t>
      </w:r>
      <w:bookmarkEnd w:id="19"/>
    </w:p>
    <w:p w14:paraId="78C63EE6" w14:textId="68193D33" w:rsidR="007A06AB" w:rsidRPr="00674A01" w:rsidRDefault="00770328" w:rsidP="00B6391A">
      <w:pPr>
        <w:pStyle w:val="Heading2"/>
        <w:numPr>
          <w:ilvl w:val="0"/>
          <w:numId w:val="18"/>
        </w:numPr>
        <w:spacing w:after="120"/>
      </w:pPr>
      <w:bookmarkStart w:id="20" w:name="_Toc192599341"/>
      <w:r>
        <w:t>Transparence en matière d’usage de la force</w:t>
      </w:r>
      <w:bookmarkEnd w:id="20"/>
    </w:p>
    <w:p w14:paraId="0A78451C" w14:textId="77777777" w:rsidR="00C84DF6" w:rsidRDefault="008800CD" w:rsidP="306731B5">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eastAsia="Arial" w:hAnsi="Times New Roman" w:cs="Times New Roman"/>
          <w:sz w:val="24"/>
          <w:szCs w:val="24"/>
        </w:rPr>
        <w:t xml:space="preserve">Dans son </w:t>
      </w:r>
      <w:r w:rsidRPr="00C84DF6">
        <w:rPr>
          <w:rFonts w:ascii="Times New Roman" w:hAnsi="Times New Roman" w:cs="Times New Roman"/>
          <w:sz w:val="24"/>
          <w:szCs w:val="24"/>
        </w:rPr>
        <w:t>Protocole type à l’intention des forces de l’ordre sur la promotion et la protection des droits de l’homme dans le contexte des manifestations pacifiques</w:t>
      </w:r>
      <w:r w:rsidRPr="00C84DF6">
        <w:rPr>
          <w:rFonts w:ascii="Times New Roman" w:eastAsia="Arial" w:hAnsi="Times New Roman" w:cs="Times New Roman"/>
          <w:sz w:val="24"/>
          <w:szCs w:val="24"/>
        </w:rPr>
        <w:t>, le</w:t>
      </w:r>
      <w:r w:rsidRPr="00C84DF6">
        <w:rPr>
          <w:rFonts w:ascii="Times New Roman" w:hAnsi="Times New Roman" w:cs="Times New Roman"/>
          <w:sz w:val="24"/>
          <w:szCs w:val="24"/>
        </w:rPr>
        <w:t xml:space="preserve"> Rapporteur spécial sur les droits à la liberté de réunion pacifique et à la liberté d’association, Clément </w:t>
      </w:r>
      <w:proofErr w:type="spellStart"/>
      <w:r w:rsidRPr="00C84DF6">
        <w:rPr>
          <w:rFonts w:ascii="Times New Roman" w:hAnsi="Times New Roman" w:cs="Times New Roman"/>
          <w:sz w:val="24"/>
          <w:szCs w:val="24"/>
        </w:rPr>
        <w:t>Nyaletsossi</w:t>
      </w:r>
      <w:proofErr w:type="spellEnd"/>
      <w:r w:rsidRPr="00C84DF6">
        <w:rPr>
          <w:rFonts w:ascii="Times New Roman" w:hAnsi="Times New Roman" w:cs="Times New Roman"/>
          <w:sz w:val="24"/>
          <w:szCs w:val="24"/>
        </w:rPr>
        <w:t xml:space="preserve"> </w:t>
      </w:r>
      <w:proofErr w:type="spellStart"/>
      <w:r w:rsidRPr="00C84DF6">
        <w:rPr>
          <w:rFonts w:ascii="Times New Roman" w:hAnsi="Times New Roman" w:cs="Times New Roman"/>
          <w:sz w:val="24"/>
          <w:szCs w:val="24"/>
        </w:rPr>
        <w:t>Voule</w:t>
      </w:r>
      <w:proofErr w:type="spellEnd"/>
      <w:r w:rsidRPr="00C84DF6">
        <w:rPr>
          <w:rFonts w:ascii="Times New Roman" w:hAnsi="Times New Roman" w:cs="Times New Roman"/>
          <w:sz w:val="24"/>
          <w:szCs w:val="24"/>
        </w:rPr>
        <w:t xml:space="preserve">, en collaboration avec l’Office des Nations Unies contre la drogue et le crime et le Haut-Commissariat des Nations unies aux droits de l’homme, ont prévu un ensemble d’outils techniques et pratiques visant à renforcer la capacité des services de maintien de l’ordre de s’acquitter de leur obligation de promotion et de protection des droits de l’homme dans le contexte des manifestations pacifiques et à améliorer leurs pratiques en la matière. </w:t>
      </w:r>
    </w:p>
    <w:p w14:paraId="71B723B0" w14:textId="77777777" w:rsidR="00C84DF6" w:rsidRDefault="00C84DF6" w:rsidP="00C84DF6">
      <w:pPr>
        <w:pStyle w:val="ListParagraph"/>
        <w:spacing w:after="120"/>
        <w:ind w:left="0"/>
        <w:jc w:val="both"/>
        <w:rPr>
          <w:rFonts w:ascii="Times New Roman" w:hAnsi="Times New Roman" w:cs="Times New Roman"/>
          <w:sz w:val="24"/>
          <w:szCs w:val="24"/>
        </w:rPr>
      </w:pPr>
    </w:p>
    <w:p w14:paraId="181E1D14" w14:textId="77777777" w:rsidR="00C84DF6" w:rsidRDefault="008800CD"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Les outils préconisés ont notamment pour objectif de « </w:t>
      </w:r>
      <w:r w:rsidRPr="00C84DF6">
        <w:rPr>
          <w:rFonts w:ascii="Times New Roman" w:hAnsi="Times New Roman" w:cs="Times New Roman"/>
          <w:i/>
          <w:iCs/>
          <w:sz w:val="24"/>
          <w:szCs w:val="24"/>
        </w:rPr>
        <w:t>promouvoir une culture de responsabilisation et de transparence dans laquelle les agents n’ont pas à craindre de répercussions</w:t>
      </w:r>
      <w:r w:rsidRPr="00C84DF6">
        <w:rPr>
          <w:rFonts w:ascii="Times New Roman" w:hAnsi="Times New Roman" w:cs="Times New Roman"/>
          <w:sz w:val="24"/>
          <w:szCs w:val="24"/>
        </w:rPr>
        <w:t> », ce qui implique de « </w:t>
      </w:r>
      <w:r w:rsidRPr="00C84DF6">
        <w:rPr>
          <w:rFonts w:ascii="Times New Roman" w:hAnsi="Times New Roman" w:cs="Times New Roman"/>
          <w:i/>
          <w:iCs/>
          <w:sz w:val="24"/>
          <w:szCs w:val="24"/>
        </w:rPr>
        <w:t>créer un système d’enregistrement fiable, transparent et pouvant faire l’objet d’une vérification dans lequel seraient consignés l’ensemble des décisions, des actions et des ordres de tous les niveaux de commandement ainsi que les raisons qui les sous-tendent</w:t>
      </w:r>
      <w:r w:rsidR="00F155E7" w:rsidRPr="00C84DF6">
        <w:rPr>
          <w:rFonts w:ascii="Times New Roman" w:hAnsi="Times New Roman" w:cs="Times New Roman"/>
          <w:i/>
          <w:iCs/>
          <w:sz w:val="24"/>
          <w:szCs w:val="24"/>
        </w:rPr>
        <w:t> </w:t>
      </w:r>
      <w:r w:rsidR="00F155E7" w:rsidRPr="00C84DF6">
        <w:rPr>
          <w:rFonts w:ascii="Times New Roman" w:hAnsi="Times New Roman" w:cs="Times New Roman"/>
          <w:sz w:val="24"/>
          <w:szCs w:val="24"/>
        </w:rPr>
        <w:t>»</w:t>
      </w:r>
      <w:r w:rsidR="00F155E7" w:rsidRPr="306731B5">
        <w:rPr>
          <w:rStyle w:val="FootnoteReference"/>
          <w:rFonts w:ascii="Times New Roman" w:hAnsi="Times New Roman" w:cs="Times New Roman"/>
          <w:sz w:val="24"/>
          <w:szCs w:val="24"/>
        </w:rPr>
        <w:footnoteReference w:id="45"/>
      </w:r>
      <w:r w:rsidR="00F155E7" w:rsidRPr="00C84DF6">
        <w:rPr>
          <w:rFonts w:ascii="Times New Roman" w:hAnsi="Times New Roman" w:cs="Times New Roman"/>
          <w:sz w:val="24"/>
          <w:szCs w:val="24"/>
        </w:rPr>
        <w:t xml:space="preserve">. </w:t>
      </w:r>
    </w:p>
    <w:p w14:paraId="564E4242" w14:textId="77777777" w:rsidR="00C84DF6" w:rsidRPr="00C84DF6" w:rsidRDefault="00C84DF6" w:rsidP="00C84DF6">
      <w:pPr>
        <w:pStyle w:val="ListParagraph"/>
        <w:rPr>
          <w:rFonts w:ascii="Times New Roman" w:hAnsi="Times New Roman" w:cs="Times New Roman"/>
          <w:sz w:val="24"/>
          <w:szCs w:val="24"/>
          <w:lang w:val="fr-CH"/>
        </w:rPr>
      </w:pPr>
    </w:p>
    <w:p w14:paraId="009E483D" w14:textId="77777777" w:rsidR="00C84DF6" w:rsidRPr="00C84DF6" w:rsidRDefault="00B82742"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lang w:val="fr-CH"/>
        </w:rPr>
        <w:t xml:space="preserve">Un </w:t>
      </w:r>
      <w:r w:rsidRPr="00C84DF6">
        <w:rPr>
          <w:rFonts w:ascii="Times New Roman" w:eastAsia="Arial" w:hAnsi="Times New Roman" w:cs="Times New Roman"/>
          <w:sz w:val="24"/>
          <w:szCs w:val="24"/>
          <w:lang w:val="fr-CH"/>
        </w:rPr>
        <w:t>constat s’impose lorsqu’il s’agit de s’intéresser à l’usage de la force par la police ou la gendarmerie : sur ce sujet, à tous les niveaux, il existe un manque de transparence flagrant, et ce quel que soit le gouvernement en place. L'absence de données officielles jette le doute sur la volonté des autorités de faire la lumière sur les cas d’usage de la force par les forces de l’ordre et de sanctionner fermement les abus. Il semble pourtant peu probable que les informations relatives à l’usage de la force par les policiers ne soient pas répertoriées, ou au moins qu’elles ne puissent pas l’être. A cet égard, il est important de rappeler que le nombre de plaintes déposées ne représente pas une radiographie exacte des faits de violences illégitimes de la part des forces de l’ordre. En effet, nombreuses sont les personnes qui refusent de porter plainte, que ce soit par crainte de représailles ou alors par découragement, convaincues que celle-ci n’aboutira pas.</w:t>
      </w:r>
    </w:p>
    <w:p w14:paraId="5345F0F3" w14:textId="77777777" w:rsidR="00C84DF6" w:rsidRPr="00C84DF6" w:rsidRDefault="00C84DF6" w:rsidP="00C84DF6">
      <w:pPr>
        <w:pStyle w:val="ListParagraph"/>
        <w:rPr>
          <w:rFonts w:ascii="Times New Roman" w:hAnsi="Times New Roman" w:cs="Times New Roman"/>
          <w:sz w:val="24"/>
          <w:szCs w:val="24"/>
        </w:rPr>
      </w:pPr>
    </w:p>
    <w:p w14:paraId="69511128" w14:textId="77777777" w:rsidR="00C84DF6" w:rsidRPr="00C84DF6" w:rsidRDefault="007E2517" w:rsidP="00B6391A">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Dès </w:t>
      </w:r>
      <w:r w:rsidRPr="00C84DF6">
        <w:rPr>
          <w:rFonts w:ascii="Times New Roman" w:eastAsia="Arial" w:hAnsi="Times New Roman" w:cs="Times New Roman"/>
          <w:sz w:val="24"/>
          <w:szCs w:val="24"/>
          <w:lang w:val="fr-CH"/>
        </w:rPr>
        <w:t>lors, la France a été invitée à clarifier la méthode de décompte des personnes blessées ou décédées à l’occasion d’interventions de police. Si depuis 2018 l’IGPN publie une base de données de « recensement des personnes blessées ou décédées à l’occasion d’une mission de police » (RBD), l’ACAT-France tient à alerter sur le champ très restreint des blessures recensées. En effet, seules les personnes pour qui une incapacité totale de travail (ITT) supérieure à neuf jours a été constatée figurent dans ce recensement. De plus, il est nécessaire qu’une plainte ait été déposée ou qu’une enquête judiciaire ait été ouverte pour que la blessure soit recensée.</w:t>
      </w:r>
    </w:p>
    <w:p w14:paraId="660C19E6" w14:textId="77777777" w:rsidR="00C84DF6" w:rsidRPr="00C84DF6" w:rsidRDefault="00C84DF6" w:rsidP="00C84DF6">
      <w:pPr>
        <w:pStyle w:val="ListParagraph"/>
        <w:rPr>
          <w:rFonts w:ascii="Times New Roman" w:hAnsi="Times New Roman" w:cs="Times New Roman"/>
          <w:sz w:val="24"/>
          <w:szCs w:val="24"/>
        </w:rPr>
      </w:pPr>
    </w:p>
    <w:p w14:paraId="71139F46" w14:textId="77777777" w:rsidR="00C84DF6" w:rsidRDefault="00DB4791"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A</w:t>
      </w:r>
      <w:r w:rsidRPr="00C84DF6">
        <w:rPr>
          <w:rFonts w:ascii="Times New Roman" w:eastAsia="Arial" w:hAnsi="Times New Roman" w:cs="Times New Roman"/>
          <w:sz w:val="24"/>
          <w:szCs w:val="24"/>
          <w:lang w:val="fr-CH"/>
        </w:rPr>
        <w:t xml:space="preserve"> contrario, les représentants des forces de l’ordre blessés à l’occasion de leurs missions sont systématiquement recensés par leurs autorités, que ce soit pour une blessure survenue pendant l’exécution d’une opération de police ou plus largement au cours du service (heures de travail) ou pendant le trajet domicile-travail. Un traitement qui est donc différent de celui appliqué au public. Les modalités de recensement sont donc différentes entre la police et la population alors même que le nombre de blessés police/manifestants est régulièrement mis en parallèle, sans préciser cette différence pourtant majeure.</w:t>
      </w:r>
    </w:p>
    <w:p w14:paraId="18D243B5" w14:textId="77777777" w:rsidR="00C84DF6" w:rsidRPr="00C84DF6" w:rsidRDefault="00C84DF6" w:rsidP="00C84DF6">
      <w:pPr>
        <w:pStyle w:val="ListParagraph"/>
        <w:rPr>
          <w:rFonts w:ascii="Times New Roman" w:hAnsi="Times New Roman" w:cs="Times New Roman"/>
          <w:sz w:val="24"/>
          <w:szCs w:val="24"/>
        </w:rPr>
      </w:pPr>
    </w:p>
    <w:p w14:paraId="4565DCE3" w14:textId="5C0A6F03" w:rsidR="00001CE5" w:rsidRPr="00C84DF6" w:rsidRDefault="00903B59"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 xml:space="preserve">Ainsi </w:t>
      </w:r>
      <w:r w:rsidRPr="00C84DF6">
        <w:rPr>
          <w:rFonts w:ascii="Times New Roman" w:eastAsia="Arial" w:hAnsi="Times New Roman" w:cs="Times New Roman"/>
          <w:sz w:val="24"/>
          <w:szCs w:val="24"/>
          <w:lang w:val="fr-CH"/>
        </w:rPr>
        <w:t>en 202</w:t>
      </w:r>
      <w:r w:rsidR="002F5F11" w:rsidRPr="00C84DF6">
        <w:rPr>
          <w:rFonts w:ascii="Times New Roman" w:eastAsia="Arial" w:hAnsi="Times New Roman" w:cs="Times New Roman"/>
          <w:sz w:val="24"/>
          <w:szCs w:val="24"/>
          <w:lang w:val="fr-CH"/>
        </w:rPr>
        <w:t>3</w:t>
      </w:r>
      <w:r w:rsidRPr="00C84DF6">
        <w:rPr>
          <w:rFonts w:ascii="Times New Roman" w:eastAsia="Arial" w:hAnsi="Times New Roman" w:cs="Times New Roman"/>
          <w:sz w:val="24"/>
          <w:szCs w:val="24"/>
          <w:lang w:val="fr-CH"/>
        </w:rPr>
        <w:t>, 3</w:t>
      </w:r>
      <w:r w:rsidR="002F5F11" w:rsidRPr="00C84DF6">
        <w:rPr>
          <w:rFonts w:ascii="Times New Roman" w:eastAsia="Arial" w:hAnsi="Times New Roman" w:cs="Times New Roman"/>
          <w:sz w:val="24"/>
          <w:szCs w:val="24"/>
          <w:lang w:val="fr-CH"/>
        </w:rPr>
        <w:t>6</w:t>
      </w:r>
      <w:r w:rsidRPr="00C84DF6">
        <w:rPr>
          <w:rFonts w:ascii="Times New Roman" w:eastAsia="Arial" w:hAnsi="Times New Roman" w:cs="Times New Roman"/>
          <w:sz w:val="24"/>
          <w:szCs w:val="24"/>
          <w:lang w:val="fr-CH"/>
        </w:rPr>
        <w:t xml:space="preserve"> personnes sont décédées à la suite d'actions de police (</w:t>
      </w:r>
      <w:r w:rsidR="00601A08" w:rsidRPr="00C84DF6">
        <w:rPr>
          <w:rFonts w:ascii="Times New Roman" w:eastAsia="Arial" w:hAnsi="Times New Roman" w:cs="Times New Roman"/>
          <w:sz w:val="24"/>
          <w:szCs w:val="24"/>
          <w:lang w:val="fr-CH"/>
        </w:rPr>
        <w:t xml:space="preserve">dont </w:t>
      </w:r>
      <w:r w:rsidR="003676AA" w:rsidRPr="00C84DF6">
        <w:rPr>
          <w:rFonts w:ascii="Times New Roman" w:eastAsia="Arial" w:hAnsi="Times New Roman" w:cs="Times New Roman"/>
          <w:sz w:val="24"/>
          <w:szCs w:val="24"/>
          <w:lang w:val="fr-CH"/>
        </w:rPr>
        <w:t>7</w:t>
      </w:r>
      <w:r w:rsidRPr="00C84DF6">
        <w:rPr>
          <w:rFonts w:ascii="Times New Roman" w:eastAsia="Arial" w:hAnsi="Times New Roman" w:cs="Times New Roman"/>
          <w:sz w:val="24"/>
          <w:szCs w:val="24"/>
          <w:lang w:val="fr-CH"/>
        </w:rPr>
        <w:t xml:space="preserve"> à la suite de l’usage d’une arme à feu, </w:t>
      </w:r>
      <w:r w:rsidR="00333564" w:rsidRPr="00C84DF6">
        <w:rPr>
          <w:rFonts w:ascii="Times New Roman" w:eastAsia="Arial" w:hAnsi="Times New Roman" w:cs="Times New Roman"/>
          <w:sz w:val="24"/>
          <w:szCs w:val="24"/>
          <w:lang w:val="fr-CH"/>
        </w:rPr>
        <w:t>22</w:t>
      </w:r>
      <w:r w:rsidRPr="00C84DF6">
        <w:rPr>
          <w:rFonts w:ascii="Times New Roman" w:eastAsia="Arial" w:hAnsi="Times New Roman" w:cs="Times New Roman"/>
          <w:sz w:val="24"/>
          <w:szCs w:val="24"/>
          <w:lang w:val="fr-CH"/>
        </w:rPr>
        <w:t xml:space="preserve"> à la suite d'un accident de la circulation</w:t>
      </w:r>
      <w:r w:rsidR="00601A08" w:rsidRPr="00C84DF6">
        <w:rPr>
          <w:rFonts w:ascii="Times New Roman" w:eastAsia="Arial" w:hAnsi="Times New Roman" w:cs="Times New Roman"/>
          <w:sz w:val="24"/>
          <w:szCs w:val="24"/>
          <w:lang w:val="fr-CH"/>
        </w:rPr>
        <w:t xml:space="preserve"> et </w:t>
      </w:r>
      <w:r w:rsidR="00333564" w:rsidRPr="00C84DF6">
        <w:rPr>
          <w:rFonts w:ascii="Times New Roman" w:eastAsia="Arial" w:hAnsi="Times New Roman" w:cs="Times New Roman"/>
          <w:sz w:val="24"/>
          <w:szCs w:val="24"/>
          <w:lang w:val="fr-CH"/>
        </w:rPr>
        <w:t>1 en rapport avec l’utilisation de la force physique</w:t>
      </w:r>
      <w:r w:rsidRPr="00C84DF6">
        <w:rPr>
          <w:rFonts w:ascii="Times New Roman" w:eastAsia="Arial" w:hAnsi="Times New Roman" w:cs="Times New Roman"/>
          <w:sz w:val="24"/>
          <w:szCs w:val="24"/>
          <w:lang w:val="fr-CH"/>
        </w:rPr>
        <w:t xml:space="preserve">). </w:t>
      </w:r>
      <w:r w:rsidR="00E61803" w:rsidRPr="00C84DF6">
        <w:rPr>
          <w:rFonts w:ascii="Times New Roman" w:eastAsia="Arial" w:hAnsi="Times New Roman" w:cs="Times New Roman"/>
          <w:sz w:val="24"/>
          <w:szCs w:val="24"/>
          <w:lang w:val="fr-CH"/>
        </w:rPr>
        <w:t>91</w:t>
      </w:r>
      <w:r w:rsidRPr="00C84DF6">
        <w:rPr>
          <w:rFonts w:ascii="Times New Roman" w:eastAsia="Arial" w:hAnsi="Times New Roman" w:cs="Times New Roman"/>
          <w:sz w:val="24"/>
          <w:szCs w:val="24"/>
          <w:lang w:val="fr-CH"/>
        </w:rPr>
        <w:t xml:space="preserve"> personnes </w:t>
      </w:r>
      <w:r w:rsidR="002F4044" w:rsidRPr="00C84DF6">
        <w:rPr>
          <w:rFonts w:ascii="Times New Roman" w:eastAsia="Arial" w:hAnsi="Times New Roman" w:cs="Times New Roman"/>
          <w:sz w:val="24"/>
          <w:szCs w:val="24"/>
          <w:lang w:val="fr-CH"/>
        </w:rPr>
        <w:t>ont été gravement blessées dans le cadre d’une mission de police</w:t>
      </w:r>
      <w:r w:rsidRPr="00903B59">
        <w:rPr>
          <w:rFonts w:ascii="Times New Roman" w:eastAsia="Arial" w:hAnsi="Times New Roman" w:cs="Times New Roman"/>
          <w:sz w:val="24"/>
          <w:szCs w:val="24"/>
          <w:vertAlign w:val="superscript"/>
          <w:lang w:val="fr-CH"/>
        </w:rPr>
        <w:footnoteReference w:id="46"/>
      </w:r>
      <w:r w:rsidRPr="00C84DF6">
        <w:rPr>
          <w:rFonts w:ascii="Times New Roman" w:eastAsia="Arial" w:hAnsi="Times New Roman" w:cs="Times New Roman"/>
          <w:sz w:val="24"/>
          <w:szCs w:val="24"/>
          <w:lang w:val="fr-CH"/>
        </w:rPr>
        <w:t xml:space="preserve">. </w:t>
      </w:r>
    </w:p>
    <w:p w14:paraId="1CA5FE4A" w14:textId="1751BF7A" w:rsidR="008D4AC2" w:rsidRPr="004E6188" w:rsidRDefault="00C84DF6" w:rsidP="00B6391A">
      <w:pPr>
        <w:pStyle w:val="ListParagraph"/>
        <w:spacing w:after="120" w:line="276" w:lineRule="auto"/>
        <w:ind w:left="0"/>
        <w:contextualSpacing w:val="0"/>
        <w:jc w:val="both"/>
        <w:rPr>
          <w:rFonts w:ascii="Times New Roman" w:eastAsia="Arial" w:hAnsi="Times New Roman" w:cs="Times New Roman"/>
          <w:sz w:val="24"/>
          <w:szCs w:val="24"/>
          <w:lang w:val="fr-CH"/>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FCFE7A0" wp14:editId="1DEB61EA">
                <wp:simplePos x="0" y="0"/>
                <wp:positionH relativeFrom="margin">
                  <wp:align>right</wp:align>
                </wp:positionH>
                <wp:positionV relativeFrom="paragraph">
                  <wp:posOffset>86995</wp:posOffset>
                </wp:positionV>
                <wp:extent cx="5953125" cy="704850"/>
                <wp:effectExtent l="0" t="0" r="28575" b="19050"/>
                <wp:wrapNone/>
                <wp:docPr id="1255278690" name="Rectangle 2"/>
                <wp:cNvGraphicFramePr/>
                <a:graphic xmlns:a="http://schemas.openxmlformats.org/drawingml/2006/main">
                  <a:graphicData uri="http://schemas.microsoft.com/office/word/2010/wordprocessingShape">
                    <wps:wsp>
                      <wps:cNvSpPr/>
                      <wps:spPr>
                        <a:xfrm>
                          <a:off x="0" y="0"/>
                          <a:ext cx="5953125" cy="70485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1D855981" w14:textId="77777777" w:rsidR="004F3EF3" w:rsidRPr="008B6400" w:rsidRDefault="004F3EF3" w:rsidP="004F3EF3">
                            <w:pPr>
                              <w:spacing w:after="120"/>
                              <w:jc w:val="both"/>
                              <w:rPr>
                                <w:rFonts w:ascii="Times New Roman" w:hAnsi="Times New Roman" w:cs="Times New Roman"/>
                                <w:b/>
                                <w:bCs/>
                                <w:color w:val="000000" w:themeColor="text1"/>
                                <w:sz w:val="24"/>
                                <w:szCs w:val="24"/>
                              </w:rPr>
                            </w:pPr>
                            <w:r w:rsidRPr="008B6400">
                              <w:rPr>
                                <w:rFonts w:ascii="Times New Roman" w:eastAsia="Arial" w:hAnsi="Times New Roman" w:cs="Times New Roman"/>
                                <w:b/>
                                <w:bCs/>
                                <w:color w:val="000000" w:themeColor="text1"/>
                                <w:sz w:val="24"/>
                                <w:szCs w:val="24"/>
                                <w:lang w:val="fr-CH"/>
                              </w:rPr>
                              <w:t xml:space="preserve">L’ACAT-France et la FIACAT invitent le Comité à recommander à la France </w:t>
                            </w:r>
                            <w:r w:rsidRPr="008B6400">
                              <w:rPr>
                                <w:rFonts w:ascii="Times New Roman" w:hAnsi="Times New Roman" w:cs="Times New Roman"/>
                                <w:b/>
                                <w:bCs/>
                                <w:color w:val="000000" w:themeColor="text1"/>
                                <w:sz w:val="24"/>
                                <w:szCs w:val="24"/>
                              </w:rPr>
                              <w:t>de publier chaque année le nombre de personnes blessées ou tuées dans le cadre d’intervention de police ou de gendarmerie.</w:t>
                            </w:r>
                          </w:p>
                          <w:p w14:paraId="01DA2916" w14:textId="1FC765F5" w:rsidR="004F3EF3" w:rsidRPr="0081079E" w:rsidRDefault="004F3EF3" w:rsidP="004F3EF3">
                            <w:pPr>
                              <w:spacing w:after="120"/>
                              <w:jc w:val="both"/>
                              <w:rPr>
                                <w:rFonts w:ascii="Times New Roman" w:hAnsi="Times New Roman" w:cs="Times New Roman"/>
                                <w:sz w:val="24"/>
                                <w:szCs w:val="24"/>
                              </w:rPr>
                            </w:pPr>
                          </w:p>
                          <w:p w14:paraId="2966D88F" w14:textId="77777777" w:rsidR="004F3EF3" w:rsidRDefault="004F3EF3" w:rsidP="004F3E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FCFE7A0" id="_x0000_s1032" style="position:absolute;left:0;text-align:left;margin-left:417.55pt;margin-top:6.85pt;width:468.75pt;height:55.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" fillcolor="#dceaf7 [351]" strokecolor="#042433" strokeweight="1pt">
                <v:textbox>
                  <w:txbxContent>
                    <w:p w14:paraId="1D855981" w14:textId="77777777" w:rsidR="004F3EF3" w:rsidRPr="008B6400" w:rsidRDefault="004F3EF3" w:rsidP="004F3EF3">
                      <w:pPr>
                        <w:spacing w:after="120"/>
                        <w:jc w:val="both"/>
                        <w:rPr>
                          <w:rFonts w:ascii="Times New Roman" w:hAnsi="Times New Roman" w:cs="Times New Roman"/>
                          <w:b/>
                          <w:bCs/>
                          <w:color w:val="000000" w:themeColor="text1"/>
                          <w:sz w:val="24"/>
                          <w:szCs w:val="24"/>
                        </w:rPr>
                      </w:pPr>
                      <w:r w:rsidRPr="008B6400">
                        <w:rPr>
                          <w:rFonts w:ascii="Times New Roman" w:eastAsia="Arial" w:hAnsi="Times New Roman" w:cs="Times New Roman"/>
                          <w:b/>
                          <w:bCs/>
                          <w:color w:val="000000" w:themeColor="text1"/>
                          <w:sz w:val="24"/>
                          <w:szCs w:val="24"/>
                          <w:lang w:val="fr-CH"/>
                        </w:rPr>
                        <w:t xml:space="preserve">L’ACAT-France et la FIACAT invitent le Comité à recommander à la France </w:t>
                      </w:r>
                      <w:r w:rsidRPr="008B6400">
                        <w:rPr>
                          <w:rFonts w:ascii="Times New Roman" w:hAnsi="Times New Roman" w:cs="Times New Roman"/>
                          <w:b/>
                          <w:bCs/>
                          <w:color w:val="000000" w:themeColor="text1"/>
                          <w:sz w:val="24"/>
                          <w:szCs w:val="24"/>
                        </w:rPr>
                        <w:t>de publier chaque année le nombre de personnes blessées ou tuées dans le cadre d’intervention de police ou de gendarmerie.</w:t>
                      </w:r>
                    </w:p>
                    <w:p w14:paraId="01DA2916" w14:textId="1FC765F5" w:rsidR="004F3EF3" w:rsidRPr="0081079E" w:rsidRDefault="004F3EF3" w:rsidP="004F3EF3">
                      <w:pPr>
                        <w:spacing w:after="120"/>
                        <w:jc w:val="both"/>
                        <w:rPr>
                          <w:rFonts w:ascii="Times New Roman" w:hAnsi="Times New Roman" w:cs="Times New Roman"/>
                          <w:sz w:val="24"/>
                          <w:szCs w:val="24"/>
                        </w:rPr>
                      </w:pPr>
                    </w:p>
                    <w:p w14:paraId="2966D88F" w14:textId="77777777" w:rsidR="004F3EF3" w:rsidRDefault="004F3EF3" w:rsidP="004F3EF3">
                      <w:pPr>
                        <w:jc w:val="center"/>
                      </w:pPr>
                    </w:p>
                  </w:txbxContent>
                </v:textbox>
                <w10:wrap anchorx="margin"/>
              </v:rect>
            </w:pict>
          </mc:Fallback>
        </mc:AlternateContent>
      </w:r>
    </w:p>
    <w:p w14:paraId="510420B8" w14:textId="77777777" w:rsidR="00BC4927" w:rsidRDefault="00BC4927" w:rsidP="00B6391A">
      <w:pPr>
        <w:spacing w:after="120"/>
        <w:jc w:val="both"/>
        <w:rPr>
          <w:rFonts w:ascii="Times New Roman" w:hAnsi="Times New Roman" w:cs="Times New Roman"/>
          <w:b/>
          <w:bCs/>
          <w:sz w:val="24"/>
          <w:szCs w:val="24"/>
        </w:rPr>
      </w:pPr>
    </w:p>
    <w:p w14:paraId="0A46BD43" w14:textId="77777777" w:rsidR="00C84DF6" w:rsidRDefault="00C84DF6" w:rsidP="00B6391A">
      <w:pPr>
        <w:spacing w:after="120"/>
        <w:jc w:val="both"/>
        <w:rPr>
          <w:rFonts w:ascii="Times New Roman" w:hAnsi="Times New Roman" w:cs="Times New Roman"/>
          <w:b/>
          <w:bCs/>
          <w:sz w:val="24"/>
          <w:szCs w:val="24"/>
        </w:rPr>
      </w:pPr>
    </w:p>
    <w:p w14:paraId="51FCC282" w14:textId="77777777" w:rsidR="00C84DF6" w:rsidRDefault="00C84DF6" w:rsidP="00B6391A">
      <w:pPr>
        <w:spacing w:after="120"/>
        <w:jc w:val="both"/>
        <w:rPr>
          <w:rFonts w:ascii="Times New Roman" w:hAnsi="Times New Roman" w:cs="Times New Roman"/>
          <w:b/>
          <w:bCs/>
          <w:sz w:val="24"/>
          <w:szCs w:val="24"/>
        </w:rPr>
      </w:pPr>
    </w:p>
    <w:p w14:paraId="7E2A4C84" w14:textId="03DEBC9E" w:rsidR="00770328" w:rsidRPr="00674A01" w:rsidRDefault="00770328" w:rsidP="00B6391A">
      <w:pPr>
        <w:pStyle w:val="Heading2"/>
        <w:numPr>
          <w:ilvl w:val="0"/>
          <w:numId w:val="18"/>
        </w:numPr>
        <w:spacing w:after="120"/>
      </w:pPr>
      <w:bookmarkStart w:id="21" w:name="_Toc192599342"/>
      <w:r>
        <w:t>Usage des armes létales</w:t>
      </w:r>
      <w:bookmarkEnd w:id="21"/>
      <w:r>
        <w:t xml:space="preserve"> </w:t>
      </w:r>
    </w:p>
    <w:p w14:paraId="523041DD" w14:textId="77777777" w:rsidR="00C84DF6" w:rsidRDefault="00F961EC" w:rsidP="00B6391A">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Policiers et gendarmes étaient jusqu’en 2017 soumis à des régimes d’usage des armes létales différents. Une loi de 2017 vient créer un cadre commun d'usage des armes applicables aux deux corps. Désormais, les forces de l'ordre pourront recourir à la force armée dans cinq cas différents, tels que décrits dans l’article L. 435-1 du code de la sécurité intérieure. </w:t>
      </w:r>
    </w:p>
    <w:p w14:paraId="748608FB" w14:textId="77777777" w:rsidR="00C84DF6" w:rsidRDefault="00C84DF6" w:rsidP="00C84DF6">
      <w:pPr>
        <w:pStyle w:val="ListParagraph"/>
        <w:widowControl w:val="0"/>
        <w:autoSpaceDE w:val="0"/>
        <w:autoSpaceDN w:val="0"/>
        <w:adjustRightInd w:val="0"/>
        <w:spacing w:after="120"/>
        <w:ind w:left="0"/>
        <w:jc w:val="both"/>
        <w:rPr>
          <w:rFonts w:ascii="Times New Roman" w:eastAsia="Arial" w:hAnsi="Times New Roman" w:cs="Times New Roman"/>
          <w:color w:val="000000" w:themeColor="text1"/>
          <w:sz w:val="24"/>
          <w:szCs w:val="24"/>
          <w:lang w:val="fr-CH"/>
        </w:rPr>
      </w:pPr>
    </w:p>
    <w:p w14:paraId="64D56F9D" w14:textId="00CCF71A" w:rsidR="00316285" w:rsidRPr="00C84DF6" w:rsidRDefault="00316285" w:rsidP="00B6391A">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L’ACAT- France souhaite ici alerter sur le point 4 de ces dispositions.</w:t>
      </w:r>
      <w:r w:rsidRPr="00C84DF6">
        <w:rPr>
          <w:rFonts w:ascii="Times New Roman" w:eastAsia="Arial" w:hAnsi="Times New Roman" w:cs="Times New Roman"/>
          <w:color w:val="000000"/>
          <w:sz w:val="24"/>
          <w:szCs w:val="24"/>
          <w:lang w:val="fr-CH"/>
        </w:rPr>
        <w:t xml:space="preserve"> </w:t>
      </w:r>
      <w:r w:rsidRPr="00C84DF6">
        <w:rPr>
          <w:rFonts w:ascii="Times New Roman" w:eastAsia="Arial" w:hAnsi="Times New Roman" w:cs="Times New Roman"/>
          <w:color w:val="000000" w:themeColor="text1"/>
          <w:sz w:val="24"/>
          <w:szCs w:val="24"/>
          <w:lang w:val="fr-CH"/>
        </w:rPr>
        <w:t xml:space="preserve">Ce nouvel article dispose que « </w:t>
      </w:r>
      <w:r w:rsidRPr="00C84DF6">
        <w:rPr>
          <w:rFonts w:ascii="Times New Roman" w:eastAsia="Arial" w:hAnsi="Times New Roman" w:cs="Times New Roman"/>
          <w:i/>
          <w:iCs/>
          <w:color w:val="000000" w:themeColor="text1"/>
          <w:sz w:val="24"/>
          <w:szCs w:val="24"/>
          <w:lang w:val="fr-CH"/>
        </w:rPr>
        <w:t xml:space="preserve">Dans l'exercice de leurs fonctions et revêtus de leur uniforme ou des insignes extérieurs et apparents de leur qualité, les agents de la police nationale et les militaires de la gendarmerie nationale peuvent, outre les cas mentionnés à l'article L. 211-9, faire usage de leurs armes en cas </w:t>
      </w:r>
      <w:bookmarkStart w:id="22" w:name="_Hlk178883004"/>
      <w:r w:rsidRPr="00C84DF6">
        <w:rPr>
          <w:rFonts w:ascii="Times New Roman" w:eastAsia="Arial" w:hAnsi="Times New Roman" w:cs="Times New Roman"/>
          <w:i/>
          <w:iCs/>
          <w:color w:val="000000" w:themeColor="text1"/>
          <w:sz w:val="24"/>
          <w:szCs w:val="24"/>
          <w:lang w:val="fr-CH"/>
        </w:rPr>
        <w:t xml:space="preserve">d'absolue nécessité </w:t>
      </w:r>
      <w:bookmarkEnd w:id="22"/>
      <w:r w:rsidRPr="00C84DF6">
        <w:rPr>
          <w:rFonts w:ascii="Times New Roman" w:eastAsia="Arial" w:hAnsi="Times New Roman" w:cs="Times New Roman"/>
          <w:i/>
          <w:iCs/>
          <w:color w:val="000000" w:themeColor="text1"/>
          <w:sz w:val="24"/>
          <w:szCs w:val="24"/>
          <w:lang w:val="fr-CH"/>
        </w:rPr>
        <w:t>et de manière strictement proportionnée :</w:t>
      </w:r>
    </w:p>
    <w:p w14:paraId="07A0DF2D" w14:textId="4F241272" w:rsidR="00316285" w:rsidRDefault="00316285" w:rsidP="00B6391A">
      <w:pPr>
        <w:pStyle w:val="ListParagraph"/>
        <w:widowControl w:val="0"/>
        <w:autoSpaceDE w:val="0"/>
        <w:autoSpaceDN w:val="0"/>
        <w:adjustRightInd w:val="0"/>
        <w:spacing w:after="120"/>
        <w:ind w:left="0"/>
        <w:contextualSpacing w:val="0"/>
        <w:jc w:val="both"/>
        <w:rPr>
          <w:rFonts w:ascii="Times New Roman" w:eastAsia="Arial" w:hAnsi="Times New Roman" w:cs="Times New Roman"/>
          <w:i/>
          <w:iCs/>
          <w:color w:val="000000" w:themeColor="text1"/>
          <w:sz w:val="24"/>
          <w:szCs w:val="24"/>
          <w:lang w:val="fr-CH"/>
        </w:rPr>
      </w:pPr>
      <w:r>
        <w:rPr>
          <w:rFonts w:ascii="Times New Roman" w:eastAsia="Arial" w:hAnsi="Times New Roman" w:cs="Times New Roman"/>
          <w:i/>
          <w:iCs/>
          <w:color w:val="000000" w:themeColor="text1"/>
          <w:sz w:val="24"/>
          <w:szCs w:val="24"/>
          <w:lang w:val="fr-CH"/>
        </w:rPr>
        <w:t>(…)</w:t>
      </w:r>
    </w:p>
    <w:p w14:paraId="5AF9FFE5" w14:textId="162993E2" w:rsidR="00FB57F5" w:rsidRDefault="00FA4362" w:rsidP="00B6391A">
      <w:pPr>
        <w:widowControl w:val="0"/>
        <w:autoSpaceDE w:val="0"/>
        <w:autoSpaceDN w:val="0"/>
        <w:adjustRightInd w:val="0"/>
        <w:spacing w:after="120"/>
        <w:jc w:val="both"/>
        <w:rPr>
          <w:rFonts w:ascii="Times New Roman" w:eastAsia="Arial" w:hAnsi="Times New Roman" w:cs="Times New Roman"/>
          <w:color w:val="000000" w:themeColor="text1"/>
          <w:sz w:val="24"/>
          <w:szCs w:val="24"/>
          <w:lang w:val="fr-CH"/>
        </w:rPr>
      </w:pPr>
      <w:r w:rsidRPr="001D61F7">
        <w:rPr>
          <w:rFonts w:ascii="Times New Roman" w:eastAsia="Arial" w:hAnsi="Times New Roman" w:cs="Times New Roman"/>
          <w:i/>
          <w:iCs/>
          <w:color w:val="000000" w:themeColor="text1"/>
          <w:sz w:val="24"/>
          <w:szCs w:val="24"/>
          <w:lang w:val="fr-CH"/>
        </w:rPr>
        <w:t>4° Lorsqu'ils ne peuvent immobiliser, autrement que par l'usage des armes, des véhicules, embarcations ou autres moyens de transport, dont les conducteurs n'obtempèrent pas à l'ordre d'arrêt et dont les occupants sont susceptibles de perpétrer, dans leur fuite, des atteintes à leur vie ou à leur intégrité physique ou à celles d'autrui</w:t>
      </w:r>
      <w:r w:rsidRPr="001D61F7">
        <w:rPr>
          <w:rFonts w:ascii="Times New Roman" w:eastAsia="Arial" w:hAnsi="Times New Roman" w:cs="Times New Roman"/>
          <w:color w:val="000000" w:themeColor="text1"/>
          <w:sz w:val="24"/>
          <w:szCs w:val="24"/>
          <w:lang w:val="fr-CH"/>
        </w:rPr>
        <w:t xml:space="preserve"> »</w:t>
      </w:r>
      <w:r w:rsidR="00F32CF6">
        <w:rPr>
          <w:rFonts w:ascii="Times New Roman" w:eastAsia="Arial" w:hAnsi="Times New Roman" w:cs="Times New Roman"/>
          <w:color w:val="000000" w:themeColor="text1"/>
          <w:sz w:val="24"/>
          <w:szCs w:val="24"/>
          <w:lang w:val="fr-CH"/>
        </w:rPr>
        <w:t>.</w:t>
      </w:r>
    </w:p>
    <w:p w14:paraId="5D52E0F5" w14:textId="77777777" w:rsidR="00C84DF6" w:rsidRDefault="00811645"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color w:val="000000" w:themeColor="text1"/>
          <w:sz w:val="24"/>
          <w:szCs w:val="24"/>
          <w:lang w:val="fr-CH"/>
        </w:rPr>
      </w:pPr>
      <w:r>
        <w:rPr>
          <w:rFonts w:ascii="Times New Roman" w:eastAsia="Arial" w:hAnsi="Times New Roman" w:cs="Times New Roman"/>
          <w:sz w:val="24"/>
          <w:szCs w:val="24"/>
          <w:lang w:val="fr-CH"/>
        </w:rPr>
        <w:t>L</w:t>
      </w:r>
      <w:r w:rsidRPr="001D61F7">
        <w:rPr>
          <w:rFonts w:ascii="Times New Roman" w:eastAsia="Arial" w:hAnsi="Times New Roman" w:cs="Times New Roman"/>
          <w:sz w:val="24"/>
          <w:szCs w:val="24"/>
          <w:lang w:val="fr-CH"/>
        </w:rPr>
        <w:t xml:space="preserve">’ACAT-France, comme de nombreux observateurs, s’inquiète de cette disposition qui justifie le recours à ce type d’armement, de manière préventive et sans condition d’actualité, à l’inverse de la légitime défense. Or il s’agit de la </w:t>
      </w:r>
      <w:r w:rsidRPr="001D61F7">
        <w:rPr>
          <w:rFonts w:ascii="Times New Roman" w:eastAsia="Arial" w:hAnsi="Times New Roman" w:cs="Times New Roman"/>
          <w:color w:val="000000" w:themeColor="text1"/>
          <w:sz w:val="24"/>
          <w:szCs w:val="24"/>
          <w:lang w:val="fr-CH"/>
        </w:rPr>
        <w:t>principale justification du recours aux armes létales, comme l’indique le dernier rapport de l</w:t>
      </w:r>
      <w:r>
        <w:rPr>
          <w:rFonts w:ascii="Times New Roman" w:eastAsia="Arial" w:hAnsi="Times New Roman" w:cs="Times New Roman"/>
          <w:color w:val="000000" w:themeColor="text1"/>
          <w:sz w:val="24"/>
          <w:szCs w:val="24"/>
          <w:lang w:val="fr-CH"/>
        </w:rPr>
        <w:t>’</w:t>
      </w:r>
      <w:r w:rsidRPr="007F3CBC">
        <w:rPr>
          <w:rFonts w:ascii="Times New Roman" w:eastAsia="Arial" w:hAnsi="Times New Roman" w:cs="Times New Roman"/>
          <w:color w:val="000000" w:themeColor="text1"/>
          <w:sz w:val="24"/>
          <w:szCs w:val="24"/>
          <w:lang w:val="fr-CH"/>
        </w:rPr>
        <w:t xml:space="preserve">inspection générale de la police nationale </w:t>
      </w:r>
      <w:r>
        <w:rPr>
          <w:rFonts w:ascii="Times New Roman" w:eastAsia="Arial" w:hAnsi="Times New Roman" w:cs="Times New Roman"/>
          <w:color w:val="000000" w:themeColor="text1"/>
          <w:sz w:val="24"/>
          <w:szCs w:val="24"/>
          <w:lang w:val="fr-CH"/>
        </w:rPr>
        <w:t>(</w:t>
      </w:r>
      <w:r w:rsidRPr="001D61F7">
        <w:rPr>
          <w:rFonts w:ascii="Times New Roman" w:eastAsia="Arial" w:hAnsi="Times New Roman" w:cs="Times New Roman"/>
          <w:color w:val="000000" w:themeColor="text1"/>
          <w:sz w:val="24"/>
          <w:szCs w:val="24"/>
          <w:lang w:val="fr-CH"/>
        </w:rPr>
        <w:t>IGPN</w:t>
      </w:r>
      <w:r>
        <w:rPr>
          <w:rFonts w:ascii="Times New Roman" w:eastAsia="Arial" w:hAnsi="Times New Roman" w:cs="Times New Roman"/>
          <w:color w:val="000000" w:themeColor="text1"/>
          <w:sz w:val="24"/>
          <w:szCs w:val="24"/>
          <w:lang w:val="fr-CH"/>
        </w:rPr>
        <w:t>)</w:t>
      </w:r>
      <w:r w:rsidR="00D73837">
        <w:rPr>
          <w:rFonts w:ascii="Times New Roman" w:eastAsia="Arial" w:hAnsi="Times New Roman" w:cs="Times New Roman"/>
          <w:color w:val="000000" w:themeColor="text1"/>
          <w:sz w:val="24"/>
          <w:szCs w:val="24"/>
          <w:lang w:val="fr-CH"/>
        </w:rPr>
        <w:t>.</w:t>
      </w:r>
    </w:p>
    <w:p w14:paraId="43059F8D" w14:textId="1CCC1BCA" w:rsidR="00426A69" w:rsidRPr="00C84DF6" w:rsidRDefault="00426A69"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Selon le rapport de l’IGPN, les usages de l’arme individuelle en 2023 se répartissent ainsi : </w:t>
      </w:r>
    </w:p>
    <w:p w14:paraId="49C6BDD6" w14:textId="0BB4D37A" w:rsidR="00426A69" w:rsidRPr="001D61F7" w:rsidRDefault="00426A69" w:rsidP="00B6391A">
      <w:pPr>
        <w:pStyle w:val="ListParagraph"/>
        <w:widowControl w:val="0"/>
        <w:numPr>
          <w:ilvl w:val="0"/>
          <w:numId w:val="12"/>
        </w:numPr>
        <w:autoSpaceDE w:val="0"/>
        <w:autoSpaceDN w:val="0"/>
        <w:adjustRightInd w:val="0"/>
        <w:spacing w:after="120"/>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Tirs sur des véhicules/ conducteurs : </w:t>
      </w:r>
      <w:r w:rsidR="00107410">
        <w:rPr>
          <w:rFonts w:ascii="Times New Roman" w:eastAsia="Arial" w:hAnsi="Times New Roman" w:cs="Times New Roman"/>
          <w:color w:val="000000" w:themeColor="text1"/>
          <w:sz w:val="24"/>
          <w:szCs w:val="24"/>
          <w:lang w:val="fr-CH"/>
        </w:rPr>
        <w:t>79</w:t>
      </w:r>
      <w:r w:rsidRPr="001D61F7">
        <w:rPr>
          <w:rFonts w:ascii="Times New Roman" w:eastAsia="Arial" w:hAnsi="Times New Roman" w:cs="Times New Roman"/>
          <w:color w:val="000000" w:themeColor="text1"/>
          <w:sz w:val="24"/>
          <w:szCs w:val="24"/>
          <w:lang w:val="fr-CH"/>
        </w:rPr>
        <w:t xml:space="preserve"> </w:t>
      </w:r>
    </w:p>
    <w:p w14:paraId="686D9DDF" w14:textId="2D7165FE" w:rsidR="00426A69" w:rsidRPr="001D61F7" w:rsidRDefault="00426A69" w:rsidP="00B6391A">
      <w:pPr>
        <w:pStyle w:val="ListParagraph"/>
        <w:widowControl w:val="0"/>
        <w:numPr>
          <w:ilvl w:val="0"/>
          <w:numId w:val="12"/>
        </w:numPr>
        <w:autoSpaceDE w:val="0"/>
        <w:autoSpaceDN w:val="0"/>
        <w:adjustRightInd w:val="0"/>
        <w:spacing w:after="120"/>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Tirs en direct d’individus dangereux : </w:t>
      </w:r>
      <w:r w:rsidR="00107410">
        <w:rPr>
          <w:rFonts w:ascii="Times New Roman" w:eastAsia="Arial" w:hAnsi="Times New Roman" w:cs="Times New Roman"/>
          <w:color w:val="000000" w:themeColor="text1"/>
          <w:sz w:val="24"/>
          <w:szCs w:val="24"/>
          <w:lang w:val="fr-CH"/>
        </w:rPr>
        <w:t>32</w:t>
      </w:r>
    </w:p>
    <w:p w14:paraId="0A34BDC9" w14:textId="6A87DAA1" w:rsidR="004F5076" w:rsidRDefault="00426A69" w:rsidP="00B6391A">
      <w:pPr>
        <w:pStyle w:val="ListParagraph"/>
        <w:widowControl w:val="0"/>
        <w:numPr>
          <w:ilvl w:val="0"/>
          <w:numId w:val="12"/>
        </w:numPr>
        <w:autoSpaceDE w:val="0"/>
        <w:autoSpaceDN w:val="0"/>
        <w:adjustRightInd w:val="0"/>
        <w:spacing w:after="120"/>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Tirs en direction air/ sol : 1</w:t>
      </w:r>
      <w:r w:rsidR="00107410">
        <w:rPr>
          <w:rFonts w:ascii="Times New Roman" w:eastAsia="Arial" w:hAnsi="Times New Roman" w:cs="Times New Roman"/>
          <w:color w:val="000000" w:themeColor="text1"/>
          <w:sz w:val="24"/>
          <w:szCs w:val="24"/>
          <w:lang w:val="fr-CH"/>
        </w:rPr>
        <w:t>5</w:t>
      </w:r>
      <w:r w:rsidR="00BE5A98">
        <w:rPr>
          <w:rStyle w:val="FootnoteReference"/>
          <w:rFonts w:ascii="Times New Roman" w:eastAsia="Arial" w:hAnsi="Times New Roman" w:cs="Times New Roman"/>
          <w:color w:val="000000" w:themeColor="text1"/>
          <w:sz w:val="24"/>
          <w:szCs w:val="24"/>
          <w:lang w:val="fr-CH"/>
        </w:rPr>
        <w:footnoteReference w:id="47"/>
      </w:r>
      <w:r w:rsidRPr="001D61F7">
        <w:rPr>
          <w:rFonts w:ascii="Times New Roman" w:eastAsia="Arial" w:hAnsi="Times New Roman" w:cs="Times New Roman"/>
          <w:color w:val="000000" w:themeColor="text1"/>
          <w:sz w:val="24"/>
          <w:szCs w:val="24"/>
          <w:lang w:val="fr-CH"/>
        </w:rPr>
        <w:t xml:space="preserve"> </w:t>
      </w:r>
    </w:p>
    <w:p w14:paraId="1AEA5D78" w14:textId="77777777" w:rsidR="00C84DF6" w:rsidRDefault="00E00F31" w:rsidP="00B6391A">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cs="Times New Roman"/>
          <w:color w:val="000000"/>
          <w:sz w:val="24"/>
          <w:szCs w:val="24"/>
          <w:lang w:val="fr-CH"/>
        </w:rPr>
        <w:t xml:space="preserve">Bien que 2023 soit l’année avec le plus faible nombre de tirs </w:t>
      </w:r>
      <w:r w:rsidR="00FD66A5" w:rsidRPr="00C84DF6">
        <w:rPr>
          <w:rFonts w:ascii="Times New Roman" w:eastAsia="Arial" w:hAnsi="Times New Roman" w:cs="Times New Roman"/>
          <w:color w:val="000000"/>
          <w:sz w:val="24"/>
          <w:szCs w:val="24"/>
          <w:lang w:val="fr-CH"/>
        </w:rPr>
        <w:t>déclarés à l’encontre de véhicules en mouvement depuis 2017 (-61% en 7 ans), les chiffres restent élevés.</w:t>
      </w:r>
    </w:p>
    <w:p w14:paraId="523644DB" w14:textId="06FC5F8D" w:rsidR="00C84DF6" w:rsidRDefault="00FD66A5" w:rsidP="00C84DF6">
      <w:pPr>
        <w:pStyle w:val="ListParagraph"/>
        <w:widowControl w:val="0"/>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cs="Times New Roman"/>
          <w:color w:val="000000"/>
          <w:sz w:val="24"/>
          <w:szCs w:val="24"/>
          <w:lang w:val="fr-CH"/>
        </w:rPr>
        <w:t xml:space="preserve"> </w:t>
      </w:r>
    </w:p>
    <w:p w14:paraId="08622252" w14:textId="77777777" w:rsidR="00C84DF6" w:rsidRPr="00C84DF6" w:rsidRDefault="003C243E" w:rsidP="00B6391A">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z w:val="24"/>
          <w:szCs w:val="24"/>
        </w:rPr>
        <w:t xml:space="preserve">Les premiers mois qui ont suivi l’entrée en vigueur de ce texte ont vu la multiplication de ces affaires : ainsi le 20 mai 2017 des gendarmes qui, après deux sommations, ont abattu un individu qui fonçait sur eux en voiture sur un étroit chemin de terre. Le 30 mai 2017, des policiers de la brigade anticriminalité (BAC) avaient également tiré sur un homme qui fonçait dans leur direction à bord d'un véhicule déclaré volé. </w:t>
      </w:r>
    </w:p>
    <w:p w14:paraId="37CB4788" w14:textId="77777777" w:rsidR="00C84DF6" w:rsidRPr="00C84DF6" w:rsidRDefault="00C84DF6" w:rsidP="00C84DF6">
      <w:pPr>
        <w:pStyle w:val="ListParagraph"/>
        <w:rPr>
          <w:rFonts w:ascii="Times New Roman" w:eastAsia="Arial" w:hAnsi="Times New Roman"/>
          <w:sz w:val="24"/>
          <w:szCs w:val="24"/>
        </w:rPr>
      </w:pPr>
    </w:p>
    <w:p w14:paraId="656FEAD8" w14:textId="77777777" w:rsidR="00C84DF6" w:rsidRPr="00C84DF6" w:rsidRDefault="00A631BE" w:rsidP="00B6391A">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z w:val="24"/>
          <w:szCs w:val="24"/>
        </w:rPr>
        <w:t>Le 19 août 2017, des agents de la police nationale ouvrent le feu sur un homme menaçant qui, refusant d'obtempérer, tentait de s'enfuir à bord de son véhicule.</w:t>
      </w:r>
      <w:r w:rsidRPr="00872E6C">
        <w:rPr>
          <w:vertAlign w:val="superscript"/>
        </w:rPr>
        <w:footnoteReference w:id="48"/>
      </w:r>
    </w:p>
    <w:p w14:paraId="119152ED" w14:textId="2942D94D" w:rsidR="00C84DF6" w:rsidRPr="00C84DF6" w:rsidRDefault="00C84DF6" w:rsidP="00C84DF6">
      <w:pPr>
        <w:pStyle w:val="ListParagraph"/>
        <w:rPr>
          <w:rFonts w:ascii="Times New Roman" w:eastAsia="Arial" w:hAnsi="Times New Roman"/>
          <w:sz w:val="24"/>
          <w:szCs w:val="24"/>
        </w:rPr>
      </w:pPr>
    </w:p>
    <w:p w14:paraId="20360645" w14:textId="77777777" w:rsidR="00C84DF6" w:rsidRPr="00C84DF6" w:rsidRDefault="008B799E"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z w:val="24"/>
          <w:szCs w:val="24"/>
        </w:rPr>
        <w:t xml:space="preserve">L’année 2022 avait par ailleurs été particulièrement meurtrière avec treize personnes tuées par des agents de la police nationale alors qu’ils se trouvaient dans un véhicule prenant la fuite après un ordre de s’arrêter selon les chiffres relevés par l’ACAT-France. En comparaison, en 2021 deux personnes avaient été tuées par la police dans ces mêmes circonstances, une seule en 2020. Fait inquiétant, parmi ces treize décès, cinq personnes n’étaient que simples passagers et ne représentaient donc pas un danger pour les agents tireurs. </w:t>
      </w:r>
    </w:p>
    <w:p w14:paraId="539B443B" w14:textId="77777777" w:rsidR="00C84DF6" w:rsidRPr="00C84DF6" w:rsidRDefault="00C84DF6" w:rsidP="00C84DF6">
      <w:pPr>
        <w:pStyle w:val="ListParagraph"/>
        <w:rPr>
          <w:rFonts w:ascii="Times New Roman" w:eastAsia="Arial" w:hAnsi="Times New Roman"/>
          <w:sz w:val="24"/>
          <w:szCs w:val="24"/>
        </w:rPr>
      </w:pPr>
    </w:p>
    <w:p w14:paraId="75785FA8" w14:textId="77777777" w:rsidR="00C84DF6" w:rsidRPr="00C84DF6" w:rsidRDefault="00430AFE"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z w:val="24"/>
          <w:szCs w:val="24"/>
        </w:rPr>
        <w:t>L’appréciation « </w:t>
      </w:r>
      <w:r w:rsidRPr="00C84DF6">
        <w:rPr>
          <w:rFonts w:ascii="Times New Roman" w:eastAsia="Arial" w:hAnsi="Times New Roman"/>
          <w:i/>
          <w:iCs/>
          <w:sz w:val="24"/>
          <w:szCs w:val="24"/>
        </w:rPr>
        <w:t>susceptible de perpétrer</w:t>
      </w:r>
      <w:r w:rsidRPr="00C84DF6">
        <w:rPr>
          <w:rFonts w:ascii="Times New Roman" w:eastAsia="Arial" w:hAnsi="Times New Roman"/>
          <w:sz w:val="24"/>
          <w:szCs w:val="24"/>
        </w:rPr>
        <w:t xml:space="preserve"> » soulève des interrogations sur le contrôle strict de son application. S’étant produit dans un cadre légal, il est difficile pour les victimes et leurs proches de contredire la version des forces de l’ordre et obtenir d’un juge qu’il se saisisse de ces affaires. L’exemple du cas de Nahel </w:t>
      </w:r>
      <w:proofErr w:type="spellStart"/>
      <w:r w:rsidRPr="00C84DF6">
        <w:rPr>
          <w:rFonts w:ascii="Times New Roman" w:eastAsia="Arial" w:hAnsi="Times New Roman"/>
          <w:sz w:val="24"/>
          <w:szCs w:val="24"/>
        </w:rPr>
        <w:t>Merzouk</w:t>
      </w:r>
      <w:proofErr w:type="spellEnd"/>
      <w:r w:rsidRPr="00C84DF6">
        <w:rPr>
          <w:rFonts w:ascii="Times New Roman" w:eastAsia="Arial" w:hAnsi="Times New Roman"/>
          <w:sz w:val="24"/>
          <w:szCs w:val="24"/>
        </w:rPr>
        <w:t xml:space="preserve"> permet d’illustrer les risques ici dénoncés. </w:t>
      </w:r>
    </w:p>
    <w:p w14:paraId="25FA93EA" w14:textId="77777777" w:rsidR="00C84DF6" w:rsidRPr="00C84DF6" w:rsidRDefault="00C84DF6" w:rsidP="00C84DF6">
      <w:pPr>
        <w:pStyle w:val="ListParagraph"/>
        <w:rPr>
          <w:rFonts w:ascii="Times New Roman" w:eastAsia="Arial" w:hAnsi="Times New Roman"/>
          <w:sz w:val="24"/>
          <w:szCs w:val="24"/>
        </w:rPr>
      </w:pPr>
    </w:p>
    <w:p w14:paraId="6195F0BD" w14:textId="77777777" w:rsidR="00C84DF6" w:rsidRPr="00C84DF6" w:rsidRDefault="00D22C8E"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z w:val="24"/>
          <w:szCs w:val="24"/>
        </w:rPr>
        <w:t xml:space="preserve">Dans cette affaire et selon la première version des policiers, une voiture aurait refusé un contrôle de police le 27 juin 2023 à Nanterre, puis aurait foncé sur un agent de la direction de l’ordre public et de la circulation (DOPC) qui n’aurait eu d’autres choix que d’ouvrir le feu sur le conducteur de la voiture, Nahel </w:t>
      </w:r>
      <w:proofErr w:type="spellStart"/>
      <w:r w:rsidRPr="00C84DF6">
        <w:rPr>
          <w:rFonts w:ascii="Times New Roman" w:eastAsia="Arial" w:hAnsi="Times New Roman"/>
          <w:sz w:val="24"/>
          <w:szCs w:val="24"/>
        </w:rPr>
        <w:t>Merzouk</w:t>
      </w:r>
      <w:proofErr w:type="spellEnd"/>
      <w:r w:rsidRPr="00C84DF6">
        <w:rPr>
          <w:rFonts w:ascii="Times New Roman" w:eastAsia="Arial" w:hAnsi="Times New Roman"/>
          <w:sz w:val="24"/>
          <w:szCs w:val="24"/>
        </w:rPr>
        <w:t xml:space="preserve"> alors âgé de 17 ans. Le conducteur décèdera une heure plus tard à la suite d'un tir unique qui a « </w:t>
      </w:r>
      <w:r w:rsidRPr="00C84DF6">
        <w:rPr>
          <w:rFonts w:ascii="Times New Roman" w:eastAsia="Arial" w:hAnsi="Times New Roman"/>
          <w:i/>
          <w:iCs/>
          <w:sz w:val="24"/>
          <w:szCs w:val="24"/>
        </w:rPr>
        <w:t>traversé le bras gauche et le thorax de gauche à droite</w:t>
      </w:r>
      <w:r w:rsidRPr="00C84DF6">
        <w:rPr>
          <w:rFonts w:ascii="Times New Roman" w:eastAsia="Arial" w:hAnsi="Times New Roman"/>
          <w:sz w:val="24"/>
          <w:szCs w:val="24"/>
        </w:rPr>
        <w:t xml:space="preserve"> » selon l’autopsie. Cette version invoquant la légitime défense et le refus d’obtempérer est rapidement reprise par les syndicats policiers et les médias. </w:t>
      </w:r>
    </w:p>
    <w:p w14:paraId="50416BEF" w14:textId="77777777" w:rsidR="00C84DF6" w:rsidRPr="00C84DF6" w:rsidRDefault="00C84DF6" w:rsidP="00C84DF6">
      <w:pPr>
        <w:pStyle w:val="ListParagraph"/>
        <w:rPr>
          <w:rFonts w:ascii="Times New Roman" w:eastAsia="Arial" w:hAnsi="Times New Roman"/>
          <w:spacing w:val="-3"/>
          <w:sz w:val="24"/>
          <w:szCs w:val="24"/>
        </w:rPr>
      </w:pPr>
    </w:p>
    <w:p w14:paraId="22289919" w14:textId="77777777" w:rsidR="00C84DF6" w:rsidRPr="00C84DF6" w:rsidRDefault="00135D4B"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pacing w:val="-3"/>
          <w:sz w:val="24"/>
          <w:szCs w:val="24"/>
        </w:rPr>
        <w:t>Mais une heure plus tard, une vidéo prise par une passante vient contredire la version policière. Cette vidéo montre qu’au moment du coup de feu les policiers se trouvent sur le côté du véhicule, non devant lui et qu’il ne se dirige pas vers eux et ne peut par conséquent pas les blesser. Le véhicule a ensuite terminé sa course dans un bloc de béton, quelques dizaines de mètres plus loin. Par la suite les expertises démontreront que le conducteur aurait redémarré volontairement la voiture, tandis que l’agent tireur ne se trouvait pas en situation de « </w:t>
      </w:r>
      <w:r w:rsidRPr="00C84DF6">
        <w:rPr>
          <w:rFonts w:ascii="Times New Roman" w:eastAsia="Arial" w:hAnsi="Times New Roman"/>
          <w:i/>
          <w:iCs/>
          <w:spacing w:val="-3"/>
          <w:sz w:val="24"/>
          <w:szCs w:val="24"/>
        </w:rPr>
        <w:t>danger imminent</w:t>
      </w:r>
      <w:r w:rsidRPr="00C84DF6">
        <w:rPr>
          <w:rFonts w:ascii="Times New Roman" w:eastAsia="Arial" w:hAnsi="Times New Roman"/>
          <w:spacing w:val="-3"/>
          <w:sz w:val="24"/>
          <w:szCs w:val="24"/>
        </w:rPr>
        <w:t> ».</w:t>
      </w:r>
    </w:p>
    <w:p w14:paraId="0A861E90" w14:textId="77777777" w:rsidR="00C84DF6" w:rsidRPr="00C84DF6" w:rsidRDefault="00C84DF6" w:rsidP="00C84DF6">
      <w:pPr>
        <w:pStyle w:val="ListParagraph"/>
        <w:rPr>
          <w:rFonts w:ascii="Times New Roman" w:eastAsia="Arial" w:hAnsi="Times New Roman"/>
          <w:spacing w:val="-3"/>
          <w:sz w:val="24"/>
          <w:szCs w:val="24"/>
        </w:rPr>
      </w:pPr>
    </w:p>
    <w:p w14:paraId="403CCF24" w14:textId="77777777" w:rsidR="00C84DF6" w:rsidRPr="00C84DF6" w:rsidRDefault="000B55B2"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pacing w:val="-3"/>
          <w:sz w:val="24"/>
          <w:szCs w:val="24"/>
        </w:rPr>
        <w:t>Sans cette vidéo et les témoignages des passagers de la voiture, il aurait été plus difficile pour la famille de la victime de déposer plainte et d’obtenir la vérité devant la justice. La parole des forces de l’ordre pesant toujours plus que la parole des victimes, l’agent arguant de la légitime défense aurait été certainement relaxé en l’espèce.</w:t>
      </w:r>
    </w:p>
    <w:p w14:paraId="77E381E0" w14:textId="77777777" w:rsidR="00C84DF6" w:rsidRPr="00C84DF6" w:rsidRDefault="00C84DF6" w:rsidP="00C84DF6">
      <w:pPr>
        <w:pStyle w:val="ListParagraph"/>
        <w:rPr>
          <w:rFonts w:ascii="Times New Roman" w:eastAsia="Arial" w:hAnsi="Times New Roman"/>
          <w:spacing w:val="-3"/>
          <w:sz w:val="24"/>
          <w:szCs w:val="24"/>
        </w:rPr>
      </w:pPr>
    </w:p>
    <w:p w14:paraId="0EF2A97E" w14:textId="56ED643A" w:rsidR="004F3EF3" w:rsidRPr="00C84DF6" w:rsidRDefault="00A01BA2" w:rsidP="00C84DF6">
      <w:pPr>
        <w:pStyle w:val="ListParagraph"/>
        <w:widowControl w:val="0"/>
        <w:numPr>
          <w:ilvl w:val="0"/>
          <w:numId w:val="35"/>
        </w:numPr>
        <w:autoSpaceDE w:val="0"/>
        <w:autoSpaceDN w:val="0"/>
        <w:adjustRightInd w:val="0"/>
        <w:spacing w:after="120"/>
        <w:ind w:left="0"/>
        <w:jc w:val="both"/>
        <w:rPr>
          <w:rFonts w:ascii="Times New Roman" w:eastAsia="Arial" w:hAnsi="Times New Roman" w:cs="Times New Roman"/>
          <w:color w:val="000000"/>
          <w:sz w:val="24"/>
          <w:szCs w:val="24"/>
          <w:lang w:val="fr-CH"/>
        </w:rPr>
      </w:pPr>
      <w:r w:rsidRPr="00C84DF6">
        <w:rPr>
          <w:rFonts w:ascii="Times New Roman" w:eastAsia="Arial" w:hAnsi="Times New Roman"/>
          <w:spacing w:val="-3"/>
          <w:sz w:val="24"/>
          <w:szCs w:val="24"/>
        </w:rPr>
        <w:t>Cette affaire, comme beaucoup d’autres, prouve qu’il est plus que jamais nécessaire d’examiner précisément les circonstances exactes dans lesquelles des policiers utilisent leur arme individuelle et d’encadrer les conditions de la légitime défense</w:t>
      </w:r>
      <w:r w:rsidR="00C84DF6">
        <w:rPr>
          <w:rFonts w:ascii="Times New Roman" w:eastAsia="Arial" w:hAnsi="Times New Roman"/>
          <w:spacing w:val="-3"/>
          <w:sz w:val="24"/>
          <w:szCs w:val="24"/>
        </w:rPr>
        <w:t>.</w:t>
      </w:r>
    </w:p>
    <w:p w14:paraId="07F895DF" w14:textId="77777777" w:rsidR="00001CE5" w:rsidRPr="00044905" w:rsidRDefault="00001CE5" w:rsidP="00B6391A">
      <w:pPr>
        <w:pStyle w:val="NormalWeb"/>
        <w:shd w:val="clear" w:color="auto" w:fill="FFFFFF" w:themeFill="background1"/>
        <w:spacing w:before="0" w:beforeAutospacing="0" w:after="120" w:afterAutospacing="0" w:line="276" w:lineRule="auto"/>
        <w:jc w:val="both"/>
        <w:rPr>
          <w:rFonts w:ascii="Times New Roman" w:eastAsia="Arial" w:hAnsi="Times New Roman"/>
          <w:spacing w:val="-3"/>
          <w:sz w:val="24"/>
          <w:szCs w:val="24"/>
        </w:rPr>
      </w:pPr>
    </w:p>
    <w:p w14:paraId="7DD64D75" w14:textId="645AC145" w:rsidR="004F3EF3" w:rsidRDefault="004F3EF3"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bookmarkStart w:id="23" w:name="_Hlk191650578"/>
    </w:p>
    <w:p w14:paraId="75F21E42" w14:textId="7FDC5B3C" w:rsidR="004F3EF3" w:rsidRDefault="004F3EF3"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12F555A2" w14:textId="77777777" w:rsidR="004F3EF3" w:rsidRDefault="004F3EF3"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650474A8" w14:textId="77777777" w:rsidR="004F3EF3" w:rsidRDefault="004F3EF3"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03444FF7" w14:textId="04971620" w:rsidR="00DA4FF4" w:rsidRDefault="00601F2E"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r>
        <w:rPr>
          <w:rFonts w:ascii="Times New Roman" w:hAnsi="Times New Roman"/>
          <w:noProof/>
          <w:sz w:val="24"/>
          <w:szCs w:val="24"/>
        </w:rPr>
        <mc:AlternateContent>
          <mc:Choice Requires="wps">
            <w:drawing>
              <wp:anchor distT="0" distB="0" distL="114300" distR="114300" simplePos="0" relativeHeight="251675648" behindDoc="0" locked="0" layoutInCell="1" allowOverlap="1" wp14:anchorId="5297D5DD" wp14:editId="469B01C9">
                <wp:simplePos x="0" y="0"/>
                <wp:positionH relativeFrom="margin">
                  <wp:posOffset>38100</wp:posOffset>
                </wp:positionH>
                <wp:positionV relativeFrom="paragraph">
                  <wp:posOffset>-151765</wp:posOffset>
                </wp:positionV>
                <wp:extent cx="5953125" cy="2657475"/>
                <wp:effectExtent l="0" t="0" r="28575" b="28575"/>
                <wp:wrapNone/>
                <wp:docPr id="1154658716" name="Rectangle 2"/>
                <wp:cNvGraphicFramePr/>
                <a:graphic xmlns:a="http://schemas.openxmlformats.org/drawingml/2006/main">
                  <a:graphicData uri="http://schemas.microsoft.com/office/word/2010/wordprocessingShape">
                    <wps:wsp>
                      <wps:cNvSpPr/>
                      <wps:spPr>
                        <a:xfrm>
                          <a:off x="0" y="0"/>
                          <a:ext cx="5953125" cy="2657475"/>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37DCF06B" w14:textId="77777777" w:rsidR="00DA4FF4" w:rsidRPr="008B6400" w:rsidRDefault="00DA4FF4" w:rsidP="00F02B1F">
                            <w:p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 xml:space="preserve">L’ACAT-France et la FIACAT invitent le Comité à recommander à la France de : </w:t>
                            </w:r>
                          </w:p>
                          <w:p w14:paraId="6E8C8ED8" w14:textId="77777777" w:rsidR="00DA4FF4" w:rsidRPr="008B6400" w:rsidRDefault="00DA4FF4" w:rsidP="00F02B1F">
                            <w:pPr>
                              <w:pStyle w:val="ListParagraph"/>
                              <w:numPr>
                                <w:ilvl w:val="0"/>
                                <w:numId w:val="32"/>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Instruire les autorités judiciaires et l’IGPN d’examiner précisément tous les éléments de preuve permettant de déterminer les circonstances exactes dans lesquelles les policiers utilisent leur arme individuelle, afin de s’assurer que ce recours est limité aux cas « d’absolue nécessité » tels que « des atteintes à leur vie ou à leur intégrité physique ou à celles d’autrui » ;</w:t>
                            </w:r>
                          </w:p>
                          <w:p w14:paraId="2C8290BC" w14:textId="77777777" w:rsidR="00F02B1F" w:rsidRPr="008B6400" w:rsidRDefault="00F02B1F" w:rsidP="00F02B1F">
                            <w:pPr>
                              <w:pStyle w:val="ListParagraph"/>
                              <w:jc w:val="both"/>
                              <w:rPr>
                                <w:rFonts w:ascii="Times New Roman" w:hAnsi="Times New Roman" w:cs="Times New Roman"/>
                                <w:b/>
                                <w:bCs/>
                                <w:color w:val="000000" w:themeColor="text1"/>
                                <w:sz w:val="24"/>
                                <w:szCs w:val="24"/>
                              </w:rPr>
                            </w:pPr>
                          </w:p>
                          <w:p w14:paraId="110EC4C7" w14:textId="2150F559" w:rsidR="00DA4FF4" w:rsidRPr="008B6400" w:rsidRDefault="00DA4FF4" w:rsidP="00F02B1F">
                            <w:pPr>
                              <w:pStyle w:val="ListParagraph"/>
                              <w:numPr>
                                <w:ilvl w:val="0"/>
                                <w:numId w:val="32"/>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Amender l’article L.435-1 du code de la sécurité intérieure en limitant le recours aux armes à feu aux situations de légitime défense afin de réduire, d’une part, les risques d’atteintes au droit à la vie ou à l’intégrité physique de civils et, d’autre part, une interprétation extensive de l’alinéa 4 au détriment des victimes.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5297D5DD" id="_x0000_s1033" style="position:absolute;left:0;text-align:left;margin-left:3pt;margin-top:-11.95pt;width:468.75pt;height:20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" fillcolor="#dceaf7 [351]" strokecolor="#042433" strokeweight="1pt">
                <v:textbox>
                  <w:txbxContent>
                    <w:p w14:paraId="37DCF06B" w14:textId="77777777" w:rsidR="00DA4FF4" w:rsidRPr="008B6400" w:rsidRDefault="00DA4FF4" w:rsidP="00F02B1F">
                      <w:p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 xml:space="preserve">L’ACAT-France et la FIACAT invitent le Comité à recommander à la France de : </w:t>
                      </w:r>
                    </w:p>
                    <w:p w14:paraId="6E8C8ED8" w14:textId="77777777" w:rsidR="00DA4FF4" w:rsidRPr="008B6400" w:rsidRDefault="00DA4FF4" w:rsidP="00F02B1F">
                      <w:pPr>
                        <w:pStyle w:val="Paragraphedeliste"/>
                        <w:numPr>
                          <w:ilvl w:val="0"/>
                          <w:numId w:val="32"/>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Instruire les autorités judiciaires et l’IGPN d’examiner précisément tous les éléments de preuve permettant de déterminer les circonstances exactes dans lesquelles les policiers utilisent leur arme individuelle, afin de s’assurer que ce recours est limité aux cas « d’absolue nécessité » tels que « des atteintes à leur vie ou à leur intégrité physique ou à celles d’autrui » ;</w:t>
                      </w:r>
                    </w:p>
                    <w:p w14:paraId="2C8290BC" w14:textId="77777777" w:rsidR="00F02B1F" w:rsidRPr="008B6400" w:rsidRDefault="00F02B1F" w:rsidP="00F02B1F">
                      <w:pPr>
                        <w:pStyle w:val="Paragraphedeliste"/>
                        <w:jc w:val="both"/>
                        <w:rPr>
                          <w:rFonts w:ascii="Times New Roman" w:hAnsi="Times New Roman" w:cs="Times New Roman"/>
                          <w:b/>
                          <w:bCs/>
                          <w:color w:val="000000" w:themeColor="text1"/>
                          <w:sz w:val="24"/>
                          <w:szCs w:val="24"/>
                        </w:rPr>
                      </w:pPr>
                    </w:p>
                    <w:p w14:paraId="110EC4C7" w14:textId="2150F559" w:rsidR="00DA4FF4" w:rsidRPr="008B6400" w:rsidRDefault="00DA4FF4" w:rsidP="00F02B1F">
                      <w:pPr>
                        <w:pStyle w:val="Paragraphedeliste"/>
                        <w:numPr>
                          <w:ilvl w:val="0"/>
                          <w:numId w:val="32"/>
                        </w:numPr>
                        <w:jc w:val="both"/>
                        <w:rPr>
                          <w:rFonts w:ascii="Times New Roman" w:hAnsi="Times New Roman" w:cs="Times New Roman"/>
                          <w:b/>
                          <w:bCs/>
                          <w:color w:val="000000" w:themeColor="text1"/>
                          <w:sz w:val="24"/>
                          <w:szCs w:val="24"/>
                        </w:rPr>
                      </w:pPr>
                      <w:r w:rsidRPr="008B6400">
                        <w:rPr>
                          <w:rFonts w:ascii="Times New Roman" w:hAnsi="Times New Roman" w:cs="Times New Roman"/>
                          <w:b/>
                          <w:bCs/>
                          <w:color w:val="000000" w:themeColor="text1"/>
                          <w:sz w:val="24"/>
                          <w:szCs w:val="24"/>
                        </w:rPr>
                        <w:t>Amender l’article L.435-1 du code de la sécurité intérieure en limitant le recours aux armes à feu aux situations de légitime défense afin de réduire, d’une part, les risques d’atteintes au droit à la vie ou à l’intégrité physique de civils et, d’autre part, une interprétation extensive de l’alinéa 4 au détriment des victimes.</w:t>
                      </w:r>
                    </w:p>
                  </w:txbxContent>
                </v:textbox>
                <w10:wrap anchorx="margin"/>
              </v:rect>
            </w:pict>
          </mc:Fallback>
        </mc:AlternateContent>
      </w:r>
    </w:p>
    <w:p w14:paraId="4F1AAFB8" w14:textId="77777777" w:rsidR="00DA4FF4" w:rsidRDefault="00DA4FF4"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58DC700E" w14:textId="77777777" w:rsidR="00DA4FF4" w:rsidRDefault="00DA4FF4"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3E228F2E" w14:textId="77777777" w:rsidR="00DA4FF4" w:rsidRDefault="00DA4FF4"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5CBE8553" w14:textId="77777777" w:rsidR="00DA4FF4" w:rsidRDefault="00DA4FF4"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6BDFB2D6" w14:textId="77777777" w:rsidR="00DA4FF4" w:rsidRDefault="00DA4FF4"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343E9A3F" w14:textId="77777777" w:rsidR="00601F2E" w:rsidRDefault="00601F2E"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3E18A8D8" w14:textId="77777777" w:rsidR="00601F2E" w:rsidRDefault="00601F2E"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44FAF17F" w14:textId="77777777" w:rsidR="00601F2E" w:rsidRDefault="00601F2E"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79B0D5DC" w14:textId="77777777" w:rsidR="00601F2E" w:rsidRDefault="00601F2E" w:rsidP="00B6391A">
      <w:pPr>
        <w:pStyle w:val="NormalWeb"/>
        <w:shd w:val="clear" w:color="auto" w:fill="FFFFFF" w:themeFill="background1"/>
        <w:spacing w:before="0" w:beforeAutospacing="0" w:after="120" w:afterAutospacing="0" w:line="276" w:lineRule="auto"/>
        <w:jc w:val="both"/>
        <w:rPr>
          <w:rFonts w:ascii="Times New Roman" w:eastAsia="Arial" w:hAnsi="Times New Roman"/>
          <w:b/>
          <w:bCs/>
          <w:sz w:val="24"/>
          <w:szCs w:val="24"/>
        </w:rPr>
      </w:pPr>
    </w:p>
    <w:p w14:paraId="302D4F64" w14:textId="6F7E1FF7" w:rsidR="002C18A9" w:rsidRPr="00674A01" w:rsidRDefault="00770328" w:rsidP="00B6391A">
      <w:pPr>
        <w:pStyle w:val="Heading2"/>
        <w:numPr>
          <w:ilvl w:val="0"/>
          <w:numId w:val="18"/>
        </w:numPr>
        <w:spacing w:after="120"/>
      </w:pPr>
      <w:bookmarkStart w:id="24" w:name="_Toc192599343"/>
      <w:bookmarkEnd w:id="23"/>
      <w:r>
        <w:t>Usage des armes de forces intermédiaires</w:t>
      </w:r>
      <w:bookmarkEnd w:id="24"/>
      <w:r>
        <w:t xml:space="preserve"> </w:t>
      </w:r>
    </w:p>
    <w:p w14:paraId="21D7E722" w14:textId="77777777" w:rsidR="00C84DF6" w:rsidRDefault="002C18A9" w:rsidP="00C84DF6">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hAnsi="Times New Roman" w:cs="Times New Roman"/>
          <w:sz w:val="24"/>
          <w:szCs w:val="24"/>
        </w:rPr>
        <w:t xml:space="preserve">Supposées </w:t>
      </w:r>
      <w:r w:rsidRPr="00C84DF6">
        <w:rPr>
          <w:rFonts w:ascii="Times New Roman" w:eastAsia="Arial" w:hAnsi="Times New Roman" w:cs="Times New Roman"/>
          <w:color w:val="000000"/>
          <w:sz w:val="24"/>
          <w:szCs w:val="24"/>
          <w:lang w:val="fr-CH"/>
        </w:rPr>
        <w:t xml:space="preserve">non létales ou « à létalité réduite », par opposition aux armes à feu, les armes dites « intermédiaires » se sont fortement développées ces dernières décennies. Afin de graduer l’usage de la force selon les situations, le droit international recommande en effet aux États de munir leurs forces d’un large éventail de moyens. Les Nations unies préconisent ainsi l’usage des armes non meurtrières neutralisantes « </w:t>
      </w:r>
      <w:r w:rsidRPr="00C84DF6">
        <w:rPr>
          <w:rFonts w:ascii="Times New Roman" w:eastAsia="Arial" w:hAnsi="Times New Roman" w:cs="Times New Roman"/>
          <w:i/>
          <w:iCs/>
          <w:color w:val="000000"/>
          <w:sz w:val="24"/>
          <w:szCs w:val="24"/>
          <w:lang w:val="fr-CH"/>
        </w:rPr>
        <w:t xml:space="preserve">en vue de limiter de plus en plus le recours aux moyens propres à </w:t>
      </w:r>
      <w:r w:rsidRPr="00C84DF6">
        <w:rPr>
          <w:rFonts w:ascii="Times New Roman" w:eastAsia="Arial" w:hAnsi="Times New Roman" w:cs="Times New Roman"/>
          <w:i/>
          <w:iCs/>
          <w:sz w:val="24"/>
          <w:szCs w:val="24"/>
          <w:lang w:val="fr-CH"/>
        </w:rPr>
        <w:t>causer la mort ou des blessures</w:t>
      </w:r>
      <w:r w:rsidRPr="00C84DF6">
        <w:rPr>
          <w:rFonts w:ascii="Times New Roman" w:eastAsia="Arial" w:hAnsi="Times New Roman" w:cs="Times New Roman"/>
          <w:sz w:val="24"/>
          <w:szCs w:val="24"/>
          <w:lang w:val="fr-CH"/>
        </w:rPr>
        <w:t> »</w:t>
      </w:r>
      <w:r w:rsidRPr="002C18A9">
        <w:rPr>
          <w:vertAlign w:val="superscript"/>
          <w:lang w:val="en-GB"/>
        </w:rPr>
        <w:footnoteReference w:id="49"/>
      </w:r>
      <w:r w:rsidRPr="00C84DF6">
        <w:rPr>
          <w:rFonts w:ascii="Times New Roman" w:eastAsia="Arial" w:hAnsi="Times New Roman" w:cs="Times New Roman"/>
          <w:sz w:val="24"/>
          <w:szCs w:val="24"/>
          <w:lang w:val="fr-CH"/>
        </w:rPr>
        <w:t xml:space="preserve"> et « </w:t>
      </w:r>
      <w:r w:rsidRPr="00C84DF6">
        <w:rPr>
          <w:rFonts w:ascii="Times New Roman" w:eastAsia="Arial" w:hAnsi="Times New Roman" w:cs="Times New Roman"/>
          <w:i/>
          <w:iCs/>
          <w:sz w:val="24"/>
          <w:szCs w:val="24"/>
          <w:lang w:val="fr-CH"/>
        </w:rPr>
        <w:t>lorsque l’usage légitime de la force ou des armes à feu est inévitable, les forces de l’ordre devraient s’efforcer de ne causer que le minimum de dommages et d’atteintes à l’intégrité physique et de respecter et de préserver la vie humaine</w:t>
      </w:r>
      <w:r w:rsidRPr="00C84DF6">
        <w:rPr>
          <w:rFonts w:ascii="Times New Roman" w:eastAsia="Arial" w:hAnsi="Times New Roman" w:cs="Times New Roman"/>
          <w:sz w:val="24"/>
          <w:szCs w:val="24"/>
          <w:lang w:val="fr-CH"/>
        </w:rPr>
        <w:t> »</w:t>
      </w:r>
      <w:r w:rsidRPr="002C18A9">
        <w:rPr>
          <w:vertAlign w:val="superscript"/>
          <w:lang w:val="fr-CH"/>
        </w:rPr>
        <w:footnoteReference w:id="50"/>
      </w:r>
      <w:r w:rsidRPr="00C84DF6">
        <w:rPr>
          <w:rFonts w:ascii="Times New Roman" w:eastAsia="Arial" w:hAnsi="Times New Roman" w:cs="Times New Roman"/>
          <w:sz w:val="24"/>
          <w:szCs w:val="24"/>
          <w:lang w:val="fr-CH"/>
        </w:rPr>
        <w:t>.</w:t>
      </w:r>
    </w:p>
    <w:p w14:paraId="7079397B" w14:textId="43A052F0" w:rsidR="00CB6006" w:rsidRPr="00C84DF6" w:rsidRDefault="00CB6006" w:rsidP="00C84DF6">
      <w:pPr>
        <w:pStyle w:val="ListParagraph"/>
        <w:numPr>
          <w:ilvl w:val="0"/>
          <w:numId w:val="35"/>
        </w:numPr>
        <w:spacing w:after="120"/>
        <w:ind w:left="0"/>
        <w:jc w:val="both"/>
        <w:rPr>
          <w:rFonts w:ascii="Times New Roman" w:eastAsia="Arial" w:hAnsi="Times New Roman" w:cs="Times New Roman"/>
          <w:sz w:val="24"/>
          <w:szCs w:val="24"/>
          <w:lang w:val="fr-CH"/>
        </w:rPr>
      </w:pPr>
      <w:r w:rsidRPr="00C84DF6">
        <w:rPr>
          <w:rFonts w:ascii="Times New Roman" w:hAnsi="Times New Roman" w:cs="Times New Roman"/>
          <w:sz w:val="24"/>
          <w:szCs w:val="24"/>
        </w:rPr>
        <w:t xml:space="preserve">Progressivement </w:t>
      </w:r>
      <w:r w:rsidRPr="00C84DF6">
        <w:rPr>
          <w:rFonts w:ascii="Times New Roman" w:eastAsia="Arial" w:hAnsi="Times New Roman" w:cs="Times New Roman"/>
          <w:color w:val="000000" w:themeColor="text1"/>
          <w:sz w:val="24"/>
          <w:szCs w:val="24"/>
          <w:lang w:val="fr-CH"/>
        </w:rPr>
        <w:t xml:space="preserve">se sont donc multipliées les armes intermédiaires, qui doivent permettre de répondre à des situations dans lesquelles la force physique n’est pas suffisante, sans pour autant que le recours aux armes à feu soit nécessaire. </w:t>
      </w:r>
      <w:r w:rsidRPr="00C84DF6">
        <w:rPr>
          <w:rFonts w:ascii="Times New Roman" w:eastAsia="Arial" w:hAnsi="Times New Roman" w:cs="Times New Roman"/>
          <w:color w:val="000000" w:themeColor="text1"/>
          <w:sz w:val="24"/>
          <w:szCs w:val="24"/>
        </w:rPr>
        <w:t>Quatre types d’armes intermédiaires sont répertoriés</w:t>
      </w:r>
      <w:r w:rsidR="00601F2E">
        <w:rPr>
          <w:rFonts w:ascii="Times New Roman" w:eastAsia="Arial" w:hAnsi="Times New Roman" w:cs="Times New Roman"/>
          <w:color w:val="000000" w:themeColor="text1"/>
          <w:sz w:val="24"/>
          <w:szCs w:val="24"/>
        </w:rPr>
        <w:t xml:space="preserve"> </w:t>
      </w:r>
      <w:r w:rsidRPr="00C84DF6">
        <w:rPr>
          <w:rFonts w:ascii="Times New Roman" w:eastAsia="Arial" w:hAnsi="Times New Roman" w:cs="Times New Roman"/>
          <w:color w:val="000000" w:themeColor="text1"/>
          <w:sz w:val="24"/>
          <w:szCs w:val="24"/>
        </w:rPr>
        <w:t>:</w:t>
      </w:r>
      <w:r w:rsidRPr="00C84DF6">
        <w:rPr>
          <w:rFonts w:ascii="Times New Roman" w:eastAsia="Arial" w:hAnsi="Times New Roman" w:cs="Times New Roman"/>
          <w:color w:val="000000" w:themeColor="text1"/>
          <w:sz w:val="24"/>
          <w:szCs w:val="24"/>
          <w:lang w:val="fr-CH"/>
        </w:rPr>
        <w:t xml:space="preserve"> </w:t>
      </w:r>
    </w:p>
    <w:p w14:paraId="759F0F5A" w14:textId="77777777" w:rsidR="00CB6006" w:rsidRPr="001D61F7" w:rsidRDefault="00CB6006" w:rsidP="00B6391A">
      <w:pPr>
        <w:pStyle w:val="ListParagraph"/>
        <w:widowControl w:val="0"/>
        <w:numPr>
          <w:ilvl w:val="0"/>
          <w:numId w:val="14"/>
        </w:numPr>
        <w:tabs>
          <w:tab w:val="left" w:pos="142"/>
        </w:tabs>
        <w:autoSpaceDE w:val="0"/>
        <w:autoSpaceDN w:val="0"/>
        <w:adjustRightInd w:val="0"/>
        <w:spacing w:after="120" w:line="276" w:lineRule="auto"/>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Les armes et les projectiles à impact cinétique, qui sont utilisés pour frapper le corps (par exemple lanceurs de balles de défense, canons à eau, matraques et bâtons de défense) ; </w:t>
      </w:r>
    </w:p>
    <w:p w14:paraId="721CF0A5" w14:textId="77777777" w:rsidR="00CB6006" w:rsidRPr="001D61F7" w:rsidRDefault="00CB6006" w:rsidP="00B6391A">
      <w:pPr>
        <w:pStyle w:val="ListParagraph"/>
        <w:widowControl w:val="0"/>
        <w:numPr>
          <w:ilvl w:val="0"/>
          <w:numId w:val="14"/>
        </w:numPr>
        <w:autoSpaceDE w:val="0"/>
        <w:autoSpaceDN w:val="0"/>
        <w:adjustRightInd w:val="0"/>
        <w:spacing w:after="120" w:line="276" w:lineRule="auto"/>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Les substances chimiques irritantes (fumigènes, lacrymogènes), dont l’objectif est de neutraliser la personne en provoquant une irritation sensorielle temporaire (irritation des yeux et des voies respiratoires) ; </w:t>
      </w:r>
    </w:p>
    <w:p w14:paraId="5B48DB02" w14:textId="77777777" w:rsidR="00CB6006" w:rsidRPr="001D61F7" w:rsidRDefault="00CB6006" w:rsidP="00B6391A">
      <w:pPr>
        <w:pStyle w:val="ListParagraph"/>
        <w:widowControl w:val="0"/>
        <w:numPr>
          <w:ilvl w:val="0"/>
          <w:numId w:val="14"/>
        </w:numPr>
        <w:tabs>
          <w:tab w:val="left" w:pos="142"/>
        </w:tabs>
        <w:autoSpaceDE w:val="0"/>
        <w:autoSpaceDN w:val="0"/>
        <w:adjustRightInd w:val="0"/>
        <w:spacing w:after="120" w:line="276" w:lineRule="auto"/>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Les armes à énergie dirigée (lasers, pistolets à impulsion électrique) ; </w:t>
      </w:r>
    </w:p>
    <w:p w14:paraId="357F49F3" w14:textId="70ABC37B" w:rsidR="0002618E" w:rsidRPr="0002618E" w:rsidRDefault="00CB6006" w:rsidP="00B6391A">
      <w:pPr>
        <w:pStyle w:val="ListParagraph"/>
        <w:widowControl w:val="0"/>
        <w:numPr>
          <w:ilvl w:val="0"/>
          <w:numId w:val="14"/>
        </w:numPr>
        <w:tabs>
          <w:tab w:val="left" w:pos="142"/>
        </w:tabs>
        <w:autoSpaceDE w:val="0"/>
        <w:autoSpaceDN w:val="0"/>
        <w:adjustRightInd w:val="0"/>
        <w:spacing w:after="120" w:line="276" w:lineRule="auto"/>
        <w:contextualSpacing w:val="0"/>
        <w:jc w:val="both"/>
        <w:rPr>
          <w:rFonts w:ascii="Times New Roman" w:eastAsia="Arial" w:hAnsi="Times New Roman" w:cs="Times New Roman"/>
          <w:color w:val="000000"/>
          <w:sz w:val="24"/>
          <w:szCs w:val="24"/>
          <w:lang w:val="fr-CH"/>
        </w:rPr>
      </w:pPr>
      <w:r w:rsidRPr="001D61F7">
        <w:rPr>
          <w:rFonts w:ascii="Times New Roman" w:eastAsia="Arial" w:hAnsi="Times New Roman" w:cs="Times New Roman"/>
          <w:color w:val="000000" w:themeColor="text1"/>
          <w:sz w:val="24"/>
          <w:szCs w:val="24"/>
          <w:lang w:val="fr-CH"/>
        </w:rPr>
        <w:t xml:space="preserve">Les composites (utilisant des technologies combinées). </w:t>
      </w:r>
    </w:p>
    <w:p w14:paraId="5E5A19E8" w14:textId="77777777" w:rsidR="0002618E" w:rsidRPr="0002618E" w:rsidRDefault="0002618E" w:rsidP="00B6391A">
      <w:pPr>
        <w:pStyle w:val="ListParagraph"/>
        <w:widowControl w:val="0"/>
        <w:tabs>
          <w:tab w:val="left" w:pos="142"/>
        </w:tabs>
        <w:autoSpaceDE w:val="0"/>
        <w:autoSpaceDN w:val="0"/>
        <w:adjustRightInd w:val="0"/>
        <w:spacing w:after="120" w:line="276" w:lineRule="auto"/>
        <w:contextualSpacing w:val="0"/>
        <w:jc w:val="both"/>
        <w:rPr>
          <w:rFonts w:ascii="Times New Roman" w:eastAsia="Arial" w:hAnsi="Times New Roman" w:cs="Times New Roman"/>
          <w:color w:val="000000"/>
          <w:sz w:val="24"/>
          <w:szCs w:val="24"/>
          <w:lang w:val="fr-CH"/>
        </w:rPr>
      </w:pPr>
    </w:p>
    <w:p w14:paraId="2594178C" w14:textId="77777777" w:rsidR="00C84DF6" w:rsidRDefault="00EA771C"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color w:val="000000" w:themeColor="text1"/>
          <w:sz w:val="24"/>
          <w:szCs w:val="24"/>
          <w:lang w:val="fr-CH"/>
        </w:rPr>
      </w:pPr>
      <w:r>
        <w:rPr>
          <w:rFonts w:ascii="Times New Roman" w:eastAsia="Arial" w:hAnsi="Times New Roman" w:cs="Times New Roman"/>
          <w:color w:val="000000" w:themeColor="text1"/>
          <w:sz w:val="24"/>
          <w:szCs w:val="24"/>
          <w:lang w:val="fr-CH"/>
        </w:rPr>
        <w:t xml:space="preserve">Destinées </w:t>
      </w:r>
      <w:r w:rsidRPr="001D61F7">
        <w:rPr>
          <w:rFonts w:ascii="Times New Roman" w:eastAsia="Arial" w:hAnsi="Times New Roman" w:cs="Times New Roman"/>
          <w:color w:val="000000" w:themeColor="text1"/>
          <w:sz w:val="24"/>
          <w:szCs w:val="24"/>
          <w:lang w:val="fr-CH"/>
        </w:rPr>
        <w:t xml:space="preserve">au départ à des situations extrêmes, et uniquement en cas de légitime défense, pour arrêter un individu particulièrement menaçant ou en cas de prise d’otage, le recours à ce type d’armes à eu tendance à se banaliser. Les conditions et les circonstances d’emploi des </w:t>
      </w:r>
      <w:r w:rsidR="008E0144">
        <w:rPr>
          <w:rFonts w:ascii="Times New Roman" w:eastAsia="Arial" w:hAnsi="Times New Roman" w:cs="Times New Roman"/>
          <w:color w:val="000000" w:themeColor="text1"/>
          <w:sz w:val="24"/>
          <w:szCs w:val="24"/>
          <w:lang w:val="fr-CH"/>
        </w:rPr>
        <w:t>armes intermédiaires</w:t>
      </w:r>
      <w:r w:rsidRPr="001D61F7">
        <w:rPr>
          <w:rFonts w:ascii="Times New Roman" w:eastAsia="Arial" w:hAnsi="Times New Roman" w:cs="Times New Roman"/>
          <w:color w:val="000000" w:themeColor="text1"/>
          <w:sz w:val="24"/>
          <w:szCs w:val="24"/>
          <w:lang w:val="fr-CH"/>
        </w:rPr>
        <w:t xml:space="preserve"> se sont fortement élargies, et leur utilisation s’est très fortement développée en France au cours des dernières décennies.</w:t>
      </w:r>
    </w:p>
    <w:p w14:paraId="44E89E6C" w14:textId="6D3F0447" w:rsidR="00EA771C" w:rsidRPr="00C84DF6" w:rsidRDefault="00737A62"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Si le développement des armes intermédiaires est préconisé pour permettre un usage proportionné de la force au regard de chaque situation, c’est à la condition toutefois que leur utilisation permette de « </w:t>
      </w:r>
      <w:r w:rsidRPr="00C84DF6">
        <w:rPr>
          <w:rFonts w:ascii="Times New Roman" w:eastAsia="Arial" w:hAnsi="Times New Roman" w:cs="Times New Roman"/>
          <w:i/>
          <w:iCs/>
          <w:color w:val="000000" w:themeColor="text1"/>
          <w:sz w:val="24"/>
          <w:szCs w:val="24"/>
          <w:lang w:val="fr-CH"/>
        </w:rPr>
        <w:t>réduire réellement, par rapport aux armes létales, les risques d’atteinte significative à l’intégrité des personnes à l’encontre desquelles elles sont utilisées</w:t>
      </w:r>
      <w:r w:rsidRPr="00C84DF6">
        <w:rPr>
          <w:rFonts w:ascii="Times New Roman" w:eastAsia="Arial" w:hAnsi="Times New Roman" w:cs="Times New Roman"/>
          <w:color w:val="000000" w:themeColor="text1"/>
          <w:sz w:val="24"/>
          <w:szCs w:val="24"/>
          <w:lang w:val="fr-CH"/>
        </w:rPr>
        <w:t xml:space="preserve"> » et qu’elles ne soient pas « </w:t>
      </w:r>
      <w:r w:rsidRPr="00C84DF6">
        <w:rPr>
          <w:rFonts w:ascii="Times New Roman" w:eastAsia="Arial" w:hAnsi="Times New Roman" w:cs="Times New Roman"/>
          <w:i/>
          <w:iCs/>
          <w:color w:val="000000" w:themeColor="text1"/>
          <w:sz w:val="24"/>
          <w:szCs w:val="24"/>
          <w:lang w:val="fr-CH"/>
        </w:rPr>
        <w:t>détournées de leur finalité et être utilisées alors que des moyens moins dangereux auraient dû l’être</w:t>
      </w:r>
      <w:r w:rsidRPr="00C84DF6">
        <w:rPr>
          <w:rFonts w:ascii="Times New Roman" w:eastAsia="Arial" w:hAnsi="Times New Roman" w:cs="Times New Roman"/>
          <w:color w:val="000000" w:themeColor="text1"/>
          <w:sz w:val="24"/>
          <w:szCs w:val="24"/>
          <w:lang w:val="fr-CH"/>
        </w:rPr>
        <w:t xml:space="preserve"> ». Pourtant, loin de limiter le recours aux moyens propres à causer la mort ou des blessures, certaines armes intermédiaires aggravent au contraire ce risque et sont plus susceptibles que d’autres de causer des blessures.</w:t>
      </w:r>
    </w:p>
    <w:p w14:paraId="4E92859E" w14:textId="77777777" w:rsidR="0002618E" w:rsidRPr="00284D21" w:rsidRDefault="0002618E" w:rsidP="00B6391A">
      <w:pPr>
        <w:pStyle w:val="ListParagraph"/>
        <w:widowControl w:val="0"/>
        <w:autoSpaceDE w:val="0"/>
        <w:autoSpaceDN w:val="0"/>
        <w:adjustRightInd w:val="0"/>
        <w:spacing w:after="120"/>
        <w:ind w:left="0"/>
        <w:contextualSpacing w:val="0"/>
        <w:jc w:val="both"/>
        <w:rPr>
          <w:rFonts w:ascii="Times New Roman" w:eastAsia="Arial" w:hAnsi="Times New Roman" w:cs="Times New Roman"/>
          <w:color w:val="000000"/>
          <w:sz w:val="24"/>
          <w:szCs w:val="24"/>
          <w:lang w:val="fr-CH"/>
        </w:rPr>
      </w:pPr>
    </w:p>
    <w:p w14:paraId="388FA5F9" w14:textId="0DBCF59A" w:rsidR="00C84DF6" w:rsidRPr="007906CD" w:rsidRDefault="003F7081" w:rsidP="007906CD">
      <w:pPr>
        <w:pStyle w:val="Heading3"/>
        <w:spacing w:after="120"/>
      </w:pPr>
      <w:bookmarkStart w:id="25" w:name="_Toc192599344"/>
      <w:r>
        <w:t xml:space="preserve">3.1 </w:t>
      </w:r>
      <w:r w:rsidR="006076A2">
        <w:t>Le lanceur de balles de défense</w:t>
      </w:r>
      <w:r w:rsidR="002E54C3">
        <w:t xml:space="preserve"> (LBD</w:t>
      </w:r>
      <w:r w:rsidR="00284D21">
        <w:t>)</w:t>
      </w:r>
      <w:bookmarkEnd w:id="25"/>
    </w:p>
    <w:p w14:paraId="3E3C1816" w14:textId="77777777" w:rsidR="00C84DF6" w:rsidRDefault="00A7090E"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Les lanceurs de balles de défense, tirent à la vitesse d'un train à grande vitesse des balles en caoutchouc, dont le diamètre est proche de celui d'une balle de golf. Ce type d’arme est conçu pour permettre la neutralisation, à moyenne distance, d’un ou de plusieurs individus jugés dangereux, sans avoir recours à des armes à feu. À dix mètres de distance, cette balle fait l’effet d’un coup de poing donné par un champion de boxe. Introduits en France en 1995 par Claude Guéant, alors directeur général de la Police nationale, les lanceurs de balles de défense étaient, au départ, réservés à des situations extrêmes. Ils sont progressivement devenus des armes de prédilection dans le cadre d’opérations de maintien de l’ordre et de violences urbaines.</w:t>
      </w:r>
    </w:p>
    <w:p w14:paraId="77B42E74" w14:textId="77777777" w:rsidR="00C84DF6" w:rsidRDefault="00C84DF6" w:rsidP="00C84DF6">
      <w:pPr>
        <w:pStyle w:val="ListParagraph"/>
        <w:spacing w:after="120"/>
        <w:ind w:left="0"/>
        <w:jc w:val="both"/>
        <w:rPr>
          <w:rFonts w:ascii="Times New Roman" w:eastAsia="Arial" w:hAnsi="Times New Roman" w:cs="Times New Roman"/>
          <w:color w:val="000000" w:themeColor="text1"/>
          <w:sz w:val="24"/>
          <w:szCs w:val="24"/>
          <w:lang w:val="fr-CH"/>
        </w:rPr>
      </w:pPr>
    </w:p>
    <w:p w14:paraId="0BD0F655" w14:textId="77777777" w:rsidR="00C84DF6" w:rsidRPr="00C84DF6" w:rsidRDefault="004C1CB6"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sz w:val="24"/>
          <w:szCs w:val="24"/>
          <w:lang w:val="fr-CH"/>
        </w:rPr>
        <w:t xml:space="preserve">Il existe actuellement en France deux types de lanceurs de balles de défense : le Flash-Ball </w:t>
      </w:r>
      <w:proofErr w:type="spellStart"/>
      <w:r w:rsidRPr="00C84DF6">
        <w:rPr>
          <w:rFonts w:ascii="Times New Roman" w:eastAsia="Arial" w:hAnsi="Times New Roman" w:cs="Times New Roman"/>
          <w:color w:val="000000"/>
          <w:sz w:val="24"/>
          <w:szCs w:val="24"/>
          <w:lang w:val="fr-CH"/>
        </w:rPr>
        <w:t>Superpro</w:t>
      </w:r>
      <w:proofErr w:type="spellEnd"/>
      <w:r w:rsidRPr="00C84DF6">
        <w:rPr>
          <w:rFonts w:ascii="Times New Roman" w:eastAsia="Arial" w:hAnsi="Times New Roman" w:cs="Times New Roman"/>
          <w:color w:val="000000"/>
          <w:position w:val="8"/>
          <w:sz w:val="24"/>
          <w:szCs w:val="24"/>
          <w:lang w:val="fr-CH"/>
        </w:rPr>
        <w:t xml:space="preserve"> </w:t>
      </w:r>
      <w:r w:rsidRPr="00C84DF6">
        <w:rPr>
          <w:rFonts w:ascii="Times New Roman" w:eastAsia="Arial" w:hAnsi="Times New Roman" w:cs="Times New Roman"/>
          <w:color w:val="000000"/>
          <w:sz w:val="24"/>
          <w:szCs w:val="24"/>
          <w:lang w:val="fr-CH"/>
        </w:rPr>
        <w:t xml:space="preserve">et le LBD 40x46. Le Flash-Ball </w:t>
      </w:r>
      <w:proofErr w:type="spellStart"/>
      <w:r w:rsidRPr="00C84DF6">
        <w:rPr>
          <w:rFonts w:ascii="Times New Roman" w:eastAsia="Arial" w:hAnsi="Times New Roman" w:cs="Times New Roman"/>
          <w:color w:val="000000"/>
          <w:sz w:val="24"/>
          <w:szCs w:val="24"/>
          <w:lang w:val="fr-CH"/>
        </w:rPr>
        <w:t>Superpro</w:t>
      </w:r>
      <w:proofErr w:type="spellEnd"/>
      <w:r w:rsidRPr="00C84DF6">
        <w:rPr>
          <w:rFonts w:ascii="Times New Roman" w:eastAsia="Arial" w:hAnsi="Times New Roman" w:cs="Times New Roman"/>
          <w:color w:val="000000"/>
          <w:sz w:val="24"/>
          <w:szCs w:val="24"/>
          <w:lang w:val="fr-CH"/>
        </w:rPr>
        <w:t>, produit par la société Vernay-Carron, est une arme de quatrième catégorie (désormais catégorie B3) dont sont dotées les forces de l’ordre depuis le début des années 2000. Les agents de police municipale peuvent être dotés de ce type d’arme. Le LBD 40x46</w:t>
      </w:r>
      <w:r w:rsidRPr="00C84DF6">
        <w:rPr>
          <w:rFonts w:ascii="Times New Roman" w:eastAsia="Arial" w:hAnsi="Times New Roman" w:cs="Times New Roman"/>
          <w:color w:val="000000"/>
          <w:position w:val="8"/>
          <w:sz w:val="24"/>
          <w:szCs w:val="24"/>
          <w:lang w:val="fr-CH"/>
        </w:rPr>
        <w:t xml:space="preserve"> </w:t>
      </w:r>
      <w:r w:rsidRPr="00C84DF6">
        <w:rPr>
          <w:rFonts w:ascii="Times New Roman" w:eastAsia="Arial" w:hAnsi="Times New Roman" w:cs="Times New Roman"/>
          <w:color w:val="000000"/>
          <w:sz w:val="24"/>
          <w:szCs w:val="24"/>
          <w:lang w:val="fr-CH"/>
        </w:rPr>
        <w:t xml:space="preserve">a quant à lui été introduit en France en 2009. Arme de première catégorie (A2) fabriquée par la société suisse </w:t>
      </w:r>
      <w:proofErr w:type="spellStart"/>
      <w:r w:rsidRPr="00C84DF6">
        <w:rPr>
          <w:rFonts w:ascii="Times New Roman" w:eastAsia="Arial" w:hAnsi="Times New Roman" w:cs="Times New Roman"/>
          <w:color w:val="000000"/>
          <w:sz w:val="24"/>
          <w:szCs w:val="24"/>
          <w:lang w:val="fr-CH"/>
        </w:rPr>
        <w:t>Brügger</w:t>
      </w:r>
      <w:proofErr w:type="spellEnd"/>
      <w:r w:rsidRPr="00C84DF6">
        <w:rPr>
          <w:rFonts w:ascii="Times New Roman" w:eastAsia="Arial" w:hAnsi="Times New Roman" w:cs="Times New Roman"/>
          <w:color w:val="000000"/>
          <w:sz w:val="24"/>
          <w:szCs w:val="24"/>
          <w:lang w:val="fr-CH"/>
        </w:rPr>
        <w:t xml:space="preserve"> &amp; </w:t>
      </w:r>
      <w:proofErr w:type="spellStart"/>
      <w:r w:rsidRPr="00C84DF6">
        <w:rPr>
          <w:rFonts w:ascii="Times New Roman" w:eastAsia="Arial" w:hAnsi="Times New Roman" w:cs="Times New Roman"/>
          <w:color w:val="000000"/>
          <w:sz w:val="24"/>
          <w:szCs w:val="24"/>
          <w:lang w:val="fr-CH"/>
        </w:rPr>
        <w:t>Thomet</w:t>
      </w:r>
      <w:proofErr w:type="spellEnd"/>
      <w:r w:rsidRPr="00C84DF6">
        <w:rPr>
          <w:rFonts w:ascii="Times New Roman" w:eastAsia="Arial" w:hAnsi="Times New Roman" w:cs="Times New Roman"/>
          <w:color w:val="000000"/>
          <w:sz w:val="24"/>
          <w:szCs w:val="24"/>
          <w:lang w:val="fr-CH"/>
        </w:rPr>
        <w:t>, elle est réputée pour être plus précise que son prédécesseur grâce à un système de visée électronique.</w:t>
      </w:r>
    </w:p>
    <w:p w14:paraId="6A86E4AE" w14:textId="77777777" w:rsidR="00C84DF6" w:rsidRPr="00C84DF6" w:rsidRDefault="00C84DF6" w:rsidP="00C84DF6">
      <w:pPr>
        <w:pStyle w:val="ListParagraph"/>
        <w:rPr>
          <w:rFonts w:ascii="Times New Roman" w:eastAsia="Arial" w:hAnsi="Times New Roman" w:cs="Times New Roman"/>
          <w:sz w:val="24"/>
          <w:szCs w:val="24"/>
          <w:lang w:val="fr-CH"/>
        </w:rPr>
      </w:pPr>
    </w:p>
    <w:p w14:paraId="65D0FEF6" w14:textId="77777777" w:rsidR="00C84DF6" w:rsidRPr="00C84DF6" w:rsidRDefault="00B457A0"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sz w:val="24"/>
          <w:szCs w:val="24"/>
          <w:lang w:val="fr-CH"/>
        </w:rPr>
        <w:t xml:space="preserve">Le caractère supposé non létal des lanceurs de balles de défense a rendu leur utilisation banale et courante. Ainsi, le nombre de tirs de lanceurs de balles de défenses en 2022 était de 7 020 pour la police nationale, chiffre constant depuis 2019 et le mouvement des gilets jaunes. Ce sont en grande majorité les effectifs intervenant en maintien de l’ordre qui sont le plus dotés de cette arme. Enfin, l’usage du Flash-Ball </w:t>
      </w:r>
      <w:proofErr w:type="spellStart"/>
      <w:r w:rsidRPr="00C84DF6">
        <w:rPr>
          <w:rFonts w:ascii="Times New Roman" w:eastAsia="Arial" w:hAnsi="Times New Roman" w:cs="Times New Roman"/>
          <w:sz w:val="24"/>
          <w:szCs w:val="24"/>
          <w:lang w:val="fr-CH"/>
        </w:rPr>
        <w:t>Superpro</w:t>
      </w:r>
      <w:proofErr w:type="spellEnd"/>
      <w:r w:rsidRPr="00C84DF6">
        <w:rPr>
          <w:rFonts w:ascii="Times New Roman" w:eastAsia="Arial" w:hAnsi="Times New Roman" w:cs="Times New Roman"/>
          <w:position w:val="8"/>
          <w:sz w:val="24"/>
          <w:szCs w:val="24"/>
          <w:lang w:val="fr-CH"/>
        </w:rPr>
        <w:t xml:space="preserve"> </w:t>
      </w:r>
      <w:r w:rsidRPr="00C84DF6">
        <w:rPr>
          <w:rFonts w:ascii="Times New Roman" w:eastAsia="Arial" w:hAnsi="Times New Roman" w:cs="Times New Roman"/>
          <w:sz w:val="24"/>
          <w:szCs w:val="24"/>
          <w:lang w:val="fr-CH"/>
        </w:rPr>
        <w:t>a décliné depuis 2010 au profit du LBD 40x46 qui est désormais majoritairement utilisé</w:t>
      </w:r>
      <w:r w:rsidRPr="00B457A0">
        <w:rPr>
          <w:vertAlign w:val="superscript"/>
          <w:lang w:val="en-GB"/>
        </w:rPr>
        <w:footnoteReference w:id="51"/>
      </w:r>
      <w:r w:rsidRPr="00C84DF6">
        <w:rPr>
          <w:rFonts w:ascii="Times New Roman" w:eastAsia="Arial" w:hAnsi="Times New Roman" w:cs="Times New Roman"/>
          <w:sz w:val="24"/>
          <w:szCs w:val="24"/>
          <w:lang w:val="fr-CH"/>
        </w:rPr>
        <w:t>.</w:t>
      </w:r>
    </w:p>
    <w:p w14:paraId="1DD22093" w14:textId="77777777" w:rsidR="00C84DF6" w:rsidRPr="00C84DF6" w:rsidRDefault="00C84DF6" w:rsidP="00C84DF6">
      <w:pPr>
        <w:pStyle w:val="ListParagraph"/>
        <w:rPr>
          <w:rFonts w:ascii="Times New Roman" w:hAnsi="Times New Roman" w:cs="Times New Roman"/>
          <w:sz w:val="24"/>
          <w:szCs w:val="24"/>
        </w:rPr>
      </w:pPr>
    </w:p>
    <w:p w14:paraId="6DB4EEB5" w14:textId="77777777" w:rsidR="00C84DF6" w:rsidRDefault="008C7F5A"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hAnsi="Times New Roman" w:cs="Times New Roman"/>
          <w:sz w:val="24"/>
          <w:szCs w:val="24"/>
        </w:rPr>
        <w:t xml:space="preserve">L’habilitation </w:t>
      </w:r>
      <w:r w:rsidRPr="00C84DF6">
        <w:rPr>
          <w:rFonts w:ascii="Times New Roman" w:eastAsia="Arial" w:hAnsi="Times New Roman" w:cs="Times New Roman"/>
          <w:color w:val="000000" w:themeColor="text1"/>
          <w:sz w:val="24"/>
          <w:szCs w:val="24"/>
          <w:lang w:val="fr-CH"/>
        </w:rPr>
        <w:t>à l’utilisation du LBD 40x46 est délivrée après six heures de formation et le tir de cinq cartouches pour la police et que quatre heures pour la gendarmerie à l’occasion d’une formation initiale, fondée à la fois sur un apprentissage théorique et pratique, donnant lieu à la délivrance d’un certificat d’aptitude à la pratique du tir. L’entrainement se fait sur des cibles fixes. L’agent bénéficie ensuite d’un « recyclage » tous les trois ans, lequel consiste en un tir de trois cartouches.</w:t>
      </w:r>
    </w:p>
    <w:p w14:paraId="51368EEA"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15AD5775" w14:textId="77777777" w:rsidR="00C84DF6" w:rsidRDefault="00807AEB"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L’emploi du LBD 40x46 est aujourd’hui encadré par une instruction du 2 août 2017, commune à la police et la gendarmerie nationales. Ainsi, l’utilisation de cette arme s’inscrit également dans les cas d’usage tels que définis par l’article L. 435-1 du code de la sécurité intérieure.</w:t>
      </w:r>
    </w:p>
    <w:p w14:paraId="3600F062"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2088554F" w14:textId="77777777" w:rsidR="00C84DF6" w:rsidRDefault="00A0486D" w:rsidP="306731B5">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L’utilisation du LBD 40x46 est également permise au titre de la riposte dans le cadre de la légitime défense des personnes et des biens et dans le cadre de l’état de nécessité. Le LBD peut par ailleurs être utilisé lors d’un attroupement, en cas de violences ou voies de fait commises à l’encontre des forces de l’ordre ou si elles ne peuvent défendre autrement le terrain qu’elles occupent, et ce sans qu’il soit fait usage des sommations.</w:t>
      </w:r>
    </w:p>
    <w:p w14:paraId="293D7119" w14:textId="77777777" w:rsidR="00C84DF6" w:rsidRPr="00C84DF6" w:rsidRDefault="00C84DF6" w:rsidP="00C84DF6">
      <w:pPr>
        <w:pStyle w:val="ListParagraph"/>
        <w:rPr>
          <w:rFonts w:ascii="Times New Roman" w:eastAsia="Arial" w:hAnsi="Times New Roman" w:cs="Times New Roman"/>
          <w:color w:val="000000"/>
          <w:sz w:val="24"/>
          <w:szCs w:val="24"/>
        </w:rPr>
      </w:pPr>
    </w:p>
    <w:p w14:paraId="230A2D48" w14:textId="77777777" w:rsidR="00C84DF6" w:rsidRPr="00C84DF6" w:rsidRDefault="00032A99"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sz w:val="24"/>
          <w:szCs w:val="24"/>
        </w:rPr>
        <w:t xml:space="preserve">Bien que des risques de blessure grave soient admis, les tirs à courte distance (inférieure à 10 mètres pour les LBD 40x46 et de 7 mètres pour les Flashball </w:t>
      </w:r>
      <w:proofErr w:type="spellStart"/>
      <w:r w:rsidRPr="00C84DF6">
        <w:rPr>
          <w:rFonts w:ascii="Times New Roman" w:eastAsia="Arial" w:hAnsi="Times New Roman" w:cs="Times New Roman"/>
          <w:color w:val="000000"/>
          <w:sz w:val="24"/>
          <w:szCs w:val="24"/>
        </w:rPr>
        <w:t>Superpro</w:t>
      </w:r>
      <w:proofErr w:type="spellEnd"/>
      <w:r w:rsidRPr="00C84DF6">
        <w:rPr>
          <w:rFonts w:ascii="Times New Roman" w:eastAsia="Arial" w:hAnsi="Times New Roman" w:cs="Times New Roman"/>
          <w:color w:val="000000"/>
          <w:sz w:val="24"/>
          <w:szCs w:val="24"/>
        </w:rPr>
        <w:t>) ne sont pas interdits. Seul le règlement de l’armement de dotation de la gendarmerie nationale rappelle que « </w:t>
      </w:r>
      <w:r w:rsidRPr="00C84DF6">
        <w:rPr>
          <w:rFonts w:ascii="Times New Roman" w:eastAsia="Arial" w:hAnsi="Times New Roman" w:cs="Times New Roman"/>
          <w:i/>
          <w:iCs/>
          <w:color w:val="000000"/>
          <w:sz w:val="24"/>
          <w:szCs w:val="24"/>
        </w:rPr>
        <w:t>le tir en deçà de 10 mètres, uniquement possible en cas de légitime défense, peut générer des risques lésionnels importants</w:t>
      </w:r>
      <w:r w:rsidRPr="00C84DF6">
        <w:rPr>
          <w:rFonts w:ascii="Times New Roman" w:eastAsia="Arial" w:hAnsi="Times New Roman" w:cs="Times New Roman"/>
          <w:color w:val="000000"/>
          <w:sz w:val="24"/>
          <w:szCs w:val="24"/>
        </w:rPr>
        <w:t> »</w:t>
      </w:r>
      <w:r w:rsidRPr="306731B5">
        <w:rPr>
          <w:vertAlign w:val="superscript"/>
        </w:rPr>
        <w:footnoteReference w:id="52"/>
      </w:r>
      <w:r w:rsidRPr="00C84DF6">
        <w:rPr>
          <w:rFonts w:ascii="Times New Roman" w:eastAsia="Arial" w:hAnsi="Times New Roman" w:cs="Times New Roman"/>
          <w:color w:val="000000"/>
          <w:sz w:val="24"/>
          <w:szCs w:val="24"/>
        </w:rPr>
        <w:t>.</w:t>
      </w:r>
    </w:p>
    <w:p w14:paraId="5877EE3C" w14:textId="77777777" w:rsidR="00C84DF6" w:rsidRPr="00C84DF6" w:rsidRDefault="00C84DF6" w:rsidP="00C84DF6">
      <w:pPr>
        <w:pStyle w:val="ListParagraph"/>
        <w:rPr>
          <w:rFonts w:ascii="Times New Roman" w:eastAsia="Arial" w:hAnsi="Times New Roman" w:cs="Times New Roman"/>
          <w:color w:val="000000"/>
          <w:sz w:val="24"/>
          <w:szCs w:val="24"/>
          <w:lang w:val="fr-CH"/>
        </w:rPr>
      </w:pPr>
    </w:p>
    <w:p w14:paraId="19091280" w14:textId="77777777" w:rsidR="00C84DF6" w:rsidRDefault="000558C7"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sz w:val="24"/>
          <w:szCs w:val="24"/>
          <w:lang w:val="fr-CH"/>
        </w:rPr>
        <w:t>Il incombe par ailleurs aux forces de l’ordre de s’assurer « </w:t>
      </w:r>
      <w:r w:rsidRPr="00C84DF6">
        <w:rPr>
          <w:rFonts w:ascii="Times New Roman" w:eastAsia="Arial" w:hAnsi="Times New Roman" w:cs="Times New Roman"/>
          <w:i/>
          <w:iCs/>
          <w:color w:val="000000"/>
          <w:sz w:val="24"/>
          <w:szCs w:val="24"/>
          <w:lang w:val="fr-CH"/>
        </w:rPr>
        <w:t>dans la mesure du possible</w:t>
      </w:r>
      <w:r w:rsidRPr="00C84DF6">
        <w:rPr>
          <w:rFonts w:ascii="Times New Roman" w:eastAsia="Arial" w:hAnsi="Times New Roman" w:cs="Times New Roman"/>
          <w:color w:val="000000"/>
          <w:sz w:val="24"/>
          <w:szCs w:val="24"/>
          <w:lang w:val="fr-CH"/>
        </w:rPr>
        <w:t> », selon les termes d’une instruction ministérielle, que des tiers sont hors d’atteinte, afin de limiter les risques de dommages collatéraux et d’anticiper les risques de chute de la personne visée. Les agents doivent également éviter de tirer sur des personnes manifestement vulnérables (personnes blessées, femmes enceintes, personnes en situation de handicap, enfants, personnes âgées, etc.) ou de viser la tête ou le torse. Les membres supérieurs ou inférieurs doivent être privilégiés pour le tir. Malgré des recommandations du Défenseur des droits</w:t>
      </w:r>
      <w:r w:rsidRPr="000558C7">
        <w:rPr>
          <w:vertAlign w:val="superscript"/>
          <w:lang w:val="fr-CH"/>
        </w:rPr>
        <w:footnoteReference w:id="53"/>
      </w:r>
      <w:r w:rsidRPr="00C84DF6">
        <w:rPr>
          <w:rFonts w:ascii="Times New Roman" w:eastAsia="Arial" w:hAnsi="Times New Roman" w:cs="Times New Roman"/>
          <w:color w:val="000000"/>
          <w:sz w:val="24"/>
          <w:szCs w:val="24"/>
          <w:lang w:val="fr-CH"/>
        </w:rPr>
        <w:t>, aucune interdiction de tirer dans les zones du cœur ou du triangle génital, pourtant qualifiées de zones à forts risques par des médecins et des experts, n’a été imposée.</w:t>
      </w:r>
    </w:p>
    <w:p w14:paraId="0C178155"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096599C9" w14:textId="77777777" w:rsidR="00C84DF6" w:rsidRDefault="007E50E8"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Après emploi, les policiers et les gendarmes sont de plus tenus de s’assurer de la santé de la personne et de la garder sous surveillance si elle a été interpellée. Enfin, il doit être systématiquement rendu compte de l’usage de cette arme. </w:t>
      </w:r>
    </w:p>
    <w:p w14:paraId="19C97090"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4B477C00" w14:textId="77777777" w:rsidR="00C84DF6" w:rsidRDefault="008610B8"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Les lanceurs de balles de caoutchouc sont à l’origine de nombreuses blessures graves irréversibles, voire de décès, recensés en Irlande du Nord dans les années 70, par les forces israéliennes au début des années 2000, et plus récemment aux États- Unis, en Suisse ou en Espagne. La France n’est pas en reste. L’ACAT-France dénombre, depuis 2005, au moins trois morts et soixante-et-onze blessés graves. Nombreuses sont les voix qui se sont élevées pour alerter sur les risques encourus par l’utilisation de ce type d’arme.</w:t>
      </w:r>
    </w:p>
    <w:p w14:paraId="106CED09"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17BEF052" w14:textId="77777777" w:rsidR="00C84DF6" w:rsidRDefault="002A39E3"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Alors que leurs effets étaient encore peu connus, les lanceurs de balles de défense ont fait couler beaucoup d’encre dans les revues scientifiques médicales. À travers le monde, des médecins se sont interrogés sur les effets de ce type de munitions sur le corps humain, notamment en cas d’impact à la tête. Une donnée est frappante : la multiplication des lésions oculaires irréversibles. Dans plusieurs cas, les balles en caoutchouc sont restées logées dans l’orbite oculaire des victimes. Nombreuses sont celles qui ont perdu un œil ou la vue. Les médecins semblent unanimes sur le fait qu’en raison des risques encourus, les tirs de balles en caoutchouc ne doivent absolument pas viser la tête.</w:t>
      </w:r>
    </w:p>
    <w:p w14:paraId="1316252D"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7CEA8312" w14:textId="77777777" w:rsidR="00C84DF6" w:rsidRDefault="00764D1E"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Nombreux sont ceux qui mettent également en garde contre les risques provoqués par un tir de balle en caoutchouc au niveau de l’abdomen et de la poitrine, notamment lorsqu’il s’agit de tirs à courte distance. </w:t>
      </w:r>
      <w:r w:rsidR="00065419" w:rsidRPr="00C84DF6">
        <w:rPr>
          <w:rFonts w:ascii="Times New Roman" w:eastAsia="Arial" w:hAnsi="Times New Roman" w:cs="Times New Roman"/>
          <w:color w:val="000000"/>
          <w:sz w:val="24"/>
          <w:szCs w:val="24"/>
          <w:lang w:val="fr-CH"/>
        </w:rPr>
        <w:t xml:space="preserve">D’après </w:t>
      </w:r>
      <w:r w:rsidR="00065419" w:rsidRPr="00C84DF6">
        <w:rPr>
          <w:rFonts w:ascii="Times New Roman" w:eastAsia="Arial" w:hAnsi="Times New Roman" w:cs="Times New Roman"/>
          <w:color w:val="000000" w:themeColor="text1"/>
          <w:sz w:val="24"/>
          <w:szCs w:val="24"/>
          <w:lang w:val="fr-CH"/>
        </w:rPr>
        <w:t xml:space="preserve">les études examinées et les médecins rencontrés par l’ACAT-France, des tirs atteignant une personne au thorax peuvent causer des blessures graves aux organes internes et provoquer des contusions pulmonaires sévères pouvant entraîner le décès. Forts de ces constats, certains médecins recommandent que toute blessure à la poitrine causée par une arme intermédiaire d’impact à projectiles soit considérée comme potentiellement létale. </w:t>
      </w:r>
    </w:p>
    <w:p w14:paraId="4BB33669" w14:textId="77777777" w:rsidR="00C84DF6" w:rsidRPr="00C84DF6" w:rsidRDefault="00C84DF6" w:rsidP="00C84DF6">
      <w:pPr>
        <w:pStyle w:val="ListParagraph"/>
        <w:rPr>
          <w:rFonts w:ascii="Times New Roman" w:eastAsia="Arial" w:hAnsi="Times New Roman" w:cs="Times New Roman"/>
          <w:color w:val="000000" w:themeColor="text1"/>
          <w:sz w:val="24"/>
          <w:szCs w:val="24"/>
          <w:lang w:val="fr-CH"/>
        </w:rPr>
      </w:pPr>
    </w:p>
    <w:p w14:paraId="01551AF3" w14:textId="77777777" w:rsidR="00C84DF6" w:rsidRDefault="00077930" w:rsidP="00C84DF6">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themeColor="text1"/>
          <w:sz w:val="24"/>
          <w:szCs w:val="24"/>
          <w:lang w:val="fr-CH"/>
        </w:rPr>
        <w:t xml:space="preserve">En juin 2015, le tribunal administratif de Nice a reconnu pour la première fois la dangerosité du flashball qu’il décrit comme une arme « </w:t>
      </w:r>
      <w:r w:rsidRPr="00C84DF6">
        <w:rPr>
          <w:rFonts w:ascii="Times New Roman" w:eastAsia="Arial" w:hAnsi="Times New Roman" w:cs="Times New Roman"/>
          <w:i/>
          <w:iCs/>
          <w:color w:val="000000" w:themeColor="text1"/>
          <w:sz w:val="24"/>
          <w:szCs w:val="24"/>
          <w:lang w:val="fr-CH"/>
        </w:rPr>
        <w:t>comportant des risques exceptionnels</w:t>
      </w:r>
      <w:r w:rsidRPr="00C84DF6">
        <w:rPr>
          <w:rFonts w:ascii="Times New Roman" w:eastAsia="Arial" w:hAnsi="Times New Roman" w:cs="Times New Roman"/>
          <w:color w:val="000000" w:themeColor="text1"/>
          <w:sz w:val="24"/>
          <w:szCs w:val="24"/>
          <w:lang w:val="fr-CH"/>
        </w:rPr>
        <w:t xml:space="preserve"> », et a mis en cause la responsabilité de l’État. Le juge administratif a considéré, concernant cette arme, que « </w:t>
      </w:r>
      <w:r w:rsidRPr="00C84DF6">
        <w:rPr>
          <w:rFonts w:ascii="Times New Roman" w:eastAsia="Arial" w:hAnsi="Times New Roman" w:cs="Times New Roman"/>
          <w:i/>
          <w:iCs/>
          <w:color w:val="000000" w:themeColor="text1"/>
          <w:sz w:val="24"/>
          <w:szCs w:val="24"/>
          <w:lang w:val="fr-CH"/>
        </w:rPr>
        <w:t>les dommages subis excèdent, par leur gravité, les charges qui doivent être normalement supportées par les particuliers en contrepartie des avantages résultant de ce service public</w:t>
      </w:r>
      <w:r w:rsidRPr="00C84DF6">
        <w:rPr>
          <w:rFonts w:ascii="Times New Roman" w:eastAsia="Arial" w:hAnsi="Times New Roman" w:cs="Times New Roman"/>
          <w:color w:val="000000" w:themeColor="text1"/>
          <w:sz w:val="24"/>
          <w:szCs w:val="24"/>
          <w:lang w:val="fr-CH"/>
        </w:rPr>
        <w:t xml:space="preserve"> ».</w:t>
      </w:r>
    </w:p>
    <w:p w14:paraId="38F79E97" w14:textId="77777777" w:rsidR="00C84DF6" w:rsidRPr="00C84DF6" w:rsidRDefault="00C84DF6" w:rsidP="00C84DF6">
      <w:pPr>
        <w:pStyle w:val="ListParagraph"/>
        <w:rPr>
          <w:rFonts w:ascii="Times New Roman" w:eastAsia="Arial" w:hAnsi="Times New Roman" w:cs="Times New Roman"/>
          <w:color w:val="000000"/>
          <w:sz w:val="24"/>
          <w:szCs w:val="24"/>
          <w:lang w:val="fr-CH"/>
        </w:rPr>
      </w:pPr>
    </w:p>
    <w:p w14:paraId="57442BC1" w14:textId="77777777" w:rsidR="00C84DF6" w:rsidRPr="00C84DF6" w:rsidRDefault="004F7BE2"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sz w:val="24"/>
          <w:szCs w:val="24"/>
          <w:lang w:val="fr-CH"/>
        </w:rPr>
        <w:t xml:space="preserve">Les autorités françaises ont la plus grande difficulté à reconnaître les dégâts occasionnés par ces armes. Le nombre de blessés est régulièrement sous-estimé. Un exemple frappant est celui du rapport relatif à l’emploi des munitions en opérations de maintien de l’ordre, remis au ministre de l’Intérieur par l’Inspection générale de la Gendarmerie nationale (IGGN) et l’IGPN après le drame de </w:t>
      </w:r>
      <w:proofErr w:type="spellStart"/>
      <w:r w:rsidRPr="00C84DF6">
        <w:rPr>
          <w:rFonts w:ascii="Times New Roman" w:eastAsia="Arial" w:hAnsi="Times New Roman" w:cs="Times New Roman"/>
          <w:color w:val="000000"/>
          <w:sz w:val="24"/>
          <w:szCs w:val="24"/>
          <w:lang w:val="fr-CH"/>
        </w:rPr>
        <w:t>Sivens</w:t>
      </w:r>
      <w:proofErr w:type="spellEnd"/>
      <w:r w:rsidRPr="004F7BE2">
        <w:rPr>
          <w:rFonts w:ascii="Times New Roman" w:eastAsia="Arial" w:hAnsi="Times New Roman" w:cs="Times New Roman"/>
          <w:color w:val="000000"/>
          <w:sz w:val="24"/>
          <w:szCs w:val="24"/>
          <w:vertAlign w:val="superscript"/>
          <w:lang w:val="en-GB"/>
        </w:rPr>
        <w:footnoteReference w:id="54"/>
      </w:r>
      <w:r w:rsidRPr="00C84DF6">
        <w:rPr>
          <w:rFonts w:ascii="Times New Roman" w:eastAsia="Arial" w:hAnsi="Times New Roman" w:cs="Times New Roman"/>
          <w:color w:val="000000"/>
          <w:sz w:val="24"/>
          <w:szCs w:val="24"/>
          <w:lang w:val="fr-CH"/>
        </w:rPr>
        <w:t>.</w:t>
      </w:r>
    </w:p>
    <w:p w14:paraId="6D4F5D9B" w14:textId="77777777" w:rsidR="00C84DF6" w:rsidRPr="00C84DF6" w:rsidRDefault="00C84DF6" w:rsidP="00C84DF6">
      <w:pPr>
        <w:pStyle w:val="ListParagraph"/>
        <w:rPr>
          <w:rFonts w:ascii="Times New Roman" w:hAnsi="Times New Roman" w:cs="Times New Roman"/>
          <w:sz w:val="24"/>
          <w:szCs w:val="24"/>
        </w:rPr>
      </w:pPr>
    </w:p>
    <w:p w14:paraId="40EC0D98" w14:textId="77777777" w:rsidR="00C84DF6" w:rsidRDefault="00B53175"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hAnsi="Times New Roman" w:cs="Times New Roman"/>
          <w:sz w:val="24"/>
          <w:szCs w:val="24"/>
        </w:rPr>
        <w:t xml:space="preserve">Examinant </w:t>
      </w:r>
      <w:r w:rsidRPr="00C84DF6">
        <w:rPr>
          <w:rFonts w:ascii="Times New Roman" w:eastAsia="Arial" w:hAnsi="Times New Roman" w:cs="Times New Roman"/>
          <w:color w:val="000000" w:themeColor="text1"/>
          <w:sz w:val="24"/>
          <w:szCs w:val="24"/>
          <w:lang w:val="fr-CH"/>
        </w:rPr>
        <w:t xml:space="preserve">les armes et les munitions utilisées dans le cadre d’opérations de maintien de l’ordre, le rapport cite l’exemple de l’Espagne, où, « </w:t>
      </w:r>
      <w:r w:rsidRPr="00C84DF6">
        <w:rPr>
          <w:rFonts w:ascii="Times New Roman" w:eastAsia="Arial" w:hAnsi="Times New Roman" w:cs="Times New Roman"/>
          <w:i/>
          <w:iCs/>
          <w:color w:val="000000" w:themeColor="text1"/>
          <w:sz w:val="24"/>
          <w:szCs w:val="24"/>
          <w:lang w:val="fr-CH"/>
        </w:rPr>
        <w:t xml:space="preserve">au cours des dix dernières années, on dénombre 18 blessés graves à cause des balles de gomme </w:t>
      </w:r>
      <w:r w:rsidRPr="00C84DF6">
        <w:rPr>
          <w:rFonts w:ascii="Times New Roman" w:eastAsia="Arial" w:hAnsi="Times New Roman" w:cs="Times New Roman"/>
          <w:color w:val="000000" w:themeColor="text1"/>
          <w:sz w:val="24"/>
          <w:szCs w:val="24"/>
          <w:lang w:val="fr-CH"/>
        </w:rPr>
        <w:t xml:space="preserve">», précisant que « </w:t>
      </w:r>
      <w:r w:rsidRPr="00C84DF6">
        <w:rPr>
          <w:rFonts w:ascii="Times New Roman" w:eastAsia="Arial" w:hAnsi="Times New Roman" w:cs="Times New Roman"/>
          <w:i/>
          <w:iCs/>
          <w:color w:val="000000" w:themeColor="text1"/>
          <w:sz w:val="24"/>
          <w:szCs w:val="24"/>
          <w:lang w:val="fr-CH"/>
        </w:rPr>
        <w:t>la plupart des blessures concernent la perte d’un œil, (...) des cas de traumatismes crâniens, de fractures cervicales ou de lésions internes</w:t>
      </w:r>
      <w:r w:rsidRPr="00C84DF6">
        <w:rPr>
          <w:rFonts w:ascii="Times New Roman" w:eastAsia="Arial" w:hAnsi="Times New Roman" w:cs="Times New Roman"/>
          <w:color w:val="000000" w:themeColor="text1"/>
          <w:sz w:val="24"/>
          <w:szCs w:val="24"/>
          <w:lang w:val="fr-CH"/>
        </w:rPr>
        <w:t xml:space="preserve"> ». À aucun moment pourtant, les deux Inspections ne prennent la peine de mentionner les nombreuses victimes françaises de lanceurs de balles de défense.</w:t>
      </w:r>
    </w:p>
    <w:p w14:paraId="3AD251F7" w14:textId="77777777" w:rsidR="00C84DF6" w:rsidRPr="00C84DF6" w:rsidRDefault="00C84DF6" w:rsidP="00C84DF6">
      <w:pPr>
        <w:pStyle w:val="ListParagraph"/>
        <w:rPr>
          <w:rFonts w:ascii="Times New Roman" w:hAnsi="Times New Roman" w:cs="Times New Roman"/>
          <w:sz w:val="24"/>
          <w:szCs w:val="24"/>
        </w:rPr>
      </w:pPr>
    </w:p>
    <w:p w14:paraId="5CC3113C" w14:textId="77777777" w:rsidR="00C84DF6" w:rsidRPr="00C84DF6" w:rsidRDefault="008D01F7"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hAnsi="Times New Roman" w:cs="Times New Roman"/>
          <w:sz w:val="24"/>
          <w:szCs w:val="24"/>
        </w:rPr>
        <w:t xml:space="preserve">A défaut </w:t>
      </w:r>
      <w:r w:rsidRPr="00C84DF6">
        <w:rPr>
          <w:rFonts w:ascii="Times New Roman" w:eastAsia="Arial" w:hAnsi="Times New Roman" w:cs="Times New Roman"/>
          <w:color w:val="000000"/>
          <w:sz w:val="24"/>
          <w:szCs w:val="24"/>
          <w:lang w:val="fr-CH"/>
        </w:rPr>
        <w:t xml:space="preserve">de données officielles, l’ACAT-France a tenté de recenser le nombre de personnes blessées gravement par des tirs de Flash-Ball </w:t>
      </w:r>
      <w:proofErr w:type="spellStart"/>
      <w:r w:rsidRPr="00C84DF6">
        <w:rPr>
          <w:rFonts w:ascii="Times New Roman" w:eastAsia="Arial" w:hAnsi="Times New Roman" w:cs="Times New Roman"/>
          <w:color w:val="000000"/>
          <w:sz w:val="24"/>
          <w:szCs w:val="24"/>
          <w:lang w:val="fr-CH"/>
        </w:rPr>
        <w:t>Superpro</w:t>
      </w:r>
      <w:proofErr w:type="spellEnd"/>
      <w:r w:rsidRPr="00C84DF6">
        <w:rPr>
          <w:rFonts w:ascii="Times New Roman" w:eastAsia="Arial" w:hAnsi="Times New Roman" w:cs="Times New Roman"/>
          <w:color w:val="000000"/>
          <w:position w:val="8"/>
          <w:sz w:val="24"/>
          <w:szCs w:val="24"/>
          <w:lang w:val="fr-CH"/>
        </w:rPr>
        <w:t xml:space="preserve"> </w:t>
      </w:r>
      <w:r w:rsidRPr="00C84DF6">
        <w:rPr>
          <w:rFonts w:ascii="Times New Roman" w:eastAsia="Arial" w:hAnsi="Times New Roman" w:cs="Times New Roman"/>
          <w:color w:val="000000"/>
          <w:sz w:val="24"/>
          <w:szCs w:val="24"/>
          <w:lang w:val="fr-CH"/>
        </w:rPr>
        <w:t>ou de LBD 40x46. Ces données, obtenues par recoupement d’informations, sont loin d’être exhaustives. : entre 2005 et 2023, l’ACAT-France a recensé au moins 71 personnes grièvement blessées, pour la plupart au visage. 48 ont été éborgnées ou ont perdu l’usage d’un œil. Par ailleurs, un homme atteint par un tir au thorax est décédé en juillet 2023. D’après les observations de l’ACAT-France, les victimes de ces armes sont souvent très jeunes : un tiers étaient mineures lorsqu’elles ont été mutilées. Une victime sur deux n’avait pas 25 ans. Parmi celles-ci, deux enfants étaient âgés de neuf ans. La majorité de ces situations sont survenues lors de manifestations et d’opérations de maintien de l’ordre</w:t>
      </w:r>
      <w:r w:rsidRPr="008D01F7">
        <w:rPr>
          <w:vertAlign w:val="superscript"/>
          <w:lang w:val="en-GB"/>
        </w:rPr>
        <w:footnoteReference w:id="55"/>
      </w:r>
      <w:r w:rsidRPr="00C84DF6">
        <w:rPr>
          <w:rFonts w:ascii="Times New Roman" w:eastAsia="Arial" w:hAnsi="Times New Roman" w:cs="Times New Roman"/>
          <w:color w:val="000000"/>
          <w:sz w:val="24"/>
          <w:szCs w:val="24"/>
          <w:lang w:val="fr-CH"/>
        </w:rPr>
        <w:t>.</w:t>
      </w:r>
    </w:p>
    <w:p w14:paraId="4279186B" w14:textId="77777777" w:rsidR="00C84DF6" w:rsidRPr="00C84DF6" w:rsidRDefault="00C84DF6" w:rsidP="00C84DF6">
      <w:pPr>
        <w:pStyle w:val="ListParagraph"/>
        <w:rPr>
          <w:rFonts w:ascii="Times New Roman" w:eastAsia="Arial" w:hAnsi="Times New Roman" w:cs="Times New Roman"/>
          <w:color w:val="000000"/>
          <w:sz w:val="24"/>
          <w:szCs w:val="24"/>
          <w:lang w:val="fr-CH"/>
        </w:rPr>
      </w:pPr>
    </w:p>
    <w:p w14:paraId="7AFAEE15" w14:textId="77777777" w:rsidR="00C84DF6" w:rsidRPr="00C84DF6" w:rsidRDefault="0057249F"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eastAsia="Arial" w:hAnsi="Times New Roman" w:cs="Times New Roman"/>
          <w:color w:val="000000"/>
          <w:sz w:val="24"/>
          <w:szCs w:val="24"/>
          <w:lang w:val="fr-CH"/>
        </w:rPr>
        <w:t xml:space="preserve">Le Défenseur des droits </w:t>
      </w:r>
      <w:r w:rsidRPr="00C84DF6">
        <w:rPr>
          <w:rFonts w:ascii="Times New Roman" w:eastAsia="Arial" w:hAnsi="Times New Roman" w:cs="Times New Roman"/>
          <w:sz w:val="24"/>
          <w:szCs w:val="24"/>
          <w:lang w:val="fr-CH"/>
        </w:rPr>
        <w:t>a rendu une décision</w:t>
      </w:r>
      <w:r w:rsidRPr="00206A34">
        <w:rPr>
          <w:vertAlign w:val="superscript"/>
          <w:lang w:val="fr-CH"/>
        </w:rPr>
        <w:footnoteReference w:id="56"/>
      </w:r>
      <w:r w:rsidRPr="00C84DF6">
        <w:rPr>
          <w:rFonts w:ascii="Times New Roman" w:eastAsia="Arial" w:hAnsi="Times New Roman" w:cs="Times New Roman"/>
          <w:sz w:val="24"/>
          <w:szCs w:val="24"/>
          <w:lang w:val="fr-CH"/>
        </w:rPr>
        <w:t xml:space="preserve"> concernant les circonstances dans lesquelles un jeune a été grièvement blessé à la tête par un tir de LBD, à Strasbourg en 2019 et a été saisi par 45 personnes invoquant avoir été́ blessées par des tirs de LBD au cours des manifestations qui se sont déroulées depuis le début du mouvement dit des « gilets jaunes ».</w:t>
      </w:r>
    </w:p>
    <w:p w14:paraId="078CA760" w14:textId="77777777" w:rsidR="00C84DF6" w:rsidRPr="00C84DF6" w:rsidRDefault="00C84DF6" w:rsidP="00C84DF6">
      <w:pPr>
        <w:pStyle w:val="ListParagraph"/>
        <w:rPr>
          <w:rFonts w:ascii="Times New Roman" w:hAnsi="Times New Roman" w:cs="Times New Roman"/>
          <w:sz w:val="24"/>
          <w:szCs w:val="24"/>
        </w:rPr>
      </w:pPr>
    </w:p>
    <w:p w14:paraId="31D61C63" w14:textId="2EC948CF" w:rsidR="008D01F7" w:rsidRPr="007906CD" w:rsidRDefault="00C66222" w:rsidP="00B6391A">
      <w:pPr>
        <w:pStyle w:val="ListParagraph"/>
        <w:numPr>
          <w:ilvl w:val="0"/>
          <w:numId w:val="35"/>
        </w:numPr>
        <w:spacing w:after="120"/>
        <w:ind w:left="0"/>
        <w:jc w:val="both"/>
        <w:rPr>
          <w:rFonts w:ascii="Times New Roman" w:eastAsia="Arial" w:hAnsi="Times New Roman" w:cs="Times New Roman"/>
          <w:color w:val="000000" w:themeColor="text1"/>
          <w:sz w:val="24"/>
          <w:szCs w:val="24"/>
          <w:lang w:val="fr-CH"/>
        </w:rPr>
      </w:pPr>
      <w:r w:rsidRPr="00C84DF6">
        <w:rPr>
          <w:rFonts w:ascii="Times New Roman" w:hAnsi="Times New Roman" w:cs="Times New Roman"/>
          <w:sz w:val="24"/>
          <w:szCs w:val="24"/>
        </w:rPr>
        <w:t xml:space="preserve">Il </w:t>
      </w:r>
      <w:r w:rsidRPr="00C84DF6">
        <w:rPr>
          <w:rFonts w:ascii="Times New Roman" w:eastAsia="Arial" w:hAnsi="Times New Roman" w:cs="Times New Roman"/>
          <w:sz w:val="24"/>
          <w:szCs w:val="24"/>
          <w:lang w:val="fr-CH"/>
        </w:rPr>
        <w:t xml:space="preserve">importe également de préciser que l’intensification des mouvements sociaux et des manifestations pacifiques et la banalisation de l’utilisation des armes susmentionnées lors de ces mouvements par les forces de l’ordre avec des conséquences sérieuses et irréversibles sur l’intégrité physique des victimes, a conduit la Rapporteuse spéciale des Nations unies sur la torture, Alice Jill Edwards, </w:t>
      </w:r>
      <w:r w:rsidR="009E74B3" w:rsidRPr="00C84DF6">
        <w:rPr>
          <w:rFonts w:ascii="Times New Roman" w:eastAsia="Arial" w:hAnsi="Times New Roman" w:cs="Times New Roman"/>
          <w:sz w:val="24"/>
          <w:szCs w:val="24"/>
          <w:lang w:val="fr-CH"/>
        </w:rPr>
        <w:t>à</w:t>
      </w:r>
      <w:r w:rsidRPr="00C84DF6">
        <w:rPr>
          <w:rFonts w:ascii="Times New Roman" w:eastAsia="Arial" w:hAnsi="Times New Roman" w:cs="Times New Roman"/>
          <w:sz w:val="24"/>
          <w:szCs w:val="24"/>
          <w:lang w:val="fr-CH"/>
        </w:rPr>
        <w:t xml:space="preserve"> identifier une liste de biens dont elle a déterminé qu’ils sont intrinsèquement cruels, inhumains ou dégradants et qui, en tant que tels, sont considérés comme interdits parmi lesquels figurent des « </w:t>
      </w:r>
      <w:r w:rsidRPr="00C84DF6">
        <w:rPr>
          <w:rFonts w:ascii="Times New Roman" w:eastAsia="Arial" w:hAnsi="Times New Roman" w:cs="Times New Roman"/>
          <w:i/>
          <w:iCs/>
          <w:sz w:val="24"/>
          <w:szCs w:val="24"/>
          <w:lang w:val="fr-CH"/>
        </w:rPr>
        <w:t xml:space="preserve">matraques, des boucliers et des vêtements blindés munis de pointes, des bâtons et des gants lestés, des fouets et des </w:t>
      </w:r>
      <w:proofErr w:type="spellStart"/>
      <w:r w:rsidRPr="00C84DF6">
        <w:rPr>
          <w:rFonts w:ascii="Times New Roman" w:eastAsia="Arial" w:hAnsi="Times New Roman" w:cs="Times New Roman"/>
          <w:i/>
          <w:iCs/>
          <w:sz w:val="24"/>
          <w:szCs w:val="24"/>
          <w:lang w:val="fr-CH"/>
        </w:rPr>
        <w:t>sjamboks</w:t>
      </w:r>
      <w:proofErr w:type="spellEnd"/>
      <w:r w:rsidRPr="00C84DF6">
        <w:rPr>
          <w:rFonts w:ascii="Times New Roman" w:eastAsia="Arial" w:hAnsi="Times New Roman" w:cs="Times New Roman"/>
          <w:i/>
          <w:iCs/>
          <w:sz w:val="24"/>
          <w:szCs w:val="24"/>
          <w:lang w:val="fr-CH"/>
        </w:rPr>
        <w:t xml:space="preserve">, des </w:t>
      </w:r>
      <w:proofErr w:type="spellStart"/>
      <w:r w:rsidRPr="00C84DF6">
        <w:rPr>
          <w:rFonts w:ascii="Times New Roman" w:eastAsia="Arial" w:hAnsi="Times New Roman" w:cs="Times New Roman"/>
          <w:i/>
          <w:iCs/>
          <w:sz w:val="24"/>
          <w:szCs w:val="24"/>
          <w:lang w:val="fr-CH"/>
        </w:rPr>
        <w:t>lathis</w:t>
      </w:r>
      <w:proofErr w:type="spellEnd"/>
      <w:r w:rsidRPr="00C84DF6">
        <w:rPr>
          <w:rFonts w:ascii="Times New Roman" w:eastAsia="Arial" w:hAnsi="Times New Roman" w:cs="Times New Roman"/>
          <w:i/>
          <w:iCs/>
          <w:sz w:val="24"/>
          <w:szCs w:val="24"/>
          <w:lang w:val="fr-CH"/>
        </w:rPr>
        <w:t xml:space="preserve">, </w:t>
      </w:r>
      <w:r w:rsidRPr="00C84DF6">
        <w:rPr>
          <w:rFonts w:ascii="Times New Roman" w:eastAsia="Arial" w:hAnsi="Times New Roman" w:cs="Times New Roman"/>
          <w:b/>
          <w:bCs/>
          <w:i/>
          <w:iCs/>
          <w:sz w:val="24"/>
          <w:szCs w:val="24"/>
          <w:lang w:val="fr-CH"/>
        </w:rPr>
        <w:t>des munitions contenant de multiples projectiles non métalliques à impact cinétique et des lanceurs automatiques ou à canons multiples tirant des projectiles à impact cinétique</w:t>
      </w:r>
      <w:r w:rsidRPr="00C84DF6">
        <w:rPr>
          <w:rFonts w:ascii="Times New Roman" w:eastAsia="Arial" w:hAnsi="Times New Roman" w:cs="Times New Roman"/>
          <w:b/>
          <w:bCs/>
          <w:sz w:val="24"/>
          <w:szCs w:val="24"/>
          <w:lang w:val="fr-CH"/>
        </w:rPr>
        <w:t> </w:t>
      </w:r>
      <w:r w:rsidRPr="00C84DF6">
        <w:rPr>
          <w:rFonts w:ascii="Times New Roman" w:eastAsia="Arial" w:hAnsi="Times New Roman" w:cs="Times New Roman"/>
          <w:sz w:val="24"/>
          <w:szCs w:val="24"/>
          <w:lang w:val="fr-CH"/>
        </w:rPr>
        <w:t>» en raison  « </w:t>
      </w:r>
      <w:r w:rsidRPr="00C84DF6">
        <w:rPr>
          <w:rFonts w:ascii="Times New Roman" w:eastAsia="Arial" w:hAnsi="Times New Roman" w:cs="Times New Roman"/>
          <w:i/>
          <w:iCs/>
          <w:sz w:val="24"/>
          <w:szCs w:val="24"/>
          <w:lang w:val="fr-CH"/>
        </w:rPr>
        <w:t>de la douleur ou des blessures excessives ou inutiles qu’elles provoquent, et du fait qu’un équipement standard remplissant le même rôle est disponible</w:t>
      </w:r>
      <w:r w:rsidRPr="00C84DF6">
        <w:rPr>
          <w:rFonts w:ascii="Times New Roman" w:eastAsia="Arial" w:hAnsi="Times New Roman" w:cs="Times New Roman"/>
          <w:sz w:val="24"/>
          <w:szCs w:val="24"/>
          <w:lang w:val="fr-CH"/>
        </w:rPr>
        <w:t> »</w:t>
      </w:r>
      <w:r w:rsidRPr="00C66222">
        <w:rPr>
          <w:vertAlign w:val="superscript"/>
          <w:lang w:val="fr-CH"/>
        </w:rPr>
        <w:footnoteReference w:id="57"/>
      </w:r>
      <w:r w:rsidRPr="00C84DF6">
        <w:rPr>
          <w:rFonts w:ascii="Times New Roman" w:eastAsia="Arial" w:hAnsi="Times New Roman" w:cs="Times New Roman"/>
          <w:sz w:val="24"/>
          <w:szCs w:val="24"/>
          <w:lang w:val="fr-CH"/>
        </w:rPr>
        <w:t>. La France est citée par la Rapporteuse parmi les pays dans lesquels des incidents de violence policière parfois mortels ont lieu en raison « d’un mélange dangereux entre, d’un côté des policiers lourdement armés et équipés de technologies de pointe et, de l’autre, d’une intensification des mouvements sociaux et des manifestations pacifiques »</w:t>
      </w:r>
      <w:r w:rsidRPr="00C66222">
        <w:rPr>
          <w:vertAlign w:val="superscript"/>
          <w:lang w:val="fr-CH"/>
        </w:rPr>
        <w:footnoteReference w:id="58"/>
      </w:r>
      <w:r w:rsidRPr="00C84DF6">
        <w:rPr>
          <w:rFonts w:ascii="Times New Roman" w:eastAsia="Arial" w:hAnsi="Times New Roman" w:cs="Times New Roman"/>
          <w:sz w:val="24"/>
          <w:szCs w:val="24"/>
          <w:lang w:val="fr-CH"/>
        </w:rPr>
        <w:t>.</w:t>
      </w:r>
    </w:p>
    <w:p w14:paraId="066E1071" w14:textId="77777777" w:rsidR="007906CD" w:rsidRPr="00C84DF6" w:rsidRDefault="007906CD" w:rsidP="007906CD">
      <w:pPr>
        <w:pStyle w:val="ListParagraph"/>
        <w:spacing w:after="120"/>
        <w:ind w:left="0"/>
        <w:jc w:val="both"/>
        <w:rPr>
          <w:rFonts w:ascii="Times New Roman" w:eastAsia="Arial" w:hAnsi="Times New Roman" w:cs="Times New Roman"/>
          <w:color w:val="000000" w:themeColor="text1"/>
          <w:sz w:val="24"/>
          <w:szCs w:val="24"/>
          <w:lang w:val="fr-CH"/>
        </w:rPr>
      </w:pPr>
    </w:p>
    <w:p w14:paraId="5D69C81E" w14:textId="4AC31BE0" w:rsidR="00C84DF6" w:rsidRPr="00C84DF6" w:rsidRDefault="00673B43" w:rsidP="00C84DF6">
      <w:pPr>
        <w:pStyle w:val="Heading3"/>
      </w:pPr>
      <w:bookmarkStart w:id="26" w:name="_Toc192599345"/>
      <w:r>
        <w:t>3.2 Les grenades et engins explosifs</w:t>
      </w:r>
      <w:bookmarkEnd w:id="26"/>
    </w:p>
    <w:p w14:paraId="354744D8" w14:textId="77777777" w:rsidR="00C84DF6" w:rsidRDefault="006C007F"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sz w:val="24"/>
          <w:szCs w:val="24"/>
          <w:lang w:val="fr-CH"/>
        </w:rPr>
      </w:pPr>
      <w:r>
        <w:rPr>
          <w:rFonts w:ascii="Times New Roman" w:hAnsi="Times New Roman" w:cs="Times New Roman"/>
          <w:sz w:val="24"/>
          <w:szCs w:val="24"/>
        </w:rPr>
        <w:t xml:space="preserve">Le </w:t>
      </w:r>
      <w:r w:rsidRPr="006C007F">
        <w:rPr>
          <w:rFonts w:ascii="Times New Roman" w:eastAsia="Arial" w:hAnsi="Times New Roman" w:cs="Times New Roman"/>
          <w:sz w:val="24"/>
          <w:szCs w:val="24"/>
          <w:lang w:val="fr-CH"/>
        </w:rPr>
        <w:t xml:space="preserve">Défenseur des droits a également, et depuis de nombreuses années, recommandé le retrait ou l’évaluation approfondie de l’usage de plusieurs armes qu’il considère inadaptées à des opérations de maintien de l’ordre. Ce fut le cas de la grenade OF-F1 après le décès de Rémi </w:t>
      </w:r>
      <w:proofErr w:type="spellStart"/>
      <w:r w:rsidRPr="006C007F">
        <w:rPr>
          <w:rFonts w:ascii="Times New Roman" w:eastAsia="Arial" w:hAnsi="Times New Roman" w:cs="Times New Roman"/>
          <w:sz w:val="24"/>
          <w:szCs w:val="24"/>
          <w:lang w:val="fr-CH"/>
        </w:rPr>
        <w:t>Fraisse</w:t>
      </w:r>
      <w:proofErr w:type="spellEnd"/>
      <w:r w:rsidRPr="006C007F">
        <w:rPr>
          <w:rFonts w:ascii="Times New Roman" w:eastAsia="Arial" w:hAnsi="Times New Roman" w:cs="Times New Roman"/>
          <w:sz w:val="24"/>
          <w:szCs w:val="24"/>
          <w:lang w:val="fr-CH"/>
        </w:rPr>
        <w:t xml:space="preserve"> à </w:t>
      </w:r>
      <w:proofErr w:type="spellStart"/>
      <w:r w:rsidRPr="006C007F">
        <w:rPr>
          <w:rFonts w:ascii="Times New Roman" w:eastAsia="Arial" w:hAnsi="Times New Roman" w:cs="Times New Roman"/>
          <w:sz w:val="24"/>
          <w:szCs w:val="24"/>
          <w:lang w:val="fr-CH"/>
        </w:rPr>
        <w:t>Sivens</w:t>
      </w:r>
      <w:proofErr w:type="spellEnd"/>
      <w:r w:rsidRPr="006C007F">
        <w:rPr>
          <w:rFonts w:ascii="Times New Roman" w:eastAsia="Arial" w:hAnsi="Times New Roman" w:cs="Times New Roman"/>
          <w:sz w:val="24"/>
          <w:szCs w:val="24"/>
          <w:vertAlign w:val="superscript"/>
          <w:lang w:val="fr-CH"/>
        </w:rPr>
        <w:footnoteReference w:id="59"/>
      </w:r>
      <w:r w:rsidRPr="006C007F">
        <w:rPr>
          <w:rFonts w:ascii="Times New Roman" w:eastAsia="Arial" w:hAnsi="Times New Roman" w:cs="Times New Roman"/>
          <w:sz w:val="24"/>
          <w:szCs w:val="24"/>
          <w:lang w:val="fr-CH"/>
        </w:rPr>
        <w:t xml:space="preserve"> et de la grenade à main de désencerclement (GMD)</w:t>
      </w:r>
      <w:r w:rsidRPr="006C007F">
        <w:rPr>
          <w:rFonts w:ascii="Times New Roman" w:eastAsia="Arial" w:hAnsi="Times New Roman" w:cs="Times New Roman"/>
          <w:sz w:val="24"/>
          <w:szCs w:val="24"/>
          <w:vertAlign w:val="superscript"/>
          <w:lang w:val="fr-CH"/>
        </w:rPr>
        <w:footnoteReference w:id="60"/>
      </w:r>
      <w:r w:rsidRPr="006C007F">
        <w:rPr>
          <w:rFonts w:ascii="Times New Roman" w:eastAsia="Arial" w:hAnsi="Times New Roman" w:cs="Times New Roman"/>
          <w:sz w:val="24"/>
          <w:szCs w:val="24"/>
          <w:lang w:val="fr-CH"/>
        </w:rPr>
        <w:t xml:space="preserve">. </w:t>
      </w:r>
    </w:p>
    <w:p w14:paraId="6A02759A" w14:textId="77777777" w:rsidR="00C84DF6" w:rsidRDefault="001C0015"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rPr>
        <w:t xml:space="preserve">Il </w:t>
      </w:r>
      <w:r w:rsidR="00D9085F" w:rsidRPr="00C84DF6">
        <w:rPr>
          <w:rFonts w:ascii="Times New Roman" w:eastAsia="Arial" w:hAnsi="Times New Roman" w:cs="Times New Roman"/>
          <w:sz w:val="24"/>
          <w:szCs w:val="24"/>
          <w:lang w:val="fr-CH"/>
        </w:rPr>
        <w:t>a</w:t>
      </w:r>
      <w:r w:rsidRPr="00C84DF6">
        <w:rPr>
          <w:rFonts w:ascii="Times New Roman" w:eastAsia="Arial" w:hAnsi="Times New Roman" w:cs="Times New Roman"/>
          <w:sz w:val="24"/>
          <w:szCs w:val="24"/>
          <w:lang w:val="fr-CH"/>
        </w:rPr>
        <w:t xml:space="preserve"> également </w:t>
      </w:r>
      <w:r w:rsidR="00D9085F" w:rsidRPr="00C84DF6">
        <w:rPr>
          <w:rFonts w:ascii="Times New Roman" w:eastAsia="Arial" w:hAnsi="Times New Roman" w:cs="Times New Roman"/>
          <w:sz w:val="24"/>
          <w:szCs w:val="24"/>
          <w:lang w:val="fr-CH"/>
        </w:rPr>
        <w:t xml:space="preserve">pris acte </w:t>
      </w:r>
      <w:r w:rsidRPr="00C84DF6">
        <w:rPr>
          <w:rFonts w:ascii="Times New Roman" w:eastAsia="Arial" w:hAnsi="Times New Roman" w:cs="Times New Roman"/>
          <w:sz w:val="24"/>
          <w:szCs w:val="24"/>
          <w:lang w:val="fr-CH"/>
        </w:rPr>
        <w:t>de l’annonce faite par le ministre de l’Intérieur le 26 janvier 2020 de suspendre la grenade explosive GLI-F4 utilisée lors des opérations de maintien de l’ordre. Le Défenseur des droits regrette que cette dernière soit dorénavant remplacée par une autre grenade, la GM2L, à usage semblable mais sans explosif ni effet de souffle.</w:t>
      </w:r>
      <w:r w:rsidRPr="00206A34">
        <w:rPr>
          <w:rFonts w:ascii="Times New Roman" w:eastAsia="Arial" w:hAnsi="Times New Roman" w:cs="Times New Roman"/>
          <w:sz w:val="24"/>
          <w:szCs w:val="24"/>
          <w:vertAlign w:val="superscript"/>
          <w:lang w:val="en-GB"/>
        </w:rPr>
        <w:footnoteReference w:id="61"/>
      </w:r>
    </w:p>
    <w:p w14:paraId="56623432" w14:textId="77777777" w:rsidR="00C84DF6" w:rsidRDefault="00F874CF" w:rsidP="00B6391A">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sz w:val="24"/>
          <w:szCs w:val="24"/>
          <w:lang w:val="fr-CH"/>
        </w:rPr>
      </w:pPr>
      <w:r w:rsidRPr="00C84DF6">
        <w:rPr>
          <w:rFonts w:ascii="Times New Roman" w:eastAsia="Arial" w:hAnsi="Times New Roman" w:cs="Times New Roman"/>
          <w:sz w:val="24"/>
          <w:szCs w:val="24"/>
          <w:lang w:val="fr-CH"/>
        </w:rPr>
        <w:t xml:space="preserve">La Cour européenne des droits de l’homme a très récemment condamné l’Etat français </w:t>
      </w:r>
      <w:r w:rsidR="00270964" w:rsidRPr="00C84DF6">
        <w:rPr>
          <w:rFonts w:ascii="Times New Roman" w:eastAsia="Arial" w:hAnsi="Times New Roman" w:cs="Times New Roman"/>
          <w:sz w:val="24"/>
          <w:szCs w:val="24"/>
          <w:lang w:val="fr-CH"/>
        </w:rPr>
        <w:t xml:space="preserve">dans le cadre de la mort de Rémi </w:t>
      </w:r>
      <w:proofErr w:type="spellStart"/>
      <w:r w:rsidR="00270964" w:rsidRPr="00C84DF6">
        <w:rPr>
          <w:rFonts w:ascii="Times New Roman" w:eastAsia="Arial" w:hAnsi="Times New Roman" w:cs="Times New Roman"/>
          <w:sz w:val="24"/>
          <w:szCs w:val="24"/>
          <w:lang w:val="fr-CH"/>
        </w:rPr>
        <w:t>Fraisse</w:t>
      </w:r>
      <w:proofErr w:type="spellEnd"/>
      <w:r w:rsidR="00270964" w:rsidRPr="00C84DF6">
        <w:rPr>
          <w:rFonts w:ascii="Times New Roman" w:eastAsia="Arial" w:hAnsi="Times New Roman" w:cs="Times New Roman"/>
          <w:sz w:val="24"/>
          <w:szCs w:val="24"/>
          <w:lang w:val="fr-CH"/>
        </w:rPr>
        <w:t xml:space="preserve">. </w:t>
      </w:r>
      <w:r w:rsidR="00951F00" w:rsidRPr="00C84DF6">
        <w:rPr>
          <w:rFonts w:ascii="Times New Roman" w:eastAsia="Arial" w:hAnsi="Times New Roman" w:cs="Times New Roman"/>
          <w:sz w:val="24"/>
          <w:szCs w:val="24"/>
          <w:lang w:val="fr-CH"/>
        </w:rPr>
        <w:t xml:space="preserve">La Cour estime en effet </w:t>
      </w:r>
      <w:r w:rsidR="00F57F0F" w:rsidRPr="00C84DF6">
        <w:rPr>
          <w:rFonts w:ascii="Times New Roman" w:eastAsia="Arial" w:hAnsi="Times New Roman" w:cs="Times New Roman"/>
          <w:sz w:val="24"/>
          <w:szCs w:val="24"/>
          <w:lang w:val="fr-CH"/>
        </w:rPr>
        <w:t xml:space="preserve">que la législation </w:t>
      </w:r>
      <w:r w:rsidR="003D5E71" w:rsidRPr="00C84DF6">
        <w:rPr>
          <w:rFonts w:ascii="Times New Roman" w:eastAsia="Arial" w:hAnsi="Times New Roman" w:cs="Times New Roman"/>
          <w:sz w:val="24"/>
          <w:szCs w:val="24"/>
          <w:lang w:val="fr-CH"/>
        </w:rPr>
        <w:t>en vigueur à l’époque était trop imprécise et ne permettait pas de « </w:t>
      </w:r>
      <w:r w:rsidR="003D5E71" w:rsidRPr="00C84DF6">
        <w:rPr>
          <w:rFonts w:ascii="Times New Roman" w:eastAsia="Arial" w:hAnsi="Times New Roman" w:cs="Times New Roman"/>
          <w:i/>
          <w:iCs/>
          <w:sz w:val="24"/>
          <w:szCs w:val="24"/>
          <w:lang w:val="fr-CH"/>
        </w:rPr>
        <w:t>déterminer en pratique q</w:t>
      </w:r>
      <w:r w:rsidR="00E51DFD" w:rsidRPr="00C84DF6">
        <w:rPr>
          <w:rFonts w:ascii="Times New Roman" w:eastAsia="Arial" w:hAnsi="Times New Roman" w:cs="Times New Roman"/>
          <w:i/>
          <w:iCs/>
          <w:sz w:val="24"/>
          <w:szCs w:val="24"/>
          <w:lang w:val="fr-CH"/>
        </w:rPr>
        <w:t>u</w:t>
      </w:r>
      <w:r w:rsidR="003D5E71" w:rsidRPr="00C84DF6">
        <w:rPr>
          <w:rFonts w:ascii="Times New Roman" w:eastAsia="Arial" w:hAnsi="Times New Roman" w:cs="Times New Roman"/>
          <w:i/>
          <w:iCs/>
          <w:sz w:val="24"/>
          <w:szCs w:val="24"/>
          <w:lang w:val="fr-CH"/>
        </w:rPr>
        <w:t xml:space="preserve">elle arme était la mieux adaptée </w:t>
      </w:r>
      <w:r w:rsidR="00E51DFD" w:rsidRPr="00C84DF6">
        <w:rPr>
          <w:rFonts w:ascii="Times New Roman" w:eastAsia="Arial" w:hAnsi="Times New Roman" w:cs="Times New Roman"/>
          <w:i/>
          <w:iCs/>
          <w:sz w:val="24"/>
          <w:szCs w:val="24"/>
          <w:lang w:val="fr-CH"/>
        </w:rPr>
        <w:t>à la menace</w:t>
      </w:r>
      <w:r w:rsidR="00E51DFD" w:rsidRPr="00C84DF6">
        <w:rPr>
          <w:rFonts w:ascii="Times New Roman" w:eastAsia="Arial" w:hAnsi="Times New Roman" w:cs="Times New Roman"/>
          <w:sz w:val="24"/>
          <w:szCs w:val="24"/>
          <w:lang w:val="fr-CH"/>
        </w:rPr>
        <w:t> »</w:t>
      </w:r>
      <w:r w:rsidR="00E51DFD" w:rsidRPr="00C84DF6">
        <w:rPr>
          <w:rStyle w:val="FootnoteReference"/>
          <w:rFonts w:ascii="Times New Roman" w:eastAsia="Arial" w:hAnsi="Times New Roman" w:cs="Times New Roman"/>
          <w:sz w:val="24"/>
          <w:szCs w:val="24"/>
          <w:lang w:val="fr-CH"/>
        </w:rPr>
        <w:t xml:space="preserve"> </w:t>
      </w:r>
      <w:r w:rsidR="00E51DFD">
        <w:rPr>
          <w:rStyle w:val="FootnoteReference"/>
          <w:rFonts w:ascii="Times New Roman" w:eastAsia="Arial" w:hAnsi="Times New Roman" w:cs="Times New Roman"/>
          <w:sz w:val="24"/>
          <w:szCs w:val="24"/>
          <w:lang w:val="fr-CH"/>
        </w:rPr>
        <w:footnoteReference w:id="62"/>
      </w:r>
      <w:r w:rsidR="00E51DFD" w:rsidRPr="00C84DF6">
        <w:rPr>
          <w:rFonts w:ascii="Times New Roman" w:eastAsia="Arial" w:hAnsi="Times New Roman" w:cs="Times New Roman"/>
          <w:sz w:val="24"/>
          <w:szCs w:val="24"/>
          <w:lang w:val="fr-CH"/>
        </w:rPr>
        <w:t xml:space="preserve">. </w:t>
      </w:r>
      <w:r w:rsidR="00146755" w:rsidRPr="00C84DF6">
        <w:rPr>
          <w:rFonts w:ascii="Times New Roman" w:eastAsia="Arial" w:hAnsi="Times New Roman" w:cs="Times New Roman"/>
          <w:sz w:val="24"/>
          <w:szCs w:val="24"/>
          <w:lang w:val="fr-CH"/>
        </w:rPr>
        <w:t>Elle juge la grenade OF-F1 utilisée comme d’une « </w:t>
      </w:r>
      <w:r w:rsidR="00146755" w:rsidRPr="00C84DF6">
        <w:rPr>
          <w:rFonts w:ascii="Times New Roman" w:eastAsia="Arial" w:hAnsi="Times New Roman" w:cs="Times New Roman"/>
          <w:i/>
          <w:iCs/>
          <w:sz w:val="24"/>
          <w:szCs w:val="24"/>
          <w:lang w:val="fr-CH"/>
        </w:rPr>
        <w:t>dangerosité exceptionnelle</w:t>
      </w:r>
      <w:r w:rsidR="00146755" w:rsidRPr="00C84DF6">
        <w:rPr>
          <w:rFonts w:ascii="Times New Roman" w:eastAsia="Arial" w:hAnsi="Times New Roman" w:cs="Times New Roman"/>
          <w:sz w:val="24"/>
          <w:szCs w:val="24"/>
          <w:lang w:val="fr-CH"/>
        </w:rPr>
        <w:t> »</w:t>
      </w:r>
      <w:r w:rsidR="002A75B1" w:rsidRPr="00C84DF6">
        <w:rPr>
          <w:rFonts w:ascii="Times New Roman" w:eastAsia="Arial" w:hAnsi="Times New Roman" w:cs="Times New Roman"/>
          <w:sz w:val="24"/>
          <w:szCs w:val="24"/>
          <w:lang w:val="fr-CH"/>
        </w:rPr>
        <w:t xml:space="preserve"> avec une dotation problématique en ce qu’aucun cadre d’emploi précis et protecteur n’existait. </w:t>
      </w:r>
    </w:p>
    <w:p w14:paraId="26AC6DF0" w14:textId="33E9074A" w:rsidR="00C84DF6" w:rsidRPr="007906CD" w:rsidRDefault="004B5FB9" w:rsidP="00C84DF6">
      <w:pPr>
        <w:pStyle w:val="ListParagraph"/>
        <w:widowControl w:val="0"/>
        <w:numPr>
          <w:ilvl w:val="0"/>
          <w:numId w:val="35"/>
        </w:numPr>
        <w:autoSpaceDE w:val="0"/>
        <w:autoSpaceDN w:val="0"/>
        <w:adjustRightInd w:val="0"/>
        <w:spacing w:after="120"/>
        <w:ind w:left="0"/>
        <w:contextualSpacing w:val="0"/>
        <w:jc w:val="both"/>
        <w:rPr>
          <w:rFonts w:ascii="Times New Roman" w:eastAsia="Arial" w:hAnsi="Times New Roman" w:cs="Times New Roman"/>
          <w:sz w:val="24"/>
          <w:szCs w:val="24"/>
          <w:lang w:val="fr-CH"/>
        </w:rPr>
      </w:pPr>
      <w:r w:rsidRPr="00C84DF6">
        <w:rPr>
          <w:rFonts w:ascii="Times New Roman" w:eastAsia="Arial" w:hAnsi="Times New Roman" w:cs="Times New Roman"/>
          <w:color w:val="000000"/>
          <w:sz w:val="24"/>
          <w:szCs w:val="24"/>
          <w:lang w:val="fr-CH"/>
        </w:rPr>
        <w:t xml:space="preserve">Il </w:t>
      </w:r>
      <w:r w:rsidRPr="00C84DF6">
        <w:rPr>
          <w:rFonts w:ascii="Times New Roman" w:eastAsia="Arial" w:hAnsi="Times New Roman" w:cs="Times New Roman"/>
          <w:sz w:val="24"/>
          <w:szCs w:val="24"/>
          <w:lang w:val="fr-CH"/>
        </w:rPr>
        <w:t>y a là encore lieu de préciser que la Rapporteuse spéciale des Nations unies sur la torture a identifié une liste de biens qui devraient être réglementés aux niveaux national et international, car s’ils ont un usage légitime, ils peuvent être détournés à des fins de torture et nécessitent donc d’être soumis à un certain contrôle. Cette liste comprend notamment les projectiles et grenades d’agents chimiques irritants et les munitions d’agents chimiques irritants de gros calibre et de lanceurs à tir unique ou limité.</w:t>
      </w:r>
    </w:p>
    <w:p w14:paraId="0E0AF78B" w14:textId="77777777" w:rsidR="00C84DF6" w:rsidRPr="00C84DF6" w:rsidRDefault="00C84DF6" w:rsidP="00C84DF6">
      <w:pPr>
        <w:widowControl w:val="0"/>
        <w:autoSpaceDE w:val="0"/>
        <w:autoSpaceDN w:val="0"/>
        <w:adjustRightInd w:val="0"/>
        <w:spacing w:after="120"/>
        <w:jc w:val="both"/>
        <w:rPr>
          <w:rFonts w:ascii="Times New Roman" w:eastAsia="Arial" w:hAnsi="Times New Roman" w:cs="Times New Roman"/>
          <w:sz w:val="24"/>
          <w:szCs w:val="24"/>
          <w:lang w:val="fr-CH"/>
        </w:rPr>
      </w:pPr>
    </w:p>
    <w:p w14:paraId="6011DAF8" w14:textId="7BD8126D" w:rsidR="00C84DF6" w:rsidRPr="007906CD" w:rsidRDefault="00BC6822" w:rsidP="007906CD">
      <w:pPr>
        <w:pStyle w:val="Heading3"/>
        <w:numPr>
          <w:ilvl w:val="1"/>
          <w:numId w:val="17"/>
        </w:numPr>
        <w:spacing w:after="120"/>
        <w:ind w:left="357" w:hanging="357"/>
        <w:rPr>
          <w:rFonts w:eastAsia="Arial"/>
          <w:lang w:val="fr-CH"/>
        </w:rPr>
      </w:pPr>
      <w:bookmarkStart w:id="27" w:name="_Toc192599346"/>
      <w:r w:rsidRPr="08215407">
        <w:rPr>
          <w:rFonts w:eastAsia="Arial"/>
          <w:lang w:val="fr-CH"/>
        </w:rPr>
        <w:t>Le pistolet à impulsion électrique (</w:t>
      </w:r>
      <w:proofErr w:type="spellStart"/>
      <w:r w:rsidRPr="08215407">
        <w:rPr>
          <w:rFonts w:eastAsia="Arial"/>
          <w:lang w:val="fr-CH"/>
        </w:rPr>
        <w:t>Taser</w:t>
      </w:r>
      <w:proofErr w:type="spellEnd"/>
      <w:r w:rsidRPr="08215407">
        <w:rPr>
          <w:rFonts w:eastAsia="Arial"/>
          <w:lang w:val="fr-CH"/>
        </w:rPr>
        <w:t>)</w:t>
      </w:r>
      <w:bookmarkEnd w:id="27"/>
    </w:p>
    <w:p w14:paraId="01DCF4AF" w14:textId="77777777" w:rsidR="00C84DF6" w:rsidRDefault="00275954"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Le pistolet à impulsion électrique (PIE) permet de maitriser une personne par l’application ou l’env</w:t>
      </w:r>
      <w:r w:rsidR="00A21515" w:rsidRPr="00C84DF6">
        <w:rPr>
          <w:rFonts w:ascii="Times New Roman" w:hAnsi="Times New Roman" w:cs="Times New Roman"/>
          <w:sz w:val="24"/>
          <w:szCs w:val="24"/>
        </w:rPr>
        <w:t xml:space="preserve">oi d’une décharge électrique </w:t>
      </w:r>
      <w:r w:rsidR="00D655CE" w:rsidRPr="00C84DF6">
        <w:rPr>
          <w:rFonts w:ascii="Times New Roman" w:hAnsi="Times New Roman" w:cs="Times New Roman"/>
          <w:sz w:val="24"/>
          <w:szCs w:val="24"/>
        </w:rPr>
        <w:t xml:space="preserve">(de 50 000 volts </w:t>
      </w:r>
      <w:r w:rsidR="00B733DF" w:rsidRPr="00C84DF6">
        <w:rPr>
          <w:rFonts w:ascii="Times New Roman" w:hAnsi="Times New Roman" w:cs="Times New Roman"/>
          <w:sz w:val="24"/>
          <w:szCs w:val="24"/>
        </w:rPr>
        <w:t>et 2,1 milliampères), qui provoque une sensation de douleur ou bloque le système nerveux en créant une rupture électro-musculaire</w:t>
      </w:r>
      <w:r w:rsidR="00482307" w:rsidRPr="00C84DF6">
        <w:rPr>
          <w:rFonts w:ascii="Times New Roman" w:hAnsi="Times New Roman" w:cs="Times New Roman"/>
          <w:sz w:val="24"/>
          <w:szCs w:val="24"/>
        </w:rPr>
        <w:t>, pouvant entrainer la chute de la personne. Cette arme peut être utilisée de trois manières différentes</w:t>
      </w:r>
      <w:r w:rsidR="00A142BB" w:rsidRPr="00C84DF6">
        <w:rPr>
          <w:rFonts w:ascii="Times New Roman" w:hAnsi="Times New Roman" w:cs="Times New Roman"/>
          <w:sz w:val="24"/>
          <w:szCs w:val="24"/>
        </w:rPr>
        <w:t xml:space="preserve">. Outre le mode dissuasif, effectué en pointant un laser sur la personne sans </w:t>
      </w:r>
      <w:r w:rsidR="005C3A92" w:rsidRPr="00C84DF6">
        <w:rPr>
          <w:rFonts w:ascii="Times New Roman" w:hAnsi="Times New Roman" w:cs="Times New Roman"/>
          <w:sz w:val="24"/>
          <w:szCs w:val="24"/>
        </w:rPr>
        <w:t xml:space="preserve">tirer, le PIE peut être utilisé soit à </w:t>
      </w:r>
      <w:r w:rsidR="00DC5B9F" w:rsidRPr="00C84DF6">
        <w:rPr>
          <w:rFonts w:ascii="Times New Roman" w:hAnsi="Times New Roman" w:cs="Times New Roman"/>
          <w:sz w:val="24"/>
          <w:szCs w:val="24"/>
        </w:rPr>
        <w:t xml:space="preserve">courte </w:t>
      </w:r>
      <w:r w:rsidR="005C3A92" w:rsidRPr="00C84DF6">
        <w:rPr>
          <w:rFonts w:ascii="Times New Roman" w:hAnsi="Times New Roman" w:cs="Times New Roman"/>
          <w:sz w:val="24"/>
          <w:szCs w:val="24"/>
        </w:rPr>
        <w:t xml:space="preserve">distance </w:t>
      </w:r>
      <w:r w:rsidR="00DC5B9F" w:rsidRPr="00C84DF6">
        <w:rPr>
          <w:rFonts w:ascii="Times New Roman" w:hAnsi="Times New Roman" w:cs="Times New Roman"/>
          <w:sz w:val="24"/>
          <w:szCs w:val="24"/>
        </w:rPr>
        <w:t>par projection de deux ardillons</w:t>
      </w:r>
      <w:r w:rsidR="004873E6" w:rsidRPr="00C84DF6">
        <w:rPr>
          <w:rFonts w:ascii="Times New Roman" w:hAnsi="Times New Roman" w:cs="Times New Roman"/>
          <w:sz w:val="24"/>
          <w:szCs w:val="24"/>
        </w:rPr>
        <w:t xml:space="preserve"> qui restent reliés à l’arme par deux fils conducteurs </w:t>
      </w:r>
      <w:r w:rsidR="005C3A92" w:rsidRPr="00C84DF6">
        <w:rPr>
          <w:rFonts w:ascii="Times New Roman" w:hAnsi="Times New Roman" w:cs="Times New Roman"/>
          <w:sz w:val="24"/>
          <w:szCs w:val="24"/>
        </w:rPr>
        <w:t>(en mode tir)</w:t>
      </w:r>
      <w:r w:rsidR="00DC5B9F" w:rsidRPr="00C84DF6">
        <w:rPr>
          <w:rFonts w:ascii="Times New Roman" w:hAnsi="Times New Roman" w:cs="Times New Roman"/>
          <w:sz w:val="24"/>
          <w:szCs w:val="24"/>
        </w:rPr>
        <w:t xml:space="preserve">, soit au corps à corps (en mode contact). </w:t>
      </w:r>
      <w:r w:rsidR="00CB753D" w:rsidRPr="00C84DF6">
        <w:rPr>
          <w:rFonts w:ascii="Times New Roman" w:hAnsi="Times New Roman" w:cs="Times New Roman"/>
          <w:sz w:val="24"/>
          <w:szCs w:val="24"/>
        </w:rPr>
        <w:t xml:space="preserve">Le mode contact ne conduit pas à une décharge moins intense, mais plus localisée. </w:t>
      </w:r>
    </w:p>
    <w:p w14:paraId="610C1C63" w14:textId="77777777" w:rsidR="00C84DF6" w:rsidRDefault="00C84DF6" w:rsidP="00C84DF6">
      <w:pPr>
        <w:pStyle w:val="ListParagraph"/>
        <w:spacing w:after="120"/>
        <w:ind w:left="0"/>
        <w:jc w:val="both"/>
        <w:rPr>
          <w:rFonts w:ascii="Times New Roman" w:hAnsi="Times New Roman" w:cs="Times New Roman"/>
          <w:sz w:val="24"/>
          <w:szCs w:val="24"/>
        </w:rPr>
      </w:pPr>
    </w:p>
    <w:p w14:paraId="4D3B929E" w14:textId="77777777" w:rsidR="00C84DF6" w:rsidRDefault="00004E2A" w:rsidP="00C84DF6">
      <w:pPr>
        <w:pStyle w:val="ListParagraph"/>
        <w:numPr>
          <w:ilvl w:val="0"/>
          <w:numId w:val="35"/>
        </w:numPr>
        <w:spacing w:after="120"/>
        <w:ind w:left="0"/>
        <w:jc w:val="both"/>
        <w:rPr>
          <w:rFonts w:ascii="Times New Roman" w:hAnsi="Times New Roman" w:cs="Times New Roman"/>
          <w:sz w:val="24"/>
          <w:szCs w:val="24"/>
        </w:rPr>
      </w:pPr>
      <w:r w:rsidRPr="00C84DF6">
        <w:rPr>
          <w:rFonts w:ascii="Times New Roman" w:hAnsi="Times New Roman" w:cs="Times New Roman"/>
          <w:sz w:val="24"/>
          <w:szCs w:val="24"/>
        </w:rPr>
        <w:t>Par leur nature même, les PIE sont se prêtent à une utilisation abusive.</w:t>
      </w:r>
      <w:r w:rsidR="00A522B4" w:rsidRPr="00C84DF6">
        <w:rPr>
          <w:rFonts w:ascii="Times New Roman" w:hAnsi="Times New Roman" w:cs="Times New Roman"/>
          <w:sz w:val="24"/>
          <w:szCs w:val="24"/>
        </w:rPr>
        <w:t xml:space="preserve"> Parce qu</w:t>
      </w:r>
      <w:r w:rsidR="009160A6" w:rsidRPr="00C84DF6">
        <w:rPr>
          <w:rFonts w:ascii="Times New Roman" w:hAnsi="Times New Roman" w:cs="Times New Roman"/>
          <w:sz w:val="24"/>
          <w:szCs w:val="24"/>
        </w:rPr>
        <w:t>e considérés comme inoffensifs, ils semblent favoriser le recours à la force, au détriment de la négociation.</w:t>
      </w:r>
      <w:r w:rsidRPr="00C84DF6">
        <w:rPr>
          <w:rFonts w:ascii="Times New Roman" w:hAnsi="Times New Roman" w:cs="Times New Roman"/>
          <w:sz w:val="24"/>
          <w:szCs w:val="24"/>
        </w:rPr>
        <w:t xml:space="preserve"> </w:t>
      </w:r>
      <w:r w:rsidR="003B772C" w:rsidRPr="00C84DF6">
        <w:rPr>
          <w:rFonts w:ascii="Times New Roman" w:hAnsi="Times New Roman" w:cs="Times New Roman"/>
          <w:sz w:val="24"/>
          <w:szCs w:val="24"/>
        </w:rPr>
        <w:t xml:space="preserve">En 2023, 3 675 </w:t>
      </w:r>
      <w:r w:rsidR="00A77B28" w:rsidRPr="00C84DF6">
        <w:rPr>
          <w:rFonts w:ascii="Times New Roman" w:hAnsi="Times New Roman" w:cs="Times New Roman"/>
          <w:sz w:val="24"/>
          <w:szCs w:val="24"/>
        </w:rPr>
        <w:t>déclarations d’usage du PIE ont été enregistrées par la Police nationale, soit une hausse de 20% en un an</w:t>
      </w:r>
      <w:r w:rsidR="00A77B28">
        <w:rPr>
          <w:rStyle w:val="FootnoteReference"/>
          <w:rFonts w:ascii="Times New Roman" w:hAnsi="Times New Roman" w:cs="Times New Roman"/>
          <w:sz w:val="24"/>
          <w:szCs w:val="24"/>
        </w:rPr>
        <w:footnoteReference w:id="63"/>
      </w:r>
      <w:r w:rsidR="00A77B28" w:rsidRPr="00C84DF6">
        <w:rPr>
          <w:rFonts w:ascii="Times New Roman" w:hAnsi="Times New Roman" w:cs="Times New Roman"/>
          <w:sz w:val="24"/>
          <w:szCs w:val="24"/>
        </w:rPr>
        <w:t xml:space="preserve">. </w:t>
      </w:r>
      <w:r w:rsidR="00CD384F" w:rsidRPr="00C84DF6">
        <w:rPr>
          <w:rFonts w:ascii="Times New Roman" w:hAnsi="Times New Roman" w:cs="Times New Roman"/>
          <w:sz w:val="24"/>
          <w:szCs w:val="24"/>
        </w:rPr>
        <w:t xml:space="preserve">Une tendance à la hausse qui se confirme pour la troisième année consécutive. </w:t>
      </w:r>
      <w:r w:rsidR="00562AB0" w:rsidRPr="00C84DF6">
        <w:rPr>
          <w:rFonts w:ascii="Times New Roman" w:hAnsi="Times New Roman" w:cs="Times New Roman"/>
          <w:sz w:val="24"/>
          <w:szCs w:val="24"/>
        </w:rPr>
        <w:t xml:space="preserve">Cette </w:t>
      </w:r>
      <w:r w:rsidR="001772D5" w:rsidRPr="00C84DF6">
        <w:rPr>
          <w:rFonts w:ascii="Times New Roman" w:hAnsi="Times New Roman" w:cs="Times New Roman"/>
          <w:sz w:val="24"/>
          <w:szCs w:val="24"/>
        </w:rPr>
        <w:t>h</w:t>
      </w:r>
      <w:r w:rsidR="00562AB0" w:rsidRPr="00C84DF6">
        <w:rPr>
          <w:rFonts w:ascii="Times New Roman" w:hAnsi="Times New Roman" w:cs="Times New Roman"/>
          <w:sz w:val="24"/>
          <w:szCs w:val="24"/>
        </w:rPr>
        <w:t xml:space="preserve">ausse est à mettre en corrélation avec la multiplication par 20 du nombre de PIE entre 2014 et 2023 </w:t>
      </w:r>
      <w:r w:rsidR="00BD00EB" w:rsidRPr="00C84DF6">
        <w:rPr>
          <w:rFonts w:ascii="Times New Roman" w:hAnsi="Times New Roman" w:cs="Times New Roman"/>
          <w:sz w:val="24"/>
          <w:szCs w:val="24"/>
        </w:rPr>
        <w:t xml:space="preserve">en dotation </w:t>
      </w:r>
      <w:r w:rsidR="00562AB0" w:rsidRPr="00C84DF6">
        <w:rPr>
          <w:rFonts w:ascii="Times New Roman" w:hAnsi="Times New Roman" w:cs="Times New Roman"/>
          <w:sz w:val="24"/>
          <w:szCs w:val="24"/>
        </w:rPr>
        <w:t>d</w:t>
      </w:r>
      <w:r w:rsidR="00BD00EB" w:rsidRPr="00C84DF6">
        <w:rPr>
          <w:rFonts w:ascii="Times New Roman" w:hAnsi="Times New Roman" w:cs="Times New Roman"/>
          <w:sz w:val="24"/>
          <w:szCs w:val="24"/>
        </w:rPr>
        <w:t>ans</w:t>
      </w:r>
      <w:r w:rsidR="00562AB0" w:rsidRPr="00C84DF6">
        <w:rPr>
          <w:rFonts w:ascii="Times New Roman" w:hAnsi="Times New Roman" w:cs="Times New Roman"/>
          <w:sz w:val="24"/>
          <w:szCs w:val="24"/>
        </w:rPr>
        <w:t xml:space="preserve"> la </w:t>
      </w:r>
      <w:r w:rsidR="00BD00EB" w:rsidRPr="00C84DF6">
        <w:rPr>
          <w:rFonts w:ascii="Times New Roman" w:hAnsi="Times New Roman" w:cs="Times New Roman"/>
          <w:sz w:val="24"/>
          <w:szCs w:val="24"/>
        </w:rPr>
        <w:t>p</w:t>
      </w:r>
      <w:r w:rsidR="00562AB0" w:rsidRPr="00C84DF6">
        <w:rPr>
          <w:rFonts w:ascii="Times New Roman" w:hAnsi="Times New Roman" w:cs="Times New Roman"/>
          <w:sz w:val="24"/>
          <w:szCs w:val="24"/>
        </w:rPr>
        <w:t xml:space="preserve">olice nationale. </w:t>
      </w:r>
      <w:r w:rsidR="003C4E1B" w:rsidRPr="00C84DF6">
        <w:rPr>
          <w:rFonts w:ascii="Times New Roman" w:hAnsi="Times New Roman" w:cs="Times New Roman"/>
          <w:sz w:val="24"/>
          <w:szCs w:val="24"/>
        </w:rPr>
        <w:t xml:space="preserve">Selon le service de l’achat, l’innovation et de la logistique du ministère de l’Intérieur, le nombre de PIE déployés dans la police nationale est de près de 7 500, contre 500 en 2014. </w:t>
      </w:r>
    </w:p>
    <w:p w14:paraId="01749669" w14:textId="77777777" w:rsidR="00C84DF6" w:rsidRPr="00C84DF6" w:rsidRDefault="00C84DF6" w:rsidP="00C84DF6">
      <w:pPr>
        <w:pStyle w:val="ListParagraph"/>
        <w:rPr>
          <w:rFonts w:ascii="Times New Roman" w:hAnsi="Times New Roman" w:cs="Times New Roman"/>
          <w:sz w:val="24"/>
          <w:szCs w:val="24"/>
        </w:rPr>
      </w:pPr>
    </w:p>
    <w:p w14:paraId="221B1AEB" w14:textId="77777777" w:rsidR="00C84DF6" w:rsidRDefault="00543B4C" w:rsidP="00B6391A">
      <w:pPr>
        <w:pStyle w:val="ListParagraph"/>
        <w:numPr>
          <w:ilvl w:val="0"/>
          <w:numId w:val="35"/>
        </w:numPr>
        <w:spacing w:after="120"/>
        <w:ind w:left="0" w:hanging="567"/>
        <w:jc w:val="both"/>
        <w:rPr>
          <w:rFonts w:ascii="Times New Roman" w:hAnsi="Times New Roman" w:cs="Times New Roman"/>
          <w:sz w:val="24"/>
          <w:szCs w:val="24"/>
        </w:rPr>
      </w:pPr>
      <w:r w:rsidRPr="00C84DF6">
        <w:rPr>
          <w:rFonts w:ascii="Times New Roman" w:hAnsi="Times New Roman" w:cs="Times New Roman"/>
          <w:sz w:val="24"/>
          <w:szCs w:val="24"/>
        </w:rPr>
        <w:t xml:space="preserve">Le recours à ce type d’arme devrait rester exceptionnel. </w:t>
      </w:r>
      <w:r w:rsidR="008F2B9A" w:rsidRPr="00C84DF6">
        <w:rPr>
          <w:rFonts w:ascii="Times New Roman" w:hAnsi="Times New Roman" w:cs="Times New Roman"/>
          <w:sz w:val="24"/>
          <w:szCs w:val="24"/>
        </w:rPr>
        <w:t xml:space="preserve">Cependant, contrairement </w:t>
      </w:r>
      <w:r w:rsidR="008C77AA" w:rsidRPr="00C84DF6">
        <w:rPr>
          <w:rFonts w:ascii="Times New Roman" w:hAnsi="Times New Roman" w:cs="Times New Roman"/>
          <w:sz w:val="24"/>
          <w:szCs w:val="24"/>
        </w:rPr>
        <w:t xml:space="preserve">aux recommandations du </w:t>
      </w:r>
      <w:r w:rsidR="002370B0" w:rsidRPr="00C84DF6">
        <w:rPr>
          <w:rFonts w:ascii="Times New Roman" w:hAnsi="Times New Roman" w:cs="Times New Roman"/>
          <w:sz w:val="24"/>
          <w:szCs w:val="24"/>
        </w:rPr>
        <w:t>Comité, du Comité européen</w:t>
      </w:r>
      <w:r w:rsidR="00197E7B" w:rsidRPr="00C84DF6">
        <w:rPr>
          <w:rFonts w:ascii="Times New Roman" w:hAnsi="Times New Roman" w:cs="Times New Roman"/>
          <w:sz w:val="24"/>
          <w:szCs w:val="24"/>
        </w:rPr>
        <w:t xml:space="preserve"> pour la</w:t>
      </w:r>
      <w:r w:rsidR="002370B0" w:rsidRPr="00C84DF6">
        <w:rPr>
          <w:rFonts w:ascii="Times New Roman" w:hAnsi="Times New Roman" w:cs="Times New Roman"/>
          <w:sz w:val="24"/>
          <w:szCs w:val="24"/>
        </w:rPr>
        <w:t xml:space="preserve"> prévention </w:t>
      </w:r>
      <w:r w:rsidR="00197E7B" w:rsidRPr="00C84DF6">
        <w:rPr>
          <w:rFonts w:ascii="Times New Roman" w:hAnsi="Times New Roman" w:cs="Times New Roman"/>
          <w:sz w:val="24"/>
          <w:szCs w:val="24"/>
        </w:rPr>
        <w:t>de</w:t>
      </w:r>
      <w:r w:rsidR="002370B0" w:rsidRPr="00C84DF6">
        <w:rPr>
          <w:rFonts w:ascii="Times New Roman" w:hAnsi="Times New Roman" w:cs="Times New Roman"/>
          <w:sz w:val="24"/>
          <w:szCs w:val="24"/>
        </w:rPr>
        <w:t xml:space="preserve"> la torture </w:t>
      </w:r>
      <w:r w:rsidR="00197E7B" w:rsidRPr="00C84DF6">
        <w:rPr>
          <w:rFonts w:ascii="Times New Roman" w:hAnsi="Times New Roman" w:cs="Times New Roman"/>
          <w:sz w:val="24"/>
          <w:szCs w:val="24"/>
        </w:rPr>
        <w:t xml:space="preserve">(CPT) ou même du Défenseur des droits, l’ACAT-France constate que le </w:t>
      </w:r>
      <w:proofErr w:type="spellStart"/>
      <w:r w:rsidR="00197E7B" w:rsidRPr="00C84DF6">
        <w:rPr>
          <w:rFonts w:ascii="Times New Roman" w:hAnsi="Times New Roman" w:cs="Times New Roman"/>
          <w:sz w:val="24"/>
          <w:szCs w:val="24"/>
        </w:rPr>
        <w:t>taser</w:t>
      </w:r>
      <w:proofErr w:type="spellEnd"/>
      <w:r w:rsidR="00197E7B" w:rsidRPr="00C84DF6">
        <w:rPr>
          <w:rFonts w:ascii="Times New Roman" w:hAnsi="Times New Roman" w:cs="Times New Roman"/>
          <w:sz w:val="24"/>
          <w:szCs w:val="24"/>
        </w:rPr>
        <w:t xml:space="preserve"> est fréquemment utilisé </w:t>
      </w:r>
      <w:r w:rsidR="00B80B59" w:rsidRPr="00C84DF6">
        <w:rPr>
          <w:rFonts w:ascii="Times New Roman" w:hAnsi="Times New Roman" w:cs="Times New Roman"/>
          <w:sz w:val="24"/>
          <w:szCs w:val="24"/>
        </w:rPr>
        <w:t xml:space="preserve">par les forces de l’ordre françaises pour faciliter le menottage des personnes. </w:t>
      </w:r>
      <w:r w:rsidR="007D1A1C" w:rsidRPr="00C84DF6">
        <w:rPr>
          <w:rFonts w:ascii="Times New Roman" w:hAnsi="Times New Roman" w:cs="Times New Roman"/>
          <w:sz w:val="24"/>
          <w:szCs w:val="24"/>
        </w:rPr>
        <w:t xml:space="preserve">Le ministère de l’Intérieur ne </w:t>
      </w:r>
      <w:r w:rsidR="00E12862" w:rsidRPr="00C84DF6">
        <w:rPr>
          <w:rFonts w:ascii="Times New Roman" w:hAnsi="Times New Roman" w:cs="Times New Roman"/>
          <w:sz w:val="24"/>
          <w:szCs w:val="24"/>
        </w:rPr>
        <w:t xml:space="preserve">le </w:t>
      </w:r>
      <w:r w:rsidR="007D1A1C" w:rsidRPr="00C84DF6">
        <w:rPr>
          <w:rFonts w:ascii="Times New Roman" w:hAnsi="Times New Roman" w:cs="Times New Roman"/>
          <w:sz w:val="24"/>
          <w:szCs w:val="24"/>
        </w:rPr>
        <w:t>démentait pas lorsqu’</w:t>
      </w:r>
      <w:r w:rsidR="00E12862" w:rsidRPr="00C84DF6">
        <w:rPr>
          <w:rFonts w:ascii="Times New Roman" w:hAnsi="Times New Roman" w:cs="Times New Roman"/>
          <w:sz w:val="24"/>
          <w:szCs w:val="24"/>
        </w:rPr>
        <w:t xml:space="preserve">en 2013 </w:t>
      </w:r>
      <w:r w:rsidR="007D1A1C" w:rsidRPr="00C84DF6">
        <w:rPr>
          <w:rFonts w:ascii="Times New Roman" w:hAnsi="Times New Roman" w:cs="Times New Roman"/>
          <w:sz w:val="24"/>
          <w:szCs w:val="24"/>
        </w:rPr>
        <w:t xml:space="preserve">il </w:t>
      </w:r>
      <w:r w:rsidR="00E12862" w:rsidRPr="00C84DF6">
        <w:rPr>
          <w:rFonts w:ascii="Times New Roman" w:hAnsi="Times New Roman" w:cs="Times New Roman"/>
          <w:sz w:val="24"/>
          <w:szCs w:val="24"/>
        </w:rPr>
        <w:t xml:space="preserve">justifiait cette pratique par le fait que l’utilisation du </w:t>
      </w:r>
      <w:proofErr w:type="spellStart"/>
      <w:r w:rsidR="00E12862" w:rsidRPr="00C84DF6">
        <w:rPr>
          <w:rFonts w:ascii="Times New Roman" w:hAnsi="Times New Roman" w:cs="Times New Roman"/>
          <w:sz w:val="24"/>
          <w:szCs w:val="24"/>
        </w:rPr>
        <w:t>taser</w:t>
      </w:r>
      <w:proofErr w:type="spellEnd"/>
      <w:r w:rsidR="00E12862" w:rsidRPr="00C84DF6">
        <w:rPr>
          <w:rFonts w:ascii="Times New Roman" w:hAnsi="Times New Roman" w:cs="Times New Roman"/>
          <w:sz w:val="24"/>
          <w:szCs w:val="24"/>
        </w:rPr>
        <w:t xml:space="preserve"> pour menotter une personne peut s’avérer </w:t>
      </w:r>
      <w:r w:rsidR="0073377B" w:rsidRPr="00C84DF6">
        <w:rPr>
          <w:rFonts w:ascii="Times New Roman" w:hAnsi="Times New Roman" w:cs="Times New Roman"/>
          <w:sz w:val="24"/>
          <w:szCs w:val="24"/>
        </w:rPr>
        <w:t>« </w:t>
      </w:r>
      <w:r w:rsidR="0073377B" w:rsidRPr="00C84DF6">
        <w:rPr>
          <w:rFonts w:ascii="Times New Roman" w:hAnsi="Times New Roman" w:cs="Times New Roman"/>
          <w:i/>
          <w:iCs/>
          <w:sz w:val="24"/>
          <w:szCs w:val="24"/>
        </w:rPr>
        <w:t>moi</w:t>
      </w:r>
      <w:r w:rsidR="00090B71" w:rsidRPr="00C84DF6">
        <w:rPr>
          <w:rFonts w:ascii="Times New Roman" w:hAnsi="Times New Roman" w:cs="Times New Roman"/>
          <w:i/>
          <w:iCs/>
          <w:sz w:val="24"/>
          <w:szCs w:val="24"/>
        </w:rPr>
        <w:t>n</w:t>
      </w:r>
      <w:r w:rsidR="0073377B" w:rsidRPr="00C84DF6">
        <w:rPr>
          <w:rFonts w:ascii="Times New Roman" w:hAnsi="Times New Roman" w:cs="Times New Roman"/>
          <w:i/>
          <w:iCs/>
          <w:sz w:val="24"/>
          <w:szCs w:val="24"/>
        </w:rPr>
        <w:t>s dangereuse pour l’intégrité physique de la personne d’une intervention physique des policiers et des gendarmes</w:t>
      </w:r>
      <w:r w:rsidR="0073377B" w:rsidRPr="00C84DF6">
        <w:rPr>
          <w:rFonts w:ascii="Times New Roman" w:hAnsi="Times New Roman" w:cs="Times New Roman"/>
          <w:sz w:val="24"/>
          <w:szCs w:val="24"/>
        </w:rPr>
        <w:t> »</w:t>
      </w:r>
      <w:r w:rsidR="0073377B">
        <w:rPr>
          <w:rStyle w:val="FootnoteReference"/>
          <w:rFonts w:ascii="Times New Roman" w:hAnsi="Times New Roman" w:cs="Times New Roman"/>
          <w:sz w:val="24"/>
          <w:szCs w:val="24"/>
        </w:rPr>
        <w:footnoteReference w:id="64"/>
      </w:r>
      <w:r w:rsidR="0073377B" w:rsidRPr="00C84DF6">
        <w:rPr>
          <w:rFonts w:ascii="Times New Roman" w:hAnsi="Times New Roman" w:cs="Times New Roman"/>
          <w:sz w:val="24"/>
          <w:szCs w:val="24"/>
        </w:rPr>
        <w:t xml:space="preserve">. </w:t>
      </w:r>
    </w:p>
    <w:p w14:paraId="04E462EC" w14:textId="77777777" w:rsidR="00C84DF6" w:rsidRPr="00C84DF6" w:rsidRDefault="00C84DF6" w:rsidP="00C84DF6">
      <w:pPr>
        <w:pStyle w:val="ListParagraph"/>
        <w:rPr>
          <w:rFonts w:ascii="Times New Roman" w:hAnsi="Times New Roman" w:cs="Times New Roman"/>
          <w:sz w:val="24"/>
          <w:szCs w:val="24"/>
        </w:rPr>
      </w:pPr>
    </w:p>
    <w:p w14:paraId="5132A405" w14:textId="77777777" w:rsidR="00C84DF6" w:rsidRDefault="00045018" w:rsidP="00B6391A">
      <w:pPr>
        <w:pStyle w:val="ListParagraph"/>
        <w:numPr>
          <w:ilvl w:val="0"/>
          <w:numId w:val="35"/>
        </w:numPr>
        <w:spacing w:after="120"/>
        <w:ind w:left="0" w:hanging="567"/>
        <w:jc w:val="both"/>
        <w:rPr>
          <w:rFonts w:ascii="Times New Roman" w:hAnsi="Times New Roman" w:cs="Times New Roman"/>
          <w:sz w:val="24"/>
          <w:szCs w:val="24"/>
        </w:rPr>
      </w:pPr>
      <w:r w:rsidRPr="00C84DF6">
        <w:rPr>
          <w:rFonts w:ascii="Times New Roman" w:hAnsi="Times New Roman" w:cs="Times New Roman"/>
          <w:sz w:val="24"/>
          <w:szCs w:val="24"/>
        </w:rPr>
        <w:t xml:space="preserve">Parfois le </w:t>
      </w:r>
      <w:proofErr w:type="spellStart"/>
      <w:r w:rsidRPr="00C84DF6">
        <w:rPr>
          <w:rFonts w:ascii="Times New Roman" w:hAnsi="Times New Roman" w:cs="Times New Roman"/>
          <w:sz w:val="24"/>
          <w:szCs w:val="24"/>
        </w:rPr>
        <w:t>taser</w:t>
      </w:r>
      <w:proofErr w:type="spellEnd"/>
      <w:r w:rsidRPr="00C84DF6">
        <w:rPr>
          <w:rFonts w:ascii="Times New Roman" w:hAnsi="Times New Roman" w:cs="Times New Roman"/>
          <w:sz w:val="24"/>
          <w:szCs w:val="24"/>
        </w:rPr>
        <w:t xml:space="preserve"> est utilisé alors même que l</w:t>
      </w:r>
      <w:r w:rsidR="00716780" w:rsidRPr="00C84DF6">
        <w:rPr>
          <w:rFonts w:ascii="Times New Roman" w:hAnsi="Times New Roman" w:cs="Times New Roman"/>
          <w:sz w:val="24"/>
          <w:szCs w:val="24"/>
        </w:rPr>
        <w:t xml:space="preserve">a personne est menottée et maitrisée. </w:t>
      </w:r>
      <w:r w:rsidR="005D0643" w:rsidRPr="00C84DF6">
        <w:rPr>
          <w:rFonts w:ascii="Times New Roman" w:hAnsi="Times New Roman" w:cs="Times New Roman"/>
          <w:sz w:val="24"/>
          <w:szCs w:val="24"/>
        </w:rPr>
        <w:t>Une p</w:t>
      </w:r>
      <w:r w:rsidR="00716780" w:rsidRPr="00C84DF6">
        <w:rPr>
          <w:rFonts w:ascii="Times New Roman" w:hAnsi="Times New Roman" w:cs="Times New Roman"/>
          <w:sz w:val="24"/>
          <w:szCs w:val="24"/>
        </w:rPr>
        <w:t>ratique confirmée par l’IGPN</w:t>
      </w:r>
      <w:r w:rsidR="005D0643" w:rsidRPr="00C84DF6">
        <w:rPr>
          <w:rFonts w:ascii="Times New Roman" w:hAnsi="Times New Roman" w:cs="Times New Roman"/>
          <w:sz w:val="24"/>
          <w:szCs w:val="24"/>
        </w:rPr>
        <w:t xml:space="preserve"> elle-même : « </w:t>
      </w:r>
      <w:r w:rsidR="005D0643" w:rsidRPr="00C84DF6">
        <w:rPr>
          <w:rFonts w:ascii="Times New Roman" w:hAnsi="Times New Roman" w:cs="Times New Roman"/>
          <w:i/>
          <w:iCs/>
          <w:sz w:val="24"/>
          <w:szCs w:val="24"/>
        </w:rPr>
        <w:t>l’emploi du PIE peut s’avérer également nécessaire, soit pour faire monter le mis en cause dans le véhicule administratif, soit lors du transport</w:t>
      </w:r>
      <w:r w:rsidR="005D0643" w:rsidRPr="00C84DF6">
        <w:rPr>
          <w:rFonts w:ascii="Times New Roman" w:hAnsi="Times New Roman" w:cs="Times New Roman"/>
          <w:sz w:val="24"/>
          <w:szCs w:val="24"/>
        </w:rPr>
        <w:t> »</w:t>
      </w:r>
      <w:r w:rsidR="005D0643">
        <w:rPr>
          <w:rStyle w:val="FootnoteReference"/>
          <w:rFonts w:ascii="Times New Roman" w:hAnsi="Times New Roman" w:cs="Times New Roman"/>
          <w:sz w:val="24"/>
          <w:szCs w:val="24"/>
        </w:rPr>
        <w:footnoteReference w:id="65"/>
      </w:r>
      <w:r w:rsidR="005D0643" w:rsidRPr="00C84DF6">
        <w:rPr>
          <w:rFonts w:ascii="Times New Roman" w:hAnsi="Times New Roman" w:cs="Times New Roman"/>
          <w:sz w:val="24"/>
          <w:szCs w:val="24"/>
        </w:rPr>
        <w:t xml:space="preserve">. </w:t>
      </w:r>
      <w:r w:rsidR="00FA52FF" w:rsidRPr="00C84DF6">
        <w:rPr>
          <w:rFonts w:ascii="Times New Roman" w:hAnsi="Times New Roman" w:cs="Times New Roman"/>
          <w:sz w:val="24"/>
          <w:szCs w:val="24"/>
        </w:rPr>
        <w:t xml:space="preserve">C’est notamment ce qui est arrivé </w:t>
      </w:r>
      <w:r w:rsidR="00231DC5" w:rsidRPr="00C84DF6">
        <w:rPr>
          <w:rFonts w:ascii="Times New Roman" w:hAnsi="Times New Roman" w:cs="Times New Roman"/>
          <w:sz w:val="24"/>
          <w:szCs w:val="24"/>
        </w:rPr>
        <w:t xml:space="preserve">à un homme à Paris </w:t>
      </w:r>
      <w:r w:rsidR="00FA52FF" w:rsidRPr="00C84DF6">
        <w:rPr>
          <w:rFonts w:ascii="Times New Roman" w:hAnsi="Times New Roman" w:cs="Times New Roman"/>
          <w:sz w:val="24"/>
          <w:szCs w:val="24"/>
        </w:rPr>
        <w:t xml:space="preserve">le </w:t>
      </w:r>
      <w:r w:rsidR="009E49CF" w:rsidRPr="00C84DF6">
        <w:rPr>
          <w:rFonts w:ascii="Times New Roman" w:hAnsi="Times New Roman" w:cs="Times New Roman"/>
          <w:sz w:val="24"/>
          <w:szCs w:val="24"/>
        </w:rPr>
        <w:t>5 janvier 2025</w:t>
      </w:r>
      <w:r w:rsidR="00231DC5" w:rsidRPr="00C84DF6">
        <w:rPr>
          <w:rFonts w:ascii="Times New Roman" w:hAnsi="Times New Roman" w:cs="Times New Roman"/>
          <w:sz w:val="24"/>
          <w:szCs w:val="24"/>
        </w:rPr>
        <w:t xml:space="preserve">. Dans une vidéo dont l’ACAT-France a pris connaissance, on </w:t>
      </w:r>
      <w:r w:rsidR="00A42670" w:rsidRPr="00C84DF6">
        <w:rPr>
          <w:rFonts w:ascii="Times New Roman" w:hAnsi="Times New Roman" w:cs="Times New Roman"/>
          <w:sz w:val="24"/>
          <w:szCs w:val="24"/>
        </w:rPr>
        <w:t xml:space="preserve">observe l’arrestation d’un homme par des agents de la police nationale. </w:t>
      </w:r>
      <w:r w:rsidR="006F614A" w:rsidRPr="00C84DF6">
        <w:rPr>
          <w:rFonts w:ascii="Times New Roman" w:hAnsi="Times New Roman" w:cs="Times New Roman"/>
          <w:sz w:val="24"/>
          <w:szCs w:val="24"/>
        </w:rPr>
        <w:t xml:space="preserve">Après avoir subi de graves violences physiques par les agents procédant à son arrestation et une fois menotté, </w:t>
      </w:r>
      <w:r w:rsidR="004178EF" w:rsidRPr="00C84DF6">
        <w:rPr>
          <w:rFonts w:ascii="Times New Roman" w:hAnsi="Times New Roman" w:cs="Times New Roman"/>
          <w:sz w:val="24"/>
          <w:szCs w:val="24"/>
        </w:rPr>
        <w:t>l’homme</w:t>
      </w:r>
      <w:r w:rsidR="00A93E83" w:rsidRPr="00C84DF6">
        <w:rPr>
          <w:rFonts w:ascii="Times New Roman" w:hAnsi="Times New Roman" w:cs="Times New Roman"/>
          <w:sz w:val="24"/>
          <w:szCs w:val="24"/>
        </w:rPr>
        <w:t>,</w:t>
      </w:r>
      <w:r w:rsidR="004178EF" w:rsidRPr="00C84DF6">
        <w:rPr>
          <w:rFonts w:ascii="Times New Roman" w:hAnsi="Times New Roman" w:cs="Times New Roman"/>
          <w:sz w:val="24"/>
          <w:szCs w:val="24"/>
        </w:rPr>
        <w:t xml:space="preserve"> avant de monter dans le véhicule administratif</w:t>
      </w:r>
      <w:r w:rsidR="00A93E83" w:rsidRPr="00C84DF6">
        <w:rPr>
          <w:rFonts w:ascii="Times New Roman" w:hAnsi="Times New Roman" w:cs="Times New Roman"/>
          <w:sz w:val="24"/>
          <w:szCs w:val="24"/>
        </w:rPr>
        <w:t>,</w:t>
      </w:r>
      <w:r w:rsidR="004178EF" w:rsidRPr="00C84DF6">
        <w:rPr>
          <w:rFonts w:ascii="Times New Roman" w:hAnsi="Times New Roman" w:cs="Times New Roman"/>
          <w:sz w:val="24"/>
          <w:szCs w:val="24"/>
        </w:rPr>
        <w:t xml:space="preserve"> se voit infliger quatre </w:t>
      </w:r>
      <w:r w:rsidR="003A7587" w:rsidRPr="00C84DF6">
        <w:rPr>
          <w:rFonts w:ascii="Times New Roman" w:hAnsi="Times New Roman" w:cs="Times New Roman"/>
          <w:sz w:val="24"/>
          <w:szCs w:val="24"/>
        </w:rPr>
        <w:t xml:space="preserve">coups de </w:t>
      </w:r>
      <w:proofErr w:type="spellStart"/>
      <w:r w:rsidR="003A7587" w:rsidRPr="00C84DF6">
        <w:rPr>
          <w:rFonts w:ascii="Times New Roman" w:hAnsi="Times New Roman" w:cs="Times New Roman"/>
          <w:sz w:val="24"/>
          <w:szCs w:val="24"/>
        </w:rPr>
        <w:t>taser</w:t>
      </w:r>
      <w:proofErr w:type="spellEnd"/>
      <w:r w:rsidR="003A7587">
        <w:rPr>
          <w:rStyle w:val="FootnoteReference"/>
          <w:rFonts w:ascii="Times New Roman" w:hAnsi="Times New Roman" w:cs="Times New Roman"/>
          <w:sz w:val="24"/>
          <w:szCs w:val="24"/>
        </w:rPr>
        <w:footnoteReference w:id="66"/>
      </w:r>
      <w:r w:rsidR="003A7587" w:rsidRPr="00C84DF6">
        <w:rPr>
          <w:rFonts w:ascii="Times New Roman" w:hAnsi="Times New Roman" w:cs="Times New Roman"/>
          <w:sz w:val="24"/>
          <w:szCs w:val="24"/>
        </w:rPr>
        <w:t xml:space="preserve">. </w:t>
      </w:r>
      <w:r w:rsidR="002749F4" w:rsidRPr="00C84DF6">
        <w:rPr>
          <w:rFonts w:ascii="Times New Roman" w:hAnsi="Times New Roman" w:cs="Times New Roman"/>
          <w:sz w:val="24"/>
          <w:szCs w:val="24"/>
        </w:rPr>
        <w:t xml:space="preserve">Alors même qu’il est menotté et maitrisé, recevoir quatre coups de </w:t>
      </w:r>
      <w:proofErr w:type="spellStart"/>
      <w:r w:rsidR="002749F4" w:rsidRPr="00C84DF6">
        <w:rPr>
          <w:rFonts w:ascii="Times New Roman" w:hAnsi="Times New Roman" w:cs="Times New Roman"/>
          <w:sz w:val="24"/>
          <w:szCs w:val="24"/>
        </w:rPr>
        <w:t>taser</w:t>
      </w:r>
      <w:proofErr w:type="spellEnd"/>
      <w:r w:rsidR="002749F4" w:rsidRPr="00C84DF6">
        <w:rPr>
          <w:rFonts w:ascii="Times New Roman" w:hAnsi="Times New Roman" w:cs="Times New Roman"/>
          <w:sz w:val="24"/>
          <w:szCs w:val="24"/>
        </w:rPr>
        <w:t xml:space="preserve"> </w:t>
      </w:r>
      <w:r w:rsidR="00520F04" w:rsidRPr="00C84DF6">
        <w:rPr>
          <w:rFonts w:ascii="Times New Roman" w:hAnsi="Times New Roman" w:cs="Times New Roman"/>
          <w:sz w:val="24"/>
          <w:szCs w:val="24"/>
        </w:rPr>
        <w:t xml:space="preserve">ne répond pas aux critères de nécessité et de proportionnalité de l’usage de toute arme à l’encontre d’un individu. </w:t>
      </w:r>
    </w:p>
    <w:p w14:paraId="1ECB3B25" w14:textId="77777777" w:rsidR="00C84DF6" w:rsidRPr="00C84DF6" w:rsidRDefault="00C84DF6" w:rsidP="00C84DF6">
      <w:pPr>
        <w:pStyle w:val="ListParagraph"/>
        <w:rPr>
          <w:rFonts w:ascii="Times New Roman" w:hAnsi="Times New Roman" w:cs="Times New Roman"/>
          <w:sz w:val="24"/>
          <w:szCs w:val="24"/>
        </w:rPr>
      </w:pPr>
    </w:p>
    <w:p w14:paraId="1B8A391B" w14:textId="77777777" w:rsidR="00C84DF6" w:rsidRDefault="001D44A6" w:rsidP="00B6391A">
      <w:pPr>
        <w:pStyle w:val="ListParagraph"/>
        <w:numPr>
          <w:ilvl w:val="0"/>
          <w:numId w:val="35"/>
        </w:numPr>
        <w:spacing w:after="120"/>
        <w:ind w:left="0" w:hanging="567"/>
        <w:jc w:val="both"/>
        <w:rPr>
          <w:rFonts w:ascii="Times New Roman" w:hAnsi="Times New Roman" w:cs="Times New Roman"/>
          <w:sz w:val="24"/>
          <w:szCs w:val="24"/>
        </w:rPr>
      </w:pPr>
      <w:r w:rsidRPr="00C84DF6">
        <w:rPr>
          <w:rFonts w:ascii="Times New Roman" w:hAnsi="Times New Roman" w:cs="Times New Roman"/>
          <w:sz w:val="24"/>
          <w:szCs w:val="24"/>
        </w:rPr>
        <w:t>Le Comité s’est inquiété à plusieurs reprises des effets des PIE estimant qu’ils peuvent causer une douleur aiguë et peuvent à ce titre entrer dans le champ de la qualifi</w:t>
      </w:r>
      <w:r w:rsidRPr="00C84DF6">
        <w:rPr>
          <w:rFonts w:ascii="Times New Roman" w:hAnsi="Times New Roman" w:cs="Times New Roman"/>
          <w:sz w:val="24"/>
          <w:szCs w:val="24"/>
        </w:rPr>
        <w:softHyphen/>
        <w:t>cation de torture</w:t>
      </w:r>
      <w:r>
        <w:rPr>
          <w:rStyle w:val="FootnoteReference"/>
          <w:rFonts w:ascii="Times New Roman" w:hAnsi="Times New Roman" w:cs="Times New Roman"/>
          <w:sz w:val="24"/>
          <w:szCs w:val="24"/>
        </w:rPr>
        <w:footnoteReference w:id="67"/>
      </w:r>
      <w:r w:rsidRPr="00C84DF6">
        <w:rPr>
          <w:rFonts w:ascii="Times New Roman" w:hAnsi="Times New Roman" w:cs="Times New Roman"/>
          <w:sz w:val="24"/>
          <w:szCs w:val="24"/>
        </w:rPr>
        <w:t>. Ces armes sont d’ailleurs inscrites sur la liste européenne des maté</w:t>
      </w:r>
      <w:r w:rsidRPr="00C84DF6">
        <w:rPr>
          <w:rFonts w:ascii="Times New Roman" w:hAnsi="Times New Roman" w:cs="Times New Roman"/>
          <w:sz w:val="24"/>
          <w:szCs w:val="24"/>
        </w:rPr>
        <w:softHyphen/>
        <w:t>riels qui, en cas de mésusage ou d’abus, peuvent relever des cas de traitements cruels, inhumains ou dégradants</w:t>
      </w:r>
      <w:r w:rsidR="009C01B6">
        <w:rPr>
          <w:rStyle w:val="FootnoteReference"/>
          <w:rFonts w:ascii="Times New Roman" w:hAnsi="Times New Roman" w:cs="Times New Roman"/>
          <w:sz w:val="24"/>
          <w:szCs w:val="24"/>
        </w:rPr>
        <w:footnoteReference w:id="68"/>
      </w:r>
      <w:r w:rsidRPr="00C84DF6">
        <w:rPr>
          <w:rFonts w:ascii="Times New Roman" w:hAnsi="Times New Roman" w:cs="Times New Roman"/>
          <w:sz w:val="24"/>
          <w:szCs w:val="24"/>
        </w:rPr>
        <w:t>.</w:t>
      </w:r>
    </w:p>
    <w:p w14:paraId="20BD739D" w14:textId="77777777" w:rsidR="00C84DF6" w:rsidRPr="00C84DF6" w:rsidRDefault="00C84DF6" w:rsidP="00C84DF6">
      <w:pPr>
        <w:pStyle w:val="ListParagraph"/>
        <w:rPr>
          <w:rFonts w:ascii="Times New Roman" w:hAnsi="Times New Roman" w:cs="Times New Roman"/>
          <w:sz w:val="24"/>
          <w:szCs w:val="24"/>
        </w:rPr>
      </w:pPr>
    </w:p>
    <w:p w14:paraId="2C46DF9D" w14:textId="77777777" w:rsidR="001B4B00" w:rsidRDefault="001D44A6" w:rsidP="00153E23">
      <w:pPr>
        <w:pStyle w:val="ListParagraph"/>
        <w:numPr>
          <w:ilvl w:val="0"/>
          <w:numId w:val="35"/>
        </w:numPr>
        <w:spacing w:after="120"/>
        <w:ind w:left="0" w:hanging="567"/>
        <w:jc w:val="both"/>
        <w:rPr>
          <w:rFonts w:ascii="Times New Roman" w:hAnsi="Times New Roman" w:cs="Times New Roman"/>
          <w:sz w:val="24"/>
          <w:szCs w:val="24"/>
        </w:rPr>
      </w:pPr>
      <w:r w:rsidRPr="00C84DF6">
        <w:rPr>
          <w:rFonts w:ascii="Times New Roman" w:hAnsi="Times New Roman" w:cs="Times New Roman"/>
          <w:sz w:val="24"/>
          <w:szCs w:val="24"/>
        </w:rPr>
        <w:t>C</w:t>
      </w:r>
      <w:r w:rsidR="00D03F25" w:rsidRPr="00C84DF6">
        <w:rPr>
          <w:rFonts w:ascii="Times New Roman" w:hAnsi="Times New Roman" w:cs="Times New Roman"/>
          <w:sz w:val="24"/>
          <w:szCs w:val="24"/>
        </w:rPr>
        <w:t>omme le Comité a déjà eu l’occasion de le souligner, « </w:t>
      </w:r>
      <w:r w:rsidR="00D03F25" w:rsidRPr="00C84DF6">
        <w:rPr>
          <w:rFonts w:ascii="Times New Roman" w:hAnsi="Times New Roman" w:cs="Times New Roman"/>
          <w:i/>
          <w:iCs/>
          <w:sz w:val="24"/>
          <w:szCs w:val="24"/>
        </w:rPr>
        <w:t>les PIE sont à l’origine de douzaines de cas de lésions chaque année</w:t>
      </w:r>
      <w:r w:rsidR="00D03F25" w:rsidRPr="00C84DF6">
        <w:rPr>
          <w:rFonts w:ascii="Times New Roman" w:hAnsi="Times New Roman" w:cs="Times New Roman"/>
          <w:sz w:val="24"/>
          <w:szCs w:val="24"/>
        </w:rPr>
        <w:t> »</w:t>
      </w:r>
      <w:r w:rsidR="00D03F25">
        <w:rPr>
          <w:rStyle w:val="FootnoteReference"/>
          <w:rFonts w:ascii="Times New Roman" w:hAnsi="Times New Roman" w:cs="Times New Roman"/>
          <w:sz w:val="24"/>
          <w:szCs w:val="24"/>
        </w:rPr>
        <w:footnoteReference w:id="69"/>
      </w:r>
      <w:r w:rsidR="00D03F25" w:rsidRPr="00C84DF6">
        <w:rPr>
          <w:rFonts w:ascii="Times New Roman" w:hAnsi="Times New Roman" w:cs="Times New Roman"/>
          <w:sz w:val="24"/>
          <w:szCs w:val="24"/>
        </w:rPr>
        <w:t xml:space="preserve">. </w:t>
      </w:r>
      <w:r w:rsidR="00386F2A" w:rsidRPr="00C84DF6">
        <w:rPr>
          <w:rFonts w:ascii="Times New Roman" w:hAnsi="Times New Roman" w:cs="Times New Roman"/>
          <w:sz w:val="24"/>
          <w:szCs w:val="24"/>
        </w:rPr>
        <w:t xml:space="preserve">Des travaux cliniques évoquent </w:t>
      </w:r>
      <w:r w:rsidR="008575F6" w:rsidRPr="00C84DF6">
        <w:rPr>
          <w:rFonts w:ascii="Times New Roman" w:hAnsi="Times New Roman" w:cs="Times New Roman"/>
          <w:sz w:val="24"/>
          <w:szCs w:val="24"/>
        </w:rPr>
        <w:t>des risques de blessures graves liées à l’impact des ardillons lors d’utilisations en mode tir (lésions vasculaires, lésions génitales externes, pénétrations ocu</w:t>
      </w:r>
      <w:r w:rsidR="008575F6" w:rsidRPr="00C84DF6">
        <w:rPr>
          <w:rFonts w:ascii="Times New Roman" w:hAnsi="Times New Roman" w:cs="Times New Roman"/>
          <w:sz w:val="24"/>
          <w:szCs w:val="24"/>
        </w:rPr>
        <w:softHyphen/>
        <w:t>laires, pénétrations intracrâniennes), ou des risques de brûlures lors d’utilisation en mode contact, risques qui se trouvent encore renforcés en cas d’usage concomitant de gaz lacrymogène. S’y ajoutent des risques de traumatismes consécutifs aux chutes provoquées par la perte du contrôle neuromusculaire. Les médecins évoquent en outre des risques de fausse couche chez les femmes enceintes, des risques de pathologies respiratoires (asthme, bronchite chronique) ou encore d’épilepsie</w:t>
      </w:r>
      <w:r w:rsidR="008F5277">
        <w:rPr>
          <w:rStyle w:val="FootnoteReference"/>
          <w:rFonts w:ascii="Times New Roman" w:hAnsi="Times New Roman" w:cs="Times New Roman"/>
          <w:sz w:val="24"/>
          <w:szCs w:val="24"/>
        </w:rPr>
        <w:footnoteReference w:id="70"/>
      </w:r>
      <w:r w:rsidR="008F5277" w:rsidRPr="00C84DF6">
        <w:rPr>
          <w:rFonts w:ascii="Times New Roman" w:hAnsi="Times New Roman" w:cs="Times New Roman"/>
          <w:sz w:val="24"/>
          <w:szCs w:val="24"/>
        </w:rPr>
        <w:t>.</w:t>
      </w:r>
      <w:r w:rsidR="00153E23">
        <w:rPr>
          <w:rFonts w:ascii="Times New Roman" w:hAnsi="Times New Roman" w:cs="Times New Roman"/>
          <w:sz w:val="24"/>
          <w:szCs w:val="24"/>
        </w:rPr>
        <w:t xml:space="preserve"> </w:t>
      </w:r>
    </w:p>
    <w:p w14:paraId="35FD67C5" w14:textId="77777777" w:rsidR="001B4B00" w:rsidRPr="001B4B00" w:rsidRDefault="001B4B00" w:rsidP="001B4B00">
      <w:pPr>
        <w:pStyle w:val="ListParagraph"/>
        <w:rPr>
          <w:rFonts w:ascii="Times New Roman" w:hAnsi="Times New Roman" w:cs="Times New Roman"/>
          <w:sz w:val="24"/>
          <w:szCs w:val="24"/>
        </w:rPr>
      </w:pPr>
    </w:p>
    <w:p w14:paraId="0F0163D7" w14:textId="75E9FAC9" w:rsidR="00DB28EB" w:rsidRPr="00153E23" w:rsidRDefault="00890368" w:rsidP="00153E23">
      <w:pPr>
        <w:pStyle w:val="ListParagraph"/>
        <w:numPr>
          <w:ilvl w:val="0"/>
          <w:numId w:val="35"/>
        </w:numPr>
        <w:spacing w:after="120"/>
        <w:ind w:left="0" w:hanging="567"/>
        <w:jc w:val="both"/>
        <w:rPr>
          <w:rFonts w:ascii="Times New Roman" w:hAnsi="Times New Roman" w:cs="Times New Roman"/>
          <w:sz w:val="24"/>
          <w:szCs w:val="24"/>
        </w:rPr>
      </w:pPr>
      <w:r w:rsidRPr="00153E23">
        <w:rPr>
          <w:rFonts w:ascii="Times New Roman" w:hAnsi="Times New Roman" w:cs="Times New Roman"/>
          <w:sz w:val="24"/>
          <w:szCs w:val="24"/>
        </w:rPr>
        <w:t xml:space="preserve">Selon le rapport de l’IGPN, </w:t>
      </w:r>
      <w:r w:rsidR="00EC572F" w:rsidRPr="00153E23">
        <w:rPr>
          <w:rFonts w:ascii="Times New Roman" w:hAnsi="Times New Roman" w:cs="Times New Roman"/>
          <w:sz w:val="24"/>
          <w:szCs w:val="24"/>
        </w:rPr>
        <w:t>trois personnes ont été grièvement blessées en 2023 par un PIE</w:t>
      </w:r>
      <w:r w:rsidR="00EC572F">
        <w:rPr>
          <w:rStyle w:val="FootnoteReference"/>
          <w:rFonts w:ascii="Times New Roman" w:hAnsi="Times New Roman" w:cs="Times New Roman"/>
          <w:sz w:val="24"/>
          <w:szCs w:val="24"/>
        </w:rPr>
        <w:footnoteReference w:id="71"/>
      </w:r>
      <w:r w:rsidR="00EC572F" w:rsidRPr="00153E23">
        <w:rPr>
          <w:rFonts w:ascii="Times New Roman" w:hAnsi="Times New Roman" w:cs="Times New Roman"/>
          <w:sz w:val="24"/>
          <w:szCs w:val="24"/>
        </w:rPr>
        <w:t xml:space="preserve">. </w:t>
      </w:r>
    </w:p>
    <w:p w14:paraId="435FEEB8" w14:textId="77777777" w:rsidR="00DB28EB" w:rsidRPr="00DB28EB" w:rsidRDefault="00DB28EB" w:rsidP="00DB28EB">
      <w:pPr>
        <w:pStyle w:val="ListParagraph"/>
        <w:rPr>
          <w:rFonts w:ascii="Times New Roman" w:hAnsi="Times New Roman" w:cs="Times New Roman"/>
          <w:sz w:val="24"/>
          <w:szCs w:val="24"/>
        </w:rPr>
      </w:pPr>
    </w:p>
    <w:p w14:paraId="092B9694" w14:textId="77777777" w:rsidR="00DB28EB" w:rsidRDefault="00831F91" w:rsidP="00B6391A">
      <w:pPr>
        <w:pStyle w:val="ListParagraph"/>
        <w:numPr>
          <w:ilvl w:val="0"/>
          <w:numId w:val="35"/>
        </w:numPr>
        <w:spacing w:after="120"/>
        <w:ind w:left="0" w:hanging="567"/>
        <w:jc w:val="both"/>
        <w:rPr>
          <w:rFonts w:ascii="Times New Roman" w:hAnsi="Times New Roman" w:cs="Times New Roman"/>
          <w:sz w:val="24"/>
          <w:szCs w:val="24"/>
        </w:rPr>
      </w:pPr>
      <w:r w:rsidRPr="00DB28EB">
        <w:rPr>
          <w:rFonts w:ascii="Times New Roman" w:hAnsi="Times New Roman" w:cs="Times New Roman"/>
          <w:sz w:val="24"/>
          <w:szCs w:val="24"/>
        </w:rPr>
        <w:t xml:space="preserve">Le caractère supposé non létal des PIE est par ailleurs régulièrement contesté. Par le passé, le Comité s’est d’ailleurs montré inquiet « </w:t>
      </w:r>
      <w:r w:rsidRPr="00DB28EB">
        <w:rPr>
          <w:rFonts w:ascii="Times New Roman" w:hAnsi="Times New Roman" w:cs="Times New Roman"/>
          <w:i/>
          <w:iCs/>
          <w:sz w:val="24"/>
          <w:szCs w:val="24"/>
        </w:rPr>
        <w:t xml:space="preserve">de ce que l’usage de ces armes (…) peut, dans certains cas, causer la mort, ainsi que l’ont révélé des études fiables et des faits récents survenus dans la pratique </w:t>
      </w:r>
      <w:r w:rsidRPr="00DB28EB">
        <w:rPr>
          <w:rFonts w:ascii="Times New Roman" w:hAnsi="Times New Roman" w:cs="Times New Roman"/>
          <w:sz w:val="24"/>
          <w:szCs w:val="24"/>
        </w:rPr>
        <w:t>»</w:t>
      </w:r>
      <w:r w:rsidR="00E5762B">
        <w:rPr>
          <w:rStyle w:val="FootnoteReference"/>
          <w:rFonts w:ascii="Times New Roman" w:hAnsi="Times New Roman" w:cs="Times New Roman"/>
          <w:sz w:val="24"/>
          <w:szCs w:val="24"/>
        </w:rPr>
        <w:footnoteReference w:id="72"/>
      </w:r>
      <w:r w:rsidRPr="00DB28EB">
        <w:rPr>
          <w:rFonts w:ascii="Times New Roman" w:hAnsi="Times New Roman" w:cs="Times New Roman"/>
          <w:sz w:val="24"/>
          <w:szCs w:val="24"/>
        </w:rPr>
        <w:t>. Selon un rapport d’Amnesty International publié en 2012, plus de 500 personnes sont décédées aux États-Unis depuis 2001, après avoir reçu des décharges de pistolets à impulsion électrique. Parmi ces décès, une soixantaine ont été formelle</w:t>
      </w:r>
      <w:r w:rsidRPr="00DB28EB">
        <w:rPr>
          <w:rFonts w:ascii="Times New Roman" w:hAnsi="Times New Roman" w:cs="Times New Roman"/>
          <w:sz w:val="24"/>
          <w:szCs w:val="24"/>
        </w:rPr>
        <w:softHyphen/>
        <w:t>ment attribués aux PIE</w:t>
      </w:r>
      <w:r w:rsidR="00490A94">
        <w:rPr>
          <w:rStyle w:val="FootnoteReference"/>
          <w:rFonts w:ascii="Times New Roman" w:hAnsi="Times New Roman" w:cs="Times New Roman"/>
          <w:sz w:val="24"/>
          <w:szCs w:val="24"/>
        </w:rPr>
        <w:footnoteReference w:id="73"/>
      </w:r>
      <w:r w:rsidRPr="00DB28EB">
        <w:rPr>
          <w:rFonts w:ascii="Times New Roman" w:hAnsi="Times New Roman" w:cs="Times New Roman"/>
          <w:sz w:val="24"/>
          <w:szCs w:val="24"/>
        </w:rPr>
        <w:t>. En juillet 2015, les magistrats britanniques ont à leur tour incriminé le Taser</w:t>
      </w:r>
      <w:r w:rsidR="00CA1474" w:rsidRPr="00DB28EB">
        <w:rPr>
          <w:rFonts w:ascii="Times New Roman" w:hAnsi="Times New Roman" w:cs="Times New Roman"/>
          <w:sz w:val="24"/>
          <w:szCs w:val="24"/>
        </w:rPr>
        <w:t>x26</w:t>
      </w:r>
      <w:r w:rsidRPr="00DB28EB">
        <w:rPr>
          <w:rFonts w:ascii="Times New Roman" w:hAnsi="Times New Roman" w:cs="Times New Roman"/>
          <w:sz w:val="24"/>
          <w:szCs w:val="24"/>
        </w:rPr>
        <w:t xml:space="preserve"> dans la mort d’un homme et ont reconnu que la décharge électrique lui avait été fatale</w:t>
      </w:r>
      <w:r w:rsidR="001A62B4">
        <w:rPr>
          <w:rStyle w:val="FootnoteReference"/>
          <w:rFonts w:ascii="Times New Roman" w:hAnsi="Times New Roman" w:cs="Times New Roman"/>
          <w:sz w:val="24"/>
          <w:szCs w:val="24"/>
        </w:rPr>
        <w:footnoteReference w:id="74"/>
      </w:r>
      <w:r w:rsidRPr="00DB28EB">
        <w:rPr>
          <w:rFonts w:ascii="Times New Roman" w:hAnsi="Times New Roman" w:cs="Times New Roman"/>
          <w:sz w:val="24"/>
          <w:szCs w:val="24"/>
        </w:rPr>
        <w:t>.</w:t>
      </w:r>
    </w:p>
    <w:p w14:paraId="683C5007" w14:textId="5BF93221" w:rsidR="00DB28EB" w:rsidRPr="00DB28EB" w:rsidRDefault="00DB28EB" w:rsidP="00DB28EB">
      <w:pPr>
        <w:pStyle w:val="ListParagraph"/>
        <w:rPr>
          <w:rFonts w:ascii="Times New Roman" w:hAnsi="Times New Roman" w:cs="Times New Roman"/>
          <w:sz w:val="24"/>
          <w:szCs w:val="24"/>
        </w:rPr>
      </w:pPr>
    </w:p>
    <w:p w14:paraId="3F25CCBF" w14:textId="7969B530" w:rsidR="001A62B4" w:rsidRPr="00DB28EB" w:rsidRDefault="001A62B4" w:rsidP="00B6391A">
      <w:pPr>
        <w:pStyle w:val="ListParagraph"/>
        <w:numPr>
          <w:ilvl w:val="0"/>
          <w:numId w:val="35"/>
        </w:numPr>
        <w:spacing w:after="120"/>
        <w:ind w:left="0" w:hanging="567"/>
        <w:jc w:val="both"/>
        <w:rPr>
          <w:rFonts w:ascii="Times New Roman" w:hAnsi="Times New Roman" w:cs="Times New Roman"/>
          <w:sz w:val="24"/>
          <w:szCs w:val="24"/>
        </w:rPr>
      </w:pPr>
      <w:r w:rsidRPr="00DB28EB">
        <w:rPr>
          <w:rFonts w:ascii="Times New Roman" w:hAnsi="Times New Roman" w:cs="Times New Roman"/>
          <w:sz w:val="24"/>
          <w:szCs w:val="24"/>
        </w:rPr>
        <w:t xml:space="preserve">En France, l’ACAT-France a recensé au moins </w:t>
      </w:r>
      <w:r w:rsidR="004D1B21" w:rsidRPr="00DB28EB">
        <w:rPr>
          <w:rFonts w:ascii="Times New Roman" w:hAnsi="Times New Roman" w:cs="Times New Roman"/>
          <w:sz w:val="24"/>
          <w:szCs w:val="24"/>
        </w:rPr>
        <w:t xml:space="preserve">sept décès depuis 2010, à la suite de l’utilisation d’un PIE. </w:t>
      </w:r>
      <w:r w:rsidR="00911891" w:rsidRPr="00DB28EB">
        <w:rPr>
          <w:rFonts w:ascii="Times New Roman" w:hAnsi="Times New Roman" w:cs="Times New Roman"/>
          <w:sz w:val="24"/>
          <w:szCs w:val="24"/>
        </w:rPr>
        <w:t xml:space="preserve">Parmi elles, le 5 janvier 2024 </w:t>
      </w:r>
      <w:r w:rsidR="00F45F75" w:rsidRPr="00DB28EB">
        <w:rPr>
          <w:rFonts w:ascii="Times New Roman" w:hAnsi="Times New Roman" w:cs="Times New Roman"/>
          <w:sz w:val="24"/>
          <w:szCs w:val="24"/>
        </w:rPr>
        <w:t>un homme âgé de 30 ans a succombé à deux arrêts cardio-respiratoires successifs après avoir été la cible de plusieurs tirs de PIE</w:t>
      </w:r>
      <w:r w:rsidR="003F14EB">
        <w:rPr>
          <w:rStyle w:val="FootnoteReference"/>
          <w:rFonts w:ascii="Times New Roman" w:hAnsi="Times New Roman" w:cs="Times New Roman"/>
          <w:sz w:val="24"/>
          <w:szCs w:val="24"/>
        </w:rPr>
        <w:footnoteReference w:id="75"/>
      </w:r>
      <w:r w:rsidR="00F45F75" w:rsidRPr="00DB28EB">
        <w:rPr>
          <w:rFonts w:ascii="Times New Roman" w:hAnsi="Times New Roman" w:cs="Times New Roman"/>
          <w:sz w:val="24"/>
          <w:szCs w:val="24"/>
        </w:rPr>
        <w:t>.</w:t>
      </w:r>
      <w:r w:rsidR="001C7B8E" w:rsidRPr="00DB28EB">
        <w:rPr>
          <w:rFonts w:ascii="Times New Roman" w:hAnsi="Times New Roman" w:cs="Times New Roman"/>
          <w:sz w:val="24"/>
          <w:szCs w:val="24"/>
        </w:rPr>
        <w:t xml:space="preserve"> </w:t>
      </w:r>
    </w:p>
    <w:p w14:paraId="413D0A48" w14:textId="1A94C410" w:rsidR="00DA4FF4" w:rsidRDefault="0082362E" w:rsidP="00B6391A">
      <w:pPr>
        <w:spacing w:after="1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3DA7FF0A" wp14:editId="7657374C">
                <wp:simplePos x="0" y="0"/>
                <wp:positionH relativeFrom="margin">
                  <wp:align>center</wp:align>
                </wp:positionH>
                <wp:positionV relativeFrom="paragraph">
                  <wp:posOffset>125095</wp:posOffset>
                </wp:positionV>
                <wp:extent cx="6400800" cy="4029075"/>
                <wp:effectExtent l="0" t="0" r="19050" b="28575"/>
                <wp:wrapNone/>
                <wp:docPr id="1013272452" name="Rectangle 2"/>
                <wp:cNvGraphicFramePr/>
                <a:graphic xmlns:a="http://schemas.openxmlformats.org/drawingml/2006/main">
                  <a:graphicData uri="http://schemas.microsoft.com/office/word/2010/wordprocessingShape">
                    <wps:wsp>
                      <wps:cNvSpPr/>
                      <wps:spPr>
                        <a:xfrm>
                          <a:off x="0" y="0"/>
                          <a:ext cx="6400800" cy="4029075"/>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A1A3442" w14:textId="77777777" w:rsidR="00DA4FF4" w:rsidRPr="00F941FC" w:rsidRDefault="00DA4FF4" w:rsidP="00F941FC">
                            <w:p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 xml:space="preserve">L’ACAT-France et la FIACAT invitent le Comité à recommander à la France de : </w:t>
                            </w:r>
                          </w:p>
                          <w:p w14:paraId="4621532C" w14:textId="77777777" w:rsidR="00DA4FF4" w:rsidRPr="00F941FC" w:rsidRDefault="00DA4FF4" w:rsidP="00F941FC">
                            <w:pPr>
                              <w:pStyle w:val="ListParagraph"/>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Prendre des mesures efficaces, notamment en matière de formation, pour empêcher que les membres des forces de l’ordre et des forces de sécurité ne fassent un usage excessif de la force ou n’utilisent des armes de force intermédiaire dans les situations où le recours aux armes à létalité réduite ne serait pas justifié ;</w:t>
                            </w:r>
                          </w:p>
                          <w:p w14:paraId="671F7810" w14:textId="77777777" w:rsidR="009F031F" w:rsidRPr="00F941FC" w:rsidRDefault="009F031F" w:rsidP="00F941FC">
                            <w:pPr>
                              <w:pStyle w:val="ListParagraph"/>
                              <w:jc w:val="both"/>
                              <w:rPr>
                                <w:rFonts w:ascii="Times New Roman" w:hAnsi="Times New Roman" w:cs="Times New Roman"/>
                                <w:b/>
                                <w:bCs/>
                                <w:color w:val="000000" w:themeColor="text1"/>
                                <w:sz w:val="24"/>
                                <w:szCs w:val="24"/>
                              </w:rPr>
                            </w:pPr>
                          </w:p>
                          <w:p w14:paraId="702B7E42" w14:textId="69371371" w:rsidR="009F031F" w:rsidRPr="00F941FC" w:rsidRDefault="00DA4FF4" w:rsidP="00F941FC">
                            <w:pPr>
                              <w:pStyle w:val="ListParagraph"/>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Renforcer la formation des agents des forces de l’ordre au maniement des armes à létalité réduite. Cette formation, régulièrement actualisée, doit porter également sur les conséquences de leur usage ;</w:t>
                            </w:r>
                          </w:p>
                          <w:p w14:paraId="4C8CCB1B" w14:textId="77777777" w:rsidR="009F031F" w:rsidRPr="00F941FC" w:rsidRDefault="009F031F" w:rsidP="00F941FC">
                            <w:pPr>
                              <w:pStyle w:val="ListParagraph"/>
                              <w:jc w:val="both"/>
                              <w:rPr>
                                <w:rFonts w:ascii="Times New Roman" w:hAnsi="Times New Roman" w:cs="Times New Roman"/>
                                <w:b/>
                                <w:bCs/>
                                <w:color w:val="000000" w:themeColor="text1"/>
                                <w:sz w:val="24"/>
                                <w:szCs w:val="24"/>
                              </w:rPr>
                            </w:pPr>
                          </w:p>
                          <w:p w14:paraId="69AD7CC1" w14:textId="77777777" w:rsidR="00DA4FF4" w:rsidRPr="00F941FC" w:rsidRDefault="00DA4FF4" w:rsidP="00F941FC">
                            <w:pPr>
                              <w:pStyle w:val="ListParagraph"/>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Interdire l’utilisation des lanceurs de balle de défense en toutes circonstances et procéder au retrait des armes en dotation, conformément aux préconisations de la Rapporteuse spéciale des Nations unies sur la torture ;</w:t>
                            </w:r>
                          </w:p>
                          <w:p w14:paraId="6FA34BAD" w14:textId="77777777" w:rsidR="009F031F" w:rsidRPr="00F941FC" w:rsidRDefault="009F031F" w:rsidP="00F941FC">
                            <w:pPr>
                              <w:pStyle w:val="ListParagraph"/>
                              <w:jc w:val="both"/>
                              <w:rPr>
                                <w:rFonts w:ascii="Times New Roman" w:hAnsi="Times New Roman" w:cs="Times New Roman"/>
                                <w:b/>
                                <w:bCs/>
                                <w:color w:val="000000" w:themeColor="text1"/>
                                <w:sz w:val="24"/>
                                <w:szCs w:val="24"/>
                              </w:rPr>
                            </w:pPr>
                          </w:p>
                          <w:p w14:paraId="3F97F6D1" w14:textId="77777777" w:rsidR="00DA4FF4" w:rsidRPr="00F941FC" w:rsidRDefault="00DA4FF4" w:rsidP="00F941FC">
                            <w:pPr>
                              <w:pStyle w:val="ListParagraph"/>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Engager une réflexion complète sur l’utilisation d’armes explosives dans des dispositifs de maintien de l’ordre ;</w:t>
                            </w:r>
                          </w:p>
                          <w:p w14:paraId="0B316C33" w14:textId="77777777" w:rsidR="009F031F" w:rsidRPr="00F941FC" w:rsidRDefault="009F031F" w:rsidP="00F941FC">
                            <w:pPr>
                              <w:pStyle w:val="ListParagraph"/>
                              <w:jc w:val="both"/>
                              <w:rPr>
                                <w:rFonts w:ascii="Times New Roman" w:hAnsi="Times New Roman" w:cs="Times New Roman"/>
                                <w:b/>
                                <w:bCs/>
                                <w:color w:val="000000" w:themeColor="text1"/>
                                <w:sz w:val="24"/>
                                <w:szCs w:val="24"/>
                              </w:rPr>
                            </w:pPr>
                          </w:p>
                          <w:p w14:paraId="3A539EAB" w14:textId="43E48FAF" w:rsidR="00DA4FF4" w:rsidRPr="00F941FC" w:rsidRDefault="00DA4FF4" w:rsidP="00F941FC">
                            <w:pPr>
                              <w:pStyle w:val="ListParagraph"/>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Limiter l’usage de PIE aux cas d’absolue nécessité, lorsque d’autres moyens moins coercitifs ont échoué et lorsqu’il s’agit de la seule alternative possible à l’utilisation d’une méthode présentant un plus grand risque de blessures ou de décès.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DA7FF0A" id="_x0000_s1034" style="position:absolute;left:0;text-align:left;margin-left:0;margin-top:9.85pt;width:7in;height:317.2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" fillcolor="#dceaf7 [351]" strokecolor="#042433" strokeweight="1pt">
                <v:textbox>
                  <w:txbxContent>
                    <w:p w14:paraId="5A1A3442" w14:textId="77777777" w:rsidR="00DA4FF4" w:rsidRPr="00F941FC" w:rsidRDefault="00DA4FF4" w:rsidP="00F941FC">
                      <w:p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 xml:space="preserve">L’ACAT-France et la FIACAT invitent le Comité à recommander à la France de : </w:t>
                      </w:r>
                    </w:p>
                    <w:p w14:paraId="4621532C" w14:textId="77777777" w:rsidR="00DA4FF4" w:rsidRPr="00F941FC" w:rsidRDefault="00DA4FF4" w:rsidP="00F941FC">
                      <w:pPr>
                        <w:pStyle w:val="Paragraphedeliste"/>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Prendre des mesures efficaces, notamment en matière de formation, pour empêcher que les membres des forces de l’ordre et des forces de sécurité ne fassent un usage excessif de la force ou n’utilisent des armes de force intermédiaire dans les situations où le recours aux armes à létalité réduite ne serait pas justifié ;</w:t>
                      </w:r>
                    </w:p>
                    <w:p w14:paraId="671F7810" w14:textId="77777777" w:rsidR="009F031F" w:rsidRPr="00F941FC" w:rsidRDefault="009F031F" w:rsidP="00F941FC">
                      <w:pPr>
                        <w:pStyle w:val="Paragraphedeliste"/>
                        <w:jc w:val="both"/>
                        <w:rPr>
                          <w:rFonts w:ascii="Times New Roman" w:hAnsi="Times New Roman" w:cs="Times New Roman"/>
                          <w:b/>
                          <w:bCs/>
                          <w:color w:val="000000" w:themeColor="text1"/>
                          <w:sz w:val="24"/>
                          <w:szCs w:val="24"/>
                        </w:rPr>
                      </w:pPr>
                    </w:p>
                    <w:p w14:paraId="702B7E42" w14:textId="69371371" w:rsidR="009F031F" w:rsidRPr="00F941FC" w:rsidRDefault="00DA4FF4" w:rsidP="00F941FC">
                      <w:pPr>
                        <w:pStyle w:val="Paragraphedeliste"/>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Renforcer la formation des agents des forces de l’ordre au maniement des armes à létalité réduite. Cette formation, régulièrement actualisée, doit porter également sur les conséquences de leur usage ;</w:t>
                      </w:r>
                    </w:p>
                    <w:p w14:paraId="4C8CCB1B" w14:textId="77777777" w:rsidR="009F031F" w:rsidRPr="00F941FC" w:rsidRDefault="009F031F" w:rsidP="00F941FC">
                      <w:pPr>
                        <w:pStyle w:val="Paragraphedeliste"/>
                        <w:jc w:val="both"/>
                        <w:rPr>
                          <w:rFonts w:ascii="Times New Roman" w:hAnsi="Times New Roman" w:cs="Times New Roman"/>
                          <w:b/>
                          <w:bCs/>
                          <w:color w:val="000000" w:themeColor="text1"/>
                          <w:sz w:val="24"/>
                          <w:szCs w:val="24"/>
                        </w:rPr>
                      </w:pPr>
                    </w:p>
                    <w:p w14:paraId="69AD7CC1" w14:textId="77777777" w:rsidR="00DA4FF4" w:rsidRPr="00F941FC" w:rsidRDefault="00DA4FF4" w:rsidP="00F941FC">
                      <w:pPr>
                        <w:pStyle w:val="Paragraphedeliste"/>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Interdire l’utilisation des lanceurs de balle de défense en toutes circonstances et procéder au retrait des armes en dotation, conformément aux préconisations de la Rapporteuse spéciale des Nations unies sur la torture ;</w:t>
                      </w:r>
                    </w:p>
                    <w:p w14:paraId="6FA34BAD" w14:textId="77777777" w:rsidR="009F031F" w:rsidRPr="00F941FC" w:rsidRDefault="009F031F" w:rsidP="00F941FC">
                      <w:pPr>
                        <w:pStyle w:val="Paragraphedeliste"/>
                        <w:jc w:val="both"/>
                        <w:rPr>
                          <w:rFonts w:ascii="Times New Roman" w:hAnsi="Times New Roman" w:cs="Times New Roman"/>
                          <w:b/>
                          <w:bCs/>
                          <w:color w:val="000000" w:themeColor="text1"/>
                          <w:sz w:val="24"/>
                          <w:szCs w:val="24"/>
                        </w:rPr>
                      </w:pPr>
                    </w:p>
                    <w:p w14:paraId="3F97F6D1" w14:textId="77777777" w:rsidR="00DA4FF4" w:rsidRPr="00F941FC" w:rsidRDefault="00DA4FF4" w:rsidP="00F941FC">
                      <w:pPr>
                        <w:pStyle w:val="Paragraphedeliste"/>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Engager une réflexion complète sur l’utilisation d’armes explosives dans des dispositifs de maintien de l’ordre ;</w:t>
                      </w:r>
                    </w:p>
                    <w:p w14:paraId="0B316C33" w14:textId="77777777" w:rsidR="009F031F" w:rsidRPr="00F941FC" w:rsidRDefault="009F031F" w:rsidP="00F941FC">
                      <w:pPr>
                        <w:pStyle w:val="Paragraphedeliste"/>
                        <w:jc w:val="both"/>
                        <w:rPr>
                          <w:rFonts w:ascii="Times New Roman" w:hAnsi="Times New Roman" w:cs="Times New Roman"/>
                          <w:b/>
                          <w:bCs/>
                          <w:color w:val="000000" w:themeColor="text1"/>
                          <w:sz w:val="24"/>
                          <w:szCs w:val="24"/>
                        </w:rPr>
                      </w:pPr>
                    </w:p>
                    <w:p w14:paraId="3A539EAB" w14:textId="43E48FAF" w:rsidR="00DA4FF4" w:rsidRPr="00F941FC" w:rsidRDefault="00DA4FF4" w:rsidP="00F941FC">
                      <w:pPr>
                        <w:pStyle w:val="Paragraphedeliste"/>
                        <w:numPr>
                          <w:ilvl w:val="0"/>
                          <w:numId w:val="33"/>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Limiter l’usage de PIE aux cas d’absolue nécessité, lorsque d’autres moyens moins coercitifs ont échoué et lorsqu’il s’agit de la seule alternative possible à l’utilisation d’une méthode présentant un plus grand risque de blessures ou de décès.</w:t>
                      </w:r>
                    </w:p>
                  </w:txbxContent>
                </v:textbox>
                <w10:wrap anchorx="margin"/>
              </v:rect>
            </w:pict>
          </mc:Fallback>
        </mc:AlternateContent>
      </w:r>
    </w:p>
    <w:p w14:paraId="366F209C" w14:textId="2384577D" w:rsidR="00DA4FF4" w:rsidRDefault="00DA4FF4" w:rsidP="00B6391A">
      <w:pPr>
        <w:spacing w:after="120"/>
        <w:jc w:val="both"/>
        <w:rPr>
          <w:rFonts w:ascii="Times New Roman" w:hAnsi="Times New Roman" w:cs="Times New Roman"/>
          <w:sz w:val="24"/>
          <w:szCs w:val="24"/>
        </w:rPr>
      </w:pPr>
    </w:p>
    <w:p w14:paraId="7CBAA84E" w14:textId="118B8B51" w:rsidR="00DA4FF4" w:rsidRDefault="00DA4FF4" w:rsidP="00B6391A">
      <w:pPr>
        <w:spacing w:after="120"/>
        <w:jc w:val="both"/>
        <w:rPr>
          <w:rFonts w:ascii="Times New Roman" w:hAnsi="Times New Roman" w:cs="Times New Roman"/>
          <w:sz w:val="24"/>
          <w:szCs w:val="24"/>
        </w:rPr>
      </w:pPr>
    </w:p>
    <w:p w14:paraId="3261F15C" w14:textId="20D17CD5" w:rsidR="00DA4FF4" w:rsidRDefault="00DA4FF4" w:rsidP="00B6391A">
      <w:pPr>
        <w:spacing w:after="120"/>
        <w:jc w:val="both"/>
        <w:rPr>
          <w:rFonts w:ascii="Times New Roman" w:hAnsi="Times New Roman" w:cs="Times New Roman"/>
          <w:sz w:val="24"/>
          <w:szCs w:val="24"/>
        </w:rPr>
      </w:pPr>
    </w:p>
    <w:p w14:paraId="140E746C" w14:textId="53A69AF0" w:rsidR="00DA4FF4" w:rsidRDefault="00DA4FF4" w:rsidP="00B6391A">
      <w:pPr>
        <w:spacing w:after="120"/>
        <w:jc w:val="both"/>
        <w:rPr>
          <w:rFonts w:ascii="Times New Roman" w:hAnsi="Times New Roman" w:cs="Times New Roman"/>
          <w:sz w:val="24"/>
          <w:szCs w:val="24"/>
        </w:rPr>
      </w:pPr>
    </w:p>
    <w:p w14:paraId="3507079A" w14:textId="736CF36C" w:rsidR="00DA4FF4" w:rsidRDefault="00DA4FF4" w:rsidP="00B6391A">
      <w:pPr>
        <w:spacing w:after="120"/>
        <w:jc w:val="both"/>
        <w:rPr>
          <w:rFonts w:ascii="Times New Roman" w:hAnsi="Times New Roman" w:cs="Times New Roman"/>
          <w:sz w:val="24"/>
          <w:szCs w:val="24"/>
        </w:rPr>
      </w:pPr>
    </w:p>
    <w:p w14:paraId="552A2A51" w14:textId="53551385" w:rsidR="00DA4FF4" w:rsidRDefault="00DA4FF4" w:rsidP="00B6391A">
      <w:pPr>
        <w:spacing w:after="120"/>
        <w:jc w:val="both"/>
        <w:rPr>
          <w:rFonts w:ascii="Times New Roman" w:hAnsi="Times New Roman" w:cs="Times New Roman"/>
          <w:sz w:val="24"/>
          <w:szCs w:val="24"/>
        </w:rPr>
      </w:pPr>
    </w:p>
    <w:p w14:paraId="7D5D2ACE" w14:textId="43789808" w:rsidR="00DA4FF4" w:rsidRDefault="00DA4FF4" w:rsidP="00B6391A">
      <w:pPr>
        <w:spacing w:after="120"/>
        <w:jc w:val="both"/>
        <w:rPr>
          <w:rFonts w:ascii="Times New Roman" w:hAnsi="Times New Roman" w:cs="Times New Roman"/>
          <w:sz w:val="24"/>
          <w:szCs w:val="24"/>
        </w:rPr>
      </w:pPr>
    </w:p>
    <w:p w14:paraId="06606F7E" w14:textId="1BF02203" w:rsidR="00DA4FF4" w:rsidRDefault="00DA4FF4" w:rsidP="00B6391A">
      <w:pPr>
        <w:spacing w:after="120"/>
        <w:jc w:val="both"/>
        <w:rPr>
          <w:rFonts w:ascii="Times New Roman" w:hAnsi="Times New Roman" w:cs="Times New Roman"/>
          <w:sz w:val="24"/>
          <w:szCs w:val="24"/>
        </w:rPr>
      </w:pPr>
    </w:p>
    <w:p w14:paraId="2874C6A6" w14:textId="5E163456" w:rsidR="00DA4FF4" w:rsidRDefault="00DA4FF4" w:rsidP="00B6391A">
      <w:pPr>
        <w:spacing w:after="120"/>
        <w:jc w:val="both"/>
        <w:rPr>
          <w:rFonts w:ascii="Times New Roman" w:hAnsi="Times New Roman" w:cs="Times New Roman"/>
          <w:sz w:val="24"/>
          <w:szCs w:val="24"/>
        </w:rPr>
      </w:pPr>
    </w:p>
    <w:p w14:paraId="457422C9" w14:textId="1AAB4F3B" w:rsidR="00DA4FF4" w:rsidRDefault="00DA4FF4" w:rsidP="00B6391A">
      <w:pPr>
        <w:spacing w:after="120"/>
        <w:jc w:val="both"/>
        <w:rPr>
          <w:rFonts w:ascii="Times New Roman" w:hAnsi="Times New Roman" w:cs="Times New Roman"/>
          <w:sz w:val="24"/>
          <w:szCs w:val="24"/>
        </w:rPr>
      </w:pPr>
    </w:p>
    <w:p w14:paraId="7E330FF8" w14:textId="5E03E577" w:rsidR="00DA4FF4" w:rsidRDefault="00DA4FF4" w:rsidP="00B6391A">
      <w:pPr>
        <w:spacing w:after="120"/>
        <w:jc w:val="both"/>
        <w:rPr>
          <w:rFonts w:ascii="Times New Roman" w:hAnsi="Times New Roman" w:cs="Times New Roman"/>
          <w:sz w:val="24"/>
          <w:szCs w:val="24"/>
        </w:rPr>
      </w:pPr>
    </w:p>
    <w:p w14:paraId="679A7FA6" w14:textId="33653177" w:rsidR="00DA4FF4" w:rsidRDefault="00DA4FF4" w:rsidP="00B6391A">
      <w:pPr>
        <w:spacing w:after="120"/>
        <w:jc w:val="both"/>
        <w:rPr>
          <w:rFonts w:ascii="Times New Roman" w:hAnsi="Times New Roman" w:cs="Times New Roman"/>
          <w:sz w:val="24"/>
          <w:szCs w:val="24"/>
        </w:rPr>
      </w:pPr>
    </w:p>
    <w:p w14:paraId="3BDAF5F3" w14:textId="3DFC7EAF" w:rsidR="00DA4FF4" w:rsidRDefault="00DA4FF4" w:rsidP="00B6391A">
      <w:pPr>
        <w:spacing w:after="120"/>
        <w:jc w:val="both"/>
        <w:rPr>
          <w:rFonts w:ascii="Times New Roman" w:hAnsi="Times New Roman" w:cs="Times New Roman"/>
          <w:sz w:val="24"/>
          <w:szCs w:val="24"/>
        </w:rPr>
      </w:pPr>
    </w:p>
    <w:p w14:paraId="244D9EEB" w14:textId="77777777" w:rsidR="006536EF" w:rsidRDefault="006536EF" w:rsidP="00B6391A">
      <w:pPr>
        <w:spacing w:after="120"/>
        <w:jc w:val="both"/>
        <w:rPr>
          <w:rFonts w:ascii="Times New Roman" w:hAnsi="Times New Roman" w:cs="Times New Roman"/>
          <w:sz w:val="24"/>
          <w:szCs w:val="24"/>
        </w:rPr>
      </w:pPr>
    </w:p>
    <w:p w14:paraId="69FED6D4" w14:textId="77777777" w:rsidR="00DB28EB" w:rsidRPr="00DB28EB" w:rsidRDefault="00DB28EB" w:rsidP="00DB28EB"/>
    <w:p w14:paraId="5D425125" w14:textId="77777777" w:rsidR="00990AEC" w:rsidRDefault="00990AEC" w:rsidP="00990AEC">
      <w:pPr>
        <w:pStyle w:val="Heading2"/>
        <w:ind w:left="720"/>
      </w:pPr>
    </w:p>
    <w:p w14:paraId="1423C915" w14:textId="15905610" w:rsidR="00770328" w:rsidRPr="007679E4" w:rsidRDefault="00ED6415" w:rsidP="007679E4">
      <w:pPr>
        <w:pStyle w:val="Heading2"/>
        <w:numPr>
          <w:ilvl w:val="0"/>
          <w:numId w:val="18"/>
        </w:numPr>
      </w:pPr>
      <w:bookmarkStart w:id="30" w:name="_Toc192599347"/>
      <w:r>
        <w:t>Coups volontaires</w:t>
      </w:r>
      <w:r w:rsidR="00770328">
        <w:t xml:space="preserve"> pouvant constituer </w:t>
      </w:r>
      <w:r w:rsidR="00F4442D">
        <w:t>un mauvais traitement</w:t>
      </w:r>
      <w:bookmarkEnd w:id="30"/>
      <w:r w:rsidR="00F4442D">
        <w:t xml:space="preserve"> </w:t>
      </w:r>
    </w:p>
    <w:p w14:paraId="033D4C72" w14:textId="77777777" w:rsidR="00DB28EB" w:rsidRDefault="00530364" w:rsidP="00F4442D">
      <w:pPr>
        <w:pStyle w:val="ListParagraph"/>
        <w:numPr>
          <w:ilvl w:val="0"/>
          <w:numId w:val="35"/>
        </w:numPr>
        <w:ind w:left="0" w:hanging="426"/>
        <w:jc w:val="both"/>
        <w:rPr>
          <w:rFonts w:ascii="Times New Roman" w:hAnsi="Times New Roman" w:cs="Times New Roman"/>
          <w:sz w:val="24"/>
          <w:szCs w:val="24"/>
        </w:rPr>
      </w:pPr>
      <w:r w:rsidRPr="00DB28EB">
        <w:rPr>
          <w:rFonts w:ascii="Times New Roman" w:hAnsi="Times New Roman" w:cs="Times New Roman"/>
          <w:sz w:val="24"/>
          <w:szCs w:val="24"/>
        </w:rPr>
        <w:t xml:space="preserve">L’ACAT-France a reçu plusieurs témoignages de personnes alléguant avoir reçu des coups lors d’interpellations, de gardes à vue ou de transports de police. </w:t>
      </w:r>
      <w:r w:rsidR="00104A43" w:rsidRPr="00DB28EB">
        <w:rPr>
          <w:rFonts w:ascii="Times New Roman" w:hAnsi="Times New Roman" w:cs="Times New Roman"/>
          <w:sz w:val="24"/>
          <w:szCs w:val="24"/>
        </w:rPr>
        <w:t xml:space="preserve">Certains de ces témoignages évoquent des coups reçus après avoir été maîtrisés ou menottés. </w:t>
      </w:r>
    </w:p>
    <w:p w14:paraId="5F3E23E6" w14:textId="77777777" w:rsidR="00DB28EB" w:rsidRDefault="00DB28EB" w:rsidP="00DB28EB">
      <w:pPr>
        <w:pStyle w:val="ListParagraph"/>
        <w:ind w:left="0"/>
        <w:jc w:val="both"/>
        <w:rPr>
          <w:rFonts w:ascii="Times New Roman" w:hAnsi="Times New Roman" w:cs="Times New Roman"/>
          <w:sz w:val="24"/>
          <w:szCs w:val="24"/>
        </w:rPr>
      </w:pPr>
    </w:p>
    <w:p w14:paraId="76B056B1" w14:textId="77777777" w:rsidR="00DB28EB" w:rsidRDefault="00104A43" w:rsidP="00F4442D">
      <w:pPr>
        <w:pStyle w:val="ListParagraph"/>
        <w:numPr>
          <w:ilvl w:val="0"/>
          <w:numId w:val="35"/>
        </w:numPr>
        <w:ind w:left="0" w:hanging="426"/>
        <w:jc w:val="both"/>
        <w:rPr>
          <w:rFonts w:ascii="Times New Roman" w:hAnsi="Times New Roman" w:cs="Times New Roman"/>
          <w:sz w:val="24"/>
          <w:szCs w:val="24"/>
        </w:rPr>
      </w:pPr>
      <w:r w:rsidRPr="00DB28EB">
        <w:rPr>
          <w:rFonts w:ascii="Times New Roman" w:hAnsi="Times New Roman" w:cs="Times New Roman"/>
          <w:sz w:val="24"/>
          <w:szCs w:val="24"/>
        </w:rPr>
        <w:t>Plusieurs médias relatent l’histoire d</w:t>
      </w:r>
      <w:r w:rsidR="00136144" w:rsidRPr="00DB28EB">
        <w:rPr>
          <w:rFonts w:ascii="Times New Roman" w:hAnsi="Times New Roman" w:cs="Times New Roman"/>
          <w:sz w:val="24"/>
          <w:szCs w:val="24"/>
        </w:rPr>
        <w:t>’un homme de 42 ans</w:t>
      </w:r>
      <w:r w:rsidR="007156F9" w:rsidRPr="00DB28EB">
        <w:rPr>
          <w:rFonts w:ascii="Times New Roman" w:hAnsi="Times New Roman" w:cs="Times New Roman"/>
          <w:sz w:val="24"/>
          <w:szCs w:val="24"/>
        </w:rPr>
        <w:t xml:space="preserve"> placé en garde à vue le 24 juillet 2024 pour un outrage lors d’un contrôle. </w:t>
      </w:r>
      <w:r w:rsidR="00E97768" w:rsidRPr="00DB28EB">
        <w:rPr>
          <w:rFonts w:ascii="Times New Roman" w:hAnsi="Times New Roman" w:cs="Times New Roman"/>
          <w:sz w:val="24"/>
          <w:szCs w:val="24"/>
        </w:rPr>
        <w:t xml:space="preserve">Des vidéos, rendues publiques en septembre 2024, montrent de graves violences dont il a été victime dans les locaux des commissariats des </w:t>
      </w:r>
      <w:r w:rsidR="009E6E83" w:rsidRPr="00DB28EB">
        <w:rPr>
          <w:rFonts w:ascii="Times New Roman" w:hAnsi="Times New Roman" w:cs="Times New Roman"/>
          <w:sz w:val="24"/>
          <w:szCs w:val="24"/>
        </w:rPr>
        <w:t>5</w:t>
      </w:r>
      <w:r w:rsidR="009E6E83" w:rsidRPr="00DB28EB">
        <w:rPr>
          <w:rFonts w:ascii="Times New Roman" w:hAnsi="Times New Roman" w:cs="Times New Roman"/>
          <w:sz w:val="24"/>
          <w:szCs w:val="24"/>
          <w:vertAlign w:val="superscript"/>
        </w:rPr>
        <w:t>e</w:t>
      </w:r>
      <w:r w:rsidR="009E6E83" w:rsidRPr="00DB28EB">
        <w:rPr>
          <w:rFonts w:ascii="Times New Roman" w:hAnsi="Times New Roman" w:cs="Times New Roman"/>
          <w:sz w:val="24"/>
          <w:szCs w:val="24"/>
        </w:rPr>
        <w:t xml:space="preserve"> et 6</w:t>
      </w:r>
      <w:r w:rsidR="009E6E83" w:rsidRPr="00DB28EB">
        <w:rPr>
          <w:rFonts w:ascii="Times New Roman" w:hAnsi="Times New Roman" w:cs="Times New Roman"/>
          <w:sz w:val="24"/>
          <w:szCs w:val="24"/>
          <w:vertAlign w:val="superscript"/>
        </w:rPr>
        <w:t>e</w:t>
      </w:r>
      <w:r w:rsidR="009E6E83" w:rsidRPr="00DB28EB">
        <w:rPr>
          <w:rFonts w:ascii="Times New Roman" w:hAnsi="Times New Roman" w:cs="Times New Roman"/>
          <w:sz w:val="24"/>
          <w:szCs w:val="24"/>
        </w:rPr>
        <w:t xml:space="preserve"> arrondissements de Paris. </w:t>
      </w:r>
      <w:r w:rsidR="001C4EF9" w:rsidRPr="00DB28EB">
        <w:rPr>
          <w:rFonts w:ascii="Times New Roman" w:hAnsi="Times New Roman" w:cs="Times New Roman"/>
          <w:sz w:val="24"/>
          <w:szCs w:val="24"/>
        </w:rPr>
        <w:t xml:space="preserve">Le journal </w:t>
      </w:r>
      <w:r w:rsidR="001C4EF9" w:rsidRPr="00DB28EB">
        <w:rPr>
          <w:rFonts w:ascii="Times New Roman" w:hAnsi="Times New Roman" w:cs="Times New Roman"/>
          <w:i/>
          <w:iCs/>
          <w:sz w:val="24"/>
          <w:szCs w:val="24"/>
        </w:rPr>
        <w:t>Libération</w:t>
      </w:r>
      <w:r w:rsidR="001C4EF9" w:rsidRPr="00DB28EB">
        <w:rPr>
          <w:rFonts w:ascii="Times New Roman" w:hAnsi="Times New Roman" w:cs="Times New Roman"/>
          <w:sz w:val="24"/>
          <w:szCs w:val="24"/>
        </w:rPr>
        <w:t xml:space="preserve"> a révélé des images issues des caméras de vidéosurveillance des locaux de police où l’on voit </w:t>
      </w:r>
      <w:r w:rsidR="009073BF" w:rsidRPr="00DB28EB">
        <w:rPr>
          <w:rFonts w:ascii="Times New Roman" w:hAnsi="Times New Roman" w:cs="Times New Roman"/>
          <w:sz w:val="24"/>
          <w:szCs w:val="24"/>
        </w:rPr>
        <w:t>deux policiers frapper l’homme interpellé</w:t>
      </w:r>
      <w:r w:rsidR="004F1810" w:rsidRPr="00DB28EB">
        <w:rPr>
          <w:rFonts w:ascii="Times New Roman" w:hAnsi="Times New Roman" w:cs="Times New Roman"/>
          <w:sz w:val="24"/>
          <w:szCs w:val="24"/>
        </w:rPr>
        <w:t xml:space="preserve">. </w:t>
      </w:r>
      <w:r w:rsidR="008B5F44" w:rsidRPr="00DB28EB">
        <w:rPr>
          <w:rFonts w:ascii="Times New Roman" w:hAnsi="Times New Roman" w:cs="Times New Roman"/>
          <w:sz w:val="24"/>
          <w:szCs w:val="24"/>
        </w:rPr>
        <w:t>Coups de matraque</w:t>
      </w:r>
      <w:r w:rsidR="005C5FC8" w:rsidRPr="00DB28EB">
        <w:rPr>
          <w:rFonts w:ascii="Times New Roman" w:hAnsi="Times New Roman" w:cs="Times New Roman"/>
          <w:sz w:val="24"/>
          <w:szCs w:val="24"/>
        </w:rPr>
        <w:t xml:space="preserve">, coups de clés au visage </w:t>
      </w:r>
      <w:r w:rsidR="002426E6" w:rsidRPr="00DB28EB">
        <w:rPr>
          <w:rFonts w:ascii="Times New Roman" w:hAnsi="Times New Roman" w:cs="Times New Roman"/>
          <w:sz w:val="24"/>
          <w:szCs w:val="24"/>
        </w:rPr>
        <w:t xml:space="preserve">et coups de poings au visage et dans l’estomac. </w:t>
      </w:r>
      <w:r w:rsidR="00964C60" w:rsidRPr="00DB28EB">
        <w:rPr>
          <w:rFonts w:ascii="Times New Roman" w:hAnsi="Times New Roman" w:cs="Times New Roman"/>
          <w:sz w:val="24"/>
          <w:szCs w:val="24"/>
        </w:rPr>
        <w:t xml:space="preserve">L’homme de 42 ans </w:t>
      </w:r>
      <w:r w:rsidR="00213605" w:rsidRPr="00DB28EB">
        <w:rPr>
          <w:rFonts w:ascii="Times New Roman" w:hAnsi="Times New Roman" w:cs="Times New Roman"/>
          <w:sz w:val="24"/>
          <w:szCs w:val="24"/>
        </w:rPr>
        <w:t>sera ensuite conduit à l’hôpital où ses blessures seront constatées et évaluées à 30 jours d’ITT</w:t>
      </w:r>
      <w:r w:rsidR="00213605">
        <w:rPr>
          <w:rStyle w:val="FootnoteReference"/>
          <w:rFonts w:ascii="Times New Roman" w:hAnsi="Times New Roman" w:cs="Times New Roman"/>
          <w:sz w:val="24"/>
          <w:szCs w:val="24"/>
        </w:rPr>
        <w:footnoteReference w:id="76"/>
      </w:r>
      <w:r w:rsidR="00213605" w:rsidRPr="00DB28EB">
        <w:rPr>
          <w:rFonts w:ascii="Times New Roman" w:hAnsi="Times New Roman" w:cs="Times New Roman"/>
          <w:sz w:val="24"/>
          <w:szCs w:val="24"/>
        </w:rPr>
        <w:t xml:space="preserve">. </w:t>
      </w:r>
      <w:r w:rsidR="00AD5241" w:rsidRPr="00DB28EB">
        <w:rPr>
          <w:rFonts w:ascii="Times New Roman" w:hAnsi="Times New Roman" w:cs="Times New Roman"/>
          <w:sz w:val="24"/>
          <w:szCs w:val="24"/>
        </w:rPr>
        <w:t xml:space="preserve">Les deux policiers seront ensuite condamnés </w:t>
      </w:r>
      <w:r w:rsidR="00DD12D4" w:rsidRPr="00DB28EB">
        <w:rPr>
          <w:rFonts w:ascii="Times New Roman" w:hAnsi="Times New Roman" w:cs="Times New Roman"/>
          <w:sz w:val="24"/>
          <w:szCs w:val="24"/>
        </w:rPr>
        <w:t xml:space="preserve">par le tribunal correctionnel de Paris </w:t>
      </w:r>
      <w:r w:rsidR="00AD5241" w:rsidRPr="00DB28EB">
        <w:rPr>
          <w:rFonts w:ascii="Times New Roman" w:hAnsi="Times New Roman" w:cs="Times New Roman"/>
          <w:sz w:val="24"/>
          <w:szCs w:val="24"/>
        </w:rPr>
        <w:t xml:space="preserve">à des peines </w:t>
      </w:r>
      <w:r w:rsidR="00DD12D4" w:rsidRPr="00DB28EB">
        <w:rPr>
          <w:rFonts w:ascii="Times New Roman" w:hAnsi="Times New Roman" w:cs="Times New Roman"/>
          <w:sz w:val="24"/>
          <w:szCs w:val="24"/>
        </w:rPr>
        <w:t xml:space="preserve">d’emprisonnement </w:t>
      </w:r>
      <w:r w:rsidR="00AD5241" w:rsidRPr="00DB28EB">
        <w:rPr>
          <w:rFonts w:ascii="Times New Roman" w:hAnsi="Times New Roman" w:cs="Times New Roman"/>
          <w:sz w:val="24"/>
          <w:szCs w:val="24"/>
        </w:rPr>
        <w:t xml:space="preserve">avec sursis pour </w:t>
      </w:r>
      <w:r w:rsidR="00DD12D4" w:rsidRPr="00DB28EB">
        <w:rPr>
          <w:rFonts w:ascii="Times New Roman" w:hAnsi="Times New Roman" w:cs="Times New Roman"/>
          <w:sz w:val="24"/>
          <w:szCs w:val="24"/>
        </w:rPr>
        <w:t>c</w:t>
      </w:r>
      <w:r w:rsidR="00AD5241" w:rsidRPr="00DB28EB">
        <w:rPr>
          <w:rFonts w:ascii="Times New Roman" w:hAnsi="Times New Roman" w:cs="Times New Roman"/>
          <w:sz w:val="24"/>
          <w:szCs w:val="24"/>
        </w:rPr>
        <w:t>es violences</w:t>
      </w:r>
      <w:r w:rsidR="00DD12D4" w:rsidRPr="00DB28EB">
        <w:rPr>
          <w:rFonts w:ascii="Times New Roman" w:hAnsi="Times New Roman" w:cs="Times New Roman"/>
          <w:sz w:val="24"/>
          <w:szCs w:val="24"/>
        </w:rPr>
        <w:t xml:space="preserve"> ainsi qu’à une interdiction définitive d’exercer une activité professionnelle dans la fonction publique</w:t>
      </w:r>
      <w:r w:rsidR="00C55C9D">
        <w:rPr>
          <w:rStyle w:val="FootnoteReference"/>
          <w:rFonts w:ascii="Times New Roman" w:hAnsi="Times New Roman" w:cs="Times New Roman"/>
          <w:sz w:val="24"/>
          <w:szCs w:val="24"/>
        </w:rPr>
        <w:footnoteReference w:id="77"/>
      </w:r>
      <w:r w:rsidR="00DD12D4" w:rsidRPr="00DB28EB">
        <w:rPr>
          <w:rFonts w:ascii="Times New Roman" w:hAnsi="Times New Roman" w:cs="Times New Roman"/>
          <w:sz w:val="24"/>
          <w:szCs w:val="24"/>
        </w:rPr>
        <w:t xml:space="preserve">. </w:t>
      </w:r>
    </w:p>
    <w:p w14:paraId="65FABA29" w14:textId="443E137B" w:rsidR="00DB28EB" w:rsidRPr="00DB28EB" w:rsidRDefault="00DB28EB" w:rsidP="00DB28EB">
      <w:pPr>
        <w:pStyle w:val="ListParagraph"/>
        <w:rPr>
          <w:rFonts w:ascii="Times New Roman" w:hAnsi="Times New Roman" w:cs="Times New Roman"/>
          <w:sz w:val="24"/>
          <w:szCs w:val="24"/>
        </w:rPr>
      </w:pPr>
    </w:p>
    <w:p w14:paraId="61F6C4B8" w14:textId="117BC9DE" w:rsidR="00DB28EB" w:rsidRDefault="008538F0" w:rsidP="00F4442D">
      <w:pPr>
        <w:pStyle w:val="ListParagraph"/>
        <w:numPr>
          <w:ilvl w:val="0"/>
          <w:numId w:val="35"/>
        </w:numPr>
        <w:ind w:left="0" w:hanging="426"/>
        <w:jc w:val="both"/>
        <w:rPr>
          <w:rFonts w:ascii="Times New Roman" w:hAnsi="Times New Roman" w:cs="Times New Roman"/>
          <w:sz w:val="24"/>
          <w:szCs w:val="24"/>
        </w:rPr>
      </w:pPr>
      <w:r w:rsidRPr="00DB28EB">
        <w:rPr>
          <w:rFonts w:ascii="Times New Roman" w:hAnsi="Times New Roman" w:cs="Times New Roman"/>
          <w:sz w:val="24"/>
          <w:szCs w:val="24"/>
        </w:rPr>
        <w:t>Dans une autre affaire, un homme interpellé le 28 juillet 2024 a dénoncé des violences subies dans les locaux du commissariat du 19</w:t>
      </w:r>
      <w:r w:rsidRPr="00DB28EB">
        <w:rPr>
          <w:rFonts w:ascii="Times New Roman" w:hAnsi="Times New Roman" w:cs="Times New Roman"/>
          <w:sz w:val="24"/>
          <w:szCs w:val="24"/>
          <w:vertAlign w:val="superscript"/>
        </w:rPr>
        <w:t>e</w:t>
      </w:r>
      <w:r w:rsidRPr="00DB28EB">
        <w:rPr>
          <w:rFonts w:ascii="Times New Roman" w:hAnsi="Times New Roman" w:cs="Times New Roman"/>
          <w:sz w:val="24"/>
          <w:szCs w:val="24"/>
        </w:rPr>
        <w:t xml:space="preserve"> arrondissement de Paris. Encore une fois, c’est l’exploitation des </w:t>
      </w:r>
      <w:r w:rsidR="00B25568" w:rsidRPr="00DB28EB">
        <w:rPr>
          <w:rFonts w:ascii="Times New Roman" w:hAnsi="Times New Roman" w:cs="Times New Roman"/>
          <w:sz w:val="24"/>
          <w:szCs w:val="24"/>
        </w:rPr>
        <w:t>images</w:t>
      </w:r>
      <w:r w:rsidRPr="00DB28EB">
        <w:rPr>
          <w:rFonts w:ascii="Times New Roman" w:hAnsi="Times New Roman" w:cs="Times New Roman"/>
          <w:sz w:val="24"/>
          <w:szCs w:val="24"/>
        </w:rPr>
        <w:t xml:space="preserve"> de vidéosurveillance qui a permis de confirmer une partie de son récit </w:t>
      </w:r>
      <w:r w:rsidR="00B25568" w:rsidRPr="00DB28EB">
        <w:rPr>
          <w:rFonts w:ascii="Times New Roman" w:hAnsi="Times New Roman" w:cs="Times New Roman"/>
          <w:sz w:val="24"/>
          <w:szCs w:val="24"/>
        </w:rPr>
        <w:t>et a entrainé le placement sous contrôle judiciaire de</w:t>
      </w:r>
      <w:r w:rsidR="00D71B9D" w:rsidRPr="00DB28EB">
        <w:rPr>
          <w:rFonts w:ascii="Times New Roman" w:hAnsi="Times New Roman" w:cs="Times New Roman"/>
          <w:sz w:val="24"/>
          <w:szCs w:val="24"/>
        </w:rPr>
        <w:t xml:space="preserve"> trois des quatre </w:t>
      </w:r>
      <w:r w:rsidR="00B25568" w:rsidRPr="00DB28EB">
        <w:rPr>
          <w:rFonts w:ascii="Times New Roman" w:hAnsi="Times New Roman" w:cs="Times New Roman"/>
          <w:sz w:val="24"/>
          <w:szCs w:val="24"/>
        </w:rPr>
        <w:t xml:space="preserve">policiers mis en cause. </w:t>
      </w:r>
      <w:r w:rsidR="00332A82" w:rsidRPr="00DB28EB">
        <w:rPr>
          <w:rFonts w:ascii="Times New Roman" w:hAnsi="Times New Roman" w:cs="Times New Roman"/>
          <w:sz w:val="24"/>
          <w:szCs w:val="24"/>
        </w:rPr>
        <w:t>L’exploitation des images a en</w:t>
      </w:r>
      <w:r w:rsidR="00706616" w:rsidRPr="00DB28EB">
        <w:rPr>
          <w:rFonts w:ascii="Times New Roman" w:hAnsi="Times New Roman" w:cs="Times New Roman"/>
          <w:sz w:val="24"/>
          <w:szCs w:val="24"/>
        </w:rPr>
        <w:t xml:space="preserve"> effet permis de constater que la victime a été giflé puis amené au sol avec une balayette, le faisant ainsi percuter le banc sur lequel il était assis. Selon son récit, les coups les plus violents ont été néanmoins </w:t>
      </w:r>
      <w:r w:rsidR="00833545" w:rsidRPr="00DB28EB">
        <w:rPr>
          <w:rFonts w:ascii="Times New Roman" w:hAnsi="Times New Roman" w:cs="Times New Roman"/>
          <w:sz w:val="24"/>
          <w:szCs w:val="24"/>
        </w:rPr>
        <w:t xml:space="preserve">portés dans une salle dédiée à la fouille des interpellés et donc dépourvue de caméra. </w:t>
      </w:r>
      <w:r w:rsidR="0083095F" w:rsidRPr="00DB28EB">
        <w:rPr>
          <w:rFonts w:ascii="Times New Roman" w:hAnsi="Times New Roman" w:cs="Times New Roman"/>
          <w:sz w:val="24"/>
          <w:szCs w:val="24"/>
        </w:rPr>
        <w:t xml:space="preserve">Les blessures qu’il a </w:t>
      </w:r>
      <w:r w:rsidR="00C454EA" w:rsidRPr="00DB28EB">
        <w:rPr>
          <w:rFonts w:ascii="Times New Roman" w:hAnsi="Times New Roman" w:cs="Times New Roman"/>
          <w:sz w:val="24"/>
          <w:szCs w:val="24"/>
        </w:rPr>
        <w:t>subies</w:t>
      </w:r>
      <w:r w:rsidR="0083095F" w:rsidRPr="00DB28EB">
        <w:rPr>
          <w:rFonts w:ascii="Times New Roman" w:hAnsi="Times New Roman" w:cs="Times New Roman"/>
          <w:sz w:val="24"/>
          <w:szCs w:val="24"/>
        </w:rPr>
        <w:t xml:space="preserve"> ont été évaluées à quatre jours d’ITT</w:t>
      </w:r>
      <w:r w:rsidR="0083095F">
        <w:rPr>
          <w:rStyle w:val="FootnoteReference"/>
          <w:rFonts w:ascii="Times New Roman" w:hAnsi="Times New Roman" w:cs="Times New Roman"/>
          <w:sz w:val="24"/>
          <w:szCs w:val="24"/>
        </w:rPr>
        <w:footnoteReference w:id="78"/>
      </w:r>
      <w:r w:rsidR="0083095F" w:rsidRPr="00DB28EB">
        <w:rPr>
          <w:rFonts w:ascii="Times New Roman" w:hAnsi="Times New Roman" w:cs="Times New Roman"/>
          <w:sz w:val="24"/>
          <w:szCs w:val="24"/>
        </w:rPr>
        <w:t xml:space="preserve">. </w:t>
      </w:r>
      <w:r w:rsidR="00833545" w:rsidRPr="00DB28EB">
        <w:rPr>
          <w:rFonts w:ascii="Times New Roman" w:hAnsi="Times New Roman" w:cs="Times New Roman"/>
          <w:sz w:val="24"/>
          <w:szCs w:val="24"/>
        </w:rPr>
        <w:t xml:space="preserve"> </w:t>
      </w:r>
    </w:p>
    <w:p w14:paraId="52E5ABEC" w14:textId="797732ED" w:rsidR="00DB28EB" w:rsidRPr="00DB28EB" w:rsidRDefault="00DB28EB" w:rsidP="00DB28EB">
      <w:pPr>
        <w:pStyle w:val="ListParagraph"/>
        <w:rPr>
          <w:rFonts w:ascii="Times New Roman" w:hAnsi="Times New Roman" w:cs="Times New Roman"/>
          <w:sz w:val="24"/>
          <w:szCs w:val="24"/>
        </w:rPr>
      </w:pPr>
    </w:p>
    <w:p w14:paraId="0438381C" w14:textId="6F805577" w:rsidR="00C454EA" w:rsidRPr="00DB28EB" w:rsidRDefault="00D7453F" w:rsidP="00F4442D">
      <w:pPr>
        <w:pStyle w:val="ListParagraph"/>
        <w:numPr>
          <w:ilvl w:val="0"/>
          <w:numId w:val="35"/>
        </w:numPr>
        <w:ind w:left="0" w:hanging="426"/>
        <w:jc w:val="both"/>
        <w:rPr>
          <w:rFonts w:ascii="Times New Roman" w:hAnsi="Times New Roman" w:cs="Times New Roman"/>
          <w:sz w:val="24"/>
          <w:szCs w:val="24"/>
        </w:rPr>
      </w:pPr>
      <w:r w:rsidRPr="00DB28EB">
        <w:rPr>
          <w:rFonts w:ascii="Times New Roman" w:hAnsi="Times New Roman" w:cs="Times New Roman"/>
          <w:sz w:val="24"/>
          <w:szCs w:val="24"/>
        </w:rPr>
        <w:t>La proximité et les similarités de ses affaires, se déroulant pourtant dans des commissariats différents, interroge sur le</w:t>
      </w:r>
      <w:r w:rsidR="009200D1" w:rsidRPr="00DB28EB">
        <w:rPr>
          <w:rFonts w:ascii="Times New Roman" w:hAnsi="Times New Roman" w:cs="Times New Roman"/>
          <w:sz w:val="24"/>
          <w:szCs w:val="24"/>
        </w:rPr>
        <w:t xml:space="preserve"> comportement des agents de police envers les personnes gardées à vue mais également sur l’importance des enregistrements </w:t>
      </w:r>
      <w:r w:rsidR="00D71B9D" w:rsidRPr="00DB28EB">
        <w:rPr>
          <w:rFonts w:ascii="Times New Roman" w:hAnsi="Times New Roman" w:cs="Times New Roman"/>
          <w:sz w:val="24"/>
          <w:szCs w:val="24"/>
        </w:rPr>
        <w:t>vidéo</w:t>
      </w:r>
      <w:r w:rsidR="009200D1" w:rsidRPr="00DB28EB">
        <w:rPr>
          <w:rFonts w:ascii="Times New Roman" w:hAnsi="Times New Roman" w:cs="Times New Roman"/>
          <w:sz w:val="24"/>
          <w:szCs w:val="24"/>
        </w:rPr>
        <w:t xml:space="preserve"> au sein de locaux de police. </w:t>
      </w:r>
      <w:r w:rsidR="00E1384B" w:rsidRPr="00DB28EB">
        <w:rPr>
          <w:rFonts w:ascii="Times New Roman" w:hAnsi="Times New Roman" w:cs="Times New Roman"/>
          <w:sz w:val="24"/>
          <w:szCs w:val="24"/>
        </w:rPr>
        <w:t xml:space="preserve">C’est pourquoi il est important que les commissariats et </w:t>
      </w:r>
      <w:r w:rsidR="00AA2F8F" w:rsidRPr="00DB28EB">
        <w:rPr>
          <w:rFonts w:ascii="Times New Roman" w:hAnsi="Times New Roman" w:cs="Times New Roman"/>
          <w:sz w:val="24"/>
          <w:szCs w:val="24"/>
        </w:rPr>
        <w:t xml:space="preserve">casernes de gendarmerie soient équipés </w:t>
      </w:r>
      <w:r w:rsidR="0038337A" w:rsidRPr="00DB28EB">
        <w:rPr>
          <w:rFonts w:ascii="Times New Roman" w:hAnsi="Times New Roman" w:cs="Times New Roman"/>
          <w:sz w:val="24"/>
          <w:szCs w:val="24"/>
        </w:rPr>
        <w:t>d’un système de vidéosurveillance</w:t>
      </w:r>
      <w:r w:rsidR="001A6D90" w:rsidRPr="00DB28EB">
        <w:rPr>
          <w:rFonts w:ascii="Times New Roman" w:hAnsi="Times New Roman" w:cs="Times New Roman"/>
          <w:sz w:val="24"/>
          <w:szCs w:val="24"/>
        </w:rPr>
        <w:t xml:space="preserve"> en état de fonctionnement et dont les images sont conservées pour une durée suffisante. </w:t>
      </w:r>
    </w:p>
    <w:p w14:paraId="0F9C8E82" w14:textId="03C5C4DE" w:rsidR="00DA4FF4" w:rsidRDefault="00DA4FF4" w:rsidP="00F4442D">
      <w:pPr>
        <w:jc w:val="both"/>
        <w:rPr>
          <w:rFonts w:ascii="Times New Roman" w:hAnsi="Times New Roman" w:cs="Times New Roman"/>
          <w:sz w:val="24"/>
          <w:szCs w:val="24"/>
        </w:rPr>
      </w:pPr>
    </w:p>
    <w:p w14:paraId="28E9081F" w14:textId="0F59139D" w:rsidR="00DA4FF4" w:rsidRDefault="00DA4FF4" w:rsidP="00F4442D">
      <w:pPr>
        <w:jc w:val="both"/>
        <w:rPr>
          <w:rFonts w:ascii="Times New Roman" w:hAnsi="Times New Roman" w:cs="Times New Roman"/>
          <w:sz w:val="24"/>
          <w:szCs w:val="24"/>
        </w:rPr>
      </w:pPr>
    </w:p>
    <w:p w14:paraId="2A112E89" w14:textId="39AD5A9D" w:rsidR="00DA4FF4" w:rsidRDefault="00DA4FF4" w:rsidP="00F4442D">
      <w:pPr>
        <w:jc w:val="both"/>
        <w:rPr>
          <w:rFonts w:ascii="Times New Roman" w:hAnsi="Times New Roman" w:cs="Times New Roman"/>
          <w:sz w:val="24"/>
          <w:szCs w:val="24"/>
        </w:rPr>
      </w:pPr>
    </w:p>
    <w:p w14:paraId="6F187BA4" w14:textId="551E3ACF" w:rsidR="00DA4FF4" w:rsidRDefault="00990AEC" w:rsidP="00F4442D">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0D171DD" wp14:editId="1CAED219">
                <wp:simplePos x="0" y="0"/>
                <wp:positionH relativeFrom="margin">
                  <wp:posOffset>-104775</wp:posOffset>
                </wp:positionH>
                <wp:positionV relativeFrom="paragraph">
                  <wp:posOffset>0</wp:posOffset>
                </wp:positionV>
                <wp:extent cx="5953125" cy="1343025"/>
                <wp:effectExtent l="0" t="0" r="28575" b="28575"/>
                <wp:wrapNone/>
                <wp:docPr id="2110129744" name="Rectangle 2"/>
                <wp:cNvGraphicFramePr/>
                <a:graphic xmlns:a="http://schemas.openxmlformats.org/drawingml/2006/main">
                  <a:graphicData uri="http://schemas.microsoft.com/office/word/2010/wordprocessingShape">
                    <wps:wsp>
                      <wps:cNvSpPr/>
                      <wps:spPr>
                        <a:xfrm>
                          <a:off x="0" y="0"/>
                          <a:ext cx="5953125" cy="1343025"/>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66E1CF0" w14:textId="77777777" w:rsidR="00A934A4" w:rsidRPr="00F941FC" w:rsidRDefault="00A934A4" w:rsidP="009F031F">
                            <w:p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lang w:val="fr-CH"/>
                              </w:rPr>
                              <w:t xml:space="preserve">L’ACAT-France et la FIACAT invitent le Comité à recommander à la France </w:t>
                            </w:r>
                            <w:r w:rsidRPr="00F941FC">
                              <w:rPr>
                                <w:rFonts w:ascii="Times New Roman" w:hAnsi="Times New Roman" w:cs="Times New Roman"/>
                                <w:b/>
                                <w:bCs/>
                                <w:color w:val="000000" w:themeColor="text1"/>
                                <w:sz w:val="24"/>
                                <w:szCs w:val="24"/>
                              </w:rPr>
                              <w:t>de :</w:t>
                            </w:r>
                          </w:p>
                          <w:p w14:paraId="1E86EFE1" w14:textId="48497DDB" w:rsidR="00A934A4" w:rsidRPr="00F941FC" w:rsidRDefault="00A934A4" w:rsidP="009F031F">
                            <w:pPr>
                              <w:pStyle w:val="ListParagraph"/>
                              <w:numPr>
                                <w:ilvl w:val="0"/>
                                <w:numId w:val="34"/>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Interdire et sanctionner fermement les faits de violences volontaires (coups de poings, coups de pieds, matraquages, etc.) ;</w:t>
                            </w:r>
                          </w:p>
                          <w:p w14:paraId="79C0526F" w14:textId="77777777" w:rsidR="009F031F" w:rsidRPr="00F941FC" w:rsidRDefault="009F031F" w:rsidP="009F031F">
                            <w:pPr>
                              <w:pStyle w:val="ListParagraph"/>
                              <w:jc w:val="both"/>
                              <w:rPr>
                                <w:rFonts w:ascii="Times New Roman" w:hAnsi="Times New Roman" w:cs="Times New Roman"/>
                                <w:b/>
                                <w:bCs/>
                                <w:color w:val="000000" w:themeColor="text1"/>
                                <w:sz w:val="24"/>
                                <w:szCs w:val="24"/>
                              </w:rPr>
                            </w:pPr>
                          </w:p>
                          <w:p w14:paraId="0EAD3026" w14:textId="40C69D22" w:rsidR="00A934A4" w:rsidRPr="00F941FC" w:rsidRDefault="00A934A4" w:rsidP="009F031F">
                            <w:pPr>
                              <w:pStyle w:val="ListParagraph"/>
                              <w:numPr>
                                <w:ilvl w:val="0"/>
                                <w:numId w:val="34"/>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 xml:space="preserve">Généraliser l’utilisation de caméra de vidéosurveillance dans les locaux de gardés à vue ainsi que le renouvellement du matériel existant sur tout le territoire. </w:t>
                            </w:r>
                          </w:p>
                          <w:p w14:paraId="41CDEC5F" w14:textId="251CD848" w:rsidR="00A934A4" w:rsidRPr="009F031F" w:rsidRDefault="00A934A4" w:rsidP="009F031F">
                            <w:pPr>
                              <w:jc w:val="both"/>
                              <w:rPr>
                                <w:rFonts w:ascii="Times New Roman" w:hAnsi="Times New Roman" w:cs="Times New Roman"/>
                                <w:b/>
                                <w:bCs/>
                                <w:color w:val="FFFFFF" w:themeColor="background1"/>
                                <w:sz w:val="24"/>
                                <w:szCs w:val="24"/>
                              </w:rPr>
                            </w:pPr>
                          </w:p>
                          <w:p w14:paraId="13F1CA69" w14:textId="77777777" w:rsidR="00A934A4" w:rsidRPr="0081079E" w:rsidRDefault="00A934A4" w:rsidP="00A934A4">
                            <w:pPr>
                              <w:spacing w:after="120"/>
                              <w:jc w:val="both"/>
                              <w:rPr>
                                <w:rFonts w:ascii="Times New Roman" w:hAnsi="Times New Roman" w:cs="Times New Roman"/>
                                <w:sz w:val="24"/>
                                <w:szCs w:val="24"/>
                              </w:rPr>
                            </w:pPr>
                          </w:p>
                          <w:p w14:paraId="3DEEE613" w14:textId="77777777" w:rsidR="00A934A4" w:rsidRDefault="00A934A4" w:rsidP="00A934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0D171DD" id="_x0000_s1035" style="position:absolute;left:0;text-align:left;margin-left:-8.25pt;margin-top:0;width:468.75pt;height:10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" fillcolor="#dceaf7 [351]" strokecolor="#042433" strokeweight="1pt">
                <v:textbox>
                  <w:txbxContent>
                    <w:p w14:paraId="466E1CF0" w14:textId="77777777" w:rsidR="00A934A4" w:rsidRPr="00F941FC" w:rsidRDefault="00A934A4" w:rsidP="009F031F">
                      <w:p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lang w:val="fr-CH"/>
                        </w:rPr>
                        <w:t xml:space="preserve">L’ACAT-France et la FIACAT invitent le Comité à recommander à la France </w:t>
                      </w:r>
                      <w:r w:rsidRPr="00F941FC">
                        <w:rPr>
                          <w:rFonts w:ascii="Times New Roman" w:hAnsi="Times New Roman" w:cs="Times New Roman"/>
                          <w:b/>
                          <w:bCs/>
                          <w:color w:val="000000" w:themeColor="text1"/>
                          <w:sz w:val="24"/>
                          <w:szCs w:val="24"/>
                        </w:rPr>
                        <w:t>de :</w:t>
                      </w:r>
                    </w:p>
                    <w:p w14:paraId="1E86EFE1" w14:textId="48497DDB" w:rsidR="00A934A4" w:rsidRPr="00F941FC" w:rsidRDefault="00A934A4" w:rsidP="009F031F">
                      <w:pPr>
                        <w:pStyle w:val="Paragraphedeliste"/>
                        <w:numPr>
                          <w:ilvl w:val="0"/>
                          <w:numId w:val="34"/>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Interdire et sanctionner fermement les faits de violences volontaires (coups de poings, coups de pieds, matraquages, etc.) ;</w:t>
                      </w:r>
                    </w:p>
                    <w:p w14:paraId="79C0526F" w14:textId="77777777" w:rsidR="009F031F" w:rsidRPr="00F941FC" w:rsidRDefault="009F031F" w:rsidP="009F031F">
                      <w:pPr>
                        <w:pStyle w:val="Paragraphedeliste"/>
                        <w:jc w:val="both"/>
                        <w:rPr>
                          <w:rFonts w:ascii="Times New Roman" w:hAnsi="Times New Roman" w:cs="Times New Roman"/>
                          <w:b/>
                          <w:bCs/>
                          <w:color w:val="000000" w:themeColor="text1"/>
                          <w:sz w:val="24"/>
                          <w:szCs w:val="24"/>
                        </w:rPr>
                      </w:pPr>
                    </w:p>
                    <w:p w14:paraId="0EAD3026" w14:textId="40C69D22" w:rsidR="00A934A4" w:rsidRPr="00F941FC" w:rsidRDefault="00A934A4" w:rsidP="009F031F">
                      <w:pPr>
                        <w:pStyle w:val="Paragraphedeliste"/>
                        <w:numPr>
                          <w:ilvl w:val="0"/>
                          <w:numId w:val="34"/>
                        </w:numPr>
                        <w:jc w:val="both"/>
                        <w:rPr>
                          <w:rFonts w:ascii="Times New Roman" w:hAnsi="Times New Roman" w:cs="Times New Roman"/>
                          <w:b/>
                          <w:bCs/>
                          <w:color w:val="000000" w:themeColor="text1"/>
                          <w:sz w:val="24"/>
                          <w:szCs w:val="24"/>
                        </w:rPr>
                      </w:pPr>
                      <w:r w:rsidRPr="00F941FC">
                        <w:rPr>
                          <w:rFonts w:ascii="Times New Roman" w:hAnsi="Times New Roman" w:cs="Times New Roman"/>
                          <w:b/>
                          <w:bCs/>
                          <w:color w:val="000000" w:themeColor="text1"/>
                          <w:sz w:val="24"/>
                          <w:szCs w:val="24"/>
                        </w:rPr>
                        <w:t xml:space="preserve">Généraliser l’utilisation de caméra de vidéosurveillance dans les locaux de gardés à vue ainsi que le renouvellement du matériel existant sur tout le territoire. </w:t>
                      </w:r>
                    </w:p>
                    <w:p w14:paraId="41CDEC5F" w14:textId="251CD848" w:rsidR="00A934A4" w:rsidRPr="009F031F" w:rsidRDefault="00A934A4" w:rsidP="009F031F">
                      <w:pPr>
                        <w:jc w:val="both"/>
                        <w:rPr>
                          <w:rFonts w:ascii="Times New Roman" w:hAnsi="Times New Roman" w:cs="Times New Roman"/>
                          <w:b/>
                          <w:bCs/>
                          <w:color w:val="FFFFFF" w:themeColor="background1"/>
                          <w:sz w:val="24"/>
                          <w:szCs w:val="24"/>
                        </w:rPr>
                      </w:pPr>
                    </w:p>
                    <w:p w14:paraId="13F1CA69" w14:textId="77777777" w:rsidR="00A934A4" w:rsidRPr="0081079E" w:rsidRDefault="00A934A4" w:rsidP="00A934A4">
                      <w:pPr>
                        <w:spacing w:after="120"/>
                        <w:jc w:val="both"/>
                        <w:rPr>
                          <w:rFonts w:ascii="Times New Roman" w:hAnsi="Times New Roman" w:cs="Times New Roman"/>
                          <w:sz w:val="24"/>
                          <w:szCs w:val="24"/>
                        </w:rPr>
                      </w:pPr>
                    </w:p>
                    <w:p w14:paraId="3DEEE613" w14:textId="77777777" w:rsidR="00A934A4" w:rsidRDefault="00A934A4" w:rsidP="00A934A4">
                      <w:pPr>
                        <w:jc w:val="center"/>
                      </w:pPr>
                    </w:p>
                  </w:txbxContent>
                </v:textbox>
                <w10:wrap anchorx="margin"/>
              </v:rect>
            </w:pict>
          </mc:Fallback>
        </mc:AlternateContent>
      </w:r>
    </w:p>
    <w:p w14:paraId="2198FD9B" w14:textId="3E692701" w:rsidR="00194881" w:rsidRDefault="00194881" w:rsidP="005102F6">
      <w:pPr>
        <w:shd w:val="clear" w:color="auto" w:fill="FFFFFF"/>
        <w:spacing w:after="0" w:line="240" w:lineRule="auto"/>
        <w:jc w:val="both"/>
        <w:rPr>
          <w:rFonts w:ascii="Times New Roman" w:hAnsi="Times New Roman" w:cs="Times New Roman"/>
          <w:sz w:val="24"/>
          <w:szCs w:val="24"/>
        </w:rPr>
      </w:pPr>
    </w:p>
    <w:p w14:paraId="641405C4" w14:textId="6FF578CA" w:rsidR="00194881" w:rsidRDefault="00194881" w:rsidP="005102F6">
      <w:pPr>
        <w:shd w:val="clear" w:color="auto" w:fill="FFFFFF"/>
        <w:spacing w:after="0" w:line="240" w:lineRule="auto"/>
        <w:jc w:val="both"/>
        <w:rPr>
          <w:rFonts w:ascii="Times New Roman" w:hAnsi="Times New Roman" w:cs="Times New Roman"/>
          <w:sz w:val="24"/>
          <w:szCs w:val="24"/>
        </w:rPr>
      </w:pPr>
    </w:p>
    <w:p w14:paraId="57941384" w14:textId="483DB9C7" w:rsidR="00194881" w:rsidRDefault="00194881" w:rsidP="005102F6">
      <w:pPr>
        <w:shd w:val="clear" w:color="auto" w:fill="FFFFFF"/>
        <w:spacing w:after="0" w:line="240" w:lineRule="auto"/>
        <w:jc w:val="both"/>
        <w:rPr>
          <w:rFonts w:ascii="Times New Roman" w:hAnsi="Times New Roman" w:cs="Times New Roman"/>
          <w:sz w:val="24"/>
          <w:szCs w:val="24"/>
        </w:rPr>
      </w:pPr>
    </w:p>
    <w:p w14:paraId="6F171F2F" w14:textId="77777777" w:rsidR="00583D86" w:rsidRDefault="00583D86"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560ED6EB" w14:textId="655AD92A" w:rsidR="00583D86" w:rsidRDefault="00583D86"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4A024F7C" w14:textId="77777777" w:rsidR="00990AEC" w:rsidRDefault="00990AEC"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62C5BF7A" w14:textId="77777777" w:rsidR="00990AEC" w:rsidRDefault="00990AEC"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6AE1E491" w14:textId="77777777" w:rsidR="00990AEC" w:rsidRDefault="00990AEC"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68DC1925" w14:textId="77777777" w:rsidR="00990AEC" w:rsidRDefault="00990AEC"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28255584" w14:textId="77777777" w:rsidR="00990AEC" w:rsidRDefault="00990AEC" w:rsidP="005102F6">
      <w:pPr>
        <w:shd w:val="clear" w:color="auto" w:fill="FFFFFF"/>
        <w:spacing w:after="0" w:line="240" w:lineRule="auto"/>
        <w:jc w:val="both"/>
        <w:rPr>
          <w:rFonts w:ascii="Times New Roman" w:eastAsia="Times New Roman" w:hAnsi="Times New Roman" w:cs="Times New Roman"/>
          <w:b/>
          <w:bCs/>
          <w:color w:val="000000"/>
          <w:kern w:val="0"/>
          <w:sz w:val="24"/>
          <w:szCs w:val="24"/>
          <w:lang w:eastAsia="fr-FR"/>
          <w14:ligatures w14:val="none"/>
        </w:rPr>
      </w:pPr>
    </w:p>
    <w:p w14:paraId="3CA97707" w14:textId="5EBD885E" w:rsidR="005102F6" w:rsidRPr="005102F6" w:rsidRDefault="005102F6" w:rsidP="005102F6">
      <w:pPr>
        <w:shd w:val="clear" w:color="auto" w:fill="FFFFFF"/>
        <w:spacing w:after="0" w:line="240" w:lineRule="auto"/>
        <w:jc w:val="both"/>
        <w:rPr>
          <w:rFonts w:ascii="Times New Roman" w:eastAsia="Times New Roman" w:hAnsi="Times New Roman" w:cs="Times New Roman"/>
          <w:color w:val="000000"/>
          <w:kern w:val="0"/>
          <w:sz w:val="24"/>
          <w:szCs w:val="24"/>
          <w:lang w:eastAsia="fr-FR"/>
          <w14:ligatures w14:val="none"/>
        </w:rPr>
      </w:pPr>
      <w:r w:rsidRPr="005102F6">
        <w:rPr>
          <w:rFonts w:ascii="Times New Roman" w:eastAsia="Times New Roman" w:hAnsi="Times New Roman" w:cs="Times New Roman"/>
          <w:b/>
          <w:bCs/>
          <w:color w:val="000000"/>
          <w:kern w:val="0"/>
          <w:sz w:val="24"/>
          <w:szCs w:val="24"/>
          <w:lang w:eastAsia="fr-FR"/>
          <w14:ligatures w14:val="none"/>
        </w:rPr>
        <w:t>ANNEXE 1</w:t>
      </w:r>
      <w:r w:rsidRPr="005102F6">
        <w:rPr>
          <w:rFonts w:ascii="Times New Roman" w:eastAsia="Times New Roman" w:hAnsi="Times New Roman" w:cs="Times New Roman"/>
          <w:color w:val="000000"/>
          <w:kern w:val="0"/>
          <w:sz w:val="24"/>
          <w:szCs w:val="24"/>
          <w:lang w:eastAsia="fr-FR"/>
          <w14:ligatures w14:val="none"/>
        </w:rPr>
        <w:t xml:space="preserve"> – Liste des équipements identifiés par la Rapporteuse spéciale des Nations unies sur la torture comme intrinsèquement cruels, inhumains ou dégradants et qui, en tant que tels, doivent être interdits.</w:t>
      </w:r>
    </w:p>
    <w:p w14:paraId="4C482354" w14:textId="55275C8C" w:rsidR="005102F6" w:rsidRPr="005102F6" w:rsidRDefault="005102F6" w:rsidP="005102F6">
      <w:pPr>
        <w:shd w:val="clear" w:color="auto" w:fill="FFFFFF"/>
        <w:spacing w:after="0" w:line="240" w:lineRule="auto"/>
        <w:jc w:val="both"/>
        <w:rPr>
          <w:rFonts w:ascii="Times New Roman" w:eastAsia="Times New Roman" w:hAnsi="Times New Roman" w:cs="Times New Roman"/>
          <w:color w:val="000000"/>
          <w:kern w:val="0"/>
          <w:sz w:val="24"/>
          <w:szCs w:val="24"/>
          <w:lang w:eastAsia="fr-FR"/>
          <w14:ligatures w14:val="none"/>
        </w:rPr>
      </w:pPr>
      <w:r w:rsidRPr="005102F6">
        <w:rPr>
          <w:rFonts w:ascii="Times New Roman" w:eastAsia="Times New Roman" w:hAnsi="Times New Roman" w:cs="Times New Roman"/>
          <w:color w:val="000000"/>
          <w:kern w:val="0"/>
          <w:sz w:val="24"/>
          <w:szCs w:val="24"/>
          <w:lang w:eastAsia="fr-FR"/>
          <w14:ligatures w14:val="none"/>
        </w:rPr>
        <w:t> </w:t>
      </w:r>
    </w:p>
    <w:p w14:paraId="06803AEA" w14:textId="07DE4E29" w:rsidR="005102F6" w:rsidRPr="005102F6" w:rsidRDefault="005102F6" w:rsidP="005102F6">
      <w:pPr>
        <w:shd w:val="clear" w:color="auto" w:fill="FFFFFF"/>
        <w:spacing w:after="0" w:line="240" w:lineRule="auto"/>
        <w:jc w:val="both"/>
        <w:rPr>
          <w:rFonts w:ascii="Arial" w:eastAsia="Times New Roman" w:hAnsi="Arial" w:cs="Arial"/>
          <w:color w:val="222222"/>
          <w:kern w:val="0"/>
          <w:sz w:val="24"/>
          <w:szCs w:val="24"/>
          <w:lang w:eastAsia="fr-FR"/>
          <w14:ligatures w14:val="none"/>
        </w:rPr>
      </w:pPr>
      <w:r w:rsidRPr="005102F6">
        <w:rPr>
          <w:rFonts w:ascii="Times New Roman" w:eastAsia="Times New Roman" w:hAnsi="Times New Roman" w:cs="Times New Roman"/>
          <w:b/>
          <w:bCs/>
          <w:color w:val="222222"/>
          <w:kern w:val="0"/>
          <w:sz w:val="24"/>
          <w:szCs w:val="24"/>
          <w:lang w:eastAsia="fr-FR"/>
          <w14:ligatures w14:val="none"/>
        </w:rPr>
        <w:t>ANNEXE 2</w:t>
      </w:r>
      <w:r w:rsidRPr="005102F6">
        <w:rPr>
          <w:rFonts w:ascii="Times New Roman" w:eastAsia="Times New Roman" w:hAnsi="Times New Roman" w:cs="Times New Roman"/>
          <w:color w:val="222222"/>
          <w:kern w:val="0"/>
          <w:sz w:val="24"/>
          <w:szCs w:val="24"/>
          <w:lang w:eastAsia="fr-FR"/>
          <w14:ligatures w14:val="none"/>
        </w:rPr>
        <w:t xml:space="preserve"> – Liste des équipements identifiés par la Rapporteuse spéciale des Nations unies sur la torture qui présentent un risque grave d’être utilisés en vue d’infliger la torture ou d’autres peines ou traitements cruels, inhumains ou dégradants.</w:t>
      </w:r>
    </w:p>
    <w:p w14:paraId="00E3CAC7" w14:textId="1CE2CCF1" w:rsidR="005102F6" w:rsidRPr="006D4096" w:rsidRDefault="005102F6" w:rsidP="006D4096">
      <w:pPr>
        <w:shd w:val="clear" w:color="auto" w:fill="FFFFFF"/>
        <w:spacing w:after="0" w:line="240" w:lineRule="auto"/>
        <w:rPr>
          <w:rFonts w:ascii="Arial" w:eastAsia="Times New Roman" w:hAnsi="Arial" w:cs="Arial"/>
          <w:color w:val="222222"/>
          <w:kern w:val="0"/>
          <w:sz w:val="24"/>
          <w:szCs w:val="24"/>
          <w:lang w:eastAsia="fr-FR"/>
          <w14:ligatures w14:val="none"/>
        </w:rPr>
      </w:pPr>
      <w:r w:rsidRPr="005102F6">
        <w:rPr>
          <w:rFonts w:ascii="Arial" w:eastAsia="Times New Roman" w:hAnsi="Arial" w:cs="Arial"/>
          <w:color w:val="222222"/>
          <w:kern w:val="0"/>
          <w:lang w:eastAsia="fr-FR"/>
          <w14:ligatures w14:val="none"/>
        </w:rPr>
        <w:t> </w:t>
      </w:r>
    </w:p>
    <w:sectPr w:rsidR="005102F6" w:rsidRPr="006D4096" w:rsidSect="00C84DF6">
      <w:footerReference w:type="default" r:id="rId13"/>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3EC76" w14:textId="77777777" w:rsidR="004A03E3" w:rsidRDefault="004A03E3" w:rsidP="00B81598">
      <w:pPr>
        <w:spacing w:after="0" w:line="240" w:lineRule="auto"/>
      </w:pPr>
      <w:r>
        <w:separator/>
      </w:r>
    </w:p>
  </w:endnote>
  <w:endnote w:type="continuationSeparator" w:id="0">
    <w:p w14:paraId="3214ACBA" w14:textId="77777777" w:rsidR="004A03E3" w:rsidRDefault="004A03E3" w:rsidP="00B8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455671"/>
      <w:docPartObj>
        <w:docPartGallery w:val="Page Numbers (Bottom of Page)"/>
        <w:docPartUnique/>
      </w:docPartObj>
    </w:sdtPr>
    <w:sdtEndPr/>
    <w:sdtContent>
      <w:p w14:paraId="640E3C37" w14:textId="6CFDAFF9" w:rsidR="00A60E9A" w:rsidRDefault="00A60E9A">
        <w:pPr>
          <w:pStyle w:val="Footer"/>
          <w:jc w:val="right"/>
        </w:pPr>
        <w:r>
          <w:fldChar w:fldCharType="begin"/>
        </w:r>
        <w:r>
          <w:instrText>PAGE   \* MERGEFORMAT</w:instrText>
        </w:r>
        <w:r>
          <w:fldChar w:fldCharType="separate"/>
        </w:r>
        <w:r>
          <w:t>2</w:t>
        </w:r>
        <w:r>
          <w:fldChar w:fldCharType="end"/>
        </w:r>
      </w:p>
    </w:sdtContent>
  </w:sdt>
  <w:p w14:paraId="1B8F4C85" w14:textId="77777777" w:rsidR="00A60E9A" w:rsidRDefault="00A60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F54F3" w14:textId="77777777" w:rsidR="004A03E3" w:rsidRDefault="004A03E3" w:rsidP="00B81598">
      <w:pPr>
        <w:spacing w:after="0" w:line="240" w:lineRule="auto"/>
      </w:pPr>
      <w:r>
        <w:separator/>
      </w:r>
    </w:p>
  </w:footnote>
  <w:footnote w:type="continuationSeparator" w:id="0">
    <w:p w14:paraId="717BA7B3" w14:textId="77777777" w:rsidR="004A03E3" w:rsidRDefault="004A03E3" w:rsidP="00B81598">
      <w:pPr>
        <w:spacing w:after="0" w:line="240" w:lineRule="auto"/>
      </w:pPr>
      <w:r>
        <w:continuationSeparator/>
      </w:r>
    </w:p>
  </w:footnote>
  <w:footnote w:id="1">
    <w:p w14:paraId="59195D67" w14:textId="15F62D5F" w:rsidR="00B81598" w:rsidRDefault="00B81598">
      <w:pPr>
        <w:pStyle w:val="FootnoteText"/>
      </w:pPr>
      <w:r>
        <w:rPr>
          <w:rStyle w:val="FootnoteReference"/>
        </w:rPr>
        <w:footnoteRef/>
      </w:r>
      <w:r>
        <w:t xml:space="preserve"> </w:t>
      </w:r>
      <w:bookmarkStart w:id="4" w:name="_Hlk191399140"/>
      <w:r w:rsidRPr="0017598B">
        <w:rPr>
          <w:rFonts w:ascii="Times New Roman" w:hAnsi="Times New Roman" w:cs="Times New Roman"/>
        </w:rPr>
        <w:t xml:space="preserve">Ministère de la Justice, </w:t>
      </w:r>
      <w:hyperlink r:id="rId1" w:history="1">
        <w:r w:rsidRPr="0017598B">
          <w:rPr>
            <w:rStyle w:val="Hyperlink"/>
            <w:rFonts w:ascii="Times New Roman" w:hAnsi="Times New Roman" w:cs="Times New Roman"/>
          </w:rPr>
          <w:t xml:space="preserve">Mesure de l’incarcération au </w:t>
        </w:r>
        <w:r w:rsidR="00F50A9E" w:rsidRPr="0017598B">
          <w:rPr>
            <w:rStyle w:val="Hyperlink"/>
            <w:rFonts w:ascii="Times New Roman" w:hAnsi="Times New Roman" w:cs="Times New Roman"/>
          </w:rPr>
          <w:t>1</w:t>
        </w:r>
        <w:r w:rsidR="00F50A9E" w:rsidRPr="0017598B">
          <w:rPr>
            <w:rStyle w:val="Hyperlink"/>
            <w:rFonts w:ascii="Times New Roman" w:hAnsi="Times New Roman" w:cs="Times New Roman"/>
            <w:vertAlign w:val="superscript"/>
          </w:rPr>
          <w:t>er</w:t>
        </w:r>
        <w:r w:rsidR="00F50A9E" w:rsidRPr="0017598B">
          <w:rPr>
            <w:rStyle w:val="Hyperlink"/>
            <w:rFonts w:ascii="Times New Roman" w:hAnsi="Times New Roman" w:cs="Times New Roman"/>
          </w:rPr>
          <w:t xml:space="preserve"> </w:t>
        </w:r>
        <w:r w:rsidR="005E3B1E">
          <w:rPr>
            <w:rStyle w:val="Hyperlink"/>
            <w:rFonts w:ascii="Times New Roman" w:hAnsi="Times New Roman" w:cs="Times New Roman"/>
          </w:rPr>
          <w:t>février</w:t>
        </w:r>
        <w:r w:rsidR="00F50A9E" w:rsidRPr="0017598B">
          <w:rPr>
            <w:rStyle w:val="Hyperlink"/>
            <w:rFonts w:ascii="Times New Roman" w:hAnsi="Times New Roman" w:cs="Times New Roman"/>
          </w:rPr>
          <w:t xml:space="preserve"> 2025</w:t>
        </w:r>
      </w:hyperlink>
      <w:r w:rsidR="00F50A9E" w:rsidRPr="0017598B">
        <w:rPr>
          <w:rFonts w:ascii="Times New Roman" w:hAnsi="Times New Roman" w:cs="Times New Roman"/>
        </w:rPr>
        <w:t>.</w:t>
      </w:r>
      <w:bookmarkEnd w:id="4"/>
    </w:p>
  </w:footnote>
  <w:footnote w:id="2">
    <w:p w14:paraId="4EB30F0B" w14:textId="77777777" w:rsidR="005E3B1E" w:rsidRPr="000A64ED" w:rsidRDefault="005E3B1E" w:rsidP="005E3B1E">
      <w:pPr>
        <w:pStyle w:val="FootnoteText"/>
        <w:jc w:val="both"/>
        <w:rPr>
          <w:rFonts w:ascii="Times New Roman" w:hAnsi="Times New Roman" w:cs="Times New Roman"/>
        </w:rPr>
      </w:pPr>
      <w:r w:rsidRPr="000A64ED">
        <w:rPr>
          <w:rStyle w:val="FootnoteReference"/>
          <w:rFonts w:ascii="Times New Roman" w:hAnsi="Times New Roman" w:cs="Times New Roman"/>
        </w:rPr>
        <w:footnoteRef/>
      </w:r>
      <w:r w:rsidRPr="000A64ED">
        <w:rPr>
          <w:rFonts w:ascii="Times New Roman" w:hAnsi="Times New Roman" w:cs="Times New Roman"/>
        </w:rPr>
        <w:t xml:space="preserve"> </w:t>
      </w:r>
      <w:r>
        <w:rPr>
          <w:rFonts w:ascii="Times New Roman" w:hAnsi="Times New Roman" w:cs="Times New Roman"/>
        </w:rPr>
        <w:t xml:space="preserve">Assemblée nationale, </w:t>
      </w:r>
      <w:hyperlink r:id="rId2" w:history="1">
        <w:r w:rsidRPr="008B3D14">
          <w:rPr>
            <w:rStyle w:val="Hyperlink"/>
            <w:rFonts w:ascii="Times New Roman" w:hAnsi="Times New Roman" w:cs="Times New Roman"/>
          </w:rPr>
          <w:t>Rapport d’information sur les alternatives à la détention et l’éventuelle création d’un mécanisme de régulation carcérale</w:t>
        </w:r>
      </w:hyperlink>
      <w:r w:rsidRPr="000A64ED">
        <w:rPr>
          <w:rFonts w:ascii="Times New Roman" w:hAnsi="Times New Roman" w:cs="Times New Roman"/>
        </w:rPr>
        <w:t>, N°1539, 19 juillet 2023.</w:t>
      </w:r>
    </w:p>
  </w:footnote>
  <w:footnote w:id="3">
    <w:p w14:paraId="30BF2616" w14:textId="715E1D42" w:rsidR="000901AB" w:rsidRPr="00AA5384" w:rsidRDefault="000901AB" w:rsidP="00AA5384">
      <w:pPr>
        <w:pStyle w:val="FootnoteText"/>
        <w:jc w:val="both"/>
        <w:rPr>
          <w:rFonts w:ascii="Times New Roman" w:hAnsi="Times New Roman" w:cs="Times New Roman"/>
        </w:rPr>
      </w:pPr>
      <w:r w:rsidRPr="00AA5384">
        <w:rPr>
          <w:rStyle w:val="FootnoteReference"/>
          <w:rFonts w:ascii="Times New Roman" w:hAnsi="Times New Roman" w:cs="Times New Roman"/>
        </w:rPr>
        <w:footnoteRef/>
      </w:r>
      <w:r w:rsidRPr="00AA5384">
        <w:rPr>
          <w:rFonts w:ascii="Times New Roman" w:hAnsi="Times New Roman" w:cs="Times New Roman"/>
        </w:rPr>
        <w:t xml:space="preserve"> </w:t>
      </w:r>
      <w:r w:rsidR="00A34053">
        <w:rPr>
          <w:rFonts w:ascii="Times New Roman" w:hAnsi="Times New Roman" w:cs="Times New Roman"/>
        </w:rPr>
        <w:t xml:space="preserve">CNCDH, </w:t>
      </w:r>
      <w:hyperlink r:id="rId3" w:anchor=":~:text=La%20CNCDH%20en%20deux%20mots&amp;text=Et%20mois%20apr%C3%A8s%20mois%2C%20le,dans%2017%20maisons%20d'arr%C3%AAt%20!" w:history="1">
        <w:r w:rsidRPr="006F1BDD">
          <w:rPr>
            <w:rStyle w:val="Hyperlink"/>
            <w:rFonts w:ascii="Times New Roman" w:hAnsi="Times New Roman" w:cs="Times New Roman"/>
          </w:rPr>
          <w:t xml:space="preserve">Avis </w:t>
        </w:r>
        <w:r w:rsidR="00AA5384" w:rsidRPr="006F1BDD">
          <w:rPr>
            <w:rStyle w:val="Hyperlink"/>
            <w:rFonts w:ascii="Times New Roman" w:hAnsi="Times New Roman" w:cs="Times New Roman"/>
          </w:rPr>
          <w:t>pour un mécanisme contraignant de régulation carcérale</w:t>
        </w:r>
      </w:hyperlink>
      <w:r w:rsidR="00AA5384" w:rsidRPr="00AA5384">
        <w:rPr>
          <w:rFonts w:ascii="Times New Roman" w:hAnsi="Times New Roman" w:cs="Times New Roman"/>
        </w:rPr>
        <w:t>, 23 mai 2024.</w:t>
      </w:r>
    </w:p>
  </w:footnote>
  <w:footnote w:id="4">
    <w:p w14:paraId="08E78C28" w14:textId="4D81C8F6" w:rsidR="00AD225A" w:rsidRPr="00A80DB0" w:rsidRDefault="00AD225A">
      <w:pPr>
        <w:pStyle w:val="FootnoteText"/>
        <w:rPr>
          <w:rFonts w:ascii="Times New Roman" w:hAnsi="Times New Roman" w:cs="Times New Roman"/>
        </w:rPr>
      </w:pPr>
      <w:r w:rsidRPr="00A80DB0">
        <w:rPr>
          <w:rStyle w:val="FootnoteReference"/>
          <w:rFonts w:ascii="Times New Roman" w:hAnsi="Times New Roman" w:cs="Times New Roman"/>
        </w:rPr>
        <w:footnoteRef/>
      </w:r>
      <w:r w:rsidRPr="00A80DB0">
        <w:rPr>
          <w:rFonts w:ascii="Times New Roman" w:hAnsi="Times New Roman" w:cs="Times New Roman"/>
        </w:rPr>
        <w:t xml:space="preserve"> </w:t>
      </w:r>
      <w:bookmarkStart w:id="5" w:name="_Hlk191396280"/>
      <w:r w:rsidRPr="00A80DB0">
        <w:rPr>
          <w:rFonts w:ascii="Times New Roman" w:hAnsi="Times New Roman" w:cs="Times New Roman"/>
        </w:rPr>
        <w:t xml:space="preserve">CEDH, J.M.B. et autres c. France, </w:t>
      </w:r>
      <w:hyperlink r:id="rId4" w:anchor="{%22documentcollectionid2%22:[%22GRANDCHAMBER%22,%22CHAMBER%22],%22itemid%22:[%22001-200446%22]}" w:history="1">
        <w:r w:rsidRPr="00A80DB0">
          <w:rPr>
            <w:rStyle w:val="Hyperlink"/>
            <w:rFonts w:ascii="Times New Roman" w:hAnsi="Times New Roman" w:cs="Times New Roman"/>
          </w:rPr>
          <w:t>Requête n°</w:t>
        </w:r>
        <w:r w:rsidR="00A80DB0" w:rsidRPr="00A80DB0">
          <w:rPr>
            <w:rStyle w:val="Hyperlink"/>
            <w:rFonts w:ascii="Times New Roman" w:hAnsi="Times New Roman" w:cs="Times New Roman"/>
          </w:rPr>
          <w:t>9671/15</w:t>
        </w:r>
      </w:hyperlink>
      <w:r w:rsidR="00A80DB0" w:rsidRPr="00A80DB0">
        <w:rPr>
          <w:rFonts w:ascii="Times New Roman" w:hAnsi="Times New Roman" w:cs="Times New Roman"/>
        </w:rPr>
        <w:t>, 3 mai 2020.</w:t>
      </w:r>
      <w:bookmarkEnd w:id="5"/>
    </w:p>
  </w:footnote>
  <w:footnote w:id="5">
    <w:p w14:paraId="2F2012F1" w14:textId="0F041220" w:rsidR="00515B74" w:rsidRPr="005A1992" w:rsidRDefault="00515B74" w:rsidP="005A1992">
      <w:pPr>
        <w:pStyle w:val="FootnoteText"/>
        <w:jc w:val="both"/>
        <w:rPr>
          <w:rFonts w:ascii="Times New Roman" w:hAnsi="Times New Roman" w:cs="Times New Roman"/>
        </w:rPr>
      </w:pPr>
      <w:r w:rsidRPr="005A1992">
        <w:rPr>
          <w:rStyle w:val="FootnoteReference"/>
          <w:rFonts w:ascii="Times New Roman" w:hAnsi="Times New Roman" w:cs="Times New Roman"/>
        </w:rPr>
        <w:footnoteRef/>
      </w:r>
      <w:r w:rsidRPr="005A1992">
        <w:rPr>
          <w:rFonts w:ascii="Times New Roman" w:hAnsi="Times New Roman" w:cs="Times New Roman"/>
        </w:rPr>
        <w:t xml:space="preserve"> </w:t>
      </w:r>
      <w:r w:rsidR="00E71F67">
        <w:rPr>
          <w:rFonts w:ascii="Times New Roman" w:hAnsi="Times New Roman" w:cs="Times New Roman"/>
        </w:rPr>
        <w:t xml:space="preserve">Assemblée nationale, </w:t>
      </w:r>
      <w:hyperlink r:id="rId5" w:anchor=":~:text=La%20surpopulation%20carc%C3%A9rale%20cr%C3%A9e%20des,et%20autres%20intervenants%20en%20d%C3%A9tention)." w:history="1">
        <w:r w:rsidRPr="00E60FD4">
          <w:rPr>
            <w:rStyle w:val="Hyperlink"/>
            <w:rFonts w:ascii="Times New Roman" w:hAnsi="Times New Roman" w:cs="Times New Roman"/>
          </w:rPr>
          <w:t>Proposition de loi visant à l’instauration d’un mécanisme de régulation carcérale et de prévention de la surpopulation pénitentiaire</w:t>
        </w:r>
      </w:hyperlink>
      <w:r w:rsidRPr="005A1992">
        <w:rPr>
          <w:rFonts w:ascii="Times New Roman" w:hAnsi="Times New Roman" w:cs="Times New Roman"/>
        </w:rPr>
        <w:t xml:space="preserve">, N°431, </w:t>
      </w:r>
      <w:r w:rsidR="005A1992" w:rsidRPr="005A1992">
        <w:rPr>
          <w:rFonts w:ascii="Times New Roman" w:hAnsi="Times New Roman" w:cs="Times New Roman"/>
        </w:rPr>
        <w:t>déposée le 15 octobre 2024.</w:t>
      </w:r>
    </w:p>
  </w:footnote>
  <w:footnote w:id="6">
    <w:p w14:paraId="44E2E67B" w14:textId="4E1CF3AA" w:rsidR="001A2B20" w:rsidRPr="00C50B9F" w:rsidRDefault="001A2B20" w:rsidP="00C50B9F">
      <w:pPr>
        <w:pStyle w:val="FootnoteText"/>
        <w:jc w:val="both"/>
        <w:rPr>
          <w:rFonts w:ascii="Times New Roman" w:hAnsi="Times New Roman" w:cs="Times New Roman"/>
        </w:rPr>
      </w:pPr>
      <w:r w:rsidRPr="00C50B9F">
        <w:rPr>
          <w:rStyle w:val="FootnoteReference"/>
          <w:rFonts w:ascii="Times New Roman" w:hAnsi="Times New Roman" w:cs="Times New Roman"/>
        </w:rPr>
        <w:footnoteRef/>
      </w:r>
      <w:r w:rsidRPr="00C50B9F">
        <w:rPr>
          <w:rFonts w:ascii="Times New Roman" w:hAnsi="Times New Roman" w:cs="Times New Roman"/>
        </w:rPr>
        <w:t xml:space="preserve"> </w:t>
      </w:r>
      <w:bookmarkStart w:id="6" w:name="_Hlk191464615"/>
      <w:r w:rsidR="00AF1FE7" w:rsidRPr="00C50B9F">
        <w:rPr>
          <w:rFonts w:ascii="Times New Roman" w:hAnsi="Times New Roman" w:cs="Times New Roman"/>
        </w:rPr>
        <w:t xml:space="preserve">Comité contre la torture, </w:t>
      </w:r>
      <w:r w:rsidR="006F76E4" w:rsidRPr="00C50B9F">
        <w:rPr>
          <w:rFonts w:ascii="Times New Roman" w:hAnsi="Times New Roman" w:cs="Times New Roman"/>
        </w:rPr>
        <w:t xml:space="preserve">Huitième rapport périodique soumis par la France, </w:t>
      </w:r>
      <w:hyperlink r:id="rId6" w:history="1">
        <w:r w:rsidR="006F76E4" w:rsidRPr="00466D6D">
          <w:rPr>
            <w:rStyle w:val="Hyperlink"/>
            <w:rFonts w:ascii="Times New Roman" w:hAnsi="Times New Roman" w:cs="Times New Roman"/>
          </w:rPr>
          <w:t>CAT/C/FRA/8</w:t>
        </w:r>
      </w:hyperlink>
      <w:r w:rsidR="006F76E4" w:rsidRPr="00C50B9F">
        <w:rPr>
          <w:rFonts w:ascii="Times New Roman" w:hAnsi="Times New Roman" w:cs="Times New Roman"/>
        </w:rPr>
        <w:t>, par</w:t>
      </w:r>
      <w:r w:rsidR="00C50B9F" w:rsidRPr="00C50B9F">
        <w:rPr>
          <w:rFonts w:ascii="Times New Roman" w:hAnsi="Times New Roman" w:cs="Times New Roman"/>
        </w:rPr>
        <w:t xml:space="preserve"> 72.</w:t>
      </w:r>
      <w:bookmarkEnd w:id="6"/>
    </w:p>
  </w:footnote>
  <w:footnote w:id="7">
    <w:p w14:paraId="17F92649" w14:textId="0E55E345" w:rsidR="00EC31E3" w:rsidRPr="001F6766" w:rsidRDefault="00EC31E3" w:rsidP="001F6766">
      <w:pPr>
        <w:pStyle w:val="FootnoteText"/>
        <w:jc w:val="both"/>
        <w:rPr>
          <w:rFonts w:ascii="Times New Roman" w:hAnsi="Times New Roman" w:cs="Times New Roman"/>
        </w:rPr>
      </w:pPr>
      <w:r w:rsidRPr="001F6766">
        <w:rPr>
          <w:rStyle w:val="FootnoteReference"/>
          <w:rFonts w:ascii="Times New Roman" w:hAnsi="Times New Roman" w:cs="Times New Roman"/>
        </w:rPr>
        <w:footnoteRef/>
      </w:r>
      <w:r w:rsidRPr="001F6766">
        <w:rPr>
          <w:rFonts w:ascii="Times New Roman" w:hAnsi="Times New Roman" w:cs="Times New Roman"/>
        </w:rPr>
        <w:t xml:space="preserve"> </w:t>
      </w:r>
      <w:r w:rsidR="001F6766" w:rsidRPr="001F6766">
        <w:rPr>
          <w:rFonts w:ascii="Times New Roman" w:hAnsi="Times New Roman" w:cs="Times New Roman"/>
        </w:rPr>
        <w:t xml:space="preserve">ACAT-France, </w:t>
      </w:r>
      <w:hyperlink r:id="rId7" w:history="1">
        <w:r w:rsidR="001F6766" w:rsidRPr="00640815">
          <w:rPr>
            <w:rStyle w:val="Hyperlink"/>
            <w:rFonts w:ascii="Times New Roman" w:hAnsi="Times New Roman" w:cs="Times New Roman"/>
          </w:rPr>
          <w:t>Idées reçues sur la prison</w:t>
        </w:r>
      </w:hyperlink>
      <w:r w:rsidR="001F6766" w:rsidRPr="001F6766">
        <w:rPr>
          <w:rFonts w:ascii="Times New Roman" w:hAnsi="Times New Roman" w:cs="Times New Roman"/>
        </w:rPr>
        <w:t>, juillet 2024, pp. 16-17.</w:t>
      </w:r>
    </w:p>
  </w:footnote>
  <w:footnote w:id="8">
    <w:p w14:paraId="7B586C9F" w14:textId="1C120B14" w:rsidR="00A624C3" w:rsidRPr="00A7503B" w:rsidRDefault="00A624C3" w:rsidP="00A7503B">
      <w:pPr>
        <w:pStyle w:val="FootnoteText"/>
        <w:jc w:val="both"/>
        <w:rPr>
          <w:rFonts w:ascii="Times New Roman" w:hAnsi="Times New Roman" w:cs="Times New Roman"/>
        </w:rPr>
      </w:pPr>
      <w:r w:rsidRPr="00A7503B">
        <w:rPr>
          <w:rStyle w:val="FootnoteReference"/>
          <w:rFonts w:ascii="Times New Roman" w:hAnsi="Times New Roman" w:cs="Times New Roman"/>
        </w:rPr>
        <w:footnoteRef/>
      </w:r>
      <w:r w:rsidRPr="00A7503B">
        <w:rPr>
          <w:rFonts w:ascii="Times New Roman" w:hAnsi="Times New Roman" w:cs="Times New Roman"/>
        </w:rPr>
        <w:t xml:space="preserve"> Commission des finances du Sénat, </w:t>
      </w:r>
      <w:hyperlink r:id="rId8" w:history="1">
        <w:r w:rsidR="00534210" w:rsidRPr="00534210">
          <w:rPr>
            <w:rStyle w:val="Hyperlink"/>
            <w:rFonts w:ascii="Times New Roman" w:hAnsi="Times New Roman" w:cs="Times New Roman"/>
          </w:rPr>
          <w:t>R</w:t>
        </w:r>
        <w:r w:rsidRPr="00534210">
          <w:rPr>
            <w:rStyle w:val="Hyperlink"/>
            <w:rFonts w:ascii="Times New Roman" w:hAnsi="Times New Roman" w:cs="Times New Roman"/>
          </w:rPr>
          <w:t xml:space="preserve">apport d’information </w:t>
        </w:r>
        <w:r w:rsidR="00A7503B" w:rsidRPr="00534210">
          <w:rPr>
            <w:rStyle w:val="Hyperlink"/>
            <w:rFonts w:ascii="Times New Roman" w:hAnsi="Times New Roman" w:cs="Times New Roman"/>
          </w:rPr>
          <w:t>n°37</w:t>
        </w:r>
      </w:hyperlink>
      <w:r w:rsidR="00A7503B" w:rsidRPr="00A7503B">
        <w:rPr>
          <w:rFonts w:ascii="Times New Roman" w:hAnsi="Times New Roman" w:cs="Times New Roman"/>
        </w:rPr>
        <w:t>, déposé le 18 octobre 2023.</w:t>
      </w:r>
    </w:p>
  </w:footnote>
  <w:footnote w:id="9">
    <w:p w14:paraId="2032281E" w14:textId="5D491E64" w:rsidR="00F7601A" w:rsidRPr="00D0707F" w:rsidRDefault="00F7601A" w:rsidP="00D0707F">
      <w:pPr>
        <w:pStyle w:val="FootnoteText"/>
        <w:jc w:val="both"/>
        <w:rPr>
          <w:rFonts w:ascii="Times New Roman" w:hAnsi="Times New Roman" w:cs="Times New Roman"/>
        </w:rPr>
      </w:pPr>
      <w:r w:rsidRPr="00D0707F">
        <w:rPr>
          <w:rStyle w:val="FootnoteReference"/>
          <w:rFonts w:ascii="Times New Roman" w:hAnsi="Times New Roman" w:cs="Times New Roman"/>
        </w:rPr>
        <w:footnoteRef/>
      </w:r>
      <w:r w:rsidRPr="00D0707F">
        <w:rPr>
          <w:rFonts w:ascii="Times New Roman" w:hAnsi="Times New Roman" w:cs="Times New Roman"/>
        </w:rPr>
        <w:t xml:space="preserve"> Ordonnance n°</w:t>
      </w:r>
      <w:r w:rsidR="00D0707F">
        <w:rPr>
          <w:rFonts w:ascii="Times New Roman" w:hAnsi="Times New Roman" w:cs="Times New Roman"/>
        </w:rPr>
        <w:t xml:space="preserve"> </w:t>
      </w:r>
      <w:r w:rsidRPr="00D0707F">
        <w:rPr>
          <w:rFonts w:ascii="Times New Roman" w:hAnsi="Times New Roman" w:cs="Times New Roman"/>
        </w:rPr>
        <w:t>2020-303</w:t>
      </w:r>
      <w:r w:rsidR="0013049B" w:rsidRPr="00D0707F">
        <w:rPr>
          <w:rFonts w:ascii="Times New Roman" w:hAnsi="Times New Roman" w:cs="Times New Roman"/>
        </w:rPr>
        <w:t xml:space="preserve"> du 25 mars 2020 portant adaptation des règles de procédure pénale sur le fondement de la loi n° 2020-290 du 23 mars 2020 </w:t>
      </w:r>
      <w:r w:rsidR="00D0707F" w:rsidRPr="00D0707F">
        <w:rPr>
          <w:rFonts w:ascii="Times New Roman" w:hAnsi="Times New Roman" w:cs="Times New Roman"/>
        </w:rPr>
        <w:t xml:space="preserve">d’urgence pour faire face à l’épidémie de covid-19. </w:t>
      </w:r>
    </w:p>
  </w:footnote>
  <w:footnote w:id="10">
    <w:p w14:paraId="36F1829C" w14:textId="5189396D" w:rsidR="0078461C" w:rsidRDefault="0078461C">
      <w:pPr>
        <w:pStyle w:val="FootnoteText"/>
      </w:pPr>
      <w:r w:rsidRPr="0078461C">
        <w:rPr>
          <w:rStyle w:val="FootnoteReference"/>
          <w:rFonts w:ascii="Times New Roman" w:hAnsi="Times New Roman" w:cs="Times New Roman"/>
        </w:rPr>
        <w:footnoteRef/>
      </w:r>
      <w:r w:rsidRPr="0078461C">
        <w:rPr>
          <w:rFonts w:ascii="Times New Roman" w:hAnsi="Times New Roman" w:cs="Times New Roman"/>
        </w:rPr>
        <w:t xml:space="preserve"> Comité</w:t>
      </w:r>
      <w:r w:rsidRPr="00C50B9F">
        <w:rPr>
          <w:rFonts w:ascii="Times New Roman" w:hAnsi="Times New Roman" w:cs="Times New Roman"/>
        </w:rPr>
        <w:t xml:space="preserve"> contre la torture, Huitième rapport périodique soumis par la France, </w:t>
      </w:r>
      <w:hyperlink r:id="rId9" w:history="1">
        <w:r w:rsidRPr="00466D6D">
          <w:rPr>
            <w:rStyle w:val="Hyperlink"/>
            <w:rFonts w:ascii="Times New Roman" w:hAnsi="Times New Roman" w:cs="Times New Roman"/>
          </w:rPr>
          <w:t>CAT/C/FRA/8</w:t>
        </w:r>
      </w:hyperlink>
      <w:r w:rsidRPr="00C50B9F">
        <w:rPr>
          <w:rFonts w:ascii="Times New Roman" w:hAnsi="Times New Roman" w:cs="Times New Roman"/>
        </w:rPr>
        <w:t xml:space="preserve">, par </w:t>
      </w:r>
      <w:r>
        <w:rPr>
          <w:rFonts w:ascii="Times New Roman" w:hAnsi="Times New Roman" w:cs="Times New Roman"/>
        </w:rPr>
        <w:t xml:space="preserve">81. </w:t>
      </w:r>
    </w:p>
  </w:footnote>
  <w:footnote w:id="11">
    <w:p w14:paraId="19C8300F" w14:textId="037FC7C1" w:rsidR="005C3C71" w:rsidRDefault="005C3C71">
      <w:pPr>
        <w:pStyle w:val="FootnoteText"/>
      </w:pPr>
      <w:r w:rsidRPr="005C3C71">
        <w:rPr>
          <w:rStyle w:val="FootnoteReference"/>
          <w:rFonts w:ascii="Times New Roman" w:hAnsi="Times New Roman" w:cs="Times New Roman"/>
        </w:rPr>
        <w:footnoteRef/>
      </w:r>
      <w:r w:rsidRPr="005C3C71">
        <w:rPr>
          <w:rFonts w:ascii="Times New Roman" w:hAnsi="Times New Roman" w:cs="Times New Roman"/>
        </w:rPr>
        <w:t xml:space="preserve"> Ministère</w:t>
      </w:r>
      <w:r w:rsidRPr="0017598B">
        <w:rPr>
          <w:rFonts w:ascii="Times New Roman" w:hAnsi="Times New Roman" w:cs="Times New Roman"/>
        </w:rPr>
        <w:t xml:space="preserve"> de la Justice, </w:t>
      </w:r>
      <w:hyperlink r:id="rId10" w:history="1">
        <w:r w:rsidRPr="0017598B">
          <w:rPr>
            <w:rStyle w:val="Hyperlink"/>
            <w:rFonts w:ascii="Times New Roman" w:hAnsi="Times New Roman" w:cs="Times New Roman"/>
          </w:rPr>
          <w:t>Mesure de l’incarcération au 1</w:t>
        </w:r>
        <w:r w:rsidRPr="0017598B">
          <w:rPr>
            <w:rStyle w:val="Hyperlink"/>
            <w:rFonts w:ascii="Times New Roman" w:hAnsi="Times New Roman" w:cs="Times New Roman"/>
            <w:vertAlign w:val="superscript"/>
          </w:rPr>
          <w:t>er</w:t>
        </w:r>
        <w:r w:rsidRPr="0017598B">
          <w:rPr>
            <w:rStyle w:val="Hyperlink"/>
            <w:rFonts w:ascii="Times New Roman" w:hAnsi="Times New Roman" w:cs="Times New Roman"/>
          </w:rPr>
          <w:t xml:space="preserve"> </w:t>
        </w:r>
        <w:r w:rsidR="002F51E2">
          <w:rPr>
            <w:rStyle w:val="Hyperlink"/>
            <w:rFonts w:ascii="Times New Roman" w:hAnsi="Times New Roman" w:cs="Times New Roman"/>
          </w:rPr>
          <w:t>février</w:t>
        </w:r>
        <w:r w:rsidRPr="0017598B">
          <w:rPr>
            <w:rStyle w:val="Hyperlink"/>
            <w:rFonts w:ascii="Times New Roman" w:hAnsi="Times New Roman" w:cs="Times New Roman"/>
          </w:rPr>
          <w:t xml:space="preserve"> 2025</w:t>
        </w:r>
      </w:hyperlink>
      <w:r w:rsidRPr="0017598B">
        <w:rPr>
          <w:rFonts w:ascii="Times New Roman" w:hAnsi="Times New Roman" w:cs="Times New Roman"/>
        </w:rPr>
        <w:t>.</w:t>
      </w:r>
    </w:p>
  </w:footnote>
  <w:footnote w:id="12">
    <w:p w14:paraId="6DB3BE11" w14:textId="49BF8854" w:rsidR="005156B9" w:rsidRDefault="005156B9">
      <w:pPr>
        <w:pStyle w:val="FootnoteText"/>
      </w:pPr>
      <w:r w:rsidRPr="005156B9">
        <w:rPr>
          <w:rStyle w:val="FootnoteReference"/>
          <w:rFonts w:ascii="Times New Roman" w:hAnsi="Times New Roman" w:cs="Times New Roman"/>
        </w:rPr>
        <w:footnoteRef/>
      </w:r>
      <w:r w:rsidRPr="005156B9">
        <w:rPr>
          <w:rFonts w:ascii="Times New Roman" w:hAnsi="Times New Roman" w:cs="Times New Roman"/>
        </w:rPr>
        <w:t xml:space="preserve"> </w:t>
      </w:r>
      <w:r w:rsidRPr="00F1344A">
        <w:rPr>
          <w:rFonts w:ascii="Times New Roman" w:hAnsi="Times New Roman" w:cs="Times New Roman"/>
        </w:rPr>
        <w:t xml:space="preserve">Comité contre la torture, </w:t>
      </w:r>
      <w:hyperlink r:id="rId11" w:history="1">
        <w:r w:rsidRPr="00BF18C2">
          <w:rPr>
            <w:rStyle w:val="Hyperlink"/>
            <w:rFonts w:ascii="Times New Roman" w:hAnsi="Times New Roman" w:cs="Times New Roman"/>
          </w:rPr>
          <w:t>Observations finales concernant le septième rapport périodique de la France</w:t>
        </w:r>
      </w:hyperlink>
      <w:r w:rsidRPr="00F1344A">
        <w:rPr>
          <w:rFonts w:ascii="Times New Roman" w:hAnsi="Times New Roman" w:cs="Times New Roman"/>
        </w:rPr>
        <w:t>, CAT/C/FRA/CO/7, 10 juin 2016</w:t>
      </w:r>
      <w:r>
        <w:rPr>
          <w:rFonts w:ascii="Times New Roman" w:hAnsi="Times New Roman" w:cs="Times New Roman"/>
        </w:rPr>
        <w:t>, par.2</w:t>
      </w:r>
      <w:r w:rsidR="00F01336">
        <w:rPr>
          <w:rFonts w:ascii="Times New Roman" w:hAnsi="Times New Roman" w:cs="Times New Roman"/>
        </w:rPr>
        <w:t xml:space="preserve">1. </w:t>
      </w:r>
    </w:p>
  </w:footnote>
  <w:footnote w:id="13">
    <w:p w14:paraId="076CCF8F" w14:textId="0EA8D1F3" w:rsidR="0062636B" w:rsidRDefault="0062636B">
      <w:pPr>
        <w:pStyle w:val="FootnoteText"/>
      </w:pPr>
      <w:r w:rsidRPr="0062636B">
        <w:rPr>
          <w:rStyle w:val="FootnoteReference"/>
          <w:rFonts w:ascii="Times New Roman" w:hAnsi="Times New Roman" w:cs="Times New Roman"/>
        </w:rPr>
        <w:footnoteRef/>
      </w:r>
      <w:r w:rsidRPr="0062636B">
        <w:rPr>
          <w:rFonts w:ascii="Times New Roman" w:hAnsi="Times New Roman" w:cs="Times New Roman"/>
        </w:rPr>
        <w:t xml:space="preserve"> </w:t>
      </w:r>
      <w:bookmarkStart w:id="8" w:name="_Hlk191464941"/>
      <w:r w:rsidRPr="0017598B">
        <w:rPr>
          <w:rFonts w:ascii="Times New Roman" w:hAnsi="Times New Roman" w:cs="Times New Roman"/>
        </w:rPr>
        <w:t xml:space="preserve">Ministère de la Justice, </w:t>
      </w:r>
      <w:hyperlink r:id="rId12" w:history="1">
        <w:r w:rsidRPr="0017598B">
          <w:rPr>
            <w:rStyle w:val="Hyperlink"/>
            <w:rFonts w:ascii="Times New Roman" w:hAnsi="Times New Roman" w:cs="Times New Roman"/>
          </w:rPr>
          <w:t>Mesure de l’incarcération au 1</w:t>
        </w:r>
        <w:r w:rsidRPr="0017598B">
          <w:rPr>
            <w:rStyle w:val="Hyperlink"/>
            <w:rFonts w:ascii="Times New Roman" w:hAnsi="Times New Roman" w:cs="Times New Roman"/>
            <w:vertAlign w:val="superscript"/>
          </w:rPr>
          <w:t>er</w:t>
        </w:r>
        <w:r w:rsidRPr="0017598B">
          <w:rPr>
            <w:rStyle w:val="Hyperlink"/>
            <w:rFonts w:ascii="Times New Roman" w:hAnsi="Times New Roman" w:cs="Times New Roman"/>
          </w:rPr>
          <w:t xml:space="preserve"> </w:t>
        </w:r>
        <w:r w:rsidR="00844FE2">
          <w:rPr>
            <w:rStyle w:val="Hyperlink"/>
            <w:rFonts w:ascii="Times New Roman" w:hAnsi="Times New Roman" w:cs="Times New Roman"/>
          </w:rPr>
          <w:t>février</w:t>
        </w:r>
        <w:r w:rsidRPr="0017598B">
          <w:rPr>
            <w:rStyle w:val="Hyperlink"/>
            <w:rFonts w:ascii="Times New Roman" w:hAnsi="Times New Roman" w:cs="Times New Roman"/>
          </w:rPr>
          <w:t xml:space="preserve"> 2025</w:t>
        </w:r>
      </w:hyperlink>
      <w:r w:rsidRPr="0017598B">
        <w:rPr>
          <w:rFonts w:ascii="Times New Roman" w:hAnsi="Times New Roman" w:cs="Times New Roman"/>
        </w:rPr>
        <w:t>.</w:t>
      </w:r>
      <w:bookmarkEnd w:id="8"/>
    </w:p>
  </w:footnote>
  <w:footnote w:id="14">
    <w:p w14:paraId="77F3EB1F" w14:textId="77777777" w:rsidR="005D28EE" w:rsidRPr="00155820" w:rsidRDefault="005D28EE" w:rsidP="005D28EE">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Sud-Ouest, </w:t>
      </w:r>
      <w:hyperlink r:id="rId13" w:history="1">
        <w:r w:rsidRPr="00155820">
          <w:rPr>
            <w:rStyle w:val="Hyperlink"/>
            <w:rFonts w:ascii="Times New Roman" w:hAnsi="Times New Roman" w:cs="Times New Roman"/>
            <w:i/>
            <w:iCs/>
            <w:u w:val="none"/>
          </w:rPr>
          <w:t>Prison de Bordeaux-Gradignan : déjà 55 cellules à trois dans le nouveau bâtiment censé combattre la surpopulation</w:t>
        </w:r>
        <w:r w:rsidRPr="00155820">
          <w:rPr>
            <w:rStyle w:val="Hyperlink"/>
            <w:rFonts w:ascii="Times New Roman" w:hAnsi="Times New Roman" w:cs="Times New Roman"/>
          </w:rPr>
          <w:t> </w:t>
        </w:r>
      </w:hyperlink>
      <w:r w:rsidRPr="00155820">
        <w:rPr>
          <w:rFonts w:ascii="Times New Roman" w:hAnsi="Times New Roman" w:cs="Times New Roman"/>
        </w:rPr>
        <w:t>, 10 septembre 2024.</w:t>
      </w:r>
    </w:p>
  </w:footnote>
  <w:footnote w:id="15">
    <w:p w14:paraId="2D18D7C1" w14:textId="7CF29BBD" w:rsidR="00E72135" w:rsidRPr="00E72135" w:rsidRDefault="00E72135" w:rsidP="00E72135">
      <w:pPr>
        <w:pStyle w:val="FootnoteText"/>
        <w:jc w:val="both"/>
        <w:rPr>
          <w:rFonts w:ascii="Times New Roman" w:hAnsi="Times New Roman" w:cs="Times New Roman"/>
        </w:rPr>
      </w:pPr>
      <w:r w:rsidRPr="00E72135">
        <w:rPr>
          <w:rStyle w:val="FootnoteReference"/>
          <w:rFonts w:ascii="Times New Roman" w:hAnsi="Times New Roman" w:cs="Times New Roman"/>
        </w:rPr>
        <w:footnoteRef/>
      </w:r>
      <w:r w:rsidRPr="00E72135">
        <w:rPr>
          <w:rFonts w:ascii="Times New Roman" w:hAnsi="Times New Roman" w:cs="Times New Roman"/>
        </w:rPr>
        <w:t xml:space="preserve"> CGLPL, </w:t>
      </w:r>
      <w:hyperlink r:id="rId14" w:history="1">
        <w:r w:rsidRPr="00CA4E08">
          <w:rPr>
            <w:rStyle w:val="Hyperlink"/>
            <w:rFonts w:ascii="Times New Roman" w:hAnsi="Times New Roman" w:cs="Times New Roman"/>
          </w:rPr>
          <w:t>Rapport d’activité 2023 – Dossier de presse</w:t>
        </w:r>
      </w:hyperlink>
      <w:r w:rsidRPr="00E72135">
        <w:rPr>
          <w:rFonts w:ascii="Times New Roman" w:hAnsi="Times New Roman" w:cs="Times New Roman"/>
        </w:rPr>
        <w:t xml:space="preserve">. </w:t>
      </w:r>
    </w:p>
  </w:footnote>
  <w:footnote w:id="16">
    <w:p w14:paraId="0DE7276E" w14:textId="5A448DA0" w:rsidR="00AE37DD" w:rsidRDefault="00AE37DD">
      <w:pPr>
        <w:pStyle w:val="FootnoteText"/>
      </w:pPr>
      <w:r w:rsidRPr="00AE37DD">
        <w:rPr>
          <w:rStyle w:val="FootnoteReference"/>
          <w:rFonts w:ascii="Times New Roman" w:hAnsi="Times New Roman" w:cs="Times New Roman"/>
        </w:rPr>
        <w:footnoteRef/>
      </w:r>
      <w:r w:rsidRPr="00AE37DD">
        <w:rPr>
          <w:rFonts w:ascii="Times New Roman" w:hAnsi="Times New Roman" w:cs="Times New Roman"/>
        </w:rPr>
        <w:t xml:space="preserve"> CEDH</w:t>
      </w:r>
      <w:r w:rsidRPr="00A80DB0">
        <w:rPr>
          <w:rFonts w:ascii="Times New Roman" w:hAnsi="Times New Roman" w:cs="Times New Roman"/>
        </w:rPr>
        <w:t xml:space="preserve">, J.M.B. et autres c. France, </w:t>
      </w:r>
      <w:hyperlink r:id="rId15" w:anchor="{%22documentcollectionid2%22:[%22GRANDCHAMBER%22,%22CHAMBER%22],%22itemid%22:[%22001-200446%22]}" w:history="1">
        <w:r w:rsidRPr="00A80DB0">
          <w:rPr>
            <w:rStyle w:val="Hyperlink"/>
            <w:rFonts w:ascii="Times New Roman" w:hAnsi="Times New Roman" w:cs="Times New Roman"/>
          </w:rPr>
          <w:t>Requête n°9671/15</w:t>
        </w:r>
      </w:hyperlink>
      <w:r w:rsidRPr="00A80DB0">
        <w:rPr>
          <w:rFonts w:ascii="Times New Roman" w:hAnsi="Times New Roman" w:cs="Times New Roman"/>
        </w:rPr>
        <w:t>, 3 mai 2020.</w:t>
      </w:r>
    </w:p>
  </w:footnote>
  <w:footnote w:id="17">
    <w:p w14:paraId="376D1B6F" w14:textId="6CBF9C37" w:rsidR="00AE0278" w:rsidRPr="00862CF6" w:rsidRDefault="00AE0278" w:rsidP="00862CF6">
      <w:pPr>
        <w:pStyle w:val="FootnoteText"/>
        <w:jc w:val="both"/>
        <w:rPr>
          <w:rFonts w:ascii="Times New Roman" w:hAnsi="Times New Roman" w:cs="Times New Roman"/>
        </w:rPr>
      </w:pPr>
      <w:r w:rsidRPr="00862CF6">
        <w:rPr>
          <w:rStyle w:val="FootnoteReference"/>
          <w:rFonts w:ascii="Times New Roman" w:hAnsi="Times New Roman" w:cs="Times New Roman"/>
        </w:rPr>
        <w:footnoteRef/>
      </w:r>
      <w:r w:rsidRPr="00862CF6">
        <w:rPr>
          <w:rFonts w:ascii="Times New Roman" w:hAnsi="Times New Roman" w:cs="Times New Roman"/>
        </w:rPr>
        <w:t xml:space="preserve"> </w:t>
      </w:r>
      <w:r w:rsidR="009311A2" w:rsidRPr="00862CF6">
        <w:rPr>
          <w:rFonts w:ascii="Times New Roman" w:hAnsi="Times New Roman" w:cs="Times New Roman"/>
        </w:rPr>
        <w:t xml:space="preserve">Ministère de la Justice, </w:t>
      </w:r>
      <w:hyperlink r:id="rId16" w:history="1">
        <w:r w:rsidR="009311A2" w:rsidRPr="00862CF6">
          <w:rPr>
            <w:rStyle w:val="Hyperlink"/>
            <w:rFonts w:ascii="Times New Roman" w:hAnsi="Times New Roman" w:cs="Times New Roman"/>
          </w:rPr>
          <w:t>Statistiques mensuelles de la population détenue et écrouée</w:t>
        </w:r>
      </w:hyperlink>
      <w:r w:rsidR="00862CF6" w:rsidRPr="00862CF6">
        <w:rPr>
          <w:rFonts w:ascii="Times New Roman" w:hAnsi="Times New Roman" w:cs="Times New Roman"/>
        </w:rPr>
        <w:t>, 1</w:t>
      </w:r>
      <w:r w:rsidR="00862CF6" w:rsidRPr="00862CF6">
        <w:rPr>
          <w:rFonts w:ascii="Times New Roman" w:hAnsi="Times New Roman" w:cs="Times New Roman"/>
          <w:vertAlign w:val="superscript"/>
        </w:rPr>
        <w:t>er</w:t>
      </w:r>
      <w:r w:rsidR="00862CF6" w:rsidRPr="00862CF6">
        <w:rPr>
          <w:rFonts w:ascii="Times New Roman" w:hAnsi="Times New Roman" w:cs="Times New Roman"/>
        </w:rPr>
        <w:t xml:space="preserve"> </w:t>
      </w:r>
      <w:r w:rsidR="00844FE2">
        <w:rPr>
          <w:rFonts w:ascii="Times New Roman" w:hAnsi="Times New Roman" w:cs="Times New Roman"/>
        </w:rPr>
        <w:t>février</w:t>
      </w:r>
      <w:r w:rsidR="00862CF6" w:rsidRPr="00862CF6">
        <w:rPr>
          <w:rFonts w:ascii="Times New Roman" w:hAnsi="Times New Roman" w:cs="Times New Roman"/>
        </w:rPr>
        <w:t xml:space="preserve"> 2025.</w:t>
      </w:r>
    </w:p>
  </w:footnote>
  <w:footnote w:id="18">
    <w:p w14:paraId="59B4354F" w14:textId="105AD5F3" w:rsidR="00361D19" w:rsidRPr="00643E49" w:rsidRDefault="00361D19">
      <w:pPr>
        <w:pStyle w:val="FootnoteText"/>
        <w:rPr>
          <w:rFonts w:ascii="Times New Roman" w:hAnsi="Times New Roman" w:cs="Times New Roman"/>
        </w:rPr>
      </w:pPr>
      <w:r w:rsidRPr="00643E49">
        <w:rPr>
          <w:rStyle w:val="FootnoteReference"/>
          <w:rFonts w:ascii="Times New Roman" w:hAnsi="Times New Roman" w:cs="Times New Roman"/>
        </w:rPr>
        <w:footnoteRef/>
      </w:r>
      <w:r w:rsidRPr="00643E49">
        <w:rPr>
          <w:rFonts w:ascii="Times New Roman" w:hAnsi="Times New Roman" w:cs="Times New Roman"/>
        </w:rPr>
        <w:t xml:space="preserve"> Prison insider, </w:t>
      </w:r>
      <w:hyperlink r:id="rId17" w:anchor="prison-life-index-codegroupsection" w:history="1">
        <w:r w:rsidRPr="00643E49">
          <w:rPr>
            <w:rStyle w:val="Hyperlink"/>
            <w:rFonts w:ascii="Times New Roman" w:hAnsi="Times New Roman" w:cs="Times New Roman"/>
          </w:rPr>
          <w:t>Prison Life Index France</w:t>
        </w:r>
      </w:hyperlink>
      <w:r w:rsidR="00441AA3">
        <w:rPr>
          <w:rFonts w:ascii="Times New Roman" w:hAnsi="Times New Roman" w:cs="Times New Roman"/>
        </w:rPr>
        <w:t>.</w:t>
      </w:r>
    </w:p>
  </w:footnote>
  <w:footnote w:id="19">
    <w:p w14:paraId="7CECC37E" w14:textId="77777777" w:rsidR="007E3777" w:rsidRPr="005F13D0" w:rsidRDefault="007E3777" w:rsidP="007E3777">
      <w:pPr>
        <w:pStyle w:val="FootnoteText"/>
        <w:jc w:val="both"/>
        <w:rPr>
          <w:rFonts w:ascii="Times New Roman" w:hAnsi="Times New Roman" w:cs="Times New Roman"/>
        </w:rPr>
      </w:pPr>
      <w:r w:rsidRPr="005F13D0">
        <w:rPr>
          <w:rStyle w:val="FootnoteReference"/>
          <w:rFonts w:ascii="Times New Roman" w:hAnsi="Times New Roman" w:cs="Times New Roman"/>
        </w:rPr>
        <w:footnoteRef/>
      </w:r>
      <w:r w:rsidRPr="005F13D0">
        <w:rPr>
          <w:rFonts w:ascii="Times New Roman" w:hAnsi="Times New Roman" w:cs="Times New Roman"/>
        </w:rPr>
        <w:t xml:space="preserve"> CEDH, B.M. et autres c. France, </w:t>
      </w:r>
      <w:hyperlink r:id="rId18" w:anchor="{%22itemid%22:[%22001-225669%22]}" w:history="1">
        <w:r w:rsidRPr="00F3297A">
          <w:rPr>
            <w:rStyle w:val="Hyperlink"/>
            <w:rFonts w:ascii="Times New Roman" w:hAnsi="Times New Roman" w:cs="Times New Roman"/>
          </w:rPr>
          <w:t>Requête n°84187/17</w:t>
        </w:r>
      </w:hyperlink>
      <w:r w:rsidRPr="005F13D0">
        <w:rPr>
          <w:rFonts w:ascii="Times New Roman" w:hAnsi="Times New Roman" w:cs="Times New Roman"/>
        </w:rPr>
        <w:t>, 6 juillet 2023.</w:t>
      </w:r>
    </w:p>
  </w:footnote>
  <w:footnote w:id="20">
    <w:p w14:paraId="1DAC7CAC" w14:textId="77777777" w:rsidR="00317E15" w:rsidRPr="00155820" w:rsidRDefault="00317E15" w:rsidP="00317E15">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Conseil constitutionnel, </w:t>
      </w:r>
      <w:hyperlink r:id="rId19" w:history="1">
        <w:r w:rsidRPr="00155820">
          <w:rPr>
            <w:rStyle w:val="Hyperlink"/>
            <w:rFonts w:ascii="Times New Roman" w:hAnsi="Times New Roman" w:cs="Times New Roman"/>
            <w:i/>
            <w:iCs/>
          </w:rPr>
          <w:t>Décision n°2020-858/859 QPC du 2 octobre 2020</w:t>
        </w:r>
      </w:hyperlink>
      <w:r w:rsidRPr="00155820">
        <w:rPr>
          <w:rFonts w:ascii="Times New Roman" w:hAnsi="Times New Roman" w:cs="Times New Roman"/>
        </w:rPr>
        <w:t xml:space="preserve">. </w:t>
      </w:r>
    </w:p>
  </w:footnote>
  <w:footnote w:id="21">
    <w:p w14:paraId="7D37A6B3" w14:textId="04DEED58" w:rsidR="00317E15" w:rsidRPr="00155820" w:rsidRDefault="00317E15" w:rsidP="00317E15">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Loi n°2021-403 du 8 avril 2021 tendant à garantir le droit au respect de la dignité en détention</w:t>
      </w:r>
      <w:r w:rsidR="005F13D0">
        <w:rPr>
          <w:rFonts w:ascii="Times New Roman" w:hAnsi="Times New Roman" w:cs="Times New Roman"/>
        </w:rPr>
        <w:t>.</w:t>
      </w:r>
    </w:p>
  </w:footnote>
  <w:footnote w:id="22">
    <w:p w14:paraId="236A7C5F" w14:textId="35FF6E19" w:rsidR="00DB7AD2" w:rsidRPr="00FD3880" w:rsidRDefault="00DB7AD2" w:rsidP="00FD3880">
      <w:pPr>
        <w:pStyle w:val="FootnoteText"/>
        <w:jc w:val="both"/>
        <w:rPr>
          <w:rFonts w:ascii="Times New Roman" w:hAnsi="Times New Roman" w:cs="Times New Roman"/>
        </w:rPr>
      </w:pPr>
      <w:r w:rsidRPr="00FD3880">
        <w:rPr>
          <w:rStyle w:val="FootnoteReference"/>
          <w:rFonts w:ascii="Times New Roman" w:hAnsi="Times New Roman" w:cs="Times New Roman"/>
        </w:rPr>
        <w:footnoteRef/>
      </w:r>
      <w:r w:rsidRPr="00FD3880">
        <w:rPr>
          <w:rFonts w:ascii="Times New Roman" w:hAnsi="Times New Roman" w:cs="Times New Roman"/>
        </w:rPr>
        <w:t xml:space="preserve"> </w:t>
      </w:r>
      <w:r w:rsidR="00240811" w:rsidRPr="00FD3880">
        <w:rPr>
          <w:rFonts w:ascii="Times New Roman" w:hAnsi="Times New Roman" w:cs="Times New Roman"/>
        </w:rPr>
        <w:t xml:space="preserve">CGLPL, </w:t>
      </w:r>
      <w:hyperlink r:id="rId20" w:history="1">
        <w:r w:rsidR="00FD3880" w:rsidRPr="00FD3880">
          <w:rPr>
            <w:rStyle w:val="Hyperlink"/>
            <w:rFonts w:ascii="Times New Roman" w:hAnsi="Times New Roman" w:cs="Times New Roman"/>
          </w:rPr>
          <w:t>R</w:t>
        </w:r>
        <w:r w:rsidR="00240811" w:rsidRPr="00FD3880">
          <w:rPr>
            <w:rStyle w:val="Hyperlink"/>
            <w:rFonts w:ascii="Times New Roman" w:hAnsi="Times New Roman" w:cs="Times New Roman"/>
          </w:rPr>
          <w:t>apport de la deuxième visite du centre pénitentiaire de Ducos (Martinique)</w:t>
        </w:r>
      </w:hyperlink>
      <w:r w:rsidR="00240811" w:rsidRPr="00FD3880">
        <w:rPr>
          <w:rFonts w:ascii="Times New Roman" w:hAnsi="Times New Roman" w:cs="Times New Roman"/>
        </w:rPr>
        <w:t xml:space="preserve">, visite du 9 au 13 octobre 2017, rapport publié le </w:t>
      </w:r>
      <w:r w:rsidR="00FD3880" w:rsidRPr="00FD3880">
        <w:rPr>
          <w:rFonts w:ascii="Times New Roman" w:hAnsi="Times New Roman" w:cs="Times New Roman"/>
        </w:rPr>
        <w:t>5 avril 2019.</w:t>
      </w:r>
    </w:p>
  </w:footnote>
  <w:footnote w:id="23">
    <w:p w14:paraId="2ABBC0A6" w14:textId="0B3CF543" w:rsidR="003A0F4D" w:rsidRPr="00F1344A" w:rsidRDefault="003A0F4D" w:rsidP="00F1344A">
      <w:pPr>
        <w:pStyle w:val="FootnoteText"/>
        <w:jc w:val="both"/>
        <w:rPr>
          <w:rFonts w:ascii="Times New Roman" w:hAnsi="Times New Roman" w:cs="Times New Roman"/>
        </w:rPr>
      </w:pPr>
      <w:r w:rsidRPr="00F1344A">
        <w:rPr>
          <w:rStyle w:val="FootnoteReference"/>
          <w:rFonts w:ascii="Times New Roman" w:hAnsi="Times New Roman" w:cs="Times New Roman"/>
        </w:rPr>
        <w:footnoteRef/>
      </w:r>
      <w:r w:rsidRPr="00F1344A">
        <w:rPr>
          <w:rFonts w:ascii="Times New Roman" w:hAnsi="Times New Roman" w:cs="Times New Roman"/>
        </w:rPr>
        <w:t xml:space="preserve"> </w:t>
      </w:r>
      <w:bookmarkStart w:id="11" w:name="_Hlk191637023"/>
      <w:r w:rsidRPr="00F1344A">
        <w:rPr>
          <w:rFonts w:ascii="Times New Roman" w:hAnsi="Times New Roman" w:cs="Times New Roman"/>
        </w:rPr>
        <w:t xml:space="preserve">Comité contre la torture, </w:t>
      </w:r>
      <w:hyperlink r:id="rId21" w:history="1">
        <w:r w:rsidRPr="00BF18C2">
          <w:rPr>
            <w:rStyle w:val="Hyperlink"/>
            <w:rFonts w:ascii="Times New Roman" w:hAnsi="Times New Roman" w:cs="Times New Roman"/>
          </w:rPr>
          <w:t>Observations finales concernant le septième rapport périodique de la France</w:t>
        </w:r>
      </w:hyperlink>
      <w:r w:rsidRPr="00F1344A">
        <w:rPr>
          <w:rFonts w:ascii="Times New Roman" w:hAnsi="Times New Roman" w:cs="Times New Roman"/>
        </w:rPr>
        <w:t xml:space="preserve">, </w:t>
      </w:r>
      <w:r w:rsidR="00F1344A" w:rsidRPr="00F1344A">
        <w:rPr>
          <w:rFonts w:ascii="Times New Roman" w:hAnsi="Times New Roman" w:cs="Times New Roman"/>
        </w:rPr>
        <w:t>CAT/C/FRA/CO/7, 10 juin 2016</w:t>
      </w:r>
      <w:r w:rsidR="007870DE">
        <w:rPr>
          <w:rFonts w:ascii="Times New Roman" w:hAnsi="Times New Roman" w:cs="Times New Roman"/>
        </w:rPr>
        <w:t>, par.27</w:t>
      </w:r>
      <w:r w:rsidR="00F1344A" w:rsidRPr="00F1344A">
        <w:rPr>
          <w:rFonts w:ascii="Times New Roman" w:hAnsi="Times New Roman" w:cs="Times New Roman"/>
        </w:rPr>
        <w:t xml:space="preserve">. </w:t>
      </w:r>
      <w:bookmarkEnd w:id="11"/>
    </w:p>
  </w:footnote>
  <w:footnote w:id="24">
    <w:p w14:paraId="278105FE" w14:textId="07CE849A" w:rsidR="00621872" w:rsidRPr="002011A3" w:rsidRDefault="00621872">
      <w:pPr>
        <w:pStyle w:val="FootnoteText"/>
        <w:rPr>
          <w:rFonts w:ascii="Times New Roman" w:hAnsi="Times New Roman" w:cs="Times New Roman"/>
        </w:rPr>
      </w:pPr>
      <w:r w:rsidRPr="002011A3">
        <w:rPr>
          <w:rStyle w:val="FootnoteReference"/>
          <w:rFonts w:ascii="Times New Roman" w:hAnsi="Times New Roman" w:cs="Times New Roman"/>
        </w:rPr>
        <w:footnoteRef/>
      </w:r>
      <w:r w:rsidRPr="002011A3">
        <w:rPr>
          <w:rFonts w:ascii="Times New Roman" w:hAnsi="Times New Roman" w:cs="Times New Roman"/>
        </w:rPr>
        <w:t xml:space="preserve"> CAA Douai, 17 septembre 2020, n°</w:t>
      </w:r>
      <w:r w:rsidR="00C264CB" w:rsidRPr="002011A3">
        <w:rPr>
          <w:rFonts w:ascii="Times New Roman" w:hAnsi="Times New Roman" w:cs="Times New Roman"/>
        </w:rPr>
        <w:t>18DA02030</w:t>
      </w:r>
      <w:r w:rsidR="00441AA3">
        <w:rPr>
          <w:rFonts w:ascii="Times New Roman" w:hAnsi="Times New Roman" w:cs="Times New Roman"/>
        </w:rPr>
        <w:t>.</w:t>
      </w:r>
    </w:p>
  </w:footnote>
  <w:footnote w:id="25">
    <w:p w14:paraId="25513DF7" w14:textId="58F24045" w:rsidR="00D13589" w:rsidRPr="00155BEE" w:rsidRDefault="00D13589" w:rsidP="00155BEE">
      <w:pPr>
        <w:pStyle w:val="FootnoteText"/>
        <w:jc w:val="both"/>
        <w:rPr>
          <w:rFonts w:ascii="Times New Roman" w:hAnsi="Times New Roman" w:cs="Times New Roman"/>
        </w:rPr>
      </w:pPr>
      <w:r w:rsidRPr="00155BEE">
        <w:rPr>
          <w:rStyle w:val="FootnoteReference"/>
          <w:rFonts w:ascii="Times New Roman" w:hAnsi="Times New Roman" w:cs="Times New Roman"/>
        </w:rPr>
        <w:footnoteRef/>
      </w:r>
      <w:r w:rsidRPr="00155BEE">
        <w:rPr>
          <w:rFonts w:ascii="Times New Roman" w:hAnsi="Times New Roman" w:cs="Times New Roman"/>
        </w:rPr>
        <w:t xml:space="preserve"> CEDH, </w:t>
      </w:r>
      <w:r w:rsidR="00D343F9" w:rsidRPr="00155BEE">
        <w:rPr>
          <w:rFonts w:ascii="Times New Roman" w:hAnsi="Times New Roman" w:cs="Times New Roman"/>
        </w:rPr>
        <w:t xml:space="preserve">Frérot c. France, </w:t>
      </w:r>
      <w:hyperlink r:id="rId22" w:anchor="{%22itemid%22:[%22001-80987%22]}" w:history="1">
        <w:r w:rsidR="00155BEE" w:rsidRPr="00434101">
          <w:rPr>
            <w:rStyle w:val="Hyperlink"/>
            <w:rFonts w:ascii="Times New Roman" w:hAnsi="Times New Roman" w:cs="Times New Roman"/>
          </w:rPr>
          <w:t>Requête n°70204/</w:t>
        </w:r>
        <w:r w:rsidR="00CF591C" w:rsidRPr="00434101">
          <w:rPr>
            <w:rStyle w:val="Hyperlink"/>
            <w:rFonts w:ascii="Times New Roman" w:hAnsi="Times New Roman" w:cs="Times New Roman"/>
          </w:rPr>
          <w:t>01</w:t>
        </w:r>
      </w:hyperlink>
      <w:r w:rsidR="00CF591C">
        <w:rPr>
          <w:rFonts w:ascii="Times New Roman" w:hAnsi="Times New Roman" w:cs="Times New Roman"/>
        </w:rPr>
        <w:t xml:space="preserve">, 12 juin 2007 ; CEDH, Khider c. France, </w:t>
      </w:r>
      <w:hyperlink r:id="rId23" w:anchor="{%22itemid%22:[%22001-93513%22]}" w:history="1">
        <w:r w:rsidR="00CF591C" w:rsidRPr="003D4696">
          <w:rPr>
            <w:rStyle w:val="Hyperlink"/>
            <w:rFonts w:ascii="Times New Roman" w:hAnsi="Times New Roman" w:cs="Times New Roman"/>
          </w:rPr>
          <w:t>Requête n°</w:t>
        </w:r>
        <w:r w:rsidR="001D3CC0" w:rsidRPr="003D4696">
          <w:rPr>
            <w:rStyle w:val="Hyperlink"/>
            <w:rFonts w:ascii="Times New Roman" w:hAnsi="Times New Roman" w:cs="Times New Roman"/>
          </w:rPr>
          <w:t>39364/05</w:t>
        </w:r>
      </w:hyperlink>
      <w:r w:rsidR="001D3CC0">
        <w:rPr>
          <w:rFonts w:ascii="Times New Roman" w:hAnsi="Times New Roman" w:cs="Times New Roman"/>
        </w:rPr>
        <w:t>, 9 juillet 2009 ; CEDH</w:t>
      </w:r>
      <w:r w:rsidR="007370DB">
        <w:rPr>
          <w:rFonts w:ascii="Times New Roman" w:hAnsi="Times New Roman" w:cs="Times New Roman"/>
        </w:rPr>
        <w:t>,</w:t>
      </w:r>
      <w:r w:rsidR="001D3CC0">
        <w:rPr>
          <w:rFonts w:ascii="Times New Roman" w:hAnsi="Times New Roman" w:cs="Times New Roman"/>
        </w:rPr>
        <w:t xml:space="preserve"> El Shennawy c. France, </w:t>
      </w:r>
      <w:hyperlink r:id="rId24" w:anchor="{%22itemid%22:[%22001-102951%22]}" w:history="1">
        <w:r w:rsidR="001D3CC0" w:rsidRPr="000C7233">
          <w:rPr>
            <w:rStyle w:val="Hyperlink"/>
            <w:rFonts w:ascii="Times New Roman" w:hAnsi="Times New Roman" w:cs="Times New Roman"/>
          </w:rPr>
          <w:t>Requête n°</w:t>
        </w:r>
        <w:r w:rsidR="00434101" w:rsidRPr="000C7233">
          <w:rPr>
            <w:rStyle w:val="Hyperlink"/>
            <w:rFonts w:ascii="Times New Roman" w:hAnsi="Times New Roman" w:cs="Times New Roman"/>
          </w:rPr>
          <w:t>51246/08</w:t>
        </w:r>
      </w:hyperlink>
      <w:r w:rsidR="00434101">
        <w:rPr>
          <w:rFonts w:ascii="Times New Roman" w:hAnsi="Times New Roman" w:cs="Times New Roman"/>
        </w:rPr>
        <w:t>, 20 janvier 2011.</w:t>
      </w:r>
    </w:p>
  </w:footnote>
  <w:footnote w:id="26">
    <w:p w14:paraId="66DC907C" w14:textId="25D3BABF" w:rsidR="00B52A55" w:rsidRPr="00B52A55" w:rsidRDefault="00B52A55" w:rsidP="00B52A55">
      <w:pPr>
        <w:pStyle w:val="FootnoteText"/>
        <w:jc w:val="both"/>
        <w:rPr>
          <w:rFonts w:ascii="Times New Roman" w:hAnsi="Times New Roman" w:cs="Times New Roman"/>
        </w:rPr>
      </w:pPr>
      <w:r w:rsidRPr="00B52A55">
        <w:rPr>
          <w:rStyle w:val="FootnoteReference"/>
          <w:rFonts w:ascii="Times New Roman" w:hAnsi="Times New Roman" w:cs="Times New Roman"/>
        </w:rPr>
        <w:footnoteRef/>
      </w:r>
      <w:r w:rsidRPr="00B52A55">
        <w:rPr>
          <w:rFonts w:ascii="Times New Roman" w:hAnsi="Times New Roman" w:cs="Times New Roman"/>
        </w:rPr>
        <w:t xml:space="preserve"> OIP, </w:t>
      </w:r>
      <w:hyperlink r:id="rId25" w:history="1">
        <w:r w:rsidRPr="00BD2276">
          <w:rPr>
            <w:rStyle w:val="Hyperlink"/>
            <w:rFonts w:ascii="Times New Roman" w:hAnsi="Times New Roman" w:cs="Times New Roman"/>
            <w:i/>
            <w:iCs/>
          </w:rPr>
          <w:t>A la prison de Villepinte, un adolescent fouillé à nu sans justification</w:t>
        </w:r>
      </w:hyperlink>
      <w:r w:rsidRPr="00B52A55">
        <w:rPr>
          <w:rFonts w:ascii="Times New Roman" w:hAnsi="Times New Roman" w:cs="Times New Roman"/>
        </w:rPr>
        <w:t>, écrit le 18 février 2025.</w:t>
      </w:r>
    </w:p>
  </w:footnote>
  <w:footnote w:id="27">
    <w:p w14:paraId="7E122646" w14:textId="46C7267C" w:rsidR="000206CD" w:rsidRPr="00E11BFE" w:rsidRDefault="000206CD">
      <w:pPr>
        <w:pStyle w:val="FootnoteText"/>
        <w:rPr>
          <w:rFonts w:ascii="Times New Roman" w:hAnsi="Times New Roman" w:cs="Times New Roman"/>
        </w:rPr>
      </w:pPr>
      <w:r w:rsidRPr="00E11BFE">
        <w:rPr>
          <w:rStyle w:val="FootnoteReference"/>
          <w:rFonts w:ascii="Times New Roman" w:hAnsi="Times New Roman" w:cs="Times New Roman"/>
        </w:rPr>
        <w:footnoteRef/>
      </w:r>
      <w:r w:rsidRPr="00E11BFE">
        <w:rPr>
          <w:rFonts w:ascii="Times New Roman" w:hAnsi="Times New Roman" w:cs="Times New Roman"/>
        </w:rPr>
        <w:t xml:space="preserve"> </w:t>
      </w:r>
      <w:hyperlink r:id="rId26" w:history="1">
        <w:r w:rsidR="00E11BFE" w:rsidRPr="00E11BFE">
          <w:rPr>
            <w:rStyle w:val="Hyperlink"/>
            <w:rFonts w:ascii="Times New Roman" w:hAnsi="Times New Roman" w:cs="Times New Roman"/>
          </w:rPr>
          <w:t>Ensemble de règles minima des Nations unies pour le traitement des détenus</w:t>
        </w:r>
      </w:hyperlink>
      <w:r w:rsidR="00E11BFE" w:rsidRPr="00E11BFE">
        <w:rPr>
          <w:rFonts w:ascii="Times New Roman" w:hAnsi="Times New Roman" w:cs="Times New Roman"/>
        </w:rPr>
        <w:t xml:space="preserve"> (règles Nelson Mandela), </w:t>
      </w:r>
      <w:r w:rsidRPr="00E11BFE">
        <w:rPr>
          <w:rFonts w:ascii="Times New Roman" w:hAnsi="Times New Roman" w:cs="Times New Roman"/>
        </w:rPr>
        <w:t xml:space="preserve">Règle </w:t>
      </w:r>
      <w:r w:rsidR="00E11BFE" w:rsidRPr="00E11BFE">
        <w:rPr>
          <w:rFonts w:ascii="Times New Roman" w:hAnsi="Times New Roman" w:cs="Times New Roman"/>
        </w:rPr>
        <w:t xml:space="preserve">51 </w:t>
      </w:r>
    </w:p>
  </w:footnote>
  <w:footnote w:id="28">
    <w:p w14:paraId="03E53753" w14:textId="04F90578" w:rsidR="00637322" w:rsidRPr="006B014D" w:rsidRDefault="00637322" w:rsidP="006B014D">
      <w:pPr>
        <w:pStyle w:val="FootnoteText"/>
        <w:jc w:val="both"/>
        <w:rPr>
          <w:rFonts w:ascii="Times New Roman" w:hAnsi="Times New Roman" w:cs="Times New Roman"/>
        </w:rPr>
      </w:pPr>
      <w:r w:rsidRPr="006B014D">
        <w:rPr>
          <w:rStyle w:val="FootnoteReference"/>
          <w:rFonts w:ascii="Times New Roman" w:hAnsi="Times New Roman" w:cs="Times New Roman"/>
        </w:rPr>
        <w:footnoteRef/>
      </w:r>
      <w:r w:rsidRPr="006B014D">
        <w:rPr>
          <w:rFonts w:ascii="Times New Roman" w:hAnsi="Times New Roman" w:cs="Times New Roman"/>
        </w:rPr>
        <w:t xml:space="preserve"> CGLPL, </w:t>
      </w:r>
      <w:r w:rsidR="00DC2E7A" w:rsidRPr="006B014D">
        <w:rPr>
          <w:rFonts w:ascii="Times New Roman" w:hAnsi="Times New Roman" w:cs="Times New Roman"/>
        </w:rPr>
        <w:t>Rapport thématique « </w:t>
      </w:r>
      <w:hyperlink r:id="rId27" w:history="1">
        <w:r w:rsidR="00DC2E7A" w:rsidRPr="006B014D">
          <w:rPr>
            <w:rStyle w:val="Hyperlink"/>
            <w:rFonts w:ascii="Times New Roman" w:hAnsi="Times New Roman" w:cs="Times New Roman"/>
            <w:i/>
            <w:iCs/>
          </w:rPr>
          <w:t>L’intimité au risque de la privation de liberté</w:t>
        </w:r>
        <w:r w:rsidR="00DC2E7A" w:rsidRPr="006B014D">
          <w:rPr>
            <w:rStyle w:val="Hyperlink"/>
            <w:rFonts w:ascii="Times New Roman" w:hAnsi="Times New Roman" w:cs="Times New Roman"/>
          </w:rPr>
          <w:t> </w:t>
        </w:r>
      </w:hyperlink>
      <w:r w:rsidR="00DC2E7A" w:rsidRPr="006B014D">
        <w:rPr>
          <w:rFonts w:ascii="Times New Roman" w:hAnsi="Times New Roman" w:cs="Times New Roman"/>
        </w:rPr>
        <w:t xml:space="preserve">», </w:t>
      </w:r>
      <w:r w:rsidR="006B014D" w:rsidRPr="006B014D">
        <w:rPr>
          <w:rFonts w:ascii="Times New Roman" w:hAnsi="Times New Roman" w:cs="Times New Roman"/>
        </w:rPr>
        <w:t>7 juillet 2022.</w:t>
      </w:r>
    </w:p>
  </w:footnote>
  <w:footnote w:id="29">
    <w:p w14:paraId="2568E5B2" w14:textId="3FAE1A35" w:rsidR="00DF07E5" w:rsidRPr="00852CC4" w:rsidRDefault="00DF07E5" w:rsidP="00852CC4">
      <w:pPr>
        <w:pStyle w:val="FootnoteText"/>
        <w:jc w:val="both"/>
        <w:rPr>
          <w:rFonts w:ascii="Times New Roman" w:hAnsi="Times New Roman" w:cs="Times New Roman"/>
        </w:rPr>
      </w:pPr>
      <w:r w:rsidRPr="00852CC4">
        <w:rPr>
          <w:rStyle w:val="FootnoteReference"/>
          <w:rFonts w:ascii="Times New Roman" w:hAnsi="Times New Roman" w:cs="Times New Roman"/>
        </w:rPr>
        <w:footnoteRef/>
      </w:r>
      <w:r w:rsidRPr="00852CC4">
        <w:rPr>
          <w:rFonts w:ascii="Times New Roman" w:hAnsi="Times New Roman" w:cs="Times New Roman"/>
        </w:rPr>
        <w:t xml:space="preserve"> CGLPL, </w:t>
      </w:r>
      <w:hyperlink r:id="rId28" w:history="1">
        <w:r w:rsidRPr="00257C8C">
          <w:rPr>
            <w:rStyle w:val="Hyperlink"/>
            <w:rFonts w:ascii="Times New Roman" w:hAnsi="Times New Roman" w:cs="Times New Roman"/>
          </w:rPr>
          <w:t>Recommandations en urgence du 6 juin 2023 relatives au centre pénitentiaire de Perpignan</w:t>
        </w:r>
      </w:hyperlink>
      <w:r w:rsidR="00852CC4" w:rsidRPr="00852CC4">
        <w:rPr>
          <w:rFonts w:ascii="Times New Roman" w:hAnsi="Times New Roman" w:cs="Times New Roman"/>
        </w:rPr>
        <w:t>, 5 juillet 2023.</w:t>
      </w:r>
    </w:p>
  </w:footnote>
  <w:footnote w:id="30">
    <w:p w14:paraId="72BBC2CE" w14:textId="681CA0C9" w:rsidR="00562B29" w:rsidRPr="00562B29" w:rsidRDefault="00562B29">
      <w:pPr>
        <w:pStyle w:val="FootnoteText"/>
        <w:rPr>
          <w:rFonts w:ascii="Times New Roman" w:hAnsi="Times New Roman" w:cs="Times New Roman"/>
        </w:rPr>
      </w:pPr>
      <w:r w:rsidRPr="00562B29">
        <w:rPr>
          <w:rStyle w:val="FootnoteReference"/>
          <w:rFonts w:ascii="Times New Roman" w:hAnsi="Times New Roman" w:cs="Times New Roman"/>
        </w:rPr>
        <w:footnoteRef/>
      </w:r>
      <w:r w:rsidRPr="00562B29">
        <w:rPr>
          <w:rFonts w:ascii="Times New Roman" w:hAnsi="Times New Roman" w:cs="Times New Roman"/>
        </w:rPr>
        <w:t xml:space="preserve"> CGLPL, </w:t>
      </w:r>
      <w:hyperlink r:id="rId29" w:history="1">
        <w:r w:rsidRPr="00817D2E">
          <w:rPr>
            <w:rStyle w:val="Hyperlink"/>
            <w:rFonts w:ascii="Times New Roman" w:hAnsi="Times New Roman" w:cs="Times New Roman"/>
            <w:i/>
            <w:iCs/>
          </w:rPr>
          <w:t>Rapport d’activité 2023</w:t>
        </w:r>
      </w:hyperlink>
      <w:r w:rsidRPr="00562B29">
        <w:rPr>
          <w:rFonts w:ascii="Times New Roman" w:hAnsi="Times New Roman" w:cs="Times New Roman"/>
        </w:rPr>
        <w:t>, p.94</w:t>
      </w:r>
      <w:r w:rsidR="00C049EE">
        <w:rPr>
          <w:rFonts w:ascii="Times New Roman" w:hAnsi="Times New Roman" w:cs="Times New Roman"/>
        </w:rPr>
        <w:t>.</w:t>
      </w:r>
    </w:p>
  </w:footnote>
  <w:footnote w:id="31">
    <w:p w14:paraId="7B82C574" w14:textId="77777777" w:rsidR="00EA2794" w:rsidRPr="00BF2C4D" w:rsidRDefault="00EA2794" w:rsidP="00EA2794">
      <w:pPr>
        <w:pStyle w:val="FootnoteText"/>
        <w:jc w:val="both"/>
        <w:rPr>
          <w:rFonts w:ascii="Times New Roman" w:hAnsi="Times New Roman" w:cs="Times New Roman"/>
        </w:rPr>
      </w:pPr>
      <w:r w:rsidRPr="00BF2C4D">
        <w:rPr>
          <w:rStyle w:val="FootnoteReference"/>
          <w:rFonts w:ascii="Times New Roman" w:hAnsi="Times New Roman" w:cs="Times New Roman"/>
        </w:rPr>
        <w:footnoteRef/>
      </w:r>
      <w:r w:rsidRPr="00BF2C4D">
        <w:rPr>
          <w:rFonts w:ascii="Times New Roman" w:hAnsi="Times New Roman" w:cs="Times New Roman"/>
        </w:rPr>
        <w:t xml:space="preserve"> </w:t>
      </w:r>
      <w:hyperlink r:id="rId30" w:history="1">
        <w:r w:rsidRPr="00EA095F">
          <w:rPr>
            <w:rStyle w:val="Hyperlink"/>
            <w:rFonts w:ascii="Times New Roman" w:hAnsi="Times New Roman" w:cs="Times New Roman"/>
            <w:i/>
            <w:iCs/>
          </w:rPr>
          <w:t>Rapport conjoint du Rapporteur spécial sur le droit de réunion pacifique et la liberté d’association et du Rapporteur spécial sur les exécutions extrajudiciaires, sommaires ou arbitraires concernant la bonne gestion des rassemblements</w:t>
        </w:r>
      </w:hyperlink>
      <w:r w:rsidRPr="00BF2C4D">
        <w:rPr>
          <w:rFonts w:ascii="Times New Roman" w:hAnsi="Times New Roman" w:cs="Times New Roman"/>
        </w:rPr>
        <w:t xml:space="preserve">, 2 février 2016 ; Protocole type à l’intention des forces de l’ordre sur la promotion et la protection des droits de l’homme dans le contexte des manifestations pacifiques, 31 janvier 2024, A/HRC/55/60, </w:t>
      </w:r>
      <w:r w:rsidRPr="00BF2C4D">
        <w:rPr>
          <w:rFonts w:ascii="Times New Roman" w:hAnsi="Times New Roman" w:cs="Times New Roman"/>
          <w:lang w:val="fr-CH"/>
        </w:rPr>
        <w:t>para.51, a.</w:t>
      </w:r>
    </w:p>
  </w:footnote>
  <w:footnote w:id="32">
    <w:p w14:paraId="62DDDED0" w14:textId="77777777" w:rsidR="00EA2794" w:rsidRPr="001A7615" w:rsidRDefault="00EA2794" w:rsidP="00EA2794">
      <w:pPr>
        <w:pStyle w:val="FootnoteText"/>
        <w:jc w:val="both"/>
        <w:rPr>
          <w:rFonts w:ascii="Times New Roman" w:hAnsi="Times New Roman" w:cs="Times New Roman"/>
        </w:rPr>
      </w:pPr>
      <w:r w:rsidRPr="001A7615">
        <w:rPr>
          <w:rStyle w:val="FootnoteReference"/>
          <w:rFonts w:ascii="Times New Roman" w:hAnsi="Times New Roman" w:cs="Times New Roman"/>
        </w:rPr>
        <w:footnoteRef/>
      </w:r>
      <w:r w:rsidRPr="001A7615">
        <w:rPr>
          <w:rFonts w:ascii="Times New Roman" w:hAnsi="Times New Roman" w:cs="Times New Roman"/>
        </w:rPr>
        <w:t xml:space="preserve"> Arrêté du 4 décembre 2013 relatif aux conditions et modalités de port du numéro d’identification individuel par les fonctionnaires de la police nationale, les adjoints de sécurité et les réservistes de la police nationale.</w:t>
      </w:r>
    </w:p>
  </w:footnote>
  <w:footnote w:id="33">
    <w:p w14:paraId="74B9AC26" w14:textId="77777777" w:rsidR="00EA2794" w:rsidRPr="001A7615" w:rsidRDefault="00EA2794" w:rsidP="00EA2794">
      <w:pPr>
        <w:pStyle w:val="FootnoteText"/>
        <w:jc w:val="both"/>
        <w:rPr>
          <w:rFonts w:ascii="Times New Roman" w:hAnsi="Times New Roman" w:cs="Times New Roman"/>
        </w:rPr>
      </w:pPr>
      <w:r w:rsidRPr="001A7615">
        <w:rPr>
          <w:rStyle w:val="FootnoteReference"/>
          <w:rFonts w:ascii="Times New Roman" w:hAnsi="Times New Roman" w:cs="Times New Roman"/>
        </w:rPr>
        <w:footnoteRef/>
      </w:r>
      <w:r w:rsidRPr="001A7615">
        <w:rPr>
          <w:rFonts w:ascii="Times New Roman" w:hAnsi="Times New Roman" w:cs="Times New Roman"/>
        </w:rPr>
        <w:t xml:space="preserve"> Communiqué de presse ACAT-France, </w:t>
      </w:r>
      <w:hyperlink r:id="rId31">
        <w:r w:rsidRPr="001A7615">
          <w:rPr>
            <w:rStyle w:val="Hyperlink"/>
            <w:rFonts w:ascii="Times New Roman" w:hAnsi="Times New Roman" w:cs="Times New Roman"/>
            <w:i/>
            <w:iCs/>
          </w:rPr>
          <w:t>Nous saisissons la justice contre l’impunité policière</w:t>
        </w:r>
      </w:hyperlink>
      <w:r w:rsidRPr="001A7615">
        <w:rPr>
          <w:rFonts w:ascii="Times New Roman" w:hAnsi="Times New Roman" w:cs="Times New Roman"/>
        </w:rPr>
        <w:t>, 26 septembre 2022</w:t>
      </w:r>
      <w:r>
        <w:rPr>
          <w:rFonts w:ascii="Times New Roman" w:hAnsi="Times New Roman" w:cs="Times New Roman"/>
        </w:rPr>
        <w:t>.</w:t>
      </w:r>
    </w:p>
  </w:footnote>
  <w:footnote w:id="34">
    <w:p w14:paraId="120E1ECD" w14:textId="77777777" w:rsidR="00EA2794" w:rsidRPr="00155820" w:rsidRDefault="00EA2794" w:rsidP="00EA2794">
      <w:pPr>
        <w:pStyle w:val="FootnoteText"/>
        <w:jc w:val="both"/>
        <w:rPr>
          <w:rFonts w:ascii="Times New Roman" w:hAnsi="Times New Roman" w:cs="Times New Roman"/>
        </w:rPr>
      </w:pPr>
      <w:r w:rsidRPr="001A7615">
        <w:rPr>
          <w:rStyle w:val="FootnoteReference"/>
          <w:rFonts w:ascii="Times New Roman" w:hAnsi="Times New Roman" w:cs="Times New Roman"/>
        </w:rPr>
        <w:footnoteRef/>
      </w:r>
      <w:r w:rsidRPr="001A7615">
        <w:rPr>
          <w:rFonts w:ascii="Times New Roman" w:hAnsi="Times New Roman" w:cs="Times New Roman"/>
        </w:rPr>
        <w:t xml:space="preserve"> Communiqué de presse ACAT-France, </w:t>
      </w:r>
      <w:hyperlink r:id="rId32">
        <w:r w:rsidRPr="001A7615">
          <w:rPr>
            <w:rStyle w:val="Hyperlink"/>
            <w:rFonts w:ascii="Times New Roman" w:hAnsi="Times New Roman" w:cs="Times New Roman"/>
            <w:i/>
            <w:iCs/>
          </w:rPr>
          <w:t>Impunité policière : pour le Conseil d’Etat, les forces de l’ordre doivent être mieux identifiées</w:t>
        </w:r>
      </w:hyperlink>
      <w:r w:rsidRPr="001A7615">
        <w:rPr>
          <w:rFonts w:ascii="Times New Roman" w:hAnsi="Times New Roman" w:cs="Times New Roman"/>
        </w:rPr>
        <w:t>, 11 octobre 2023</w:t>
      </w:r>
      <w:r>
        <w:rPr>
          <w:rFonts w:ascii="Times New Roman" w:hAnsi="Times New Roman" w:cs="Times New Roman"/>
        </w:rPr>
        <w:t>.</w:t>
      </w:r>
    </w:p>
  </w:footnote>
  <w:footnote w:id="35">
    <w:p w14:paraId="42C04EA7" w14:textId="77777777" w:rsidR="00EA2794" w:rsidRPr="00662AD3" w:rsidRDefault="00EA2794" w:rsidP="00EA2794">
      <w:pPr>
        <w:pStyle w:val="FootnoteText"/>
        <w:jc w:val="both"/>
        <w:rPr>
          <w:rFonts w:ascii="Times New Roman" w:hAnsi="Times New Roman" w:cs="Times New Roman"/>
        </w:rPr>
      </w:pPr>
      <w:r w:rsidRPr="00662AD3">
        <w:rPr>
          <w:rStyle w:val="FootnoteReference"/>
          <w:rFonts w:ascii="Times New Roman" w:hAnsi="Times New Roman" w:cs="Times New Roman"/>
        </w:rPr>
        <w:footnoteRef/>
      </w:r>
      <w:r w:rsidRPr="00662AD3">
        <w:rPr>
          <w:rFonts w:ascii="Times New Roman" w:hAnsi="Times New Roman" w:cs="Times New Roman"/>
        </w:rPr>
        <w:t xml:space="preserve"> Communiqué de presse ACAT-France, </w:t>
      </w:r>
      <w:hyperlink r:id="rId33" w:history="1">
        <w:r w:rsidRPr="007021E2">
          <w:rPr>
            <w:rStyle w:val="Hyperlink"/>
            <w:rFonts w:ascii="Times New Roman" w:hAnsi="Times New Roman" w:cs="Times New Roman"/>
            <w:i/>
            <w:iCs/>
          </w:rPr>
          <w:t>RIO : la lisibilité du numéro n’est pas une option, c’est une garantie démocratique</w:t>
        </w:r>
      </w:hyperlink>
      <w:r w:rsidRPr="00662AD3">
        <w:rPr>
          <w:rFonts w:ascii="Times New Roman" w:hAnsi="Times New Roman" w:cs="Times New Roman"/>
        </w:rPr>
        <w:t xml:space="preserve">, 15 octobre 2024. </w:t>
      </w:r>
    </w:p>
  </w:footnote>
  <w:footnote w:id="36">
    <w:p w14:paraId="66962EA3" w14:textId="77777777" w:rsidR="00EA2794" w:rsidRPr="00535B10" w:rsidRDefault="00EA2794" w:rsidP="00EA2794">
      <w:pPr>
        <w:pStyle w:val="FootnoteText"/>
        <w:jc w:val="both"/>
        <w:rPr>
          <w:rFonts w:ascii="Times New Roman" w:hAnsi="Times New Roman" w:cs="Times New Roman"/>
        </w:rPr>
      </w:pPr>
      <w:r w:rsidRPr="00535B10">
        <w:rPr>
          <w:rStyle w:val="FootnoteReference"/>
          <w:rFonts w:ascii="Times New Roman" w:hAnsi="Times New Roman" w:cs="Times New Roman"/>
        </w:rPr>
        <w:footnoteRef/>
      </w:r>
      <w:r w:rsidRPr="00535B10">
        <w:rPr>
          <w:rFonts w:ascii="Times New Roman" w:hAnsi="Times New Roman" w:cs="Times New Roman"/>
        </w:rPr>
        <w:t xml:space="preserve"> Comité des droits de l’homme des Nations unies, Observations finales concernant le sixième rapport périodique de la France, CCPR/C/FRA/CO/6, 3 décembre 2024</w:t>
      </w:r>
      <w:r>
        <w:rPr>
          <w:rFonts w:ascii="Times New Roman" w:hAnsi="Times New Roman" w:cs="Times New Roman"/>
        </w:rPr>
        <w:t>, par. 47f).</w:t>
      </w:r>
    </w:p>
  </w:footnote>
  <w:footnote w:id="37">
    <w:p w14:paraId="3900B2FE" w14:textId="77777777" w:rsidR="0063318D" w:rsidRPr="00155820" w:rsidRDefault="0063318D" w:rsidP="0063318D">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Cour des Comptes, </w:t>
      </w:r>
      <w:hyperlink r:id="rId34" w:history="1">
        <w:r w:rsidRPr="00155820">
          <w:rPr>
            <w:rStyle w:val="Hyperlink"/>
            <w:rFonts w:ascii="Times New Roman" w:hAnsi="Times New Roman" w:cs="Times New Roman"/>
            <w:i/>
            <w:iCs/>
          </w:rPr>
          <w:t>La préfecture de police de Paris</w:t>
        </w:r>
      </w:hyperlink>
      <w:r w:rsidRPr="00155820">
        <w:rPr>
          <w:rFonts w:ascii="Times New Roman" w:hAnsi="Times New Roman" w:cs="Times New Roman"/>
          <w:i/>
          <w:iCs/>
        </w:rPr>
        <w:t xml:space="preserve">, </w:t>
      </w:r>
      <w:r w:rsidRPr="00155820">
        <w:rPr>
          <w:rFonts w:ascii="Times New Roman" w:hAnsi="Times New Roman" w:cs="Times New Roman"/>
        </w:rPr>
        <w:t>16 décembre 2019.</w:t>
      </w:r>
      <w:r w:rsidRPr="00155820">
        <w:rPr>
          <w:rFonts w:ascii="Times New Roman" w:hAnsi="Times New Roman" w:cs="Times New Roman"/>
          <w:i/>
          <w:iCs/>
        </w:rPr>
        <w:t xml:space="preserve"> </w:t>
      </w:r>
    </w:p>
  </w:footnote>
  <w:footnote w:id="38">
    <w:p w14:paraId="27255441" w14:textId="77777777" w:rsidR="0034144E" w:rsidRPr="00155820" w:rsidRDefault="0034144E" w:rsidP="0034144E">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Mediapart, </w:t>
      </w:r>
      <w:hyperlink r:id="rId35" w:history="1">
        <w:r w:rsidRPr="00155820">
          <w:rPr>
            <w:rStyle w:val="Hyperlink"/>
            <w:rFonts w:ascii="Times New Roman" w:hAnsi="Times New Roman" w:cs="Times New Roman"/>
            <w:i/>
            <w:iCs/>
          </w:rPr>
          <w:t>IGPN : plongée dans la fabrique de l’impunité</w:t>
        </w:r>
      </w:hyperlink>
      <w:r w:rsidRPr="00155820">
        <w:rPr>
          <w:rFonts w:ascii="Times New Roman" w:hAnsi="Times New Roman" w:cs="Times New Roman"/>
        </w:rPr>
        <w:t xml:space="preserve">, 12 juin 2020. </w:t>
      </w:r>
    </w:p>
  </w:footnote>
  <w:footnote w:id="39">
    <w:p w14:paraId="4560200A" w14:textId="77777777" w:rsidR="00321C03" w:rsidRPr="00F062AA" w:rsidRDefault="00321C03" w:rsidP="00321C03">
      <w:pPr>
        <w:pStyle w:val="FootnoteText"/>
        <w:jc w:val="both"/>
        <w:rPr>
          <w:rFonts w:ascii="Times New Roman" w:hAnsi="Times New Roman" w:cs="Times New Roman"/>
        </w:rPr>
      </w:pPr>
      <w:r w:rsidRPr="00F062AA">
        <w:rPr>
          <w:rStyle w:val="FootnoteReference"/>
          <w:rFonts w:ascii="Times New Roman" w:hAnsi="Times New Roman" w:cs="Times New Roman"/>
        </w:rPr>
        <w:footnoteRef/>
      </w:r>
      <w:r w:rsidRPr="00F062AA">
        <w:rPr>
          <w:rFonts w:ascii="Times New Roman" w:hAnsi="Times New Roman" w:cs="Times New Roman"/>
        </w:rPr>
        <w:t xml:space="preserve"> AEF Info, </w:t>
      </w:r>
      <w:hyperlink r:id="rId36" w:history="1">
        <w:r w:rsidRPr="00E07416">
          <w:rPr>
            <w:rStyle w:val="Hyperlink"/>
            <w:rFonts w:ascii="Times New Roman" w:hAnsi="Times New Roman" w:cs="Times New Roman"/>
            <w:i/>
            <w:iCs/>
          </w:rPr>
          <w:t>La Cour des comptes pointe le « rôle réduit » et le « fonctionnement cloisonné » des deux inspections de la police, IGPN et IGS</w:t>
        </w:r>
      </w:hyperlink>
      <w:r w:rsidRPr="00F062AA">
        <w:rPr>
          <w:rFonts w:ascii="Times New Roman" w:hAnsi="Times New Roman" w:cs="Times New Roman"/>
        </w:rPr>
        <w:t>, 10 novembre 2010.</w:t>
      </w:r>
    </w:p>
  </w:footnote>
  <w:footnote w:id="40">
    <w:p w14:paraId="4CFEB829" w14:textId="77777777" w:rsidR="00222338" w:rsidRPr="00155820" w:rsidRDefault="00222338" w:rsidP="00222338">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Huffington post, </w:t>
      </w:r>
      <w:hyperlink r:id="rId37" w:history="1">
        <w:r w:rsidRPr="00155820">
          <w:rPr>
            <w:rStyle w:val="Hyperlink"/>
            <w:rFonts w:ascii="Times New Roman" w:hAnsi="Times New Roman" w:cs="Times New Roman"/>
            <w:i/>
            <w:iCs/>
          </w:rPr>
          <w:t>Le Défenseur des droits se plaint d’être entravé dans son contrôle des policiers</w:t>
        </w:r>
      </w:hyperlink>
      <w:r w:rsidRPr="00155820">
        <w:rPr>
          <w:rFonts w:ascii="Times New Roman" w:hAnsi="Times New Roman" w:cs="Times New Roman"/>
          <w:i/>
          <w:iCs/>
        </w:rPr>
        <w:t xml:space="preserve">, </w:t>
      </w:r>
      <w:r w:rsidRPr="00155820">
        <w:rPr>
          <w:rFonts w:ascii="Times New Roman" w:hAnsi="Times New Roman" w:cs="Times New Roman"/>
        </w:rPr>
        <w:t>08 juin 2020.</w:t>
      </w:r>
      <w:r w:rsidRPr="00155820">
        <w:rPr>
          <w:rFonts w:ascii="Times New Roman" w:hAnsi="Times New Roman" w:cs="Times New Roman"/>
          <w:i/>
          <w:iCs/>
        </w:rPr>
        <w:t xml:space="preserve"> </w:t>
      </w:r>
    </w:p>
  </w:footnote>
  <w:footnote w:id="41">
    <w:p w14:paraId="1B67D48E" w14:textId="397728A6" w:rsidR="00927595" w:rsidRPr="00155820" w:rsidRDefault="00927595" w:rsidP="00927595">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CEDH, J</w:t>
      </w:r>
      <w:r w:rsidR="00DF7D20">
        <w:rPr>
          <w:rFonts w:ascii="Times New Roman" w:hAnsi="Times New Roman" w:cs="Times New Roman"/>
        </w:rPr>
        <w:t>.</w:t>
      </w:r>
      <w:r w:rsidRPr="00155820">
        <w:rPr>
          <w:rFonts w:ascii="Times New Roman" w:hAnsi="Times New Roman" w:cs="Times New Roman"/>
        </w:rPr>
        <w:t>M</w:t>
      </w:r>
      <w:r w:rsidR="00DF7D20">
        <w:rPr>
          <w:rFonts w:ascii="Times New Roman" w:hAnsi="Times New Roman" w:cs="Times New Roman"/>
        </w:rPr>
        <w:t>.</w:t>
      </w:r>
      <w:r w:rsidRPr="00155820">
        <w:rPr>
          <w:rFonts w:ascii="Times New Roman" w:hAnsi="Times New Roman" w:cs="Times New Roman"/>
        </w:rPr>
        <w:t xml:space="preserve"> contre France, </w:t>
      </w:r>
      <w:hyperlink r:id="rId38" w:history="1">
        <w:r w:rsidRPr="00155820">
          <w:rPr>
            <w:rStyle w:val="Hyperlink"/>
            <w:rFonts w:ascii="Times New Roman" w:hAnsi="Times New Roman" w:cs="Times New Roman"/>
            <w:i/>
            <w:iCs/>
          </w:rPr>
          <w:t>Requête n°71670/14</w:t>
        </w:r>
      </w:hyperlink>
      <w:r w:rsidRPr="00155820">
        <w:rPr>
          <w:rFonts w:ascii="Times New Roman" w:hAnsi="Times New Roman" w:cs="Times New Roman"/>
          <w:i/>
          <w:iCs/>
        </w:rPr>
        <w:t>,</w:t>
      </w:r>
      <w:r w:rsidRPr="00155820">
        <w:rPr>
          <w:rFonts w:ascii="Times New Roman" w:hAnsi="Times New Roman" w:cs="Times New Roman"/>
        </w:rPr>
        <w:t xml:space="preserve"> 5 décembre 2019. </w:t>
      </w:r>
    </w:p>
  </w:footnote>
  <w:footnote w:id="42">
    <w:p w14:paraId="25B3A05A" w14:textId="248F74A4" w:rsidR="000107B1" w:rsidRDefault="000107B1" w:rsidP="000107B1">
      <w:pPr>
        <w:pStyle w:val="FootnoteText"/>
        <w:jc w:val="both"/>
      </w:pPr>
      <w:r w:rsidRPr="000107B1">
        <w:rPr>
          <w:rStyle w:val="FootnoteReference"/>
          <w:rFonts w:ascii="Times New Roman" w:hAnsi="Times New Roman" w:cs="Times New Roman"/>
        </w:rPr>
        <w:footnoteRef/>
      </w:r>
      <w:r w:rsidRPr="000107B1">
        <w:rPr>
          <w:rFonts w:ascii="Times New Roman" w:hAnsi="Times New Roman" w:cs="Times New Roman"/>
        </w:rPr>
        <w:t xml:space="preserve"> </w:t>
      </w:r>
      <w:r w:rsidRPr="00F1344A">
        <w:rPr>
          <w:rFonts w:ascii="Times New Roman" w:hAnsi="Times New Roman" w:cs="Times New Roman"/>
        </w:rPr>
        <w:t xml:space="preserve">Comité contre la torture, </w:t>
      </w:r>
      <w:hyperlink r:id="rId39" w:history="1">
        <w:r w:rsidRPr="00BF18C2">
          <w:rPr>
            <w:rStyle w:val="Hyperlink"/>
            <w:rFonts w:ascii="Times New Roman" w:hAnsi="Times New Roman" w:cs="Times New Roman"/>
          </w:rPr>
          <w:t>Observations finales concernant le septième rapport périodique de la France</w:t>
        </w:r>
      </w:hyperlink>
      <w:r w:rsidRPr="00F1344A">
        <w:rPr>
          <w:rFonts w:ascii="Times New Roman" w:hAnsi="Times New Roman" w:cs="Times New Roman"/>
        </w:rPr>
        <w:t>, CAT/C/FRA/CO/7, 10 juin 2016</w:t>
      </w:r>
      <w:r>
        <w:rPr>
          <w:rFonts w:ascii="Times New Roman" w:hAnsi="Times New Roman" w:cs="Times New Roman"/>
        </w:rPr>
        <w:t>, par.</w:t>
      </w:r>
      <w:r w:rsidR="004D1F14">
        <w:rPr>
          <w:rFonts w:ascii="Times New Roman" w:hAnsi="Times New Roman" w:cs="Times New Roman"/>
        </w:rPr>
        <w:t xml:space="preserve">16. </w:t>
      </w:r>
    </w:p>
  </w:footnote>
  <w:footnote w:id="43">
    <w:p w14:paraId="00749300" w14:textId="07712404" w:rsidR="0022035E" w:rsidRPr="00844CB7" w:rsidRDefault="0022035E" w:rsidP="00844CB7">
      <w:pPr>
        <w:pStyle w:val="FootnoteText"/>
        <w:jc w:val="both"/>
        <w:rPr>
          <w:rFonts w:ascii="Times New Roman" w:hAnsi="Times New Roman" w:cs="Times New Roman"/>
        </w:rPr>
      </w:pPr>
      <w:r w:rsidRPr="00844CB7">
        <w:rPr>
          <w:rStyle w:val="FootnoteReference"/>
          <w:rFonts w:ascii="Times New Roman" w:hAnsi="Times New Roman" w:cs="Times New Roman"/>
        </w:rPr>
        <w:footnoteRef/>
      </w:r>
      <w:r w:rsidRPr="00844CB7">
        <w:rPr>
          <w:rFonts w:ascii="Times New Roman" w:hAnsi="Times New Roman" w:cs="Times New Roman"/>
        </w:rPr>
        <w:t xml:space="preserve"> </w:t>
      </w:r>
      <w:r w:rsidR="00B5058D" w:rsidRPr="00844CB7">
        <w:rPr>
          <w:rFonts w:ascii="Times New Roman" w:hAnsi="Times New Roman" w:cs="Times New Roman"/>
          <w:i/>
          <w:iCs/>
        </w:rPr>
        <w:t>Quatrième à sixième rapports périodiques de la France au Comité des Nations unies contre la torture</w:t>
      </w:r>
      <w:r w:rsidR="00B5058D" w:rsidRPr="00844CB7">
        <w:rPr>
          <w:rFonts w:ascii="Times New Roman" w:hAnsi="Times New Roman" w:cs="Times New Roman"/>
        </w:rPr>
        <w:t>, CAT/C/FRA/</w:t>
      </w:r>
      <w:r w:rsidR="00844CB7" w:rsidRPr="00844CB7">
        <w:rPr>
          <w:rFonts w:ascii="Times New Roman" w:hAnsi="Times New Roman" w:cs="Times New Roman"/>
        </w:rPr>
        <w:t>4-6, 30 juin 2008, p.23.</w:t>
      </w:r>
    </w:p>
  </w:footnote>
  <w:footnote w:id="44">
    <w:p w14:paraId="093FB5CF" w14:textId="77777777" w:rsidR="004D3DE5" w:rsidRPr="00155820" w:rsidRDefault="004D3DE5" w:rsidP="004D3DE5">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Libération, </w:t>
      </w:r>
      <w:hyperlink r:id="rId40">
        <w:r w:rsidRPr="00155820">
          <w:rPr>
            <w:rStyle w:val="Hyperlink"/>
            <w:rFonts w:ascii="Times New Roman" w:hAnsi="Times New Roman" w:cs="Times New Roman"/>
            <w:i/>
            <w:iCs/>
          </w:rPr>
          <w:t>Procès sur la mort d’Amadou Koumé : trois policiers condamnés à quinze mois de prison avec sursis</w:t>
        </w:r>
      </w:hyperlink>
      <w:r w:rsidRPr="00155820">
        <w:rPr>
          <w:rFonts w:ascii="Times New Roman" w:hAnsi="Times New Roman" w:cs="Times New Roman"/>
        </w:rPr>
        <w:t>, 20 septembre 2022.</w:t>
      </w:r>
    </w:p>
  </w:footnote>
  <w:footnote w:id="45">
    <w:p w14:paraId="4A7DEA60" w14:textId="317CF161" w:rsidR="00F155E7" w:rsidRDefault="00F155E7">
      <w:pPr>
        <w:pStyle w:val="FootnoteText"/>
      </w:pPr>
      <w:r w:rsidRPr="00312302">
        <w:rPr>
          <w:rStyle w:val="FootnoteReference"/>
          <w:rFonts w:ascii="Times New Roman" w:hAnsi="Times New Roman" w:cs="Times New Roman"/>
        </w:rPr>
        <w:footnoteRef/>
      </w:r>
      <w:r w:rsidRPr="00312302">
        <w:rPr>
          <w:rFonts w:ascii="Times New Roman" w:hAnsi="Times New Roman" w:cs="Times New Roman"/>
        </w:rPr>
        <w:t xml:space="preserve"> </w:t>
      </w:r>
      <w:r w:rsidR="00312302" w:rsidRPr="00312302">
        <w:rPr>
          <w:rFonts w:ascii="Times New Roman" w:hAnsi="Times New Roman" w:cs="Times New Roman"/>
        </w:rPr>
        <w:t>Protocole</w:t>
      </w:r>
      <w:r w:rsidR="00312302" w:rsidRPr="00B909D0">
        <w:rPr>
          <w:rFonts w:ascii="Times New Roman" w:hAnsi="Times New Roman" w:cs="Times New Roman"/>
        </w:rPr>
        <w:t xml:space="preserve"> type à l’intention des forces de l’ordre sur la promotion et la protection des droits de l’homme dans le contexte des manifestations pacifiques, 31 janvier 2024, A/HRC/55/60, </w:t>
      </w:r>
      <w:r w:rsidR="00312302" w:rsidRPr="00B909D0">
        <w:rPr>
          <w:rFonts w:ascii="Times New Roman" w:hAnsi="Times New Roman" w:cs="Times New Roman"/>
          <w:lang w:val="fr-CH"/>
        </w:rPr>
        <w:t>para.51, b.</w:t>
      </w:r>
    </w:p>
  </w:footnote>
  <w:footnote w:id="46">
    <w:p w14:paraId="6CD95015" w14:textId="662AFCB6" w:rsidR="00903B59" w:rsidRPr="00B909D0" w:rsidRDefault="00903B59" w:rsidP="00903B59">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IGPN,</w:t>
      </w:r>
      <w:r w:rsidR="002F4044">
        <w:rPr>
          <w:rFonts w:ascii="Times New Roman" w:hAnsi="Times New Roman" w:cs="Times New Roman"/>
        </w:rPr>
        <w:t xml:space="preserve"> </w:t>
      </w:r>
      <w:hyperlink r:id="rId41" w:history="1">
        <w:r w:rsidR="002F4044" w:rsidRPr="004C28C1">
          <w:rPr>
            <w:rStyle w:val="Hyperlink"/>
            <w:rFonts w:ascii="Times New Roman" w:hAnsi="Times New Roman" w:cs="Times New Roman"/>
            <w:i/>
            <w:iCs/>
          </w:rPr>
          <w:t>Rapport d’activité 2023</w:t>
        </w:r>
      </w:hyperlink>
      <w:r w:rsidR="002F4044">
        <w:rPr>
          <w:rFonts w:ascii="Times New Roman" w:hAnsi="Times New Roman" w:cs="Times New Roman"/>
        </w:rPr>
        <w:t xml:space="preserve"> </w:t>
      </w:r>
    </w:p>
  </w:footnote>
  <w:footnote w:id="47">
    <w:p w14:paraId="05B2FEFF" w14:textId="59DD65F5" w:rsidR="00BE5A98" w:rsidRPr="00153EAD" w:rsidRDefault="00BE5A98" w:rsidP="00153EAD">
      <w:pPr>
        <w:pStyle w:val="FootnoteText"/>
        <w:jc w:val="both"/>
        <w:rPr>
          <w:rFonts w:ascii="Times New Roman" w:hAnsi="Times New Roman" w:cs="Times New Roman"/>
        </w:rPr>
      </w:pPr>
      <w:r w:rsidRPr="00153EAD">
        <w:rPr>
          <w:rStyle w:val="FootnoteReference"/>
          <w:rFonts w:ascii="Times New Roman" w:hAnsi="Times New Roman" w:cs="Times New Roman"/>
        </w:rPr>
        <w:footnoteRef/>
      </w:r>
      <w:r w:rsidRPr="00153EAD">
        <w:rPr>
          <w:rFonts w:ascii="Times New Roman" w:hAnsi="Times New Roman" w:cs="Times New Roman"/>
        </w:rPr>
        <w:t xml:space="preserve"> </w:t>
      </w:r>
      <w:r w:rsidR="005B4895" w:rsidRPr="00153EAD">
        <w:rPr>
          <w:rFonts w:ascii="Times New Roman" w:hAnsi="Times New Roman" w:cs="Times New Roman"/>
        </w:rPr>
        <w:t xml:space="preserve">Inspection générale de la Police nationale, </w:t>
      </w:r>
      <w:hyperlink r:id="rId42" w:history="1">
        <w:r w:rsidR="005B4895" w:rsidRPr="00153EAD">
          <w:rPr>
            <w:rStyle w:val="Hyperlink"/>
            <w:rFonts w:ascii="Times New Roman" w:hAnsi="Times New Roman" w:cs="Times New Roman"/>
          </w:rPr>
          <w:t>Rapport d’activité 2023</w:t>
        </w:r>
      </w:hyperlink>
      <w:r w:rsidR="005B4895" w:rsidRPr="00153EAD">
        <w:rPr>
          <w:rFonts w:ascii="Times New Roman" w:hAnsi="Times New Roman" w:cs="Times New Roman"/>
        </w:rPr>
        <w:t>.</w:t>
      </w:r>
    </w:p>
  </w:footnote>
  <w:footnote w:id="48">
    <w:p w14:paraId="6B91435B" w14:textId="77777777" w:rsidR="00A631BE" w:rsidRPr="00155820" w:rsidRDefault="00A631BE" w:rsidP="00A631BE">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Revue de science criminelle et de droit pénal comparé, Catherine Tzutzuiano</w:t>
      </w:r>
      <w:r w:rsidRPr="00155820">
        <w:rPr>
          <w:rFonts w:ascii="Times New Roman" w:hAnsi="Times New Roman" w:cs="Times New Roman"/>
          <w:i/>
        </w:rPr>
        <w:t xml:space="preserve"> </w:t>
      </w:r>
      <w:hyperlink r:id="rId43" w:history="1">
        <w:r w:rsidRPr="00155820">
          <w:rPr>
            <w:rStyle w:val="Hyperlink"/>
            <w:rFonts w:ascii="Times New Roman" w:hAnsi="Times New Roman" w:cs="Times New Roman"/>
            <w:i/>
          </w:rPr>
          <w:t>De la légitime défense... à la légitime défense en passant par l'autorisation de la loi</w:t>
        </w:r>
      </w:hyperlink>
      <w:r w:rsidRPr="00155820">
        <w:rPr>
          <w:rFonts w:ascii="Times New Roman" w:hAnsi="Times New Roman" w:cs="Times New Roman"/>
          <w:i/>
        </w:rPr>
        <w:t xml:space="preserve">, </w:t>
      </w:r>
      <w:r w:rsidRPr="00155820">
        <w:rPr>
          <w:rFonts w:ascii="Times New Roman" w:hAnsi="Times New Roman" w:cs="Times New Roman"/>
        </w:rPr>
        <w:t>2017/4 (N° 4), p. 699 à 712.</w:t>
      </w:r>
    </w:p>
  </w:footnote>
  <w:footnote w:id="49">
    <w:p w14:paraId="1D89AB0B" w14:textId="77777777" w:rsidR="002C18A9" w:rsidRPr="00B909D0" w:rsidRDefault="002C18A9" w:rsidP="002C18A9">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w:t>
      </w:r>
      <w:hyperlink r:id="rId44" w:history="1">
        <w:r w:rsidRPr="00155820">
          <w:rPr>
            <w:rStyle w:val="Hyperlink"/>
            <w:rFonts w:ascii="Times New Roman" w:hAnsi="Times New Roman" w:cs="Times New Roman"/>
          </w:rPr>
          <w:t>Principes de base sur le recours à la force et l’utilisation des armes à feu par les responsables de l’application des lois</w:t>
        </w:r>
      </w:hyperlink>
      <w:r w:rsidRPr="00B909D0">
        <w:rPr>
          <w:rFonts w:ascii="Times New Roman" w:hAnsi="Times New Roman" w:cs="Times New Roman"/>
        </w:rPr>
        <w:t xml:space="preserve">. </w:t>
      </w:r>
    </w:p>
  </w:footnote>
  <w:footnote w:id="50">
    <w:p w14:paraId="45738A14" w14:textId="77777777" w:rsidR="002C18A9" w:rsidRPr="001C5676" w:rsidRDefault="002C18A9" w:rsidP="002C18A9">
      <w:pPr>
        <w:pStyle w:val="FootnoteText"/>
        <w:jc w:val="both"/>
        <w:rPr>
          <w:rFonts w:ascii="Times New Roman" w:hAnsi="Times New Roman" w:cs="Times New Roman"/>
          <w:color w:val="7030A0"/>
        </w:rPr>
      </w:pPr>
      <w:r w:rsidRPr="00B909D0">
        <w:rPr>
          <w:rStyle w:val="FootnoteReference"/>
          <w:rFonts w:ascii="Times New Roman" w:hAnsi="Times New Roman" w:cs="Times New Roman"/>
        </w:rPr>
        <w:footnoteRef/>
      </w:r>
      <w:r w:rsidRPr="00B909D0">
        <w:rPr>
          <w:rFonts w:ascii="Times New Roman" w:hAnsi="Times New Roman" w:cs="Times New Roman"/>
        </w:rPr>
        <w:t xml:space="preserve"> Principes de base sur le recours à la force et l’utilisation des armes à feu par les responsables de l’application des lois, para. 2, 3 et 5.</w:t>
      </w:r>
    </w:p>
  </w:footnote>
  <w:footnote w:id="51">
    <w:p w14:paraId="682221E8" w14:textId="77777777" w:rsidR="00B457A0" w:rsidRPr="00155820" w:rsidRDefault="00B457A0" w:rsidP="00B457A0">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ACAT France</w:t>
      </w:r>
      <w:hyperlink r:id="rId45" w:history="1">
        <w:r w:rsidRPr="00155820">
          <w:rPr>
            <w:rStyle w:val="Hyperlink"/>
            <w:rFonts w:ascii="Times New Roman" w:hAnsi="Times New Roman" w:cs="Times New Roman"/>
            <w:i/>
            <w:iCs/>
          </w:rPr>
          <w:t>, L’ordre et la force – Enquête sur l’usage de la force par les représentants de la loi en France</w:t>
        </w:r>
      </w:hyperlink>
      <w:r w:rsidRPr="00155820">
        <w:rPr>
          <w:rFonts w:ascii="Times New Roman" w:hAnsi="Times New Roman" w:cs="Times New Roman"/>
          <w:i/>
          <w:iCs/>
        </w:rPr>
        <w:t>, 2016</w:t>
      </w:r>
      <w:r w:rsidRPr="00155820">
        <w:rPr>
          <w:rFonts w:ascii="Times New Roman" w:hAnsi="Times New Roman" w:cs="Times New Roman"/>
        </w:rPr>
        <w:t xml:space="preserve"> et ACAT France, </w:t>
      </w:r>
      <w:hyperlink r:id="rId46" w:history="1">
        <w:r w:rsidRPr="00155820">
          <w:rPr>
            <w:rStyle w:val="Hyperlink"/>
            <w:rFonts w:ascii="Times New Roman" w:hAnsi="Times New Roman" w:cs="Times New Roman"/>
            <w:i/>
            <w:iCs/>
          </w:rPr>
          <w:t>Maintien de l’ordre : à quel prix ?</w:t>
        </w:r>
      </w:hyperlink>
      <w:r w:rsidRPr="00155820">
        <w:rPr>
          <w:rFonts w:ascii="Times New Roman" w:hAnsi="Times New Roman" w:cs="Times New Roman"/>
        </w:rPr>
        <w:t>, 11 mars 2020.</w:t>
      </w:r>
    </w:p>
  </w:footnote>
  <w:footnote w:id="52">
    <w:p w14:paraId="1E5DA5AE" w14:textId="77777777" w:rsidR="00032A99" w:rsidRPr="00155820" w:rsidRDefault="00032A99" w:rsidP="00032A99">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Mediapart, </w:t>
      </w:r>
      <w:hyperlink r:id="rId47" w:history="1">
        <w:r w:rsidRPr="00155820">
          <w:rPr>
            <w:rStyle w:val="Hyperlink"/>
            <w:rFonts w:ascii="Times New Roman" w:hAnsi="Times New Roman" w:cs="Times New Roman"/>
            <w:i/>
            <w:iCs/>
          </w:rPr>
          <w:t>Le ministère de l’intérieur réduit la distance de tir des LBD malgré leur dangerosité</w:t>
        </w:r>
      </w:hyperlink>
      <w:r w:rsidRPr="00155820">
        <w:rPr>
          <w:rFonts w:ascii="Times New Roman" w:hAnsi="Times New Roman" w:cs="Times New Roman"/>
        </w:rPr>
        <w:t>, 27 octobre 2023.</w:t>
      </w:r>
    </w:p>
  </w:footnote>
  <w:footnote w:id="53">
    <w:p w14:paraId="7B1592CA" w14:textId="77777777" w:rsidR="000558C7" w:rsidRPr="00155820" w:rsidRDefault="000558C7" w:rsidP="000558C7">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Défenseur des droits, </w:t>
      </w:r>
      <w:hyperlink r:id="rId48" w:history="1">
        <w:r w:rsidRPr="00155820">
          <w:rPr>
            <w:rStyle w:val="Hyperlink"/>
            <w:rFonts w:ascii="Times New Roman" w:hAnsi="Times New Roman" w:cs="Times New Roman"/>
            <w:i/>
            <w:iCs/>
          </w:rPr>
          <w:t>Rapport sur trois moyens de force intermédiaire</w:t>
        </w:r>
      </w:hyperlink>
      <w:r w:rsidRPr="00155820">
        <w:rPr>
          <w:rFonts w:ascii="Times New Roman" w:hAnsi="Times New Roman" w:cs="Times New Roman"/>
        </w:rPr>
        <w:t>, mai 2013.</w:t>
      </w:r>
    </w:p>
  </w:footnote>
  <w:footnote w:id="54">
    <w:p w14:paraId="6B86831B" w14:textId="5CF72CA0" w:rsidR="006E6BCF" w:rsidRPr="00155820" w:rsidRDefault="004F7BE2" w:rsidP="004F7BE2">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Dans la nuit du 25 au 26 octobre 2014, un jeune militant écologiste, Rémi Fraisse, est tué par une grenade lancée par les forces de l’ordre au cours d’une manifestation qui se déroule à Sivens (Tarn) contre un projet de barrage. Une enquête diligentée par l’Inspection générale de la gendarmerie conclue que «</w:t>
      </w:r>
      <w:r w:rsidRPr="00155820">
        <w:rPr>
          <w:rFonts w:ascii="Times New Roman" w:hAnsi="Times New Roman" w:cs="Times New Roman"/>
          <w:i/>
          <w:iCs/>
        </w:rPr>
        <w:t xml:space="preserve"> l’IGGN ne dispose pas d'éléments permettant de caractériser une faute professionnelle</w:t>
      </w:r>
      <w:r w:rsidRPr="00155820">
        <w:rPr>
          <w:rFonts w:ascii="Times New Roman" w:hAnsi="Times New Roman" w:cs="Times New Roman"/>
        </w:rPr>
        <w:t xml:space="preserve"> ». A ses yeux, «</w:t>
      </w:r>
      <w:r w:rsidRPr="00155820">
        <w:rPr>
          <w:rFonts w:ascii="Times New Roman" w:hAnsi="Times New Roman" w:cs="Times New Roman"/>
          <w:i/>
          <w:iCs/>
        </w:rPr>
        <w:t xml:space="preserve"> le cadre juridique d'emploi de la force et d'usage des armes pendant les affrontements […] est conforme aux prescriptions légales et réglementaires</w:t>
      </w:r>
      <w:r w:rsidRPr="00155820">
        <w:rPr>
          <w:rFonts w:ascii="Times New Roman" w:hAnsi="Times New Roman" w:cs="Times New Roman"/>
        </w:rPr>
        <w:t xml:space="preserve"> »</w:t>
      </w:r>
      <w:r w:rsidR="006E6BCF">
        <w:rPr>
          <w:rFonts w:ascii="Times New Roman" w:hAnsi="Times New Roman" w:cs="Times New Roman"/>
        </w:rPr>
        <w:t>.</w:t>
      </w:r>
    </w:p>
  </w:footnote>
  <w:footnote w:id="55">
    <w:p w14:paraId="451151FA" w14:textId="77777777" w:rsidR="008D01F7" w:rsidRPr="00155820" w:rsidRDefault="008D01F7" w:rsidP="008D01F7">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ACAT France</w:t>
      </w:r>
      <w:hyperlink r:id="rId49" w:history="1">
        <w:r w:rsidRPr="00155820">
          <w:rPr>
            <w:rStyle w:val="Hyperlink"/>
            <w:rFonts w:ascii="Times New Roman" w:hAnsi="Times New Roman" w:cs="Times New Roman"/>
          </w:rPr>
          <w:t xml:space="preserve">, </w:t>
        </w:r>
        <w:r w:rsidRPr="00155820">
          <w:rPr>
            <w:rStyle w:val="Hyperlink"/>
            <w:rFonts w:ascii="Times New Roman" w:hAnsi="Times New Roman" w:cs="Times New Roman"/>
            <w:i/>
            <w:iCs/>
          </w:rPr>
          <w:t>L’ordre et la force – Enquête sur l’usage de la force par les représentants de la loi en France</w:t>
        </w:r>
      </w:hyperlink>
      <w:r w:rsidRPr="00155820">
        <w:rPr>
          <w:rFonts w:ascii="Times New Roman" w:hAnsi="Times New Roman" w:cs="Times New Roman"/>
        </w:rPr>
        <w:t>, 2016</w:t>
      </w:r>
    </w:p>
  </w:footnote>
  <w:footnote w:id="56">
    <w:p w14:paraId="0D53A467" w14:textId="77777777" w:rsidR="0057249F" w:rsidRPr="00155820" w:rsidRDefault="0057249F" w:rsidP="0057249F">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Défenseur des droits, </w:t>
      </w:r>
      <w:hyperlink r:id="rId50" w:history="1">
        <w:r w:rsidRPr="00155820">
          <w:rPr>
            <w:rStyle w:val="Hyperlink"/>
            <w:rFonts w:ascii="Times New Roman" w:hAnsi="Times New Roman" w:cs="Times New Roman"/>
            <w:i/>
            <w:iCs/>
          </w:rPr>
          <w:t>Décision n°2021-183</w:t>
        </w:r>
      </w:hyperlink>
      <w:r w:rsidRPr="00155820">
        <w:rPr>
          <w:rFonts w:ascii="Times New Roman" w:hAnsi="Times New Roman" w:cs="Times New Roman"/>
        </w:rPr>
        <w:t>, 3 décembre 2021</w:t>
      </w:r>
      <w:r>
        <w:rPr>
          <w:rFonts w:ascii="Times New Roman" w:hAnsi="Times New Roman" w:cs="Times New Roman"/>
        </w:rPr>
        <w:t>.</w:t>
      </w:r>
    </w:p>
  </w:footnote>
  <w:footnote w:id="57">
    <w:p w14:paraId="0AA6B2E3" w14:textId="77777777" w:rsidR="00C66222" w:rsidRPr="00A343E5" w:rsidRDefault="00C66222" w:rsidP="00C66222">
      <w:pPr>
        <w:pStyle w:val="FootnoteText"/>
        <w:jc w:val="both"/>
        <w:rPr>
          <w:rFonts w:ascii="Times New Roman" w:hAnsi="Times New Roman" w:cs="Times New Roman"/>
        </w:rPr>
      </w:pPr>
      <w:r w:rsidRPr="00A343E5">
        <w:rPr>
          <w:rStyle w:val="FootnoteReference"/>
        </w:rPr>
        <w:footnoteRef/>
      </w:r>
      <w:r w:rsidRPr="00A343E5">
        <w:t xml:space="preserve"> </w:t>
      </w:r>
      <w:r w:rsidRPr="00A343E5">
        <w:rPr>
          <w:rFonts w:ascii="Times New Roman" w:hAnsi="Times New Roman" w:cs="Times New Roman"/>
        </w:rPr>
        <w:t>Rapport d’activité de la Rapporteuse spéciale sur la torture et autres peines ou traitements cruels, inhumains ou dégradants, Alice Jill Edwards, 24 août 2023, A/78/324, para.50.</w:t>
      </w:r>
    </w:p>
  </w:footnote>
  <w:footnote w:id="58">
    <w:p w14:paraId="382968FC" w14:textId="77777777" w:rsidR="00C66222" w:rsidRPr="00A343E5" w:rsidRDefault="00C66222" w:rsidP="00C66222">
      <w:pPr>
        <w:pStyle w:val="FootnoteText"/>
        <w:jc w:val="both"/>
      </w:pPr>
      <w:r w:rsidRPr="00A343E5">
        <w:rPr>
          <w:rStyle w:val="FootnoteReference"/>
          <w:rFonts w:ascii="Times New Roman" w:hAnsi="Times New Roman" w:cs="Times New Roman"/>
        </w:rPr>
        <w:footnoteRef/>
      </w:r>
      <w:r w:rsidRPr="00A343E5">
        <w:rPr>
          <w:rFonts w:ascii="Times New Roman" w:hAnsi="Times New Roman" w:cs="Times New Roman"/>
        </w:rPr>
        <w:t xml:space="preserve"> Rapport d’activité de la Rapporteuse spéciale sur la torture et autres peines ou traitements cruels, inhumains ou dégradants, Alice Jill Edwards, 24 août 2023, A/78/324, para.8.</w:t>
      </w:r>
    </w:p>
  </w:footnote>
  <w:footnote w:id="59">
    <w:p w14:paraId="01CE11F3" w14:textId="31DDEC53" w:rsidR="006C007F" w:rsidRPr="00A343E5" w:rsidRDefault="006C007F" w:rsidP="006C007F">
      <w:pPr>
        <w:pStyle w:val="FootnoteText"/>
        <w:jc w:val="both"/>
        <w:rPr>
          <w:rFonts w:ascii="Times New Roman" w:hAnsi="Times New Roman" w:cs="Times New Roman"/>
        </w:rPr>
      </w:pPr>
      <w:r w:rsidRPr="00A343E5">
        <w:rPr>
          <w:rStyle w:val="FootnoteReference"/>
          <w:rFonts w:ascii="Times New Roman" w:hAnsi="Times New Roman" w:cs="Times New Roman"/>
        </w:rPr>
        <w:footnoteRef/>
      </w:r>
      <w:r w:rsidRPr="00A343E5">
        <w:rPr>
          <w:rFonts w:ascii="Times New Roman" w:hAnsi="Times New Roman" w:cs="Times New Roman"/>
        </w:rPr>
        <w:t xml:space="preserve"> Défenseur des droits, </w:t>
      </w:r>
      <w:hyperlink r:id="rId51" w:history="1">
        <w:r w:rsidRPr="00A343E5">
          <w:rPr>
            <w:rStyle w:val="Hyperlink"/>
            <w:rFonts w:ascii="Times New Roman" w:hAnsi="Times New Roman" w:cs="Times New Roman"/>
            <w:i/>
            <w:iCs/>
            <w:color w:val="auto"/>
          </w:rPr>
          <w:t>Décision MDS-2016-109</w:t>
        </w:r>
      </w:hyperlink>
      <w:r w:rsidRPr="00A343E5">
        <w:rPr>
          <w:rFonts w:ascii="Times New Roman" w:hAnsi="Times New Roman" w:cs="Times New Roman"/>
          <w:i/>
          <w:iCs/>
        </w:rPr>
        <w:t>,</w:t>
      </w:r>
      <w:r w:rsidRPr="00A343E5">
        <w:rPr>
          <w:rFonts w:ascii="Times New Roman" w:hAnsi="Times New Roman" w:cs="Times New Roman"/>
        </w:rPr>
        <w:t xml:space="preserve"> 25 novembre 2016</w:t>
      </w:r>
      <w:r w:rsidR="006E6BCF">
        <w:rPr>
          <w:rFonts w:ascii="Times New Roman" w:hAnsi="Times New Roman" w:cs="Times New Roman"/>
        </w:rPr>
        <w:t>.</w:t>
      </w:r>
    </w:p>
  </w:footnote>
  <w:footnote w:id="60">
    <w:p w14:paraId="5993450F" w14:textId="29C00C70" w:rsidR="006C007F" w:rsidRPr="00155820" w:rsidRDefault="006C007F" w:rsidP="006C007F">
      <w:pPr>
        <w:pStyle w:val="FootnoteText"/>
        <w:jc w:val="both"/>
        <w:rPr>
          <w:rFonts w:ascii="Times New Roman" w:hAnsi="Times New Roman" w:cs="Times New Roman"/>
        </w:rPr>
      </w:pPr>
      <w:r w:rsidRPr="00A343E5">
        <w:rPr>
          <w:rStyle w:val="FootnoteReference"/>
          <w:rFonts w:ascii="Times New Roman" w:hAnsi="Times New Roman" w:cs="Times New Roman"/>
        </w:rPr>
        <w:footnoteRef/>
      </w:r>
      <w:r w:rsidRPr="00A343E5">
        <w:rPr>
          <w:rFonts w:ascii="Times New Roman" w:hAnsi="Times New Roman" w:cs="Times New Roman"/>
        </w:rPr>
        <w:t xml:space="preserve"> Défenseur des droits, </w:t>
      </w:r>
      <w:hyperlink r:id="rId52" w:history="1">
        <w:r w:rsidRPr="00A343E5">
          <w:rPr>
            <w:rStyle w:val="Hyperlink"/>
            <w:rFonts w:ascii="Times New Roman" w:hAnsi="Times New Roman" w:cs="Times New Roman"/>
            <w:i/>
            <w:iCs/>
            <w:color w:val="auto"/>
          </w:rPr>
          <w:t>Décision 2019-165</w:t>
        </w:r>
      </w:hyperlink>
      <w:r w:rsidRPr="00A343E5">
        <w:rPr>
          <w:rFonts w:ascii="Times New Roman" w:hAnsi="Times New Roman" w:cs="Times New Roman"/>
        </w:rPr>
        <w:t>, 17 juillet 2019</w:t>
      </w:r>
      <w:r w:rsidR="006E6BCF">
        <w:rPr>
          <w:rFonts w:ascii="Times New Roman" w:hAnsi="Times New Roman" w:cs="Times New Roman"/>
        </w:rPr>
        <w:t>.</w:t>
      </w:r>
    </w:p>
  </w:footnote>
  <w:footnote w:id="61">
    <w:p w14:paraId="41209890" w14:textId="77777777" w:rsidR="001C0015" w:rsidRPr="00155820" w:rsidRDefault="001C0015" w:rsidP="001C0015">
      <w:pPr>
        <w:pStyle w:val="FootnoteText"/>
        <w:jc w:val="both"/>
        <w:rPr>
          <w:rFonts w:ascii="Times New Roman" w:hAnsi="Times New Roman" w:cs="Times New Roman"/>
        </w:rPr>
      </w:pPr>
      <w:r w:rsidRPr="00155820">
        <w:rPr>
          <w:rStyle w:val="FootnoteReference"/>
          <w:rFonts w:ascii="Times New Roman" w:hAnsi="Times New Roman" w:cs="Times New Roman"/>
        </w:rPr>
        <w:footnoteRef/>
      </w:r>
      <w:r w:rsidRPr="00155820">
        <w:rPr>
          <w:rFonts w:ascii="Times New Roman" w:hAnsi="Times New Roman" w:cs="Times New Roman"/>
        </w:rPr>
        <w:t xml:space="preserve"> Défenseur des droits, </w:t>
      </w:r>
      <w:hyperlink r:id="rId53" w:history="1">
        <w:r w:rsidRPr="00155820">
          <w:rPr>
            <w:rStyle w:val="Hyperlink"/>
            <w:rFonts w:ascii="Times New Roman" w:hAnsi="Times New Roman" w:cs="Times New Roman"/>
            <w:i/>
            <w:iCs/>
          </w:rPr>
          <w:t>Rapport annuel d’activité</w:t>
        </w:r>
      </w:hyperlink>
      <w:r w:rsidRPr="00155820">
        <w:rPr>
          <w:rFonts w:ascii="Times New Roman" w:hAnsi="Times New Roman" w:cs="Times New Roman"/>
        </w:rPr>
        <w:t xml:space="preserve"> 2019. </w:t>
      </w:r>
    </w:p>
  </w:footnote>
  <w:footnote w:id="62">
    <w:p w14:paraId="25C8DEBF" w14:textId="77777777" w:rsidR="00E51DFD" w:rsidRPr="000C5E7D" w:rsidRDefault="00E51DFD" w:rsidP="00E51DFD">
      <w:pPr>
        <w:pStyle w:val="FootnoteText"/>
        <w:rPr>
          <w:rFonts w:ascii="Times New Roman" w:hAnsi="Times New Roman" w:cs="Times New Roman"/>
        </w:rPr>
      </w:pPr>
      <w:r w:rsidRPr="000C5E7D">
        <w:rPr>
          <w:rStyle w:val="FootnoteReference"/>
          <w:rFonts w:ascii="Times New Roman" w:hAnsi="Times New Roman" w:cs="Times New Roman"/>
        </w:rPr>
        <w:footnoteRef/>
      </w:r>
      <w:r w:rsidRPr="000C5E7D">
        <w:rPr>
          <w:rFonts w:ascii="Times New Roman" w:hAnsi="Times New Roman" w:cs="Times New Roman"/>
        </w:rPr>
        <w:t xml:space="preserve"> CEDH, Fraisse et autres c. France, </w:t>
      </w:r>
      <w:hyperlink r:id="rId54" w:anchor="{%22itemid%22:[%22001-241984%22]}" w:history="1">
        <w:r w:rsidRPr="000C5E7D">
          <w:rPr>
            <w:rStyle w:val="Hyperlink"/>
            <w:rFonts w:ascii="Times New Roman" w:hAnsi="Times New Roman" w:cs="Times New Roman"/>
          </w:rPr>
          <w:t>Requête n°22525/21</w:t>
        </w:r>
      </w:hyperlink>
      <w:r w:rsidRPr="000C5E7D">
        <w:rPr>
          <w:rFonts w:ascii="Times New Roman" w:hAnsi="Times New Roman" w:cs="Times New Roman"/>
        </w:rPr>
        <w:t xml:space="preserve">, 27 février 2025. </w:t>
      </w:r>
    </w:p>
  </w:footnote>
  <w:footnote w:id="63">
    <w:p w14:paraId="669B4A54" w14:textId="6FF1402D" w:rsidR="00A77B28" w:rsidRDefault="00A77B28">
      <w:pPr>
        <w:pStyle w:val="FootnoteText"/>
      </w:pPr>
      <w:r w:rsidRPr="00A77B28">
        <w:rPr>
          <w:rStyle w:val="FootnoteReference"/>
          <w:rFonts w:ascii="Times New Roman" w:hAnsi="Times New Roman" w:cs="Times New Roman"/>
        </w:rPr>
        <w:footnoteRef/>
      </w:r>
      <w:r>
        <w:t xml:space="preserve"> </w:t>
      </w:r>
      <w:bookmarkStart w:id="28" w:name="_Hlk191650451"/>
      <w:r w:rsidRPr="00155820">
        <w:rPr>
          <w:rFonts w:ascii="Times New Roman" w:hAnsi="Times New Roman" w:cs="Times New Roman"/>
        </w:rPr>
        <w:t>IGPN,</w:t>
      </w:r>
      <w:r>
        <w:rPr>
          <w:rFonts w:ascii="Times New Roman" w:hAnsi="Times New Roman" w:cs="Times New Roman"/>
        </w:rPr>
        <w:t xml:space="preserve"> </w:t>
      </w:r>
      <w:hyperlink r:id="rId55" w:history="1">
        <w:r w:rsidRPr="004C28C1">
          <w:rPr>
            <w:rStyle w:val="Hyperlink"/>
            <w:rFonts w:ascii="Times New Roman" w:hAnsi="Times New Roman" w:cs="Times New Roman"/>
            <w:i/>
            <w:iCs/>
          </w:rPr>
          <w:t>Rapport d’activité 2023</w:t>
        </w:r>
      </w:hyperlink>
      <w:r>
        <w:rPr>
          <w:rStyle w:val="Hyperlink"/>
          <w:rFonts w:ascii="Times New Roman" w:hAnsi="Times New Roman" w:cs="Times New Roman"/>
          <w:i/>
          <w:iCs/>
        </w:rPr>
        <w:t>.</w:t>
      </w:r>
      <w:bookmarkEnd w:id="28"/>
    </w:p>
  </w:footnote>
  <w:footnote w:id="64">
    <w:p w14:paraId="28111C5F" w14:textId="2EBC7DE6" w:rsidR="0073377B" w:rsidRPr="00B4031F" w:rsidRDefault="0073377B">
      <w:pPr>
        <w:pStyle w:val="FootnoteText"/>
        <w:rPr>
          <w:rFonts w:ascii="Times New Roman" w:hAnsi="Times New Roman" w:cs="Times New Roman"/>
        </w:rPr>
      </w:pPr>
      <w:r w:rsidRPr="00B4031F">
        <w:rPr>
          <w:rStyle w:val="FootnoteReference"/>
          <w:rFonts w:ascii="Times New Roman" w:hAnsi="Times New Roman" w:cs="Times New Roman"/>
        </w:rPr>
        <w:footnoteRef/>
      </w:r>
      <w:r w:rsidRPr="00B4031F">
        <w:rPr>
          <w:rFonts w:ascii="Times New Roman" w:hAnsi="Times New Roman" w:cs="Times New Roman"/>
        </w:rPr>
        <w:t xml:space="preserve"> </w:t>
      </w:r>
      <w:r w:rsidR="00B4031F" w:rsidRPr="00B4031F">
        <w:rPr>
          <w:rFonts w:ascii="Times New Roman" w:hAnsi="Times New Roman" w:cs="Times New Roman"/>
        </w:rPr>
        <w:t xml:space="preserve">Défenseur des droits, </w:t>
      </w:r>
      <w:hyperlink r:id="rId56" w:history="1">
        <w:r w:rsidR="00B4031F" w:rsidRPr="00090B71">
          <w:rPr>
            <w:rStyle w:val="Hyperlink"/>
            <w:rFonts w:ascii="Times New Roman" w:hAnsi="Times New Roman" w:cs="Times New Roman"/>
            <w:i/>
            <w:iCs/>
          </w:rPr>
          <w:t>Rapport sur trois moyens de force intermédiaire</w:t>
        </w:r>
      </w:hyperlink>
      <w:r w:rsidR="00B4031F" w:rsidRPr="00B4031F">
        <w:rPr>
          <w:rFonts w:ascii="Times New Roman" w:hAnsi="Times New Roman" w:cs="Times New Roman"/>
        </w:rPr>
        <w:t>, mai 2013, p.17.</w:t>
      </w:r>
    </w:p>
  </w:footnote>
  <w:footnote w:id="65">
    <w:p w14:paraId="1B215554" w14:textId="2EB9ABF5" w:rsidR="005D0643" w:rsidRDefault="005D0643">
      <w:pPr>
        <w:pStyle w:val="FootnoteText"/>
      </w:pPr>
      <w:r w:rsidRPr="005D0643">
        <w:rPr>
          <w:rStyle w:val="FootnoteReference"/>
          <w:rFonts w:ascii="Times New Roman" w:hAnsi="Times New Roman" w:cs="Times New Roman"/>
        </w:rPr>
        <w:footnoteRef/>
      </w:r>
      <w:r w:rsidRPr="005D0643">
        <w:rPr>
          <w:rFonts w:ascii="Times New Roman" w:hAnsi="Times New Roman" w:cs="Times New Roman"/>
        </w:rPr>
        <w:t xml:space="preserve"> </w:t>
      </w:r>
      <w:r w:rsidRPr="00155820">
        <w:rPr>
          <w:rFonts w:ascii="Times New Roman" w:hAnsi="Times New Roman" w:cs="Times New Roman"/>
        </w:rPr>
        <w:t>IGPN,</w:t>
      </w:r>
      <w:r>
        <w:rPr>
          <w:rFonts w:ascii="Times New Roman" w:hAnsi="Times New Roman" w:cs="Times New Roman"/>
        </w:rPr>
        <w:t xml:space="preserve"> </w:t>
      </w:r>
      <w:hyperlink r:id="rId57" w:history="1">
        <w:r w:rsidRPr="004C28C1">
          <w:rPr>
            <w:rStyle w:val="Hyperlink"/>
            <w:rFonts w:ascii="Times New Roman" w:hAnsi="Times New Roman" w:cs="Times New Roman"/>
            <w:i/>
            <w:iCs/>
          </w:rPr>
          <w:t>Rapport d’activité 2023</w:t>
        </w:r>
      </w:hyperlink>
      <w:r w:rsidRPr="009F75A5">
        <w:rPr>
          <w:rStyle w:val="Hyperlink"/>
          <w:rFonts w:ascii="Times New Roman" w:hAnsi="Times New Roman" w:cs="Times New Roman"/>
          <w:color w:val="auto"/>
          <w:u w:val="none"/>
        </w:rPr>
        <w:t xml:space="preserve">, </w:t>
      </w:r>
      <w:r w:rsidR="009F75A5" w:rsidRPr="009F75A5">
        <w:rPr>
          <w:rStyle w:val="Hyperlink"/>
          <w:rFonts w:ascii="Times New Roman" w:hAnsi="Times New Roman" w:cs="Times New Roman"/>
          <w:color w:val="auto"/>
          <w:u w:val="none"/>
        </w:rPr>
        <w:t>p.125.</w:t>
      </w:r>
      <w:r w:rsidR="009F75A5" w:rsidRPr="009F75A5">
        <w:rPr>
          <w:rStyle w:val="Hyperlink"/>
          <w:rFonts w:ascii="Times New Roman" w:hAnsi="Times New Roman" w:cs="Times New Roman"/>
          <w:i/>
          <w:iCs/>
          <w:color w:val="auto"/>
        </w:rPr>
        <w:t xml:space="preserve"> </w:t>
      </w:r>
    </w:p>
  </w:footnote>
  <w:footnote w:id="66">
    <w:p w14:paraId="4AB4C393" w14:textId="63713887" w:rsidR="003A7587" w:rsidRPr="00F73296" w:rsidRDefault="003A7587" w:rsidP="00F73296">
      <w:pPr>
        <w:pStyle w:val="FootnoteText"/>
        <w:jc w:val="both"/>
        <w:rPr>
          <w:rFonts w:ascii="Times New Roman" w:hAnsi="Times New Roman" w:cs="Times New Roman"/>
        </w:rPr>
      </w:pPr>
      <w:r w:rsidRPr="00F73296">
        <w:rPr>
          <w:rStyle w:val="FootnoteReference"/>
          <w:rFonts w:ascii="Times New Roman" w:hAnsi="Times New Roman" w:cs="Times New Roman"/>
        </w:rPr>
        <w:footnoteRef/>
      </w:r>
      <w:r w:rsidRPr="00F73296">
        <w:rPr>
          <w:rFonts w:ascii="Times New Roman" w:hAnsi="Times New Roman" w:cs="Times New Roman"/>
        </w:rPr>
        <w:t xml:space="preserve"> Streetpress, </w:t>
      </w:r>
      <w:hyperlink r:id="rId58" w:history="1">
        <w:r w:rsidRPr="00A93E83">
          <w:rPr>
            <w:rStyle w:val="Hyperlink"/>
            <w:rFonts w:ascii="Times New Roman" w:hAnsi="Times New Roman" w:cs="Times New Roman"/>
            <w:i/>
            <w:iCs/>
          </w:rPr>
          <w:t>Pour avoir franchi une rubalise, Teri prend quatre coups de taser par des policiers</w:t>
        </w:r>
      </w:hyperlink>
      <w:r w:rsidRPr="00F73296">
        <w:rPr>
          <w:rFonts w:ascii="Times New Roman" w:hAnsi="Times New Roman" w:cs="Times New Roman"/>
        </w:rPr>
        <w:t xml:space="preserve">, </w:t>
      </w:r>
      <w:r w:rsidR="005F3C11" w:rsidRPr="00F73296">
        <w:rPr>
          <w:rFonts w:ascii="Times New Roman" w:hAnsi="Times New Roman" w:cs="Times New Roman"/>
        </w:rPr>
        <w:t xml:space="preserve">21 janvier 2025. </w:t>
      </w:r>
    </w:p>
  </w:footnote>
  <w:footnote w:id="67">
    <w:p w14:paraId="7D568972" w14:textId="78D2E5EE" w:rsidR="001D44A6" w:rsidRPr="005E1354" w:rsidRDefault="001D44A6" w:rsidP="005E1354">
      <w:pPr>
        <w:pStyle w:val="FootnoteText"/>
        <w:jc w:val="both"/>
        <w:rPr>
          <w:rFonts w:ascii="Times New Roman" w:hAnsi="Times New Roman" w:cs="Times New Roman"/>
        </w:rPr>
      </w:pPr>
      <w:r w:rsidRPr="005E1354">
        <w:rPr>
          <w:rStyle w:val="FootnoteReference"/>
          <w:rFonts w:ascii="Times New Roman" w:hAnsi="Times New Roman" w:cs="Times New Roman"/>
        </w:rPr>
        <w:footnoteRef/>
      </w:r>
      <w:r w:rsidRPr="005E1354">
        <w:rPr>
          <w:rFonts w:ascii="Times New Roman" w:hAnsi="Times New Roman" w:cs="Times New Roman"/>
        </w:rPr>
        <w:t xml:space="preserve"> </w:t>
      </w:r>
      <w:bookmarkStart w:id="29" w:name="_Hlk191649317"/>
      <w:r w:rsidR="00325AA9" w:rsidRPr="005E1354">
        <w:rPr>
          <w:rFonts w:ascii="Times New Roman" w:hAnsi="Times New Roman" w:cs="Times New Roman"/>
        </w:rPr>
        <w:t>Nations unies,</w:t>
      </w:r>
      <w:r w:rsidR="00325AA9" w:rsidRPr="005E1354">
        <w:rPr>
          <w:rFonts w:ascii="Times New Roman" w:hAnsi="Times New Roman" w:cs="Times New Roman"/>
          <w:i/>
          <w:iCs/>
        </w:rPr>
        <w:t xml:space="preserve"> Recommandations adressées au Portugal, </w:t>
      </w:r>
      <w:hyperlink r:id="rId59" w:history="1">
        <w:r w:rsidR="00325AA9" w:rsidRPr="008C7AA5">
          <w:rPr>
            <w:rStyle w:val="Hyperlink"/>
            <w:rFonts w:ascii="Times New Roman" w:hAnsi="Times New Roman" w:cs="Times New Roman"/>
          </w:rPr>
          <w:t>CAT/C/PRT.CO/4</w:t>
        </w:r>
      </w:hyperlink>
      <w:r w:rsidR="00325AA9" w:rsidRPr="005E1354">
        <w:rPr>
          <w:rFonts w:ascii="Times New Roman" w:hAnsi="Times New Roman" w:cs="Times New Roman"/>
        </w:rPr>
        <w:t xml:space="preserve">, </w:t>
      </w:r>
      <w:r w:rsidR="005E1354" w:rsidRPr="005E1354">
        <w:rPr>
          <w:rFonts w:ascii="Times New Roman" w:hAnsi="Times New Roman" w:cs="Times New Roman"/>
        </w:rPr>
        <w:t>22 novembre 2007, par.14.</w:t>
      </w:r>
      <w:bookmarkEnd w:id="29"/>
    </w:p>
  </w:footnote>
  <w:footnote w:id="68">
    <w:p w14:paraId="52F1B1D6" w14:textId="3FBCD84A" w:rsidR="009C01B6" w:rsidRPr="009C01B6" w:rsidRDefault="009C01B6" w:rsidP="009C01B6">
      <w:pPr>
        <w:pStyle w:val="FootnoteText"/>
        <w:jc w:val="both"/>
        <w:rPr>
          <w:rFonts w:ascii="Times New Roman" w:hAnsi="Times New Roman" w:cs="Times New Roman"/>
        </w:rPr>
      </w:pPr>
      <w:r w:rsidRPr="009C01B6">
        <w:rPr>
          <w:rStyle w:val="FootnoteReference"/>
          <w:rFonts w:ascii="Times New Roman" w:hAnsi="Times New Roman" w:cs="Times New Roman"/>
        </w:rPr>
        <w:footnoteRef/>
      </w:r>
      <w:r w:rsidRPr="009C01B6">
        <w:rPr>
          <w:rFonts w:ascii="Times New Roman" w:hAnsi="Times New Roman" w:cs="Times New Roman"/>
        </w:rPr>
        <w:t xml:space="preserve"> </w:t>
      </w:r>
      <w:r>
        <w:rPr>
          <w:rFonts w:ascii="Times New Roman" w:hAnsi="Times New Roman" w:cs="Times New Roman"/>
        </w:rPr>
        <w:t>Règlement CE</w:t>
      </w:r>
      <w:r w:rsidR="00A40199">
        <w:rPr>
          <w:rFonts w:ascii="Times New Roman" w:hAnsi="Times New Roman" w:cs="Times New Roman"/>
        </w:rPr>
        <w:t xml:space="preserve"> n°1236/2005 du 27 juin 2005 concernant le commerce de certains biens susceptibles d’être utilisés en vue d’infliger la peine capitale, la torture ou d’autres peines</w:t>
      </w:r>
      <w:r w:rsidR="00541480">
        <w:rPr>
          <w:rFonts w:ascii="Times New Roman" w:hAnsi="Times New Roman" w:cs="Times New Roman"/>
        </w:rPr>
        <w:t xml:space="preserve"> ou traitements cruels, inhumains ou dégradants.</w:t>
      </w:r>
    </w:p>
  </w:footnote>
  <w:footnote w:id="69">
    <w:p w14:paraId="50AFBB7D" w14:textId="29375A33" w:rsidR="00D03F25" w:rsidRPr="00AB1DBA" w:rsidRDefault="00D03F25" w:rsidP="00AB1DBA">
      <w:pPr>
        <w:pStyle w:val="FootnoteText"/>
        <w:jc w:val="both"/>
        <w:rPr>
          <w:rFonts w:ascii="Times New Roman" w:hAnsi="Times New Roman" w:cs="Times New Roman"/>
        </w:rPr>
      </w:pPr>
      <w:r w:rsidRPr="00AB1DBA">
        <w:rPr>
          <w:rStyle w:val="FootnoteReference"/>
          <w:rFonts w:ascii="Times New Roman" w:hAnsi="Times New Roman" w:cs="Times New Roman"/>
        </w:rPr>
        <w:footnoteRef/>
      </w:r>
      <w:r w:rsidRPr="00AB1DBA">
        <w:rPr>
          <w:rFonts w:ascii="Times New Roman" w:hAnsi="Times New Roman" w:cs="Times New Roman"/>
        </w:rPr>
        <w:t xml:space="preserve"> </w:t>
      </w:r>
      <w:r w:rsidR="00706183" w:rsidRPr="00AB1DBA">
        <w:rPr>
          <w:rFonts w:ascii="Times New Roman" w:hAnsi="Times New Roman" w:cs="Times New Roman"/>
        </w:rPr>
        <w:t>Comité contre la torture, Examen des quatrième à sixième rapports de la France, Compte rendu analytique de la 928</w:t>
      </w:r>
      <w:r w:rsidR="00706183" w:rsidRPr="00AB1DBA">
        <w:rPr>
          <w:rFonts w:ascii="Times New Roman" w:hAnsi="Times New Roman" w:cs="Times New Roman"/>
          <w:vertAlign w:val="superscript"/>
        </w:rPr>
        <w:t>e</w:t>
      </w:r>
      <w:r w:rsidR="00706183" w:rsidRPr="00AB1DBA">
        <w:rPr>
          <w:rFonts w:ascii="Times New Roman" w:hAnsi="Times New Roman" w:cs="Times New Roman"/>
        </w:rPr>
        <w:t xml:space="preserve"> séance, CAT/C/</w:t>
      </w:r>
      <w:r w:rsidR="00AB1DBA" w:rsidRPr="00AB1DBA">
        <w:rPr>
          <w:rFonts w:ascii="Times New Roman" w:hAnsi="Times New Roman" w:cs="Times New Roman"/>
        </w:rPr>
        <w:t xml:space="preserve">SR.928, p.5. </w:t>
      </w:r>
    </w:p>
  </w:footnote>
  <w:footnote w:id="70">
    <w:p w14:paraId="24234B29" w14:textId="03BAEC11" w:rsidR="008F5277" w:rsidRPr="00DC34C0" w:rsidRDefault="008F5277" w:rsidP="00DC34C0">
      <w:pPr>
        <w:pStyle w:val="FootnoteText"/>
        <w:jc w:val="both"/>
        <w:rPr>
          <w:rFonts w:ascii="Times New Roman" w:hAnsi="Times New Roman" w:cs="Times New Roman"/>
        </w:rPr>
      </w:pPr>
      <w:r w:rsidRPr="00DC34C0">
        <w:rPr>
          <w:rStyle w:val="FootnoteReference"/>
          <w:rFonts w:ascii="Times New Roman" w:hAnsi="Times New Roman" w:cs="Times New Roman"/>
        </w:rPr>
        <w:footnoteRef/>
      </w:r>
      <w:r w:rsidRPr="00DC34C0">
        <w:rPr>
          <w:rFonts w:ascii="Times New Roman" w:hAnsi="Times New Roman" w:cs="Times New Roman"/>
        </w:rPr>
        <w:t xml:space="preserve"> </w:t>
      </w:r>
      <w:r w:rsidR="00DC34C0" w:rsidRPr="00DC34C0">
        <w:rPr>
          <w:rFonts w:ascii="Times New Roman" w:hAnsi="Times New Roman" w:cs="Times New Roman"/>
        </w:rPr>
        <w:t xml:space="preserve">Dr Bertrand Bécour, Isabelle Sec, Roland Istria, Gérald Kierzek, Caroline Rey, Jean-Louis Pourriat, </w:t>
      </w:r>
      <w:r w:rsidR="00DC34C0" w:rsidRPr="00DC34C0">
        <w:rPr>
          <w:rFonts w:ascii="Times New Roman" w:hAnsi="Times New Roman" w:cs="Times New Roman"/>
          <w:i/>
          <w:iCs/>
        </w:rPr>
        <w:t>L’usage du Taser</w:t>
      </w:r>
      <w:r w:rsidR="00937E52">
        <w:rPr>
          <w:rFonts w:ascii="Times New Roman" w:hAnsi="Times New Roman" w:cs="Times New Roman"/>
          <w:i/>
          <w:iCs/>
        </w:rPr>
        <w:t xml:space="preserve"> </w:t>
      </w:r>
      <w:r w:rsidR="00DC34C0" w:rsidRPr="00DC34C0">
        <w:rPr>
          <w:rFonts w:ascii="Times New Roman" w:hAnsi="Times New Roman" w:cs="Times New Roman"/>
          <w:i/>
          <w:iCs/>
        </w:rPr>
        <w:t>est-il toujours conforme aux recommandations ? Le point de vue de médecins légistes cliniciens, 2e Congrès de balistique lésionnelle</w:t>
      </w:r>
      <w:r w:rsidR="00DC34C0" w:rsidRPr="00DC34C0">
        <w:rPr>
          <w:rFonts w:ascii="Times New Roman" w:hAnsi="Times New Roman" w:cs="Times New Roman"/>
        </w:rPr>
        <w:t>, Marseille, 7 décembre 2009 ; British Medical Journal, “Tasers”, novembre 2015</w:t>
      </w:r>
      <w:r w:rsidR="00937E52">
        <w:rPr>
          <w:rFonts w:ascii="Times New Roman" w:hAnsi="Times New Roman" w:cs="Times New Roman"/>
        </w:rPr>
        <w:t>.</w:t>
      </w:r>
    </w:p>
  </w:footnote>
  <w:footnote w:id="71">
    <w:p w14:paraId="0324B30D" w14:textId="7EBA30A7" w:rsidR="00EC572F" w:rsidRPr="00EC572F" w:rsidRDefault="00EC572F">
      <w:pPr>
        <w:pStyle w:val="FootnoteText"/>
        <w:rPr>
          <w:rFonts w:ascii="Times New Roman" w:hAnsi="Times New Roman" w:cs="Times New Roman"/>
        </w:rPr>
      </w:pPr>
      <w:r w:rsidRPr="00EC572F">
        <w:rPr>
          <w:rStyle w:val="FootnoteReference"/>
          <w:rFonts w:ascii="Times New Roman" w:hAnsi="Times New Roman" w:cs="Times New Roman"/>
        </w:rPr>
        <w:footnoteRef/>
      </w:r>
      <w:r w:rsidRPr="00EC572F">
        <w:rPr>
          <w:rFonts w:ascii="Times New Roman" w:hAnsi="Times New Roman" w:cs="Times New Roman"/>
        </w:rPr>
        <w:t xml:space="preserve"> </w:t>
      </w:r>
      <w:r w:rsidRPr="00155820">
        <w:rPr>
          <w:rFonts w:ascii="Times New Roman" w:hAnsi="Times New Roman" w:cs="Times New Roman"/>
        </w:rPr>
        <w:t>IGPN,</w:t>
      </w:r>
      <w:r>
        <w:rPr>
          <w:rFonts w:ascii="Times New Roman" w:hAnsi="Times New Roman" w:cs="Times New Roman"/>
        </w:rPr>
        <w:t xml:space="preserve"> </w:t>
      </w:r>
      <w:hyperlink r:id="rId60" w:history="1">
        <w:r w:rsidRPr="004C28C1">
          <w:rPr>
            <w:rStyle w:val="Hyperlink"/>
            <w:rFonts w:ascii="Times New Roman" w:hAnsi="Times New Roman" w:cs="Times New Roman"/>
            <w:i/>
            <w:iCs/>
          </w:rPr>
          <w:t>Rapport d’activité 2023</w:t>
        </w:r>
      </w:hyperlink>
      <w:r>
        <w:rPr>
          <w:rStyle w:val="Hyperlink"/>
          <w:rFonts w:ascii="Times New Roman" w:hAnsi="Times New Roman" w:cs="Times New Roman"/>
          <w:i/>
          <w:iCs/>
        </w:rPr>
        <w:t>.</w:t>
      </w:r>
    </w:p>
  </w:footnote>
  <w:footnote w:id="72">
    <w:p w14:paraId="7F8F8A3C" w14:textId="1EA6A92F" w:rsidR="00E5762B" w:rsidRDefault="00E5762B">
      <w:pPr>
        <w:pStyle w:val="FootnoteText"/>
      </w:pPr>
      <w:r w:rsidRPr="00E5762B">
        <w:rPr>
          <w:rStyle w:val="FootnoteReference"/>
          <w:rFonts w:ascii="Times New Roman" w:hAnsi="Times New Roman" w:cs="Times New Roman"/>
        </w:rPr>
        <w:footnoteRef/>
      </w:r>
      <w:r w:rsidRPr="00E5762B">
        <w:rPr>
          <w:rFonts w:ascii="Times New Roman" w:hAnsi="Times New Roman" w:cs="Times New Roman"/>
        </w:rPr>
        <w:t xml:space="preserve"> </w:t>
      </w:r>
      <w:r w:rsidRPr="005E1354">
        <w:rPr>
          <w:rFonts w:ascii="Times New Roman" w:hAnsi="Times New Roman" w:cs="Times New Roman"/>
        </w:rPr>
        <w:t>Nations unies,</w:t>
      </w:r>
      <w:r w:rsidRPr="005E1354">
        <w:rPr>
          <w:rFonts w:ascii="Times New Roman" w:hAnsi="Times New Roman" w:cs="Times New Roman"/>
          <w:i/>
          <w:iCs/>
        </w:rPr>
        <w:t xml:space="preserve"> Recommandations adressées au Portugal, </w:t>
      </w:r>
      <w:hyperlink r:id="rId61" w:history="1">
        <w:r w:rsidRPr="008C7AA5">
          <w:rPr>
            <w:rStyle w:val="Hyperlink"/>
            <w:rFonts w:ascii="Times New Roman" w:hAnsi="Times New Roman" w:cs="Times New Roman"/>
          </w:rPr>
          <w:t>CAT/C/PRT.CO/4</w:t>
        </w:r>
      </w:hyperlink>
      <w:r w:rsidRPr="005E1354">
        <w:rPr>
          <w:rFonts w:ascii="Times New Roman" w:hAnsi="Times New Roman" w:cs="Times New Roman"/>
        </w:rPr>
        <w:t>, 22 novembre 2007</w:t>
      </w:r>
      <w:r w:rsidR="00490A94">
        <w:rPr>
          <w:rFonts w:ascii="Times New Roman" w:hAnsi="Times New Roman" w:cs="Times New Roman"/>
        </w:rPr>
        <w:t>.</w:t>
      </w:r>
    </w:p>
  </w:footnote>
  <w:footnote w:id="73">
    <w:p w14:paraId="22935411" w14:textId="64E97310" w:rsidR="00490A94" w:rsidRPr="00F456CE" w:rsidRDefault="00490A94" w:rsidP="00CA1474">
      <w:pPr>
        <w:pStyle w:val="FootnoteText"/>
        <w:jc w:val="both"/>
        <w:rPr>
          <w:rFonts w:ascii="Times New Roman" w:hAnsi="Times New Roman" w:cs="Times New Roman"/>
          <w:lang w:val="en-GB"/>
        </w:rPr>
      </w:pPr>
      <w:r w:rsidRPr="00CA1474">
        <w:rPr>
          <w:rStyle w:val="FootnoteReference"/>
          <w:rFonts w:ascii="Times New Roman" w:hAnsi="Times New Roman" w:cs="Times New Roman"/>
        </w:rPr>
        <w:footnoteRef/>
      </w:r>
      <w:r w:rsidRPr="00F456CE">
        <w:rPr>
          <w:rFonts w:ascii="Times New Roman" w:hAnsi="Times New Roman" w:cs="Times New Roman"/>
          <w:lang w:val="en-GB"/>
        </w:rPr>
        <w:t xml:space="preserve"> </w:t>
      </w:r>
      <w:r w:rsidR="00CA1474" w:rsidRPr="00F456CE">
        <w:rPr>
          <w:rFonts w:ascii="Times New Roman" w:hAnsi="Times New Roman" w:cs="Times New Roman"/>
          <w:lang w:val="en-GB"/>
        </w:rPr>
        <w:t xml:space="preserve">Amnesty International, </w:t>
      </w:r>
      <w:r w:rsidR="00CA1474" w:rsidRPr="00F456CE">
        <w:rPr>
          <w:rFonts w:ascii="Times New Roman" w:hAnsi="Times New Roman" w:cs="Times New Roman"/>
          <w:i/>
          <w:iCs/>
          <w:lang w:val="en-GB"/>
        </w:rPr>
        <w:t>USA, Life, liberty and the pursuit of human rights; A submission to the UN Human Rights committee</w:t>
      </w:r>
      <w:r w:rsidR="00CA1474" w:rsidRPr="00F456CE">
        <w:rPr>
          <w:rFonts w:ascii="Times New Roman" w:hAnsi="Times New Roman" w:cs="Times New Roman"/>
          <w:lang w:val="en-GB"/>
        </w:rPr>
        <w:t>, septembre 2013, p. 23.</w:t>
      </w:r>
    </w:p>
  </w:footnote>
  <w:footnote w:id="74">
    <w:p w14:paraId="3C582374" w14:textId="7952FBA0" w:rsidR="001A62B4" w:rsidRPr="00B704C1" w:rsidRDefault="001A62B4">
      <w:pPr>
        <w:pStyle w:val="FootnoteText"/>
        <w:rPr>
          <w:rFonts w:ascii="Times New Roman" w:hAnsi="Times New Roman" w:cs="Times New Roman"/>
          <w:lang w:val="en-GB"/>
        </w:rPr>
      </w:pPr>
      <w:r w:rsidRPr="001A62B4">
        <w:rPr>
          <w:rStyle w:val="FootnoteReference"/>
          <w:rFonts w:ascii="Times New Roman" w:hAnsi="Times New Roman" w:cs="Times New Roman"/>
        </w:rPr>
        <w:footnoteRef/>
      </w:r>
      <w:r w:rsidRPr="00B704C1">
        <w:rPr>
          <w:rFonts w:ascii="Times New Roman" w:hAnsi="Times New Roman" w:cs="Times New Roman"/>
          <w:lang w:val="en-GB"/>
        </w:rPr>
        <w:t xml:space="preserve"> British Medical Journal, </w:t>
      </w:r>
      <w:r w:rsidRPr="00B704C1">
        <w:rPr>
          <w:rFonts w:ascii="Times New Roman" w:hAnsi="Times New Roman" w:cs="Times New Roman"/>
          <w:i/>
          <w:iCs/>
          <w:lang w:val="en-GB"/>
        </w:rPr>
        <w:t>Tasers</w:t>
      </w:r>
      <w:r w:rsidRPr="00B704C1">
        <w:rPr>
          <w:rFonts w:ascii="Times New Roman" w:hAnsi="Times New Roman" w:cs="Times New Roman"/>
          <w:lang w:val="en-GB"/>
        </w:rPr>
        <w:t xml:space="preserve">, novembre 2015. </w:t>
      </w:r>
    </w:p>
  </w:footnote>
  <w:footnote w:id="75">
    <w:p w14:paraId="3DA08482" w14:textId="71C044BB" w:rsidR="003F14EB" w:rsidRPr="001C7B8E" w:rsidRDefault="003F14EB" w:rsidP="001C7B8E">
      <w:pPr>
        <w:pStyle w:val="FootnoteText"/>
        <w:jc w:val="both"/>
        <w:rPr>
          <w:rFonts w:ascii="Times New Roman" w:hAnsi="Times New Roman" w:cs="Times New Roman"/>
        </w:rPr>
      </w:pPr>
      <w:r w:rsidRPr="00D3612D">
        <w:rPr>
          <w:rStyle w:val="FootnoteReference"/>
          <w:rFonts w:ascii="Times New Roman" w:hAnsi="Times New Roman" w:cs="Times New Roman"/>
        </w:rPr>
        <w:footnoteRef/>
      </w:r>
      <w:r w:rsidRPr="00D3612D">
        <w:rPr>
          <w:rFonts w:ascii="Times New Roman" w:hAnsi="Times New Roman" w:cs="Times New Roman"/>
        </w:rPr>
        <w:t xml:space="preserve"> </w:t>
      </w:r>
      <w:r w:rsidR="001C7B8E" w:rsidRPr="00D3612D">
        <w:rPr>
          <w:rFonts w:ascii="Times New Roman" w:hAnsi="Times New Roman" w:cs="Times New Roman"/>
        </w:rPr>
        <w:t>Franceinfo</w:t>
      </w:r>
      <w:r w:rsidR="001C7B8E" w:rsidRPr="001C7B8E">
        <w:rPr>
          <w:rFonts w:ascii="Times New Roman" w:hAnsi="Times New Roman" w:cs="Times New Roman"/>
        </w:rPr>
        <w:t xml:space="preserve">, </w:t>
      </w:r>
      <w:hyperlink r:id="rId62" w:history="1">
        <w:r w:rsidR="001C7B8E" w:rsidRPr="001C7B8E">
          <w:rPr>
            <w:rStyle w:val="Hyperlink"/>
            <w:rFonts w:ascii="Times New Roman" w:hAnsi="Times New Roman" w:cs="Times New Roman"/>
            <w:i/>
            <w:iCs/>
          </w:rPr>
          <w:t>Seine-Saint-Denis : un homme meurt après plusieurs coups de taser, l’IGPN saisie</w:t>
        </w:r>
      </w:hyperlink>
      <w:r w:rsidR="001C7B8E" w:rsidRPr="001C7B8E">
        <w:rPr>
          <w:rFonts w:ascii="Times New Roman" w:hAnsi="Times New Roman" w:cs="Times New Roman"/>
        </w:rPr>
        <w:t xml:space="preserve">, 6 janvier 2024. </w:t>
      </w:r>
    </w:p>
  </w:footnote>
  <w:footnote w:id="76">
    <w:p w14:paraId="3D6677B3" w14:textId="2DF45CB1" w:rsidR="00213605" w:rsidRPr="00D3612D" w:rsidRDefault="00213605" w:rsidP="007C7ADF">
      <w:pPr>
        <w:pStyle w:val="FootnoteText"/>
        <w:jc w:val="both"/>
        <w:rPr>
          <w:rFonts w:ascii="Times New Roman" w:hAnsi="Times New Roman" w:cs="Times New Roman"/>
        </w:rPr>
      </w:pPr>
      <w:r w:rsidRPr="00D3612D">
        <w:rPr>
          <w:rStyle w:val="FootnoteReference"/>
          <w:rFonts w:ascii="Times New Roman" w:hAnsi="Times New Roman" w:cs="Times New Roman"/>
        </w:rPr>
        <w:footnoteRef/>
      </w:r>
      <w:r w:rsidRPr="00D3612D">
        <w:rPr>
          <w:rFonts w:ascii="Times New Roman" w:hAnsi="Times New Roman" w:cs="Times New Roman"/>
        </w:rPr>
        <w:t xml:space="preserve"> </w:t>
      </w:r>
      <w:r w:rsidR="00D3612D" w:rsidRPr="00D3612D">
        <w:rPr>
          <w:rFonts w:ascii="Times New Roman" w:hAnsi="Times New Roman" w:cs="Times New Roman"/>
        </w:rPr>
        <w:t xml:space="preserve">Libération, </w:t>
      </w:r>
      <w:hyperlink r:id="rId63" w:history="1">
        <w:r w:rsidR="00D3612D" w:rsidRPr="00AD5241">
          <w:rPr>
            <w:rStyle w:val="Hyperlink"/>
            <w:rFonts w:ascii="Times New Roman" w:hAnsi="Times New Roman" w:cs="Times New Roman"/>
            <w:i/>
            <w:iCs/>
          </w:rPr>
          <w:t>Les images du déchainement de violences subi par un homme dans un commissariat parisien</w:t>
        </w:r>
      </w:hyperlink>
      <w:r w:rsidR="00D3612D" w:rsidRPr="00D3612D">
        <w:rPr>
          <w:rFonts w:ascii="Times New Roman" w:hAnsi="Times New Roman" w:cs="Times New Roman"/>
        </w:rPr>
        <w:t>, 19 septembre 2024.</w:t>
      </w:r>
    </w:p>
  </w:footnote>
  <w:footnote w:id="77">
    <w:p w14:paraId="6E030283" w14:textId="32BC2996" w:rsidR="00C55C9D" w:rsidRPr="007C7ADF" w:rsidRDefault="00C55C9D" w:rsidP="007C7ADF">
      <w:pPr>
        <w:pStyle w:val="FootnoteText"/>
        <w:jc w:val="both"/>
        <w:rPr>
          <w:rFonts w:ascii="Times New Roman" w:hAnsi="Times New Roman" w:cs="Times New Roman"/>
        </w:rPr>
      </w:pPr>
      <w:r w:rsidRPr="007C7ADF">
        <w:rPr>
          <w:rStyle w:val="FootnoteReference"/>
          <w:rFonts w:ascii="Times New Roman" w:hAnsi="Times New Roman" w:cs="Times New Roman"/>
        </w:rPr>
        <w:footnoteRef/>
      </w:r>
      <w:r w:rsidRPr="007C7ADF">
        <w:rPr>
          <w:rFonts w:ascii="Times New Roman" w:hAnsi="Times New Roman" w:cs="Times New Roman"/>
        </w:rPr>
        <w:t xml:space="preserve"> Le Monde, </w:t>
      </w:r>
      <w:hyperlink r:id="rId64" w:history="1">
        <w:r w:rsidRPr="007C7ADF">
          <w:rPr>
            <w:rStyle w:val="Hyperlink"/>
            <w:rFonts w:ascii="Times New Roman" w:hAnsi="Times New Roman" w:cs="Times New Roman"/>
            <w:i/>
            <w:iCs/>
          </w:rPr>
          <w:t>Deux policiers condamnés à des peines avec sursis pour des violences sur une personne placée en garde à vue à Paris</w:t>
        </w:r>
      </w:hyperlink>
      <w:r w:rsidRPr="007C7ADF">
        <w:rPr>
          <w:rFonts w:ascii="Times New Roman" w:hAnsi="Times New Roman" w:cs="Times New Roman"/>
        </w:rPr>
        <w:t xml:space="preserve">, </w:t>
      </w:r>
      <w:r w:rsidR="007C7ADF" w:rsidRPr="007C7ADF">
        <w:rPr>
          <w:rFonts w:ascii="Times New Roman" w:hAnsi="Times New Roman" w:cs="Times New Roman"/>
        </w:rPr>
        <w:t>15 janvier 2025.</w:t>
      </w:r>
    </w:p>
  </w:footnote>
  <w:footnote w:id="78">
    <w:p w14:paraId="324100CB" w14:textId="669F634A" w:rsidR="0083095F" w:rsidRPr="00BB6546" w:rsidRDefault="0083095F" w:rsidP="00BB6546">
      <w:pPr>
        <w:pStyle w:val="FootnoteText"/>
        <w:jc w:val="both"/>
        <w:rPr>
          <w:rFonts w:ascii="Times New Roman" w:hAnsi="Times New Roman" w:cs="Times New Roman"/>
        </w:rPr>
      </w:pPr>
      <w:r w:rsidRPr="00BB6546">
        <w:rPr>
          <w:rStyle w:val="FootnoteReference"/>
          <w:rFonts w:ascii="Times New Roman" w:hAnsi="Times New Roman" w:cs="Times New Roman"/>
        </w:rPr>
        <w:footnoteRef/>
      </w:r>
      <w:r w:rsidRPr="00BB6546">
        <w:rPr>
          <w:rFonts w:ascii="Times New Roman" w:hAnsi="Times New Roman" w:cs="Times New Roman"/>
        </w:rPr>
        <w:t xml:space="preserve"> Libération, </w:t>
      </w:r>
      <w:hyperlink r:id="rId65" w:history="1">
        <w:r w:rsidR="00BB6546" w:rsidRPr="00C454EA">
          <w:rPr>
            <w:rStyle w:val="Hyperlink"/>
            <w:rFonts w:ascii="Times New Roman" w:hAnsi="Times New Roman" w:cs="Times New Roman"/>
            <w:i/>
            <w:iCs/>
          </w:rPr>
          <w:t>Quatre policiers parisiens poursuivis pour des violences commises sur un homme en garde à vue</w:t>
        </w:r>
      </w:hyperlink>
      <w:r w:rsidR="00BB6546" w:rsidRPr="00BB6546">
        <w:rPr>
          <w:rFonts w:ascii="Times New Roman" w:hAnsi="Times New Roman" w:cs="Times New Roman"/>
        </w:rPr>
        <w:t>, 17 décembre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A20"/>
    <w:multiLevelType w:val="hybridMultilevel"/>
    <w:tmpl w:val="1F52D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8F4DE0"/>
    <w:multiLevelType w:val="hybridMultilevel"/>
    <w:tmpl w:val="517A0AA8"/>
    <w:lvl w:ilvl="0" w:tplc="33DE5A8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66C4F"/>
    <w:multiLevelType w:val="hybridMultilevel"/>
    <w:tmpl w:val="691E2612"/>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EED1B7A"/>
    <w:multiLevelType w:val="hybridMultilevel"/>
    <w:tmpl w:val="E034A91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08E2E9F"/>
    <w:multiLevelType w:val="hybridMultilevel"/>
    <w:tmpl w:val="E03CE5DC"/>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7B33B8"/>
    <w:multiLevelType w:val="hybridMultilevel"/>
    <w:tmpl w:val="C374BE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78E30F5"/>
    <w:multiLevelType w:val="hybridMultilevel"/>
    <w:tmpl w:val="BCA8F3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B07742E"/>
    <w:multiLevelType w:val="hybridMultilevel"/>
    <w:tmpl w:val="7D38629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C5740F5"/>
    <w:multiLevelType w:val="hybridMultilevel"/>
    <w:tmpl w:val="B1A6E4C0"/>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1F9517D"/>
    <w:multiLevelType w:val="hybridMultilevel"/>
    <w:tmpl w:val="9482CE6A"/>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B4B7C7E"/>
    <w:multiLevelType w:val="hybridMultilevel"/>
    <w:tmpl w:val="56D48EF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DCB5F20"/>
    <w:multiLevelType w:val="hybridMultilevel"/>
    <w:tmpl w:val="499A0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EE47021"/>
    <w:multiLevelType w:val="hybridMultilevel"/>
    <w:tmpl w:val="E9424EF0"/>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F806303"/>
    <w:multiLevelType w:val="hybridMultilevel"/>
    <w:tmpl w:val="D256D22C"/>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2962E11"/>
    <w:multiLevelType w:val="hybridMultilevel"/>
    <w:tmpl w:val="1B26D298"/>
    <w:lvl w:ilvl="0" w:tplc="C470A5CA">
      <w:start w:val="1"/>
      <w:numFmt w:val="decimal"/>
      <w:lvlText w:val="%1."/>
      <w:lvlJc w:val="left"/>
      <w:pPr>
        <w:ind w:left="720" w:hanging="360"/>
      </w:pPr>
      <w:rPr>
        <w:rFonts w:hint="default"/>
        <w:b w:val="0"/>
        <w:bCs w:val="0"/>
        <w:i w:val="0"/>
        <w:iCs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8E6C5F"/>
    <w:multiLevelType w:val="multilevel"/>
    <w:tmpl w:val="A58467B8"/>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9DD65B5"/>
    <w:multiLevelType w:val="hybridMultilevel"/>
    <w:tmpl w:val="B0FC1F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C440280"/>
    <w:multiLevelType w:val="hybridMultilevel"/>
    <w:tmpl w:val="26C8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80105"/>
    <w:multiLevelType w:val="hybridMultilevel"/>
    <w:tmpl w:val="665EBC60"/>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F557E8F"/>
    <w:multiLevelType w:val="hybridMultilevel"/>
    <w:tmpl w:val="76760034"/>
    <w:lvl w:ilvl="0" w:tplc="26D40EF6">
      <w:start w:val="1"/>
      <w:numFmt w:val="bullet"/>
      <w:lvlText w:val=""/>
      <w:lvlJc w:val="left"/>
      <w:pPr>
        <w:ind w:left="720" w:hanging="360"/>
      </w:pPr>
      <w:rPr>
        <w:rFonts w:ascii="Symbol" w:hAnsi="Symbol" w:hint="default"/>
      </w:rPr>
    </w:lvl>
    <w:lvl w:ilvl="1" w:tplc="369E92C2">
      <w:start w:val="1"/>
      <w:numFmt w:val="bullet"/>
      <w:lvlText w:val="o"/>
      <w:lvlJc w:val="left"/>
      <w:pPr>
        <w:ind w:left="1440" w:hanging="360"/>
      </w:pPr>
      <w:rPr>
        <w:rFonts w:ascii="Courier New" w:hAnsi="Courier New" w:hint="default"/>
      </w:rPr>
    </w:lvl>
    <w:lvl w:ilvl="2" w:tplc="C80049D0">
      <w:start w:val="1"/>
      <w:numFmt w:val="bullet"/>
      <w:lvlText w:val=""/>
      <w:lvlJc w:val="left"/>
      <w:pPr>
        <w:ind w:left="2160" w:hanging="360"/>
      </w:pPr>
      <w:rPr>
        <w:rFonts w:ascii="Wingdings" w:hAnsi="Wingdings" w:hint="default"/>
      </w:rPr>
    </w:lvl>
    <w:lvl w:ilvl="3" w:tplc="01EAD9FC">
      <w:start w:val="1"/>
      <w:numFmt w:val="bullet"/>
      <w:lvlText w:val=""/>
      <w:lvlJc w:val="left"/>
      <w:pPr>
        <w:ind w:left="2880" w:hanging="360"/>
      </w:pPr>
      <w:rPr>
        <w:rFonts w:ascii="Symbol" w:hAnsi="Symbol" w:hint="default"/>
      </w:rPr>
    </w:lvl>
    <w:lvl w:ilvl="4" w:tplc="5538BE54">
      <w:start w:val="1"/>
      <w:numFmt w:val="bullet"/>
      <w:lvlText w:val="o"/>
      <w:lvlJc w:val="left"/>
      <w:pPr>
        <w:ind w:left="3600" w:hanging="360"/>
      </w:pPr>
      <w:rPr>
        <w:rFonts w:ascii="Courier New" w:hAnsi="Courier New" w:hint="default"/>
      </w:rPr>
    </w:lvl>
    <w:lvl w:ilvl="5" w:tplc="3334AA10">
      <w:start w:val="1"/>
      <w:numFmt w:val="bullet"/>
      <w:lvlText w:val=""/>
      <w:lvlJc w:val="left"/>
      <w:pPr>
        <w:ind w:left="4320" w:hanging="360"/>
      </w:pPr>
      <w:rPr>
        <w:rFonts w:ascii="Wingdings" w:hAnsi="Wingdings" w:hint="default"/>
      </w:rPr>
    </w:lvl>
    <w:lvl w:ilvl="6" w:tplc="BD226340">
      <w:start w:val="1"/>
      <w:numFmt w:val="bullet"/>
      <w:lvlText w:val=""/>
      <w:lvlJc w:val="left"/>
      <w:pPr>
        <w:ind w:left="5040" w:hanging="360"/>
      </w:pPr>
      <w:rPr>
        <w:rFonts w:ascii="Symbol" w:hAnsi="Symbol" w:hint="default"/>
      </w:rPr>
    </w:lvl>
    <w:lvl w:ilvl="7" w:tplc="2E5E3788">
      <w:start w:val="1"/>
      <w:numFmt w:val="bullet"/>
      <w:lvlText w:val="o"/>
      <w:lvlJc w:val="left"/>
      <w:pPr>
        <w:ind w:left="5760" w:hanging="360"/>
      </w:pPr>
      <w:rPr>
        <w:rFonts w:ascii="Courier New" w:hAnsi="Courier New" w:hint="default"/>
      </w:rPr>
    </w:lvl>
    <w:lvl w:ilvl="8" w:tplc="E1BC6F60">
      <w:start w:val="1"/>
      <w:numFmt w:val="bullet"/>
      <w:lvlText w:val=""/>
      <w:lvlJc w:val="left"/>
      <w:pPr>
        <w:ind w:left="6480" w:hanging="360"/>
      </w:pPr>
      <w:rPr>
        <w:rFonts w:ascii="Wingdings" w:hAnsi="Wingdings" w:hint="default"/>
      </w:rPr>
    </w:lvl>
  </w:abstractNum>
  <w:abstractNum w:abstractNumId="20" w15:restartNumberingAfterBreak="0">
    <w:nsid w:val="5D927297"/>
    <w:multiLevelType w:val="hybridMultilevel"/>
    <w:tmpl w:val="50542F8A"/>
    <w:lvl w:ilvl="0" w:tplc="1C5E86B0">
      <w:start w:val="1"/>
      <w:numFmt w:val="bullet"/>
      <w:lvlText w:val=""/>
      <w:lvlJc w:val="left"/>
      <w:pPr>
        <w:ind w:left="720" w:hanging="360"/>
      </w:pPr>
      <w:rPr>
        <w:rFonts w:ascii="Symbol" w:hAnsi="Symbol" w:hint="default"/>
      </w:rPr>
    </w:lvl>
    <w:lvl w:ilvl="1" w:tplc="87B839AA">
      <w:start w:val="1"/>
      <w:numFmt w:val="bullet"/>
      <w:lvlText w:val="o"/>
      <w:lvlJc w:val="left"/>
      <w:pPr>
        <w:ind w:left="1440" w:hanging="360"/>
      </w:pPr>
      <w:rPr>
        <w:rFonts w:ascii="Courier New" w:hAnsi="Courier New" w:hint="default"/>
      </w:rPr>
    </w:lvl>
    <w:lvl w:ilvl="2" w:tplc="B3A8B752">
      <w:start w:val="1"/>
      <w:numFmt w:val="bullet"/>
      <w:lvlText w:val=""/>
      <w:lvlJc w:val="left"/>
      <w:pPr>
        <w:ind w:left="2160" w:hanging="360"/>
      </w:pPr>
      <w:rPr>
        <w:rFonts w:ascii="Wingdings" w:hAnsi="Wingdings" w:hint="default"/>
      </w:rPr>
    </w:lvl>
    <w:lvl w:ilvl="3" w:tplc="59D6EAF4">
      <w:start w:val="1"/>
      <w:numFmt w:val="bullet"/>
      <w:lvlText w:val=""/>
      <w:lvlJc w:val="left"/>
      <w:pPr>
        <w:ind w:left="2880" w:hanging="360"/>
      </w:pPr>
      <w:rPr>
        <w:rFonts w:ascii="Symbol" w:hAnsi="Symbol" w:hint="default"/>
      </w:rPr>
    </w:lvl>
    <w:lvl w:ilvl="4" w:tplc="2F205C56">
      <w:start w:val="1"/>
      <w:numFmt w:val="bullet"/>
      <w:lvlText w:val="o"/>
      <w:lvlJc w:val="left"/>
      <w:pPr>
        <w:ind w:left="3600" w:hanging="360"/>
      </w:pPr>
      <w:rPr>
        <w:rFonts w:ascii="Courier New" w:hAnsi="Courier New" w:hint="default"/>
      </w:rPr>
    </w:lvl>
    <w:lvl w:ilvl="5" w:tplc="D878F7EC">
      <w:start w:val="1"/>
      <w:numFmt w:val="bullet"/>
      <w:lvlText w:val=""/>
      <w:lvlJc w:val="left"/>
      <w:pPr>
        <w:ind w:left="4320" w:hanging="360"/>
      </w:pPr>
      <w:rPr>
        <w:rFonts w:ascii="Wingdings" w:hAnsi="Wingdings" w:hint="default"/>
      </w:rPr>
    </w:lvl>
    <w:lvl w:ilvl="6" w:tplc="CC7C2BD8">
      <w:start w:val="1"/>
      <w:numFmt w:val="bullet"/>
      <w:lvlText w:val=""/>
      <w:lvlJc w:val="left"/>
      <w:pPr>
        <w:ind w:left="5040" w:hanging="360"/>
      </w:pPr>
      <w:rPr>
        <w:rFonts w:ascii="Symbol" w:hAnsi="Symbol" w:hint="default"/>
      </w:rPr>
    </w:lvl>
    <w:lvl w:ilvl="7" w:tplc="7778B264">
      <w:start w:val="1"/>
      <w:numFmt w:val="bullet"/>
      <w:lvlText w:val="o"/>
      <w:lvlJc w:val="left"/>
      <w:pPr>
        <w:ind w:left="5760" w:hanging="360"/>
      </w:pPr>
      <w:rPr>
        <w:rFonts w:ascii="Courier New" w:hAnsi="Courier New" w:hint="default"/>
      </w:rPr>
    </w:lvl>
    <w:lvl w:ilvl="8" w:tplc="52EED80A">
      <w:start w:val="1"/>
      <w:numFmt w:val="bullet"/>
      <w:lvlText w:val=""/>
      <w:lvlJc w:val="left"/>
      <w:pPr>
        <w:ind w:left="6480" w:hanging="360"/>
      </w:pPr>
      <w:rPr>
        <w:rFonts w:ascii="Wingdings" w:hAnsi="Wingdings" w:hint="default"/>
      </w:rPr>
    </w:lvl>
  </w:abstractNum>
  <w:abstractNum w:abstractNumId="21" w15:restartNumberingAfterBreak="0">
    <w:nsid w:val="60D35B85"/>
    <w:multiLevelType w:val="hybridMultilevel"/>
    <w:tmpl w:val="78024108"/>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1B223B0"/>
    <w:multiLevelType w:val="hybridMultilevel"/>
    <w:tmpl w:val="7494DF82"/>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3F466B7"/>
    <w:multiLevelType w:val="hybridMultilevel"/>
    <w:tmpl w:val="15F49B50"/>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97F76A1"/>
    <w:multiLevelType w:val="multilevel"/>
    <w:tmpl w:val="1C6EF25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A325042"/>
    <w:multiLevelType w:val="hybridMultilevel"/>
    <w:tmpl w:val="2C96C0E4"/>
    <w:lvl w:ilvl="0" w:tplc="AE8A864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B6422DF"/>
    <w:multiLevelType w:val="hybridMultilevel"/>
    <w:tmpl w:val="59160D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CFA7CEA"/>
    <w:multiLevelType w:val="hybridMultilevel"/>
    <w:tmpl w:val="0A326D74"/>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FFD0E77"/>
    <w:multiLevelType w:val="multilevel"/>
    <w:tmpl w:val="327E54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7426566"/>
    <w:multiLevelType w:val="hybridMultilevel"/>
    <w:tmpl w:val="92008738"/>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8C97F69"/>
    <w:multiLevelType w:val="hybridMultilevel"/>
    <w:tmpl w:val="5164CF48"/>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3B033D"/>
    <w:multiLevelType w:val="multilevel"/>
    <w:tmpl w:val="3E3AC99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D4C279F"/>
    <w:multiLevelType w:val="hybridMultilevel"/>
    <w:tmpl w:val="DF9870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D9338CB"/>
    <w:multiLevelType w:val="hybridMultilevel"/>
    <w:tmpl w:val="D01A04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E4C0A84"/>
    <w:multiLevelType w:val="hybridMultilevel"/>
    <w:tmpl w:val="3328E70A"/>
    <w:lvl w:ilvl="0" w:tplc="B3A8B75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32093659">
    <w:abstractNumId w:val="25"/>
  </w:num>
  <w:num w:numId="2" w16cid:durableId="1709990434">
    <w:abstractNumId w:val="32"/>
  </w:num>
  <w:num w:numId="3" w16cid:durableId="2034842897">
    <w:abstractNumId w:val="3"/>
  </w:num>
  <w:num w:numId="4" w16cid:durableId="133955948">
    <w:abstractNumId w:val="31"/>
  </w:num>
  <w:num w:numId="5" w16cid:durableId="1207522280">
    <w:abstractNumId w:val="7"/>
  </w:num>
  <w:num w:numId="6" w16cid:durableId="1916889104">
    <w:abstractNumId w:val="33"/>
  </w:num>
  <w:num w:numId="7" w16cid:durableId="1045103463">
    <w:abstractNumId w:val="11"/>
  </w:num>
  <w:num w:numId="8" w16cid:durableId="593561986">
    <w:abstractNumId w:val="17"/>
  </w:num>
  <w:num w:numId="9" w16cid:durableId="371198731">
    <w:abstractNumId w:val="14"/>
  </w:num>
  <w:num w:numId="10" w16cid:durableId="1587693154">
    <w:abstractNumId w:val="26"/>
  </w:num>
  <w:num w:numId="11" w16cid:durableId="948977245">
    <w:abstractNumId w:val="2"/>
  </w:num>
  <w:num w:numId="12" w16cid:durableId="945963533">
    <w:abstractNumId w:val="20"/>
  </w:num>
  <w:num w:numId="13" w16cid:durableId="2116778453">
    <w:abstractNumId w:val="5"/>
  </w:num>
  <w:num w:numId="14" w16cid:durableId="1495995877">
    <w:abstractNumId w:val="19"/>
  </w:num>
  <w:num w:numId="15" w16cid:durableId="1177236031">
    <w:abstractNumId w:val="15"/>
  </w:num>
  <w:num w:numId="16" w16cid:durableId="758058631">
    <w:abstractNumId w:val="10"/>
  </w:num>
  <w:num w:numId="17" w16cid:durableId="1965499545">
    <w:abstractNumId w:val="24"/>
  </w:num>
  <w:num w:numId="18" w16cid:durableId="1036154608">
    <w:abstractNumId w:val="28"/>
  </w:num>
  <w:num w:numId="19" w16cid:durableId="1864662124">
    <w:abstractNumId w:val="0"/>
  </w:num>
  <w:num w:numId="20" w16cid:durableId="951521727">
    <w:abstractNumId w:val="16"/>
  </w:num>
  <w:num w:numId="21" w16cid:durableId="821390273">
    <w:abstractNumId w:val="6"/>
  </w:num>
  <w:num w:numId="22" w16cid:durableId="1667978434">
    <w:abstractNumId w:val="27"/>
  </w:num>
  <w:num w:numId="23" w16cid:durableId="177736837">
    <w:abstractNumId w:val="29"/>
  </w:num>
  <w:num w:numId="24" w16cid:durableId="1921282653">
    <w:abstractNumId w:val="4"/>
  </w:num>
  <w:num w:numId="25" w16cid:durableId="1432319860">
    <w:abstractNumId w:val="30"/>
  </w:num>
  <w:num w:numId="26" w16cid:durableId="1572737517">
    <w:abstractNumId w:val="21"/>
  </w:num>
  <w:num w:numId="27" w16cid:durableId="1618833578">
    <w:abstractNumId w:val="34"/>
  </w:num>
  <w:num w:numId="28" w16cid:durableId="309605020">
    <w:abstractNumId w:val="18"/>
  </w:num>
  <w:num w:numId="29" w16cid:durableId="838615439">
    <w:abstractNumId w:val="13"/>
  </w:num>
  <w:num w:numId="30" w16cid:durableId="1380937509">
    <w:abstractNumId w:val="12"/>
  </w:num>
  <w:num w:numId="31" w16cid:durableId="411392511">
    <w:abstractNumId w:val="22"/>
  </w:num>
  <w:num w:numId="32" w16cid:durableId="141779261">
    <w:abstractNumId w:val="9"/>
  </w:num>
  <w:num w:numId="33" w16cid:durableId="2112504186">
    <w:abstractNumId w:val="8"/>
  </w:num>
  <w:num w:numId="34" w16cid:durableId="1993833105">
    <w:abstractNumId w:val="23"/>
  </w:num>
  <w:num w:numId="35" w16cid:durableId="159281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5DF"/>
    <w:rsid w:val="00001C7A"/>
    <w:rsid w:val="00001CE5"/>
    <w:rsid w:val="00004E2A"/>
    <w:rsid w:val="000107B1"/>
    <w:rsid w:val="00013076"/>
    <w:rsid w:val="000206B5"/>
    <w:rsid w:val="000206CD"/>
    <w:rsid w:val="0002071A"/>
    <w:rsid w:val="00020F15"/>
    <w:rsid w:val="00021B46"/>
    <w:rsid w:val="0002618E"/>
    <w:rsid w:val="00032A99"/>
    <w:rsid w:val="00034FD9"/>
    <w:rsid w:val="00037B4B"/>
    <w:rsid w:val="000402FC"/>
    <w:rsid w:val="000411EC"/>
    <w:rsid w:val="00044905"/>
    <w:rsid w:val="00045018"/>
    <w:rsid w:val="00054E93"/>
    <w:rsid w:val="000558C7"/>
    <w:rsid w:val="00057601"/>
    <w:rsid w:val="0005783C"/>
    <w:rsid w:val="00061CEE"/>
    <w:rsid w:val="00065419"/>
    <w:rsid w:val="00066892"/>
    <w:rsid w:val="000668C3"/>
    <w:rsid w:val="00067B63"/>
    <w:rsid w:val="00077930"/>
    <w:rsid w:val="000838FB"/>
    <w:rsid w:val="00087A0D"/>
    <w:rsid w:val="00087A63"/>
    <w:rsid w:val="000901AB"/>
    <w:rsid w:val="00090B71"/>
    <w:rsid w:val="00091574"/>
    <w:rsid w:val="0009414F"/>
    <w:rsid w:val="000A050A"/>
    <w:rsid w:val="000A1FA5"/>
    <w:rsid w:val="000A64ED"/>
    <w:rsid w:val="000A7B1F"/>
    <w:rsid w:val="000B55B2"/>
    <w:rsid w:val="000C0BB6"/>
    <w:rsid w:val="000C2E64"/>
    <w:rsid w:val="000C3B22"/>
    <w:rsid w:val="000C4C6F"/>
    <w:rsid w:val="000C5E7D"/>
    <w:rsid w:val="000C7233"/>
    <w:rsid w:val="000D0C68"/>
    <w:rsid w:val="000D1D9D"/>
    <w:rsid w:val="000E1D0E"/>
    <w:rsid w:val="000E2ACE"/>
    <w:rsid w:val="000E2C51"/>
    <w:rsid w:val="000E3D9A"/>
    <w:rsid w:val="001028AC"/>
    <w:rsid w:val="00104A43"/>
    <w:rsid w:val="00105479"/>
    <w:rsid w:val="00105C3B"/>
    <w:rsid w:val="00107410"/>
    <w:rsid w:val="00116315"/>
    <w:rsid w:val="001175EA"/>
    <w:rsid w:val="0012029E"/>
    <w:rsid w:val="001240F7"/>
    <w:rsid w:val="001244B2"/>
    <w:rsid w:val="00130347"/>
    <w:rsid w:val="0013049B"/>
    <w:rsid w:val="0013446F"/>
    <w:rsid w:val="00135D4B"/>
    <w:rsid w:val="00136144"/>
    <w:rsid w:val="00145CCD"/>
    <w:rsid w:val="0014607A"/>
    <w:rsid w:val="00146755"/>
    <w:rsid w:val="001468DE"/>
    <w:rsid w:val="001473DF"/>
    <w:rsid w:val="00147A1A"/>
    <w:rsid w:val="00153043"/>
    <w:rsid w:val="00153E23"/>
    <w:rsid w:val="00153EAD"/>
    <w:rsid w:val="00155BEE"/>
    <w:rsid w:val="00160D01"/>
    <w:rsid w:val="00160EFD"/>
    <w:rsid w:val="00163286"/>
    <w:rsid w:val="00163EBB"/>
    <w:rsid w:val="00164A85"/>
    <w:rsid w:val="00171156"/>
    <w:rsid w:val="00173977"/>
    <w:rsid w:val="0017598B"/>
    <w:rsid w:val="001772D5"/>
    <w:rsid w:val="001813C3"/>
    <w:rsid w:val="00185657"/>
    <w:rsid w:val="001918D2"/>
    <w:rsid w:val="001938E3"/>
    <w:rsid w:val="00194881"/>
    <w:rsid w:val="00196129"/>
    <w:rsid w:val="00197E7B"/>
    <w:rsid w:val="001A1919"/>
    <w:rsid w:val="001A2B20"/>
    <w:rsid w:val="001A2EDF"/>
    <w:rsid w:val="001A62B4"/>
    <w:rsid w:val="001A6D90"/>
    <w:rsid w:val="001A6F79"/>
    <w:rsid w:val="001A7615"/>
    <w:rsid w:val="001B4585"/>
    <w:rsid w:val="001B4B00"/>
    <w:rsid w:val="001B7469"/>
    <w:rsid w:val="001C0015"/>
    <w:rsid w:val="001C1A39"/>
    <w:rsid w:val="001C4881"/>
    <w:rsid w:val="001C4EF9"/>
    <w:rsid w:val="001C7B8E"/>
    <w:rsid w:val="001D3CC0"/>
    <w:rsid w:val="001D44A6"/>
    <w:rsid w:val="001D5AEA"/>
    <w:rsid w:val="001D5CA2"/>
    <w:rsid w:val="001D635B"/>
    <w:rsid w:val="001D700B"/>
    <w:rsid w:val="001F4E10"/>
    <w:rsid w:val="001F6766"/>
    <w:rsid w:val="001F7B48"/>
    <w:rsid w:val="002011A3"/>
    <w:rsid w:val="00202646"/>
    <w:rsid w:val="0020273A"/>
    <w:rsid w:val="00205FC5"/>
    <w:rsid w:val="00206A34"/>
    <w:rsid w:val="0021028A"/>
    <w:rsid w:val="00211C71"/>
    <w:rsid w:val="0021233D"/>
    <w:rsid w:val="00213605"/>
    <w:rsid w:val="0021398F"/>
    <w:rsid w:val="0022035E"/>
    <w:rsid w:val="00220527"/>
    <w:rsid w:val="00222338"/>
    <w:rsid w:val="0022727C"/>
    <w:rsid w:val="00231A56"/>
    <w:rsid w:val="00231DC5"/>
    <w:rsid w:val="00231E64"/>
    <w:rsid w:val="00235CB3"/>
    <w:rsid w:val="00236DE2"/>
    <w:rsid w:val="002370B0"/>
    <w:rsid w:val="00240811"/>
    <w:rsid w:val="00241F88"/>
    <w:rsid w:val="002426E6"/>
    <w:rsid w:val="00250E16"/>
    <w:rsid w:val="002539B1"/>
    <w:rsid w:val="00256A8D"/>
    <w:rsid w:val="00257C8C"/>
    <w:rsid w:val="00257CE8"/>
    <w:rsid w:val="0026396B"/>
    <w:rsid w:val="00267E64"/>
    <w:rsid w:val="00270964"/>
    <w:rsid w:val="00273CBB"/>
    <w:rsid w:val="002749F4"/>
    <w:rsid w:val="00275954"/>
    <w:rsid w:val="00275C30"/>
    <w:rsid w:val="00284D21"/>
    <w:rsid w:val="00286348"/>
    <w:rsid w:val="0028636D"/>
    <w:rsid w:val="0029293D"/>
    <w:rsid w:val="00296FA1"/>
    <w:rsid w:val="002A39E3"/>
    <w:rsid w:val="002A5FB8"/>
    <w:rsid w:val="002A75B1"/>
    <w:rsid w:val="002A7CB7"/>
    <w:rsid w:val="002B7662"/>
    <w:rsid w:val="002C18A9"/>
    <w:rsid w:val="002C2432"/>
    <w:rsid w:val="002C3B57"/>
    <w:rsid w:val="002D023E"/>
    <w:rsid w:val="002D0991"/>
    <w:rsid w:val="002D1194"/>
    <w:rsid w:val="002D1B3A"/>
    <w:rsid w:val="002D4A6D"/>
    <w:rsid w:val="002D59EA"/>
    <w:rsid w:val="002D630B"/>
    <w:rsid w:val="002E0038"/>
    <w:rsid w:val="002E54C3"/>
    <w:rsid w:val="002E6925"/>
    <w:rsid w:val="002E721A"/>
    <w:rsid w:val="002F19D0"/>
    <w:rsid w:val="002F4044"/>
    <w:rsid w:val="002F51E2"/>
    <w:rsid w:val="002F5F11"/>
    <w:rsid w:val="003010B7"/>
    <w:rsid w:val="003012CA"/>
    <w:rsid w:val="00302E8E"/>
    <w:rsid w:val="00312302"/>
    <w:rsid w:val="00316285"/>
    <w:rsid w:val="00317E15"/>
    <w:rsid w:val="00317ECB"/>
    <w:rsid w:val="00321C03"/>
    <w:rsid w:val="00325AA9"/>
    <w:rsid w:val="00332A82"/>
    <w:rsid w:val="00333564"/>
    <w:rsid w:val="00334821"/>
    <w:rsid w:val="003372DA"/>
    <w:rsid w:val="003378B4"/>
    <w:rsid w:val="0034144E"/>
    <w:rsid w:val="00344953"/>
    <w:rsid w:val="00345D31"/>
    <w:rsid w:val="003469E3"/>
    <w:rsid w:val="0035537A"/>
    <w:rsid w:val="00356C21"/>
    <w:rsid w:val="00361D19"/>
    <w:rsid w:val="00365477"/>
    <w:rsid w:val="003676AA"/>
    <w:rsid w:val="003723F9"/>
    <w:rsid w:val="00376E06"/>
    <w:rsid w:val="003810CC"/>
    <w:rsid w:val="003831D2"/>
    <w:rsid w:val="0038337A"/>
    <w:rsid w:val="00385FE9"/>
    <w:rsid w:val="00386F2A"/>
    <w:rsid w:val="00392508"/>
    <w:rsid w:val="00394CEE"/>
    <w:rsid w:val="003A0F4D"/>
    <w:rsid w:val="003A7587"/>
    <w:rsid w:val="003B40EB"/>
    <w:rsid w:val="003B772C"/>
    <w:rsid w:val="003C1138"/>
    <w:rsid w:val="003C1267"/>
    <w:rsid w:val="003C243E"/>
    <w:rsid w:val="003C43A2"/>
    <w:rsid w:val="003C4E1B"/>
    <w:rsid w:val="003D0386"/>
    <w:rsid w:val="003D3986"/>
    <w:rsid w:val="003D4696"/>
    <w:rsid w:val="003D5E71"/>
    <w:rsid w:val="003E1382"/>
    <w:rsid w:val="003E4AEE"/>
    <w:rsid w:val="003F07B6"/>
    <w:rsid w:val="003F14EB"/>
    <w:rsid w:val="003F1B3E"/>
    <w:rsid w:val="003F7081"/>
    <w:rsid w:val="00403025"/>
    <w:rsid w:val="00412EEC"/>
    <w:rsid w:val="004159DB"/>
    <w:rsid w:val="004178EF"/>
    <w:rsid w:val="00421206"/>
    <w:rsid w:val="00421B38"/>
    <w:rsid w:val="00426A69"/>
    <w:rsid w:val="00426CC2"/>
    <w:rsid w:val="00430AFE"/>
    <w:rsid w:val="0043133C"/>
    <w:rsid w:val="00434101"/>
    <w:rsid w:val="00441AA3"/>
    <w:rsid w:val="00442755"/>
    <w:rsid w:val="004459D8"/>
    <w:rsid w:val="00452407"/>
    <w:rsid w:val="00464C4A"/>
    <w:rsid w:val="00466D6D"/>
    <w:rsid w:val="00473ABB"/>
    <w:rsid w:val="00474931"/>
    <w:rsid w:val="00474D4E"/>
    <w:rsid w:val="00474F74"/>
    <w:rsid w:val="00476366"/>
    <w:rsid w:val="00482307"/>
    <w:rsid w:val="00483A65"/>
    <w:rsid w:val="004873E6"/>
    <w:rsid w:val="00490A94"/>
    <w:rsid w:val="00491309"/>
    <w:rsid w:val="004929AF"/>
    <w:rsid w:val="00496FDA"/>
    <w:rsid w:val="0049799C"/>
    <w:rsid w:val="004A03E3"/>
    <w:rsid w:val="004A0CFF"/>
    <w:rsid w:val="004A1916"/>
    <w:rsid w:val="004A510F"/>
    <w:rsid w:val="004B5FB9"/>
    <w:rsid w:val="004C1CB6"/>
    <w:rsid w:val="004C1F18"/>
    <w:rsid w:val="004C28C1"/>
    <w:rsid w:val="004D06DA"/>
    <w:rsid w:val="004D16EB"/>
    <w:rsid w:val="004D1B21"/>
    <w:rsid w:val="004D1F14"/>
    <w:rsid w:val="004D3B6A"/>
    <w:rsid w:val="004D3DE5"/>
    <w:rsid w:val="004E6188"/>
    <w:rsid w:val="004F03A4"/>
    <w:rsid w:val="004F0840"/>
    <w:rsid w:val="004F1810"/>
    <w:rsid w:val="004F2549"/>
    <w:rsid w:val="004F3427"/>
    <w:rsid w:val="004F3EF3"/>
    <w:rsid w:val="004F5076"/>
    <w:rsid w:val="004F69AE"/>
    <w:rsid w:val="004F7BE2"/>
    <w:rsid w:val="00503C08"/>
    <w:rsid w:val="0050595E"/>
    <w:rsid w:val="00505FE6"/>
    <w:rsid w:val="005102F6"/>
    <w:rsid w:val="00510912"/>
    <w:rsid w:val="005156B9"/>
    <w:rsid w:val="00515B74"/>
    <w:rsid w:val="00516E4C"/>
    <w:rsid w:val="00520F04"/>
    <w:rsid w:val="00525AB0"/>
    <w:rsid w:val="00526E01"/>
    <w:rsid w:val="0053034C"/>
    <w:rsid w:val="00530364"/>
    <w:rsid w:val="00532A0D"/>
    <w:rsid w:val="005334E6"/>
    <w:rsid w:val="00534210"/>
    <w:rsid w:val="00535B10"/>
    <w:rsid w:val="00540731"/>
    <w:rsid w:val="0054121C"/>
    <w:rsid w:val="00541480"/>
    <w:rsid w:val="005422E9"/>
    <w:rsid w:val="00543B4C"/>
    <w:rsid w:val="00547647"/>
    <w:rsid w:val="005536C9"/>
    <w:rsid w:val="00562829"/>
    <w:rsid w:val="00562AB0"/>
    <w:rsid w:val="00562B29"/>
    <w:rsid w:val="00563DCF"/>
    <w:rsid w:val="00564EB1"/>
    <w:rsid w:val="00570D29"/>
    <w:rsid w:val="0057249F"/>
    <w:rsid w:val="00574207"/>
    <w:rsid w:val="00574E04"/>
    <w:rsid w:val="00576088"/>
    <w:rsid w:val="005814FE"/>
    <w:rsid w:val="00583D86"/>
    <w:rsid w:val="00592BC6"/>
    <w:rsid w:val="00595B86"/>
    <w:rsid w:val="00597C1A"/>
    <w:rsid w:val="005A1992"/>
    <w:rsid w:val="005A66A1"/>
    <w:rsid w:val="005B210E"/>
    <w:rsid w:val="005B4895"/>
    <w:rsid w:val="005C2BC4"/>
    <w:rsid w:val="005C3A92"/>
    <w:rsid w:val="005C3C71"/>
    <w:rsid w:val="005C5FC8"/>
    <w:rsid w:val="005D0643"/>
    <w:rsid w:val="005D28EE"/>
    <w:rsid w:val="005D491B"/>
    <w:rsid w:val="005E1354"/>
    <w:rsid w:val="005E3164"/>
    <w:rsid w:val="005E3B1E"/>
    <w:rsid w:val="005F089D"/>
    <w:rsid w:val="005F13D0"/>
    <w:rsid w:val="005F2229"/>
    <w:rsid w:val="005F3C11"/>
    <w:rsid w:val="005F6E8B"/>
    <w:rsid w:val="00601A08"/>
    <w:rsid w:val="00601F2E"/>
    <w:rsid w:val="006076A2"/>
    <w:rsid w:val="006102D1"/>
    <w:rsid w:val="00611CBE"/>
    <w:rsid w:val="0061488F"/>
    <w:rsid w:val="00616712"/>
    <w:rsid w:val="00621872"/>
    <w:rsid w:val="00621F6E"/>
    <w:rsid w:val="006228D1"/>
    <w:rsid w:val="00622C73"/>
    <w:rsid w:val="00624941"/>
    <w:rsid w:val="0062636B"/>
    <w:rsid w:val="00631A8D"/>
    <w:rsid w:val="0063318D"/>
    <w:rsid w:val="00636DE2"/>
    <w:rsid w:val="00637322"/>
    <w:rsid w:val="006374E0"/>
    <w:rsid w:val="00640815"/>
    <w:rsid w:val="00643E49"/>
    <w:rsid w:val="00647418"/>
    <w:rsid w:val="006536EF"/>
    <w:rsid w:val="00655BA6"/>
    <w:rsid w:val="00656489"/>
    <w:rsid w:val="006610C2"/>
    <w:rsid w:val="00662AD3"/>
    <w:rsid w:val="00673B43"/>
    <w:rsid w:val="00674A01"/>
    <w:rsid w:val="006766D5"/>
    <w:rsid w:val="00676D2A"/>
    <w:rsid w:val="00694D01"/>
    <w:rsid w:val="0069723C"/>
    <w:rsid w:val="006973A5"/>
    <w:rsid w:val="006B014D"/>
    <w:rsid w:val="006B0657"/>
    <w:rsid w:val="006B120B"/>
    <w:rsid w:val="006B56D7"/>
    <w:rsid w:val="006C007F"/>
    <w:rsid w:val="006D1956"/>
    <w:rsid w:val="006D4096"/>
    <w:rsid w:val="006D65EA"/>
    <w:rsid w:val="006E0286"/>
    <w:rsid w:val="006E1286"/>
    <w:rsid w:val="006E6BCF"/>
    <w:rsid w:val="006F04EE"/>
    <w:rsid w:val="006F1BDD"/>
    <w:rsid w:val="006F5BE2"/>
    <w:rsid w:val="006F614A"/>
    <w:rsid w:val="006F76E4"/>
    <w:rsid w:val="007021E2"/>
    <w:rsid w:val="00706183"/>
    <w:rsid w:val="00706616"/>
    <w:rsid w:val="00707240"/>
    <w:rsid w:val="0070761E"/>
    <w:rsid w:val="00710B34"/>
    <w:rsid w:val="00711CB7"/>
    <w:rsid w:val="007126BB"/>
    <w:rsid w:val="00712BE2"/>
    <w:rsid w:val="007156F9"/>
    <w:rsid w:val="0071583C"/>
    <w:rsid w:val="00716780"/>
    <w:rsid w:val="00717C13"/>
    <w:rsid w:val="00720D8F"/>
    <w:rsid w:val="007212D7"/>
    <w:rsid w:val="00725FAE"/>
    <w:rsid w:val="00726823"/>
    <w:rsid w:val="00732D0E"/>
    <w:rsid w:val="0073377B"/>
    <w:rsid w:val="007370DB"/>
    <w:rsid w:val="00737A62"/>
    <w:rsid w:val="0074050A"/>
    <w:rsid w:val="00743F67"/>
    <w:rsid w:val="007452C4"/>
    <w:rsid w:val="007458EE"/>
    <w:rsid w:val="0074593A"/>
    <w:rsid w:val="00747133"/>
    <w:rsid w:val="00754FB9"/>
    <w:rsid w:val="00761110"/>
    <w:rsid w:val="0076315C"/>
    <w:rsid w:val="00764D1E"/>
    <w:rsid w:val="007679E4"/>
    <w:rsid w:val="00770328"/>
    <w:rsid w:val="00770F37"/>
    <w:rsid w:val="0078153E"/>
    <w:rsid w:val="0078461C"/>
    <w:rsid w:val="007870DE"/>
    <w:rsid w:val="007875DF"/>
    <w:rsid w:val="007906CD"/>
    <w:rsid w:val="007936F4"/>
    <w:rsid w:val="007976E3"/>
    <w:rsid w:val="007A06AB"/>
    <w:rsid w:val="007A0FC7"/>
    <w:rsid w:val="007A5EA9"/>
    <w:rsid w:val="007B3934"/>
    <w:rsid w:val="007B6371"/>
    <w:rsid w:val="007C1988"/>
    <w:rsid w:val="007C7ADF"/>
    <w:rsid w:val="007D16A4"/>
    <w:rsid w:val="007D1A1C"/>
    <w:rsid w:val="007D75F0"/>
    <w:rsid w:val="007E2517"/>
    <w:rsid w:val="007E3777"/>
    <w:rsid w:val="007E50E8"/>
    <w:rsid w:val="007E6E6A"/>
    <w:rsid w:val="007E7EC3"/>
    <w:rsid w:val="007F326A"/>
    <w:rsid w:val="007F3ED4"/>
    <w:rsid w:val="007F589C"/>
    <w:rsid w:val="0080072C"/>
    <w:rsid w:val="00801086"/>
    <w:rsid w:val="00806912"/>
    <w:rsid w:val="00807AEB"/>
    <w:rsid w:val="0081079E"/>
    <w:rsid w:val="00811645"/>
    <w:rsid w:val="00817D2E"/>
    <w:rsid w:val="0082362E"/>
    <w:rsid w:val="00826516"/>
    <w:rsid w:val="0083095F"/>
    <w:rsid w:val="00831F91"/>
    <w:rsid w:val="00833545"/>
    <w:rsid w:val="00834F2D"/>
    <w:rsid w:val="00837781"/>
    <w:rsid w:val="0084084A"/>
    <w:rsid w:val="00844CB7"/>
    <w:rsid w:val="00844FE2"/>
    <w:rsid w:val="00852CC4"/>
    <w:rsid w:val="008538F0"/>
    <w:rsid w:val="008575F6"/>
    <w:rsid w:val="008610B8"/>
    <w:rsid w:val="00862CF6"/>
    <w:rsid w:val="00864065"/>
    <w:rsid w:val="00872E6C"/>
    <w:rsid w:val="00875AD4"/>
    <w:rsid w:val="008800CD"/>
    <w:rsid w:val="008852DD"/>
    <w:rsid w:val="00890368"/>
    <w:rsid w:val="0089338B"/>
    <w:rsid w:val="00895685"/>
    <w:rsid w:val="008A1759"/>
    <w:rsid w:val="008A478E"/>
    <w:rsid w:val="008A4D22"/>
    <w:rsid w:val="008A7F33"/>
    <w:rsid w:val="008B2785"/>
    <w:rsid w:val="008B3D14"/>
    <w:rsid w:val="008B5F44"/>
    <w:rsid w:val="008B6400"/>
    <w:rsid w:val="008B799E"/>
    <w:rsid w:val="008C0B82"/>
    <w:rsid w:val="008C77AA"/>
    <w:rsid w:val="008C7AA5"/>
    <w:rsid w:val="008C7F5A"/>
    <w:rsid w:val="008D01F7"/>
    <w:rsid w:val="008D4AC2"/>
    <w:rsid w:val="008E0144"/>
    <w:rsid w:val="008E0F5B"/>
    <w:rsid w:val="008E7CBE"/>
    <w:rsid w:val="008F2B9A"/>
    <w:rsid w:val="008F5277"/>
    <w:rsid w:val="008F7A82"/>
    <w:rsid w:val="008F7B96"/>
    <w:rsid w:val="009037CD"/>
    <w:rsid w:val="00903B59"/>
    <w:rsid w:val="009073BF"/>
    <w:rsid w:val="00911891"/>
    <w:rsid w:val="009160A6"/>
    <w:rsid w:val="009200D1"/>
    <w:rsid w:val="00922D55"/>
    <w:rsid w:val="00926386"/>
    <w:rsid w:val="00927595"/>
    <w:rsid w:val="009300A1"/>
    <w:rsid w:val="009311A2"/>
    <w:rsid w:val="009321AF"/>
    <w:rsid w:val="009355A3"/>
    <w:rsid w:val="00937AAB"/>
    <w:rsid w:val="00937E52"/>
    <w:rsid w:val="00951F00"/>
    <w:rsid w:val="00954769"/>
    <w:rsid w:val="009551F9"/>
    <w:rsid w:val="00961D24"/>
    <w:rsid w:val="00963C5B"/>
    <w:rsid w:val="00964C60"/>
    <w:rsid w:val="00971BB2"/>
    <w:rsid w:val="009773EA"/>
    <w:rsid w:val="0098658C"/>
    <w:rsid w:val="009901A5"/>
    <w:rsid w:val="00990AEC"/>
    <w:rsid w:val="00993020"/>
    <w:rsid w:val="00994D38"/>
    <w:rsid w:val="00996239"/>
    <w:rsid w:val="00996750"/>
    <w:rsid w:val="0099745E"/>
    <w:rsid w:val="009B23FD"/>
    <w:rsid w:val="009B3D81"/>
    <w:rsid w:val="009B58C1"/>
    <w:rsid w:val="009B67ED"/>
    <w:rsid w:val="009C01B6"/>
    <w:rsid w:val="009C0CB1"/>
    <w:rsid w:val="009C3181"/>
    <w:rsid w:val="009C4EE4"/>
    <w:rsid w:val="009D0F1C"/>
    <w:rsid w:val="009D1CED"/>
    <w:rsid w:val="009D2B53"/>
    <w:rsid w:val="009E49CF"/>
    <w:rsid w:val="009E6E83"/>
    <w:rsid w:val="009E74B3"/>
    <w:rsid w:val="009F031F"/>
    <w:rsid w:val="009F26BA"/>
    <w:rsid w:val="009F75A5"/>
    <w:rsid w:val="00A01BA2"/>
    <w:rsid w:val="00A043EA"/>
    <w:rsid w:val="00A0486D"/>
    <w:rsid w:val="00A100B4"/>
    <w:rsid w:val="00A142BB"/>
    <w:rsid w:val="00A21515"/>
    <w:rsid w:val="00A23A24"/>
    <w:rsid w:val="00A241CB"/>
    <w:rsid w:val="00A34053"/>
    <w:rsid w:val="00A373E2"/>
    <w:rsid w:val="00A40199"/>
    <w:rsid w:val="00A42670"/>
    <w:rsid w:val="00A5039D"/>
    <w:rsid w:val="00A522B4"/>
    <w:rsid w:val="00A53727"/>
    <w:rsid w:val="00A54931"/>
    <w:rsid w:val="00A56E74"/>
    <w:rsid w:val="00A60E9A"/>
    <w:rsid w:val="00A61586"/>
    <w:rsid w:val="00A61AB9"/>
    <w:rsid w:val="00A624C3"/>
    <w:rsid w:val="00A631BE"/>
    <w:rsid w:val="00A6513D"/>
    <w:rsid w:val="00A7090E"/>
    <w:rsid w:val="00A7503B"/>
    <w:rsid w:val="00A77B28"/>
    <w:rsid w:val="00A80DB0"/>
    <w:rsid w:val="00A934A4"/>
    <w:rsid w:val="00A93E83"/>
    <w:rsid w:val="00AA2F8F"/>
    <w:rsid w:val="00AA2FA9"/>
    <w:rsid w:val="00AA5384"/>
    <w:rsid w:val="00AB0120"/>
    <w:rsid w:val="00AB048B"/>
    <w:rsid w:val="00AB0912"/>
    <w:rsid w:val="00AB1DBA"/>
    <w:rsid w:val="00AC0201"/>
    <w:rsid w:val="00AC12E6"/>
    <w:rsid w:val="00AD1682"/>
    <w:rsid w:val="00AD225A"/>
    <w:rsid w:val="00AD5241"/>
    <w:rsid w:val="00AD6C47"/>
    <w:rsid w:val="00AE0278"/>
    <w:rsid w:val="00AE2F75"/>
    <w:rsid w:val="00AE37DD"/>
    <w:rsid w:val="00AE6299"/>
    <w:rsid w:val="00AE7FD5"/>
    <w:rsid w:val="00AF1FE7"/>
    <w:rsid w:val="00AF73B1"/>
    <w:rsid w:val="00B01728"/>
    <w:rsid w:val="00B03826"/>
    <w:rsid w:val="00B100B2"/>
    <w:rsid w:val="00B116D3"/>
    <w:rsid w:val="00B12DE8"/>
    <w:rsid w:val="00B1370B"/>
    <w:rsid w:val="00B211EB"/>
    <w:rsid w:val="00B22313"/>
    <w:rsid w:val="00B25568"/>
    <w:rsid w:val="00B4031F"/>
    <w:rsid w:val="00B41D3D"/>
    <w:rsid w:val="00B457A0"/>
    <w:rsid w:val="00B47218"/>
    <w:rsid w:val="00B5058D"/>
    <w:rsid w:val="00B519B8"/>
    <w:rsid w:val="00B52A55"/>
    <w:rsid w:val="00B53175"/>
    <w:rsid w:val="00B55F17"/>
    <w:rsid w:val="00B56FC2"/>
    <w:rsid w:val="00B631A9"/>
    <w:rsid w:val="00B6391A"/>
    <w:rsid w:val="00B650BD"/>
    <w:rsid w:val="00B65D91"/>
    <w:rsid w:val="00B704C1"/>
    <w:rsid w:val="00B733DF"/>
    <w:rsid w:val="00B74534"/>
    <w:rsid w:val="00B764BD"/>
    <w:rsid w:val="00B80B59"/>
    <w:rsid w:val="00B81598"/>
    <w:rsid w:val="00B82742"/>
    <w:rsid w:val="00B963CD"/>
    <w:rsid w:val="00BA0B53"/>
    <w:rsid w:val="00BA2949"/>
    <w:rsid w:val="00BA553B"/>
    <w:rsid w:val="00BB6546"/>
    <w:rsid w:val="00BC0084"/>
    <w:rsid w:val="00BC4927"/>
    <w:rsid w:val="00BC6822"/>
    <w:rsid w:val="00BD00EB"/>
    <w:rsid w:val="00BD06D7"/>
    <w:rsid w:val="00BD1B67"/>
    <w:rsid w:val="00BD2276"/>
    <w:rsid w:val="00BE302B"/>
    <w:rsid w:val="00BE5A29"/>
    <w:rsid w:val="00BE5A98"/>
    <w:rsid w:val="00BE79A6"/>
    <w:rsid w:val="00BF18C2"/>
    <w:rsid w:val="00BF200D"/>
    <w:rsid w:val="00BF2C4D"/>
    <w:rsid w:val="00BF323C"/>
    <w:rsid w:val="00BF45FC"/>
    <w:rsid w:val="00BF617B"/>
    <w:rsid w:val="00C03B3B"/>
    <w:rsid w:val="00C049EE"/>
    <w:rsid w:val="00C100D2"/>
    <w:rsid w:val="00C13EDA"/>
    <w:rsid w:val="00C205BE"/>
    <w:rsid w:val="00C235F9"/>
    <w:rsid w:val="00C2378A"/>
    <w:rsid w:val="00C264CB"/>
    <w:rsid w:val="00C27D2C"/>
    <w:rsid w:val="00C31969"/>
    <w:rsid w:val="00C33798"/>
    <w:rsid w:val="00C351F0"/>
    <w:rsid w:val="00C36BAA"/>
    <w:rsid w:val="00C45324"/>
    <w:rsid w:val="00C454EA"/>
    <w:rsid w:val="00C47E91"/>
    <w:rsid w:val="00C50B9F"/>
    <w:rsid w:val="00C542AF"/>
    <w:rsid w:val="00C55C9D"/>
    <w:rsid w:val="00C61D13"/>
    <w:rsid w:val="00C63242"/>
    <w:rsid w:val="00C66222"/>
    <w:rsid w:val="00C84DF6"/>
    <w:rsid w:val="00C91C5C"/>
    <w:rsid w:val="00C958F3"/>
    <w:rsid w:val="00C96A74"/>
    <w:rsid w:val="00CA1474"/>
    <w:rsid w:val="00CA4E08"/>
    <w:rsid w:val="00CA5C40"/>
    <w:rsid w:val="00CB1222"/>
    <w:rsid w:val="00CB5EC4"/>
    <w:rsid w:val="00CB6006"/>
    <w:rsid w:val="00CB753D"/>
    <w:rsid w:val="00CC2A70"/>
    <w:rsid w:val="00CC4115"/>
    <w:rsid w:val="00CC483B"/>
    <w:rsid w:val="00CC701D"/>
    <w:rsid w:val="00CD384F"/>
    <w:rsid w:val="00CE59F5"/>
    <w:rsid w:val="00CE70E2"/>
    <w:rsid w:val="00CF04D7"/>
    <w:rsid w:val="00CF1A4C"/>
    <w:rsid w:val="00CF591C"/>
    <w:rsid w:val="00CF6021"/>
    <w:rsid w:val="00CF6D6B"/>
    <w:rsid w:val="00D0092B"/>
    <w:rsid w:val="00D010B9"/>
    <w:rsid w:val="00D03F25"/>
    <w:rsid w:val="00D0633E"/>
    <w:rsid w:val="00D06B92"/>
    <w:rsid w:val="00D0707F"/>
    <w:rsid w:val="00D12C30"/>
    <w:rsid w:val="00D13589"/>
    <w:rsid w:val="00D22C8E"/>
    <w:rsid w:val="00D23707"/>
    <w:rsid w:val="00D343F9"/>
    <w:rsid w:val="00D34A60"/>
    <w:rsid w:val="00D3612D"/>
    <w:rsid w:val="00D43A64"/>
    <w:rsid w:val="00D45028"/>
    <w:rsid w:val="00D470FD"/>
    <w:rsid w:val="00D62FFA"/>
    <w:rsid w:val="00D64F0D"/>
    <w:rsid w:val="00D655CE"/>
    <w:rsid w:val="00D711E6"/>
    <w:rsid w:val="00D71B9D"/>
    <w:rsid w:val="00D72B63"/>
    <w:rsid w:val="00D73837"/>
    <w:rsid w:val="00D74372"/>
    <w:rsid w:val="00D7453F"/>
    <w:rsid w:val="00D81533"/>
    <w:rsid w:val="00D82C5B"/>
    <w:rsid w:val="00D8494F"/>
    <w:rsid w:val="00D85CA5"/>
    <w:rsid w:val="00D862E3"/>
    <w:rsid w:val="00D9085F"/>
    <w:rsid w:val="00D953B0"/>
    <w:rsid w:val="00DA190A"/>
    <w:rsid w:val="00DA2629"/>
    <w:rsid w:val="00DA4099"/>
    <w:rsid w:val="00DA4FF4"/>
    <w:rsid w:val="00DA79F2"/>
    <w:rsid w:val="00DB1161"/>
    <w:rsid w:val="00DB11C7"/>
    <w:rsid w:val="00DB28EB"/>
    <w:rsid w:val="00DB4791"/>
    <w:rsid w:val="00DB5956"/>
    <w:rsid w:val="00DB7AD2"/>
    <w:rsid w:val="00DC0853"/>
    <w:rsid w:val="00DC174B"/>
    <w:rsid w:val="00DC2E7A"/>
    <w:rsid w:val="00DC3250"/>
    <w:rsid w:val="00DC34C0"/>
    <w:rsid w:val="00DC57CE"/>
    <w:rsid w:val="00DC5B9F"/>
    <w:rsid w:val="00DC686B"/>
    <w:rsid w:val="00DC76DD"/>
    <w:rsid w:val="00DD12D4"/>
    <w:rsid w:val="00DD3A96"/>
    <w:rsid w:val="00DE6139"/>
    <w:rsid w:val="00DF07E5"/>
    <w:rsid w:val="00DF1BC8"/>
    <w:rsid w:val="00DF4345"/>
    <w:rsid w:val="00DF5586"/>
    <w:rsid w:val="00DF6ED9"/>
    <w:rsid w:val="00DF7D20"/>
    <w:rsid w:val="00E00F31"/>
    <w:rsid w:val="00E034B7"/>
    <w:rsid w:val="00E03920"/>
    <w:rsid w:val="00E07416"/>
    <w:rsid w:val="00E10278"/>
    <w:rsid w:val="00E1049E"/>
    <w:rsid w:val="00E11BFE"/>
    <w:rsid w:val="00E12387"/>
    <w:rsid w:val="00E12862"/>
    <w:rsid w:val="00E1384B"/>
    <w:rsid w:val="00E14E4E"/>
    <w:rsid w:val="00E151D0"/>
    <w:rsid w:val="00E2150D"/>
    <w:rsid w:val="00E256FC"/>
    <w:rsid w:val="00E340FF"/>
    <w:rsid w:val="00E35AC8"/>
    <w:rsid w:val="00E513C0"/>
    <w:rsid w:val="00E51DFD"/>
    <w:rsid w:val="00E5762B"/>
    <w:rsid w:val="00E60FD4"/>
    <w:rsid w:val="00E61803"/>
    <w:rsid w:val="00E6429D"/>
    <w:rsid w:val="00E64677"/>
    <w:rsid w:val="00E65DFF"/>
    <w:rsid w:val="00E675F3"/>
    <w:rsid w:val="00E71F67"/>
    <w:rsid w:val="00E72135"/>
    <w:rsid w:val="00E81876"/>
    <w:rsid w:val="00E8406C"/>
    <w:rsid w:val="00E96F77"/>
    <w:rsid w:val="00E97768"/>
    <w:rsid w:val="00EA095F"/>
    <w:rsid w:val="00EA2794"/>
    <w:rsid w:val="00EA5922"/>
    <w:rsid w:val="00EA771C"/>
    <w:rsid w:val="00EB6653"/>
    <w:rsid w:val="00EC1E80"/>
    <w:rsid w:val="00EC31E3"/>
    <w:rsid w:val="00EC3FC4"/>
    <w:rsid w:val="00EC572F"/>
    <w:rsid w:val="00EC6A31"/>
    <w:rsid w:val="00EC77EF"/>
    <w:rsid w:val="00ED0D16"/>
    <w:rsid w:val="00ED4059"/>
    <w:rsid w:val="00ED6415"/>
    <w:rsid w:val="00EE1503"/>
    <w:rsid w:val="00EE1512"/>
    <w:rsid w:val="00EE704C"/>
    <w:rsid w:val="00EF1D0C"/>
    <w:rsid w:val="00EF5014"/>
    <w:rsid w:val="00EF63CE"/>
    <w:rsid w:val="00F01336"/>
    <w:rsid w:val="00F02B1F"/>
    <w:rsid w:val="00F062AA"/>
    <w:rsid w:val="00F072B8"/>
    <w:rsid w:val="00F113C0"/>
    <w:rsid w:val="00F1344A"/>
    <w:rsid w:val="00F155E7"/>
    <w:rsid w:val="00F16202"/>
    <w:rsid w:val="00F16E98"/>
    <w:rsid w:val="00F1701C"/>
    <w:rsid w:val="00F3297A"/>
    <w:rsid w:val="00F32CF6"/>
    <w:rsid w:val="00F34045"/>
    <w:rsid w:val="00F34F64"/>
    <w:rsid w:val="00F42364"/>
    <w:rsid w:val="00F42C81"/>
    <w:rsid w:val="00F4442D"/>
    <w:rsid w:val="00F45550"/>
    <w:rsid w:val="00F456CE"/>
    <w:rsid w:val="00F45F75"/>
    <w:rsid w:val="00F468BF"/>
    <w:rsid w:val="00F50A9E"/>
    <w:rsid w:val="00F57F0F"/>
    <w:rsid w:val="00F6682D"/>
    <w:rsid w:val="00F705E2"/>
    <w:rsid w:val="00F73296"/>
    <w:rsid w:val="00F7601A"/>
    <w:rsid w:val="00F769C0"/>
    <w:rsid w:val="00F874CF"/>
    <w:rsid w:val="00F90AF0"/>
    <w:rsid w:val="00F9102B"/>
    <w:rsid w:val="00F9319A"/>
    <w:rsid w:val="00F941FC"/>
    <w:rsid w:val="00F94651"/>
    <w:rsid w:val="00F948E5"/>
    <w:rsid w:val="00F961EC"/>
    <w:rsid w:val="00FA4362"/>
    <w:rsid w:val="00FA52FF"/>
    <w:rsid w:val="00FA7500"/>
    <w:rsid w:val="00FB2077"/>
    <w:rsid w:val="00FB3061"/>
    <w:rsid w:val="00FB3665"/>
    <w:rsid w:val="00FB57F5"/>
    <w:rsid w:val="00FB6DB6"/>
    <w:rsid w:val="00FB78A7"/>
    <w:rsid w:val="00FB79F1"/>
    <w:rsid w:val="00FB7D7F"/>
    <w:rsid w:val="00FC01B7"/>
    <w:rsid w:val="00FC2CE3"/>
    <w:rsid w:val="00FC6A81"/>
    <w:rsid w:val="00FD3880"/>
    <w:rsid w:val="00FD66A5"/>
    <w:rsid w:val="00FF2AEC"/>
    <w:rsid w:val="00FF65D8"/>
    <w:rsid w:val="08215407"/>
    <w:rsid w:val="0A2D7206"/>
    <w:rsid w:val="0B058A88"/>
    <w:rsid w:val="0C61B8CA"/>
    <w:rsid w:val="0E72A249"/>
    <w:rsid w:val="0F74DD3C"/>
    <w:rsid w:val="10D7E96A"/>
    <w:rsid w:val="16B0F275"/>
    <w:rsid w:val="1D30761E"/>
    <w:rsid w:val="1EE4C250"/>
    <w:rsid w:val="2241D24C"/>
    <w:rsid w:val="25C663AC"/>
    <w:rsid w:val="26429BAB"/>
    <w:rsid w:val="2894C6D8"/>
    <w:rsid w:val="292FBACC"/>
    <w:rsid w:val="2970CDC5"/>
    <w:rsid w:val="2B1027B1"/>
    <w:rsid w:val="2EDCF337"/>
    <w:rsid w:val="306731B5"/>
    <w:rsid w:val="32660152"/>
    <w:rsid w:val="346A24F4"/>
    <w:rsid w:val="35D229E3"/>
    <w:rsid w:val="385A101D"/>
    <w:rsid w:val="38D6C581"/>
    <w:rsid w:val="39BEDA1E"/>
    <w:rsid w:val="3A5028BF"/>
    <w:rsid w:val="4194134B"/>
    <w:rsid w:val="420935D8"/>
    <w:rsid w:val="4EE48169"/>
    <w:rsid w:val="4F026282"/>
    <w:rsid w:val="51846997"/>
    <w:rsid w:val="52E8F533"/>
    <w:rsid w:val="544069D5"/>
    <w:rsid w:val="544343FF"/>
    <w:rsid w:val="5A53C7D7"/>
    <w:rsid w:val="5BA00E6D"/>
    <w:rsid w:val="5D62BA8B"/>
    <w:rsid w:val="61A71C27"/>
    <w:rsid w:val="61B12D99"/>
    <w:rsid w:val="61D4ACA0"/>
    <w:rsid w:val="6278E461"/>
    <w:rsid w:val="648B7396"/>
    <w:rsid w:val="690600A1"/>
    <w:rsid w:val="6B487156"/>
    <w:rsid w:val="6C357DFD"/>
    <w:rsid w:val="6ECBDD6C"/>
    <w:rsid w:val="729873BB"/>
    <w:rsid w:val="72C38DC1"/>
    <w:rsid w:val="750E8E37"/>
    <w:rsid w:val="79BBA2FD"/>
    <w:rsid w:val="7A29B7AD"/>
    <w:rsid w:val="7DEA9ED6"/>
    <w:rsid w:val="7E0FD975"/>
    <w:rsid w:val="7E338942"/>
    <w:rsid w:val="7EC04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B38520"/>
  <w15:chartTrackingRefBased/>
  <w15:docId w15:val="{1DF99C4A-3FD9-4A3D-B54D-12C2E96E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5DF"/>
    <w:rPr>
      <w:lang w:val="fr-FR"/>
    </w:rPr>
  </w:style>
  <w:style w:type="paragraph" w:styleId="Heading1">
    <w:name w:val="heading 1"/>
    <w:basedOn w:val="Normal"/>
    <w:next w:val="Normal"/>
    <w:link w:val="Heading1Char"/>
    <w:uiPriority w:val="9"/>
    <w:qFormat/>
    <w:rsid w:val="007C1988"/>
    <w:pPr>
      <w:keepNext/>
      <w:keepLines/>
      <w:spacing w:before="360" w:after="80"/>
      <w:outlineLvl w:val="0"/>
    </w:pPr>
    <w:rPr>
      <w:rFonts w:ascii="Times New Roman" w:eastAsiaTheme="majorEastAsia" w:hAnsi="Times New Roman" w:cstheme="majorBidi"/>
      <w:sz w:val="28"/>
      <w:szCs w:val="40"/>
      <w:u w:val="single"/>
    </w:rPr>
  </w:style>
  <w:style w:type="paragraph" w:styleId="Heading2">
    <w:name w:val="heading 2"/>
    <w:basedOn w:val="Normal"/>
    <w:next w:val="Normal"/>
    <w:link w:val="Heading2Char"/>
    <w:uiPriority w:val="9"/>
    <w:unhideWhenUsed/>
    <w:qFormat/>
    <w:rsid w:val="007C1988"/>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7C1988"/>
    <w:pPr>
      <w:keepNext/>
      <w:keepLines/>
      <w:spacing w:before="160" w:after="80"/>
      <w:outlineLvl w:val="2"/>
    </w:pPr>
    <w:rPr>
      <w:rFonts w:ascii="Times New Roman" w:eastAsiaTheme="majorEastAsia" w:hAnsi="Times New Roman" w:cstheme="majorBidi"/>
      <w:b/>
      <w:i/>
      <w:sz w:val="24"/>
      <w:szCs w:val="28"/>
    </w:rPr>
  </w:style>
  <w:style w:type="paragraph" w:styleId="Heading4">
    <w:name w:val="heading 4"/>
    <w:basedOn w:val="Normal"/>
    <w:next w:val="Normal"/>
    <w:link w:val="Heading4Char"/>
    <w:uiPriority w:val="9"/>
    <w:semiHidden/>
    <w:unhideWhenUsed/>
    <w:qFormat/>
    <w:rsid w:val="007875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5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5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5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5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5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988"/>
    <w:rPr>
      <w:rFonts w:ascii="Times New Roman" w:eastAsiaTheme="majorEastAsia" w:hAnsi="Times New Roman" w:cstheme="majorBidi"/>
      <w:sz w:val="28"/>
      <w:szCs w:val="40"/>
      <w:u w:val="single"/>
      <w:lang w:val="fr-FR"/>
    </w:rPr>
  </w:style>
  <w:style w:type="character" w:customStyle="1" w:styleId="Heading2Char">
    <w:name w:val="Heading 2 Char"/>
    <w:basedOn w:val="DefaultParagraphFont"/>
    <w:link w:val="Heading2"/>
    <w:uiPriority w:val="9"/>
    <w:rsid w:val="007C1988"/>
    <w:rPr>
      <w:rFonts w:ascii="Times New Roman" w:eastAsiaTheme="majorEastAsia" w:hAnsi="Times New Roman" w:cstheme="majorBidi"/>
      <w:b/>
      <w:sz w:val="24"/>
      <w:szCs w:val="32"/>
      <w:lang w:val="fr-FR"/>
    </w:rPr>
  </w:style>
  <w:style w:type="character" w:customStyle="1" w:styleId="Heading3Char">
    <w:name w:val="Heading 3 Char"/>
    <w:basedOn w:val="DefaultParagraphFont"/>
    <w:link w:val="Heading3"/>
    <w:uiPriority w:val="9"/>
    <w:rsid w:val="007C1988"/>
    <w:rPr>
      <w:rFonts w:ascii="Times New Roman" w:eastAsiaTheme="majorEastAsia" w:hAnsi="Times New Roman" w:cstheme="majorBidi"/>
      <w:b/>
      <w:i/>
      <w:sz w:val="24"/>
      <w:szCs w:val="28"/>
      <w:lang w:val="fr-FR"/>
    </w:rPr>
  </w:style>
  <w:style w:type="character" w:customStyle="1" w:styleId="Heading4Char">
    <w:name w:val="Heading 4 Char"/>
    <w:basedOn w:val="DefaultParagraphFont"/>
    <w:link w:val="Heading4"/>
    <w:uiPriority w:val="9"/>
    <w:semiHidden/>
    <w:rsid w:val="007875DF"/>
    <w:rPr>
      <w:rFonts w:eastAsiaTheme="majorEastAsia" w:cstheme="majorBidi"/>
      <w:i/>
      <w:iCs/>
      <w:color w:val="0F4761" w:themeColor="accent1" w:themeShade="BF"/>
      <w:lang w:val="fr-FR"/>
    </w:rPr>
  </w:style>
  <w:style w:type="character" w:customStyle="1" w:styleId="Heading5Char">
    <w:name w:val="Heading 5 Char"/>
    <w:basedOn w:val="DefaultParagraphFont"/>
    <w:link w:val="Heading5"/>
    <w:uiPriority w:val="9"/>
    <w:semiHidden/>
    <w:rsid w:val="007875DF"/>
    <w:rPr>
      <w:rFonts w:eastAsiaTheme="majorEastAsia" w:cstheme="majorBidi"/>
      <w:color w:val="0F4761" w:themeColor="accent1" w:themeShade="BF"/>
      <w:lang w:val="fr-FR"/>
    </w:rPr>
  </w:style>
  <w:style w:type="character" w:customStyle="1" w:styleId="Heading6Char">
    <w:name w:val="Heading 6 Char"/>
    <w:basedOn w:val="DefaultParagraphFont"/>
    <w:link w:val="Heading6"/>
    <w:uiPriority w:val="9"/>
    <w:semiHidden/>
    <w:rsid w:val="007875DF"/>
    <w:rPr>
      <w:rFonts w:eastAsiaTheme="majorEastAsia" w:cstheme="majorBidi"/>
      <w:i/>
      <w:iCs/>
      <w:color w:val="595959" w:themeColor="text1" w:themeTint="A6"/>
      <w:lang w:val="fr-FR"/>
    </w:rPr>
  </w:style>
  <w:style w:type="character" w:customStyle="1" w:styleId="Heading7Char">
    <w:name w:val="Heading 7 Char"/>
    <w:basedOn w:val="DefaultParagraphFont"/>
    <w:link w:val="Heading7"/>
    <w:uiPriority w:val="9"/>
    <w:semiHidden/>
    <w:rsid w:val="007875DF"/>
    <w:rPr>
      <w:rFonts w:eastAsiaTheme="majorEastAsia" w:cstheme="majorBidi"/>
      <w:color w:val="595959" w:themeColor="text1" w:themeTint="A6"/>
      <w:lang w:val="fr-FR"/>
    </w:rPr>
  </w:style>
  <w:style w:type="character" w:customStyle="1" w:styleId="Heading8Char">
    <w:name w:val="Heading 8 Char"/>
    <w:basedOn w:val="DefaultParagraphFont"/>
    <w:link w:val="Heading8"/>
    <w:uiPriority w:val="9"/>
    <w:semiHidden/>
    <w:rsid w:val="007875DF"/>
    <w:rPr>
      <w:rFonts w:eastAsiaTheme="majorEastAsia" w:cstheme="majorBidi"/>
      <w:i/>
      <w:iCs/>
      <w:color w:val="272727" w:themeColor="text1" w:themeTint="D8"/>
      <w:lang w:val="fr-FR"/>
    </w:rPr>
  </w:style>
  <w:style w:type="character" w:customStyle="1" w:styleId="Heading9Char">
    <w:name w:val="Heading 9 Char"/>
    <w:basedOn w:val="DefaultParagraphFont"/>
    <w:link w:val="Heading9"/>
    <w:uiPriority w:val="9"/>
    <w:semiHidden/>
    <w:rsid w:val="007875DF"/>
    <w:rPr>
      <w:rFonts w:eastAsiaTheme="majorEastAsia" w:cstheme="majorBidi"/>
      <w:color w:val="272727" w:themeColor="text1" w:themeTint="D8"/>
      <w:lang w:val="fr-FR"/>
    </w:rPr>
  </w:style>
  <w:style w:type="paragraph" w:styleId="Title">
    <w:name w:val="Title"/>
    <w:basedOn w:val="Normal"/>
    <w:next w:val="Normal"/>
    <w:link w:val="TitleChar"/>
    <w:uiPriority w:val="10"/>
    <w:qFormat/>
    <w:rsid w:val="007875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5DF"/>
    <w:rPr>
      <w:rFonts w:asciiTheme="majorHAnsi" w:eastAsiaTheme="majorEastAsia" w:hAnsiTheme="majorHAnsi" w:cstheme="majorBidi"/>
      <w:spacing w:val="-10"/>
      <w:kern w:val="28"/>
      <w:sz w:val="56"/>
      <w:szCs w:val="56"/>
      <w:lang w:val="fr-FR"/>
    </w:rPr>
  </w:style>
  <w:style w:type="paragraph" w:styleId="Subtitle">
    <w:name w:val="Subtitle"/>
    <w:basedOn w:val="Normal"/>
    <w:next w:val="Normal"/>
    <w:link w:val="SubtitleChar"/>
    <w:uiPriority w:val="11"/>
    <w:qFormat/>
    <w:rsid w:val="007875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5DF"/>
    <w:rPr>
      <w:rFonts w:eastAsiaTheme="majorEastAsia" w:cstheme="majorBidi"/>
      <w:color w:val="595959" w:themeColor="text1" w:themeTint="A6"/>
      <w:spacing w:val="15"/>
      <w:sz w:val="28"/>
      <w:szCs w:val="28"/>
      <w:lang w:val="fr-FR"/>
    </w:rPr>
  </w:style>
  <w:style w:type="paragraph" w:styleId="Quote">
    <w:name w:val="Quote"/>
    <w:basedOn w:val="Normal"/>
    <w:next w:val="Normal"/>
    <w:link w:val="QuoteChar"/>
    <w:uiPriority w:val="29"/>
    <w:qFormat/>
    <w:rsid w:val="007875DF"/>
    <w:pPr>
      <w:spacing w:before="160"/>
      <w:jc w:val="center"/>
    </w:pPr>
    <w:rPr>
      <w:i/>
      <w:iCs/>
      <w:color w:val="404040" w:themeColor="text1" w:themeTint="BF"/>
    </w:rPr>
  </w:style>
  <w:style w:type="character" w:customStyle="1" w:styleId="QuoteChar">
    <w:name w:val="Quote Char"/>
    <w:basedOn w:val="DefaultParagraphFont"/>
    <w:link w:val="Quote"/>
    <w:uiPriority w:val="29"/>
    <w:rsid w:val="007875DF"/>
    <w:rPr>
      <w:i/>
      <w:iCs/>
      <w:color w:val="404040" w:themeColor="text1" w:themeTint="BF"/>
      <w:lang w:val="fr-FR"/>
    </w:rPr>
  </w:style>
  <w:style w:type="paragraph" w:styleId="ListParagraph">
    <w:name w:val="List Paragraph"/>
    <w:basedOn w:val="Normal"/>
    <w:uiPriority w:val="34"/>
    <w:qFormat/>
    <w:rsid w:val="007875DF"/>
    <w:pPr>
      <w:ind w:left="720"/>
      <w:contextualSpacing/>
    </w:pPr>
  </w:style>
  <w:style w:type="character" w:styleId="IntenseEmphasis">
    <w:name w:val="Intense Emphasis"/>
    <w:basedOn w:val="DefaultParagraphFont"/>
    <w:uiPriority w:val="21"/>
    <w:qFormat/>
    <w:rsid w:val="007875DF"/>
    <w:rPr>
      <w:i/>
      <w:iCs/>
      <w:color w:val="0F4761" w:themeColor="accent1" w:themeShade="BF"/>
    </w:rPr>
  </w:style>
  <w:style w:type="paragraph" w:styleId="IntenseQuote">
    <w:name w:val="Intense Quote"/>
    <w:basedOn w:val="Normal"/>
    <w:next w:val="Normal"/>
    <w:link w:val="IntenseQuoteChar"/>
    <w:uiPriority w:val="30"/>
    <w:qFormat/>
    <w:rsid w:val="007875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5DF"/>
    <w:rPr>
      <w:i/>
      <w:iCs/>
      <w:color w:val="0F4761" w:themeColor="accent1" w:themeShade="BF"/>
      <w:lang w:val="fr-FR"/>
    </w:rPr>
  </w:style>
  <w:style w:type="character" w:styleId="IntenseReference">
    <w:name w:val="Intense Reference"/>
    <w:basedOn w:val="DefaultParagraphFont"/>
    <w:uiPriority w:val="32"/>
    <w:qFormat/>
    <w:rsid w:val="007875DF"/>
    <w:rPr>
      <w:b/>
      <w:bCs/>
      <w:smallCaps/>
      <w:color w:val="0F4761" w:themeColor="accent1" w:themeShade="BF"/>
      <w:spacing w:val="5"/>
    </w:rPr>
  </w:style>
  <w:style w:type="paragraph" w:styleId="FootnoteText">
    <w:name w:val="footnote text"/>
    <w:basedOn w:val="Normal"/>
    <w:link w:val="FootnoteTextChar"/>
    <w:uiPriority w:val="99"/>
    <w:semiHidden/>
    <w:unhideWhenUsed/>
    <w:rsid w:val="00B815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1598"/>
    <w:rPr>
      <w:sz w:val="20"/>
      <w:szCs w:val="20"/>
      <w:lang w:val="fr-FR"/>
    </w:rPr>
  </w:style>
  <w:style w:type="character" w:styleId="FootnoteReference">
    <w:name w:val="footnote reference"/>
    <w:basedOn w:val="DefaultParagraphFont"/>
    <w:uiPriority w:val="99"/>
    <w:unhideWhenUsed/>
    <w:rsid w:val="00B81598"/>
    <w:rPr>
      <w:vertAlign w:val="superscript"/>
    </w:rPr>
  </w:style>
  <w:style w:type="character" w:styleId="Hyperlink">
    <w:name w:val="Hyperlink"/>
    <w:basedOn w:val="DefaultParagraphFont"/>
    <w:uiPriority w:val="99"/>
    <w:unhideWhenUsed/>
    <w:rsid w:val="00F50A9E"/>
    <w:rPr>
      <w:color w:val="467886" w:themeColor="hyperlink"/>
      <w:u w:val="single"/>
    </w:rPr>
  </w:style>
  <w:style w:type="character" w:styleId="UnresolvedMention">
    <w:name w:val="Unresolved Mention"/>
    <w:basedOn w:val="DefaultParagraphFont"/>
    <w:uiPriority w:val="99"/>
    <w:semiHidden/>
    <w:unhideWhenUsed/>
    <w:rsid w:val="00F50A9E"/>
    <w:rPr>
      <w:color w:val="605E5C"/>
      <w:shd w:val="clear" w:color="auto" w:fill="E1DFDD"/>
    </w:rPr>
  </w:style>
  <w:style w:type="paragraph" w:styleId="Header">
    <w:name w:val="header"/>
    <w:basedOn w:val="Normal"/>
    <w:link w:val="HeaderChar"/>
    <w:uiPriority w:val="99"/>
    <w:unhideWhenUsed/>
    <w:rsid w:val="00E72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135"/>
    <w:rPr>
      <w:lang w:val="fr-FR"/>
    </w:rPr>
  </w:style>
  <w:style w:type="paragraph" w:styleId="Footer">
    <w:name w:val="footer"/>
    <w:basedOn w:val="Normal"/>
    <w:link w:val="FooterChar"/>
    <w:uiPriority w:val="99"/>
    <w:unhideWhenUsed/>
    <w:rsid w:val="00E72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135"/>
    <w:rPr>
      <w:lang w:val="fr-FR"/>
    </w:rPr>
  </w:style>
  <w:style w:type="character" w:styleId="FollowedHyperlink">
    <w:name w:val="FollowedHyperlink"/>
    <w:basedOn w:val="DefaultParagraphFont"/>
    <w:uiPriority w:val="99"/>
    <w:semiHidden/>
    <w:unhideWhenUsed/>
    <w:rsid w:val="00220527"/>
    <w:rPr>
      <w:color w:val="96607D" w:themeColor="followedHyperlink"/>
      <w:u w:val="single"/>
    </w:rPr>
  </w:style>
  <w:style w:type="paragraph" w:styleId="NormalWeb">
    <w:name w:val="Normal (Web)"/>
    <w:basedOn w:val="Normal"/>
    <w:uiPriority w:val="99"/>
    <w:unhideWhenUsed/>
    <w:rsid w:val="003C243E"/>
    <w:pPr>
      <w:spacing w:before="100" w:beforeAutospacing="1" w:after="100" w:afterAutospacing="1" w:line="240" w:lineRule="auto"/>
    </w:pPr>
    <w:rPr>
      <w:rFonts w:ascii="Times" w:hAnsi="Times" w:cs="Times New Roman"/>
      <w:kern w:val="0"/>
      <w:sz w:val="20"/>
      <w:szCs w:val="20"/>
      <w:lang w:eastAsia="fr-FR"/>
      <w14:ligatures w14:val="none"/>
    </w:rPr>
  </w:style>
  <w:style w:type="paragraph" w:styleId="TOCHeading">
    <w:name w:val="TOC Heading"/>
    <w:basedOn w:val="Heading1"/>
    <w:next w:val="Normal"/>
    <w:uiPriority w:val="39"/>
    <w:unhideWhenUsed/>
    <w:qFormat/>
    <w:rsid w:val="003D0386"/>
    <w:pPr>
      <w:spacing w:before="240" w:after="0"/>
      <w:outlineLvl w:val="9"/>
    </w:pPr>
    <w:rPr>
      <w:kern w:val="0"/>
      <w:sz w:val="32"/>
      <w:szCs w:val="32"/>
      <w:lang w:eastAsia="fr-FR"/>
      <w14:ligatures w14:val="none"/>
    </w:rPr>
  </w:style>
  <w:style w:type="paragraph" w:styleId="TOC1">
    <w:name w:val="toc 1"/>
    <w:basedOn w:val="Normal"/>
    <w:next w:val="Normal"/>
    <w:autoRedefine/>
    <w:uiPriority w:val="39"/>
    <w:unhideWhenUsed/>
    <w:rsid w:val="00B47218"/>
    <w:pPr>
      <w:tabs>
        <w:tab w:val="left" w:pos="480"/>
        <w:tab w:val="right" w:leader="dot" w:pos="9350"/>
      </w:tabs>
      <w:spacing w:after="100"/>
    </w:pPr>
    <w:rPr>
      <w:rFonts w:ascii="Times New Roman" w:hAnsi="Times New Roman" w:cs="Times New Roman"/>
      <w:noProof/>
      <w:sz w:val="24"/>
      <w:szCs w:val="24"/>
    </w:rPr>
  </w:style>
  <w:style w:type="paragraph" w:styleId="TOC2">
    <w:name w:val="toc 2"/>
    <w:basedOn w:val="Normal"/>
    <w:next w:val="Normal"/>
    <w:autoRedefine/>
    <w:uiPriority w:val="39"/>
    <w:unhideWhenUsed/>
    <w:rsid w:val="00B47218"/>
    <w:pPr>
      <w:tabs>
        <w:tab w:val="left" w:pos="720"/>
        <w:tab w:val="right" w:leader="dot" w:pos="9350"/>
      </w:tabs>
      <w:spacing w:after="100"/>
      <w:ind w:left="220"/>
    </w:pPr>
    <w:rPr>
      <w:rFonts w:ascii="Times New Roman" w:hAnsi="Times New Roman" w:cs="Times New Roman"/>
      <w:b/>
      <w:bCs/>
      <w:noProof/>
      <w:sz w:val="24"/>
      <w:szCs w:val="24"/>
    </w:rPr>
  </w:style>
  <w:style w:type="paragraph" w:styleId="TOC3">
    <w:name w:val="toc 3"/>
    <w:basedOn w:val="Normal"/>
    <w:next w:val="Normal"/>
    <w:autoRedefine/>
    <w:uiPriority w:val="39"/>
    <w:unhideWhenUsed/>
    <w:rsid w:val="00B47218"/>
    <w:pPr>
      <w:tabs>
        <w:tab w:val="right" w:leader="dot" w:pos="9350"/>
      </w:tabs>
      <w:spacing w:after="100"/>
      <w:ind w:left="440"/>
    </w:pPr>
    <w:rPr>
      <w:rFonts w:ascii="Times New Roman" w:hAnsi="Times New Roman" w:cs="Times New Roman"/>
      <w:b/>
      <w:bCs/>
      <w:i/>
      <w:iCs/>
      <w:noProof/>
      <w:sz w:val="24"/>
      <w:szCs w:val="24"/>
    </w:rPr>
  </w:style>
  <w:style w:type="table" w:styleId="TableGrid">
    <w:name w:val="Table Grid"/>
    <w:basedOn w:val="TableNormal"/>
    <w:uiPriority w:val="39"/>
    <w:rsid w:val="00A100B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fr-FR"/>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EC1E80"/>
    <w:pPr>
      <w:spacing w:after="0" w:line="240" w:lineRule="auto"/>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8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unodc.org/documents/justice-and-prison-reform/Nelson_Mandela_Rules-F-ebook.pdf" TargetMode="External"/><Relationship Id="rId21" Type="http://schemas.openxmlformats.org/officeDocument/2006/relationships/hyperlink" Target="https://tbinternet.ohchr.org/_layouts/15/treatybodyexternal/Download.aspx?symbolno=CAT%2FC%2FFRA%2FCO%2F7&amp;Lang=en" TargetMode="External"/><Relationship Id="rId34" Type="http://schemas.openxmlformats.org/officeDocument/2006/relationships/hyperlink" Target="https://www.ccomptes.fr/fr/publications/la-prefecture-de-police-de-paris" TargetMode="External"/><Relationship Id="rId42" Type="http://schemas.openxmlformats.org/officeDocument/2006/relationships/hyperlink" Target="https://mobile.interieur.gouv.fr/Publications/Rapports-de-l-IGPN/Rapport-annuel-d-activite-de-l-IGPN-2023" TargetMode="External"/><Relationship Id="rId47" Type="http://schemas.openxmlformats.org/officeDocument/2006/relationships/hyperlink" Target="https://www.mediapart.fr/journal/france/271023/le-ministere-de-l-interieur-reduit-la-distance-de-tir-des-lbd-malgre-leur-dangerosite" TargetMode="External"/><Relationship Id="rId50" Type="http://schemas.openxmlformats.org/officeDocument/2006/relationships/hyperlink" Target="https://juridique.defenseurdesdroits.fr/doc_num.php?explnum_id=21293" TargetMode="External"/><Relationship Id="rId55" Type="http://schemas.openxmlformats.org/officeDocument/2006/relationships/hyperlink" Target="https://mobile.interieur.gouv.fr/Publications/Rapports-de-l-IGPN/Rapport-annuel-d-activite-de-l-IGPN-2023" TargetMode="External"/><Relationship Id="rId63" Type="http://schemas.openxmlformats.org/officeDocument/2006/relationships/hyperlink" Target="https://www.liberation.fr/societe/police-justice/les-images-revoltantes-des-violences-subies-par-un-homme-dans-un-commissariat-parisien-20240919_Q2XURAOL7BDCTFWJH6LBF46RN4/" TargetMode="External"/><Relationship Id="rId7" Type="http://schemas.openxmlformats.org/officeDocument/2006/relationships/hyperlink" Target="https://www.acatfrance.fr/app/uploads/2024/11/Brochure-prison-2024-web.pdf" TargetMode="External"/><Relationship Id="rId2" Type="http://schemas.openxmlformats.org/officeDocument/2006/relationships/hyperlink" Target="https://www.assemblee-nationale.fr/dyn/16/rapports/cion_lois/l16b1539_rapport-information" TargetMode="External"/><Relationship Id="rId16" Type="http://schemas.openxmlformats.org/officeDocument/2006/relationships/hyperlink" Target="https://www.justice.gouv.fr/documentation/etudes-et-statistiques/statistiques-mensuelles-population-detenue-ecrouee-9" TargetMode="External"/><Relationship Id="rId29" Type="http://schemas.openxmlformats.org/officeDocument/2006/relationships/hyperlink" Target="https://www.cglpl.fr/app/uploads/2024/05/CGLPL_Rapport-annuel-2023_web.pdf" TargetMode="External"/><Relationship Id="rId11" Type="http://schemas.openxmlformats.org/officeDocument/2006/relationships/hyperlink" Target="https://tbinternet.ohchr.org/_layouts/15/treatybodyexternal/Download.aspx?symbolno=CAT%2FC%2FFRA%2FCO%2F7&amp;Lang=en" TargetMode="External"/><Relationship Id="rId24" Type="http://schemas.openxmlformats.org/officeDocument/2006/relationships/hyperlink" Target="https://hudoc.echr.coe.int/fre" TargetMode="External"/><Relationship Id="rId32" Type="http://schemas.openxmlformats.org/officeDocument/2006/relationships/hyperlink" Target="https://www.acatfrance.fr/communique-de-presse/impunite-policiere-pour-le-conseil-detat-les-forces-de-lordre-doivent-etre-mieux-identifiees" TargetMode="External"/><Relationship Id="rId37" Type="http://schemas.openxmlformats.org/officeDocument/2006/relationships/hyperlink" Target="https://www.huffingtonpost.fr/entry/le-defenseur-des-droits-se-plaint-detre-entrave-dans-son-controle-des-policiers_fr_5eddc6ebc5b6bd197e146f84" TargetMode="External"/><Relationship Id="rId40" Type="http://schemas.openxmlformats.org/officeDocument/2006/relationships/hyperlink" Target="https://www.liberation.fr/societe/police-justice/proces-sur-la-mort-damadou-koume-trois-policiers-condamnes-a-quinze-mois-de-prison-avec-sursis-20220920_VIU4ZGYMC5EWFGCDNPFTYK76BM/?redirected=1" TargetMode="External"/><Relationship Id="rId45" Type="http://schemas.openxmlformats.org/officeDocument/2006/relationships/hyperlink" Target="https://www.acatfrance.fr/public/rapport_violences_policieres_acat.pdf" TargetMode="External"/><Relationship Id="rId53" Type="http://schemas.openxmlformats.org/officeDocument/2006/relationships/hyperlink" Target="https://www.defenseurdesdroits.fr/sites/default/files/atoms/files/raa-2019-num-accessopti.pdf" TargetMode="External"/><Relationship Id="rId58" Type="http://schemas.openxmlformats.org/officeDocument/2006/relationships/hyperlink" Target="https://www.streetpress.com/sujet/1737387090-franchi-rubalise-teri-coups-taser-policiers-paris-violences-policieres-plainte-videos-temoignage" TargetMode="External"/><Relationship Id="rId5" Type="http://schemas.openxmlformats.org/officeDocument/2006/relationships/hyperlink" Target="https://www.assemblee-nationale.fr/dyn/17/textes/l17b0431_proposition-loi" TargetMode="External"/><Relationship Id="rId61" Type="http://schemas.openxmlformats.org/officeDocument/2006/relationships/hyperlink" Target="https://tbinternet.ohchr.org/_layouts/15/treatybodyexternal/Download.aspx?symbolno=CAT%2FC%2FPRT%2FCO%2F4&amp;Lang=en" TargetMode="External"/><Relationship Id="rId19" Type="http://schemas.openxmlformats.org/officeDocument/2006/relationships/hyperlink" Target="https://www.conseil-constitutionnel.fr/decision/2020/2020858_859QPC.htm" TargetMode="External"/><Relationship Id="rId14" Type="http://schemas.openxmlformats.org/officeDocument/2006/relationships/hyperlink" Target="https://www.cglpl.fr/app/uploads/2024/05/CGLPL_Rapport-annuel-2023_Dossier-de-presse.pdf" TargetMode="External"/><Relationship Id="rId22" Type="http://schemas.openxmlformats.org/officeDocument/2006/relationships/hyperlink" Target="https://hudoc.echr.coe.int/fre" TargetMode="External"/><Relationship Id="rId27" Type="http://schemas.openxmlformats.org/officeDocument/2006/relationships/hyperlink" Target="https://www.cglpl.fr/app/uploads/2022/07/CGLPL_rapport-intimit%C3%A9-dans-les-lieux-de-privation-de-libert%C3%A9_web.pdf" TargetMode="External"/><Relationship Id="rId30" Type="http://schemas.openxmlformats.org/officeDocument/2006/relationships/hyperlink" Target="chrome-extension://efaidnbmnnnibpcajpcglclefindmkaj/https:/documents.un.org/doc/undoc/gen/g16/018/14/pdf/g1601814.pdf" TargetMode="External"/><Relationship Id="rId35" Type="http://schemas.openxmlformats.org/officeDocument/2006/relationships/hyperlink" Target="https://fiacat-my.sharepoint.com/personal/m_salphati_fiacat_org/Documents/ONU/OHCHR/CCPR/132&#232;me%20session%20-%20Canada%20(LOIPR)%20+%20France%20(LOIPR)/France%20(LOIPR)/IGPN&#160;:%20plong&#233;e%20dans%20la%20fabrique%20de%20l&#8217;impunit&#233;" TargetMode="External"/><Relationship Id="rId43" Type="http://schemas.openxmlformats.org/officeDocument/2006/relationships/hyperlink" Target="https://www.cairn.info/revue-de-science-criminelle-et-de-droit-penal-compare-2017-4-page-699.htm" TargetMode="External"/><Relationship Id="rId48" Type="http://schemas.openxmlformats.org/officeDocument/2006/relationships/hyperlink" Target="https://www.defenseurdesdroits.fr/rapport-sur-trois-moyens-de-force-intermediaires-le-pistolet-impulsions-electriques-de-type-taser" TargetMode="External"/><Relationship Id="rId56" Type="http://schemas.openxmlformats.org/officeDocument/2006/relationships/hyperlink" Target="https://www.defenseurdesdroits.fr/rapport-sur-trois-moyens-de-force-intermediaires-le-pistolet-impulsions-electriques-de-type-taser" TargetMode="External"/><Relationship Id="rId64" Type="http://schemas.openxmlformats.org/officeDocument/2006/relationships/hyperlink" Target="https://www.lemonde.fr/societe/article/2025/01/15/deux-policiers-condamnes-a-des-peines-avec-sursis-pour-des-violences-sur-une-personne-placee-en-garde-a-vue-a-paris_6499910_3224.html" TargetMode="External"/><Relationship Id="rId8" Type="http://schemas.openxmlformats.org/officeDocument/2006/relationships/hyperlink" Target="https://www.senat.fr/rap/r23-037/r23-03711.html" TargetMode="External"/><Relationship Id="rId51" Type="http://schemas.openxmlformats.org/officeDocument/2006/relationships/hyperlink" Target="https://juridique.defenseurdesdroits.fr/index.php?lvl=notice_display&amp;id=18341" TargetMode="External"/><Relationship Id="rId3" Type="http://schemas.openxmlformats.org/officeDocument/2006/relationships/hyperlink" Target="https://www.cncdh.fr/publications/avis-pour-un-mecanisme-contraignant-de-regulation-carcerale-2024-4" TargetMode="External"/><Relationship Id="rId12" Type="http://schemas.openxmlformats.org/officeDocument/2006/relationships/hyperlink" Target="https://www.justice.gouv.fr/documentation/etudes-et-statistiques/statistiques-mensuelles-population-detenue-ecrouee-9" TargetMode="External"/><Relationship Id="rId17" Type="http://schemas.openxmlformats.org/officeDocument/2006/relationships/hyperlink" Target="https://www.prison-insider.com/fichepays/france-2024?s=prison-life-index-codegroupsection" TargetMode="External"/><Relationship Id="rId25" Type="http://schemas.openxmlformats.org/officeDocument/2006/relationships/hyperlink" Target="https://oip.org/communique/a-la-prison-de-villepinte-un-adolescent-fouille-a-nu-sans-justification/" TargetMode="External"/><Relationship Id="rId33" Type="http://schemas.openxmlformats.org/officeDocument/2006/relationships/hyperlink" Target="https://www.acatfrance.fr/identification_agents_forces_ordre/" TargetMode="External"/><Relationship Id="rId38" Type="http://schemas.openxmlformats.org/officeDocument/2006/relationships/hyperlink" Target="https://fiacat-my.sharepoint.com/personal/m_salphati_fiacat_org/Documents/ONU/OHCHR/CCPR/132&#232;me%20session%20-%20Canada%20(LOIPR)%20+%20France%20(LOIPR)/France%20(LOIPR)/ACAT%20France,%20L&#8217;ordre%20et%20la%20force%20&#8211;%20Enqu&#234;te%20sur%20l&#8217;usage%20de%20la%20force%20par%20les%20repr&#233;sentants%20de%20la%20loi%20en%20France,%202016%20et%20ACAT%20France,%20Maintien%20de%20l&#8217;ordre%20:%20&#224;%20quel%20prix?,%2011%20mars%202020" TargetMode="External"/><Relationship Id="rId46" Type="http://schemas.openxmlformats.org/officeDocument/2006/relationships/hyperlink" Target="https://www.acatfrance.fr/rapport/lordre-a-quel-prix" TargetMode="External"/><Relationship Id="rId59" Type="http://schemas.openxmlformats.org/officeDocument/2006/relationships/hyperlink" Target="https://tbinternet.ohchr.org/_layouts/15/treatybodyexternal/Download.aspx?symbolno=CAT%2FC%2FPRT%2FCO%2F4&amp;Lang=en" TargetMode="External"/><Relationship Id="rId20" Type="http://schemas.openxmlformats.org/officeDocument/2006/relationships/hyperlink" Target="https://www.cglpl.fr/publications/rapport-de-la-deuxieme-visite-du-centre-penitentiaire-de-ducos-martinique" TargetMode="External"/><Relationship Id="rId41" Type="http://schemas.openxmlformats.org/officeDocument/2006/relationships/hyperlink" Target="https://mobile.interieur.gouv.fr/Publications/Rapports-de-l-IGPN/Rapport-annuel-d-activite-de-l-IGPN-2023" TargetMode="External"/><Relationship Id="rId54" Type="http://schemas.openxmlformats.org/officeDocument/2006/relationships/hyperlink" Target="https://hudoc.echr.coe.int/" TargetMode="External"/><Relationship Id="rId62" Type="http://schemas.openxmlformats.org/officeDocument/2006/relationships/hyperlink" Target="https://www.francetvinfo.fr/faits-divers/seine-saint-denis-un-homme-meurt-apres-plusieurs-coups-de-taser-l-igpn-saisie_6287193.html" TargetMode="External"/><Relationship Id="rId1" Type="http://schemas.openxmlformats.org/officeDocument/2006/relationships/hyperlink" Target="https://www.justice.gouv.fr/documentation/etudes-et-statistiques/statistiques-mensuelles-population-detenue-ecrouee-9" TargetMode="External"/><Relationship Id="rId6" Type="http://schemas.openxmlformats.org/officeDocument/2006/relationships/hyperlink" Target="https://tbinternet.ohchr.org/_layouts/15/treatybodyexternal/Download.aspx?symbolno=CAT%2FC%2FFRA%2F8&amp;Lang=fr" TargetMode="External"/><Relationship Id="rId15" Type="http://schemas.openxmlformats.org/officeDocument/2006/relationships/hyperlink" Target="https://hudoc.echr.coe.int/fre" TargetMode="External"/><Relationship Id="rId23" Type="http://schemas.openxmlformats.org/officeDocument/2006/relationships/hyperlink" Target="https://hudoc.echr.coe.int/eng" TargetMode="External"/><Relationship Id="rId28" Type="http://schemas.openxmlformats.org/officeDocument/2006/relationships/hyperlink" Target="https://www.cglpl.fr/app/uploads/2023/07/joe_20230705_0154_0080.pdf" TargetMode="External"/><Relationship Id="rId36" Type="http://schemas.openxmlformats.org/officeDocument/2006/relationships/hyperlink" Target="https://www.aefinfo.fr/depeche/256006-confidentiel-la-cour-des-comptes-pointe-le-role-reduit-et-le-fonctionnement-cloisonne-des-deux-inspections-de-la-police-igpn-et-igs" TargetMode="External"/><Relationship Id="rId49" Type="http://schemas.openxmlformats.org/officeDocument/2006/relationships/hyperlink" Target="https://www.acatfrance.fr/public/rapport_violences_policieres_acat.pdf" TargetMode="External"/><Relationship Id="rId57" Type="http://schemas.openxmlformats.org/officeDocument/2006/relationships/hyperlink" Target="https://mobile.interieur.gouv.fr/Publications/Rapports-de-l-IGPN/Rapport-annuel-d-activite-de-l-IGPN-2023" TargetMode="External"/><Relationship Id="rId10" Type="http://schemas.openxmlformats.org/officeDocument/2006/relationships/hyperlink" Target="https://www.justice.gouv.fr/documentation/etudes-et-statistiques/statistiques-mensuelles-population-detenue-ecrouee-9" TargetMode="External"/><Relationship Id="rId31" Type="http://schemas.openxmlformats.org/officeDocument/2006/relationships/hyperlink" Target="https://www.acatfrance.fr/communique-de-presse/nous-saisissons-la-justice-contre-limpunite-policiere" TargetMode="External"/><Relationship Id="rId44" Type="http://schemas.openxmlformats.org/officeDocument/2006/relationships/hyperlink" Target="https://www.ohchr.org/fr/professionalinterest/pages/useofforceandfirearms.aspx" TargetMode="External"/><Relationship Id="rId52" Type="http://schemas.openxmlformats.org/officeDocument/2006/relationships/hyperlink" Target="https://juridique.defenseurdesdroits.fr/index.php?lvl=notice_display&amp;id=29653&amp;opac_view=-1" TargetMode="External"/><Relationship Id="rId60" Type="http://schemas.openxmlformats.org/officeDocument/2006/relationships/hyperlink" Target="https://mobile.interieur.gouv.fr/Publications/Rapports-de-l-IGPN/Rapport-annuel-d-activite-de-l-IGPN-2023" TargetMode="External"/><Relationship Id="rId65" Type="http://schemas.openxmlformats.org/officeDocument/2006/relationships/hyperlink" Target="https://www.liberation.fr/societe/police-justice/quatre-policiers-parisiens-poursuivis-pour-des-violences-commises-sur-un-homme-en-garde-a-vue-20241217_ZD7CWHV7CFBMDIX64DRXHVBGI4/?redirected=1" TargetMode="External"/><Relationship Id="rId4" Type="http://schemas.openxmlformats.org/officeDocument/2006/relationships/hyperlink" Target="https://hudoc.echr.coe.int/fre" TargetMode="External"/><Relationship Id="rId9" Type="http://schemas.openxmlformats.org/officeDocument/2006/relationships/hyperlink" Target="https://tbinternet.ohchr.org/_layouts/15/treatybodyexternal/Download.aspx?symbolno=CAT%2FC%2FFRA%2F8&amp;Lang=fr" TargetMode="External"/><Relationship Id="rId13" Type="http://schemas.openxmlformats.org/officeDocument/2006/relationships/hyperlink" Target="https://www.sudouest.fr/justice/prison/prison-de-bordeaux-gradignan-deja-55-cellules-a-trois-dans-le-nouveau-batiment-cense-combattre-la-surpopulation-21328929.php" TargetMode="External"/><Relationship Id="rId18" Type="http://schemas.openxmlformats.org/officeDocument/2006/relationships/hyperlink" Target="https://hudoc.echr.coe.int/" TargetMode="External"/><Relationship Id="rId39" Type="http://schemas.openxmlformats.org/officeDocument/2006/relationships/hyperlink" Target="https://tbinternet.ohchr.org/_layouts/15/treatybodyexternal/Download.aspx?symbolno=CAT%2FC%2FFRA%2FCO%2F7&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2025-03-18T07:37:11+00:00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2025-03-18T07:37:11+00:00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2025-03-18T07:37:11+00:00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5B034A-2E9A-4FEA-BC7A-1BFD01DB7215}"/>
</file>

<file path=customXml/itemProps2.xml><?xml version="1.0" encoding="utf-8"?>
<ds:datastoreItem xmlns:ds="http://schemas.openxmlformats.org/officeDocument/2006/customXml" ds:itemID="{1B59F60E-4D4B-4B34-BA16-BA53512CF6AD}">
  <ds:schemaRefs>
    <ds:schemaRef ds:uri="http://schemas.openxmlformats.org/officeDocument/2006/bibliography"/>
  </ds:schemaRefs>
</ds:datastoreItem>
</file>

<file path=customXml/itemProps3.xml><?xml version="1.0" encoding="utf-8"?>
<ds:datastoreItem xmlns:ds="http://schemas.openxmlformats.org/officeDocument/2006/customXml" ds:itemID="{49031B99-8E5B-4BB0-B11B-F7DF7566F8C5}">
  <ds:schemaRefs>
    <ds:schemaRef ds:uri="http://schemas.microsoft.com/office/2006/metadata/properties"/>
    <ds:schemaRef ds:uri="http://schemas.microsoft.com/office/infopath/2007/PartnerControls"/>
    <ds:schemaRef ds:uri="c38a9ad1-b47a-4590-86ee-e8dd02703c66"/>
    <ds:schemaRef ds:uri="cc66d8fa-d4d1-41de-b572-9c088988ffaa"/>
  </ds:schemaRefs>
</ds:datastoreItem>
</file>

<file path=customXml/itemProps4.xml><?xml version="1.0" encoding="utf-8"?>
<ds:datastoreItem xmlns:ds="http://schemas.openxmlformats.org/officeDocument/2006/customXml" ds:itemID="{C3FC4BBA-0C33-4B7D-A093-D0DAB1E8B3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10776</Words>
  <Characters>58355</Characters>
  <Application>Microsoft Office Word</Application>
  <DocSecurity>4</DocSecurity>
  <Lines>486</Lines>
  <Paragraphs>137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Schmidt;Solange Moumé Etia</dc:creator>
  <cp:keywords/>
  <dc:description/>
  <cp:lastModifiedBy>Youssef Hamdan</cp:lastModifiedBy>
  <cp:revision>2</cp:revision>
  <cp:lastPrinted>2025-03-11T14:58:00Z</cp:lastPrinted>
  <dcterms:created xsi:type="dcterms:W3CDTF">2025-03-11T18:45:00Z</dcterms:created>
  <dcterms:modified xsi:type="dcterms:W3CDTF">2025-03-11T18:45:00Z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