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93636"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4A16E88B"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8F01D9">
            <w:pPr>
              <w:suppressAutoHyphens w:val="0"/>
              <w:spacing w:after="20"/>
              <w:jc w:val="right"/>
            </w:pPr>
            <w:r>
              <w:rPr>
                <w:sz w:val="40"/>
              </w:rPr>
              <w:t>CEDAW</w:t>
            </w:r>
            <w:r>
              <w:t>/C/ARE/FCO/4</w:t>
            </w:r>
          </w:p>
        </w:tc>
      </w:tr>
      <w:tr w:rsidR="00D93636" w14:paraId="01ABAEEA" w14:textId="77777777">
        <w:trPr>
          <w:cantSplit/>
          <w:trHeight w:hRule="exact" w:val="2835"/>
        </w:trPr>
        <w:tc>
          <w:tcPr>
            <w:tcW w:w="1276" w:type="dxa"/>
            <w:tcBorders>
              <w:top w:val="single" w:sz="4" w:space="0" w:color="auto"/>
              <w:bottom w:val="single" w:sz="12" w:space="0" w:color="auto"/>
            </w:tcBorders>
          </w:tcPr>
          <w:p w14:paraId="6CC19EAB" w14:textId="6BE3F44F" w:rsidR="00023A38" w:rsidRDefault="00023A38">
            <w:pPr>
              <w:spacing w:before="120"/>
              <w:jc w:val="center"/>
            </w:pPr>
          </w:p>
        </w:tc>
        <w:tc>
          <w:tcPr>
            <w:tcW w:w="5528" w:type="dxa"/>
            <w:gridSpan w:val="2"/>
            <w:tcBorders>
              <w:top w:val="single" w:sz="4" w:space="0" w:color="auto"/>
              <w:bottom w:val="single" w:sz="12" w:space="0" w:color="auto"/>
            </w:tcBorders>
          </w:tcPr>
          <w:p w14:paraId="5AF0F05E" w14:textId="4E79DBEC" w:rsidR="00023A38" w:rsidRDefault="008F01D9">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97794F" w:rsidRDefault="008F01D9">
            <w:pPr>
              <w:suppressAutoHyphens w:val="0"/>
              <w:spacing w:before="240" w:line="240" w:lineRule="exact"/>
              <w:rPr>
                <w:lang w:val="en-US"/>
              </w:rPr>
            </w:pPr>
            <w:r w:rsidRPr="0097794F">
              <w:rPr>
                <w:lang w:val="en-US"/>
              </w:rPr>
              <w:t>Distr.: General</w:t>
            </w:r>
          </w:p>
          <w:p w14:paraId="4F1958D1" w14:textId="241F51A6" w:rsidR="00023A38" w:rsidRPr="0097794F" w:rsidRDefault="0097794F">
            <w:pPr>
              <w:suppressAutoHyphens w:val="0"/>
              <w:rPr>
                <w:lang w:val="en-US"/>
              </w:rPr>
            </w:pPr>
            <w:r>
              <w:rPr>
                <w:lang w:val="en-US"/>
              </w:rPr>
              <w:t>17 January 2025</w:t>
            </w:r>
          </w:p>
          <w:p w14:paraId="1A713B98" w14:textId="77777777" w:rsidR="00023A38" w:rsidRPr="0097794F" w:rsidRDefault="00023A38">
            <w:pPr>
              <w:suppressAutoHyphens w:val="0"/>
              <w:rPr>
                <w:lang w:val="en-US"/>
              </w:rPr>
            </w:pPr>
          </w:p>
          <w:p w14:paraId="0507FEC1" w14:textId="77777777" w:rsidR="00023A38" w:rsidRPr="0097794F" w:rsidRDefault="008F01D9">
            <w:pPr>
              <w:suppressAutoHyphens w:val="0"/>
              <w:rPr>
                <w:lang w:val="en-US"/>
              </w:rPr>
            </w:pPr>
            <w:r w:rsidRPr="0097794F">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8F01D9">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8F01D9" w:rsidP="004A43A3">
      <w:pPr>
        <w:pStyle w:val="HMG"/>
      </w:pPr>
      <w:r>
        <w:tab/>
      </w:r>
      <w:r>
        <w:tab/>
      </w:r>
      <w:r w:rsidR="003D6145">
        <w:t>Information received from the United Arab Emirates on follow-up to the concl</w:t>
      </w:r>
      <w:r>
        <w:t xml:space="preserve">uding observations on </w:t>
      </w:r>
      <w:r w:rsidR="003D6145">
        <w:t>its</w:t>
      </w:r>
      <w:r>
        <w:t xml:space="preserve"> </w:t>
      </w:r>
      <w:r w:rsidR="00737760">
        <w:t>fourth periodic report</w:t>
      </w:r>
      <w:r>
        <w:rPr>
          <w:rStyle w:val="FootnoteReference"/>
          <w:b w:val="0"/>
          <w:sz w:val="20"/>
          <w:vertAlign w:val="baseline"/>
        </w:rPr>
        <w:footnoteReference w:customMarkFollows="1" w:id="2"/>
        <w:t>*</w:t>
      </w:r>
    </w:p>
    <w:p w14:paraId="56898E81" w14:textId="30475D3D" w:rsidR="00023A38" w:rsidRDefault="008F01D9">
      <w:pPr>
        <w:pStyle w:val="SingleTxtG"/>
        <w:jc w:val="right"/>
      </w:pPr>
      <w:r>
        <w:t xml:space="preserve">[Date received: </w:t>
      </w:r>
      <w:r w:rsidR="008E4C28">
        <w:t>29</w:t>
      </w:r>
      <w:r w:rsidR="003B1068">
        <w:t xml:space="preserve"> November 2024</w:t>
      </w:r>
      <w:r>
        <w:t>]</w:t>
      </w:r>
    </w:p>
    <w:p w14:paraId="325FD293" w14:textId="2A66C43A" w:rsidR="003B1068" w:rsidRDefault="003B1068">
      <w:pPr>
        <w:suppressAutoHyphens w:val="0"/>
        <w:spacing w:after="200" w:line="276" w:lineRule="auto"/>
        <w:rPr>
          <w:rFonts w:eastAsiaTheme="minorHAnsi"/>
          <w:color w:val="0000FF"/>
        </w:rPr>
      </w:pPr>
      <w:r>
        <w:rPr>
          <w:color w:val="0000FF"/>
        </w:rPr>
        <w:br w:type="page"/>
      </w:r>
    </w:p>
    <w:p w14:paraId="250EAE1F" w14:textId="77777777" w:rsidR="00075D94" w:rsidRPr="00075D94" w:rsidRDefault="00075D94" w:rsidP="00075D94">
      <w:pPr>
        <w:suppressAutoHyphens w:val="0"/>
        <w:bidi/>
        <w:spacing w:after="160" w:line="256" w:lineRule="auto"/>
        <w:jc w:val="both"/>
        <w:rPr>
          <w:rFonts w:ascii="Sakkal Majalla" w:eastAsia="Calibri" w:hAnsi="Sakkal Majalla" w:cs="Sakkal Majalla"/>
          <w:b/>
          <w:bCs/>
          <w:sz w:val="32"/>
          <w:szCs w:val="32"/>
          <w:lang w:val="en-US" w:bidi="ar-AE"/>
        </w:rPr>
      </w:pPr>
    </w:p>
    <w:p w14:paraId="3F3AACC9"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u w:val="single"/>
          <w:lang w:val="en-US" w:bidi="ar-AE"/>
        </w:rPr>
      </w:pPr>
      <w:r w:rsidRPr="00075D94">
        <w:rPr>
          <w:rFonts w:ascii="Sakkal Majalla" w:eastAsia="Calibri" w:hAnsi="Sakkal Majalla" w:cs="Sakkal Majalla" w:hint="cs"/>
          <w:b/>
          <w:bCs/>
          <w:sz w:val="32"/>
          <w:szCs w:val="32"/>
          <w:u w:val="single"/>
          <w:rtl/>
          <w:lang w:val="en-US" w:bidi="ar-AE"/>
        </w:rPr>
        <w:t>تقديم:-</w:t>
      </w:r>
    </w:p>
    <w:p w14:paraId="49036679"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يسر دولة الامارات العربية المتحدة ان تتقدم بخالص الشكر والتقدير إلى لجنة القضاء على جميع أشكال التمييز ضد المرأة. وبالإشارة إلى وثيقة الملاحظات</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الختامية</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بشأن</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التقرير</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الدوري</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الرابع</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للإمارات</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العربية</w:t>
      </w:r>
      <w:r w:rsidRPr="00075D94">
        <w:rPr>
          <w:rFonts w:ascii="Sakkal Majalla" w:eastAsia="Calibri" w:hAnsi="Sakkal Majalla" w:cs="Sakkal Majalla" w:hint="cs"/>
          <w:b/>
          <w:bCs/>
          <w:sz w:val="32"/>
          <w:szCs w:val="32"/>
          <w:lang w:val="en" w:bidi="ar-AE"/>
        </w:rPr>
        <w:t xml:space="preserve"> </w:t>
      </w:r>
      <w:r w:rsidRPr="00075D94">
        <w:rPr>
          <w:rFonts w:ascii="Sakkal Majalla" w:eastAsia="Calibri" w:hAnsi="Sakkal Majalla" w:cs="Sakkal Majalla" w:hint="cs"/>
          <w:b/>
          <w:bCs/>
          <w:sz w:val="32"/>
          <w:szCs w:val="32"/>
          <w:rtl/>
          <w:lang w:val="en-US" w:bidi="ar-AE"/>
        </w:rPr>
        <w:t xml:space="preserve">المتحدة لاتفاقية القضاء على جميع أشكال التمييز ضد المرأة رقم </w:t>
      </w:r>
      <w:r w:rsidRPr="00075D94">
        <w:rPr>
          <w:rFonts w:ascii="Sakkal Majalla" w:eastAsia="Calibri" w:hAnsi="Sakkal Majalla" w:cs="Sakkal Majalla" w:hint="cs"/>
          <w:b/>
          <w:bCs/>
          <w:sz w:val="32"/>
          <w:szCs w:val="32"/>
          <w:lang w:val="en-US" w:bidi="ar-AE"/>
        </w:rPr>
        <w:t>CEDAW/C/ARE/CO/4</w:t>
      </w:r>
      <w:r w:rsidRPr="00075D94">
        <w:rPr>
          <w:rFonts w:ascii="Sakkal Majalla" w:eastAsia="Calibri" w:hAnsi="Sakkal Majalla" w:cs="Sakkal Majalla" w:hint="cs"/>
          <w:b/>
          <w:bCs/>
          <w:sz w:val="32"/>
          <w:szCs w:val="32"/>
          <w:rtl/>
          <w:lang w:val="en-US" w:bidi="ar-AE"/>
        </w:rPr>
        <w:t xml:space="preserve">. والتي نصت في فقرتها 63 على (تطلب اللجنة إلى الدولة الطرف أن تقدم، في غضون سنتين، معلومات خطية عن الخطوات المتخذة لتنفيذ التوصيات الواردة في الفقرات 31 و41 و47 (أ) أعلاه) </w:t>
      </w:r>
    </w:p>
    <w:p w14:paraId="227F066D"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تود دولة الامارات موافاة اللجنة المعنية بما تم تنفيذه بشأن التوصيات المذكورة أعلاه. مع الأخذ بعين الاعتبار بانه في حال ورود اية مستجدات مستقبلية إضافية بشأن تنفيذ تلك التوصيات ستقوم الدولة بموافاة اللجنة المعنية بها.</w:t>
      </w:r>
    </w:p>
    <w:p w14:paraId="7E264E99"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color w:val="000000"/>
          <w:sz w:val="32"/>
          <w:szCs w:val="32"/>
          <w:u w:val="single"/>
          <w:rtl/>
          <w:lang w:val="en-US" w:bidi="ar-AE"/>
        </w:rPr>
      </w:pPr>
      <w:r w:rsidRPr="00075D94">
        <w:rPr>
          <w:rFonts w:ascii="Sakkal Majalla" w:eastAsia="Calibri" w:hAnsi="Sakkal Majalla" w:cs="Sakkal Majalla" w:hint="cs"/>
          <w:b/>
          <w:bCs/>
          <w:color w:val="000000"/>
          <w:sz w:val="32"/>
          <w:szCs w:val="32"/>
          <w:u w:val="single"/>
          <w:rtl/>
          <w:lang w:val="en-US" w:bidi="ar-AE"/>
        </w:rPr>
        <w:t>التدابير المتخذة بشأن تنفيذ التوصيات الواردة في الفقرات 31 و41 و47 (أ) في وثيقة الملاحظات الختامية حتى تاريخه:-</w:t>
      </w:r>
    </w:p>
    <w:p w14:paraId="1EA23CF8"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u w:val="single"/>
          <w:rtl/>
          <w:lang w:val="en-US" w:bidi="ar-AE"/>
        </w:rPr>
        <w:t>أولا: التوصية (31)</w:t>
      </w:r>
      <w:r w:rsidRPr="00075D94">
        <w:rPr>
          <w:rFonts w:ascii="Sakkal Majalla" w:eastAsia="Calibri" w:hAnsi="Sakkal Majalla" w:cs="Sakkal Majalla" w:hint="cs"/>
          <w:b/>
          <w:bCs/>
          <w:sz w:val="32"/>
          <w:szCs w:val="32"/>
          <w:rtl/>
          <w:lang w:val="en-US" w:bidi="ar-AE"/>
        </w:rPr>
        <w:t xml:space="preserve"> (توصي اللجنة الدولة الطرف بتعديل المادة 30 من القانون الاتحادي رقم 28 لعام 2005 لإلغاء جميع الاستثناءات من الحد الأدنى لسن الزواج البالغ 18 سنة للنساء والرجال، تماشيا مع التوصية العامة رقم 31 للجنة المعنية بالقضاء على التمييز ضد المرأة، والتعليق العام رقم 18 للجنة حقوق الطفل الصادرين بصورة مشتركة والغاية 5 -3 من أهداف التنمية المستدامة. وتوصي اللجنة كذلك بأن تعتمد الدولة الطرف تشريعا يجرم على وجه التحديد الأوصياء والمسؤولين عن الزواج الذين يجرون زواج الأطفال أو ييسرونه، وأن توفر برامج لبناء قدرات الجهاز القضائي بشأن الطابع الإجرامي والآثار السلبية لزواج الأطفال على تعليم الفتيات، وحقوق الإنسان الواجبة لهن، وتنميتهن)</w:t>
      </w:r>
    </w:p>
    <w:p w14:paraId="5109B376" w14:textId="77777777" w:rsidR="00075D94" w:rsidRPr="00075D94" w:rsidRDefault="00075D94" w:rsidP="00075D94">
      <w:pPr>
        <w:numPr>
          <w:ilvl w:val="0"/>
          <w:numId w:val="21"/>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 نصت الفقرة (2) من المادة (30) من القانون الاتحادي رقم (28) لسنة 2005 في شأن الأحوال الشخصية وتعديلاته على أنه: يتزوج من بلغ شرعا ولم يكمل الثامنة عشرة من عمره، إلا وفق الضوابط التي يصدر بها قرار من مجلس الوزراء بناء على اقتراح من وزير العدل.</w:t>
      </w:r>
      <w:r w:rsidRPr="00075D94">
        <w:rPr>
          <w:rFonts w:ascii="Sakkal Majalla" w:eastAsia="Calibri" w:hAnsi="Sakkal Majalla" w:cs="Sakkal Majalla" w:hint="cs"/>
          <w:b/>
          <w:bCs/>
          <w:sz w:val="32"/>
          <w:szCs w:val="32"/>
          <w:rtl/>
          <w:lang w:val="en-US" w:bidi="ar-AE"/>
        </w:rPr>
        <w:br/>
        <w:t xml:space="preserve">- </w:t>
      </w:r>
      <w:r w:rsidRPr="00075D94">
        <w:rPr>
          <w:rFonts w:eastAsia="Calibri"/>
          <w:b/>
          <w:bCs/>
          <w:sz w:val="32"/>
          <w:szCs w:val="32"/>
          <w:lang w:val="en-US" w:bidi="ar-AE"/>
        </w:rPr>
        <w:t>⁠</w:t>
      </w:r>
      <w:r w:rsidRPr="00075D94">
        <w:rPr>
          <w:rFonts w:ascii="Sakkal Majalla" w:eastAsia="Calibri" w:hAnsi="Sakkal Majalla" w:cs="Sakkal Majalla" w:hint="cs"/>
          <w:b/>
          <w:bCs/>
          <w:sz w:val="32"/>
          <w:szCs w:val="32"/>
          <w:rtl/>
          <w:lang w:val="en-US" w:bidi="ar-AE"/>
        </w:rPr>
        <w:t>وبموجب المادة 30 من القانون المشار اليه صدر قرار من مجلس الوزراء برقم 71 لسنه 2020 حدد فيها ضوابط</w:t>
      </w:r>
      <w:r w:rsidRPr="00075D94">
        <w:rPr>
          <w:rFonts w:ascii="Sakkal Majalla" w:eastAsia="Calibri" w:hAnsi="Sakkal Majalla" w:cs="Sakkal Majalla" w:hint="cs"/>
          <w:b/>
          <w:bCs/>
          <w:sz w:val="32"/>
          <w:szCs w:val="32"/>
          <w:lang w:val="en-US" w:bidi="ar-AE"/>
        </w:rPr>
        <w:t xml:space="preserve"> </w:t>
      </w:r>
      <w:r w:rsidRPr="00075D94">
        <w:rPr>
          <w:rFonts w:ascii="Sakkal Majalla" w:eastAsia="Calibri" w:hAnsi="Sakkal Majalla" w:cs="Sakkal Majalla" w:hint="cs"/>
          <w:b/>
          <w:bCs/>
          <w:sz w:val="32"/>
          <w:szCs w:val="32"/>
          <w:rtl/>
          <w:lang w:val="en-US" w:bidi="ar-AE"/>
        </w:rPr>
        <w:t>الزواج لمن بلغ شرعاً ولم يكمل الثامنة عشرة من عمره</w:t>
      </w:r>
    </w:p>
    <w:p w14:paraId="7C3686A3" w14:textId="77777777" w:rsidR="00075D94" w:rsidRPr="00075D94" w:rsidRDefault="00075D94" w:rsidP="00075D94">
      <w:pPr>
        <w:numPr>
          <w:ilvl w:val="0"/>
          <w:numId w:val="21"/>
        </w:numPr>
        <w:suppressAutoHyphens w:val="0"/>
        <w:bidi/>
        <w:spacing w:after="160" w:line="256" w:lineRule="auto"/>
        <w:contextualSpacing/>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 xml:space="preserve">حدد مجلس الوزراء في قراره رقم 71 لسنة 2020 ضوابط الزواج لمن بلغ شرعاً ولم يكمل الثامنة عشرة من عمره. حيث نصت المادة الثالثة من القرار بأنه (لا يُأذن بزواج من بلغ شرعاً ولم يكمل الثامنة عشرة من عمره، إلا وفق الضوابط المنصوص عليها في هذا القرار). كما نصت المادة (4) من </w:t>
      </w:r>
      <w:r w:rsidRPr="00075D94">
        <w:rPr>
          <w:rFonts w:ascii="Sakkal Majalla" w:eastAsia="Calibri" w:hAnsi="Sakkal Majalla" w:cs="Sakkal Majalla" w:hint="cs"/>
          <w:b/>
          <w:bCs/>
          <w:sz w:val="32"/>
          <w:szCs w:val="32"/>
          <w:rtl/>
          <w:lang w:val="en-US" w:bidi="ar-AE"/>
        </w:rPr>
        <w:lastRenderedPageBreak/>
        <w:t>القرار على تشكيل اللجنة التي تنظر في طلبات الزواج واختصاصاتها</w:t>
      </w:r>
      <w:bookmarkStart w:id="0" w:name="Anchor204"/>
      <w:bookmarkEnd w:id="0"/>
      <w:r w:rsidRPr="00075D94">
        <w:rPr>
          <w:rFonts w:ascii="Sakkal Majalla" w:eastAsia="Calibri" w:hAnsi="Sakkal Majalla" w:cs="Sakkal Majalla" w:hint="cs"/>
          <w:b/>
          <w:bCs/>
          <w:sz w:val="32"/>
          <w:szCs w:val="32"/>
          <w:rtl/>
          <w:lang w:val="en-US" w:bidi="ar-AE"/>
        </w:rPr>
        <w:t xml:space="preserve"> بقرار من وزير العدل أو رئيس الجهة القضائية المحلية، بحسب الأحوال، لتتولى الاختصاصات الآتية:</w:t>
      </w:r>
    </w:p>
    <w:p w14:paraId="52D81413" w14:textId="77777777" w:rsidR="00075D94" w:rsidRPr="00075D94" w:rsidRDefault="00075D94" w:rsidP="00075D94">
      <w:pPr>
        <w:suppressAutoHyphens w:val="0"/>
        <w:bidi/>
        <w:spacing w:after="160" w:line="256" w:lineRule="auto"/>
        <w:ind w:left="720"/>
        <w:contextualSpacing/>
        <w:jc w:val="both"/>
        <w:rPr>
          <w:rFonts w:ascii="Sakkal Majalla" w:eastAsia="Calibri" w:hAnsi="Sakkal Majalla" w:cs="Sakkal Majalla" w:hint="cs"/>
          <w:b/>
          <w:bCs/>
          <w:sz w:val="32"/>
          <w:szCs w:val="32"/>
          <w:rtl/>
          <w:lang w:val="en-US" w:bidi="ar-AE"/>
        </w:rPr>
      </w:pPr>
      <w:bookmarkStart w:id="1" w:name="Anchor215"/>
      <w:bookmarkEnd w:id="1"/>
      <w:r w:rsidRPr="00075D94">
        <w:rPr>
          <w:rFonts w:ascii="Sakkal Majalla" w:eastAsia="Calibri" w:hAnsi="Sakkal Majalla" w:cs="Sakkal Majalla" w:hint="cs"/>
          <w:b/>
          <w:bCs/>
          <w:sz w:val="32"/>
          <w:szCs w:val="32"/>
          <w:rtl/>
          <w:lang w:val="en-US" w:bidi="ar-AE"/>
        </w:rPr>
        <w:t>أ- النظر في طلبات الإذن بالزواج لمن بلغ شرعاً ولم يبلغ الثامنة عشرة من العمر.</w:t>
      </w:r>
    </w:p>
    <w:p w14:paraId="4686F64B" w14:textId="77777777" w:rsidR="00075D94" w:rsidRPr="00075D94" w:rsidRDefault="00075D94" w:rsidP="00075D94">
      <w:pPr>
        <w:suppressAutoHyphens w:val="0"/>
        <w:bidi/>
        <w:spacing w:after="160" w:line="256" w:lineRule="auto"/>
        <w:ind w:left="720"/>
        <w:contextualSpacing/>
        <w:jc w:val="both"/>
        <w:rPr>
          <w:rFonts w:ascii="Sakkal Majalla" w:eastAsia="Calibri" w:hAnsi="Sakkal Majalla" w:cs="Sakkal Majalla" w:hint="cs"/>
          <w:b/>
          <w:bCs/>
          <w:sz w:val="32"/>
          <w:szCs w:val="32"/>
          <w:rtl/>
          <w:lang w:val="en-US" w:bidi="ar-AE"/>
        </w:rPr>
      </w:pPr>
      <w:bookmarkStart w:id="2" w:name="Anchor223"/>
      <w:bookmarkEnd w:id="2"/>
      <w:r w:rsidRPr="00075D94">
        <w:rPr>
          <w:rFonts w:ascii="Sakkal Majalla" w:eastAsia="Calibri" w:hAnsi="Sakkal Majalla" w:cs="Sakkal Majalla" w:hint="cs"/>
          <w:b/>
          <w:bCs/>
          <w:sz w:val="32"/>
          <w:szCs w:val="32"/>
          <w:rtl/>
          <w:lang w:val="en-US" w:bidi="ar-AE"/>
        </w:rPr>
        <w:t>ب- مقابلة الخاطب والمخطوبة وذوي الشأن.</w:t>
      </w:r>
    </w:p>
    <w:p w14:paraId="42A36979" w14:textId="77777777" w:rsidR="00075D94" w:rsidRPr="00075D94" w:rsidRDefault="00075D94" w:rsidP="00075D94">
      <w:pPr>
        <w:suppressAutoHyphens w:val="0"/>
        <w:bidi/>
        <w:spacing w:after="160" w:line="256" w:lineRule="auto"/>
        <w:ind w:left="720"/>
        <w:contextualSpacing/>
        <w:jc w:val="both"/>
        <w:rPr>
          <w:rFonts w:ascii="Sakkal Majalla" w:eastAsia="Calibri" w:hAnsi="Sakkal Majalla" w:cs="Sakkal Majalla" w:hint="cs"/>
          <w:b/>
          <w:bCs/>
          <w:sz w:val="32"/>
          <w:szCs w:val="32"/>
          <w:rtl/>
          <w:lang w:val="en-US" w:bidi="ar-AE"/>
        </w:rPr>
      </w:pPr>
      <w:bookmarkStart w:id="3" w:name="Anchor228"/>
      <w:bookmarkEnd w:id="3"/>
      <w:r w:rsidRPr="00075D94">
        <w:rPr>
          <w:rFonts w:ascii="Sakkal Majalla" w:eastAsia="Calibri" w:hAnsi="Sakkal Majalla" w:cs="Sakkal Majalla" w:hint="cs"/>
          <w:b/>
          <w:bCs/>
          <w:sz w:val="32"/>
          <w:szCs w:val="32"/>
          <w:rtl/>
          <w:lang w:val="en-US" w:bidi="ar-AE"/>
        </w:rPr>
        <w:t>ج- إعداد تقرير شامل عن مدى ملاءمة منح الإذن بالزواج من عدمه.</w:t>
      </w:r>
    </w:p>
    <w:p w14:paraId="121212B6" w14:textId="77777777" w:rsidR="00075D94" w:rsidRPr="00075D94" w:rsidRDefault="00075D94" w:rsidP="00075D94">
      <w:pPr>
        <w:numPr>
          <w:ilvl w:val="0"/>
          <w:numId w:val="22"/>
        </w:numPr>
        <w:suppressAutoHyphens w:val="0"/>
        <w:bidi/>
        <w:spacing w:after="160" w:line="260" w:lineRule="atLeast"/>
        <w:contextualSpacing/>
        <w:jc w:val="both"/>
        <w:rPr>
          <w:rFonts w:ascii="Sakkal Majalla" w:hAnsi="Sakkal Majalla" w:cs="Sakkal Majalla" w:hint="cs"/>
          <w:b/>
          <w:bCs/>
          <w:color w:val="000000"/>
          <w:sz w:val="32"/>
          <w:szCs w:val="32"/>
          <w:rtl/>
          <w:lang w:val="en-US" w:bidi="ar-AE"/>
        </w:rPr>
      </w:pPr>
      <w:r w:rsidRPr="00075D94">
        <w:rPr>
          <w:rFonts w:ascii="Sakkal Majalla" w:hAnsi="Sakkal Majalla" w:cs="Sakkal Majalla" w:hint="cs"/>
          <w:b/>
          <w:bCs/>
          <w:color w:val="000000"/>
          <w:sz w:val="32"/>
          <w:szCs w:val="32"/>
          <w:rtl/>
          <w:lang w:val="en-US" w:bidi="ar-AE"/>
        </w:rPr>
        <w:t>حدد المادة 6 ضوابط واجب على اللجنة الالتزام بها في اعداد تقريرها: حيث تلتزم اللجنة في إعداد تقريرها بالضوابط الآتية:</w:t>
      </w:r>
    </w:p>
    <w:p w14:paraId="5A649C18"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4" w:name="Anchor302"/>
      <w:bookmarkEnd w:id="4"/>
      <w:r w:rsidRPr="00075D94">
        <w:rPr>
          <w:rFonts w:ascii="Sakkal Majalla" w:hAnsi="Sakkal Majalla" w:cs="Sakkal Majalla" w:hint="cs"/>
          <w:b/>
          <w:bCs/>
          <w:color w:val="000000"/>
          <w:sz w:val="32"/>
          <w:szCs w:val="32"/>
          <w:rtl/>
          <w:lang w:val="en-US" w:bidi="ar-AE"/>
        </w:rPr>
        <w:t>1- أن يتقدم كل من الخاطب والمخطوبة بشهادة من اللجنة الطبية تثبت اكتمال البلوغ، وأنه لا خطورة على حياة المخطوبة وسلامتها الجسدية من الحمل والإنجاب.</w:t>
      </w:r>
    </w:p>
    <w:p w14:paraId="60C52599"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5" w:name="Anchor318"/>
      <w:bookmarkEnd w:id="5"/>
      <w:r w:rsidRPr="00075D94">
        <w:rPr>
          <w:rFonts w:ascii="Sakkal Majalla" w:hAnsi="Sakkal Majalla" w:cs="Sakkal Majalla" w:hint="cs"/>
          <w:b/>
          <w:bCs/>
          <w:color w:val="000000"/>
          <w:sz w:val="32"/>
          <w:szCs w:val="32"/>
          <w:rtl/>
          <w:lang w:val="en-US" w:bidi="ar-AE"/>
        </w:rPr>
        <w:t>2- التأكد من الموافقة الشخصية للمخطوبة للتثبت من عدم إكراهها على الزواج من الخاطب.</w:t>
      </w:r>
    </w:p>
    <w:p w14:paraId="06405978"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6" w:name="Anchor327"/>
      <w:bookmarkEnd w:id="6"/>
      <w:r w:rsidRPr="00075D94">
        <w:rPr>
          <w:rFonts w:ascii="Sakkal Majalla" w:hAnsi="Sakkal Majalla" w:cs="Sakkal Majalla" w:hint="cs"/>
          <w:b/>
          <w:bCs/>
          <w:color w:val="000000"/>
          <w:sz w:val="32"/>
          <w:szCs w:val="32"/>
          <w:rtl/>
          <w:lang w:val="en-US" w:bidi="ar-AE"/>
        </w:rPr>
        <w:t>3- التأكد من أن المخطوبة أهل لتحمل الواجبات الزوجية وعلى إدراك تام بأعباء الزواج وتبعاته.</w:t>
      </w:r>
    </w:p>
    <w:p w14:paraId="6DB4FFDF"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7" w:name="Anchor337"/>
      <w:bookmarkEnd w:id="7"/>
      <w:r w:rsidRPr="00075D94">
        <w:rPr>
          <w:rFonts w:ascii="Sakkal Majalla" w:hAnsi="Sakkal Majalla" w:cs="Sakkal Majalla" w:hint="cs"/>
          <w:b/>
          <w:bCs/>
          <w:color w:val="000000"/>
          <w:sz w:val="32"/>
          <w:szCs w:val="32"/>
          <w:rtl/>
          <w:lang w:val="en-US" w:bidi="ar-AE"/>
        </w:rPr>
        <w:t>4- أن يقدم الخاطب ما يثبت قدرته على الإنفاق بعد الزواج، أو أن يقدم إقراراً موثقاً حسب الأصول المرعية من وليه الشرعي أو الوصي عليه يقرُّ فيه بتعهده بالإنفاق على الزوجين بعد زواجهما لحين بلوغ الزوج السن الذي يكتسب فيه أمثاله.</w:t>
      </w:r>
    </w:p>
    <w:p w14:paraId="53C8FF74"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8" w:name="Anchor359"/>
      <w:bookmarkEnd w:id="8"/>
      <w:r w:rsidRPr="00075D94">
        <w:rPr>
          <w:rFonts w:ascii="Sakkal Majalla" w:hAnsi="Sakkal Majalla" w:cs="Sakkal Majalla" w:hint="cs"/>
          <w:b/>
          <w:bCs/>
          <w:color w:val="000000"/>
          <w:sz w:val="32"/>
          <w:szCs w:val="32"/>
          <w:rtl/>
          <w:lang w:val="en-US" w:bidi="ar-AE"/>
        </w:rPr>
        <w:t>5- أن تتحقق اللجنة بوجه عام من توافر أركان وشروط صحة الزواج، وعليها في سبيل ذلك التحقق مما يأتي:</w:t>
      </w:r>
    </w:p>
    <w:p w14:paraId="60FCDF47"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9" w:name="Anchor369"/>
      <w:bookmarkEnd w:id="9"/>
      <w:r w:rsidRPr="00075D94">
        <w:rPr>
          <w:rFonts w:ascii="Sakkal Majalla" w:hAnsi="Sakkal Majalla" w:cs="Sakkal Majalla" w:hint="cs"/>
          <w:b/>
          <w:bCs/>
          <w:color w:val="000000"/>
          <w:sz w:val="32"/>
          <w:szCs w:val="32"/>
          <w:rtl/>
          <w:lang w:val="en-US" w:bidi="ar-AE"/>
        </w:rPr>
        <w:t>أ- من عدم وجود ضرر يُرجح وقوعه على الإذن بزواج الخاطب والمخطوبة بالنظر إلى الحالة الاجتماعية والظروف المعيشية لكلٍ منهما.</w:t>
      </w:r>
    </w:p>
    <w:p w14:paraId="600E9456"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10" w:name="Anchor382"/>
      <w:bookmarkEnd w:id="10"/>
      <w:r w:rsidRPr="00075D94">
        <w:rPr>
          <w:rFonts w:ascii="Sakkal Majalla" w:hAnsi="Sakkal Majalla" w:cs="Sakkal Majalla" w:hint="cs"/>
          <w:b/>
          <w:bCs/>
          <w:color w:val="000000"/>
          <w:sz w:val="32"/>
          <w:szCs w:val="32"/>
          <w:rtl/>
          <w:lang w:val="en-US" w:bidi="ar-AE"/>
        </w:rPr>
        <w:t>ب- مدى التناسب بين الخاطب والمخطوبة في السن والكفاءة الاجتماعية والمالية.</w:t>
      </w:r>
    </w:p>
    <w:p w14:paraId="2A5D9683"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11" w:name="Anchor390"/>
      <w:bookmarkEnd w:id="11"/>
      <w:r w:rsidRPr="00075D94">
        <w:rPr>
          <w:rFonts w:ascii="Sakkal Majalla" w:hAnsi="Sakkal Majalla" w:cs="Sakkal Majalla" w:hint="cs"/>
          <w:b/>
          <w:bCs/>
          <w:color w:val="000000"/>
          <w:sz w:val="32"/>
          <w:szCs w:val="32"/>
          <w:rtl/>
          <w:lang w:val="en-US" w:bidi="ar-AE"/>
        </w:rPr>
        <w:t>ج- التحقق من توفير الخاطب لمسكن الزوجية اللائق وقدرته على النفقة بعد الزواج.</w:t>
      </w:r>
    </w:p>
    <w:p w14:paraId="6363EF50"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12" w:name="Anchor399"/>
      <w:bookmarkEnd w:id="12"/>
      <w:r w:rsidRPr="00075D94">
        <w:rPr>
          <w:rFonts w:ascii="Sakkal Majalla" w:hAnsi="Sakkal Majalla" w:cs="Sakkal Majalla" w:hint="cs"/>
          <w:b/>
          <w:bCs/>
          <w:color w:val="000000"/>
          <w:sz w:val="32"/>
          <w:szCs w:val="32"/>
          <w:rtl/>
          <w:lang w:val="en-US" w:bidi="ar-AE"/>
        </w:rPr>
        <w:t>د- مدى تأثير الزواج على مستقبل المخطوبة التعليمي ودراستها.</w:t>
      </w:r>
    </w:p>
    <w:p w14:paraId="0BE0B418"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lang w:val="en-US" w:bidi="ar-AE"/>
        </w:rPr>
      </w:pPr>
    </w:p>
    <w:p w14:paraId="4669C300" w14:textId="77777777" w:rsidR="00075D94" w:rsidRPr="00075D94" w:rsidRDefault="00075D94" w:rsidP="00075D94">
      <w:pPr>
        <w:numPr>
          <w:ilvl w:val="0"/>
          <w:numId w:val="22"/>
        </w:numPr>
        <w:suppressAutoHyphens w:val="0"/>
        <w:bidi/>
        <w:spacing w:after="160" w:line="260" w:lineRule="atLeast"/>
        <w:contextualSpacing/>
        <w:jc w:val="both"/>
        <w:rPr>
          <w:rFonts w:ascii="Sakkal Majalla" w:hAnsi="Sakkal Majalla" w:cs="Sakkal Majalla" w:hint="cs"/>
          <w:b/>
          <w:bCs/>
          <w:color w:val="000000"/>
          <w:sz w:val="32"/>
          <w:szCs w:val="32"/>
          <w:lang w:val="en-US" w:bidi="ar-AE"/>
        </w:rPr>
      </w:pPr>
      <w:r w:rsidRPr="00075D94">
        <w:rPr>
          <w:rFonts w:ascii="Sakkal Majalla" w:hAnsi="Sakkal Majalla" w:cs="Sakkal Majalla" w:hint="cs"/>
          <w:b/>
          <w:bCs/>
          <w:color w:val="000000"/>
          <w:sz w:val="32"/>
          <w:szCs w:val="32"/>
          <w:rtl/>
          <w:lang w:val="en-US" w:bidi="ar-AE"/>
        </w:rPr>
        <w:t xml:space="preserve">نصت المادة 8 على أنه </w:t>
      </w:r>
      <w:bookmarkStart w:id="13" w:name="Anchor429"/>
      <w:bookmarkEnd w:id="13"/>
      <w:r w:rsidRPr="00075D94">
        <w:rPr>
          <w:rFonts w:ascii="Sakkal Majalla" w:hAnsi="Sakkal Majalla" w:cs="Sakkal Majalla" w:hint="cs"/>
          <w:b/>
          <w:bCs/>
          <w:color w:val="000000"/>
          <w:sz w:val="32"/>
          <w:szCs w:val="32"/>
          <w:rtl/>
          <w:lang w:val="en-US" w:bidi="ar-AE"/>
        </w:rPr>
        <w:t>(يُصدر رئيس المحكمة المختص قراره بالإذن بالزواج أو رفضه استرشاداً بالرأي الذي انتهى إليه تقرير اللجنة، وله- قبل إصدار قراره- تكليف اللجنة باستيفاء ما قد يراه لازماً لصحة الفصل في الطلب المعروض عليها.</w:t>
      </w:r>
    </w:p>
    <w:p w14:paraId="626ABF60" w14:textId="77777777" w:rsidR="00075D94" w:rsidRPr="00075D94" w:rsidRDefault="00075D94" w:rsidP="00075D94">
      <w:pPr>
        <w:suppressAutoHyphens w:val="0"/>
        <w:bidi/>
        <w:spacing w:line="260" w:lineRule="atLeast"/>
        <w:ind w:firstLine="216"/>
        <w:jc w:val="both"/>
        <w:rPr>
          <w:rFonts w:ascii="Sakkal Majalla" w:hAnsi="Sakkal Majalla" w:cs="Sakkal Majalla" w:hint="cs"/>
          <w:b/>
          <w:bCs/>
          <w:color w:val="000000"/>
          <w:sz w:val="32"/>
          <w:szCs w:val="32"/>
          <w:rtl/>
          <w:lang w:val="en-US" w:bidi="ar-AE"/>
        </w:rPr>
      </w:pPr>
      <w:bookmarkStart w:id="14" w:name="Anchor450"/>
      <w:bookmarkEnd w:id="14"/>
      <w:r w:rsidRPr="00075D94">
        <w:rPr>
          <w:rFonts w:ascii="Sakkal Majalla" w:hAnsi="Sakkal Majalla" w:cs="Sakkal Majalla" w:hint="cs"/>
          <w:b/>
          <w:bCs/>
          <w:color w:val="000000"/>
          <w:sz w:val="32"/>
          <w:szCs w:val="32"/>
          <w:rtl/>
          <w:lang w:val="en-US" w:bidi="ar-AE"/>
        </w:rPr>
        <w:t>ولرئيس المحكمة المختص بالإذن بالزواج لمن بلغ شرعاً ولم يبلغ الثامنة عشرة من العمر في بعض الحالات الاستثنائية لمراعاة القيم والتقاليد المرعية.</w:t>
      </w:r>
    </w:p>
    <w:p w14:paraId="343CA0B0"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u w:val="single"/>
          <w:rtl/>
          <w:lang w:val="en-US" w:bidi="ar-AE"/>
        </w:rPr>
      </w:pPr>
    </w:p>
    <w:p w14:paraId="14ED5F79"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u w:val="single"/>
          <w:rtl/>
          <w:lang w:val="en-US" w:bidi="ar-AE"/>
        </w:rPr>
        <w:t>ثانيا: التوصية رقم (41):</w:t>
      </w:r>
      <w:r w:rsidRPr="00075D94">
        <w:rPr>
          <w:rFonts w:ascii="Sakkal Majalla" w:eastAsia="Calibri" w:hAnsi="Sakkal Majalla" w:cs="Sakkal Majalla" w:hint="cs"/>
          <w:b/>
          <w:bCs/>
          <w:sz w:val="32"/>
          <w:szCs w:val="32"/>
          <w:rtl/>
          <w:lang w:val="en-US" w:bidi="ar-AE"/>
        </w:rPr>
        <w:t xml:space="preserve"> (إن اللجنة، إذ تشير إلى ملاحظاتها الختامية السابقة (</w:t>
      </w:r>
      <w:r w:rsidRPr="00075D94">
        <w:rPr>
          <w:rFonts w:ascii="Sakkal Majalla" w:eastAsia="Calibri" w:hAnsi="Sakkal Majalla" w:cs="Sakkal Majalla" w:hint="cs"/>
          <w:b/>
          <w:bCs/>
          <w:sz w:val="32"/>
          <w:szCs w:val="32"/>
          <w:lang w:val="en-US" w:bidi="ar-AE"/>
        </w:rPr>
        <w:t>CEDAW/C/ARE/CO/1</w:t>
      </w:r>
      <w:r w:rsidRPr="00075D94">
        <w:rPr>
          <w:rFonts w:ascii="Sakkal Majalla" w:eastAsia="Calibri" w:hAnsi="Sakkal Majalla" w:cs="Sakkal Majalla" w:hint="cs"/>
          <w:b/>
          <w:bCs/>
          <w:sz w:val="32"/>
          <w:szCs w:val="32"/>
          <w:rtl/>
          <w:lang w:val="en-US" w:bidi="ar-AE"/>
        </w:rPr>
        <w:t>، الفقرة 33، و </w:t>
      </w:r>
      <w:r w:rsidRPr="00075D94">
        <w:rPr>
          <w:rFonts w:ascii="Sakkal Majalla" w:eastAsia="Calibri" w:hAnsi="Sakkal Majalla" w:cs="Sakkal Majalla" w:hint="cs"/>
          <w:b/>
          <w:bCs/>
          <w:sz w:val="32"/>
          <w:szCs w:val="32"/>
          <w:rtl/>
          <w:lang w:val="en-US" w:bidi="ar-AE"/>
        </w:rPr>
        <w:fldChar w:fldCharType="begin"/>
      </w:r>
      <w:r w:rsidRPr="00075D94">
        <w:rPr>
          <w:rFonts w:ascii="Sakkal Majalla" w:eastAsia="Calibri" w:hAnsi="Sakkal Majalla" w:cs="Sakkal Majalla" w:hint="cs"/>
          <w:b/>
          <w:bCs/>
          <w:sz w:val="32"/>
          <w:szCs w:val="32"/>
          <w:lang w:val="en-US" w:bidi="ar-AE"/>
        </w:rPr>
        <w:instrText xml:space="preserve"> DOCVARIABLE "sss1" \* MERGEFORMAT </w:instrText>
      </w:r>
      <w:r w:rsidRPr="00075D94">
        <w:rPr>
          <w:rFonts w:ascii="Sakkal Majalla" w:eastAsia="Calibri" w:hAnsi="Sakkal Majalla" w:cs="Sakkal Majalla"/>
          <w:b/>
          <w:bCs/>
          <w:sz w:val="32"/>
          <w:szCs w:val="32"/>
          <w:rtl/>
          <w:lang w:val="en-US" w:bidi="ar-AE"/>
        </w:rPr>
        <w:fldChar w:fldCharType="separate"/>
      </w:r>
      <w:r w:rsidRPr="00075D94">
        <w:rPr>
          <w:rFonts w:ascii="Sakkal Majalla" w:eastAsia="Calibri" w:hAnsi="Sakkal Majalla" w:cs="Sakkal Majalla" w:hint="cs"/>
          <w:b/>
          <w:bCs/>
          <w:sz w:val="32"/>
          <w:szCs w:val="32"/>
          <w:lang w:val="en-US" w:bidi="ar-AE"/>
        </w:rPr>
        <w:t>CEDAW/C/ARE/CO/2-3</w:t>
      </w:r>
      <w:r w:rsidRPr="00075D94">
        <w:rPr>
          <w:rFonts w:ascii="Sakkal Majalla" w:eastAsia="Calibri" w:hAnsi="Sakkal Majalla" w:cs="Sakkal Majalla" w:hint="cs"/>
          <w:b/>
          <w:bCs/>
          <w:sz w:val="32"/>
          <w:szCs w:val="32"/>
          <w:rtl/>
          <w:lang w:val="en-US" w:bidi="ar-AE"/>
        </w:rPr>
        <w:fldChar w:fldCharType="end"/>
      </w:r>
      <w:r w:rsidRPr="00075D94">
        <w:rPr>
          <w:rFonts w:ascii="Sakkal Majalla" w:eastAsia="Calibri" w:hAnsi="Sakkal Majalla" w:cs="Sakkal Majalla" w:hint="cs"/>
          <w:b/>
          <w:bCs/>
          <w:sz w:val="32"/>
          <w:szCs w:val="32"/>
          <w:rtl/>
          <w:lang w:val="en-US" w:bidi="ar-AE"/>
        </w:rPr>
        <w:t xml:space="preserve">، الفقرة 36)، توصي بأن تمنح الدولة الطرف الإماراتيات نفس </w:t>
      </w:r>
      <w:r w:rsidRPr="00075D94">
        <w:rPr>
          <w:rFonts w:ascii="Sakkal Majalla" w:eastAsia="Calibri" w:hAnsi="Sakkal Majalla" w:cs="Sakkal Majalla" w:hint="cs"/>
          <w:b/>
          <w:bCs/>
          <w:sz w:val="32"/>
          <w:szCs w:val="32"/>
          <w:rtl/>
          <w:lang w:val="en-US" w:bidi="ar-AE"/>
        </w:rPr>
        <w:lastRenderedPageBreak/>
        <w:t xml:space="preserve">الحقوق التي يتمتع الإماراتيون فيما يتعلق بالحصول على الجنسية وتغييرها والاحتفاظ بها ونقلها إلى أطفالهن وأزواجهن الأجانب. وفي هذا الصدد، توصي اللجنة بأن تنقح الدولة الطرف تشريعاتها، وتسحب تحفظها على المادة 9 من الاتفاقية، وتصدّق على اتفاقية عام 1951 المتعلقة بمركز اللاجئين وبروتوكولها لعام 1967، والاتفاقية المتعلقة بوضع الأشخاص عديمي الجنسية لعام 1954، واتفاقية خفض حالات انعدام الجنسية لعام 1961. كما توصي اللجنة بأن تقوم الدولة الطرف بتسوية وضع النساء والفتيات عديمات الجنسية وضمان حقهن في الجنسية، وإلغاء الأحكام التي تجعل تقديم شهادات الميلاد مشروطا بتقديم شهادة زواج صالحة، وجمع بيانات مصنفة حسب الجنس والعمر عن عدد الأشخاص عديمي الجنسية في الدولة الطرف) </w:t>
      </w:r>
    </w:p>
    <w:p w14:paraId="71746F22"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1- قامت دولة الامارات بإجراء تعديل على القانون الاتحادي رقم (17) لسنة 1972 في شأن الجنسية وجوازات السفر بموجب المرسوم بقانون اتحادي رقم (16) لسنة 2017. حيث تم إضافة المادة (10) مكرر والتي نصت على أنه " 1-يجوز منح الجنسية لأبناء وبنات المواطنة المتزوجة من أجنبي بعد مرور مدة لا تقل عن ست سنوات من تاريخ الميلاد شريطة أن تكون الأم متمتعة بالجنسية وقت ميلاده حتى تاريخ طلب الحصول على الجنسية، وفق الضوابط التي تحددها اللائحة التنفيذية. 2- يجوز منح الجنسية لأبناء المواطنة من أب أجنبي الجنسية والمتزوجة من أجنبي وذلك وفقا للضوابط التي تحددها اللائحة التنفيذية لهذا المرسوم بقانون."</w:t>
      </w:r>
    </w:p>
    <w:p w14:paraId="1AD864D0"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2- فيما يتعلق النساء والفتيات عديمات الجنسية تعاملت دولة الامارات العربية المتحدة بجدية خلال السنوات سابقة مع هذا الملف بمنهجية تقوم على علاج جذور المشكلة وأهمية البعد عن الحلول المؤقتة، وعليه فقد تم التعامل مع هذا الملف من خلال حصول كل شخص من هذه الفئة على جنسية دولته الأصلية التي ينتمي لها بما يحقق له المركز القانوني المؤهل لاكتساب الحقوق والتحمل بالالتزامات.</w:t>
      </w:r>
    </w:p>
    <w:p w14:paraId="7AA043F8"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 xml:space="preserve">3-  إن اجمالي عدد أبناء المواطنات اللاتي حصل ابناءهن على جنسية الدولة خلال الخمس اعوام الأخيرة (12,722) حتى تاريخه، ولعل من الاهمية بمكان أن نشير ان عدد المستفيدين من احكام المادة العاشرة من القانون الاتحادي رقم 17 لسنة 1972 وتعديلاته في تغيير مستمر على اعتبار أن ملف أبناء المواطنات لم يعد بعد صدور المرسوم بقانون اتحادي رقم (16) لسنة 2017 م في شأن تعديل بعض أحكام القانون الاتحادي رقم (17) لسنة 1972م في شأن الجنسية وجوازات السفر، ذلك الملف الاستثنائي وانما أصبح جزء من الأحكام الواردة في قانون الجنسية يتم التعامل معه في ظل الاشتراطات الواردة في المادة العاشرة من قبل الهيئة الاتحادية للهوية والجنسية والجمارك وأمن المنافذ كمعاملة عادية مع الطلبات التي ترد إليها كغيرها من الأنشطة الاعتيادية في الهيئة.  </w:t>
      </w:r>
    </w:p>
    <w:p w14:paraId="715C7B13"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u w:val="single"/>
          <w:rtl/>
          <w:lang w:val="en-US" w:bidi="ar-AE"/>
        </w:rPr>
      </w:pPr>
      <w:r w:rsidRPr="00075D94">
        <w:rPr>
          <w:rFonts w:ascii="Sakkal Majalla" w:eastAsia="Calibri" w:hAnsi="Sakkal Majalla" w:cs="Sakkal Majalla" w:hint="cs"/>
          <w:b/>
          <w:bCs/>
          <w:sz w:val="32"/>
          <w:szCs w:val="32"/>
          <w:u w:val="single"/>
          <w:rtl/>
          <w:lang w:val="en-US" w:bidi="ar-AE"/>
        </w:rPr>
        <w:t>ثالثا: التوصية رقم (47) توصي اللجنة بأن تقوم الدولة الطرف بما يلي:</w:t>
      </w:r>
    </w:p>
    <w:p w14:paraId="03EA7D05"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lastRenderedPageBreak/>
        <w:tab/>
        <w:t>(أ)</w:t>
      </w:r>
      <w:r w:rsidRPr="00075D94">
        <w:rPr>
          <w:rFonts w:ascii="Sakkal Majalla" w:eastAsia="Calibri" w:hAnsi="Sakkal Majalla" w:cs="Sakkal Majalla" w:hint="cs"/>
          <w:b/>
          <w:bCs/>
          <w:sz w:val="32"/>
          <w:szCs w:val="32"/>
          <w:rtl/>
          <w:lang w:val="en-US" w:bidi="ar-AE"/>
        </w:rPr>
        <w:tab/>
        <w:t>إلغاء نظام الكفالة والقضاء على هذه الممارسات، وضمان التنفيذ الكامل للسياسات والتدابير التي تحمي العمال الأجانب، وضمان قدرة أولئك الذين يعانون من سوء المعاملة أو الاستغلال على الوصول الكامل إلى سبل الانتصاف المناسبة؛</w:t>
      </w:r>
    </w:p>
    <w:p w14:paraId="55CAD8B2" w14:textId="77777777" w:rsidR="00075D94" w:rsidRPr="00075D94" w:rsidRDefault="00075D94" w:rsidP="00075D94">
      <w:pPr>
        <w:numPr>
          <w:ilvl w:val="0"/>
          <w:numId w:val="22"/>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فيما يتعلق بدخول وإقامة الأجانب:</w:t>
      </w:r>
    </w:p>
    <w:p w14:paraId="61E80120" w14:textId="77777777" w:rsidR="00075D94" w:rsidRPr="00075D94" w:rsidRDefault="00075D94" w:rsidP="00075D94">
      <w:pPr>
        <w:numPr>
          <w:ilvl w:val="0"/>
          <w:numId w:val="23"/>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 xml:space="preserve">استحدث القانون الاتحادي رقم 29 لسنة 2021 بشأن دخول وإقامة الأجانب ولائحته التنفيذية، منظومة جديدة للدخول والإقامة في دولة الإمارات العربية المتحدة بما بتناسب مع الواقع الحالي وكذلك منح المقيمين استقلالية في ممارسة نشاطهم المهني والتجاري.   </w:t>
      </w:r>
    </w:p>
    <w:p w14:paraId="1C800803" w14:textId="77777777" w:rsidR="00075D94" w:rsidRPr="00075D94" w:rsidRDefault="00075D94" w:rsidP="00075D94">
      <w:pPr>
        <w:numPr>
          <w:ilvl w:val="0"/>
          <w:numId w:val="23"/>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وبموجب قرار مجلس الوزراء رقم (65) لسنة 2022  وإصدار اللائحة التنفيذية لقانون دخول وإقامة الاجانب  تم بموجبه اطلاق منظومة جديدة للتأشيرات تفصل بشكل كامل بين الإقامة والعمل وتتيح للأجانب الحصول على مجموعة متنوعة من تأشيرات الدخول والإقامات من ضمنها تأشيرة الباحث عن عمل و تأشيرات للسماح  للعامل الأجنبي باستقدام أفراد أسرته وفق شروط واجراءات أكثر يسراً، كما تسمح للأجنبي بالبقاء في الدولة بعد انتهاء أو إلغاء اقامته لمدة تتراوح بين شهر الى ستة أشهر، كما لا تشترط التشريعات والاجراءات النافذة في الدولة حصول العامل على موافقة او أي تصريح مسبق من صاحب العمل لمغادرة الدولة.</w:t>
      </w:r>
    </w:p>
    <w:p w14:paraId="76C01754"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lang w:val="en-US" w:bidi="ar-AE"/>
        </w:rPr>
      </w:pPr>
    </w:p>
    <w:p w14:paraId="424BF337"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p>
    <w:p w14:paraId="76BE6F00" w14:textId="77777777" w:rsidR="00075D94" w:rsidRPr="00075D94" w:rsidRDefault="00075D94" w:rsidP="00075D94">
      <w:pPr>
        <w:numPr>
          <w:ilvl w:val="0"/>
          <w:numId w:val="22"/>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 xml:space="preserve">قطاع العمل: </w:t>
      </w:r>
    </w:p>
    <w:p w14:paraId="02B55408" w14:textId="77777777" w:rsidR="00075D94" w:rsidRPr="00075D94" w:rsidRDefault="00075D94" w:rsidP="00075D94">
      <w:pPr>
        <w:numPr>
          <w:ilvl w:val="0"/>
          <w:numId w:val="24"/>
        </w:numPr>
        <w:suppressAutoHyphens w:val="0"/>
        <w:bidi/>
        <w:spacing w:after="160" w:line="256" w:lineRule="auto"/>
        <w:contextualSpacing/>
        <w:jc w:val="both"/>
        <w:rPr>
          <w:rFonts w:ascii="Sakkal Majalla" w:eastAsia="Calibri" w:hAnsi="Sakkal Majalla" w:cs="Sakkal Majalla" w:hint="cs"/>
          <w:b/>
          <w:bCs/>
          <w:sz w:val="32"/>
          <w:szCs w:val="32"/>
          <w:rtl/>
          <w:lang w:bidi="ar-AE"/>
        </w:rPr>
      </w:pPr>
      <w:r w:rsidRPr="00075D94">
        <w:rPr>
          <w:rFonts w:ascii="Sakkal Majalla" w:eastAsia="Calibri" w:hAnsi="Sakkal Majalla" w:cs="Sakkal Majalla" w:hint="cs"/>
          <w:b/>
          <w:bCs/>
          <w:sz w:val="32"/>
          <w:szCs w:val="32"/>
          <w:rtl/>
          <w:lang w:val="en-US" w:bidi="ar-AE"/>
        </w:rPr>
        <w:t>قامت دولة الإمارات العربية المتحدة بتفكيك نظام الكفالة بشكل كامل في عام 2021 بموجب المرسوم بقانون رقم 33 لنفس العام، حيث يتيح القانون للعمال الأجانب في جميع القطاعات الاقتصادية، بما في ذلك العمل المنزلي، بتغيير أصحاب العمل أو إنهاء علاقة العمل أو الانتقال في سوق العمل وفق شروط محددة، كالتالي</w:t>
      </w:r>
      <w:r w:rsidRPr="00075D94">
        <w:rPr>
          <w:rFonts w:ascii="Sakkal Majalla" w:eastAsia="Calibri" w:hAnsi="Sakkal Majalla" w:cs="Sakkal Majalla" w:hint="cs"/>
          <w:b/>
          <w:bCs/>
          <w:sz w:val="32"/>
          <w:szCs w:val="32"/>
          <w:lang w:bidi="ar-AE"/>
        </w:rPr>
        <w:t>:</w:t>
      </w:r>
    </w:p>
    <w:p w14:paraId="0165624B" w14:textId="77777777" w:rsidR="00075D94" w:rsidRPr="00075D94" w:rsidRDefault="00075D94" w:rsidP="00075D94">
      <w:pPr>
        <w:numPr>
          <w:ilvl w:val="0"/>
          <w:numId w:val="24"/>
        </w:numPr>
        <w:suppressAutoHyphens w:val="0"/>
        <w:bidi/>
        <w:spacing w:after="160" w:line="256" w:lineRule="auto"/>
        <w:contextualSpacing/>
        <w:jc w:val="both"/>
        <w:rPr>
          <w:rFonts w:ascii="Sakkal Majalla" w:eastAsia="Calibri" w:hAnsi="Sakkal Majalla" w:cs="Sakkal Majalla" w:hint="cs"/>
          <w:b/>
          <w:bCs/>
          <w:sz w:val="32"/>
          <w:szCs w:val="32"/>
          <w:lang w:bidi="ar-AE"/>
        </w:rPr>
      </w:pPr>
      <w:r w:rsidRPr="00075D94">
        <w:rPr>
          <w:rFonts w:ascii="Sakkal Majalla" w:eastAsia="Calibri" w:hAnsi="Sakkal Majalla" w:cs="Sakkal Majalla" w:hint="cs"/>
          <w:b/>
          <w:bCs/>
          <w:sz w:val="32"/>
          <w:szCs w:val="32"/>
          <w:rtl/>
          <w:lang w:val="en-US" w:bidi="ar-AE"/>
        </w:rPr>
        <w:t xml:space="preserve">حددت المادة 42 من القانون بمرسوم رقم 33 لعام 2021 تسع حالات مختلفة لإنهاء عقود العمل. وتشمل تلك الحالات التي يرغب فيها أحد الطرفين (صاحب العمل أو العامل) في إنهاء عقد العمل، شريطة أن يلتزم بالأحكام القانونية المتعلقة بإنهاء العقد والتي تنحصر في إخطار صاحب العمل كتابة الالتزام بالعمل خلال فترة الإشعار التي تتراوح بين شهر الى ثلاثة أشهر مالم يتم الاتفاق على غير ذلك. كما تجدر الإشارة بأن هذه التغييرات ليست حديثة، حيث إن الإصلاحات القانونية لعام 2016 ألغت جميع المتطلبات التي كان يتعين على العمال الأجانب الحصول على موافقة أصحاب العمل لتغيير الوظائف والتي كانت سابقا تتطلب من العامل تعويض صاحب العمل. كما ألغت المادة (43) من </w:t>
      </w:r>
      <w:r w:rsidRPr="00075D94">
        <w:rPr>
          <w:rFonts w:ascii="Sakkal Majalla" w:eastAsia="Calibri" w:hAnsi="Sakkal Majalla" w:cs="Sakkal Majalla" w:hint="cs"/>
          <w:b/>
          <w:bCs/>
          <w:sz w:val="32"/>
          <w:szCs w:val="32"/>
          <w:rtl/>
          <w:lang w:val="en-US" w:bidi="ar-AE"/>
        </w:rPr>
        <w:lastRenderedPageBreak/>
        <w:t>القانون الصادر في 2021، التزام العامل بتعويض صاحب العمل السابق عند الانتقال إلى صاحب عمل جديد. وبدلاً من ذلك، نُظِّم هذا الانتقال عن طريق وضع مسؤولية تعويض صاحب العمل الأصلي عن نفقات التوظيف على عاتق صاحب العامل الجديد، إذا حدث الانتقال خلال فترة الاختبار</w:t>
      </w:r>
      <w:r w:rsidRPr="00075D94">
        <w:rPr>
          <w:rFonts w:ascii="Sakkal Majalla" w:eastAsia="Calibri" w:hAnsi="Sakkal Majalla" w:cs="Sakkal Majalla" w:hint="cs"/>
          <w:b/>
          <w:bCs/>
          <w:sz w:val="32"/>
          <w:szCs w:val="32"/>
          <w:lang w:bidi="ar-AE"/>
        </w:rPr>
        <w:t>.</w:t>
      </w:r>
      <w:r w:rsidRPr="00075D94">
        <w:rPr>
          <w:rFonts w:ascii="Sakkal Majalla" w:eastAsia="Calibri" w:hAnsi="Sakkal Majalla" w:cs="Sakkal Majalla" w:hint="cs"/>
          <w:b/>
          <w:bCs/>
          <w:sz w:val="32"/>
          <w:szCs w:val="32"/>
          <w:rtl/>
          <w:lang w:val="en-US" w:bidi="ar-AE"/>
        </w:rPr>
        <w:t xml:space="preserve"> كما ألزم صاحب العمل - إذا كان إنهاء علاقة العمل قد تم بمبادرة منه - أن يسمح للعامل بالتغيب خلال مهلة الإنذار للبحث عن عمل آخر شريطة إبلاغ صاحب العمل. علما بأن تشريعات دولة الإمارات لا تتطلب تصريح خروج أو شهادة عدم الممانعة من صاحب العمل عند مغادرة الدولة.</w:t>
      </w:r>
    </w:p>
    <w:p w14:paraId="2978913F" w14:textId="77777777" w:rsidR="00075D94" w:rsidRPr="00075D94" w:rsidRDefault="00075D94" w:rsidP="00075D94">
      <w:pPr>
        <w:numPr>
          <w:ilvl w:val="0"/>
          <w:numId w:val="24"/>
        </w:numPr>
        <w:suppressAutoHyphens w:val="0"/>
        <w:bidi/>
        <w:spacing w:after="160" w:line="256" w:lineRule="auto"/>
        <w:contextualSpacing/>
        <w:jc w:val="both"/>
        <w:rPr>
          <w:rFonts w:ascii="Sakkal Majalla" w:eastAsia="Calibri" w:hAnsi="Sakkal Majalla" w:cs="Sakkal Majalla" w:hint="cs"/>
          <w:b/>
          <w:bCs/>
          <w:sz w:val="32"/>
          <w:szCs w:val="32"/>
          <w:lang w:bidi="ar-AE"/>
        </w:rPr>
      </w:pPr>
      <w:r w:rsidRPr="00075D94">
        <w:rPr>
          <w:rFonts w:ascii="Sakkal Majalla" w:eastAsia="Calibri" w:hAnsi="Sakkal Majalla" w:cs="Sakkal Majalla" w:hint="cs"/>
          <w:b/>
          <w:bCs/>
          <w:sz w:val="32"/>
          <w:szCs w:val="32"/>
          <w:rtl/>
          <w:lang w:val="en-US" w:bidi="ar-AE"/>
        </w:rPr>
        <w:t>ووفقا للمادة 45 من قانون العمل، يمكن للعامل أن يترك العمل دون إنذار مع احتفاظه بحقوقه عند انتهاء الخدمة في أي من الحالات التالية:</w:t>
      </w:r>
    </w:p>
    <w:p w14:paraId="1168D8A1" w14:textId="77777777" w:rsidR="00075D94" w:rsidRPr="00075D94" w:rsidRDefault="00075D94" w:rsidP="00075D94">
      <w:pPr>
        <w:numPr>
          <w:ilvl w:val="0"/>
          <w:numId w:val="25"/>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 xml:space="preserve">إخلال صاحب العمل بالتزاماته تجاه العامل الواردة في العقد، أو في قانون العمل الإماراتي، أو القرارات الصادرة تنفيذا له بشرط أن يكون العامل قد أبلغ الوزارة قبل 14 يوما من تاريخ ترك العمل. </w:t>
      </w:r>
    </w:p>
    <w:p w14:paraId="7E4B4867" w14:textId="77777777" w:rsidR="00075D94" w:rsidRPr="00075D94" w:rsidRDefault="00075D94" w:rsidP="00075D94">
      <w:pPr>
        <w:numPr>
          <w:ilvl w:val="0"/>
          <w:numId w:val="25"/>
        </w:numPr>
        <w:suppressAutoHyphens w:val="0"/>
        <w:bidi/>
        <w:spacing w:after="160" w:line="256" w:lineRule="auto"/>
        <w:jc w:val="both"/>
        <w:rPr>
          <w:rFonts w:ascii="Sakkal Majalla" w:eastAsia="Calibri" w:hAnsi="Sakkal Majalla" w:cs="Sakkal Majalla" w:hint="cs"/>
          <w:b/>
          <w:bCs/>
          <w:sz w:val="32"/>
          <w:szCs w:val="32"/>
          <w:rtl/>
          <w:lang w:bidi="ar-AE"/>
        </w:rPr>
      </w:pPr>
      <w:r w:rsidRPr="00075D94">
        <w:rPr>
          <w:rFonts w:ascii="Sakkal Majalla" w:eastAsia="Calibri" w:hAnsi="Sakkal Majalla" w:cs="Sakkal Majalla" w:hint="cs"/>
          <w:b/>
          <w:bCs/>
          <w:sz w:val="32"/>
          <w:szCs w:val="32"/>
          <w:rtl/>
          <w:lang w:val="en-US" w:bidi="ar-AE"/>
        </w:rPr>
        <w:t>ثبوت اعتداء صاحب العمل أو من يمثله قانونا على العامل، أو تعرضه لعنف او تحرش خلال العمل، بشرط أن يبلغ السلطات المعنية والوزارة خلال 5 أيام عمل، من تاريخ تمكنه من الإبلاغ</w:t>
      </w:r>
      <w:r w:rsidRPr="00075D94">
        <w:rPr>
          <w:rFonts w:ascii="Sakkal Majalla" w:eastAsia="Calibri" w:hAnsi="Sakkal Majalla" w:cs="Sakkal Majalla" w:hint="cs"/>
          <w:b/>
          <w:bCs/>
          <w:sz w:val="32"/>
          <w:szCs w:val="32"/>
          <w:lang w:bidi="ar-AE"/>
        </w:rPr>
        <w:t>.</w:t>
      </w:r>
    </w:p>
    <w:p w14:paraId="29258A8C" w14:textId="77777777" w:rsidR="00075D94" w:rsidRPr="00075D94" w:rsidRDefault="00075D94" w:rsidP="00075D94">
      <w:pPr>
        <w:numPr>
          <w:ilvl w:val="0"/>
          <w:numId w:val="25"/>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تكليف صاحب العمل للموظف بأعمال تختلف اختلافا جوهريا عن العمل المتفق عليه بموجب العقد، دون موافقة العمال خطيا.</w:t>
      </w:r>
    </w:p>
    <w:p w14:paraId="2040E71E" w14:textId="77777777" w:rsidR="00075D94" w:rsidRPr="00075D94" w:rsidRDefault="00075D94" w:rsidP="00075D94">
      <w:pPr>
        <w:numPr>
          <w:ilvl w:val="0"/>
          <w:numId w:val="26"/>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العمالة المساعدة:</w:t>
      </w:r>
    </w:p>
    <w:p w14:paraId="74EF1D99"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أصدرت الدولة المرسوم بقانون اتحادي رقم (9) لسنة 2022 بشأن عمال الخدمة المساعدة والذي يضع إطاراً متكاملاً لتعزيز وتنظيم علاقات العمل مع عمال الخدمة المساعدة في الإمارات، وتحديد مسؤوليات أطراف العلاقة بما يحفظ حقوقهم والتزاماتهم على نحو متوازن، كما يضمن توفير بيئة عمل ملائمة للعمالة المساعدة وفقاً للتشريعات والاتفاقيات الدولية التي صادقت عليها الدولة</w:t>
      </w:r>
      <w:r w:rsidRPr="00075D94">
        <w:rPr>
          <w:rFonts w:ascii="Sakkal Majalla" w:eastAsia="Calibri" w:hAnsi="Sakkal Majalla" w:cs="Sakkal Majalla" w:hint="cs"/>
          <w:b/>
          <w:bCs/>
          <w:sz w:val="32"/>
          <w:szCs w:val="32"/>
          <w:lang w:bidi="ar-AE"/>
        </w:rPr>
        <w:t>.</w:t>
      </w:r>
    </w:p>
    <w:p w14:paraId="144F5D29"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 xml:space="preserve">يلزم القانون مكاتب استقدام العمالة المساعدة سواء المعنية باستقدام العمالة المساعدة أو بتشغيلهم مؤقتا بعدم ممارسة العمل الجبري وأية ممارسة يدخل في إطار الاتجار بالبشر وذلك وفقا لما أصدرته الدولة من قوانين أو صادقت عليه من اتفاقيات. </w:t>
      </w:r>
    </w:p>
    <w:p w14:paraId="43B5BAFF"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rtl/>
          <w:lang w:bidi="ar-AE"/>
        </w:rPr>
      </w:pPr>
      <w:r w:rsidRPr="00075D94">
        <w:rPr>
          <w:rFonts w:ascii="Sakkal Majalla" w:eastAsia="Calibri" w:hAnsi="Sakkal Majalla" w:cs="Sakkal Majalla" w:hint="cs"/>
          <w:b/>
          <w:bCs/>
          <w:sz w:val="32"/>
          <w:szCs w:val="32"/>
          <w:rtl/>
          <w:lang w:val="en-US" w:bidi="ar-AE"/>
        </w:rPr>
        <w:t>نص القانون على فرض عقوبات رادعه على كل من يخالف أحكامة المتعلقة باستغلال العمالة المساعدة، فنص على غرامة لا تقل عن 50،000 درهم ولا تزيد عن200،000 درهم على كل من سهل للعامل المساعد ترك العمل أو آواه بغرض استغلاله أو تشغيله بطريقة غير مشروعه.</w:t>
      </w:r>
    </w:p>
    <w:p w14:paraId="2DD39EF5"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lang w:bidi="ar-AE"/>
        </w:rPr>
      </w:pPr>
      <w:r w:rsidRPr="00075D94">
        <w:rPr>
          <w:rFonts w:ascii="Sakkal Majalla" w:eastAsia="Calibri" w:hAnsi="Sakkal Majalla" w:cs="Sakkal Majalla" w:hint="cs"/>
          <w:b/>
          <w:bCs/>
          <w:sz w:val="32"/>
          <w:szCs w:val="32"/>
          <w:rtl/>
          <w:lang w:val="en-US" w:bidi="ar-AE"/>
        </w:rPr>
        <w:t xml:space="preserve">كما نظمت المادة 10 من قرار مجلس الوزراء رقم 106 لعام 2022 المتعلق باللوائح التنفيذية للمرسوم الاتحادي رقم 9 لعام 2022 المتعلق بالعمالة المساعدة، منحت العامل المساعد الحق في إنهاء عقد العمل وحددت الحالات التي يمكن فيها للعامل المساعد إنهاء العقد بعد إعطاء إشعار لمدة أسبوعين </w:t>
      </w:r>
      <w:r w:rsidRPr="00075D94">
        <w:rPr>
          <w:rFonts w:ascii="Sakkal Majalla" w:eastAsia="Calibri" w:hAnsi="Sakkal Majalla" w:cs="Sakkal Majalla" w:hint="cs"/>
          <w:b/>
          <w:bCs/>
          <w:sz w:val="32"/>
          <w:szCs w:val="32"/>
          <w:rtl/>
          <w:lang w:val="en-US" w:bidi="ar-AE"/>
        </w:rPr>
        <w:lastRenderedPageBreak/>
        <w:t xml:space="preserve">في حالة تخفيض الراتب عن الراتب المتفق عليه في العقد أو إذا فشل صاحب العمل في أداء التزاماته تجاه العامل المساعد وفقًا للقانون. </w:t>
      </w:r>
    </w:p>
    <w:p w14:paraId="2A85DA12"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lang w:bidi="ar-AE"/>
        </w:rPr>
      </w:pPr>
      <w:r w:rsidRPr="00075D94">
        <w:rPr>
          <w:rFonts w:ascii="Sakkal Majalla" w:eastAsia="Calibri" w:hAnsi="Sakkal Majalla" w:cs="Sakkal Majalla" w:hint="cs"/>
          <w:b/>
          <w:bCs/>
          <w:sz w:val="32"/>
          <w:szCs w:val="32"/>
          <w:rtl/>
          <w:lang w:val="en-US" w:bidi="ar-AE"/>
        </w:rPr>
        <w:t>منحت اللائحة التنفيذية العامل المساعد الحق في أن يترك العمل دون إنذار مع احتفاظه بحقوقه كاملة إذا تعرض لأي ظروف أو ممارسات قد تؤدي إلى وقوعه ضحية للعمل الجبري او للإتجار به، حيث نصت على حقه في ترك العمل إذا اعتدي صاحب العمل أو من يمثله عليه بالضرب او التحقير أو بأي شكل من أشكال الاعتداء الجنسي المعاقب عليه بموجب التشريعات النافذة في الدولة.</w:t>
      </w:r>
    </w:p>
    <w:p w14:paraId="6C0BBFCD"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lang w:bidi="ar-AE"/>
        </w:rPr>
      </w:pPr>
      <w:r w:rsidRPr="00075D94">
        <w:rPr>
          <w:rFonts w:ascii="Sakkal Majalla" w:eastAsia="Calibri" w:hAnsi="Sakkal Majalla" w:cs="Sakkal Majalla" w:hint="cs"/>
          <w:b/>
          <w:bCs/>
          <w:sz w:val="32"/>
          <w:szCs w:val="32"/>
          <w:rtl/>
          <w:lang w:val="en-US" w:bidi="ar-AE"/>
        </w:rPr>
        <w:t>نظمت أيضاً المادة 10 الفقرة 4 العامل المساعد الحق في مغادرة البلاد أو الانتقال إلى صاحب عمل آخر وفقًا للإجراءات والضوابط التي تصدرها الوزارة في حالة إنهاء العقد من قبل العامل لأي من الأسباب المذكورة أعلاه</w:t>
      </w:r>
      <w:r w:rsidRPr="00075D94">
        <w:rPr>
          <w:rFonts w:ascii="Sakkal Majalla" w:eastAsia="Calibri" w:hAnsi="Sakkal Majalla" w:cs="Sakkal Majalla" w:hint="cs"/>
          <w:b/>
          <w:bCs/>
          <w:sz w:val="32"/>
          <w:szCs w:val="32"/>
          <w:lang w:bidi="ar-AE"/>
        </w:rPr>
        <w:t>.</w:t>
      </w:r>
    </w:p>
    <w:p w14:paraId="19C9FE75"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lang w:bidi="ar-AE"/>
        </w:rPr>
      </w:pPr>
      <w:r w:rsidRPr="00075D94">
        <w:rPr>
          <w:rFonts w:ascii="Sakkal Majalla" w:eastAsia="Calibri" w:hAnsi="Sakkal Majalla" w:cs="Sakkal Majalla" w:hint="cs"/>
          <w:b/>
          <w:bCs/>
          <w:sz w:val="32"/>
          <w:szCs w:val="32"/>
          <w:rtl/>
          <w:lang w:val="en-US" w:bidi="ar-AE"/>
        </w:rPr>
        <w:t>علاوة على ذلك، من أجل ضمان استعداد صاحب العمل للتعاون في إنهاء العلاقة وعدم استخدام الخسائر المالية المحتملة نتيجة لتكاليف التوظيف العالية التي يدفعها صاحب العمل عند توظيف العامل كسبب لعدم التعاون او السماح للعامل بالانتقال، تلزم المادة 6 الفقرة 1 (ب) من قرار مجلس الوزراء رقم 106 لعام 2022 وكالات التوظيف بإعادة رسوم التوظيف المدفوعة من قبل أصحاب العمل إذا قام العامل المساعد بإنهاء العقد أو تخلف عن العمل لأسباب أخرى غير تلك المحددة في المادة (10) من نفس القرار</w:t>
      </w:r>
      <w:r w:rsidRPr="00075D94">
        <w:rPr>
          <w:rFonts w:ascii="Sakkal Majalla" w:eastAsia="Calibri" w:hAnsi="Sakkal Majalla" w:cs="Sakkal Majalla" w:hint="cs"/>
          <w:b/>
          <w:bCs/>
          <w:sz w:val="32"/>
          <w:szCs w:val="32"/>
          <w:lang w:bidi="ar-AE"/>
        </w:rPr>
        <w:t>.</w:t>
      </w:r>
    </w:p>
    <w:p w14:paraId="75338007" w14:textId="77777777" w:rsidR="00075D94" w:rsidRPr="00075D94" w:rsidRDefault="00075D94" w:rsidP="00075D94">
      <w:pPr>
        <w:numPr>
          <w:ilvl w:val="0"/>
          <w:numId w:val="27"/>
        </w:numPr>
        <w:suppressAutoHyphens w:val="0"/>
        <w:bidi/>
        <w:spacing w:after="160" w:line="256" w:lineRule="auto"/>
        <w:contextualSpacing/>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تشير المادة 2 من المرسوم الوزاري رقم 674 لعام 2022 إلى أن العامل المنزلي يمكنه الانتقال إلى صاحب عمل آخر بعد انتهاء عقد العمل، شريطة الحصول على تصريح عمل جديد، وهو إجراء تم اتخاذه لضمان استقرار سوق العمل وحماية حقوق العمال المنزليين في التوظيف.</w:t>
      </w:r>
    </w:p>
    <w:p w14:paraId="53C38F38" w14:textId="77777777" w:rsidR="00075D94" w:rsidRPr="00075D94" w:rsidRDefault="00075D94" w:rsidP="00075D94">
      <w:pPr>
        <w:numPr>
          <w:ilvl w:val="0"/>
          <w:numId w:val="26"/>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حرية التنقل:</w:t>
      </w:r>
    </w:p>
    <w:p w14:paraId="105A28CB" w14:textId="77777777" w:rsidR="00075D94" w:rsidRPr="00075D94" w:rsidRDefault="00075D94" w:rsidP="00075D94">
      <w:pPr>
        <w:numPr>
          <w:ilvl w:val="0"/>
          <w:numId w:val="28"/>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لضمان حقوق الطرفين، كذلك حدد القانون الجديد معايير واضحة لتطبيق شرط عدم المنافسة، وذلك لضمان عدم استغلال صاحب العمل هذا الشرط في تقييد حرية العامل من الانتقال الى عمل في المجال نفسه، حيث نص القانون على ضرورة أن يكون شرط عدم المنافسة ضمن عقد العمل محدداً من حيث الزمان والمكان ونوع العمل على القدر الضروري لحماية مصالح العمل المشروعة، على ألا تزيد مدة شرط عدم المنافسة عن سنتين من تاريخ انتهاء العقد.</w:t>
      </w:r>
    </w:p>
    <w:p w14:paraId="6DDBB83A" w14:textId="77777777" w:rsidR="00075D94" w:rsidRPr="00075D94" w:rsidRDefault="00075D94" w:rsidP="00075D94">
      <w:pPr>
        <w:numPr>
          <w:ilvl w:val="0"/>
          <w:numId w:val="28"/>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بهدف القضاء على أي ممارسات سلبية قد تؤدي الى تقييد حرية العامل، حظرت القوانين المنظمة لعلاقات العمل في الدولة، سواء في القطاع الخاص او قطاع العمالة المساعدة على صاحب العمل الاحتفاظ بجواز سفر العامل او احتجاز أيا من وثائقه الثبوتية لأي سبب، وقد قامت الوزارة باستلام (</w:t>
      </w:r>
      <w:r w:rsidRPr="00075D94">
        <w:rPr>
          <w:rFonts w:ascii="Sakkal Majalla" w:eastAsia="Calibri" w:hAnsi="Sakkal Majalla" w:cs="Sakkal Majalla" w:hint="cs"/>
          <w:b/>
          <w:bCs/>
          <w:sz w:val="32"/>
          <w:szCs w:val="32"/>
          <w:u w:val="single"/>
          <w:lang w:bidi="ar-AE"/>
        </w:rPr>
        <w:t>7396</w:t>
      </w:r>
      <w:r w:rsidRPr="00075D94">
        <w:rPr>
          <w:rFonts w:ascii="Sakkal Majalla" w:eastAsia="Calibri" w:hAnsi="Sakkal Majalla" w:cs="Sakkal Majalla" w:hint="cs"/>
          <w:b/>
          <w:bCs/>
          <w:sz w:val="32"/>
          <w:szCs w:val="32"/>
          <w:rtl/>
          <w:lang w:val="en-US" w:bidi="ar-AE"/>
        </w:rPr>
        <w:t>) شكوى عمالية للمطالبة بتسليم الأوراق الثبوتية التي تم احتجازها من قبل أصحاب العمل خلال الفترة من 1 يناير 2023 حتى 31 ديسمبر 2023، وتم استرداد جوازات لعدد (</w:t>
      </w:r>
      <w:r w:rsidRPr="00075D94">
        <w:rPr>
          <w:rFonts w:ascii="Sakkal Majalla" w:eastAsia="Calibri" w:hAnsi="Sakkal Majalla" w:cs="Sakkal Majalla" w:hint="cs"/>
          <w:b/>
          <w:bCs/>
          <w:sz w:val="32"/>
          <w:szCs w:val="32"/>
          <w:u w:val="single"/>
          <w:rtl/>
          <w:lang w:val="en-US" w:bidi="ar-AE"/>
        </w:rPr>
        <w:t>6836</w:t>
      </w:r>
      <w:r w:rsidRPr="00075D94">
        <w:rPr>
          <w:rFonts w:ascii="Sakkal Majalla" w:eastAsia="Calibri" w:hAnsi="Sakkal Majalla" w:cs="Sakkal Majalla" w:hint="cs"/>
          <w:b/>
          <w:bCs/>
          <w:sz w:val="32"/>
          <w:szCs w:val="32"/>
          <w:rtl/>
          <w:lang w:val="en-US" w:bidi="ar-AE"/>
        </w:rPr>
        <w:t xml:space="preserve">) عامل كما </w:t>
      </w:r>
      <w:r w:rsidRPr="00075D94">
        <w:rPr>
          <w:rFonts w:ascii="Sakkal Majalla" w:eastAsia="Calibri" w:hAnsi="Sakkal Majalla" w:cs="Sakkal Majalla" w:hint="cs"/>
          <w:b/>
          <w:bCs/>
          <w:sz w:val="32"/>
          <w:szCs w:val="32"/>
          <w:rtl/>
          <w:lang w:val="en-US" w:bidi="ar-AE"/>
        </w:rPr>
        <w:lastRenderedPageBreak/>
        <w:t>أسفرت نتائج التحقيق في هذه المطالبات عن إحالة (</w:t>
      </w:r>
      <w:r w:rsidRPr="00075D94">
        <w:rPr>
          <w:rFonts w:ascii="Sakkal Majalla" w:eastAsia="Calibri" w:hAnsi="Sakkal Majalla" w:cs="Sakkal Majalla" w:hint="cs"/>
          <w:b/>
          <w:bCs/>
          <w:sz w:val="32"/>
          <w:szCs w:val="32"/>
          <w:lang w:val="en-US" w:bidi="ar-AE"/>
        </w:rPr>
        <w:t>560</w:t>
      </w:r>
      <w:r w:rsidRPr="00075D94">
        <w:rPr>
          <w:rFonts w:ascii="Sakkal Majalla" w:eastAsia="Calibri" w:hAnsi="Sakkal Majalla" w:cs="Sakkal Majalla" w:hint="cs"/>
          <w:b/>
          <w:bCs/>
          <w:sz w:val="32"/>
          <w:szCs w:val="32"/>
          <w:rtl/>
          <w:lang w:val="en-US" w:bidi="ar-AE"/>
        </w:rPr>
        <w:t>) شكوى للجهات المختصة لاتخاذ الإجراءات القانونية اللازمة، وفي المقابل، تلقت الوزارة (3201) شكوى من عمالة الخدمة المساعدة خلال نفس الفترة. تم تسوية (</w:t>
      </w:r>
      <w:r w:rsidRPr="00075D94">
        <w:rPr>
          <w:rFonts w:ascii="Sakkal Majalla" w:eastAsia="Calibri" w:hAnsi="Sakkal Majalla" w:cs="Sakkal Majalla" w:hint="cs"/>
          <w:b/>
          <w:bCs/>
          <w:sz w:val="32"/>
          <w:szCs w:val="32"/>
          <w:lang w:val="en-US" w:bidi="ar-AE"/>
        </w:rPr>
        <w:t>3167</w:t>
      </w:r>
      <w:r w:rsidRPr="00075D94">
        <w:rPr>
          <w:rFonts w:ascii="Sakkal Majalla" w:eastAsia="Calibri" w:hAnsi="Sakkal Majalla" w:cs="Sakkal Majalla" w:hint="cs"/>
          <w:b/>
          <w:bCs/>
          <w:sz w:val="32"/>
          <w:szCs w:val="32"/>
          <w:rtl/>
          <w:lang w:val="en-US" w:bidi="ar-AE"/>
        </w:rPr>
        <w:t>) شكوى، وإحالة (34) شكوى إلى القضاء لاتخاذ الإجراءات اللازمة</w:t>
      </w:r>
      <w:r w:rsidRPr="00075D94">
        <w:rPr>
          <w:rFonts w:ascii="Sakkal Majalla" w:eastAsia="Calibri" w:hAnsi="Sakkal Majalla" w:cs="Sakkal Majalla" w:hint="cs"/>
          <w:b/>
          <w:bCs/>
          <w:sz w:val="32"/>
          <w:szCs w:val="32"/>
          <w:lang w:bidi="ar-AE"/>
        </w:rPr>
        <w:t>.</w:t>
      </w:r>
    </w:p>
    <w:p w14:paraId="21378A06"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lang w:val="en-US" w:bidi="ar-AE"/>
        </w:rPr>
      </w:pPr>
    </w:p>
    <w:p w14:paraId="6AB6D2E2"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p>
    <w:p w14:paraId="02C5059E" w14:textId="77777777" w:rsidR="00075D94" w:rsidRPr="00075D94" w:rsidRDefault="00075D94" w:rsidP="00075D94">
      <w:pPr>
        <w:numPr>
          <w:ilvl w:val="0"/>
          <w:numId w:val="26"/>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سبل الانتصاف:</w:t>
      </w:r>
    </w:p>
    <w:p w14:paraId="5B7525E2" w14:textId="77777777" w:rsidR="00075D94" w:rsidRPr="00075D94" w:rsidRDefault="00075D94" w:rsidP="00075D94">
      <w:pPr>
        <w:numPr>
          <w:ilvl w:val="0"/>
          <w:numId w:val="29"/>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فيما يتعلق بضمان قدرة العمال الذين يعانون من سوء المعاملة او الاستغلال على الوصول الكامل الى سبل الانتصاف المناسبة، فقد وفرت وزارة الموارد البشرية والتوطين عدة قنوات يمكن للعمال من خلالها البلاغ عن تعرضهم لأي ممارسات سلبية أو استغلاليه وتقديم شكوى ضد صاحب العمل أو الطرف المسيء مع حماية سرية الشكوى في الحالات التي تستدعي ذلك. وتشمل هذه القنوات:</w:t>
      </w:r>
    </w:p>
    <w:p w14:paraId="383B44BE" w14:textId="77777777" w:rsidR="00075D94" w:rsidRPr="00075D94" w:rsidRDefault="00075D94" w:rsidP="00075D94">
      <w:pPr>
        <w:numPr>
          <w:ilvl w:val="0"/>
          <w:numId w:val="29"/>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تطبيق وزارة الموارد البشرية والتوطين (</w:t>
      </w:r>
      <w:r w:rsidRPr="00075D94">
        <w:rPr>
          <w:rFonts w:ascii="Sakkal Majalla" w:eastAsia="Calibri" w:hAnsi="Sakkal Majalla" w:cs="Sakkal Majalla" w:hint="cs"/>
          <w:b/>
          <w:bCs/>
          <w:sz w:val="32"/>
          <w:szCs w:val="32"/>
          <w:lang w:val="en-US" w:bidi="ar-AE"/>
        </w:rPr>
        <w:t>MoHRE</w:t>
      </w:r>
      <w:r w:rsidRPr="00075D94">
        <w:rPr>
          <w:rFonts w:ascii="Sakkal Majalla" w:eastAsia="Calibri" w:hAnsi="Sakkal Majalla" w:cs="Sakkal Majalla" w:hint="cs"/>
          <w:b/>
          <w:bCs/>
          <w:sz w:val="32"/>
          <w:szCs w:val="32"/>
          <w:rtl/>
          <w:lang w:val="en-US" w:bidi="ar-AE"/>
        </w:rPr>
        <w:t>) الذي يقدم مجموعة من الخدمات الذكية للعمال وأصحاب العمل، ومن ضمنها بعض الخدمات التي تسهم في حماية العمال من الاستغلال والوقوع ضحايا للعمل الجبري، يمكن لجميع العمال من خلال التطبيق، بما فيهم عمال الخدمة المساعدة، على سبيل المثال:</w:t>
      </w:r>
    </w:p>
    <w:p w14:paraId="54C8FE3F" w14:textId="77777777" w:rsidR="00075D94" w:rsidRPr="00075D94" w:rsidRDefault="00075D94" w:rsidP="00075D94">
      <w:pPr>
        <w:numPr>
          <w:ilvl w:val="0"/>
          <w:numId w:val="30"/>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التحقق من صلاحية بطاقة العمل والاطلاع على عقود عملهم والحصول على نسخة منها.</w:t>
      </w:r>
    </w:p>
    <w:p w14:paraId="3DCE8CD4" w14:textId="77777777" w:rsidR="00075D94" w:rsidRPr="00075D94" w:rsidRDefault="00075D94" w:rsidP="00075D94">
      <w:pPr>
        <w:numPr>
          <w:ilvl w:val="0"/>
          <w:numId w:val="30"/>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التحقق من قيمة الأجر.</w:t>
      </w:r>
    </w:p>
    <w:p w14:paraId="37FD87F8" w14:textId="77777777" w:rsidR="00075D94" w:rsidRPr="00075D94" w:rsidRDefault="00075D94" w:rsidP="00075D94">
      <w:pPr>
        <w:numPr>
          <w:ilvl w:val="0"/>
          <w:numId w:val="30"/>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تقديم شكوى عمالية سواء المتعلقة بعدم حصولهم على اجورهم أو عدم الانتظام في سداد الأجر أو أي ممارسة استغلالية اخرى بشكل آمن وسري ودون الإفصاح عن بيانات مقدم الشكوى.</w:t>
      </w:r>
    </w:p>
    <w:p w14:paraId="1455FE9A" w14:textId="77777777" w:rsidR="00075D94" w:rsidRPr="00075D94" w:rsidRDefault="00075D94" w:rsidP="00075D94">
      <w:pPr>
        <w:numPr>
          <w:ilvl w:val="0"/>
          <w:numId w:val="30"/>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يتيح التطبيق كذلك للعمال الوصول إلى خدمات التوجيه الذاتي وللمعلومات القانونية التي قد تهمهم وتساعد في حماية حقوقهم وبالتالي حمايتهم من الاستضعاف.</w:t>
      </w:r>
    </w:p>
    <w:p w14:paraId="421514B0" w14:textId="77777777" w:rsidR="00075D94" w:rsidRPr="00075D94" w:rsidRDefault="00075D94" w:rsidP="00075D94">
      <w:pPr>
        <w:numPr>
          <w:ilvl w:val="0"/>
          <w:numId w:val="31"/>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تطبيق العمالة المساعدة (</w:t>
      </w:r>
      <w:r w:rsidRPr="00075D94">
        <w:rPr>
          <w:rFonts w:ascii="Sakkal Majalla" w:eastAsia="Calibri" w:hAnsi="Sakkal Majalla" w:cs="Sakkal Majalla" w:hint="cs"/>
          <w:b/>
          <w:bCs/>
          <w:sz w:val="32"/>
          <w:szCs w:val="32"/>
          <w:lang w:val="en-US" w:bidi="ar-AE"/>
        </w:rPr>
        <w:t>TAD-BEER</w:t>
      </w:r>
      <w:r w:rsidRPr="00075D94">
        <w:rPr>
          <w:rFonts w:ascii="Sakkal Majalla" w:eastAsia="Calibri" w:hAnsi="Sakkal Majalla" w:cs="Sakkal Majalla" w:hint="cs"/>
          <w:b/>
          <w:bCs/>
          <w:sz w:val="32"/>
          <w:szCs w:val="32"/>
          <w:rtl/>
          <w:lang w:val="en-US" w:bidi="ar-AE"/>
        </w:rPr>
        <w:t>) وهو قناة رقمية تتيح للوزارة الرقابة على إجراءات وممارسات التوظيف، كم يمكن للعمال المساعدين التعرف من خلال التطبيق على حقوقهم والتزاماتهم بموجب قانون العمالة المساعدة</w:t>
      </w:r>
      <w:r w:rsidRPr="00075D94">
        <w:rPr>
          <w:rFonts w:ascii="Sakkal Majalla" w:eastAsia="Calibri" w:hAnsi="Sakkal Majalla" w:cs="Sakkal Majalla" w:hint="cs"/>
          <w:b/>
          <w:bCs/>
          <w:sz w:val="32"/>
          <w:szCs w:val="32"/>
          <w:lang w:val="en-AE" w:bidi="ar-AE"/>
        </w:rPr>
        <w:t xml:space="preserve"> </w:t>
      </w:r>
      <w:r w:rsidRPr="00075D94">
        <w:rPr>
          <w:rFonts w:ascii="Sakkal Majalla" w:eastAsia="Calibri" w:hAnsi="Sakkal Majalla" w:cs="Sakkal Majalla" w:hint="cs"/>
          <w:b/>
          <w:bCs/>
          <w:sz w:val="32"/>
          <w:szCs w:val="32"/>
          <w:rtl/>
          <w:lang w:val="en-US" w:bidi="ar-AE"/>
        </w:rPr>
        <w:t>إضافة الى مجموعة من الخدمات الأخرى.</w:t>
      </w:r>
    </w:p>
    <w:p w14:paraId="3DC78D5D" w14:textId="77777777" w:rsidR="00075D94" w:rsidRPr="00075D94" w:rsidRDefault="00075D94" w:rsidP="00075D94">
      <w:pPr>
        <w:numPr>
          <w:ilvl w:val="0"/>
          <w:numId w:val="31"/>
        </w:num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 xml:space="preserve">مركز الاستشارات الخاص بوزارة الموارد البشرية والتوطين (80084) يتم من خلاله استلام كافة استفسارات أو شكاوى العمال وأصحاب العمل، ويتوفر بعدد 22 لغة مختلفة ويمكن من خلاله كذلك الإبلاغ عن حالات الإتجار بالبشر. </w:t>
      </w:r>
    </w:p>
    <w:p w14:paraId="2B86F211" w14:textId="77777777" w:rsidR="00075D94" w:rsidRPr="00075D94" w:rsidRDefault="00075D94" w:rsidP="00075D94">
      <w:pPr>
        <w:numPr>
          <w:ilvl w:val="0"/>
          <w:numId w:val="31"/>
        </w:numPr>
        <w:suppressAutoHyphens w:val="0"/>
        <w:bidi/>
        <w:spacing w:after="160" w:line="256" w:lineRule="auto"/>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lastRenderedPageBreak/>
        <w:t xml:space="preserve">مركز الاتصال بوزارة الموارد البشرية والتوطين 600590000 </w:t>
      </w:r>
    </w:p>
    <w:p w14:paraId="73014260" w14:textId="77777777" w:rsidR="00075D94" w:rsidRPr="00075D94" w:rsidRDefault="00075D94" w:rsidP="00075D94">
      <w:pPr>
        <w:numPr>
          <w:ilvl w:val="0"/>
          <w:numId w:val="31"/>
        </w:numPr>
        <w:suppressAutoHyphens w:val="0"/>
        <w:bidi/>
        <w:spacing w:after="160" w:line="256" w:lineRule="auto"/>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قناة للتواصل مع الوزارة عبر تطبيق الواتس (</w:t>
      </w:r>
      <w:r w:rsidRPr="00075D94">
        <w:rPr>
          <w:rFonts w:ascii="Sakkal Majalla" w:eastAsia="Calibri" w:hAnsi="Sakkal Majalla" w:cs="Sakkal Majalla" w:hint="cs"/>
          <w:b/>
          <w:bCs/>
          <w:sz w:val="32"/>
          <w:szCs w:val="32"/>
          <w:lang w:val="en-US" w:bidi="ar-AE"/>
        </w:rPr>
        <w:t>WhatsApp</w:t>
      </w:r>
      <w:r w:rsidRPr="00075D94">
        <w:rPr>
          <w:rFonts w:ascii="Sakkal Majalla" w:eastAsia="Calibri" w:hAnsi="Sakkal Majalla" w:cs="Sakkal Majalla" w:hint="cs"/>
          <w:b/>
          <w:bCs/>
          <w:sz w:val="32"/>
          <w:szCs w:val="32"/>
          <w:rtl/>
          <w:lang w:val="en-US" w:bidi="ar-AE"/>
        </w:rPr>
        <w:t>)، باللغتين العربية والانجليزية لتتيح لطرفي علاقة العمل التواصل معها بسهولة ومرونة على مدار الساعة سواء للاستعلام عن طلباتهم ومتابعة الشكاوى العمالية أو الاطلاع على بعض الخدمات التوعوية بشأن حقوق العمالة.</w:t>
      </w:r>
    </w:p>
    <w:p w14:paraId="125C52AA"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p>
    <w:p w14:paraId="7ADC0BE9" w14:textId="77777777" w:rsidR="00075D94" w:rsidRPr="00075D94" w:rsidRDefault="00075D94" w:rsidP="00075D94">
      <w:pPr>
        <w:numPr>
          <w:ilvl w:val="0"/>
          <w:numId w:val="32"/>
        </w:numPr>
        <w:suppressAutoHyphens w:val="0"/>
        <w:bidi/>
        <w:spacing w:after="160" w:line="256" w:lineRule="auto"/>
        <w:contextualSpacing/>
        <w:jc w:val="both"/>
        <w:rPr>
          <w:rFonts w:ascii="Sakkal Majalla" w:eastAsia="Calibri" w:hAnsi="Sakkal Majalla" w:cs="Sakkal Majalla" w:hint="cs"/>
          <w:b/>
          <w:bCs/>
          <w:sz w:val="32"/>
          <w:szCs w:val="32"/>
          <w:rtl/>
          <w:lang w:bidi="ar-AE"/>
        </w:rPr>
      </w:pPr>
      <w:r w:rsidRPr="00075D94">
        <w:rPr>
          <w:rFonts w:ascii="Sakkal Majalla" w:eastAsia="Calibri" w:hAnsi="Sakkal Majalla" w:cs="Sakkal Majalla" w:hint="cs"/>
          <w:b/>
          <w:bCs/>
          <w:sz w:val="32"/>
          <w:szCs w:val="32"/>
          <w:rtl/>
          <w:lang w:val="en-US" w:bidi="ar-AE"/>
        </w:rPr>
        <w:t>كفل المرسوم بقانون اتحادي رقم 33 لعام 2021 حق العامل بالتقدم بالشكوى والحصول على الترجمة والخدمات القانونية و أيضاً الإعفاء من الأتعاب والرسوم للشكاوى أقل عن 100،000 درهم، كما كفل قانون رقم 9 لعام 2022 للعمالة المساعدة حق العمالة المساعدة في رفع شكوى، حيث تقوم الوزارة بدراسة الشكوى ومحاولة حلها ودياً، وفي حال لم تتم التسوية يتم إحالتها للجهات القضائية وتعفى الدعاوى المقامة من العمالة المساعدة وفقاً لأحكام المرسوم بقانون ذاته، من جميع الرسوم القضائية في جميع مراحل التقاضي ويكون نظرها على وجه الاستعجال. بالإضافة الى ذلك، وضعت وزارة الموارد البشرية والتوطين مؤخراً حيث يتولى فريق التفتيش العمالي في حال رصد ممارسة أو تلقي شكوى متعلقة بممارسات العمل الاستغلالية بالانتقال فوراً إلى مكان العمل للتأكد من مدى التزام صاحب العمل الذي يتم اتخاذ إجراءات تدريجية ضده تبدأ بالوقف الاداري للمنشأة من استقدم أو توظيف اي عمال إضافيين، وانتهاء بتوقيع غرامات رادعة، وذلك إلى أن يتم تصحيح الاوضاع ومعالجة المخالفات. وفي حال استمرار عدم الالتزام، يتم احالة ملف المخالفة إلى الإدارة المعنية بالمنازعات العمالية لبدء التوسط بين طرفي علاقة العمل أو إحالة الملف إلى القضاء.</w:t>
      </w:r>
    </w:p>
    <w:p w14:paraId="66C1E6C6" w14:textId="77777777" w:rsidR="00075D94" w:rsidRPr="00075D94" w:rsidRDefault="00075D94" w:rsidP="00075D94">
      <w:pPr>
        <w:numPr>
          <w:ilvl w:val="0"/>
          <w:numId w:val="32"/>
        </w:numPr>
        <w:suppressAutoHyphens w:val="0"/>
        <w:bidi/>
        <w:spacing w:after="160" w:line="256" w:lineRule="auto"/>
        <w:contextualSpacing/>
        <w:jc w:val="both"/>
        <w:rPr>
          <w:rFonts w:ascii="Sakkal Majalla" w:eastAsia="Calibri" w:hAnsi="Sakkal Majalla" w:cs="Sakkal Majalla" w:hint="cs"/>
          <w:b/>
          <w:bCs/>
          <w:sz w:val="32"/>
          <w:szCs w:val="32"/>
          <w:lang w:val="en-US" w:bidi="ar-AE"/>
        </w:rPr>
      </w:pPr>
      <w:r w:rsidRPr="00075D94">
        <w:rPr>
          <w:rFonts w:ascii="Sakkal Majalla" w:eastAsia="Calibri" w:hAnsi="Sakkal Majalla" w:cs="Sakkal Majalla" w:hint="cs"/>
          <w:b/>
          <w:bCs/>
          <w:sz w:val="32"/>
          <w:szCs w:val="32"/>
          <w:rtl/>
          <w:lang w:val="en-US" w:bidi="ar-AE"/>
        </w:rPr>
        <w:t>لتسريع عملية تسوية النزاعات بين أصحاب العمل والعمال، صدر القانون بمرسوم اتحادي رقم 22 لسنة 2023، الذي عدل القانون الاتحادي رقم 33 لسنة 2021، ونص على منح وزارة الموارد البشرية والتوطين الحق في إصدار حكم نهائي إذا كانت قيمة المطالبة لا تتجاوز 50،000 درهم أو إذا لم يلتزم أيٌّ من الطرفين بالتسوية الودية. وإذا لم يكن القرار مرضيًا لأيٍّ من الطرفين، يمكن إحالته إلى المحكمة المعنية. تم إدخال تعديل مماثل على المرسوم الاتحادي رقم 9 لسنة 2022، يمنح وزارة الموارد البشرية والتوطين القدرة على إصدار حكم نهائي إذا كانت قيمة المطالبة لا تتجاوز 50،000 درهم</w:t>
      </w:r>
      <w:r w:rsidRPr="00075D94">
        <w:rPr>
          <w:rFonts w:ascii="Sakkal Majalla" w:eastAsia="Calibri" w:hAnsi="Sakkal Majalla" w:cs="Sakkal Majalla" w:hint="cs"/>
          <w:b/>
          <w:bCs/>
          <w:sz w:val="32"/>
          <w:szCs w:val="32"/>
          <w:lang w:bidi="ar-AE"/>
        </w:rPr>
        <w:t>.</w:t>
      </w:r>
    </w:p>
    <w:p w14:paraId="37BF20F5" w14:textId="77777777" w:rsidR="00075D94" w:rsidRPr="00075D94" w:rsidRDefault="00075D94" w:rsidP="00075D94">
      <w:pPr>
        <w:numPr>
          <w:ilvl w:val="0"/>
          <w:numId w:val="32"/>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كما يتم منح العامل تصريح عمل مؤقت وتمكينه من الانتقال للعمل لدى صاحب عمل أخر في حال ثبوت صحة ادعاءه بالتعرض للممارسات الاستغلالية.</w:t>
      </w:r>
    </w:p>
    <w:p w14:paraId="3A60277A"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p>
    <w:p w14:paraId="15D7504F" w14:textId="77777777" w:rsidR="00075D94" w:rsidRPr="00075D94" w:rsidRDefault="00075D94" w:rsidP="00075D94">
      <w:pPr>
        <w:suppressAutoHyphens w:val="0"/>
        <w:bidi/>
        <w:spacing w:after="160" w:line="256" w:lineRule="auto"/>
        <w:jc w:val="both"/>
        <w:rPr>
          <w:rFonts w:ascii="Sakkal Majalla" w:eastAsia="Calibri" w:hAnsi="Sakkal Majalla" w:cs="Sakkal Majalla" w:hint="cs"/>
          <w:b/>
          <w:bCs/>
          <w:sz w:val="32"/>
          <w:szCs w:val="32"/>
          <w:rtl/>
          <w:lang w:val="en-US" w:bidi="ar-AE"/>
        </w:rPr>
      </w:pPr>
    </w:p>
    <w:p w14:paraId="0030AA24" w14:textId="77777777" w:rsidR="00075D94" w:rsidRPr="00075D94" w:rsidRDefault="00075D94" w:rsidP="00075D94">
      <w:pPr>
        <w:numPr>
          <w:ilvl w:val="0"/>
          <w:numId w:val="26"/>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t>برنامج حماية العمال:</w:t>
      </w:r>
    </w:p>
    <w:p w14:paraId="65FBC679" w14:textId="77777777" w:rsidR="00075D94" w:rsidRPr="00075D94" w:rsidRDefault="00075D94" w:rsidP="00075D94">
      <w:pPr>
        <w:numPr>
          <w:ilvl w:val="0"/>
          <w:numId w:val="33"/>
        </w:numPr>
        <w:suppressAutoHyphens w:val="0"/>
        <w:bidi/>
        <w:spacing w:after="160" w:line="256" w:lineRule="auto"/>
        <w:contextualSpacing/>
        <w:jc w:val="both"/>
        <w:rPr>
          <w:rFonts w:ascii="Sakkal Majalla" w:eastAsia="Calibri" w:hAnsi="Sakkal Majalla" w:cs="Sakkal Majalla" w:hint="cs"/>
          <w:b/>
          <w:bCs/>
          <w:sz w:val="32"/>
          <w:szCs w:val="32"/>
          <w:rtl/>
          <w:lang w:val="en-US" w:bidi="ar-AE"/>
        </w:rPr>
      </w:pPr>
      <w:r w:rsidRPr="00075D94">
        <w:rPr>
          <w:rFonts w:ascii="Sakkal Majalla" w:eastAsia="Calibri" w:hAnsi="Sakkal Majalla" w:cs="Sakkal Majalla" w:hint="cs"/>
          <w:b/>
          <w:bCs/>
          <w:sz w:val="32"/>
          <w:szCs w:val="32"/>
          <w:rtl/>
          <w:lang w:val="en-US" w:bidi="ar-AE"/>
        </w:rPr>
        <w:lastRenderedPageBreak/>
        <w:t xml:space="preserve">وفرت وزارة الموارد البشرية كذلك للعمال نظام مبتكر لضمان حصولهم واستلامهم لمستحقاتهم في حال رفض أو تعثر صاحب العمل وعدم تمكنه من دفع هذه المستحقات، حيث تم تطوير وثيقة تأمينية بالشراكة مع القطاع الخاص في الدولة يلتزم بشرائها صاحب العمل عن كل عامل، وفي حال ثبوت عدم التزام صاحب العمل بسداد مستحقات العمال في المواعيد المقررة، يتم دفع مستحقات العامل من خلال المجمع التأميني بهدف تمكين العامل من استلام حقوقه بشكل أسرع، وتضمن الوثيقة التأمينية حصول العامل على مستحقاته التي تشمل أية أجور متأخرة أو مستحقات لنهاية الخدمة وتذكرة السفر للعودة إلى دولة الإرسال ومستحقات العمل الاضافي و الاجازات إن وجدت وأي تعويضات حول إصابات العمل. وتجدر الإشارة بأنه بلغ المبلغ الإجمالي الذي تم دفعه للعمال نظير مستحقاتهم على مدى الخمس سنوات الماضية أكثر عن 232 مليون درهم، واستفاد أكثر من 26 ألف عامل من هذه المنظومة بمتوسط 8 آلاف درهم لكل عامل.   </w:t>
      </w:r>
    </w:p>
    <w:p w14:paraId="06F9EDEC" w14:textId="32635018" w:rsidR="00075D94" w:rsidRPr="00075D94" w:rsidRDefault="00075D94" w:rsidP="00075D94">
      <w:pPr>
        <w:suppressAutoHyphens w:val="0"/>
        <w:bidi/>
        <w:spacing w:after="160" w:line="256" w:lineRule="auto"/>
        <w:jc w:val="center"/>
        <w:rPr>
          <w:rFonts w:ascii="Sakkal Majalla" w:eastAsia="Calibri" w:hAnsi="Sakkal Majalla" w:cs="Sakkal Majalla" w:hint="cs"/>
          <w:b/>
          <w:bCs/>
          <w:sz w:val="32"/>
          <w:szCs w:val="32"/>
          <w:u w:val="single"/>
          <w:rtl/>
          <w:lang w:val="en-US" w:bidi="ar-AE"/>
        </w:rPr>
      </w:pPr>
      <w:r>
        <w:rPr>
          <w:rFonts w:ascii="Sakkal Majalla" w:eastAsia="Calibri" w:hAnsi="Sakkal Majalla" w:cs="Sakkal Majalla"/>
          <w:b/>
          <w:bCs/>
          <w:sz w:val="32"/>
          <w:szCs w:val="32"/>
          <w:u w:val="single"/>
          <w:lang w:val="en-US" w:bidi="ar-AE"/>
        </w:rPr>
        <w:tab/>
      </w:r>
      <w:r>
        <w:rPr>
          <w:rFonts w:ascii="Sakkal Majalla" w:eastAsia="Calibri" w:hAnsi="Sakkal Majalla" w:cs="Sakkal Majalla"/>
          <w:b/>
          <w:bCs/>
          <w:sz w:val="32"/>
          <w:szCs w:val="32"/>
          <w:u w:val="single"/>
          <w:lang w:val="en-US" w:bidi="ar-AE"/>
        </w:rPr>
        <w:tab/>
      </w:r>
      <w:r>
        <w:rPr>
          <w:rFonts w:ascii="Sakkal Majalla" w:eastAsia="Calibri" w:hAnsi="Sakkal Majalla" w:cs="Sakkal Majalla"/>
          <w:b/>
          <w:bCs/>
          <w:sz w:val="32"/>
          <w:szCs w:val="32"/>
          <w:u w:val="single"/>
          <w:lang w:val="en-US" w:bidi="ar-AE"/>
        </w:rPr>
        <w:tab/>
      </w:r>
    </w:p>
    <w:sectPr w:rsidR="00075D94" w:rsidRPr="00075D9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31A3F" w14:textId="77777777" w:rsidR="00023A38" w:rsidRDefault="00023A38">
      <w:pPr>
        <w:spacing w:line="240" w:lineRule="auto"/>
      </w:pPr>
    </w:p>
  </w:endnote>
  <w:endnote w:type="continuationSeparator" w:id="0">
    <w:p w14:paraId="272E2598" w14:textId="77777777" w:rsidR="00023A38" w:rsidRDefault="00023A38">
      <w:pPr>
        <w:pStyle w:val="Footer"/>
      </w:pPr>
    </w:p>
  </w:endnote>
  <w:endnote w:type="continuationNotice" w:id="1">
    <w:p w14:paraId="2D987BF9" w14:textId="77777777" w:rsidR="00023A38" w:rsidRDefault="00023A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8F01D9">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8F01D9">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2E503A93" wp14:editId="56E3D24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D93636" w14:paraId="4DBC1C97" w14:textId="77777777">
      <w:tc>
        <w:tcPr>
          <w:tcW w:w="1848" w:type="dxa"/>
          <w:vAlign w:val="bottom"/>
        </w:tcPr>
        <w:p w14:paraId="06A688EE" w14:textId="77777777" w:rsidR="00023A38" w:rsidRDefault="008F01D9">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7D069C18" wp14:editId="019F4EAA">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38C5E" w14:textId="77777777" w:rsidR="00023A38" w:rsidRDefault="008F01D9">
      <w:pPr>
        <w:pStyle w:val="Footer"/>
        <w:tabs>
          <w:tab w:val="right" w:pos="2155"/>
        </w:tabs>
        <w:spacing w:after="80" w:line="240" w:lineRule="atLeast"/>
        <w:ind w:left="680"/>
        <w:rPr>
          <w:u w:val="single"/>
        </w:rPr>
      </w:pPr>
      <w:r>
        <w:rPr>
          <w:u w:val="single"/>
        </w:rPr>
        <w:tab/>
      </w:r>
    </w:p>
  </w:footnote>
  <w:footnote w:type="continuationSeparator" w:id="0">
    <w:p w14:paraId="28AC61B2" w14:textId="77777777" w:rsidR="00023A38" w:rsidRDefault="008F01D9">
      <w:pPr>
        <w:pStyle w:val="Footer"/>
        <w:tabs>
          <w:tab w:val="right" w:pos="2155"/>
        </w:tabs>
        <w:spacing w:after="80" w:line="240" w:lineRule="atLeast"/>
        <w:ind w:left="680"/>
        <w:rPr>
          <w:u w:val="single"/>
        </w:rPr>
      </w:pPr>
      <w:r>
        <w:rPr>
          <w:u w:val="single"/>
        </w:rPr>
        <w:tab/>
      </w:r>
    </w:p>
  </w:footnote>
  <w:footnote w:type="continuationNotice" w:id="1">
    <w:p w14:paraId="67BCA463" w14:textId="77777777" w:rsidR="00023A38" w:rsidRDefault="00023A38">
      <w:pPr>
        <w:spacing w:line="240" w:lineRule="auto"/>
        <w:rPr>
          <w:sz w:val="2"/>
          <w:szCs w:val="2"/>
        </w:rPr>
      </w:pPr>
    </w:p>
  </w:footnote>
  <w:footnote w:id="2">
    <w:p w14:paraId="3C702767" w14:textId="77777777" w:rsidR="00023A38" w:rsidRDefault="008F01D9">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CEDAW/C/ARE/FCO/4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CEDAW/C/ARE/FCO/4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80083"/>
    <w:multiLevelType w:val="hybridMultilevel"/>
    <w:tmpl w:val="D8027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2B362816"/>
    <w:lvl w:ilvl="0" w:tplc="2ABE17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5B205CC" w:tentative="1">
      <w:start w:val="1"/>
      <w:numFmt w:val="lowerLetter"/>
      <w:lvlText w:val="%2."/>
      <w:lvlJc w:val="left"/>
      <w:pPr>
        <w:tabs>
          <w:tab w:val="num" w:pos="1440"/>
        </w:tabs>
        <w:ind w:left="1440" w:hanging="360"/>
      </w:pPr>
    </w:lvl>
    <w:lvl w:ilvl="2" w:tplc="CB9E0886" w:tentative="1">
      <w:start w:val="1"/>
      <w:numFmt w:val="lowerRoman"/>
      <w:lvlText w:val="%3."/>
      <w:lvlJc w:val="right"/>
      <w:pPr>
        <w:tabs>
          <w:tab w:val="num" w:pos="2160"/>
        </w:tabs>
        <w:ind w:left="2160" w:hanging="180"/>
      </w:pPr>
    </w:lvl>
    <w:lvl w:ilvl="3" w:tplc="54FE19CC" w:tentative="1">
      <w:start w:val="1"/>
      <w:numFmt w:val="decimal"/>
      <w:lvlText w:val="%4."/>
      <w:lvlJc w:val="left"/>
      <w:pPr>
        <w:tabs>
          <w:tab w:val="num" w:pos="2880"/>
        </w:tabs>
        <w:ind w:left="2880" w:hanging="360"/>
      </w:pPr>
    </w:lvl>
    <w:lvl w:ilvl="4" w:tplc="F594CC24" w:tentative="1">
      <w:start w:val="1"/>
      <w:numFmt w:val="lowerLetter"/>
      <w:lvlText w:val="%5."/>
      <w:lvlJc w:val="left"/>
      <w:pPr>
        <w:tabs>
          <w:tab w:val="num" w:pos="3600"/>
        </w:tabs>
        <w:ind w:left="3600" w:hanging="360"/>
      </w:pPr>
    </w:lvl>
    <w:lvl w:ilvl="5" w:tplc="19C640EA" w:tentative="1">
      <w:start w:val="1"/>
      <w:numFmt w:val="lowerRoman"/>
      <w:lvlText w:val="%6."/>
      <w:lvlJc w:val="right"/>
      <w:pPr>
        <w:tabs>
          <w:tab w:val="num" w:pos="4320"/>
        </w:tabs>
        <w:ind w:left="4320" w:hanging="180"/>
      </w:pPr>
    </w:lvl>
    <w:lvl w:ilvl="6" w:tplc="CB60A1F6" w:tentative="1">
      <w:start w:val="1"/>
      <w:numFmt w:val="decimal"/>
      <w:lvlText w:val="%7."/>
      <w:lvlJc w:val="left"/>
      <w:pPr>
        <w:tabs>
          <w:tab w:val="num" w:pos="5040"/>
        </w:tabs>
        <w:ind w:left="5040" w:hanging="360"/>
      </w:pPr>
    </w:lvl>
    <w:lvl w:ilvl="7" w:tplc="D974C706" w:tentative="1">
      <w:start w:val="1"/>
      <w:numFmt w:val="lowerLetter"/>
      <w:lvlText w:val="%8."/>
      <w:lvlJc w:val="left"/>
      <w:pPr>
        <w:tabs>
          <w:tab w:val="num" w:pos="5760"/>
        </w:tabs>
        <w:ind w:left="5760" w:hanging="360"/>
      </w:pPr>
    </w:lvl>
    <w:lvl w:ilvl="8" w:tplc="A8182E72" w:tentative="1">
      <w:start w:val="1"/>
      <w:numFmt w:val="lowerRoman"/>
      <w:lvlText w:val="%9."/>
      <w:lvlJc w:val="right"/>
      <w:pPr>
        <w:tabs>
          <w:tab w:val="num" w:pos="6480"/>
        </w:tabs>
        <w:ind w:left="6480" w:hanging="180"/>
      </w:pPr>
    </w:lvl>
  </w:abstractNum>
  <w:abstractNum w:abstractNumId="12" w15:restartNumberingAfterBreak="0">
    <w:nsid w:val="14037CC0"/>
    <w:multiLevelType w:val="hybridMultilevel"/>
    <w:tmpl w:val="737E23D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3302E87"/>
    <w:multiLevelType w:val="hybridMultilevel"/>
    <w:tmpl w:val="40A69E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64C61A3"/>
    <w:multiLevelType w:val="hybridMultilevel"/>
    <w:tmpl w:val="EB388B7C"/>
    <w:lvl w:ilvl="0" w:tplc="B252A29C">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5" w15:restartNumberingAfterBreak="0">
    <w:nsid w:val="28F8728C"/>
    <w:multiLevelType w:val="hybridMultilevel"/>
    <w:tmpl w:val="7C6A56D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9EF4246"/>
    <w:multiLevelType w:val="hybridMultilevel"/>
    <w:tmpl w:val="86CA8B7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CB6C816A"/>
    <w:lvl w:ilvl="0" w:tplc="40D0F002">
      <w:start w:val="1"/>
      <w:numFmt w:val="bullet"/>
      <w:pStyle w:val="Bullet2G"/>
      <w:lvlText w:val="•"/>
      <w:lvlJc w:val="left"/>
      <w:pPr>
        <w:tabs>
          <w:tab w:val="num" w:pos="2268"/>
        </w:tabs>
        <w:ind w:left="2268" w:hanging="170"/>
      </w:pPr>
      <w:rPr>
        <w:rFonts w:ascii="Times New Roman" w:hAnsi="Times New Roman" w:cs="Times New Roman" w:hint="default"/>
      </w:rPr>
    </w:lvl>
    <w:lvl w:ilvl="1" w:tplc="3E665704" w:tentative="1">
      <w:start w:val="1"/>
      <w:numFmt w:val="bullet"/>
      <w:lvlText w:val="o"/>
      <w:lvlJc w:val="left"/>
      <w:pPr>
        <w:tabs>
          <w:tab w:val="num" w:pos="3708"/>
        </w:tabs>
        <w:ind w:left="3708" w:hanging="360"/>
      </w:pPr>
      <w:rPr>
        <w:rFonts w:ascii="Courier New" w:hAnsi="Courier New" w:hint="default"/>
      </w:rPr>
    </w:lvl>
    <w:lvl w:ilvl="2" w:tplc="ACEEDA6C" w:tentative="1">
      <w:start w:val="1"/>
      <w:numFmt w:val="bullet"/>
      <w:lvlText w:val=""/>
      <w:lvlJc w:val="left"/>
      <w:pPr>
        <w:tabs>
          <w:tab w:val="num" w:pos="4428"/>
        </w:tabs>
        <w:ind w:left="4428" w:hanging="360"/>
      </w:pPr>
      <w:rPr>
        <w:rFonts w:ascii="Wingdings" w:hAnsi="Wingdings" w:hint="default"/>
      </w:rPr>
    </w:lvl>
    <w:lvl w:ilvl="3" w:tplc="2548B528" w:tentative="1">
      <w:start w:val="1"/>
      <w:numFmt w:val="bullet"/>
      <w:lvlText w:val=""/>
      <w:lvlJc w:val="left"/>
      <w:pPr>
        <w:tabs>
          <w:tab w:val="num" w:pos="5148"/>
        </w:tabs>
        <w:ind w:left="5148" w:hanging="360"/>
      </w:pPr>
      <w:rPr>
        <w:rFonts w:ascii="Symbol" w:hAnsi="Symbol" w:hint="default"/>
      </w:rPr>
    </w:lvl>
    <w:lvl w:ilvl="4" w:tplc="5D502E6E" w:tentative="1">
      <w:start w:val="1"/>
      <w:numFmt w:val="bullet"/>
      <w:lvlText w:val="o"/>
      <w:lvlJc w:val="left"/>
      <w:pPr>
        <w:tabs>
          <w:tab w:val="num" w:pos="5868"/>
        </w:tabs>
        <w:ind w:left="5868" w:hanging="360"/>
      </w:pPr>
      <w:rPr>
        <w:rFonts w:ascii="Courier New" w:hAnsi="Courier New" w:hint="default"/>
      </w:rPr>
    </w:lvl>
    <w:lvl w:ilvl="5" w:tplc="88882BE4" w:tentative="1">
      <w:start w:val="1"/>
      <w:numFmt w:val="bullet"/>
      <w:lvlText w:val=""/>
      <w:lvlJc w:val="left"/>
      <w:pPr>
        <w:tabs>
          <w:tab w:val="num" w:pos="6588"/>
        </w:tabs>
        <w:ind w:left="6588" w:hanging="360"/>
      </w:pPr>
      <w:rPr>
        <w:rFonts w:ascii="Wingdings" w:hAnsi="Wingdings" w:hint="default"/>
      </w:rPr>
    </w:lvl>
    <w:lvl w:ilvl="6" w:tplc="39B06C58" w:tentative="1">
      <w:start w:val="1"/>
      <w:numFmt w:val="bullet"/>
      <w:lvlText w:val=""/>
      <w:lvlJc w:val="left"/>
      <w:pPr>
        <w:tabs>
          <w:tab w:val="num" w:pos="7308"/>
        </w:tabs>
        <w:ind w:left="7308" w:hanging="360"/>
      </w:pPr>
      <w:rPr>
        <w:rFonts w:ascii="Symbol" w:hAnsi="Symbol" w:hint="default"/>
      </w:rPr>
    </w:lvl>
    <w:lvl w:ilvl="7" w:tplc="D82A7DEA" w:tentative="1">
      <w:start w:val="1"/>
      <w:numFmt w:val="bullet"/>
      <w:lvlText w:val="o"/>
      <w:lvlJc w:val="left"/>
      <w:pPr>
        <w:tabs>
          <w:tab w:val="num" w:pos="8028"/>
        </w:tabs>
        <w:ind w:left="8028" w:hanging="360"/>
      </w:pPr>
      <w:rPr>
        <w:rFonts w:ascii="Courier New" w:hAnsi="Courier New" w:hint="default"/>
      </w:rPr>
    </w:lvl>
    <w:lvl w:ilvl="8" w:tplc="E6E8F52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E23E5D"/>
    <w:multiLevelType w:val="hybridMultilevel"/>
    <w:tmpl w:val="66BCD6CC"/>
    <w:lvl w:ilvl="0" w:tplc="04090001">
      <w:start w:val="1"/>
      <w:numFmt w:val="bullet"/>
      <w:lvlText w:val=""/>
      <w:lvlJc w:val="left"/>
      <w:pPr>
        <w:ind w:left="936" w:hanging="360"/>
      </w:pPr>
      <w:rPr>
        <w:rFonts w:ascii="Symbol" w:hAnsi="Symbol" w:hint="default"/>
      </w:rPr>
    </w:lvl>
    <w:lvl w:ilvl="1" w:tplc="04090003">
      <w:start w:val="1"/>
      <w:numFmt w:val="bullet"/>
      <w:lvlText w:val="o"/>
      <w:lvlJc w:val="left"/>
      <w:pPr>
        <w:ind w:left="1656" w:hanging="360"/>
      </w:pPr>
      <w:rPr>
        <w:rFonts w:ascii="Courier New" w:hAnsi="Courier New" w:cs="Courier New" w:hint="default"/>
      </w:rPr>
    </w:lvl>
    <w:lvl w:ilvl="2" w:tplc="04090005">
      <w:start w:val="1"/>
      <w:numFmt w:val="bullet"/>
      <w:lvlText w:val=""/>
      <w:lvlJc w:val="left"/>
      <w:pPr>
        <w:ind w:left="2376" w:hanging="360"/>
      </w:pPr>
      <w:rPr>
        <w:rFonts w:ascii="Wingdings" w:hAnsi="Wingdings" w:hint="default"/>
      </w:rPr>
    </w:lvl>
    <w:lvl w:ilvl="3" w:tplc="04090001">
      <w:start w:val="1"/>
      <w:numFmt w:val="bullet"/>
      <w:lvlText w:val=""/>
      <w:lvlJc w:val="left"/>
      <w:pPr>
        <w:ind w:left="3096" w:hanging="360"/>
      </w:pPr>
      <w:rPr>
        <w:rFonts w:ascii="Symbol" w:hAnsi="Symbol" w:hint="default"/>
      </w:rPr>
    </w:lvl>
    <w:lvl w:ilvl="4" w:tplc="04090003">
      <w:start w:val="1"/>
      <w:numFmt w:val="bullet"/>
      <w:lvlText w:val="o"/>
      <w:lvlJc w:val="left"/>
      <w:pPr>
        <w:ind w:left="3816" w:hanging="360"/>
      </w:pPr>
      <w:rPr>
        <w:rFonts w:ascii="Courier New" w:hAnsi="Courier New" w:cs="Courier New" w:hint="default"/>
      </w:rPr>
    </w:lvl>
    <w:lvl w:ilvl="5" w:tplc="04090005">
      <w:start w:val="1"/>
      <w:numFmt w:val="bullet"/>
      <w:lvlText w:val=""/>
      <w:lvlJc w:val="left"/>
      <w:pPr>
        <w:ind w:left="4536" w:hanging="360"/>
      </w:pPr>
      <w:rPr>
        <w:rFonts w:ascii="Wingdings" w:hAnsi="Wingdings" w:hint="default"/>
      </w:rPr>
    </w:lvl>
    <w:lvl w:ilvl="6" w:tplc="04090001">
      <w:start w:val="1"/>
      <w:numFmt w:val="bullet"/>
      <w:lvlText w:val=""/>
      <w:lvlJc w:val="left"/>
      <w:pPr>
        <w:ind w:left="5256" w:hanging="360"/>
      </w:pPr>
      <w:rPr>
        <w:rFonts w:ascii="Symbol" w:hAnsi="Symbol" w:hint="default"/>
      </w:rPr>
    </w:lvl>
    <w:lvl w:ilvl="7" w:tplc="04090003">
      <w:start w:val="1"/>
      <w:numFmt w:val="bullet"/>
      <w:lvlText w:val="o"/>
      <w:lvlJc w:val="left"/>
      <w:pPr>
        <w:ind w:left="5976" w:hanging="360"/>
      </w:pPr>
      <w:rPr>
        <w:rFonts w:ascii="Courier New" w:hAnsi="Courier New" w:cs="Courier New" w:hint="default"/>
      </w:rPr>
    </w:lvl>
    <w:lvl w:ilvl="8" w:tplc="04090005">
      <w:start w:val="1"/>
      <w:numFmt w:val="bullet"/>
      <w:lvlText w:val=""/>
      <w:lvlJc w:val="left"/>
      <w:pPr>
        <w:ind w:left="6696" w:hanging="360"/>
      </w:pPr>
      <w:rPr>
        <w:rFonts w:ascii="Wingdings" w:hAnsi="Wingdings" w:hint="default"/>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64566D"/>
    <w:multiLevelType w:val="multilevel"/>
    <w:tmpl w:val="15B2CE8A"/>
    <w:lvl w:ilvl="0">
      <w:start w:val="1"/>
      <w:numFmt w:val="decimal"/>
      <w:lvlText w:val="%1."/>
      <w:lvlJc w:val="left"/>
      <w:pPr>
        <w:tabs>
          <w:tab w:val="num" w:pos="720"/>
        </w:tabs>
        <w:ind w:left="720" w:hanging="360"/>
      </w:pPr>
      <w:rPr>
        <w:lang w:val="en-G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93B1D45"/>
    <w:multiLevelType w:val="hybridMultilevel"/>
    <w:tmpl w:val="0D5A820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72681B"/>
    <w:multiLevelType w:val="hybridMultilevel"/>
    <w:tmpl w:val="536A6B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8AD07B2"/>
    <w:multiLevelType w:val="hybridMultilevel"/>
    <w:tmpl w:val="7FEE3222"/>
    <w:lvl w:ilvl="0" w:tplc="0194EB20">
      <w:start w:val="1"/>
      <w:numFmt w:val="bullet"/>
      <w:pStyle w:val="Bullet1G"/>
      <w:lvlText w:val="•"/>
      <w:lvlJc w:val="left"/>
      <w:pPr>
        <w:tabs>
          <w:tab w:val="num" w:pos="1701"/>
        </w:tabs>
        <w:ind w:left="1701" w:hanging="170"/>
      </w:pPr>
      <w:rPr>
        <w:rFonts w:ascii="Times New Roman" w:hAnsi="Times New Roman" w:cs="Times New Roman" w:hint="default"/>
      </w:rPr>
    </w:lvl>
    <w:lvl w:ilvl="1" w:tplc="B5AE6D82" w:tentative="1">
      <w:start w:val="1"/>
      <w:numFmt w:val="bullet"/>
      <w:lvlText w:val="o"/>
      <w:lvlJc w:val="left"/>
      <w:pPr>
        <w:tabs>
          <w:tab w:val="num" w:pos="3141"/>
        </w:tabs>
        <w:ind w:left="3141" w:hanging="360"/>
      </w:pPr>
      <w:rPr>
        <w:rFonts w:ascii="Courier New" w:hAnsi="Courier New" w:hint="default"/>
      </w:rPr>
    </w:lvl>
    <w:lvl w:ilvl="2" w:tplc="9D0E94BC" w:tentative="1">
      <w:start w:val="1"/>
      <w:numFmt w:val="bullet"/>
      <w:lvlText w:val=""/>
      <w:lvlJc w:val="left"/>
      <w:pPr>
        <w:tabs>
          <w:tab w:val="num" w:pos="3861"/>
        </w:tabs>
        <w:ind w:left="3861" w:hanging="360"/>
      </w:pPr>
      <w:rPr>
        <w:rFonts w:ascii="Wingdings" w:hAnsi="Wingdings" w:hint="default"/>
      </w:rPr>
    </w:lvl>
    <w:lvl w:ilvl="3" w:tplc="8B00E5E4" w:tentative="1">
      <w:start w:val="1"/>
      <w:numFmt w:val="bullet"/>
      <w:lvlText w:val=""/>
      <w:lvlJc w:val="left"/>
      <w:pPr>
        <w:tabs>
          <w:tab w:val="num" w:pos="4581"/>
        </w:tabs>
        <w:ind w:left="4581" w:hanging="360"/>
      </w:pPr>
      <w:rPr>
        <w:rFonts w:ascii="Symbol" w:hAnsi="Symbol" w:hint="default"/>
      </w:rPr>
    </w:lvl>
    <w:lvl w:ilvl="4" w:tplc="F1B65EF0" w:tentative="1">
      <w:start w:val="1"/>
      <w:numFmt w:val="bullet"/>
      <w:lvlText w:val="o"/>
      <w:lvlJc w:val="left"/>
      <w:pPr>
        <w:tabs>
          <w:tab w:val="num" w:pos="5301"/>
        </w:tabs>
        <w:ind w:left="5301" w:hanging="360"/>
      </w:pPr>
      <w:rPr>
        <w:rFonts w:ascii="Courier New" w:hAnsi="Courier New" w:hint="default"/>
      </w:rPr>
    </w:lvl>
    <w:lvl w:ilvl="5" w:tplc="A840284C" w:tentative="1">
      <w:start w:val="1"/>
      <w:numFmt w:val="bullet"/>
      <w:lvlText w:val=""/>
      <w:lvlJc w:val="left"/>
      <w:pPr>
        <w:tabs>
          <w:tab w:val="num" w:pos="6021"/>
        </w:tabs>
        <w:ind w:left="6021" w:hanging="360"/>
      </w:pPr>
      <w:rPr>
        <w:rFonts w:ascii="Wingdings" w:hAnsi="Wingdings" w:hint="default"/>
      </w:rPr>
    </w:lvl>
    <w:lvl w:ilvl="6" w:tplc="72188864" w:tentative="1">
      <w:start w:val="1"/>
      <w:numFmt w:val="bullet"/>
      <w:lvlText w:val=""/>
      <w:lvlJc w:val="left"/>
      <w:pPr>
        <w:tabs>
          <w:tab w:val="num" w:pos="6741"/>
        </w:tabs>
        <w:ind w:left="6741" w:hanging="360"/>
      </w:pPr>
      <w:rPr>
        <w:rFonts w:ascii="Symbol" w:hAnsi="Symbol" w:hint="default"/>
      </w:rPr>
    </w:lvl>
    <w:lvl w:ilvl="7" w:tplc="FEB0732E" w:tentative="1">
      <w:start w:val="1"/>
      <w:numFmt w:val="bullet"/>
      <w:lvlText w:val="o"/>
      <w:lvlJc w:val="left"/>
      <w:pPr>
        <w:tabs>
          <w:tab w:val="num" w:pos="7461"/>
        </w:tabs>
        <w:ind w:left="7461" w:hanging="360"/>
      </w:pPr>
      <w:rPr>
        <w:rFonts w:ascii="Courier New" w:hAnsi="Courier New" w:hint="default"/>
      </w:rPr>
    </w:lvl>
    <w:lvl w:ilvl="8" w:tplc="0952D7A0"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2950B51"/>
    <w:multiLevelType w:val="hybridMultilevel"/>
    <w:tmpl w:val="793EBC02"/>
    <w:lvl w:ilvl="0" w:tplc="F78AF31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C481F12"/>
    <w:multiLevelType w:val="hybridMultilevel"/>
    <w:tmpl w:val="D8DAD03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D143494"/>
    <w:multiLevelType w:val="hybridMultilevel"/>
    <w:tmpl w:val="98D6BC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70675882">
    <w:abstractNumId w:val="25"/>
  </w:num>
  <w:num w:numId="2" w16cid:durableId="2038696089">
    <w:abstractNumId w:val="17"/>
  </w:num>
  <w:num w:numId="3" w16cid:durableId="413090897">
    <w:abstractNumId w:val="11"/>
  </w:num>
  <w:num w:numId="4" w16cid:durableId="1356887888">
    <w:abstractNumId w:val="8"/>
  </w:num>
  <w:num w:numId="5" w16cid:durableId="512191045">
    <w:abstractNumId w:val="3"/>
  </w:num>
  <w:num w:numId="6" w16cid:durableId="1833830731">
    <w:abstractNumId w:val="2"/>
  </w:num>
  <w:num w:numId="7" w16cid:durableId="617491578">
    <w:abstractNumId w:val="1"/>
  </w:num>
  <w:num w:numId="8" w16cid:durableId="2108571035">
    <w:abstractNumId w:val="0"/>
  </w:num>
  <w:num w:numId="9" w16cid:durableId="522981216">
    <w:abstractNumId w:val="9"/>
  </w:num>
  <w:num w:numId="10" w16cid:durableId="1134446168">
    <w:abstractNumId w:val="7"/>
  </w:num>
  <w:num w:numId="11" w16cid:durableId="109782025">
    <w:abstractNumId w:val="6"/>
  </w:num>
  <w:num w:numId="12" w16cid:durableId="787436350">
    <w:abstractNumId w:val="5"/>
  </w:num>
  <w:num w:numId="13" w16cid:durableId="116266233">
    <w:abstractNumId w:val="4"/>
  </w:num>
  <w:num w:numId="14" w16cid:durableId="1700008591">
    <w:abstractNumId w:val="25"/>
  </w:num>
  <w:num w:numId="15" w16cid:durableId="1046760016">
    <w:abstractNumId w:val="17"/>
  </w:num>
  <w:num w:numId="16" w16cid:durableId="370958225">
    <w:abstractNumId w:val="11"/>
  </w:num>
  <w:num w:numId="17" w16cid:durableId="1349139605">
    <w:abstractNumId w:val="19"/>
  </w:num>
  <w:num w:numId="18" w16cid:durableId="400493696">
    <w:abstractNumId w:val="23"/>
  </w:num>
  <w:num w:numId="19" w16cid:durableId="158809362">
    <w:abstractNumId w:val="22"/>
  </w:num>
  <w:num w:numId="20" w16cid:durableId="609358735">
    <w:abstractNumId w:val="27"/>
  </w:num>
  <w:num w:numId="21" w16cid:durableId="8835175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9453694">
    <w:abstractNumId w:val="18"/>
    <w:lvlOverride w:ilvl="0"/>
    <w:lvlOverride w:ilvl="1"/>
    <w:lvlOverride w:ilvl="2"/>
    <w:lvlOverride w:ilvl="3"/>
    <w:lvlOverride w:ilvl="4"/>
    <w:lvlOverride w:ilvl="5"/>
    <w:lvlOverride w:ilvl="6"/>
    <w:lvlOverride w:ilvl="7"/>
    <w:lvlOverride w:ilvl="8"/>
  </w:num>
  <w:num w:numId="23" w16cid:durableId="1196190246">
    <w:abstractNumId w:val="15"/>
    <w:lvlOverride w:ilvl="0"/>
    <w:lvlOverride w:ilvl="1"/>
    <w:lvlOverride w:ilvl="2"/>
    <w:lvlOverride w:ilvl="3"/>
    <w:lvlOverride w:ilvl="4"/>
    <w:lvlOverride w:ilvl="5"/>
    <w:lvlOverride w:ilvl="6"/>
    <w:lvlOverride w:ilvl="7"/>
    <w:lvlOverride w:ilvl="8"/>
  </w:num>
  <w:num w:numId="24" w16cid:durableId="2037610005">
    <w:abstractNumId w:val="12"/>
    <w:lvlOverride w:ilvl="0"/>
    <w:lvlOverride w:ilvl="1"/>
    <w:lvlOverride w:ilvl="2"/>
    <w:lvlOverride w:ilvl="3"/>
    <w:lvlOverride w:ilvl="4"/>
    <w:lvlOverride w:ilvl="5"/>
    <w:lvlOverride w:ilvl="6"/>
    <w:lvlOverride w:ilvl="7"/>
    <w:lvlOverride w:ilvl="8"/>
  </w:num>
  <w:num w:numId="25" w16cid:durableId="7490363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6833026">
    <w:abstractNumId w:val="10"/>
    <w:lvlOverride w:ilvl="0"/>
    <w:lvlOverride w:ilvl="1"/>
    <w:lvlOverride w:ilvl="2"/>
    <w:lvlOverride w:ilvl="3"/>
    <w:lvlOverride w:ilvl="4"/>
    <w:lvlOverride w:ilvl="5"/>
    <w:lvlOverride w:ilvl="6"/>
    <w:lvlOverride w:ilvl="7"/>
    <w:lvlOverride w:ilvl="8"/>
  </w:num>
  <w:num w:numId="27" w16cid:durableId="509560966">
    <w:abstractNumId w:val="29"/>
    <w:lvlOverride w:ilvl="0"/>
    <w:lvlOverride w:ilvl="1"/>
    <w:lvlOverride w:ilvl="2"/>
    <w:lvlOverride w:ilvl="3"/>
    <w:lvlOverride w:ilvl="4"/>
    <w:lvlOverride w:ilvl="5"/>
    <w:lvlOverride w:ilvl="6"/>
    <w:lvlOverride w:ilvl="7"/>
    <w:lvlOverride w:ilvl="8"/>
  </w:num>
  <w:num w:numId="28" w16cid:durableId="223613285">
    <w:abstractNumId w:val="16"/>
    <w:lvlOverride w:ilvl="0"/>
    <w:lvlOverride w:ilvl="1"/>
    <w:lvlOverride w:ilvl="2"/>
    <w:lvlOverride w:ilvl="3"/>
    <w:lvlOverride w:ilvl="4"/>
    <w:lvlOverride w:ilvl="5"/>
    <w:lvlOverride w:ilvl="6"/>
    <w:lvlOverride w:ilvl="7"/>
    <w:lvlOverride w:ilvl="8"/>
  </w:num>
  <w:num w:numId="29" w16cid:durableId="1993176585">
    <w:abstractNumId w:val="21"/>
    <w:lvlOverride w:ilvl="0"/>
    <w:lvlOverride w:ilvl="1"/>
    <w:lvlOverride w:ilvl="2"/>
    <w:lvlOverride w:ilvl="3"/>
    <w:lvlOverride w:ilvl="4"/>
    <w:lvlOverride w:ilvl="5"/>
    <w:lvlOverride w:ilvl="6"/>
    <w:lvlOverride w:ilvl="7"/>
    <w:lvlOverride w:ilvl="8"/>
  </w:num>
  <w:num w:numId="30" w16cid:durableId="17699342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5022127">
    <w:abstractNumId w:val="13"/>
    <w:lvlOverride w:ilvl="0"/>
    <w:lvlOverride w:ilvl="1"/>
    <w:lvlOverride w:ilvl="2"/>
    <w:lvlOverride w:ilvl="3"/>
    <w:lvlOverride w:ilvl="4"/>
    <w:lvlOverride w:ilvl="5"/>
    <w:lvlOverride w:ilvl="6"/>
    <w:lvlOverride w:ilvl="7"/>
    <w:lvlOverride w:ilvl="8"/>
  </w:num>
  <w:num w:numId="32" w16cid:durableId="494495629">
    <w:abstractNumId w:val="28"/>
    <w:lvlOverride w:ilvl="0"/>
    <w:lvlOverride w:ilvl="1"/>
    <w:lvlOverride w:ilvl="2"/>
    <w:lvlOverride w:ilvl="3"/>
    <w:lvlOverride w:ilvl="4"/>
    <w:lvlOverride w:ilvl="5"/>
    <w:lvlOverride w:ilvl="6"/>
    <w:lvlOverride w:ilvl="7"/>
    <w:lvlOverride w:ilvl="8"/>
  </w:num>
  <w:num w:numId="33" w16cid:durableId="598565139">
    <w:abstractNumId w:val="2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75D94"/>
    <w:rsid w:val="00226072"/>
    <w:rsid w:val="00394C19"/>
    <w:rsid w:val="003B1068"/>
    <w:rsid w:val="003D6145"/>
    <w:rsid w:val="004330CD"/>
    <w:rsid w:val="00475636"/>
    <w:rsid w:val="004A43A3"/>
    <w:rsid w:val="005F7A44"/>
    <w:rsid w:val="00737760"/>
    <w:rsid w:val="007C6769"/>
    <w:rsid w:val="007F4501"/>
    <w:rsid w:val="008E4C28"/>
    <w:rsid w:val="008F01D9"/>
    <w:rsid w:val="0097794F"/>
    <w:rsid w:val="00A44539"/>
    <w:rsid w:val="00D936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54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2024-11-29T15:35:57+00:00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3.xml><?xml version="1.0" encoding="utf-8"?>
<ds:datastoreItem xmlns:ds="http://schemas.openxmlformats.org/officeDocument/2006/customXml" ds:itemID="{E54CE7CC-708E-46AD-9962-D7AFEEDC1EE9}"/>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2679</Words>
  <Characters>15272</Characters>
  <Application>Microsoft Office Word</Application>
  <DocSecurity>0</DocSecurity>
  <Lines>127</Lines>
  <Paragraphs>35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CEDAW/C/ARE/FCO/4</dc:title>
  <dc:creator>Gloria</dc:creator>
  <cp:lastModifiedBy>Jamila Devi Seerathun</cp:lastModifiedBy>
  <cp:revision>3</cp:revision>
  <cp:lastPrinted>2017-04-21T12:16:00Z</cp:lastPrinted>
  <dcterms:created xsi:type="dcterms:W3CDTF">2025-01-17T10:39:00Z</dcterms:created>
  <dcterms:modified xsi:type="dcterms:W3CDTF">2025-01-17T10:40:00Z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the United Arab Emirates</vt:lpwstr>
  </property>
  <property fmtid="{D5CDD505-2E9C-101B-9397-08002B2CF9AE}" pid="9" name="countw">
    <vt:lpwstr>the United Arab Emirates</vt:lpwstr>
  </property>
  <property fmtid="{D5CDD505-2E9C-101B-9397-08002B2CF9AE}" pid="10" name="countwd">
    <vt:lpwstr>the United Arab Emirates</vt:lpwstr>
  </property>
  <property fmtid="{D5CDD505-2E9C-101B-9397-08002B2CF9AE}" pid="11" name="date">
    <vt:lpwstr>2 December 2024</vt:lpwstr>
  </property>
  <property fmtid="{D5CDD505-2E9C-101B-9397-08002B2CF9AE}" pid="12" name="Date-Generated">
    <vt:filetime>2024-11-29T15:33:08Z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fourth periodic report of the United Arab Emirates</vt:lpwstr>
  </property>
  <property fmtid="{D5CDD505-2E9C-101B-9397-08002B2CF9AE}" pid="23" name="preps">
    <vt:lpwstr>fourth periodic report of the United Arab Emirates</vt:lpwstr>
  </property>
  <property fmtid="{D5CDD505-2E9C-101B-9397-08002B2CF9AE}" pid="24" name="prepw">
    <vt:lpwstr>fourth periodic report</vt:lpwstr>
  </property>
  <property fmtid="{D5CDD505-2E9C-101B-9397-08002B2CF9AE}" pid="25" name="prepwc">
    <vt:lpwstr>Fourth periodic report </vt:lpwstr>
  </property>
  <property fmtid="{D5CDD505-2E9C-101B-9397-08002B2CF9AE}" pid="26" name="prepws">
    <vt:lpwstr>fourth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C/ARE/FCO/4</vt:lpwstr>
  </property>
  <property fmtid="{D5CDD505-2E9C-101B-9397-08002B2CF9AE}" pid="32" name="symh">
    <vt:lpwstr>CEDAW/C/ARE/FCO/4</vt:lpwstr>
  </property>
  <property fmtid="{D5CDD505-2E9C-101B-9397-08002B2CF9AE}" pid="33" name="Title">
    <vt:lpwstr>CEDAW/C/ARE/FCO/4</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