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A6A8D" w14:textId="77777777" w:rsidR="00BC051B" w:rsidRDefault="006F64C2">
      <w:pPr>
        <w:spacing w:after="120" w:line="240" w:lineRule="auto"/>
        <w:ind w:right="-280"/>
        <w:jc w:val="right"/>
        <w:rPr>
          <w:rFonts w:ascii="Arial" w:eastAsia="Arial" w:hAnsi="Arial" w:cs="Arial"/>
          <w:sz w:val="22"/>
          <w:szCs w:val="22"/>
        </w:rPr>
      </w:pPr>
      <w:r>
        <w:rPr>
          <w:rFonts w:ascii="Arial" w:eastAsia="Arial" w:hAnsi="Arial" w:cs="Arial"/>
          <w:sz w:val="22"/>
          <w:szCs w:val="22"/>
        </w:rPr>
        <w:t>Buenos Aires, 28 de abril de 2025</w:t>
      </w:r>
    </w:p>
    <w:p w14:paraId="0AB67114" w14:textId="77777777" w:rsidR="00BC051B" w:rsidRDefault="00BC051B">
      <w:pPr>
        <w:spacing w:after="120" w:line="240" w:lineRule="auto"/>
        <w:ind w:right="-280"/>
        <w:jc w:val="both"/>
        <w:rPr>
          <w:rFonts w:ascii="Arial" w:eastAsia="Arial" w:hAnsi="Arial" w:cs="Arial"/>
          <w:sz w:val="22"/>
          <w:szCs w:val="22"/>
        </w:rPr>
      </w:pPr>
    </w:p>
    <w:p w14:paraId="141CB52E" w14:textId="77777777" w:rsidR="00BC051B" w:rsidRDefault="00BC051B">
      <w:pPr>
        <w:spacing w:after="120" w:line="240" w:lineRule="auto"/>
        <w:ind w:right="-280"/>
        <w:jc w:val="both"/>
        <w:rPr>
          <w:rFonts w:ascii="Arial" w:eastAsia="Arial" w:hAnsi="Arial" w:cs="Arial"/>
          <w:sz w:val="22"/>
          <w:szCs w:val="22"/>
        </w:rPr>
      </w:pPr>
    </w:p>
    <w:p w14:paraId="2C5F5FEF"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A las/os expertas/os del Comité de Derechos Humanos</w:t>
      </w:r>
    </w:p>
    <w:p w14:paraId="61F00C78" w14:textId="77777777" w:rsidR="00BC051B" w:rsidRDefault="00BC051B">
      <w:pPr>
        <w:spacing w:after="120" w:line="240" w:lineRule="auto"/>
        <w:ind w:right="-280"/>
        <w:jc w:val="both"/>
        <w:rPr>
          <w:rFonts w:ascii="Arial" w:eastAsia="Arial" w:hAnsi="Arial" w:cs="Arial"/>
          <w:sz w:val="22"/>
          <w:szCs w:val="22"/>
        </w:rPr>
      </w:pPr>
    </w:p>
    <w:p w14:paraId="511B3DB8" w14:textId="77777777" w:rsidR="00BC051B" w:rsidRDefault="006F64C2">
      <w:pPr>
        <w:spacing w:after="120" w:line="240" w:lineRule="auto"/>
        <w:ind w:right="-280"/>
        <w:jc w:val="right"/>
        <w:rPr>
          <w:rFonts w:ascii="Arial" w:eastAsia="Arial" w:hAnsi="Arial" w:cs="Arial"/>
          <w:b/>
          <w:sz w:val="22"/>
          <w:szCs w:val="22"/>
        </w:rPr>
      </w:pPr>
      <w:r>
        <w:rPr>
          <w:rFonts w:ascii="Arial" w:eastAsia="Arial" w:hAnsi="Arial" w:cs="Arial"/>
          <w:b/>
          <w:sz w:val="22"/>
          <w:szCs w:val="22"/>
        </w:rPr>
        <w:t>Ref.: Lista de Cuestiones Previas al Informe de Argentina – 144° Sesión (23 Jun 2025 - 25 Jul 2025)</w:t>
      </w:r>
    </w:p>
    <w:p w14:paraId="1D1BABCA" w14:textId="77777777" w:rsidR="00BC051B" w:rsidRDefault="00BC051B">
      <w:pPr>
        <w:spacing w:after="120" w:line="240" w:lineRule="auto"/>
        <w:ind w:right="-280"/>
        <w:jc w:val="both"/>
        <w:rPr>
          <w:rFonts w:ascii="Arial" w:eastAsia="Arial" w:hAnsi="Arial" w:cs="Arial"/>
          <w:sz w:val="22"/>
          <w:szCs w:val="22"/>
        </w:rPr>
      </w:pPr>
    </w:p>
    <w:p w14:paraId="499A2618"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De nuestra consideración,</w:t>
      </w:r>
    </w:p>
    <w:p w14:paraId="39B44C06" w14:textId="77777777" w:rsidR="00BC051B" w:rsidRDefault="00BC051B">
      <w:pPr>
        <w:spacing w:after="120" w:line="240" w:lineRule="auto"/>
        <w:ind w:right="-280"/>
        <w:jc w:val="both"/>
        <w:rPr>
          <w:rFonts w:ascii="Arial" w:eastAsia="Arial" w:hAnsi="Arial" w:cs="Arial"/>
          <w:sz w:val="22"/>
          <w:szCs w:val="22"/>
        </w:rPr>
      </w:pPr>
    </w:p>
    <w:p w14:paraId="54D54BD5"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Nos dirigimos a ustedes desde el Centro de Estudios Legales y Sociales (CELS), organización dedicada desde 1979 a la defensa y protección de los derechos humanos en Argentina. El CELS ha participado con diversos aportes en el marco de evaluaciones anteriores ante este Ilustre Comité. En esta oportunidad, le acercamos al Comité sugerencias para la elaboración de la Lista de Cuestiones Previa al Informe de Argentina a ser adoptada en la sesión 144° del Comité.</w:t>
      </w:r>
    </w:p>
    <w:p w14:paraId="15CB196D"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A continuación, le presentamos una serie de cuestiones para que consideren a la hora de realizar la lista de preguntas que guiará el informe y la presentación estatal en el marco de la evaluación del Comité. Estos aportes no agotan la totalidad de las problemáticas de derechos humanos que atraviesan las personas en el país.</w:t>
      </w:r>
    </w:p>
    <w:p w14:paraId="2B9B256B"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Sin perjuicio de la información que brindamos en el presente informe, el CELS remitirá un informe alternativo de cara al diálogo interactivo con el Estado, que contendrá mayor información para el marco de la evaluación.</w:t>
      </w:r>
    </w:p>
    <w:p w14:paraId="79F743E6" w14:textId="77777777" w:rsidR="00BC051B" w:rsidRDefault="00BC051B">
      <w:pPr>
        <w:spacing w:after="120" w:line="240" w:lineRule="auto"/>
        <w:ind w:right="-280"/>
        <w:jc w:val="both"/>
        <w:rPr>
          <w:rFonts w:ascii="Arial" w:eastAsia="Arial" w:hAnsi="Arial" w:cs="Arial"/>
          <w:sz w:val="22"/>
          <w:szCs w:val="22"/>
        </w:rPr>
      </w:pPr>
    </w:p>
    <w:p w14:paraId="1DF4BA14"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Quedamos a vuestra disposición para ampliar o aclarar lo que estimen necesario.</w:t>
      </w:r>
    </w:p>
    <w:p w14:paraId="50935DEB" w14:textId="77777777" w:rsidR="00BC051B" w:rsidRDefault="00BC051B">
      <w:pPr>
        <w:spacing w:after="120" w:line="240" w:lineRule="auto"/>
        <w:ind w:right="-280"/>
        <w:jc w:val="both"/>
        <w:rPr>
          <w:rFonts w:ascii="Arial" w:eastAsia="Arial" w:hAnsi="Arial" w:cs="Arial"/>
          <w:sz w:val="22"/>
          <w:szCs w:val="22"/>
        </w:rPr>
      </w:pPr>
    </w:p>
    <w:p w14:paraId="4086D33E" w14:textId="77777777" w:rsidR="00BC051B" w:rsidRDefault="006F64C2">
      <w:pPr>
        <w:spacing w:after="120" w:line="240" w:lineRule="auto"/>
        <w:ind w:right="-280"/>
        <w:jc w:val="both"/>
        <w:rPr>
          <w:rFonts w:ascii="Arial" w:eastAsia="Arial" w:hAnsi="Arial" w:cs="Arial"/>
          <w:b/>
          <w:sz w:val="22"/>
          <w:szCs w:val="22"/>
        </w:rPr>
      </w:pPr>
      <w:r>
        <w:rPr>
          <w:rFonts w:ascii="Arial" w:eastAsia="Arial" w:hAnsi="Arial" w:cs="Arial"/>
          <w:b/>
          <w:sz w:val="22"/>
          <w:szCs w:val="22"/>
        </w:rPr>
        <w:t>Centro de Estudios Legales y Sociales (CELS)</w:t>
      </w:r>
    </w:p>
    <w:p w14:paraId="0F62C752" w14:textId="77777777" w:rsidR="00BC051B" w:rsidRDefault="006F64C2">
      <w:pPr>
        <w:spacing w:after="120" w:line="240" w:lineRule="auto"/>
        <w:ind w:right="-280"/>
        <w:rPr>
          <w:rFonts w:ascii="Arial" w:eastAsia="Arial" w:hAnsi="Arial" w:cs="Arial"/>
          <w:sz w:val="22"/>
          <w:szCs w:val="22"/>
        </w:rPr>
      </w:pPr>
      <w:r>
        <w:br w:type="page"/>
      </w:r>
    </w:p>
    <w:p w14:paraId="5B854770" w14:textId="77777777" w:rsidR="00BC051B" w:rsidRDefault="006F64C2">
      <w:pPr>
        <w:spacing w:after="120" w:line="240" w:lineRule="auto"/>
        <w:ind w:right="-280"/>
        <w:jc w:val="center"/>
        <w:rPr>
          <w:rFonts w:ascii="Arial" w:eastAsia="Arial" w:hAnsi="Arial" w:cs="Arial"/>
          <w:b/>
          <w:sz w:val="22"/>
          <w:szCs w:val="22"/>
        </w:rPr>
      </w:pPr>
      <w:r>
        <w:rPr>
          <w:rFonts w:ascii="Arial" w:eastAsia="Arial" w:hAnsi="Arial" w:cs="Arial"/>
          <w:b/>
          <w:sz w:val="22"/>
          <w:szCs w:val="22"/>
        </w:rPr>
        <w:lastRenderedPageBreak/>
        <w:t>Aportes a la Lista de Cuestiones Previas al Informe de Argentina sobre el cumplimiento de sus obligaciones en torno al Pacto Internacional de Derechos Civiles y Políticos</w:t>
      </w:r>
    </w:p>
    <w:p w14:paraId="23128BCD" w14:textId="77777777" w:rsidR="00BC051B" w:rsidRDefault="00BC051B">
      <w:pPr>
        <w:spacing w:after="120" w:line="240" w:lineRule="auto"/>
        <w:ind w:right="-280"/>
        <w:jc w:val="both"/>
        <w:rPr>
          <w:rFonts w:ascii="Arial" w:eastAsia="Arial" w:hAnsi="Arial" w:cs="Arial"/>
          <w:sz w:val="22"/>
          <w:szCs w:val="22"/>
          <w:highlight w:val="white"/>
        </w:rPr>
      </w:pPr>
    </w:p>
    <w:p w14:paraId="1989F178" w14:textId="77777777" w:rsidR="00BC051B" w:rsidRDefault="006F64C2">
      <w:pPr>
        <w:spacing w:after="120" w:line="240" w:lineRule="auto"/>
        <w:ind w:right="-280"/>
        <w:jc w:val="both"/>
        <w:rPr>
          <w:rFonts w:ascii="Arial" w:eastAsia="Arial" w:hAnsi="Arial" w:cs="Arial"/>
          <w:b/>
          <w:sz w:val="22"/>
          <w:szCs w:val="22"/>
          <w:highlight w:val="white"/>
        </w:rPr>
      </w:pPr>
      <w:r>
        <w:rPr>
          <w:rFonts w:ascii="Arial" w:eastAsia="Arial" w:hAnsi="Arial" w:cs="Arial"/>
          <w:b/>
          <w:sz w:val="22"/>
          <w:szCs w:val="22"/>
          <w:highlight w:val="white"/>
        </w:rPr>
        <w:t>Uso irregular de decretos de necesidad de urgencia, decretos y leyes derogadas por el Poder Ejecutivo Nacional (art. 5 PIDCyP)</w:t>
      </w:r>
    </w:p>
    <w:p w14:paraId="5C0152B2"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highlight w:val="white"/>
        </w:rPr>
        <w:t>Desde su asunción el Poder Ejecutivo Nacional realizó importantes reformas normativas que, de acuerdo a la Constitución Nacional, deben ser realizadas por el Congreso. Para ello utilizó la herramienta de los decretos presidenciales, que deberían ser utilizados únicamente en circunstancias excepcionales.</w:t>
      </w:r>
    </w:p>
    <w:p w14:paraId="39CE6928"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highlight w:val="white"/>
        </w:rPr>
        <w:t>Con el DNU 70/23</w:t>
      </w:r>
      <w:r>
        <w:rPr>
          <w:rFonts w:ascii="Arial" w:eastAsia="Arial" w:hAnsi="Arial" w:cs="Arial"/>
          <w:sz w:val="22"/>
          <w:szCs w:val="22"/>
          <w:highlight w:val="white"/>
          <w:vertAlign w:val="superscript"/>
        </w:rPr>
        <w:footnoteReference w:id="1"/>
      </w:r>
      <w:r>
        <w:rPr>
          <w:rFonts w:ascii="Arial" w:eastAsia="Arial" w:hAnsi="Arial" w:cs="Arial"/>
          <w:sz w:val="22"/>
          <w:szCs w:val="22"/>
          <w:highlight w:val="white"/>
        </w:rPr>
        <w:t>, el Poder Ejecutivo se atribuyó facultades extraordinarias como nunca antes había sucedido. Declaró la emergencia pública en materia económica, financiera, fiscal, administrativa, previsional, tarifaria, sanitaria y social hasta el 31 de diciembre de 2025. Unilateralmente, derogó o modificó de manera estructural más de ochenta leyes con el propósito de concretar un cambio de régimen transformando el rol del Estado en decenas de ámbitos en los que cada día se dirime la vida de millones de personas: las rela</w:t>
      </w:r>
      <w:r>
        <w:rPr>
          <w:rFonts w:ascii="Arial" w:eastAsia="Arial" w:hAnsi="Arial" w:cs="Arial"/>
          <w:sz w:val="22"/>
          <w:szCs w:val="22"/>
          <w:highlight w:val="white"/>
        </w:rPr>
        <w:t>ciones de trabajo, el alquiler de viviendas, la propiedad de las tierras, la medicina privada, etcétera.</w:t>
      </w:r>
    </w:p>
    <w:p w14:paraId="3EA4EBFD"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highlight w:val="white"/>
        </w:rPr>
        <w:t>La Ley Bases 27.742</w:t>
      </w:r>
      <w:r>
        <w:rPr>
          <w:rFonts w:ascii="Arial" w:eastAsia="Arial" w:hAnsi="Arial" w:cs="Arial"/>
          <w:sz w:val="22"/>
          <w:szCs w:val="22"/>
          <w:highlight w:val="white"/>
          <w:vertAlign w:val="superscript"/>
        </w:rPr>
        <w:footnoteReference w:id="2"/>
      </w:r>
      <w:r>
        <w:rPr>
          <w:rFonts w:ascii="Arial" w:eastAsia="Arial" w:hAnsi="Arial" w:cs="Arial"/>
          <w:sz w:val="22"/>
          <w:szCs w:val="22"/>
          <w:highlight w:val="white"/>
        </w:rPr>
        <w:t xml:space="preserve"> refrendó la declaración de emergencia administrativa, económica, financiera y energética y le otorgó al Poder Ejecutivo Nacional facultades delegadas durante un año. Así, el gobierno consiguió que el Congreso aprobara reformas económicas relevantes como el Régimen de Incentivo para Grandes Inversiones (RIGI) y, por sobre todas las cosas, legitimar sus facultades para usar al decreto como herramienta fundamental de gobierno.</w:t>
      </w:r>
    </w:p>
    <w:p w14:paraId="57FE1530"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highlight w:val="white"/>
        </w:rPr>
        <w:t>Desde entonces, el presidente Milei reformó a través de decretos de necesidad y urgencia el sistema nacional de inteligencia, el sistema de jubilaciones y pensiones, el sistema de telecomunicaciones e internet. Cambió las reglas de numerosos ámbitos de la vida nacional: en algunos casos retiró al Estado de sus funciones con el argumento de que entorpecía el funcionamiento virtuoso de las relaciones económicas; en otros, lo endureció incrementando sus capacidades de control y vigilancia.</w:t>
      </w:r>
    </w:p>
    <w:p w14:paraId="497FA8D4"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highlight w:val="white"/>
        </w:rPr>
        <w:t xml:space="preserve">Otra estrategia usada para evitar el Congreso fue modificar los decretos reglamentarios en lugar de cambiar las leyes. Esto sucedió con el decreto que modificó las reglas para acceder a información de interés público: sin modificar la ley de acceso a la información, restringió sensiblemente su aplicación. En el caso de la ley de inteligencia el decreto modificó el sistema de clasificación de información para hacerlo restrictivo por razones de seguridad nacional. Este tipo de decretos son una atribución del </w:t>
      </w:r>
      <w:r>
        <w:rPr>
          <w:rFonts w:ascii="Arial" w:eastAsia="Arial" w:hAnsi="Arial" w:cs="Arial"/>
          <w:sz w:val="22"/>
          <w:szCs w:val="22"/>
          <w:highlight w:val="white"/>
        </w:rPr>
        <w:t>Poder Ejecutivo, que no requiere un control parlamentario, pero la Constitución Nacional señala que no pueden “alterar el sentido de las leyes”.</w:t>
      </w:r>
    </w:p>
    <w:p w14:paraId="417CB76A"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highlight w:val="white"/>
        </w:rPr>
        <w:t>Uno de los casos más recientes, es la designación por parte del Poder Ejecutivo a dos jueces para integrar la Corte Suprema de Justicia de la Nación. Esta designación es ilegal puesto que para designar magistrados para integrar el más alto tribunal el procedimiento adecuado es que el Poder Ejecutivo proponga candidatos y el Congreso de la Nación los apruebe o rechace. El nombramiento de jueces de la Corte Suprema exige un proceso de selección que garantice transparencia, participación ciudadana y respeto po</w:t>
      </w:r>
      <w:r>
        <w:rPr>
          <w:rFonts w:ascii="Arial" w:eastAsia="Arial" w:hAnsi="Arial" w:cs="Arial"/>
          <w:sz w:val="22"/>
          <w:szCs w:val="22"/>
          <w:highlight w:val="white"/>
        </w:rPr>
        <w:t xml:space="preserve">r la división de poderes. La </w:t>
      </w:r>
      <w:r>
        <w:rPr>
          <w:rFonts w:ascii="Arial" w:eastAsia="Arial" w:hAnsi="Arial" w:cs="Arial"/>
          <w:sz w:val="22"/>
          <w:szCs w:val="22"/>
          <w:highlight w:val="white"/>
        </w:rPr>
        <w:lastRenderedPageBreak/>
        <w:t>designación sin el procedimiento constitucional adecuado pone en peligro la subsistencia misma del Estado de Derecho. Unos días más tarde de la designación, el Congreso pudo anular la decisión del gobierno dando paso atrás a la medida que significaba una amenaza a la división de poderes.</w:t>
      </w:r>
    </w:p>
    <w:p w14:paraId="689534A6" w14:textId="77777777" w:rsidR="00BC051B" w:rsidRDefault="006F64C2">
      <w:pPr>
        <w:spacing w:after="120" w:line="240" w:lineRule="auto"/>
        <w:ind w:right="-280"/>
        <w:jc w:val="both"/>
        <w:rPr>
          <w:rFonts w:ascii="Arial" w:eastAsia="Arial" w:hAnsi="Arial" w:cs="Arial"/>
          <w:sz w:val="22"/>
          <w:szCs w:val="22"/>
          <w:highlight w:val="white"/>
          <w:u w:val="single"/>
        </w:rPr>
      </w:pPr>
      <w:r>
        <w:rPr>
          <w:rFonts w:ascii="Arial" w:eastAsia="Arial" w:hAnsi="Arial" w:cs="Arial"/>
          <w:sz w:val="22"/>
          <w:szCs w:val="22"/>
          <w:highlight w:val="white"/>
          <w:u w:val="single"/>
        </w:rPr>
        <w:t>Preguntas sugeridas al Estado</w:t>
      </w:r>
    </w:p>
    <w:p w14:paraId="3F11A7A9"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highlight w:val="white"/>
        </w:rPr>
        <w:t xml:space="preserve">- ¿Qué medidas adoptará para asegurar la división de poderes, el control de constitucionalidad y convencionalidad? </w:t>
      </w:r>
    </w:p>
    <w:p w14:paraId="2359D2B1"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highlight w:val="white"/>
        </w:rPr>
        <w:t>- ¿Qué medidas adoptó o adoptará el Estado para evitar la restricción y menoscabo de derechos humanos fundamentales a través de herramientas de uso exclusivo del Poder Ejecutivo?</w:t>
      </w:r>
    </w:p>
    <w:p w14:paraId="47F4910A"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highlight w:val="white"/>
        </w:rPr>
        <w:t>- ¿Qué medidas adoptará el Estado para garantizar que los puestos vacantes de la Corte Suprema de Justicia de la Nación sean ocupados cumpliendo el proceso constitucional y garantizando la paridad de género?</w:t>
      </w:r>
    </w:p>
    <w:p w14:paraId="0C6D0414" w14:textId="77777777" w:rsidR="00BC051B" w:rsidRDefault="00BC051B">
      <w:pPr>
        <w:spacing w:after="120" w:line="240" w:lineRule="auto"/>
        <w:ind w:right="-280"/>
        <w:jc w:val="both"/>
        <w:rPr>
          <w:rFonts w:ascii="Arial" w:eastAsia="Arial" w:hAnsi="Arial" w:cs="Arial"/>
          <w:sz w:val="22"/>
          <w:szCs w:val="22"/>
          <w:highlight w:val="white"/>
        </w:rPr>
      </w:pPr>
    </w:p>
    <w:p w14:paraId="4D4225C4" w14:textId="77777777" w:rsidR="00BC051B" w:rsidRDefault="006F64C2">
      <w:pPr>
        <w:spacing w:after="120" w:line="240" w:lineRule="auto"/>
        <w:ind w:right="-280"/>
        <w:jc w:val="both"/>
        <w:rPr>
          <w:rFonts w:ascii="Arial" w:eastAsia="Arial" w:hAnsi="Arial" w:cs="Arial"/>
          <w:b/>
          <w:sz w:val="22"/>
          <w:szCs w:val="22"/>
        </w:rPr>
      </w:pPr>
      <w:r>
        <w:rPr>
          <w:rFonts w:ascii="Arial" w:eastAsia="Arial" w:hAnsi="Arial" w:cs="Arial"/>
          <w:b/>
          <w:sz w:val="22"/>
          <w:szCs w:val="22"/>
        </w:rPr>
        <w:t>Sobrepoblación, condiciones de detención y alojamiento en establecimientos policiales. Derecho a la integridad personal. Las condiciones de detención de las personas privadas de libertad Derecho a la vida, prohibición de la tortura y otros tratos o penas crueles, inhumanos o degradantes (arts. 3, 6 y 7 PIDCyP)</w:t>
      </w:r>
    </w:p>
    <w:p w14:paraId="7DAFBA60"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En Argentina hay 124.041 personas detenidas: 111.967 alojadas en establecimientos penitenciarios (cárceles y alcaidías) y 13.074 alojadas en dependencias policiales o de fuerzas de seguridad. Las personas detenidas bajo la órbita del Servicio Penitenciario Federal (SPF) y el Servicio Penitenciario de la Provincia de Buenos Aires (SPB) representan más del 50% de la población privada de su libertad en el país.</w:t>
      </w:r>
    </w:p>
    <w:p w14:paraId="598DDD79"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En el Servicio Penitenciario Federal actualmente hay 11.815 personas alojadas en unidades penitenciarias que tienen cupo asignado para 11.002 personas, lo que significa que las unidades se encuentran con 7% sobrepoblación. A su vez, hay 2.492 personas alojadas por tiempo prolongado en comisarías y alcaidías de la Ciudad de Buenos Aires, establecimientos que no se encuentran habilitados para sostener dicho alojamiento por tiempo prolongado.</w:t>
      </w:r>
    </w:p>
    <w:p w14:paraId="32765AAD"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El Servicio Penitenciario de la Provincia de Buenos Aires se encuentra sobrepoblado desde, por lo menos, el año 2012. Actualmente aloja 56.083 personas en cárceles y alcaidías y 2.825 personas en dependencias policiales. La sobrepoblación actual del SPB es del 96%, ya que aloja 28.886 personas por encima de su cupo asignado.</w:t>
      </w:r>
    </w:p>
    <w:p w14:paraId="01817206"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Tanto en la Provincia de Buenos Aires como en la Ciudad Autónoma de Buenos Aires el alojamiento de personas privadas de su libertad en dependencias policiales es extendido: entre ambas jurisdicciones hay más de 5.000 personas alojadas por tiempo prolongado en lugares no habilitados. </w:t>
      </w:r>
    </w:p>
    <w:p w14:paraId="5DFFF51E"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El alojamiento en dependencias policiales presenta una serie de problemáticas específicas que afectan directamente a los derechos y las condiciones de vida de las personas allí detenidas. Uno de los aspectos más preocupantes es la atención de la salud. El acceso a servicios médicos es extremadamente limitado: muchas veces se impide que los detenidos sean atendidos por profesionales, escasea la medicación necesaria y, en ocasiones, se resisten a autorizar traslados a hospitales, lo que representa un riesgo c</w:t>
      </w:r>
      <w:r>
        <w:rPr>
          <w:rFonts w:ascii="Arial" w:eastAsia="Arial" w:hAnsi="Arial" w:cs="Arial"/>
          <w:sz w:val="22"/>
          <w:szCs w:val="22"/>
        </w:rPr>
        <w:t>onstante para su salud.</w:t>
      </w:r>
    </w:p>
    <w:p w14:paraId="3F6B6ECB"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lastRenderedPageBreak/>
        <w:t>A esto se suma la falta de infraestructura adecuada. Dado que las comisarías no están diseñadas para funcionar como lugares de alojamiento prolongado, tienen celdas reducidas, baños con instalaciones insuficientes y no prevén espacios al aire libre ni áreas destinadas a comer o realizar actividades recreativas, laborales o educativas. La mayoría de los espacios no cuenta con ventilación ni iluminación natural: las celdas suelen ser oscuras, húmedas y con muy poco aire.</w:t>
      </w:r>
    </w:p>
    <w:p w14:paraId="17864075"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Estas condiciones también generan un régimen de encierro extremo. La carencia de espacios apropiados y de personal capacitado conlleva al aislamiento absoluto de las personas detenidas. En muchos casos, pasan las 24 horas del día dentro de celdas hacinadas, sin acceso a luz natural ni actividades de ningún tipo, ya sean recreativas, educativas o laborales.</w:t>
      </w:r>
    </w:p>
    <w:p w14:paraId="146392C3"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Por último, el derecho a mantener contacto con sus familias se ve fuertemente restringido. Las visitas suelen realizarse en condiciones muy limitadas, en espacios reducidos o incluso a través de una reja, y rara vez superan los quince minutos. Esta falta de contacto humano agrava aún más el impacto del encierro prolongado en condiciones indignas.</w:t>
      </w:r>
    </w:p>
    <w:p w14:paraId="4B01F68A" w14:textId="77777777" w:rsidR="00BC051B" w:rsidRDefault="006F64C2">
      <w:pPr>
        <w:spacing w:after="120" w:line="240" w:lineRule="auto"/>
        <w:ind w:right="-280"/>
        <w:jc w:val="both"/>
        <w:rPr>
          <w:rFonts w:ascii="Arial" w:eastAsia="Arial" w:hAnsi="Arial" w:cs="Arial"/>
          <w:smallCaps/>
          <w:sz w:val="22"/>
          <w:szCs w:val="22"/>
        </w:rPr>
      </w:pPr>
      <w:r>
        <w:rPr>
          <w:rFonts w:ascii="Arial" w:eastAsia="Arial" w:hAnsi="Arial" w:cs="Arial"/>
          <w:sz w:val="22"/>
          <w:szCs w:val="22"/>
        </w:rPr>
        <w:t>Según el monitoreo que realiza el Comité Nacional para la Prevención de la Tortura, el alojamiento de personas privadas de su libertad en dependencias policiales acarrea problemáticas específicas: los registros y detenciones irregulares de menores de edad y el alojamiento en lugares no aptos de mujeres cis y trans; el incumplimiento de las condiciones de detención propicias relacionadas al diseño, el mantenimiento y la higiene de los espacios; la sobrepoblación y el hacinamiento; y las dificultades en el ac</w:t>
      </w:r>
      <w:r>
        <w:rPr>
          <w:rFonts w:ascii="Arial" w:eastAsia="Arial" w:hAnsi="Arial" w:cs="Arial"/>
          <w:sz w:val="22"/>
          <w:szCs w:val="22"/>
        </w:rPr>
        <w:t xml:space="preserve">ceso a derechos como la alimentación, la salud, a garantía al momento de la detención, la comunicación y las visitas son algunos de estos aspectos de particular preocupación. </w:t>
      </w:r>
    </w:p>
    <w:p w14:paraId="255BF2B6" w14:textId="77777777" w:rsidR="00BC051B" w:rsidRDefault="006F64C2">
      <w:pPr>
        <w:spacing w:after="120" w:line="240" w:lineRule="auto"/>
        <w:ind w:right="-280"/>
        <w:jc w:val="both"/>
        <w:rPr>
          <w:rFonts w:ascii="Arial" w:eastAsia="Arial" w:hAnsi="Arial" w:cs="Arial"/>
          <w:smallCaps/>
          <w:sz w:val="22"/>
          <w:szCs w:val="22"/>
          <w:u w:val="single"/>
        </w:rPr>
      </w:pPr>
      <w:r>
        <w:rPr>
          <w:rFonts w:ascii="Arial" w:eastAsia="Arial" w:hAnsi="Arial" w:cs="Arial"/>
          <w:sz w:val="22"/>
          <w:szCs w:val="22"/>
          <w:u w:val="single"/>
        </w:rPr>
        <w:t>Preguntas sugeridas al Estado</w:t>
      </w:r>
    </w:p>
    <w:p w14:paraId="537AFD25"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sz w:val="22"/>
          <w:szCs w:val="22"/>
        </w:rPr>
        <w:t>¿Qué iniciativas se han diseñado e implementado para solucionar la situación de sobrepoblación y hacinamiento en los centros de detención, y qué resultados concretos se han alcanzado en cada una de las jurisdicciones? ¿Qué parámetros se utilizan para definir el “cupo” carcelario? ¿Qué mecanismos institucionales para controlar la sobrepoblación existen en las distintas jurisdicciones?</w:t>
      </w:r>
    </w:p>
    <w:p w14:paraId="304E43CB"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mecanismos legales, administrativos y/o judiciales están previstos para hacer frente a aquellas situaciones en las que se verifique que la detención de una persona se desarrolla en condiciones inhumanas o degradantes?</w:t>
      </w:r>
    </w:p>
    <w:p w14:paraId="458B83EF"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medidas concretas planea adoptar el Estado nacional, en articulación con las jurisdicciones provinciales, para garantizar que no sigan utilizándose las dependencias policiales como lugares permanentes de detención?</w:t>
      </w:r>
    </w:p>
    <w:p w14:paraId="145142B7"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medidas planea adoptar el Estado para garantizar el acceso a una atención médica de calidad por parte de los/as detenidos/as? ¿Qué programas de salud son implementados por parte de la autoridad sanitaria en los lugares de detención? ¿Existen datos actualizados y accesibles sobre causas de muertes por salud e indicadores de morbilidad en la población penitenciaria?</w:t>
      </w:r>
    </w:p>
    <w:p w14:paraId="0C79269F"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¿Cuáles son las normativas y medidas específicas que deben tomar en cuenta el Estado nacional y las jurisdicciones provinciales al momento de habilitar nuevos espacios de detención? </w:t>
      </w:r>
    </w:p>
    <w:p w14:paraId="1ECB67D2" w14:textId="77777777" w:rsidR="00BC051B" w:rsidRDefault="006F64C2">
      <w:pPr>
        <w:spacing w:after="120" w:line="240" w:lineRule="auto"/>
        <w:ind w:right="-280"/>
        <w:jc w:val="both"/>
        <w:rPr>
          <w:rFonts w:ascii="Arial" w:eastAsia="Arial" w:hAnsi="Arial" w:cs="Arial"/>
          <w:b/>
          <w:sz w:val="22"/>
          <w:szCs w:val="22"/>
        </w:rPr>
      </w:pPr>
      <w:r>
        <w:rPr>
          <w:rFonts w:ascii="Arial" w:eastAsia="Arial" w:hAnsi="Arial" w:cs="Arial"/>
          <w:b/>
          <w:sz w:val="22"/>
          <w:szCs w:val="22"/>
        </w:rPr>
        <w:t xml:space="preserve">Situación de las mujeres privadas de la libertad y uso de la prisión preventiva. Trato otorgado a las personas privadas de libertad, independencia del poder judicial y juicio </w:t>
      </w:r>
      <w:r>
        <w:rPr>
          <w:rFonts w:ascii="Arial" w:eastAsia="Arial" w:hAnsi="Arial" w:cs="Arial"/>
          <w:b/>
          <w:sz w:val="22"/>
          <w:szCs w:val="22"/>
        </w:rPr>
        <w:lastRenderedPageBreak/>
        <w:t>imparcial (artículos 2, 9, 10 y 14 PIDCyP) Violencia contra la mujer (artículos 2, 3, 7 y 26 PIDCyP)</w:t>
      </w:r>
    </w:p>
    <w:p w14:paraId="7C5AB6C1"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Actualmente hay 4.642 mujeres cis y 173 mujeres trans privadas de su libertad en Argentina, y el 50% de ellas se encuentra privada de su libertad sin condena. Entre 2013 y 2023 (último dato disponible) la población de mujeres cis y trans creció 64%, pasando de 2.839 en 2013 a 4.624 en 2023.</w:t>
      </w:r>
    </w:p>
    <w:p w14:paraId="3F2217A7"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El 69% de las mujeres en Argentina están detenidas por primera vez. Las consecuencias del encarcelamiento son especialmente duras en las mujeres. En muchos casos, el encarcelamiento de las mujeres acarrea el desmembramiento familiar y el traslado de los efectos del encarcelamiento a sus hijos. La gran mayoría de las mujeres encarceladas se encuentran bajo la línea de pobreza, el 80% de las detenidas no completó la escuela secundaria y el 72% declaró no tener oficio ni profesión al momento de su detención.</w:t>
      </w:r>
    </w:p>
    <w:p w14:paraId="19F24028"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El 35% de las mujeres privadas de su libertad se encuentran allí por alguna infracción a la Ley de Estupefacientes, un delito no violento. Sin embargo, sólo el 11% de los hombres se encuentran detenidos por ese mismo delito. Un 20% se encuentran presas por delitos de robo o tentativa de robo y un 16% se encuentran presas por homicidio doloso.</w:t>
      </w:r>
    </w:p>
    <w:p w14:paraId="7D93F3E0"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El abuso de la prisión preventiva es un problema que perjudica al conjunto de la población privada de su libertad en Argentina. El 40% de la población privada de su libertad se encuentra en prisión preventiva. En las mujeres, ese porcentaje crece al 50%, es decir que el uso de la prisión preventiva es aún más abusivo en las mujeres privadas de su libertad, incluso cuando el delito con mayor presencia en mujeres cis y trans es un delito no violento, como la infracción a la ley de estupefacientes.</w:t>
      </w:r>
    </w:p>
    <w:p w14:paraId="2FFFE52B"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A su vez, en los últimos años aumentó la cantidad de mujeres en prisión domiciliaria, esta alternativa apareció como respuesta frente a la sobrepoblación. Sin embargo, el crecimiento del número de mujeres en arresto domiciliario no fue acompañado por políticas públicas que garanticen el sostenimiento digno del encierro en el hogar. Actualmente no contamos con datos oficiales actualizados sobre la cantidad de mujeres en arresto domiciliario y no hay políticas activas que permitan sostener dicho encierro.  </w:t>
      </w:r>
    </w:p>
    <w:p w14:paraId="070761CA" w14:textId="77777777" w:rsidR="00BC051B" w:rsidRDefault="006F64C2">
      <w:pPr>
        <w:spacing w:after="120" w:line="240" w:lineRule="auto"/>
        <w:ind w:right="-280"/>
        <w:jc w:val="both"/>
        <w:rPr>
          <w:rFonts w:ascii="Arial" w:eastAsia="Arial" w:hAnsi="Arial" w:cs="Arial"/>
          <w:sz w:val="22"/>
          <w:szCs w:val="22"/>
          <w:u w:val="single"/>
        </w:rPr>
      </w:pPr>
      <w:r>
        <w:rPr>
          <w:rFonts w:ascii="Arial" w:eastAsia="Arial" w:hAnsi="Arial" w:cs="Arial"/>
          <w:sz w:val="22"/>
          <w:szCs w:val="22"/>
          <w:u w:val="single"/>
        </w:rPr>
        <w:t>Preguntas sugeridas al Estado</w:t>
      </w:r>
    </w:p>
    <w:p w14:paraId="413F3A94"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Sin perjuicio del plazo legalmente establecido, en los hechos ¿Cuál es el promedio de duración de los procesos penales y de la privación preventiva de la libertad a nivel nacional, en la jurisdicción federal y en cada una de las jurisdicciones provinciales?</w:t>
      </w:r>
    </w:p>
    <w:p w14:paraId="31B72273"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¿Qué mecanismos de control judicial se aplican para garantizar que se cumplan los plazos máximos de prisión preventiva? </w:t>
      </w:r>
    </w:p>
    <w:p w14:paraId="59B151B8"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¿Cuántas personas se encuentran detenidas y aprehendidas sin una resolución que dicte formalmente su prisión preventiva? ¿Cuál es el promedio de duración del periodo hasta que esa resolución se dicta?</w:t>
      </w:r>
    </w:p>
    <w:p w14:paraId="0298E5AD"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¿Cuáles son las medidas que impulsa el Estado federal para eliminar la aplicación abusiva y que excede el plazo razonable de la prisión preventiva en todo el país, y, en particular, para adecuar las legislaciones de todo el país a los estándares internacionales y constitucionales en la materia?</w:t>
      </w:r>
    </w:p>
    <w:p w14:paraId="3EAFCB8E"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políticas existen para que descienda el nivel de mujeres privadas de la libertad por delitos no violentos? ¿Existen planes para reducir el número de mujeres y personas trans detenidas con prisión preventiva?</w:t>
      </w:r>
    </w:p>
    <w:p w14:paraId="7920D8C8"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lastRenderedPageBreak/>
        <w:t>- ¿Cuáles son las políticas que existen actualmente para acompañar a las mujeres en prisión domiciliaria y postpenitenciarias?</w:t>
      </w:r>
    </w:p>
    <w:p w14:paraId="7C296B76" w14:textId="77777777" w:rsidR="00BC051B" w:rsidRDefault="00BC051B">
      <w:pPr>
        <w:spacing w:after="120" w:line="240" w:lineRule="auto"/>
        <w:ind w:right="-280"/>
        <w:jc w:val="both"/>
        <w:rPr>
          <w:rFonts w:ascii="Arial" w:eastAsia="Arial" w:hAnsi="Arial" w:cs="Arial"/>
          <w:sz w:val="22"/>
          <w:szCs w:val="22"/>
        </w:rPr>
      </w:pPr>
    </w:p>
    <w:p w14:paraId="5C0C82FB" w14:textId="77777777" w:rsidR="00BC051B" w:rsidRDefault="006F64C2">
      <w:pPr>
        <w:spacing w:after="120" w:line="240" w:lineRule="auto"/>
        <w:ind w:right="-280"/>
        <w:jc w:val="both"/>
        <w:rPr>
          <w:rFonts w:ascii="Arial" w:eastAsia="Arial" w:hAnsi="Arial" w:cs="Arial"/>
          <w:b/>
          <w:sz w:val="22"/>
          <w:szCs w:val="22"/>
        </w:rPr>
      </w:pPr>
      <w:r>
        <w:rPr>
          <w:rFonts w:ascii="Arial" w:eastAsia="Arial" w:hAnsi="Arial" w:cs="Arial"/>
          <w:b/>
          <w:sz w:val="22"/>
          <w:szCs w:val="22"/>
        </w:rPr>
        <w:t xml:space="preserve">Tortura y malos tratos. regímenes especiales. Derecho a la vida, prohibición de la tortura y otros tratos o penas crueles, inhumanos o degradantes (arts. 3, 6 y 7 PIDCyP) </w:t>
      </w:r>
    </w:p>
    <w:p w14:paraId="6709AD6D"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En la Argentina los hechos de tortura y malos tratos persisten como prácticas arraigadas en las cárceles y dependencias policiales. En los ultimos años la puesta en marcha del Sistema Nacional de Prevención de la Tortura fue un hito imporante ya que realiza monitoreos en los lugares de detención de todo el pais, algo que es clave para la prevención de este tipo de hechos, y aporta en la construcción del registro de este tipo de casos. Pese a esto, las situaciones de violencia en las cárceles y comisarías en</w:t>
      </w:r>
      <w:r>
        <w:rPr>
          <w:rFonts w:ascii="Arial" w:eastAsia="Arial" w:hAnsi="Arial" w:cs="Arial"/>
          <w:sz w:val="22"/>
          <w:szCs w:val="22"/>
        </w:rPr>
        <w:t xml:space="preserve"> Argentina aún amenazan la integridad física y mental de las personas privadas de la libertad. </w:t>
      </w:r>
    </w:p>
    <w:p w14:paraId="794F0B0E"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El Comité Nacional contra la Tortura construyó a través de la recopilación de diversas fuentes el número de casos de torturas y malos tratos registrados en la Argentina entre los años 2019 y 2021. Aunque el número presenta subregistro dado que los datos no son exhaustivos, alcanza los 5288 casos comunicados o denunciados, lo que representa un promedio de 1762 casos</w:t>
      </w:r>
      <w:r>
        <w:rPr>
          <w:rFonts w:ascii="Arial" w:eastAsia="Arial" w:hAnsi="Arial" w:cs="Arial"/>
          <w:sz w:val="22"/>
          <w:szCs w:val="22"/>
          <w:vertAlign w:val="superscript"/>
        </w:rPr>
        <w:footnoteReference w:id="3"/>
      </w:r>
      <w:r>
        <w:rPr>
          <w:rFonts w:ascii="Arial" w:eastAsia="Arial" w:hAnsi="Arial" w:cs="Arial"/>
          <w:sz w:val="22"/>
          <w:szCs w:val="22"/>
        </w:rPr>
        <w:t>. El 62% de estos casos fueron agresiones físicas, sexuales y/o medicaciones forzadas.</w:t>
      </w:r>
    </w:p>
    <w:p w14:paraId="68681DD5"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Algunos de estos casos son particularmente graves y/o derivaron en la muerte de las víctimas. A continuación ejemplificamos algunos de ellos: </w:t>
      </w:r>
    </w:p>
    <w:p w14:paraId="7D4D570E"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El 16 de enero de 2023 en la comisaría de la localidad de Yerba Buena en la provincia de Tucumán, los detenidos que estaban allí alojados denunciaron que mientras dormían fueron llevados a la fuerza al patio donde fueron obligados a apilarse unos sobre otros, luego los habrían golpeado con las tonfas por la espalda, provocándoles diferentes lesiones. La golpiza se habría prolongado por lo menos durante una hora. </w:t>
      </w:r>
    </w:p>
    <w:p w14:paraId="1B11BCC2"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El 11 de abril de 2023, Sofía Fernández, una mujer trans fue encontrada muerta en la celda de una comisaría de la Provincia de Buenos Aires. La investigación judicial demostró que murió por asfixia traumática antecedida de tortura con signos de posible abuso sexual, y que  formaron parte del hecho dos o más personas.  </w:t>
      </w:r>
    </w:p>
    <w:p w14:paraId="12831DF2"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En la comisaría 3° de la localidad de Pergamino en la provincia de Buenos Aires, el 29 de agosto de 2023 luego de una requisa violenta las personas detenidas en dicha dependencia fueron desnudadas y golpeadas con puños, patadas, tonfas, látigos y finalmente les provocaron pasajes de corrientes eléctricas en el cuerpo. Luego los habrían hecho volver a los calabozos donde les habían cortado el agua y la luz, y los habrían dejado sin alimentos.</w:t>
      </w:r>
    </w:p>
    <w:p w14:paraId="4B207A9F" w14:textId="77777777" w:rsidR="00BC051B" w:rsidRDefault="006F64C2">
      <w:pPr>
        <w:spacing w:after="120" w:line="240" w:lineRule="auto"/>
        <w:ind w:right="-280"/>
        <w:jc w:val="both"/>
        <w:rPr>
          <w:rFonts w:ascii="Arial" w:eastAsia="Arial" w:hAnsi="Arial" w:cs="Arial"/>
          <w:sz w:val="22"/>
          <w:szCs w:val="22"/>
          <w:highlight w:val="white"/>
        </w:rPr>
      </w:pPr>
      <w:r>
        <w:rPr>
          <w:rFonts w:ascii="Arial" w:eastAsia="Arial" w:hAnsi="Arial" w:cs="Arial"/>
          <w:sz w:val="22"/>
          <w:szCs w:val="22"/>
        </w:rPr>
        <w:t>El 16 de septiembre de 2023 en la cárcel de Bouwer de la provincia de Córdoba, un detenido falleció luego de haber sido golpeado por personal del Servicio Penitenciario Provincial y sometido a medidas de sujeción durante al menos 48 horas</w:t>
      </w:r>
      <w:r>
        <w:rPr>
          <w:rFonts w:ascii="Arial" w:eastAsia="Arial" w:hAnsi="Arial" w:cs="Arial"/>
          <w:sz w:val="22"/>
          <w:szCs w:val="22"/>
          <w:highlight w:val="white"/>
        </w:rPr>
        <w:t>.</w:t>
      </w:r>
    </w:p>
    <w:p w14:paraId="380CF7F5"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Estos casos ilustran las formas de violencia que se ejercen en diversos lugares de detención del país. La falta de respuesta judicial en este tipo de casos continúa siendo un problema grave en la Argentina. Según datos del Registro de Violencia Institucional de la Provincia de Buenos Aires</w:t>
      </w:r>
      <w:r>
        <w:rPr>
          <w:rFonts w:ascii="Arial" w:eastAsia="Arial" w:hAnsi="Arial" w:cs="Arial"/>
          <w:sz w:val="22"/>
          <w:szCs w:val="22"/>
          <w:vertAlign w:val="superscript"/>
        </w:rPr>
        <w:footnoteReference w:id="4"/>
      </w:r>
      <w:r>
        <w:rPr>
          <w:rFonts w:ascii="Arial" w:eastAsia="Arial" w:hAnsi="Arial" w:cs="Arial"/>
          <w:sz w:val="22"/>
          <w:szCs w:val="22"/>
        </w:rPr>
        <w:t xml:space="preserve"> entre 2019 y 2021 el 12% de las causas fueron archivadas, el 6% desestimadas, mientras que 1,02% fueron declaradas incompetentes en razón del territorio o de la materia y únicamente el 0,3% de ellas fueron elevadas a juicio en los primeros seis </w:t>
      </w:r>
      <w:r>
        <w:rPr>
          <w:rFonts w:ascii="Arial" w:eastAsia="Arial" w:hAnsi="Arial" w:cs="Arial"/>
          <w:sz w:val="22"/>
          <w:szCs w:val="22"/>
        </w:rPr>
        <w:lastRenderedPageBreak/>
        <w:t>meses desde el inicio de la investigación. Aunque este dato pertenece solo a una jurisdicción, muestra algunos problemas que tiene la respuesta judicial sobre estos hechos. Sobre el escenario recién descrito, se debe señalar que en algunas jurisdicciones se instalar</w:t>
      </w:r>
      <w:r>
        <w:rPr>
          <w:rFonts w:ascii="Arial" w:eastAsia="Arial" w:hAnsi="Arial" w:cs="Arial"/>
          <w:sz w:val="22"/>
          <w:szCs w:val="22"/>
        </w:rPr>
        <w:t>on regímenes especiales restrictivos para personas clasificadas por los servicios penitenciarios como de “alto perfil” o “alto riesgo”. Estos regímenes, que ya están funcionando en el Servicio Penitenciario Federal y en el Servicio Penitenciario de Santa Fe</w:t>
      </w:r>
      <w:r>
        <w:rPr>
          <w:rFonts w:ascii="Arial" w:eastAsia="Arial" w:hAnsi="Arial" w:cs="Arial"/>
          <w:sz w:val="22"/>
          <w:szCs w:val="22"/>
          <w:vertAlign w:val="superscript"/>
        </w:rPr>
        <w:footnoteReference w:id="5"/>
      </w:r>
      <w:r>
        <w:rPr>
          <w:rFonts w:ascii="Arial" w:eastAsia="Arial" w:hAnsi="Arial" w:cs="Arial"/>
          <w:sz w:val="22"/>
          <w:szCs w:val="22"/>
        </w:rPr>
        <w:t>, implican la restricción de derechos fundamentales para el bienestar, la salud física y mental y la reproducción de la vida de las personas detenidas. Entre las principales restricciones se encuentran las limitaciones para recibir visitas, que sólo podrán ser una persona por treinta minutos cada cierto periodo de tiempo y a través de un vidrio blindado (aun cuando se trate de niñxs). Además se reducen los horarios de salida de la celda, se prohíbe la participación en talleres educativos, se prohíben los te</w:t>
      </w:r>
      <w:r>
        <w:rPr>
          <w:rFonts w:ascii="Arial" w:eastAsia="Arial" w:hAnsi="Arial" w:cs="Arial"/>
          <w:sz w:val="22"/>
          <w:szCs w:val="22"/>
        </w:rPr>
        <w:t>léfonos celulares, se utiliza el aislamiento prolongado como castigo y se restringe el acceso a los espacios comunes, entre otras cosas.</w:t>
      </w:r>
    </w:p>
    <w:p w14:paraId="649155CE"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Las modificaciones tienen como objetivo reducir la comunicación de las personas privadas de la libertad con el mundo extramuros, sin embargo, esta medida tiene dos consecuencias principales. Para la población penitenciaria en general representa una restricción para acceder a los talleres, la escuela, la Iglesia, para recibir visitas de los familiares y dificulta la comunicación con sus defensores o abogados. Por otro lado, para las mujeres madres presas representa un impedimento para que puedan seguir vincu</w:t>
      </w:r>
      <w:r>
        <w:rPr>
          <w:rFonts w:ascii="Arial" w:eastAsia="Arial" w:hAnsi="Arial" w:cs="Arial"/>
          <w:sz w:val="22"/>
          <w:szCs w:val="22"/>
        </w:rPr>
        <w:t xml:space="preserve">lándose con sus hijos ya que muchas de ellas están eligiendo no recibir las visitas de sus hijos por las condiciones extremadamente restrictivas en las que se les permite vincularse con ellos. </w:t>
      </w:r>
    </w:p>
    <w:p w14:paraId="3695BDF1" w14:textId="77777777" w:rsidR="00BC051B" w:rsidRDefault="006F64C2">
      <w:pPr>
        <w:shd w:val="clear" w:color="auto" w:fill="FFFFFF"/>
        <w:spacing w:after="120" w:line="240" w:lineRule="auto"/>
        <w:ind w:right="-280"/>
        <w:jc w:val="both"/>
        <w:rPr>
          <w:rFonts w:ascii="Arial" w:eastAsia="Arial" w:hAnsi="Arial" w:cs="Arial"/>
          <w:sz w:val="22"/>
          <w:szCs w:val="22"/>
        </w:rPr>
      </w:pPr>
      <w:r>
        <w:rPr>
          <w:rFonts w:ascii="Arial" w:eastAsia="Arial" w:hAnsi="Arial" w:cs="Arial"/>
          <w:sz w:val="22"/>
          <w:szCs w:val="22"/>
        </w:rPr>
        <w:t>El endurecimiento de la vida carcelaria a través de la aplicación de regímenes de “alto perfil” fue acompañado por una serie de graves hechos de violencia por parte de los funcionarios estatales que buscaron amedrentar y amenazar a los detenidos.</w:t>
      </w:r>
    </w:p>
    <w:p w14:paraId="29A494ED" w14:textId="77777777" w:rsidR="00BC051B" w:rsidRDefault="006F64C2">
      <w:pPr>
        <w:shd w:val="clear" w:color="auto" w:fill="FFFFFF"/>
        <w:spacing w:after="120" w:line="240" w:lineRule="auto"/>
        <w:ind w:right="-280"/>
        <w:jc w:val="both"/>
        <w:rPr>
          <w:rFonts w:ascii="Arial" w:eastAsia="Arial" w:hAnsi="Arial" w:cs="Arial"/>
          <w:sz w:val="22"/>
          <w:szCs w:val="22"/>
        </w:rPr>
      </w:pPr>
      <w:r>
        <w:rPr>
          <w:rFonts w:ascii="Arial" w:eastAsia="Arial" w:hAnsi="Arial" w:cs="Arial"/>
          <w:sz w:val="22"/>
          <w:szCs w:val="22"/>
        </w:rPr>
        <w:t>Por ejemplo, los días 20 y 27 de febrero y 2 de marzo de 2023 sucedieron una serie de hechos de torturas en el Penal XI de Piñero en la provincia de Santa Fe como represalia luego de un ataque a un bus que trasladaba efectivos del Servicio Penitenciario. Según las denuncias, los agentes habrían aplicado toda una serie de tormentos que incluyen desde el pasaje de corriente eléctrica por el cuerpo, la aplicación de fuertes golpes que causaron lesiones óseas en los detenidos, abusos sexuales, intento de empala</w:t>
      </w:r>
      <w:r>
        <w:rPr>
          <w:rFonts w:ascii="Arial" w:eastAsia="Arial" w:hAnsi="Arial" w:cs="Arial"/>
          <w:sz w:val="22"/>
          <w:szCs w:val="22"/>
        </w:rPr>
        <w:t>mientos, hasta la realización de submarino seco</w:t>
      </w:r>
      <w:r>
        <w:rPr>
          <w:rFonts w:ascii="Arial" w:eastAsia="Arial" w:hAnsi="Arial" w:cs="Arial"/>
          <w:sz w:val="22"/>
          <w:szCs w:val="22"/>
          <w:vertAlign w:val="superscript"/>
        </w:rPr>
        <w:footnoteReference w:id="6"/>
      </w:r>
      <w:r>
        <w:rPr>
          <w:rFonts w:ascii="Arial" w:eastAsia="Arial" w:hAnsi="Arial" w:cs="Arial"/>
          <w:sz w:val="22"/>
          <w:szCs w:val="22"/>
        </w:rPr>
        <w:t xml:space="preserve">. En el marco de estos sucesos el gobierno </w:t>
      </w:r>
      <w:hyperlink r:id="rId7">
        <w:r>
          <w:rPr>
            <w:rFonts w:ascii="Arial" w:eastAsia="Arial" w:hAnsi="Arial" w:cs="Arial"/>
            <w:sz w:val="22"/>
            <w:szCs w:val="22"/>
          </w:rPr>
          <w:t>publicó una foto de los detenidos esposado</w:t>
        </w:r>
      </w:hyperlink>
      <w:r>
        <w:rPr>
          <w:rFonts w:ascii="Arial" w:eastAsia="Arial" w:hAnsi="Arial" w:cs="Arial"/>
          <w:sz w:val="22"/>
          <w:szCs w:val="22"/>
        </w:rPr>
        <w:t>s</w:t>
      </w:r>
      <w:r>
        <w:rPr>
          <w:rFonts w:ascii="Arial" w:eastAsia="Arial" w:hAnsi="Arial" w:cs="Arial"/>
          <w:sz w:val="22"/>
          <w:szCs w:val="22"/>
          <w:vertAlign w:val="superscript"/>
        </w:rPr>
        <w:footnoteReference w:id="7"/>
      </w:r>
      <w:r>
        <w:rPr>
          <w:rFonts w:ascii="Arial" w:eastAsia="Arial" w:hAnsi="Arial" w:cs="Arial"/>
          <w:sz w:val="22"/>
          <w:szCs w:val="22"/>
        </w:rPr>
        <w:t xml:space="preserve"> y siendo apuntados por armas pertenecientes al Servicio Penitenciario provincial. Pese a estos graves hechos, la investigación judicial no presenta avances y la fiscalía ha negado sistemáticamente la vista del expediente a la Defensoría provincial, organizaciones de derechos humanos y al Comité Nacional contra la Tortura.</w:t>
      </w:r>
    </w:p>
    <w:p w14:paraId="29F221CA" w14:textId="77777777" w:rsidR="00BC051B" w:rsidRDefault="006F64C2">
      <w:pPr>
        <w:spacing w:after="120" w:line="240" w:lineRule="auto"/>
        <w:ind w:right="-280"/>
        <w:jc w:val="both"/>
        <w:rPr>
          <w:rFonts w:ascii="Arial" w:eastAsia="Arial" w:hAnsi="Arial" w:cs="Arial"/>
          <w:sz w:val="22"/>
          <w:szCs w:val="22"/>
          <w:u w:val="single"/>
        </w:rPr>
      </w:pPr>
      <w:r>
        <w:rPr>
          <w:rFonts w:ascii="Arial" w:eastAsia="Arial" w:hAnsi="Arial" w:cs="Arial"/>
          <w:sz w:val="22"/>
          <w:szCs w:val="22"/>
          <w:u w:val="single"/>
        </w:rPr>
        <w:t>Preguntas sugeridas al Estado</w:t>
      </w:r>
    </w:p>
    <w:p w14:paraId="4907061E"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¿Cuántas denuncias por hechos de torturas se han registrado en los últimos cuatro años en todo el país? ¿Cuántas sentencias han recaído en estos casos? ¿Han existido condenas? ¿Bajo qué calificación legal? ¿Cuántas de ellas contemplaron el juzgamiento de funcionarios de cargos jerárquicos responsables de la cadena de mando?</w:t>
      </w:r>
    </w:p>
    <w:p w14:paraId="2D828E88"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lastRenderedPageBreak/>
        <w:t>- ¿Cuáles son las políticas de la Argentina en materia de prevención y sanción de la tortura y malos tratos sucedidos en los lugares de privación de libertad actuales? ¿Existe algún registro oficial en el que se pueda observar el impacto de estas medidas y el progreso de los indicadores?</w:t>
      </w:r>
    </w:p>
    <w:p w14:paraId="04A2C4E3"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¿Qué políticas se llevan adelante para prevenir los hechos de tortura y malos tratos en cárceles federales y provinciales? </w:t>
      </w:r>
    </w:p>
    <w:p w14:paraId="7367E4E5"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¿Qué políticas se llevan adelante para garantizar una respuesta judicial eficaz y eficiente en los casos de torturas y malos tratos? </w:t>
      </w:r>
    </w:p>
    <w:p w14:paraId="73C51A60"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¿Cómo explica el Estado que se hayan implementado regímenes penitenciarios que incluyen malos tratos como forma de gestión carcelaria? ¿Qué tipo de controles se realizan en estas implementaciones para que estos regímenes no culminen en hechos de torturas? ¿Cómo explica que algunos graves hechos de torturas sean utilizados cómo forma de propaganda política? </w:t>
      </w:r>
    </w:p>
    <w:p w14:paraId="6B91D85F" w14:textId="77777777" w:rsidR="00BC051B" w:rsidRDefault="00BC051B">
      <w:pPr>
        <w:spacing w:after="120" w:line="240" w:lineRule="auto"/>
        <w:ind w:right="-280"/>
        <w:jc w:val="both"/>
        <w:rPr>
          <w:rFonts w:ascii="Arial" w:eastAsia="Arial" w:hAnsi="Arial" w:cs="Arial"/>
          <w:sz w:val="22"/>
          <w:szCs w:val="22"/>
        </w:rPr>
      </w:pPr>
    </w:p>
    <w:p w14:paraId="5526AC52" w14:textId="77777777" w:rsidR="00BC051B" w:rsidRDefault="006F64C2">
      <w:pPr>
        <w:spacing w:after="120" w:line="240" w:lineRule="auto"/>
        <w:ind w:right="-280"/>
        <w:jc w:val="both"/>
        <w:rPr>
          <w:rFonts w:ascii="Arial" w:eastAsia="Arial" w:hAnsi="Arial" w:cs="Arial"/>
          <w:b/>
          <w:sz w:val="22"/>
          <w:szCs w:val="22"/>
        </w:rPr>
      </w:pPr>
      <w:r>
        <w:rPr>
          <w:rFonts w:ascii="Arial" w:eastAsia="Arial" w:hAnsi="Arial" w:cs="Arial"/>
          <w:b/>
          <w:sz w:val="22"/>
          <w:szCs w:val="22"/>
        </w:rPr>
        <w:t>Memoria, verdad y justicia (arts. 6; 7 y 9 PIDCyP)</w:t>
      </w:r>
    </w:p>
    <w:p w14:paraId="47ADB0B6"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xml:space="preserve">El golpe cívico-militar perpetrado en Argentina en 1976 constituye uno de los acontecimientos más cruentos de la historia del país. Desde marzo de ese año y hasta el retorno de la democracia en diciembre de 1983 se instaló un plan sistemático de represión y se cometieron masivas violaciones a los derechos humanos. La desaparición forzada de personas, secuestros, torturas, ejecuciones extrajudiciales, violaciones sexuales, apropiación de bebés y prisión de opositores políticos fueron los principales delitos </w:t>
      </w:r>
      <w:r>
        <w:rPr>
          <w:rFonts w:ascii="Arial" w:eastAsia="Arial" w:hAnsi="Arial" w:cs="Arial"/>
          <w:sz w:val="22"/>
          <w:szCs w:val="22"/>
        </w:rPr>
        <w:t>ejecutados.</w:t>
      </w:r>
    </w:p>
    <w:p w14:paraId="6D6117AC"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Con la recuperación de la democracia, comenzó un proceso de memoria, verdad y justicia que atravesó distintas etapas. El primer hito fue la constitución de una comisión de verdad (Comisión Nacional sobre Desaparición de Personas) que presentó en 1984 un informe sobre los hechos ocurridos. En materia de juzgamiento, en 1985 se realizó el Juicio a las Juntas. Allí se condenó a cinco de los Comandantes en jefe de las tres fuerzas armadas. Sin embargo, en los años ochenta, tras levantamientos militares y presio</w:t>
      </w:r>
      <w:r>
        <w:rPr>
          <w:rFonts w:ascii="Arial" w:eastAsia="Arial" w:hAnsi="Arial" w:cs="Arial"/>
          <w:sz w:val="22"/>
          <w:szCs w:val="22"/>
        </w:rPr>
        <w:t xml:space="preserve">nes políticas, se sancionaron las leyes de Punto Final y Obediencia Debida, que provocaron el cierre de la mayoría de las investigaciones en curso. Poco tiempo después, el entonces presidente Carlos Menem, alegando una necesidad de pacificación nacional, indultó a quienes habían sido condenados y a quienes aún estaban siendo investigados por el poder judicial. </w:t>
      </w:r>
    </w:p>
    <w:p w14:paraId="40D60E5B"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Pasó más de una década hasta que se emprendieron nuevos procesos judiciales por los crímenes de lesa humanidad cometidos. Se dio a partir de 2003 con la sanción de la ley que declaró la nulidad de las leyes de Punto Final y Obediencia Debida. En 2005 la Corte Suprema de Justicia de la Nación (CSJN) declaró la inconstitucionalidad de las leyes de impunidad y validó la ley que las anuló. Desde entonces fueron condenadas 1.195 personas en 332 sentencias dictadas por Tribunales federales de todo el país. En par</w:t>
      </w:r>
      <w:r>
        <w:rPr>
          <w:rFonts w:ascii="Arial" w:eastAsia="Arial" w:hAnsi="Arial" w:cs="Arial"/>
          <w:sz w:val="22"/>
          <w:szCs w:val="22"/>
        </w:rPr>
        <w:t>alelo, desde el Estado -principalmente desde el Poder Ejecutivo Nacional- se implementaron un conjunto de políticas públicas que permitieron avances significativos en materia de reparación, restitución de identidad, sistematización de archivos, creación de sitios de memoria</w:t>
      </w:r>
      <w:r>
        <w:rPr>
          <w:rFonts w:ascii="Arial" w:eastAsia="Arial" w:hAnsi="Arial" w:cs="Arial"/>
          <w:sz w:val="22"/>
          <w:szCs w:val="22"/>
          <w:vertAlign w:val="superscript"/>
        </w:rPr>
        <w:footnoteReference w:id="8"/>
      </w:r>
      <w:r>
        <w:rPr>
          <w:rFonts w:ascii="Arial" w:eastAsia="Arial" w:hAnsi="Arial" w:cs="Arial"/>
          <w:sz w:val="22"/>
          <w:szCs w:val="22"/>
        </w:rPr>
        <w:t>, y apoyo a las investigaciones judiciales, entre otros. Así, el proceso de memoria, verdad y justicia en Argentina se constituyó como un caso modelo a nivel mundial.</w:t>
      </w:r>
    </w:p>
    <w:p w14:paraId="6EF1900C"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lastRenderedPageBreak/>
        <w:t>Sin embargo, desde la asunción del actual gobierno en diciembre de 2023, Argentina atraviesa un marcado retroceso en materia de políticas de memoria, verdad y justicia. A través de una serie de medidas adoptadas por el gobierno nacional, se desfinanciaron y desmantelaron un amplio conjunto de políticas de memoria, verdad y justicia en claro incumplimiento de las obligaciones estatales derivadas de los tratados internacionales y de las leyes nacionales concordantes en la materia. Entre las acciones más signi</w:t>
      </w:r>
      <w:r>
        <w:rPr>
          <w:rFonts w:ascii="Arial" w:eastAsia="Arial" w:hAnsi="Arial" w:cs="Arial"/>
          <w:sz w:val="22"/>
          <w:szCs w:val="22"/>
        </w:rPr>
        <w:t>ficativas se destacan el desfinanciamiento de los sitios de memoria, el cierre de espacios para la memoria como el Centro Cultural Haroldo Conti, la disolución de equipos técnicos de investigación en archivos de las Fuerzas Armadas, la suspensión de pago de reparaciones a víctimas y el despido masivo de trabajadores en el ámbito de la Secretaría de Derechos Humanos de la Nación. Distintos representantes de la actual gestión de gobierno, además, trabajan para transformar el balance social de la dictadura a t</w:t>
      </w:r>
      <w:r>
        <w:rPr>
          <w:rFonts w:ascii="Arial" w:eastAsia="Arial" w:hAnsi="Arial" w:cs="Arial"/>
          <w:sz w:val="22"/>
          <w:szCs w:val="22"/>
        </w:rPr>
        <w:t>ravés de discursos oficiales que reivindican la represión clandestina e ilegal, elogian el indulto a los militares, visitan a militares condenados por torturas y asesinatos en los lugares en los que se encuentran privados de su libertad, entre otras acciones que buscan relegitimar el accionar ilegal de las Fuerzas Armadas y de Seguridad. El pasado 24 de marzo el gobierno anunció</w:t>
      </w:r>
      <w:r>
        <w:rPr>
          <w:rFonts w:ascii="Arial" w:eastAsia="Arial" w:hAnsi="Arial" w:cs="Arial"/>
          <w:sz w:val="22"/>
          <w:szCs w:val="22"/>
          <w:vertAlign w:val="superscript"/>
        </w:rPr>
        <w:footnoteReference w:id="9"/>
      </w:r>
      <w:r>
        <w:rPr>
          <w:rFonts w:ascii="Arial" w:eastAsia="Arial" w:hAnsi="Arial" w:cs="Arial"/>
          <w:sz w:val="22"/>
          <w:szCs w:val="22"/>
        </w:rPr>
        <w:t xml:space="preserve"> la desclasificación de los archivos de la Secretaría de Inteligencia del Estado (SIDE) en relación a “las actividades militares y guerrilleras entre 1976 y 1983”. Este anuncio responde a una intención del gobierno de justificar el accionar represivo del Estado durante la dictadura bajo la excusa de un ataque interno o una guerra. Esta serie de hechos y discursos contraviene compromisos internacionales y vulnera el principio de no regresividad en materia de derechos humanos, a la vez que compromete el acces</w:t>
      </w:r>
      <w:r>
        <w:rPr>
          <w:rFonts w:ascii="Arial" w:eastAsia="Arial" w:hAnsi="Arial" w:cs="Arial"/>
          <w:sz w:val="22"/>
          <w:szCs w:val="22"/>
        </w:rPr>
        <w:t>o a la verdad, la justicia y la reparación integral de las víctimas. Finalmente, el Estado incumple su obligación de implementar medidas que garanticen la no repetición de tan graves hechos, y vulnera el derecho de la sociedad a preservar su memoria colectiva.</w:t>
      </w:r>
    </w:p>
    <w:p w14:paraId="44301824"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u w:val="single"/>
        </w:rPr>
      </w:pPr>
      <w:r>
        <w:rPr>
          <w:rFonts w:ascii="Arial" w:eastAsia="Arial" w:hAnsi="Arial" w:cs="Arial"/>
          <w:sz w:val="22"/>
          <w:szCs w:val="22"/>
          <w:u w:val="single"/>
        </w:rPr>
        <w:t>Preguntas sugeridas al Estado</w:t>
      </w:r>
    </w:p>
    <w:p w14:paraId="041AF99E"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¿Qué medidas concretas ha adoptado o adoptará el Estado argentino para garantizar la preservación, el relevamiento y el acceso a los archivos estatales administrativos vinculados a violaciones de derechos humanos durante la dictadura, en especial ante la eliminación del Equipo de Relevamiento del Ministerio de Defensa y la discontinuidad de la Mesa de trabajo sobre el archivo de la Secretaría de Inteligencia del Estado (SIDE)?</w:t>
      </w:r>
    </w:p>
    <w:p w14:paraId="19E6E264"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¿Qué plan se realizó y qué recaudos se tomarán para preservar el acervo documental e implementar el traspaso del Archivo de la SIDE al Archivo General de la Nación, tal como fue anunciado el 24 de marzo de 2025?</w:t>
      </w:r>
    </w:p>
    <w:p w14:paraId="4987CE73"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¿Cómo garantizará el funcionamiento del Archivo Nacional de la Memoria (ANM)? ¿Con qué presupuesto y dotación de personal?</w:t>
      </w:r>
    </w:p>
    <w:p w14:paraId="7A07ED7D"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¿Cómo se dará cumplimiento a la obligación de reparar a víctimas de violaciones a los derechos humanos durante la dictadura? ¿Qué cantidad de reparaciones previstas en las leyes 24.043, 24.411 y 25.914 fueron otorgadas durante 2024 y el primer cuatrimestre de 2025? ¿Hay alguna consideración especial durante el trámite para aquellas personas que se encuentran en situaciones de vulnerabilidad ya sea por razones de edad, salud u otras?</w:t>
      </w:r>
    </w:p>
    <w:p w14:paraId="1D2EBAD7"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¿Qué medidas piensa adoptar el Estado para garantizar el cumplimiento de las obligaciones que surgen de la ley 26.691 en relación con el mantenimiento y el funcionamiento de los sitios de memoria?</w:t>
      </w:r>
    </w:p>
    <w:p w14:paraId="24C28946"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lastRenderedPageBreak/>
        <w:t>- ¿Qué programa se adoptó para los sitios de memoria y qué actividades se prevé llevar a cabo en ellos? ¿Cuáles son las propuestas pedagógicas para cada uno de los sitios a cargo de la Secretaría de Derechos Humanos? ¿Qué aporte se hará desde esos espacios para garantizar la no repetición de graves y masivas violaciones a los derechos humanos? ¿Qué presupuesto se ha asignado para los sitios de memoria a cargo de la Secretaría de Derechos Humanos en el año 2025 (y subsiguientes en caso de corresponder) y qué</w:t>
      </w:r>
      <w:r>
        <w:rPr>
          <w:rFonts w:ascii="Arial" w:eastAsia="Arial" w:hAnsi="Arial" w:cs="Arial"/>
          <w:sz w:val="22"/>
          <w:szCs w:val="22"/>
        </w:rPr>
        <w:t xml:space="preserve"> porcentaje se ha ejecutado al momento de responder al Comité?</w:t>
      </w:r>
    </w:p>
    <w:p w14:paraId="5618FAA0" w14:textId="77777777" w:rsidR="00BC051B" w:rsidRDefault="00BC051B">
      <w:pPr>
        <w:pBdr>
          <w:top w:val="nil"/>
          <w:left w:val="nil"/>
          <w:bottom w:val="nil"/>
          <w:right w:val="nil"/>
          <w:between w:val="nil"/>
        </w:pBdr>
        <w:spacing w:after="120" w:line="240" w:lineRule="auto"/>
        <w:ind w:right="-280"/>
        <w:jc w:val="both"/>
        <w:rPr>
          <w:rFonts w:ascii="Arial" w:eastAsia="Arial" w:hAnsi="Arial" w:cs="Arial"/>
          <w:sz w:val="22"/>
          <w:szCs w:val="22"/>
        </w:rPr>
      </w:pPr>
    </w:p>
    <w:p w14:paraId="1753AECF" w14:textId="77777777" w:rsidR="00BC051B" w:rsidRDefault="006F64C2">
      <w:pPr>
        <w:spacing w:after="120" w:line="240" w:lineRule="auto"/>
        <w:ind w:right="-280"/>
        <w:rPr>
          <w:rFonts w:ascii="Arial" w:eastAsia="Arial" w:hAnsi="Arial" w:cs="Arial"/>
          <w:b/>
          <w:sz w:val="22"/>
          <w:szCs w:val="22"/>
        </w:rPr>
      </w:pPr>
      <w:r>
        <w:rPr>
          <w:rFonts w:ascii="Arial" w:eastAsia="Arial" w:hAnsi="Arial" w:cs="Arial"/>
          <w:b/>
          <w:sz w:val="22"/>
          <w:szCs w:val="22"/>
        </w:rPr>
        <w:t xml:space="preserve">Derecho a la libertad de expresión, derecho a la reunión pacífica y derecho de asociación (arts 19, 21 y 22 PIDCyP). Represión de la Protesta </w:t>
      </w:r>
    </w:p>
    <w:p w14:paraId="0065F725"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El derecho a la protesta social y a participar en manifestaciones públicas deriva del reconocimiento de un conjunto de otros derechos contemplados en los tratados internacionales de derechos humanos, entre los cuales se incluyen el derecho a la libertad de expresión, el derecho de reunión y la libertad de asociación, los derechos sindicales, el derecho a la huelga y el derecho de participación en los asuntos públicos. En sentido contrario a estos lineamientos, en diciembre de 2023 el Ministerio de Seguridad</w:t>
      </w:r>
      <w:r>
        <w:rPr>
          <w:rFonts w:ascii="Arial" w:eastAsia="Arial" w:hAnsi="Arial" w:cs="Arial"/>
          <w:sz w:val="22"/>
          <w:szCs w:val="22"/>
        </w:rPr>
        <w:t xml:space="preserve"> Nacional dictó un protocolo</w:t>
      </w:r>
      <w:r>
        <w:rPr>
          <w:rFonts w:ascii="Arial" w:eastAsia="Arial" w:hAnsi="Arial" w:cs="Arial"/>
          <w:sz w:val="22"/>
          <w:szCs w:val="22"/>
          <w:vertAlign w:val="superscript"/>
        </w:rPr>
        <w:footnoteReference w:id="10"/>
      </w:r>
      <w:r>
        <w:rPr>
          <w:rFonts w:ascii="Arial" w:eastAsia="Arial" w:hAnsi="Arial" w:cs="Arial"/>
          <w:sz w:val="22"/>
          <w:szCs w:val="22"/>
        </w:rPr>
        <w:t xml:space="preserve"> que fija pautas de actuación policial y estatal que afectan el derecho a la libre reunión y asociación, libertad de expresión y de protesta social.</w:t>
      </w:r>
    </w:p>
    <w:p w14:paraId="62C705E7"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Mediante el “Protocolo para el mantenimiento del orden público ante cortes de vías de circulación” la protesta social en Argentina deja de ser un derecho para pasar a ser un delito. El Protocolo establece que cualquier manifestación pública que se desarrolle mediante la modalidad de cortes de calles o rutas y/o que disminuya la “circulación de vehículos, el ancho de las calles, rutas o avenidas” constituye la comisión de un delito en flagrancia, lo que habilitará la actuación de las fuerzas de seguridad a d</w:t>
      </w:r>
      <w:r>
        <w:rPr>
          <w:rFonts w:ascii="Arial" w:eastAsia="Arial" w:hAnsi="Arial" w:cs="Arial"/>
          <w:sz w:val="22"/>
          <w:szCs w:val="22"/>
        </w:rPr>
        <w:t>esalojar o dispersar la protesta, realizar detenciones arbitrarias y recabar información sobre sus participantes y organizaciones a los fines de perseguirlos penalmente. Estas medidas contradicen los estándares internacionales ya que las manifestaciones pueden causar trastornos previsibles al ejercicio cotidiano de la libertad de circulación de otras personas que escogen no manifestarse y que buscan acceder a la educación, el trabajo, la salud, la protección de la familia, etc. y otros bienes públicos y pri</w:t>
      </w:r>
      <w:r>
        <w:rPr>
          <w:rFonts w:ascii="Arial" w:eastAsia="Arial" w:hAnsi="Arial" w:cs="Arial"/>
          <w:sz w:val="22"/>
          <w:szCs w:val="22"/>
        </w:rPr>
        <w:t>vados que merecen la protección estatal. En principio, dichos trastornos deben ser tolerados, a menos que impongan una carga desproporcionada sobre el resto de la población</w:t>
      </w:r>
      <w:r>
        <w:rPr>
          <w:rFonts w:ascii="Arial" w:eastAsia="Arial" w:hAnsi="Arial" w:cs="Arial"/>
          <w:sz w:val="22"/>
          <w:szCs w:val="22"/>
          <w:vertAlign w:val="superscript"/>
        </w:rPr>
        <w:footnoteReference w:id="11"/>
      </w:r>
      <w:r>
        <w:rPr>
          <w:rFonts w:ascii="Arial" w:eastAsia="Arial" w:hAnsi="Arial" w:cs="Arial"/>
          <w:sz w:val="22"/>
          <w:szCs w:val="22"/>
        </w:rPr>
        <w:t xml:space="preserve">. </w:t>
      </w:r>
    </w:p>
    <w:p w14:paraId="083A695B"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Al establecer que el "orden público" y la “libre circulación” son valores superiores a las obligaciones del Estado en materia de respeto y protección de la integridad física de las personas, el derecho a la libertad de expresión y de reunión, el Protocolo resulta incompatible con los artículos 19, 21 y 22 del Pacto Internacional de Derechos Civiles y Políticos. Esto se evidencia en una ampliación de las facultades discrecionales de la policía que, con el objeto de despejar los accesorios podrá producir dete</w:t>
      </w:r>
      <w:r>
        <w:rPr>
          <w:rFonts w:ascii="Arial" w:eastAsia="Arial" w:hAnsi="Arial" w:cs="Arial"/>
          <w:sz w:val="22"/>
          <w:szCs w:val="22"/>
        </w:rPr>
        <w:t>nciones sin contar con una orden de autoridad judicial competente. El Protocolo establecido por el Ministerio de Seguridad Nacional no prohíbe de manera explícita que los policías que intervienen en las manifestaciones porten y/o utilicen armas de fuego y/o municiones letales, ni se establecen criterios claros que limiten el uso de armas “menos letales”</w:t>
      </w:r>
      <w:r>
        <w:rPr>
          <w:rFonts w:ascii="Arial" w:eastAsia="Arial" w:hAnsi="Arial" w:cs="Arial"/>
          <w:sz w:val="22"/>
          <w:szCs w:val="22"/>
          <w:vertAlign w:val="superscript"/>
        </w:rPr>
        <w:footnoteReference w:id="12"/>
      </w:r>
      <w:r>
        <w:rPr>
          <w:rFonts w:ascii="Arial" w:eastAsia="Arial" w:hAnsi="Arial" w:cs="Arial"/>
          <w:sz w:val="22"/>
          <w:szCs w:val="22"/>
        </w:rPr>
        <w:t xml:space="preserve"> para evitar riesgos para la vida y la integridad física de las </w:t>
      </w:r>
      <w:r>
        <w:rPr>
          <w:rFonts w:ascii="Arial" w:eastAsia="Arial" w:hAnsi="Arial" w:cs="Arial"/>
          <w:sz w:val="22"/>
          <w:szCs w:val="22"/>
        </w:rPr>
        <w:lastRenderedPageBreak/>
        <w:t>personas. Tampoco presenta reglas y principios precisos para el uso de la fuerza en general, ni establece lineamientos para el uso de elementos de seguridad que puedan ocasionar un daño a la vida o integridad física de las personas. Las armas “menos letales” pueden generar resultados extremadamente lesivos y hasta letales como los que se han evidenciado en recientes hechos de violencia policial en nuestro país y en otros países de la región</w:t>
      </w:r>
      <w:r>
        <w:rPr>
          <w:rFonts w:ascii="Arial" w:eastAsia="Arial" w:hAnsi="Arial" w:cs="Arial"/>
          <w:sz w:val="22"/>
          <w:szCs w:val="22"/>
          <w:vertAlign w:val="superscript"/>
        </w:rPr>
        <w:footnoteReference w:id="13"/>
      </w:r>
      <w:r>
        <w:rPr>
          <w:rFonts w:ascii="Arial" w:eastAsia="Arial" w:hAnsi="Arial" w:cs="Arial"/>
          <w:sz w:val="22"/>
          <w:szCs w:val="22"/>
        </w:rPr>
        <w:t xml:space="preserve">. </w:t>
      </w:r>
    </w:p>
    <w:p w14:paraId="43E88247"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Por otro lado, el Protocolo establecido por el Ministerio de Seguridad contiene una serie de disposiciones tendientes a criminalizar, perseguir y estigmatizar a participantes de manifestaciones públicas, con especial foco en los líderes y referentes sociales de las organizaciones políticas, sociales y sindicales, así como defensores de derechos humanos. Como consecuencia de la penalización de los cortes de calles o rutas, cualquier persona que participe en una manifestación incurrirá en la comisión flagrant</w:t>
      </w:r>
      <w:r>
        <w:rPr>
          <w:rFonts w:ascii="Arial" w:eastAsia="Arial" w:hAnsi="Arial" w:cs="Arial"/>
          <w:sz w:val="22"/>
          <w:szCs w:val="22"/>
        </w:rPr>
        <w:t>e de un delito. Además, parte de la tarea de las fuerzas de seguridad consistirá en recabar datos y registrar imágenes de los manifestantes y de las organizaciones a las que pertenecen a los fines de iniciar acciones penales contra los individuos e informar a la autoridad administrativa habilitante. Esto puede significar una amenaza para las organizaciones sociales, sindicales o de defensa de derechos humanos que podrían perder su estatus jurídico, esencial para su funcionamiento.</w:t>
      </w:r>
    </w:p>
    <w:p w14:paraId="49DABCCD"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Desde su aprobación, observamos una aplicación dispar del protocolo ya que no se aplicó en todas y cada una de las manifestaciones que tuvieron lugar y, en aquellas en las que se implementó, se hizo con despliegues policiales dispares, que en algunos casos resultaron completamente desproporcionados en relación con la magnitud de la protesta. Entre diciembre del 2023 y abril del 2025 se ha observado el despliegue de operativos represivos a nivel nacional en 56 manifestaciones en los que se registraron 262 pe</w:t>
      </w:r>
      <w:r>
        <w:rPr>
          <w:rFonts w:ascii="Arial" w:eastAsia="Arial" w:hAnsi="Arial" w:cs="Arial"/>
          <w:sz w:val="22"/>
          <w:szCs w:val="22"/>
        </w:rPr>
        <w:t>rsonas detenidas y al menos 939 manifestantes heridos de los cuales 63 eran periodistas. Entre ellos se destaca el trabajador de prensa Pablo Grillo</w:t>
      </w:r>
      <w:r>
        <w:rPr>
          <w:rFonts w:ascii="Arial" w:eastAsia="Arial" w:hAnsi="Arial" w:cs="Arial"/>
          <w:sz w:val="22"/>
          <w:szCs w:val="22"/>
          <w:vertAlign w:val="superscript"/>
        </w:rPr>
        <w:footnoteReference w:id="14"/>
      </w:r>
      <w:r>
        <w:rPr>
          <w:rFonts w:ascii="Arial" w:eastAsia="Arial" w:hAnsi="Arial" w:cs="Arial"/>
          <w:sz w:val="22"/>
          <w:szCs w:val="22"/>
        </w:rPr>
        <w:t xml:space="preserve">, quien fue gravemente lesionado por el impacto de un cartucho de gas lacrimógeno en su rostro mientras registraba imágenes del operativo de seguridad y al cierre de este escrito aún se encuentra internado en grave estado de salud. </w:t>
      </w:r>
    </w:p>
    <w:p w14:paraId="6789EA99"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Además de la restricción normativa del derecho a la protesta, en Argentina se ha consolidado una narrativa oficial que estigmatiza a los manifestantes presentándolas sistemáticamente como “delincuentes”, “terroristas” o “grupos violentos” que atentan contra el orden social. Este discurso no sólo legitima socialmente la represión estatal sino que habilita un trato discriminatorio y violento por parte de las fuerzas de seguridad.</w:t>
      </w:r>
    </w:p>
    <w:p w14:paraId="30F9DF87" w14:textId="77777777" w:rsidR="00BC051B" w:rsidRDefault="00BC051B">
      <w:pPr>
        <w:spacing w:after="120" w:line="240" w:lineRule="auto"/>
        <w:ind w:right="-280"/>
        <w:jc w:val="both"/>
        <w:rPr>
          <w:rFonts w:ascii="Arial" w:eastAsia="Arial" w:hAnsi="Arial" w:cs="Arial"/>
          <w:sz w:val="22"/>
          <w:szCs w:val="22"/>
        </w:rPr>
      </w:pPr>
    </w:p>
    <w:p w14:paraId="7D00FFC0" w14:textId="77777777" w:rsidR="00BC051B" w:rsidRDefault="006F64C2">
      <w:pPr>
        <w:spacing w:after="120" w:line="240" w:lineRule="auto"/>
        <w:ind w:right="-280"/>
        <w:jc w:val="both"/>
        <w:rPr>
          <w:rFonts w:ascii="Arial" w:eastAsia="Arial" w:hAnsi="Arial" w:cs="Arial"/>
          <w:sz w:val="22"/>
          <w:szCs w:val="22"/>
          <w:u w:val="single"/>
        </w:rPr>
      </w:pPr>
      <w:r>
        <w:rPr>
          <w:rFonts w:ascii="Arial" w:eastAsia="Arial" w:hAnsi="Arial" w:cs="Arial"/>
          <w:sz w:val="22"/>
          <w:szCs w:val="22"/>
          <w:u w:val="single"/>
        </w:rPr>
        <w:t>Preguntas sugeridas al Estado</w:t>
      </w:r>
    </w:p>
    <w:p w14:paraId="2A60746B"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¿Cuáles son las medidas adoptadas por el Estado para garantizar el efectivo cumplimiento de los derechos a la libertad de expresión, asociación y reunión? ¿De qué forma garantiza el Estado que no se criminalice a quienes ejercen su derecho a la protesta? ¿De qué manera garantiza el Estado que no se utilicen categorías penales como la figura de “terrorismo” para perseguir a organizaciones sociales y activistas?</w:t>
      </w:r>
    </w:p>
    <w:p w14:paraId="515EF686"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lastRenderedPageBreak/>
        <w:t>- ¿En qué medida los protocolos de intervención de las fuerzas de seguridad en situaciones de protesta garantizan la libertad de reunión y asociación y protegen la integridad física y seguridad de los manifestantes?</w:t>
      </w:r>
    </w:p>
    <w:p w14:paraId="432461B9"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¿Cuáles son los criterios según los cuales se decide aplicar el Protocolo para el mantenimiento del orden público ante cortes de vías de circulación, ya que se observa que no se aplica de igual manera en todas las manifestaciones públicas que implican cortes a la circulación vehicular?</w:t>
      </w:r>
    </w:p>
    <w:p w14:paraId="65C5D763"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¿Cuáles son los protocolos utilizados por las fuerzas de seguridad federales y provinciales para el uso de armamento “menos letal” en el contexto de manifestaciones públicas? ¿Existen otras normativas o regulaciones donde se dispongan criterios de utilización de estos equipamientos? ¿Cuáles son esos criterios y en qué normativas se encuentran dispuestos?</w:t>
      </w:r>
    </w:p>
    <w:p w14:paraId="71E4E15B"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actuaciones administrativas inició el gobierno para investigar la actuación policial en las manifestaciones del 1 de febrero de 2024, 12 de junio de 2024 y 12 de marzo de 2025?</w:t>
      </w:r>
    </w:p>
    <w:p w14:paraId="74A64B94"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¿Existen medidas de protección especial a trabajadores de prensa que se encuentren realizando su tarea durante las protestas sociales? ¿Cuáles son? ¿Qué dependencias estatales nacionales o provinciales se encargan de implementarlas y supervisarlas? ¿Existen regulaciones o normativas nacionales o provinciales donde se dispongan obligaciones o responsabilidades de los funcionarios de fuerzas de seguridad respecto de la protección especial a trabajadores de prensa en contextos de protestas?</w:t>
      </w:r>
    </w:p>
    <w:p w14:paraId="2AAE5FC8"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¿Qué dependencias estatales se encargan del control de la compraventa de equipamiento “menos letal” que ingresa al país? ¿Cómo funciona el mecanismo para ejercer la supervisión de la adquisición de esos productos entre la fabricación del armamento por la empresa fabricante (ya sea dentro del país o en el exterior), su importación o traslado, licitación, compra, distribución, registro, testeo y finalmente su uso por un funcionario de una fuerza de seguridad estatal? </w:t>
      </w:r>
    </w:p>
    <w:p w14:paraId="7E9D4E99" w14:textId="77777777" w:rsidR="00BC051B" w:rsidRDefault="00BC051B">
      <w:pPr>
        <w:spacing w:after="120" w:line="240" w:lineRule="auto"/>
        <w:ind w:right="-280"/>
        <w:jc w:val="both"/>
        <w:rPr>
          <w:rFonts w:ascii="Arial" w:eastAsia="Arial" w:hAnsi="Arial" w:cs="Arial"/>
          <w:sz w:val="22"/>
          <w:szCs w:val="22"/>
        </w:rPr>
      </w:pPr>
    </w:p>
    <w:p w14:paraId="73DD46B4" w14:textId="77777777" w:rsidR="00BC051B" w:rsidRDefault="006F64C2">
      <w:pPr>
        <w:spacing w:after="120" w:line="240" w:lineRule="auto"/>
        <w:ind w:right="-280"/>
        <w:jc w:val="both"/>
        <w:rPr>
          <w:rFonts w:ascii="Arial" w:eastAsia="Arial" w:hAnsi="Arial" w:cs="Arial"/>
          <w:b/>
          <w:sz w:val="22"/>
          <w:szCs w:val="22"/>
        </w:rPr>
      </w:pPr>
      <w:r>
        <w:rPr>
          <w:rFonts w:ascii="Arial" w:eastAsia="Arial" w:hAnsi="Arial" w:cs="Arial"/>
          <w:b/>
          <w:sz w:val="22"/>
          <w:szCs w:val="22"/>
        </w:rPr>
        <w:t>Pueblos Indígenas (arts. 16 y 27 PIDCyP)</w:t>
      </w:r>
    </w:p>
    <w:p w14:paraId="0AEE62CD"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En sus últimas evaluaciones de Argentina, el Comité identificó que los pueblos indígenas continúan siendo objeto de desalojos forzosos y violencia, incluso luego de la sanción de la Ley 26,160</w:t>
      </w:r>
      <w:r>
        <w:rPr>
          <w:rFonts w:ascii="Arial" w:eastAsia="Arial" w:hAnsi="Arial" w:cs="Arial"/>
          <w:sz w:val="22"/>
          <w:szCs w:val="22"/>
          <w:vertAlign w:val="superscript"/>
        </w:rPr>
        <w:footnoteReference w:id="15"/>
      </w:r>
      <w:r>
        <w:rPr>
          <w:rFonts w:ascii="Arial" w:eastAsia="Arial" w:hAnsi="Arial" w:cs="Arial"/>
          <w:sz w:val="22"/>
          <w:szCs w:val="22"/>
        </w:rPr>
        <w:t xml:space="preserve"> del año 2006 que tenía tres objetivos concretos: declarar la emergencia territorial indígena, establecer la suspensión de los desalojos de territorios comunitarios indígenas en todo el país y realizar un relevamiento del territorio indígena. </w:t>
      </w:r>
    </w:p>
    <w:p w14:paraId="76510C3D"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Mediante la ley 26.160 y sus sucesivas prórrogas, el Estado argentino mejoraba la seguridad jurídica de los territorios que reivindican las comunidades. El cumplimiento de la ley por parte de las autoridades nacionales y provinciales fue dispar: por ejemplo, para fines del año 2023, después de 17 años, sólo alrededor del 50 % de las comunidades tenía culminado su relevamiento territorial. En este contexto el Poder Ejecutivo Nacional decidió, mediante el Decreto de Necesidad y Urgencia (DNU) número 1083/2024</w:t>
      </w:r>
      <w:r>
        <w:rPr>
          <w:rFonts w:ascii="Arial" w:eastAsia="Arial" w:hAnsi="Arial" w:cs="Arial"/>
          <w:sz w:val="22"/>
          <w:szCs w:val="22"/>
          <w:vertAlign w:val="superscript"/>
        </w:rPr>
        <w:footnoteReference w:id="16"/>
      </w:r>
      <w:r>
        <w:rPr>
          <w:rFonts w:ascii="Arial" w:eastAsia="Arial" w:hAnsi="Arial" w:cs="Arial"/>
          <w:sz w:val="22"/>
          <w:szCs w:val="22"/>
        </w:rPr>
        <w:t xml:space="preserve">, derogar la ley 26.160 y así eliminar la emergencia territorial indígena, la medida de suspensión de desalojos de territorios comunitarios y la práctica del relevamiento territorial, lo que implica un empeoramiento de la ya delicada situación precaria de seguridad jurídica de las comunidades en relación con sus territorios e incrementar el riesgo de violencia y desalojos forzosos.Cabe destacar que la </w:t>
      </w:r>
      <w:r>
        <w:rPr>
          <w:rFonts w:ascii="Arial" w:eastAsia="Arial" w:hAnsi="Arial" w:cs="Arial"/>
          <w:sz w:val="22"/>
          <w:szCs w:val="22"/>
        </w:rPr>
        <w:lastRenderedPageBreak/>
        <w:t>derogación de la emergencia territorial se resolvió sin que se hubiera avanzado en la sanción de una ley de</w:t>
      </w:r>
      <w:r>
        <w:rPr>
          <w:rFonts w:ascii="Arial" w:eastAsia="Arial" w:hAnsi="Arial" w:cs="Arial"/>
          <w:sz w:val="22"/>
          <w:szCs w:val="22"/>
        </w:rPr>
        <w:t xml:space="preserve"> propiedad comunitaria indígena tal como ordenó la Corte Interamericana de Derechos Humanos en el fallo Lhaka Honhat</w:t>
      </w:r>
      <w:r>
        <w:rPr>
          <w:rFonts w:ascii="Arial" w:eastAsia="Arial" w:hAnsi="Arial" w:cs="Arial"/>
          <w:sz w:val="22"/>
          <w:szCs w:val="22"/>
          <w:vertAlign w:val="superscript"/>
        </w:rPr>
        <w:footnoteReference w:id="17"/>
      </w:r>
      <w:r>
        <w:rPr>
          <w:rFonts w:ascii="Arial" w:eastAsia="Arial" w:hAnsi="Arial" w:cs="Arial"/>
          <w:sz w:val="22"/>
          <w:szCs w:val="22"/>
        </w:rPr>
        <w:t xml:space="preserve">, donde se le exigió al Estado que adopte medidas legislativas y/o de otro carácter para dotar de seguridad jurídica el derecho humano de propiedad comunitaria indígena. </w:t>
      </w:r>
    </w:p>
    <w:p w14:paraId="1E4F8217"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Esta decisión a la vez está acompañada de otras medidas que agravan la situación de los pueblos indígenas en Argentina. </w:t>
      </w:r>
      <w:r>
        <w:rPr>
          <w:rFonts w:ascii="Arial" w:eastAsia="Arial" w:hAnsi="Arial" w:cs="Arial"/>
          <w:b/>
          <w:sz w:val="22"/>
          <w:szCs w:val="22"/>
        </w:rPr>
        <w:t xml:space="preserve"> </w:t>
      </w:r>
      <w:r>
        <w:rPr>
          <w:rFonts w:ascii="Arial" w:eastAsia="Arial" w:hAnsi="Arial" w:cs="Arial"/>
          <w:sz w:val="22"/>
          <w:szCs w:val="22"/>
        </w:rPr>
        <w:t>El 30 de septiembre de 2024 el Instituto Nacional de Asuntos Indígenas (INAI) resolvió</w:t>
      </w:r>
      <w:r>
        <w:rPr>
          <w:rFonts w:ascii="Arial" w:eastAsia="Arial" w:hAnsi="Arial" w:cs="Arial"/>
          <w:sz w:val="22"/>
          <w:szCs w:val="22"/>
          <w:vertAlign w:val="superscript"/>
        </w:rPr>
        <w:footnoteReference w:id="18"/>
      </w:r>
      <w:r>
        <w:rPr>
          <w:rFonts w:ascii="Arial" w:eastAsia="Arial" w:hAnsi="Arial" w:cs="Arial"/>
          <w:sz w:val="22"/>
          <w:szCs w:val="22"/>
        </w:rPr>
        <w:t xml:space="preserve"> derogar la resolución 4811/96 y suspender “todas las solicitudes en trámite de inscripción de las comunidades indígenas que se encuentran actualmente en el REGISTRO NACIONAL DE COMUNIDADES INDÍGENAS (RE.NA.C.I.)”. Esto, de acuerdo a los considerandos de la resolución, en virtud de que el Registro requiere una actualización normativa y revisión de los criterios de inscripción de las comunidades. Sin embargo, a la fecha no se han propuesto las reformas requeridas y se sostiene la suspensión de los trámites. </w:t>
      </w:r>
      <w:r>
        <w:rPr>
          <w:rFonts w:ascii="Arial" w:eastAsia="Arial" w:hAnsi="Arial" w:cs="Arial"/>
          <w:sz w:val="22"/>
          <w:szCs w:val="22"/>
        </w:rPr>
        <w:t xml:space="preserve">La resolución anulada establecía </w:t>
      </w:r>
      <w:r>
        <w:rPr>
          <w:rFonts w:ascii="Arial" w:eastAsia="Arial" w:hAnsi="Arial" w:cs="Arial"/>
          <w:i/>
          <w:sz w:val="22"/>
          <w:szCs w:val="22"/>
        </w:rPr>
        <w:t>“los criterios para autorizar la inscripción de Comunidades indígenas, simplificándose los requisitos y regulando la concurrencia de las provincias”</w:t>
      </w:r>
      <w:r>
        <w:rPr>
          <w:rFonts w:ascii="Arial" w:eastAsia="Arial" w:hAnsi="Arial" w:cs="Arial"/>
          <w:sz w:val="22"/>
          <w:szCs w:val="22"/>
        </w:rPr>
        <w:t>.Suspender los trámites de inscripción ante el registro nacional implica que muchas comunidades no cuenten con un mecanismo para ejercer su derecho a la personería jurídica lo que dificulta la concreción de distintas gestiones administrativas o judiciales que las comunidades requieren para la defensa de sus derechos tales como el</w:t>
      </w:r>
      <w:r>
        <w:rPr>
          <w:rFonts w:ascii="Arial" w:eastAsia="Arial" w:hAnsi="Arial" w:cs="Arial"/>
          <w:sz w:val="22"/>
          <w:szCs w:val="22"/>
        </w:rPr>
        <w:t xml:space="preserve"> relevamiento de sus territorios dispuesto por la ley de emergencia territorial indígena.</w:t>
      </w:r>
    </w:p>
    <w:p w14:paraId="6B3E5EA1"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Cabe destacar que la derogación de la ley 26.160 estuvo acompañada por una narrativa pública por parte del gobierno que pondera la propiedad privada por encima de los derechos humanos y señala las acciones de las comunidades indígenas como delitos violentos, poniendo en duda la identidad originaria de algunos pueblos y estigmatizando el reclamo por la posesión y propiedad de la tierra. Desde diciembre de 2023 se registraron 37 nuevos conflictos por el territorio indígena. En el mes de abril de 2024 el Minis</w:t>
      </w:r>
      <w:r>
        <w:rPr>
          <w:rFonts w:ascii="Arial" w:eastAsia="Arial" w:hAnsi="Arial" w:cs="Arial"/>
          <w:sz w:val="22"/>
          <w:szCs w:val="22"/>
        </w:rPr>
        <w:t>tro de Defensa Luis Petri anunció</w:t>
      </w:r>
      <w:r>
        <w:rPr>
          <w:rFonts w:ascii="Arial" w:eastAsia="Arial" w:hAnsi="Arial" w:cs="Arial"/>
          <w:sz w:val="22"/>
          <w:szCs w:val="22"/>
          <w:vertAlign w:val="superscript"/>
        </w:rPr>
        <w:footnoteReference w:id="19"/>
      </w:r>
      <w:r>
        <w:rPr>
          <w:rFonts w:ascii="Arial" w:eastAsia="Arial" w:hAnsi="Arial" w:cs="Arial"/>
          <w:sz w:val="22"/>
          <w:szCs w:val="22"/>
        </w:rPr>
        <w:t xml:space="preserve"> en sus redes sociales que el Estado avanzaría en desalojar a comunidades mapuche de tierras del Ejército en Río Negro. Este anuncio se produjo luego de haber sostenido una reunión con la Asociación Civil Consensos Patagónicos “a raíz de los conflictos por las usurpaciones de las tierras del ejército en Bariloche (...) con el objetivo de trabajar desde el Ministerio en la defensa de nuestras tierras”. Las tierras a las que hizo referencia el ministro son territorios ancestrales tradicionalmente ocupados por</w:t>
      </w:r>
      <w:r>
        <w:rPr>
          <w:rFonts w:ascii="Arial" w:eastAsia="Arial" w:hAnsi="Arial" w:cs="Arial"/>
          <w:sz w:val="22"/>
          <w:szCs w:val="22"/>
        </w:rPr>
        <w:t xml:space="preserve"> las comunidades mapuches y que son materia de litigios en trámite. Por su parte, el gobernador de Chubut Ignacio Torres acusó a las comunidades mapuche por los incendios en un Parque Nacional</w:t>
      </w:r>
      <w:r>
        <w:rPr>
          <w:rFonts w:ascii="Arial" w:eastAsia="Arial" w:hAnsi="Arial" w:cs="Arial"/>
          <w:sz w:val="22"/>
          <w:szCs w:val="22"/>
          <w:vertAlign w:val="superscript"/>
        </w:rPr>
        <w:footnoteReference w:id="20"/>
      </w:r>
      <w:r>
        <w:rPr>
          <w:rFonts w:ascii="Arial" w:eastAsia="Arial" w:hAnsi="Arial" w:cs="Arial"/>
          <w:sz w:val="22"/>
          <w:szCs w:val="22"/>
        </w:rPr>
        <w:t xml:space="preserve">, a pesar de que no existen pruebas que permitan dicha conclusión. A su vez, el gobernador puso en duda la identidad indígena de los miembros de la comunidad que reclaman por la posesión de sus tierras ancestrales. </w:t>
      </w:r>
    </w:p>
    <w:p w14:paraId="52C1421F"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Los discursos estigmatizantes y discriminatorios por parte de funcionarios públicos impactan en el vínculo de las comunidades con las autoridades estatales en los distintos niveles. Por </w:t>
      </w:r>
      <w:r>
        <w:rPr>
          <w:rFonts w:ascii="Arial" w:eastAsia="Arial" w:hAnsi="Arial" w:cs="Arial"/>
          <w:sz w:val="22"/>
          <w:szCs w:val="22"/>
        </w:rPr>
        <w:lastRenderedPageBreak/>
        <w:t>ello, es clara la relación entre las posiciones vertidas por los distintos funcionarios sobre las comunidades indígenas con los episodios de violencia institucional que estas comunidades han sufrido recientemente, especialmente durante procedimientos policiales para llevar a cabo desalojos. Es importante mencionar que, en este contexto de criminalización y estigmatización de las comunidades, se han producido detenciones y se han iniciado causas penales a sus líderes y referentes como las sucedidas en los de</w:t>
      </w:r>
      <w:r>
        <w:rPr>
          <w:rFonts w:ascii="Arial" w:eastAsia="Arial" w:hAnsi="Arial" w:cs="Arial"/>
          <w:sz w:val="22"/>
          <w:szCs w:val="22"/>
        </w:rPr>
        <w:t>salojos la Comunidad Guerrero</w:t>
      </w:r>
      <w:r>
        <w:rPr>
          <w:rFonts w:ascii="Arial" w:eastAsia="Arial" w:hAnsi="Arial" w:cs="Arial"/>
          <w:sz w:val="22"/>
          <w:szCs w:val="22"/>
          <w:vertAlign w:val="superscript"/>
        </w:rPr>
        <w:footnoteReference w:id="21"/>
      </w:r>
      <w:r>
        <w:rPr>
          <w:rFonts w:ascii="Arial" w:eastAsia="Arial" w:hAnsi="Arial" w:cs="Arial"/>
          <w:sz w:val="22"/>
          <w:szCs w:val="22"/>
        </w:rPr>
        <w:t>, y en Cueva del Inca</w:t>
      </w:r>
      <w:r>
        <w:rPr>
          <w:rFonts w:ascii="Arial" w:eastAsia="Arial" w:hAnsi="Arial" w:cs="Arial"/>
          <w:sz w:val="22"/>
          <w:szCs w:val="22"/>
          <w:vertAlign w:val="superscript"/>
        </w:rPr>
        <w:footnoteReference w:id="22"/>
      </w:r>
      <w:r>
        <w:rPr>
          <w:rFonts w:ascii="Arial" w:eastAsia="Arial" w:hAnsi="Arial" w:cs="Arial"/>
          <w:sz w:val="22"/>
          <w:szCs w:val="22"/>
        </w:rPr>
        <w:t xml:space="preserve"> ambas en la provincia de Jujuy, la Criminalización del Lonko Cruz Cárdenas</w:t>
      </w:r>
      <w:r>
        <w:rPr>
          <w:rFonts w:ascii="Arial" w:eastAsia="Arial" w:hAnsi="Arial" w:cs="Arial"/>
          <w:sz w:val="22"/>
          <w:szCs w:val="22"/>
          <w:vertAlign w:val="superscript"/>
        </w:rPr>
        <w:footnoteReference w:id="23"/>
      </w:r>
      <w:r>
        <w:rPr>
          <w:rFonts w:ascii="Arial" w:eastAsia="Arial" w:hAnsi="Arial" w:cs="Arial"/>
          <w:sz w:val="22"/>
          <w:szCs w:val="22"/>
        </w:rPr>
        <w:t xml:space="preserve"> en el desalojo del Parque Los Alerces o la detención de Victoria Nuñez en la Provincia de Chubut.</w:t>
      </w:r>
      <w:r>
        <w:rPr>
          <w:rFonts w:ascii="Arial" w:eastAsia="Arial" w:hAnsi="Arial" w:cs="Arial"/>
          <w:sz w:val="22"/>
          <w:szCs w:val="22"/>
          <w:vertAlign w:val="superscript"/>
        </w:rPr>
        <w:footnoteReference w:id="24"/>
      </w:r>
      <w:r>
        <w:rPr>
          <w:rFonts w:ascii="Arial" w:eastAsia="Arial" w:hAnsi="Arial" w:cs="Arial"/>
          <w:sz w:val="22"/>
          <w:szCs w:val="22"/>
        </w:rPr>
        <w:t xml:space="preserve"> </w:t>
      </w:r>
    </w:p>
    <w:p w14:paraId="5B126E03"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En paralelo, el Estado Nacional no avanzó en sancionar una ley o protocolo sobre Consulta Previa Libre e Informada, y algunas provincias como Río Negro, Mendoza y Chubut sancionaron leyes provinciales sin la participación ni la consulta a las comunidades, y limitando su alcance solo a comunidades registradas, a su vez en algunos casos como en Chubut a ese registro solo podran acceder “quellas que acrediten el reconocimiento de los derechos sobre las tierras, o si se encontrara en trámite, que puedan demostr</w:t>
      </w:r>
      <w:r>
        <w:rPr>
          <w:rFonts w:ascii="Arial" w:eastAsia="Arial" w:hAnsi="Arial" w:cs="Arial"/>
          <w:sz w:val="22"/>
          <w:szCs w:val="22"/>
        </w:rPr>
        <w:t>ar una ocupación real”. En el caso de Neuquén si bien cuentan con una ley fruto del diálogo con las comunidades, esta no es cumplida y se avanza en concesiones para extracción de petróleo sin consulta -y por ende sin consentimiento- de las comunidades. En el caso de Jujuy se reglamentó la ley general sobre medio ambiente y en sus cláusulas se limitó el derecho a la consulta previa libre e informada. Todo esto en un contexto de avance de las industrias extractivistas sin control por parte del Estado, cuyo ma</w:t>
      </w:r>
      <w:r>
        <w:rPr>
          <w:rFonts w:ascii="Arial" w:eastAsia="Arial" w:hAnsi="Arial" w:cs="Arial"/>
          <w:sz w:val="22"/>
          <w:szCs w:val="22"/>
        </w:rPr>
        <w:t xml:space="preserve">yor avance en materia de legislación se vio reflejado en la aprobación del Régimen de Incentivo a las Grandes Inversiones.   </w:t>
      </w:r>
    </w:p>
    <w:p w14:paraId="6D133F41" w14:textId="77777777" w:rsidR="00BC051B" w:rsidRDefault="006F64C2">
      <w:pPr>
        <w:spacing w:after="120" w:line="240" w:lineRule="auto"/>
        <w:ind w:right="-280"/>
        <w:jc w:val="both"/>
        <w:rPr>
          <w:rFonts w:ascii="Arial" w:eastAsia="Arial" w:hAnsi="Arial" w:cs="Arial"/>
          <w:sz w:val="22"/>
          <w:szCs w:val="22"/>
          <w:u w:val="single"/>
        </w:rPr>
      </w:pPr>
      <w:r>
        <w:rPr>
          <w:rFonts w:ascii="Arial" w:eastAsia="Arial" w:hAnsi="Arial" w:cs="Arial"/>
          <w:sz w:val="22"/>
          <w:szCs w:val="22"/>
          <w:u w:val="single"/>
        </w:rPr>
        <w:t>Preguntas sugeridas al Estado</w:t>
      </w:r>
    </w:p>
    <w:p w14:paraId="166E9C79"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medidas concretas adoptó o adoptará para garantizar la protección de los derechos de los pueblos indígenas?</w:t>
      </w:r>
    </w:p>
    <w:p w14:paraId="2C758B2D"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medidas está adoptando para evitar el desalojo de comunidades indígenas y garantizar el acceso a la posesión y propiedad comunitaria indígena?</w:t>
      </w:r>
    </w:p>
    <w:p w14:paraId="3469002F"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¿Existen mecanismos efectivos para el reconocimiento de la personalidad jurídica de los pueblos indígenas?</w:t>
      </w:r>
    </w:p>
    <w:p w14:paraId="3B38E5D0"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medidas está adoptando para prevenir, investigar y sancionar los actos violentos contra las comunidades indígenas?</w:t>
      </w:r>
    </w:p>
    <w:p w14:paraId="10D53522"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medidas ha adoptado y adoptará para qué las comunidades indígenas puedan acceder efectivamente a la justicia en defensa de sus derechos?</w:t>
      </w:r>
    </w:p>
    <w:p w14:paraId="5E640149"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¿Cuáles son y qué lugar ocupan las áreas administrativas destinadas a la protección de los derechos de los pueblos indígenas en el Estado argentino? ¿Cuentan con presupuesto para las acciones necesarias para cumplir su función?</w:t>
      </w:r>
    </w:p>
    <w:p w14:paraId="3D92469B" w14:textId="77777777" w:rsidR="00BC051B" w:rsidRDefault="00BC051B">
      <w:pPr>
        <w:spacing w:after="120" w:line="240" w:lineRule="auto"/>
        <w:ind w:right="-280"/>
        <w:jc w:val="both"/>
        <w:rPr>
          <w:rFonts w:ascii="Arial" w:eastAsia="Arial" w:hAnsi="Arial" w:cs="Arial"/>
          <w:b/>
          <w:sz w:val="22"/>
          <w:szCs w:val="22"/>
        </w:rPr>
      </w:pPr>
    </w:p>
    <w:p w14:paraId="2FAB702B" w14:textId="77777777" w:rsidR="00BC051B" w:rsidRDefault="006F64C2">
      <w:pPr>
        <w:spacing w:after="120" w:line="240" w:lineRule="auto"/>
        <w:ind w:right="-280"/>
        <w:jc w:val="both"/>
        <w:rPr>
          <w:rFonts w:ascii="Arial" w:eastAsia="Arial" w:hAnsi="Arial" w:cs="Arial"/>
          <w:b/>
          <w:sz w:val="22"/>
          <w:szCs w:val="22"/>
        </w:rPr>
      </w:pPr>
      <w:r>
        <w:rPr>
          <w:rFonts w:ascii="Arial" w:eastAsia="Arial" w:hAnsi="Arial" w:cs="Arial"/>
          <w:b/>
          <w:sz w:val="22"/>
          <w:szCs w:val="22"/>
        </w:rPr>
        <w:t>Derecho a la vida. Afectación a la salud (art. 6 PIDCyP)</w:t>
      </w:r>
    </w:p>
    <w:p w14:paraId="5EFADC83"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lastRenderedPageBreak/>
        <w:t>El sistema de salud argentino cuenta con tres subsistemas:</w:t>
      </w:r>
    </w:p>
    <w:p w14:paraId="58EA84F3"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el privado que asiste por medio de empresas de medicina prepaga que ofrecen un seguro médico que se abona en cuotas mensuales;</w:t>
      </w:r>
    </w:p>
    <w:p w14:paraId="37FB45AE"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el subsistema de seguridad social, organizado en torno a la relación laboral de los trabajadores (las llamadas obras sociales que garantizan la asistencia médica a los trabajadores en relación de dependencia por su rama de actividad laboral)</w:t>
      </w:r>
    </w:p>
    <w:p w14:paraId="3DACF12A"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y el subsistema público, a cargo del Estado, de acceso gratuito y universal para todas las personas. </w:t>
      </w:r>
    </w:p>
    <w:p w14:paraId="2EACA0A4"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En diciembre de 2023 asumió la presidencia Javier Milei. El nuevo gobierno introdujo reformas regresivas en el sistema de salud que implican para la población en general y para las personas en situación de vulnerabilidad socioeconómica en especial, serios obstáculos para lograr efectivamente acceder a tratamientos y medicamentos. </w:t>
      </w:r>
    </w:p>
    <w:p w14:paraId="2F9B78E3"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El desfinanciamiento por parte del gobierno nacional al sector de salud llevó a una grave falta de recursos, medicamentos e insumos en el sistema público, congelamiento de salarios, despidos de trabajadores y cierre de áreas estratégicas que proveían de medicamentos a personas con asistencia en salud pública exclusiva. Entre ellas cabe destacar el cierre de la Dirección de Asistencia por Situaciones Especiales (DADSE) que garantizaba la medicación de alto costo a pacientes con asistencia a la salud pública </w:t>
      </w:r>
      <w:r>
        <w:rPr>
          <w:rFonts w:ascii="Arial" w:eastAsia="Arial" w:hAnsi="Arial" w:cs="Arial"/>
          <w:sz w:val="22"/>
          <w:szCs w:val="22"/>
        </w:rPr>
        <w:t xml:space="preserve">exclusiva. Da cuenta de ello el amparo judicial presentado por un conjunto de seis organizaciones solicitando que la Administración realice las reformas necesarias para que la DADSE cumpla su función en el sistema de protección de la salud, y así los pacientes oncológicos accedan a su tratamiento. </w:t>
      </w:r>
    </w:p>
    <w:p w14:paraId="7A7976FA"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Los retrocesos alarmantes en materia de salud incluyen también el aumento exponencial de los precios de medicamentos (en un 250% entre noviembre de 2023 y diciembre de 2024, más de 40% de la inflación de ese mismo período), al dejar de estar regulados por acuerdos entre el gobierno y los laboratorios como en años previos al 2024, que han llevado a aumentos por encima de la ya elevada inflación de ese período. </w:t>
      </w:r>
    </w:p>
    <w:p w14:paraId="20D63ED9"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Estos procesos regresivos fueron implementados en un contexto caracterizado por un proceso inflacionario que llevó al deterioro del poder adquisitivo de las personas, en especial de jubilados y pensionados. Ellos, además, sufrieron en mayor medida los aumentos de precios de medicamentos, debido a la quita de cobertura que ejecutó el Programa de Asistencia Médica Integral (PAMI), la obra social más grande de Latinoamérica que brinda asistencia médica a más de 5 millones de jubilados y pensionados de todo el </w:t>
      </w:r>
      <w:r>
        <w:rPr>
          <w:rFonts w:ascii="Arial" w:eastAsia="Arial" w:hAnsi="Arial" w:cs="Arial"/>
          <w:sz w:val="22"/>
          <w:szCs w:val="22"/>
        </w:rPr>
        <w:t xml:space="preserve">país. En 2024 eliminó el Programa Vivir Mejor que otorgaba cobertura en un 100% a casi 3000 medicamentos. </w:t>
      </w:r>
    </w:p>
    <w:p w14:paraId="5635BF35"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Las consecuencias se visualizan en la caída de las ventas de medicamentos en todos los meses desde noviembre de 2023 (llegando algunos meses a caer en un 16% respecto del mismo mes del año anterior) y en todos los grupos farmacológicos, ello acompañado de un fuerte crecimiento de la industria farmacéutica (en un 275% en el tercer trimestre de 2024 respecto del mismo período del año anterior) y en el incremento de acciones judiciales de pacientes para acceder a medicación y tratamientos. Los principales afec</w:t>
      </w:r>
      <w:r>
        <w:rPr>
          <w:rFonts w:ascii="Arial" w:eastAsia="Arial" w:hAnsi="Arial" w:cs="Arial"/>
          <w:sz w:val="22"/>
          <w:szCs w:val="22"/>
        </w:rPr>
        <w:t>tados son los jubilados y pensionados, los pacientes oncológicos y personas con VIH, quienes sufren el deterioro de su salud e incluso muertes que podrían ser evitadas.</w:t>
      </w:r>
    </w:p>
    <w:p w14:paraId="66F52CD1"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Entre las áreas desfinanciadas se encuentran el El Instituto Nacional del Cáncer (y junto a él el Programa de Cuidados Paliativos que asistía a personas de todas las edades con sufrimiento severo relacionado con la enfermedad, comprendiendo también los cuidados en </w:t>
      </w:r>
      <w:r>
        <w:rPr>
          <w:rFonts w:ascii="Arial" w:eastAsia="Arial" w:hAnsi="Arial" w:cs="Arial"/>
          <w:sz w:val="22"/>
          <w:szCs w:val="22"/>
        </w:rPr>
        <w:lastRenderedPageBreak/>
        <w:t>el final de la vida), la Dirección de Respuesta al VIH, Infecciones de Transmisión Sexual, Hepatitis Virales y Tuberculosis (en un contexto de aumento notable de casos de este grupo de enfermedades), la Dirección de Control de Enfermedades Inmunoprevenibles (encargada de la provisión de vacunas), Hospitales Nacionales y la DADSE. En el transcurso de 2024, según informa la Federación Sindical de Profesionales de la Salud de la República (FESPROSA), 60 pacientes oncológicos murieron por falta de entrega de me</w:t>
      </w:r>
      <w:r>
        <w:rPr>
          <w:rFonts w:ascii="Arial" w:eastAsia="Arial" w:hAnsi="Arial" w:cs="Arial"/>
          <w:sz w:val="22"/>
          <w:szCs w:val="22"/>
        </w:rPr>
        <w:t>dicación</w:t>
      </w:r>
      <w:r>
        <w:rPr>
          <w:rFonts w:ascii="Arial" w:eastAsia="Arial" w:hAnsi="Arial" w:cs="Arial"/>
          <w:sz w:val="22"/>
          <w:szCs w:val="22"/>
          <w:vertAlign w:val="superscript"/>
        </w:rPr>
        <w:footnoteReference w:id="25"/>
      </w:r>
      <w:r>
        <w:rPr>
          <w:rFonts w:ascii="Arial" w:eastAsia="Arial" w:hAnsi="Arial" w:cs="Arial"/>
          <w:sz w:val="22"/>
          <w:szCs w:val="22"/>
        </w:rPr>
        <w:t>.</w:t>
      </w:r>
    </w:p>
    <w:p w14:paraId="66C54296" w14:textId="77777777" w:rsidR="00BC051B" w:rsidRDefault="006F64C2">
      <w:pPr>
        <w:spacing w:after="120" w:line="240" w:lineRule="auto"/>
        <w:ind w:right="-280"/>
        <w:jc w:val="both"/>
        <w:rPr>
          <w:rFonts w:ascii="Arial" w:eastAsia="Arial" w:hAnsi="Arial" w:cs="Arial"/>
          <w:sz w:val="22"/>
          <w:szCs w:val="22"/>
          <w:highlight w:val="yellow"/>
        </w:rPr>
      </w:pPr>
      <w:r>
        <w:rPr>
          <w:rFonts w:ascii="Arial" w:eastAsia="Arial" w:hAnsi="Arial" w:cs="Arial"/>
          <w:sz w:val="22"/>
          <w:szCs w:val="22"/>
        </w:rPr>
        <w:t>El derecho a la vida (art. 6 PIDCyP) interpretado de forma no restrictiva no implica solamente la no privación arbitraria de la vida sino también el acceso a condiciones de existencia digna, en consecuencia existe una interrelación directa con el derecho a la salud. Todas las medidas enumeradas fueron adoptadas por el gobierno nacional sin brindar alternativas a quienes necesitan de estas políticas para recibir la atención a la salud que requieren. Como consecuencia, el Estado Argentino ha dejado de garanti</w:t>
      </w:r>
      <w:r>
        <w:rPr>
          <w:rFonts w:ascii="Arial" w:eastAsia="Arial" w:hAnsi="Arial" w:cs="Arial"/>
          <w:sz w:val="22"/>
          <w:szCs w:val="22"/>
        </w:rPr>
        <w:t>zar el acceso al derecho a la vida, en tanto hubo personas sin prepaga y sin obra social, que quedaron excluidas del acceso a la salud.</w:t>
      </w:r>
    </w:p>
    <w:p w14:paraId="38986D94" w14:textId="77777777" w:rsidR="00BC051B" w:rsidRDefault="006F64C2">
      <w:pPr>
        <w:spacing w:after="120" w:line="240" w:lineRule="auto"/>
        <w:ind w:right="-280"/>
        <w:jc w:val="both"/>
        <w:rPr>
          <w:rFonts w:ascii="Arial" w:eastAsia="Arial" w:hAnsi="Arial" w:cs="Arial"/>
          <w:sz w:val="22"/>
          <w:szCs w:val="22"/>
          <w:u w:val="single"/>
        </w:rPr>
      </w:pPr>
      <w:r>
        <w:rPr>
          <w:rFonts w:ascii="Arial" w:eastAsia="Arial" w:hAnsi="Arial" w:cs="Arial"/>
          <w:sz w:val="22"/>
          <w:szCs w:val="22"/>
          <w:u w:val="single"/>
        </w:rPr>
        <w:t>Preguntas sugeridas al Estado</w:t>
      </w:r>
    </w:p>
    <w:p w14:paraId="4AB08E9F"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¿Qué medidas concretas ha adoptado el Estado Argentino en el transcurso de 2024 para garantizar el acceso a la medicación de pacientes con cobertura de salud pública exclusiva, mientras llevaba adelante el proceso de revisión del funcionamiento de la Dirección de Asistencia por Situaciones Especiales, por medio del cual la dejó sin dirección y paralizada durante meses? </w:t>
      </w:r>
    </w:p>
    <w:p w14:paraId="725C4B04"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¿Cómo explica el Estado las muertes registradas por falta de medicamentos o tratamientos, como los 60 casos denunciados por FESPROSA?</w:t>
      </w:r>
    </w:p>
    <w:p w14:paraId="59B6CFD0"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medidas concretas ha adoptado el Estado para garantizar el acceso a la medicación oncológica y de VIH de pacientes con cobertura de salud pública exclusiva durante el 2024?</w:t>
      </w:r>
    </w:p>
    <w:p w14:paraId="554F460A"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¿Cómo justifica el Estado el desmantelamiento de programas esenciales como el de cuidados paliativos, el Instituto Nacional del Cáncer, la Dirección de VIH y la DICEI, que en concreto representan una violación del derecho a la salud?</w:t>
      </w:r>
    </w:p>
    <w:p w14:paraId="5D3EC18D"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¿Cómo garantizará el Estado el acceso universal a preservativos y tratamientos de VIH, ante la reducción presupuestaria de la Dirección de VIH, siendo que cuenta para el 2025 con el presupuesto prorrogado por segunda vez consecutiva del año 2023?</w:t>
      </w:r>
    </w:p>
    <w:p w14:paraId="4B9428D8"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xml:space="preserve">- ¿Qué medidas concretas ha adoptado el Estado para garantizar el acceso a reactivos, test de resistencia y medicación de VIH de pacientes con cobertura de salud pública exclusiva? </w:t>
      </w:r>
    </w:p>
    <w:p w14:paraId="0DEFD285" w14:textId="77777777" w:rsidR="00BC051B" w:rsidRDefault="006F64C2">
      <w:pPr>
        <w:spacing w:after="120" w:line="240" w:lineRule="auto"/>
        <w:ind w:right="-280"/>
        <w:jc w:val="both"/>
        <w:rPr>
          <w:rFonts w:ascii="Arial" w:eastAsia="Arial" w:hAnsi="Arial" w:cs="Arial"/>
          <w:sz w:val="22"/>
          <w:szCs w:val="22"/>
        </w:rPr>
      </w:pPr>
      <w:r>
        <w:rPr>
          <w:rFonts w:ascii="Arial" w:eastAsia="Arial" w:hAnsi="Arial" w:cs="Arial"/>
          <w:sz w:val="22"/>
          <w:szCs w:val="22"/>
        </w:rPr>
        <w:t>- ¿Qué acciones se han tomado para garantizar el acceso a medicamentos de jubilados y pensionados ante el aumento descontrolado de precios y la reducción de coberturas en PAMI?</w:t>
      </w:r>
    </w:p>
    <w:p w14:paraId="446BE8F2" w14:textId="77777777" w:rsidR="00BC051B" w:rsidRDefault="00BC051B">
      <w:pPr>
        <w:pBdr>
          <w:top w:val="nil"/>
          <w:left w:val="nil"/>
          <w:bottom w:val="nil"/>
          <w:right w:val="nil"/>
          <w:between w:val="nil"/>
        </w:pBdr>
        <w:spacing w:after="120" w:line="240" w:lineRule="auto"/>
        <w:ind w:right="-280"/>
        <w:jc w:val="both"/>
        <w:rPr>
          <w:rFonts w:ascii="Arial" w:eastAsia="Arial" w:hAnsi="Arial" w:cs="Arial"/>
          <w:b/>
          <w:sz w:val="22"/>
          <w:szCs w:val="22"/>
        </w:rPr>
      </w:pPr>
    </w:p>
    <w:p w14:paraId="7AD46154"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b/>
          <w:sz w:val="22"/>
          <w:szCs w:val="22"/>
        </w:rPr>
      </w:pPr>
      <w:r>
        <w:rPr>
          <w:rFonts w:ascii="Arial" w:eastAsia="Arial" w:hAnsi="Arial" w:cs="Arial"/>
          <w:b/>
          <w:sz w:val="22"/>
          <w:szCs w:val="22"/>
        </w:rPr>
        <w:t>Personas en situación de calle (arts. 6 y 16 PIDCyP)</w:t>
      </w:r>
    </w:p>
    <w:p w14:paraId="40A6D66A"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En Argentina, según el último relevamiento popular realizado en el año 2023 por organizaciones sociales</w:t>
      </w:r>
      <w:r>
        <w:rPr>
          <w:rFonts w:ascii="Arial" w:eastAsia="Arial" w:hAnsi="Arial" w:cs="Arial"/>
          <w:sz w:val="22"/>
          <w:szCs w:val="22"/>
          <w:vertAlign w:val="superscript"/>
        </w:rPr>
        <w:footnoteReference w:id="26"/>
      </w:r>
      <w:r>
        <w:rPr>
          <w:rFonts w:ascii="Arial" w:eastAsia="Arial" w:hAnsi="Arial" w:cs="Arial"/>
          <w:sz w:val="22"/>
          <w:szCs w:val="22"/>
        </w:rPr>
        <w:t>, al menos 9.440 personas viven en situación de calle. La mayor parte se concentra en la Ciudad de Buenos Aires, donde viven 8.028, casi mil personas más que el último censo popular realizado también por organizaciones en el año 2019.</w:t>
      </w:r>
    </w:p>
    <w:p w14:paraId="5B7C86EF"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lastRenderedPageBreak/>
        <w:t>Sin la atención adecuada, vivir en la calle es un riesgo para la propia vida. Según el Registro Unificado de Violencias</w:t>
      </w:r>
      <w:r>
        <w:rPr>
          <w:rFonts w:ascii="Arial" w:eastAsia="Arial" w:hAnsi="Arial" w:cs="Arial"/>
          <w:sz w:val="22"/>
          <w:szCs w:val="22"/>
          <w:vertAlign w:val="superscript"/>
        </w:rPr>
        <w:footnoteReference w:id="27"/>
      </w:r>
      <w:r>
        <w:rPr>
          <w:rFonts w:ascii="Arial" w:eastAsia="Arial" w:hAnsi="Arial" w:cs="Arial"/>
          <w:sz w:val="22"/>
          <w:szCs w:val="22"/>
        </w:rPr>
        <w:t>, entre agosto de 2021 y agosto de 2022, fallecieron 70 personas en situación de calle, en el mismo período entre 2022 y 2023, fueron 146, y entre agosto de 2023 y agosto de 2024, 135</w:t>
      </w:r>
      <w:r>
        <w:rPr>
          <w:rFonts w:ascii="Arial" w:eastAsia="Arial" w:hAnsi="Arial" w:cs="Arial"/>
          <w:sz w:val="22"/>
          <w:szCs w:val="22"/>
          <w:vertAlign w:val="superscript"/>
        </w:rPr>
        <w:footnoteReference w:id="28"/>
      </w:r>
      <w:r>
        <w:rPr>
          <w:rFonts w:ascii="Arial" w:eastAsia="Arial" w:hAnsi="Arial" w:cs="Arial"/>
          <w:sz w:val="22"/>
          <w:szCs w:val="22"/>
        </w:rPr>
        <w:t xml:space="preserve">. En la Ciudad de Buenos Aires existió este último año un aumento pronunciado de los niveles de violencia institucional, es decir, de situaciones de violencia ejercida por fuerzas de seguridad. Además, la Secretaría Letrada de Violencia Institucional del Ministerio Público de la Defensa de la Ciudad de Buenos Aires reveló que las denuncias de violencia institucional contra personas en situación de calle en el primer semestre del año 2024 ascendieron a más del doble que las correspondientes al mismo período </w:t>
      </w:r>
      <w:r>
        <w:rPr>
          <w:rFonts w:ascii="Arial" w:eastAsia="Arial" w:hAnsi="Arial" w:cs="Arial"/>
          <w:sz w:val="22"/>
          <w:szCs w:val="22"/>
        </w:rPr>
        <w:t>de 2023. Así, en el primer semestre de 2024 se registraron 215 denuncias de este tipo, mientras que en el mismo lapso de 2023 la cifra ascendía a 94. Esto implica un aumento del 128% en las denuncias registradas entre ambos períodos.</w:t>
      </w:r>
    </w:p>
    <w:p w14:paraId="53516447"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En el año 2021 el Congreso nacional aprobó la Ley Nacional “Situación de Calle y Familias sin Techo” (ley n° 27.654)</w:t>
      </w:r>
      <w:r>
        <w:rPr>
          <w:rFonts w:ascii="Arial" w:eastAsia="Arial" w:hAnsi="Arial" w:cs="Arial"/>
          <w:sz w:val="22"/>
          <w:szCs w:val="22"/>
          <w:vertAlign w:val="superscript"/>
        </w:rPr>
        <w:footnoteReference w:id="29"/>
      </w:r>
      <w:r>
        <w:rPr>
          <w:rFonts w:ascii="Arial" w:eastAsia="Arial" w:hAnsi="Arial" w:cs="Arial"/>
          <w:sz w:val="22"/>
          <w:szCs w:val="22"/>
        </w:rPr>
        <w:t>. Esta ley ordena al Estado Nacional que realice un conjunto de acciones como facilitar la tramitación del documento que acredita su identidad, promover el ejercicio de sus derechos políticos -incluyendo su participación en el diseño de las políticas públicas que los comprenden-, crear una red nacional de centros de integración social preste servicios de alojamiento, alimentación, higiene y cuidados de la salud, entre otros. Desde su reglamentación, sin embargo, no se realizó ninguna política para cumplir e</w:t>
      </w:r>
      <w:r>
        <w:rPr>
          <w:rFonts w:ascii="Arial" w:eastAsia="Arial" w:hAnsi="Arial" w:cs="Arial"/>
          <w:sz w:val="22"/>
          <w:szCs w:val="22"/>
        </w:rPr>
        <w:t>sta norma.</w:t>
      </w:r>
    </w:p>
    <w:p w14:paraId="7480CF62"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u w:val="single"/>
        </w:rPr>
      </w:pPr>
      <w:r>
        <w:rPr>
          <w:rFonts w:ascii="Arial" w:eastAsia="Arial" w:hAnsi="Arial" w:cs="Arial"/>
          <w:sz w:val="22"/>
          <w:szCs w:val="22"/>
          <w:u w:val="single"/>
        </w:rPr>
        <w:t>Preguntas sugeridas al Estado</w:t>
      </w:r>
    </w:p>
    <w:p w14:paraId="0CA0C968"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¿Cuáles han sido las políticas y acciones desarrolladas para dar cumplimiento a las obligaciones de la Ley Nacional n° 27.654?</w:t>
      </w:r>
    </w:p>
    <w:p w14:paraId="0F5B565A"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¿Cuáles han sido las políticas para prevenir los decesos de las personas que viven en situación de calle?</w:t>
      </w:r>
    </w:p>
    <w:p w14:paraId="3E0C7DAF"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¿Qué acciones se está planificando implementar para reducir los niveles de violencia institucional ejercida por las fuerzas de seguridad hacia las personas en situación de calle?</w:t>
      </w:r>
    </w:p>
    <w:p w14:paraId="003E64E4" w14:textId="77777777" w:rsidR="00BC051B" w:rsidRDefault="00BC051B">
      <w:pPr>
        <w:pBdr>
          <w:top w:val="nil"/>
          <w:left w:val="nil"/>
          <w:bottom w:val="nil"/>
          <w:right w:val="nil"/>
          <w:between w:val="nil"/>
        </w:pBdr>
        <w:spacing w:after="120" w:line="240" w:lineRule="auto"/>
        <w:ind w:right="-280"/>
        <w:jc w:val="both"/>
        <w:rPr>
          <w:rFonts w:ascii="Arial" w:eastAsia="Arial" w:hAnsi="Arial" w:cs="Arial"/>
          <w:sz w:val="22"/>
          <w:szCs w:val="22"/>
        </w:rPr>
      </w:pPr>
    </w:p>
    <w:p w14:paraId="74B128C9"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b/>
          <w:sz w:val="22"/>
          <w:szCs w:val="22"/>
        </w:rPr>
      </w:pPr>
      <w:r>
        <w:rPr>
          <w:rFonts w:ascii="Arial" w:eastAsia="Arial" w:hAnsi="Arial" w:cs="Arial"/>
          <w:b/>
          <w:sz w:val="22"/>
          <w:szCs w:val="22"/>
        </w:rPr>
        <w:t>Derechos de las personas refugiadas y solicitantes de asilo. Modificación de la ley de protección, afectación al principio de no devolución, riesgo de tortura y penas crueles. Debido proceso. Igualdad ante la ley (arts. 5, 7, 13, 14 y 26 PIDCyP)</w:t>
      </w:r>
    </w:p>
    <w:p w14:paraId="4B769C6F"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El 22 de octubre de 2024 se publicó en el Boletín Oficial el decreto de necesidad y urgencia (DNU) 942/20242 que introduce modificaciones sustantivas a la ley de Reconocimiento y protección al refugiado (Ley 26.165). Este decreto afecta dos grandes aspectos de la normativa vigente en el país. Por un lado introduce modificaciones en las causales de exclusión de la condición de refugiados, un mecanismo previsto en la Convención de 1951 para evitar que el sistema de asilo sea utilizado para eludir la responsab</w:t>
      </w:r>
      <w:r>
        <w:rPr>
          <w:rFonts w:ascii="Arial" w:eastAsia="Arial" w:hAnsi="Arial" w:cs="Arial"/>
          <w:sz w:val="22"/>
          <w:szCs w:val="22"/>
        </w:rPr>
        <w:t xml:space="preserve">ilidad por delitos graves que debe ser aplicado bajo un estricto análisis de las circunstancias de cada caso </w:t>
      </w:r>
      <w:r>
        <w:rPr>
          <w:rFonts w:ascii="Arial" w:eastAsia="Arial" w:hAnsi="Arial" w:cs="Arial"/>
          <w:sz w:val="22"/>
          <w:szCs w:val="22"/>
        </w:rPr>
        <w:lastRenderedPageBreak/>
        <w:t>dadas las serias consecuencias que tiene para las personas. Por otro lado, incorpora cambios muy significativos en términos de procedimiento y acceso a la justicia.</w:t>
      </w:r>
    </w:p>
    <w:p w14:paraId="205C2877"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Respecto de las causales de exclusión, el mencionado decreto incorpora dentro de la categoría “delitos graves” que surge de la Convención de Ginebra de 1951 el supuesto de “delitos contra la propiedad” y las “razones graves de seguridad o de órden público”. Esta modificación es problemática por varias razones. En primer lugar porque altera el sentido del análisis de inclusión y exclusión en el sistema de asilo que se implementa de manera secuencial. Incorporar un supuesto de exclusión que opera de manera au</w:t>
      </w:r>
      <w:r>
        <w:rPr>
          <w:rFonts w:ascii="Arial" w:eastAsia="Arial" w:hAnsi="Arial" w:cs="Arial"/>
          <w:sz w:val="22"/>
          <w:szCs w:val="22"/>
        </w:rPr>
        <w:t>tomática en razón de un único elemento como los antecedentes penales del solicitante es contradictorio con el criterio restrictivo de aplicación de las causales e implica desvirtuar el sistema de protección al poner el foco en la seguridad y no en los riesgos a la vida, seguridad y libertad de las personas. En segundo lugar porque representa un riesgo de violación al principio de no devolución que rige el sistema de asilo en particular pero que además es rector del sistema de protección de derechos en gener</w:t>
      </w:r>
      <w:r>
        <w:rPr>
          <w:rFonts w:ascii="Arial" w:eastAsia="Arial" w:hAnsi="Arial" w:cs="Arial"/>
          <w:sz w:val="22"/>
          <w:szCs w:val="22"/>
        </w:rPr>
        <w:t>al. Determinar que una persona debe ser excluida del asilo únicamente en base a sus antecedentes penales, sin que se analice exhaustivamente las circunstancias o riesgos de su situación, podría representar que se le niegue la protección a alguien que será víctima de castigos desproporcionados o criminalización por razones políticas o discriminatorias e incluso, que podría ser sujeta a torturas.</w:t>
      </w:r>
    </w:p>
    <w:p w14:paraId="0A89246A"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En relación con el procedimiento de revisión de las decisiones en el marco de una solicitud de asilo, el DNU 942/202 introduce tres modificaciones que afectan el derecho al debido proceso y la igualdad ante la ley. A través del decreto se elimina la instancia de revisión administrativa para los casos en que el organismo especializado deniega la protección (por cualquier motivo). De esta manera, la única via recursiva disponible es la vía judicial, lo que afecta al principio de no discriminación e igualdad a</w:t>
      </w:r>
      <w:r>
        <w:rPr>
          <w:rFonts w:ascii="Arial" w:eastAsia="Arial" w:hAnsi="Arial" w:cs="Arial"/>
          <w:sz w:val="22"/>
          <w:szCs w:val="22"/>
        </w:rPr>
        <w:t>nte la ley ya que se establece, para los solicitantes de asilo, un mecanismo diferenciado mucho más restrictivo. Otra de las modificaciones al procedimiento es la reducción de los plazos para la interposición de recursos. El plazo previsto por la ley era de 10 o 15 días hábiles según el caso. A partir del DNU 942, ese plazo se redujo a 5 días hábiles para todos los supuestos, dentro de los cuales el solicitante de asilo debe acceder a patrocinio letrado para poder accionar ante los tribunales. Nuevamente se</w:t>
      </w:r>
      <w:r>
        <w:rPr>
          <w:rFonts w:ascii="Arial" w:eastAsia="Arial" w:hAnsi="Arial" w:cs="Arial"/>
          <w:sz w:val="22"/>
          <w:szCs w:val="22"/>
        </w:rPr>
        <w:t xml:space="preserve"> ve afectado el principio de igualdad ante la ley ya que recientemente se modificó el procedimiento administrativo general ampliando los plazos  recursivos de 20 a 10 días hábiles para la mayoría de los trámites mientras que las personas solicitantes de asilo vieron reducido el plazo para el ejercicio de su derecho a recurrir. Por último el DNU 942 establece que, en caso de interponerse recurso extraordinario ante la Corte Suprema de Justicia de la Nación, el máximo tribunal nacional, estos recursos dejarán</w:t>
      </w:r>
      <w:r>
        <w:rPr>
          <w:rFonts w:ascii="Arial" w:eastAsia="Arial" w:hAnsi="Arial" w:cs="Arial"/>
          <w:sz w:val="22"/>
          <w:szCs w:val="22"/>
        </w:rPr>
        <w:t xml:space="preserve"> de tener efecto suspensivo para tener en cambio efecto devolutivo. Esto quiere decir que la revisión del caso por parte del máximo tribunal no implica la suspensión de los efectos del acto en revisión lo que, en el caso de solicitantes de asilo o refugiados, puede implicar que se dé lugar a un trámite de expulsión o extradición lo que evidentemente representa un riesgo de violación al principio de no devolución. La protección internacional del sistema de asilo es de carácter declarativo y no constitutivo, </w:t>
      </w:r>
      <w:r>
        <w:rPr>
          <w:rFonts w:ascii="Arial" w:eastAsia="Arial" w:hAnsi="Arial" w:cs="Arial"/>
          <w:sz w:val="22"/>
          <w:szCs w:val="22"/>
        </w:rPr>
        <w:t xml:space="preserve">precisamente porque los derechos que pretende tutelar son esenciales. </w:t>
      </w:r>
    </w:p>
    <w:p w14:paraId="4A46BF6A"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Todas estas modificaciones fueron introducidas mediante un Decreto de Necesidad y Urgencia dictado por el Poder Ejecutivo. Este mecanismo, como fuera referido anteriormente, es una facultad excepcional establecida por la Constitución Nacional para circunstancias específicas y muy limitadas. En el caso del DNU 942/2024 no se expresa la existencia de motivos urgentes. Se enfoca en el aumento de solicitudes de asilo en los últimos años y la duración promedio de los expedientes administrativos, circunstancia qu</w:t>
      </w:r>
      <w:r>
        <w:rPr>
          <w:rFonts w:ascii="Arial" w:eastAsia="Arial" w:hAnsi="Arial" w:cs="Arial"/>
          <w:sz w:val="22"/>
          <w:szCs w:val="22"/>
        </w:rPr>
        <w:t xml:space="preserve">e no es repentina ni </w:t>
      </w:r>
      <w:r>
        <w:rPr>
          <w:rFonts w:ascii="Arial" w:eastAsia="Arial" w:hAnsi="Arial" w:cs="Arial"/>
          <w:sz w:val="22"/>
          <w:szCs w:val="22"/>
        </w:rPr>
        <w:lastRenderedPageBreak/>
        <w:t>intempestiva por lo que no cumple con ninguno de los requisitos previstos en texto constitucional. También hace varias referencias a la seguridad nacional y cita estadísticas de la cantidad de solicitantes del Medio Oriente, pero no aporta elementos que vinculen ambos datos ni da cuenta de la existencia de una amenaza inminente a la seguridad nacional que justifique la intervención del Poder Ejecutivo sobre el marco normativo sin dar lugar al debate legislativo. Este mecanismo de reform</w:t>
      </w:r>
      <w:r>
        <w:rPr>
          <w:rFonts w:ascii="Arial" w:eastAsia="Arial" w:hAnsi="Arial" w:cs="Arial"/>
          <w:sz w:val="22"/>
          <w:szCs w:val="22"/>
        </w:rPr>
        <w:t xml:space="preserve">a de la Ley de Refugiados es además contrario al principio de legalidad, además de introducir restricciones en materia de derechos humanos por fuera de las reglas habilitadas para tal fin. </w:t>
      </w:r>
    </w:p>
    <w:p w14:paraId="172A153C" w14:textId="77777777" w:rsidR="00BC051B" w:rsidRDefault="006F64C2">
      <w:pPr>
        <w:widowControl w:val="0"/>
        <w:spacing w:after="120" w:line="240" w:lineRule="auto"/>
        <w:ind w:left="16" w:right="307"/>
        <w:jc w:val="both"/>
        <w:rPr>
          <w:rFonts w:ascii="Arial" w:eastAsia="Arial" w:hAnsi="Arial" w:cs="Arial"/>
          <w:sz w:val="22"/>
          <w:szCs w:val="22"/>
          <w:u w:val="single"/>
        </w:rPr>
      </w:pPr>
      <w:r>
        <w:rPr>
          <w:rFonts w:ascii="Arial" w:eastAsia="Arial" w:hAnsi="Arial" w:cs="Arial"/>
          <w:sz w:val="22"/>
          <w:szCs w:val="22"/>
          <w:u w:val="single"/>
        </w:rPr>
        <w:t>Preguntas sugeridas al Estado</w:t>
      </w:r>
    </w:p>
    <w:p w14:paraId="447D5C77"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¿Qué medidas y/o políticas adopta el Estado para garantizar el acceso a la justicia y a las garantías judiciales de las personas refugiadas y solicitantes de asilo? ¿De qué forma garantiza el Estado el principio de no devolución?</w:t>
      </w:r>
    </w:p>
    <w:p w14:paraId="18510784"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 ¿Cómo garantiza el Estado que las normas, reglamentos y disposiciones relativas a las personas refugiadas y solicitantes de asilo respeten el principio de no discriminación e igualdad ante la ley?</w:t>
      </w:r>
    </w:p>
    <w:p w14:paraId="779A14F6"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¿Qué medidas adoptó o adoptará el Estado para garantizar que las personas solicitantes de asilo o refugiadas puedan ejercer su derecho de defensa en los trámites relativos a la protección internacional?</w:t>
      </w:r>
    </w:p>
    <w:p w14:paraId="6D23228B" w14:textId="77777777" w:rsidR="00BC051B" w:rsidRDefault="006F64C2">
      <w:pPr>
        <w:pBdr>
          <w:top w:val="nil"/>
          <w:left w:val="nil"/>
          <w:bottom w:val="nil"/>
          <w:right w:val="nil"/>
          <w:between w:val="nil"/>
        </w:pBdr>
        <w:spacing w:after="120" w:line="240" w:lineRule="auto"/>
        <w:ind w:right="-280"/>
        <w:jc w:val="both"/>
        <w:rPr>
          <w:rFonts w:ascii="Arial" w:eastAsia="Arial" w:hAnsi="Arial" w:cs="Arial"/>
          <w:sz w:val="22"/>
          <w:szCs w:val="22"/>
        </w:rPr>
      </w:pPr>
      <w:r>
        <w:rPr>
          <w:rFonts w:ascii="Arial" w:eastAsia="Arial" w:hAnsi="Arial" w:cs="Arial"/>
          <w:sz w:val="22"/>
          <w:szCs w:val="22"/>
        </w:rPr>
        <w:t>Indique cómo funciona actualmente el procedimiento de determinación de la condición de refugiado y las medidas que implementa el Estado para asegurar que el mismo se desarrolle de acuerdo a sus obligaciones internacionales en materia de no discriminación.</w:t>
      </w:r>
    </w:p>
    <w:sectPr w:rsidR="00BC051B">
      <w:headerReference w:type="even" r:id="rId8"/>
      <w:headerReference w:type="default" r:id="rId9"/>
      <w:footerReference w:type="even" r:id="rId10"/>
      <w:footerReference w:type="default" r:id="rId11"/>
      <w:headerReference w:type="first" r:id="rId12"/>
      <w:footerReference w:type="first" r:id="rId13"/>
      <w:pgSz w:w="11901" w:h="16840"/>
      <w:pgMar w:top="2268" w:right="1418" w:bottom="1985" w:left="1701" w:header="0" w:footer="98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342F9" w14:textId="77777777" w:rsidR="006F64C2" w:rsidRDefault="006F64C2">
      <w:pPr>
        <w:spacing w:line="240" w:lineRule="auto"/>
      </w:pPr>
      <w:r>
        <w:separator/>
      </w:r>
    </w:p>
  </w:endnote>
  <w:endnote w:type="continuationSeparator" w:id="0">
    <w:p w14:paraId="160B970D" w14:textId="77777777" w:rsidR="006F64C2" w:rsidRDefault="006F64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1" w:fontKey="{E6939BB5-8F87-4655-9D9D-0CAE39890FD3}"/>
    <w:embedItalic r:id="rId2" w:fontKey="{DAFF0CFD-22A4-4BA2-9045-A3F9F688CDC0}"/>
  </w:font>
  <w:font w:name="Arial Narrow">
    <w:panose1 w:val="020B0606020202030204"/>
    <w:charset w:val="00"/>
    <w:family w:val="swiss"/>
    <w:pitch w:val="variable"/>
    <w:sig w:usb0="00000287" w:usb1="00000800" w:usb2="00000000" w:usb3="00000000" w:csb0="0000009F" w:csb1="00000000"/>
    <w:embedRegular r:id="rId3" w:fontKey="{47573A36-7388-4F09-BAE2-DA810343A333}"/>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B6028355-5116-4527-9097-1BA0350E5FB4}"/>
  </w:font>
  <w:font w:name="Cambria">
    <w:panose1 w:val="02040503050406030204"/>
    <w:charset w:val="00"/>
    <w:family w:val="roman"/>
    <w:pitch w:val="variable"/>
    <w:sig w:usb0="E00006FF" w:usb1="420024FF" w:usb2="02000000" w:usb3="00000000" w:csb0="0000019F" w:csb1="00000000"/>
    <w:embedRegular r:id="rId5" w:fontKey="{3102954F-8A4B-4629-9211-3D78131B76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01CB3" w14:textId="77777777" w:rsidR="00BC051B" w:rsidRDefault="00BC051B">
    <w:pPr>
      <w:pBdr>
        <w:top w:val="nil"/>
        <w:left w:val="nil"/>
        <w:bottom w:val="nil"/>
        <w:right w:val="nil"/>
        <w:between w:val="nil"/>
      </w:pBdr>
      <w:tabs>
        <w:tab w:val="center" w:pos="4252"/>
        <w:tab w:val="right" w:pos="8504"/>
      </w:tabs>
      <w:spacing w:line="240" w:lineRule="auto"/>
      <w:jc w:val="center"/>
      <w:rPr>
        <w:rFonts w:ascii="Arial" w:eastAsia="Arial" w:hAnsi="Arial" w:cs="Arial"/>
        <w:color w:val="000000"/>
        <w:sz w:val="14"/>
        <w:szCs w:val="14"/>
      </w:rPr>
    </w:pPr>
  </w:p>
  <w:p w14:paraId="1FDA09DF" w14:textId="77777777" w:rsidR="00BC051B" w:rsidRDefault="00BC051B">
    <w:pPr>
      <w:pBdr>
        <w:top w:val="nil"/>
        <w:left w:val="nil"/>
        <w:bottom w:val="nil"/>
        <w:right w:val="nil"/>
        <w:between w:val="nil"/>
      </w:pBdr>
      <w:tabs>
        <w:tab w:val="center" w:pos="4252"/>
        <w:tab w:val="right" w:pos="8504"/>
      </w:tabs>
      <w:spacing w:line="240" w:lineRule="auto"/>
      <w:rPr>
        <w:rFonts w:ascii="Arial" w:eastAsia="Arial" w:hAnsi="Arial" w:cs="Arial"/>
        <w:color w:val="000000"/>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31D8C" w14:textId="77777777" w:rsidR="00BC051B" w:rsidRDefault="006F64C2">
    <w:pPr>
      <w:tabs>
        <w:tab w:val="center" w:pos="4252"/>
        <w:tab w:val="right" w:pos="8504"/>
      </w:tabs>
      <w:spacing w:line="240" w:lineRule="auto"/>
      <w:rPr>
        <w:rFonts w:ascii="Arial" w:eastAsia="Arial" w:hAnsi="Arial" w:cs="Arial"/>
        <w:sz w:val="14"/>
        <w:szCs w:val="14"/>
      </w:rPr>
    </w:pPr>
    <w:r>
      <w:rPr>
        <w:rFonts w:ascii="Arial" w:eastAsia="Arial" w:hAnsi="Arial" w:cs="Arial"/>
        <w:b/>
        <w:sz w:val="16"/>
        <w:szCs w:val="16"/>
      </w:rPr>
      <w:t>Centro de Estudios Legales y Sociales</w:t>
    </w:r>
    <w:r>
      <w:rPr>
        <w:rFonts w:ascii="Arial" w:eastAsia="Arial" w:hAnsi="Arial" w:cs="Arial"/>
        <w:sz w:val="18"/>
        <w:szCs w:val="18"/>
      </w:rPr>
      <w:br/>
    </w:r>
    <w:r>
      <w:rPr>
        <w:rFonts w:ascii="Arial" w:eastAsia="Arial" w:hAnsi="Arial" w:cs="Arial"/>
        <w:sz w:val="14"/>
        <w:szCs w:val="14"/>
      </w:rPr>
      <w:t xml:space="preserve">Piedras 547, piso 1º </w:t>
    </w:r>
    <w:r>
      <w:rPr>
        <w:rFonts w:ascii="Arial" w:eastAsia="Arial" w:hAnsi="Arial" w:cs="Arial"/>
        <w:sz w:val="14"/>
        <w:szCs w:val="14"/>
      </w:rPr>
      <w:br/>
    </w:r>
    <w:r>
      <w:rPr>
        <w:rFonts w:ascii="Arial" w:eastAsia="Arial" w:hAnsi="Arial" w:cs="Arial"/>
        <w:sz w:val="14"/>
        <w:szCs w:val="14"/>
      </w:rPr>
      <w:t>(C1070AAK) CABA, Argentina</w:t>
    </w:r>
  </w:p>
  <w:p w14:paraId="29113670" w14:textId="77777777" w:rsidR="00BC051B" w:rsidRDefault="006F64C2">
    <w:pPr>
      <w:tabs>
        <w:tab w:val="center" w:pos="4252"/>
        <w:tab w:val="right" w:pos="8504"/>
      </w:tabs>
      <w:spacing w:line="240" w:lineRule="auto"/>
      <w:rPr>
        <w:rFonts w:ascii="Arial" w:eastAsia="Arial" w:hAnsi="Arial" w:cs="Arial"/>
        <w:sz w:val="14"/>
        <w:szCs w:val="14"/>
      </w:rPr>
    </w:pPr>
    <w:r>
      <w:rPr>
        <w:rFonts w:ascii="Arial" w:eastAsia="Arial" w:hAnsi="Arial" w:cs="Arial"/>
        <w:sz w:val="14"/>
        <w:szCs w:val="14"/>
      </w:rPr>
      <w:t xml:space="preserve">Tel +5411) 4334-4200  </w:t>
    </w:r>
  </w:p>
  <w:p w14:paraId="14623178" w14:textId="77777777" w:rsidR="00BC051B" w:rsidRDefault="006F64C2">
    <w:pPr>
      <w:tabs>
        <w:tab w:val="center" w:pos="4252"/>
        <w:tab w:val="right" w:pos="8504"/>
        <w:tab w:val="left" w:pos="0"/>
      </w:tabs>
      <w:spacing w:line="240" w:lineRule="auto"/>
      <w:rPr>
        <w:rFonts w:ascii="Arial" w:eastAsia="Arial" w:hAnsi="Arial" w:cs="Arial"/>
        <w:sz w:val="14"/>
        <w:szCs w:val="14"/>
      </w:rPr>
    </w:pPr>
    <w:r>
      <w:rPr>
        <w:rFonts w:ascii="Arial" w:eastAsia="Arial" w:hAnsi="Arial" w:cs="Arial"/>
        <w:color w:val="FF0000"/>
        <w:sz w:val="14"/>
        <w:szCs w:val="14"/>
      </w:rPr>
      <w:t>cels.org.ar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834BF" w14:textId="77777777" w:rsidR="00BC051B" w:rsidRDefault="006F64C2">
    <w:pPr>
      <w:pBdr>
        <w:top w:val="nil"/>
        <w:left w:val="nil"/>
        <w:bottom w:val="nil"/>
        <w:right w:val="nil"/>
        <w:between w:val="nil"/>
      </w:pBdr>
      <w:tabs>
        <w:tab w:val="center" w:pos="4252"/>
        <w:tab w:val="right" w:pos="8504"/>
      </w:tabs>
      <w:spacing w:line="240" w:lineRule="auto"/>
      <w:rPr>
        <w:rFonts w:ascii="Arial" w:eastAsia="Arial" w:hAnsi="Arial" w:cs="Arial"/>
        <w:color w:val="000000"/>
        <w:sz w:val="14"/>
        <w:szCs w:val="14"/>
      </w:rPr>
    </w:pPr>
    <w:r>
      <w:rPr>
        <w:rFonts w:ascii="Arial" w:eastAsia="Arial" w:hAnsi="Arial" w:cs="Arial"/>
        <w:color w:val="000000"/>
        <w:sz w:val="14"/>
        <w:szCs w:val="14"/>
      </w:rPr>
      <w:t xml:space="preserve">Piedras 547, piso 1º (C1070AAK) </w:t>
    </w:r>
  </w:p>
  <w:p w14:paraId="2E2C4DF1" w14:textId="77777777" w:rsidR="00BC051B" w:rsidRDefault="006F64C2">
    <w:pPr>
      <w:pBdr>
        <w:top w:val="nil"/>
        <w:left w:val="nil"/>
        <w:bottom w:val="nil"/>
        <w:right w:val="nil"/>
        <w:between w:val="nil"/>
      </w:pBdr>
      <w:tabs>
        <w:tab w:val="center" w:pos="4252"/>
        <w:tab w:val="right" w:pos="8504"/>
      </w:tabs>
      <w:spacing w:line="240" w:lineRule="auto"/>
      <w:rPr>
        <w:rFonts w:ascii="Arial" w:eastAsia="Arial" w:hAnsi="Arial" w:cs="Arial"/>
        <w:color w:val="000000"/>
        <w:sz w:val="14"/>
        <w:szCs w:val="14"/>
      </w:rPr>
    </w:pPr>
    <w:r>
      <w:rPr>
        <w:rFonts w:ascii="Arial" w:eastAsia="Arial" w:hAnsi="Arial" w:cs="Arial"/>
        <w:color w:val="000000"/>
        <w:sz w:val="14"/>
        <w:szCs w:val="14"/>
      </w:rPr>
      <w:t>Buenos Aires, Argentina</w:t>
    </w:r>
  </w:p>
  <w:p w14:paraId="74B6E61F" w14:textId="77777777" w:rsidR="00BC051B" w:rsidRDefault="006F64C2">
    <w:pPr>
      <w:pBdr>
        <w:top w:val="nil"/>
        <w:left w:val="nil"/>
        <w:bottom w:val="nil"/>
        <w:right w:val="nil"/>
        <w:between w:val="nil"/>
      </w:pBdr>
      <w:tabs>
        <w:tab w:val="center" w:pos="4252"/>
        <w:tab w:val="right" w:pos="8504"/>
      </w:tabs>
      <w:spacing w:line="240" w:lineRule="auto"/>
      <w:rPr>
        <w:rFonts w:ascii="Arial" w:eastAsia="Arial" w:hAnsi="Arial" w:cs="Arial"/>
        <w:color w:val="000000"/>
        <w:sz w:val="14"/>
        <w:szCs w:val="14"/>
      </w:rPr>
    </w:pPr>
    <w:r>
      <w:rPr>
        <w:rFonts w:ascii="Arial" w:eastAsia="Arial" w:hAnsi="Arial" w:cs="Arial"/>
        <w:color w:val="000000"/>
        <w:sz w:val="14"/>
        <w:szCs w:val="14"/>
      </w:rPr>
      <w:t xml:space="preserve">tel/fax (+5411) 4334-4200  </w:t>
    </w:r>
  </w:p>
  <w:p w14:paraId="27A72FB8" w14:textId="77777777" w:rsidR="00BC051B" w:rsidRDefault="006F64C2">
    <w:pPr>
      <w:pBdr>
        <w:top w:val="nil"/>
        <w:left w:val="nil"/>
        <w:bottom w:val="nil"/>
        <w:right w:val="nil"/>
        <w:between w:val="nil"/>
      </w:pBdr>
      <w:tabs>
        <w:tab w:val="center" w:pos="4252"/>
        <w:tab w:val="right" w:pos="8504"/>
      </w:tabs>
      <w:spacing w:line="240" w:lineRule="auto"/>
      <w:rPr>
        <w:rFonts w:ascii="Arial" w:eastAsia="Arial" w:hAnsi="Arial" w:cs="Arial"/>
        <w:color w:val="FF0000"/>
        <w:sz w:val="14"/>
        <w:szCs w:val="14"/>
      </w:rPr>
    </w:pPr>
    <w:r>
      <w:rPr>
        <w:rFonts w:ascii="Arial" w:eastAsia="Arial" w:hAnsi="Arial" w:cs="Arial"/>
        <w:color w:val="FF0000"/>
        <w:sz w:val="14"/>
        <w:szCs w:val="14"/>
      </w:rPr>
      <w:t>www.cels.org.ar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41328" w14:textId="77777777" w:rsidR="006F64C2" w:rsidRDefault="006F64C2">
      <w:pPr>
        <w:spacing w:line="240" w:lineRule="auto"/>
      </w:pPr>
      <w:r>
        <w:separator/>
      </w:r>
    </w:p>
  </w:footnote>
  <w:footnote w:type="continuationSeparator" w:id="0">
    <w:p w14:paraId="4C38AE87" w14:textId="77777777" w:rsidR="006F64C2" w:rsidRDefault="006F64C2">
      <w:pPr>
        <w:spacing w:line="240" w:lineRule="auto"/>
      </w:pPr>
      <w:r>
        <w:continuationSeparator/>
      </w:r>
    </w:p>
  </w:footnote>
  <w:footnote w:id="1">
    <w:p w14:paraId="371D13CF"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Ver más en https://www.cels.org.ar/web/publicaciones/sobrednu70-2023/</w:t>
      </w:r>
    </w:p>
  </w:footnote>
  <w:footnote w:id="2">
    <w:p w14:paraId="718DC5D0"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Ver más en https://www.cels.org.ar/web/wp-content/uploads/2024/05/2024-05-06-CELS-Aportes-sobre-Ley-Bases-y-reforma-fiscal-concentracion-economica-y-sufrimiento-social.pdf</w:t>
      </w:r>
    </w:p>
  </w:footnote>
  <w:footnote w:id="3">
    <w:p w14:paraId="66EA9FB1" w14:textId="77777777" w:rsidR="00BC051B" w:rsidRDefault="006F64C2">
      <w:pPr>
        <w:spacing w:line="240" w:lineRule="auto"/>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Ver: https://cnpt.gob.ar/2022/wp-content/uploads/2023/12/Informe-RNT.pdf</w:t>
      </w:r>
    </w:p>
  </w:footnote>
  <w:footnote w:id="4">
    <w:p w14:paraId="51FD2F21"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Ver: https://www.mpba.gov.ar/rvi </w:t>
      </w:r>
    </w:p>
  </w:footnote>
  <w:footnote w:id="5">
    <w:p w14:paraId="7905D90E"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rPr>
        <w:t xml:space="preserve"> </w:t>
      </w:r>
      <w:r>
        <w:rPr>
          <w:rFonts w:ascii="Arial" w:eastAsia="Arial" w:hAnsi="Arial" w:cs="Arial"/>
          <w:sz w:val="18"/>
          <w:szCs w:val="18"/>
        </w:rPr>
        <w:t xml:space="preserve">En Santa Fe el “Régimen Alto perfil” está regulado dentro de la ley 14243 “Ley de ejecución de la pena privativa de la libertad”. Ver: “Sistema Integral de Gestión para Personas Privadas de la Libertad de Alto Riesgo en el Servicio Penitenciario Federal”, RESOL-2024-35-APN-MSG - Anexo I. </w:t>
      </w:r>
    </w:p>
  </w:footnote>
  <w:footnote w:id="6">
    <w:p w14:paraId="7064E6A5"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Técnica de tortura a través de ahogamiento.</w:t>
      </w:r>
    </w:p>
  </w:footnote>
  <w:footnote w:id="7">
    <w:p w14:paraId="69F12BD2"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Ver:  https://www.infobae.com/sociedad/policiales/2024/03/05/cada-vez-la-van-a-pasar-peor-el-desafio-del-gobierno-de-santa-fe-tras-la-requisa-sorpresa-en-el-penal-clave-para-los-narcos/</w:t>
      </w:r>
    </w:p>
  </w:footnote>
  <w:footnote w:id="8">
    <w:p w14:paraId="642AF612"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https://www.argentina.gob.ar/derechoshumanos/sitiosdememoria</w:t>
      </w:r>
    </w:p>
  </w:footnote>
  <w:footnote w:id="9">
    <w:p w14:paraId="5F2F081F" w14:textId="77777777" w:rsidR="00BC051B" w:rsidRDefault="006F64C2">
      <w:pPr>
        <w:spacing w:line="240" w:lineRule="auto"/>
      </w:pPr>
      <w:r>
        <w:rPr>
          <w:vertAlign w:val="superscript"/>
        </w:rPr>
        <w:footnoteRef/>
      </w:r>
      <w:r>
        <w:t xml:space="preserve"> </w:t>
      </w:r>
      <w:hyperlink r:id="rId1">
        <w:r>
          <w:rPr>
            <w:color w:val="1155CC"/>
            <w:u w:val="single"/>
          </w:rPr>
          <w:t>https://x.com/OPRArgentina/status/1904174949578817713</w:t>
        </w:r>
      </w:hyperlink>
      <w:r>
        <w:t xml:space="preserve"> </w:t>
      </w:r>
    </w:p>
  </w:footnote>
  <w:footnote w:id="10">
    <w:p w14:paraId="2A578992" w14:textId="77777777" w:rsidR="00BC051B" w:rsidRDefault="006F64C2">
      <w:pPr>
        <w:spacing w:line="240" w:lineRule="auto"/>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Ver: </w:t>
      </w:r>
      <w:hyperlink r:id="rId2">
        <w:r>
          <w:rPr>
            <w:rFonts w:ascii="Arial Narrow" w:eastAsia="Arial Narrow" w:hAnsi="Arial Narrow" w:cs="Arial Narrow"/>
            <w:color w:val="1155CC"/>
            <w:sz w:val="18"/>
            <w:szCs w:val="18"/>
            <w:u w:val="single"/>
          </w:rPr>
          <w:t>https://www.boletinoficial.gob.ar/detalleAviso/primera/300917/20231215?busqueda=1</w:t>
        </w:r>
      </w:hyperlink>
      <w:r>
        <w:rPr>
          <w:rFonts w:ascii="Arial Narrow" w:eastAsia="Arial Narrow" w:hAnsi="Arial Narrow" w:cs="Arial Narrow"/>
          <w:sz w:val="18"/>
          <w:szCs w:val="18"/>
        </w:rPr>
        <w:t xml:space="preserve"> </w:t>
      </w:r>
    </w:p>
  </w:footnote>
  <w:footnote w:id="11">
    <w:p w14:paraId="7B4566A0" w14:textId="77777777" w:rsidR="00BC051B" w:rsidRDefault="006F64C2">
      <w:pPr>
        <w:spacing w:line="240" w:lineRule="auto"/>
        <w:rPr>
          <w:rFonts w:ascii="Arial" w:eastAsia="Arial" w:hAnsi="Arial" w:cs="Arial"/>
          <w:highlight w:val="yellow"/>
        </w:rPr>
      </w:pPr>
      <w:r>
        <w:rPr>
          <w:vertAlign w:val="superscript"/>
        </w:rPr>
        <w:footnoteRef/>
      </w:r>
      <w:r>
        <w:rPr>
          <w:rFonts w:ascii="Arial Narrow" w:eastAsia="Arial Narrow" w:hAnsi="Arial Narrow" w:cs="Arial Narrow"/>
          <w:sz w:val="18"/>
          <w:szCs w:val="18"/>
        </w:rPr>
        <w:t xml:space="preserve"> Ver:  </w:t>
      </w:r>
      <w:r>
        <w:rPr>
          <w:rFonts w:ascii="Arial" w:eastAsia="Arial" w:hAnsi="Arial" w:cs="Arial"/>
          <w:sz w:val="18"/>
          <w:szCs w:val="18"/>
        </w:rPr>
        <w:t>https://spcommreports.ohchr.org/TMResultsBase/DownLoadPublicCommunicationFile?gId=28732</w:t>
      </w:r>
    </w:p>
  </w:footnote>
  <w:footnote w:id="12">
    <w:p w14:paraId="307EF7FF"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Esto comprende una diversidad de equipos tales como pistolas de descarga eléctrica de contacto directo o indirecto, balas de goma o caucho, pistolas lanzagases, cartuchos de gases lacrimógenos, camiones hidrantes, bastones tonfa, entre otras cosas. </w:t>
      </w:r>
    </w:p>
  </w:footnote>
  <w:footnote w:id="13">
    <w:p w14:paraId="11FCAC75" w14:textId="77777777" w:rsidR="00BC051B" w:rsidRDefault="006F64C2">
      <w:pPr>
        <w:spacing w:line="240" w:lineRule="auto"/>
        <w:jc w:val="both"/>
        <w:rPr>
          <w:rFonts w:ascii="Arial" w:eastAsia="Arial" w:hAnsi="Arial" w:cs="Arial"/>
          <w:sz w:val="18"/>
          <w:szCs w:val="18"/>
        </w:rPr>
      </w:pPr>
      <w:r>
        <w:rPr>
          <w:vertAlign w:val="superscript"/>
        </w:rPr>
        <w:footnoteRef/>
      </w:r>
      <w:r>
        <w:rPr>
          <w:rFonts w:ascii="Arial Narrow" w:eastAsia="Arial Narrow" w:hAnsi="Arial Narrow" w:cs="Arial Narrow"/>
        </w:rPr>
        <w:t xml:space="preserve"> </w:t>
      </w:r>
      <w:r>
        <w:rPr>
          <w:rFonts w:ascii="Arial" w:eastAsia="Arial" w:hAnsi="Arial" w:cs="Arial"/>
          <w:sz w:val="18"/>
          <w:szCs w:val="18"/>
        </w:rPr>
        <w:t xml:space="preserve">Está ampliamente documentado que este tipo de elementos pueden generar lesiones graves, discapacidades permanentes e incluso la muerte. Ver: </w:t>
      </w:r>
      <w:hyperlink r:id="rId3">
        <w:r>
          <w:rPr>
            <w:rFonts w:ascii="Arial" w:eastAsia="Arial" w:hAnsi="Arial" w:cs="Arial"/>
            <w:color w:val="1155CC"/>
            <w:sz w:val="18"/>
            <w:szCs w:val="18"/>
            <w:u w:val="single"/>
          </w:rPr>
          <w:t>https://lethalindisguise.org/es/</w:t>
        </w:r>
      </w:hyperlink>
      <w:r>
        <w:rPr>
          <w:rFonts w:ascii="Arial" w:eastAsia="Arial" w:hAnsi="Arial" w:cs="Arial"/>
          <w:sz w:val="18"/>
          <w:szCs w:val="18"/>
        </w:rPr>
        <w:t xml:space="preserve">  </w:t>
      </w:r>
    </w:p>
  </w:footnote>
  <w:footnote w:id="14">
    <w:p w14:paraId="2570CE89"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rPr>
        <w:t xml:space="preserve"> </w:t>
      </w:r>
      <w:r>
        <w:rPr>
          <w:rFonts w:ascii="Arial" w:eastAsia="Arial" w:hAnsi="Arial" w:cs="Arial"/>
          <w:sz w:val="18"/>
          <w:szCs w:val="18"/>
        </w:rPr>
        <w:t>“Quién es Pablo Grillo, el fotógrafo que resultó herido de gravedad en la manifestación frente al Congreso” (13/03/25). Diario</w:t>
      </w:r>
      <w:r>
        <w:rPr>
          <w:rFonts w:ascii="Arial" w:eastAsia="Arial" w:hAnsi="Arial" w:cs="Arial"/>
          <w:i/>
          <w:sz w:val="18"/>
          <w:szCs w:val="18"/>
        </w:rPr>
        <w:t xml:space="preserve"> La Nación</w:t>
      </w:r>
      <w:r>
        <w:rPr>
          <w:rFonts w:ascii="Arial" w:eastAsia="Arial" w:hAnsi="Arial" w:cs="Arial"/>
          <w:sz w:val="18"/>
          <w:szCs w:val="18"/>
        </w:rPr>
        <w:t>.</w:t>
      </w:r>
      <w:hyperlink r:id="rId4">
        <w:r>
          <w:rPr>
            <w:rFonts w:ascii="Arial" w:eastAsia="Arial" w:hAnsi="Arial" w:cs="Arial"/>
            <w:color w:val="1155CC"/>
            <w:sz w:val="18"/>
            <w:szCs w:val="18"/>
            <w:u w:val="single"/>
          </w:rPr>
          <w:t>https://www.lanacion.com.ar/politica/quien-es-pablo-grillo-el-fotografo-que-resulto-herido-de-gravedad-en-la-manifestacion-frente-al-nid12032025/</w:t>
        </w:r>
      </w:hyperlink>
    </w:p>
  </w:footnote>
  <w:footnote w:id="15">
    <w:p w14:paraId="73B022ED" w14:textId="77777777" w:rsidR="00BC051B" w:rsidRDefault="006F64C2">
      <w:pPr>
        <w:spacing w:line="240" w:lineRule="auto"/>
        <w:rPr>
          <w:rFonts w:ascii="Arial" w:eastAsia="Arial" w:hAnsi="Arial" w:cs="Arial"/>
        </w:rPr>
      </w:pPr>
      <w:r>
        <w:rPr>
          <w:vertAlign w:val="superscript"/>
        </w:rPr>
        <w:footnoteRef/>
      </w:r>
      <w:r>
        <w:rPr>
          <w:rFonts w:ascii="Arial" w:eastAsia="Arial" w:hAnsi="Arial" w:cs="Arial"/>
        </w:rPr>
        <w:t xml:space="preserve"> Ver: </w:t>
      </w:r>
      <w:hyperlink r:id="rId5">
        <w:r>
          <w:rPr>
            <w:rFonts w:ascii="Arial" w:eastAsia="Arial" w:hAnsi="Arial" w:cs="Arial"/>
            <w:color w:val="1155CC"/>
            <w:u w:val="single"/>
          </w:rPr>
          <w:t>https://servicios.infoleg.gob.ar/infolegInternet/anexos/120000-124999/122499/norma.htm</w:t>
        </w:r>
      </w:hyperlink>
      <w:r>
        <w:rPr>
          <w:rFonts w:ascii="Arial" w:eastAsia="Arial" w:hAnsi="Arial" w:cs="Arial"/>
        </w:rPr>
        <w:t xml:space="preserve"> </w:t>
      </w:r>
    </w:p>
  </w:footnote>
  <w:footnote w:id="16">
    <w:p w14:paraId="4738D10A"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Ver: </w:t>
      </w:r>
      <w:hyperlink r:id="rId6">
        <w:r>
          <w:rPr>
            <w:rFonts w:ascii="Arial" w:eastAsia="Arial" w:hAnsi="Arial" w:cs="Arial"/>
            <w:color w:val="1155CC"/>
            <w:sz w:val="18"/>
            <w:szCs w:val="18"/>
            <w:u w:val="single"/>
          </w:rPr>
          <w:t>https://www.boletinoficial.gob.ar/detalleAviso/primera/317918/20241210</w:t>
        </w:r>
      </w:hyperlink>
      <w:r>
        <w:rPr>
          <w:rFonts w:ascii="Arial" w:eastAsia="Arial" w:hAnsi="Arial" w:cs="Arial"/>
          <w:sz w:val="18"/>
          <w:szCs w:val="18"/>
        </w:rPr>
        <w:t xml:space="preserve"> </w:t>
      </w:r>
    </w:p>
  </w:footnote>
  <w:footnote w:id="17">
    <w:p w14:paraId="69B838AF" w14:textId="77777777" w:rsidR="00BC051B" w:rsidRDefault="006F64C2">
      <w:pPr>
        <w:spacing w:line="240" w:lineRule="auto"/>
        <w:rPr>
          <w:rFonts w:ascii="Arial" w:eastAsia="Arial" w:hAnsi="Arial" w:cs="Arial"/>
        </w:rPr>
      </w:pPr>
      <w:r>
        <w:rPr>
          <w:vertAlign w:val="superscript"/>
        </w:rPr>
        <w:footnoteRef/>
      </w:r>
      <w:r>
        <w:rPr>
          <w:rFonts w:ascii="Arial" w:eastAsia="Arial" w:hAnsi="Arial" w:cs="Arial"/>
        </w:rPr>
        <w:t xml:space="preserve"> Ver </w:t>
      </w:r>
      <w:hyperlink r:id="rId7">
        <w:r>
          <w:rPr>
            <w:rFonts w:ascii="Arial" w:eastAsia="Arial" w:hAnsi="Arial" w:cs="Arial"/>
            <w:color w:val="1155CC"/>
            <w:u w:val="single"/>
          </w:rPr>
          <w:t>https://www.corteidh.or.cr/docs/casos/articulos/seriec_400_esp.pdf</w:t>
        </w:r>
      </w:hyperlink>
      <w:r>
        <w:rPr>
          <w:rFonts w:ascii="Arial" w:eastAsia="Arial" w:hAnsi="Arial" w:cs="Arial"/>
        </w:rPr>
        <w:t xml:space="preserve"> </w:t>
      </w:r>
    </w:p>
  </w:footnote>
  <w:footnote w:id="18">
    <w:p w14:paraId="5B63796C"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RESOL-2024-53APN#INAI-JGM, ver: </w:t>
      </w:r>
      <w:hyperlink r:id="rId8">
        <w:r>
          <w:rPr>
            <w:rFonts w:ascii="Arial" w:eastAsia="Arial" w:hAnsi="Arial" w:cs="Arial"/>
            <w:color w:val="1155CC"/>
            <w:sz w:val="18"/>
            <w:szCs w:val="18"/>
            <w:u w:val="single"/>
          </w:rPr>
          <w:t>https://www.boletinoficial.gob.ar/detalleAviso/primera/314918/20241001</w:t>
        </w:r>
      </w:hyperlink>
      <w:r>
        <w:rPr>
          <w:rFonts w:ascii="Arial" w:eastAsia="Arial" w:hAnsi="Arial" w:cs="Arial"/>
          <w:sz w:val="18"/>
          <w:szCs w:val="18"/>
        </w:rPr>
        <w:t xml:space="preserve"> </w:t>
      </w:r>
    </w:p>
  </w:footnote>
  <w:footnote w:id="19">
    <w:p w14:paraId="12361B00"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Ver: </w:t>
      </w:r>
      <w:hyperlink r:id="rId9">
        <w:r>
          <w:rPr>
            <w:rFonts w:ascii="Arial" w:eastAsia="Arial" w:hAnsi="Arial" w:cs="Arial"/>
            <w:color w:val="1155CC"/>
            <w:sz w:val="18"/>
            <w:szCs w:val="18"/>
            <w:u w:val="single"/>
          </w:rPr>
          <w:t>https://www.filo.news/noticia/2024/02/17/petri-anuncio-el-desalojo-de-comunidades-mapuches-de-terrenos-del-ejercito-en-bariloche</w:t>
        </w:r>
      </w:hyperlink>
      <w:r>
        <w:rPr>
          <w:rFonts w:ascii="Arial" w:eastAsia="Arial" w:hAnsi="Arial" w:cs="Arial"/>
          <w:sz w:val="18"/>
          <w:szCs w:val="18"/>
        </w:rPr>
        <w:t xml:space="preserve"> </w:t>
      </w:r>
    </w:p>
  </w:footnote>
  <w:footnote w:id="20">
    <w:p w14:paraId="40B67EA8"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rPr>
        <w:t xml:space="preserve"> </w:t>
      </w:r>
      <w:r>
        <w:rPr>
          <w:rFonts w:ascii="Arial" w:eastAsia="Arial" w:hAnsi="Arial" w:cs="Arial"/>
          <w:sz w:val="18"/>
          <w:szCs w:val="18"/>
        </w:rPr>
        <w:t xml:space="preserve">Ver: </w:t>
      </w:r>
      <w:hyperlink r:id="rId10" w:anchor=":~:text=El%20gobernador%20de%20Chubut%2C%20Ignacio%20Torres%2C%20se%20refiri%C3%B3%20los%20incendios,%C3%ADgneos%20ocurrieron%20en%20el%20mismo">
        <w:r>
          <w:rPr>
            <w:rFonts w:ascii="Arial" w:eastAsia="Arial" w:hAnsi="Arial" w:cs="Arial"/>
            <w:color w:val="1155CC"/>
            <w:sz w:val="18"/>
            <w:szCs w:val="18"/>
            <w:u w:val="single"/>
          </w:rPr>
          <w:t>https://www.lanacion.com.ar/politica/el-gobernador-de-chubut-le-atribuyo-los-incendios-a-la-ram-y-apunto-tienen-de-mapuche-lo-que-yo-nid28012024/#:~:text=El%20gobernador%20de%20Chubut%2C%20Ignacio%20Torres%2C%20se%20refiri%C3%B3%20los%20incendios,%C3%ADgneos%20ocurrieron%20en%20el%20mismo</w:t>
        </w:r>
      </w:hyperlink>
      <w:r>
        <w:rPr>
          <w:rFonts w:ascii="Arial" w:eastAsia="Arial" w:hAnsi="Arial" w:cs="Arial"/>
          <w:sz w:val="18"/>
          <w:szCs w:val="18"/>
        </w:rPr>
        <w:t xml:space="preserve"> </w:t>
      </w:r>
    </w:p>
  </w:footnote>
  <w:footnote w:id="21">
    <w:p w14:paraId="3425BA97"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Ver: </w:t>
      </w:r>
      <w:hyperlink r:id="rId11">
        <w:r>
          <w:rPr>
            <w:rFonts w:ascii="Arial" w:eastAsia="Arial" w:hAnsi="Arial" w:cs="Arial"/>
            <w:color w:val="1155CC"/>
            <w:sz w:val="18"/>
            <w:szCs w:val="18"/>
            <w:u w:val="single"/>
          </w:rPr>
          <w:t>https://www.pagina12.com.ar/775311-violento-desalojo-de-familias-indigenas-en-guerrero</w:t>
        </w:r>
      </w:hyperlink>
      <w:r>
        <w:rPr>
          <w:rFonts w:ascii="Arial" w:eastAsia="Arial" w:hAnsi="Arial" w:cs="Arial"/>
          <w:sz w:val="18"/>
          <w:szCs w:val="18"/>
        </w:rPr>
        <w:t xml:space="preserve"> </w:t>
      </w:r>
    </w:p>
  </w:footnote>
  <w:footnote w:id="22">
    <w:p w14:paraId="2673F83E" w14:textId="77777777" w:rsidR="00BC051B" w:rsidRDefault="006F64C2">
      <w:pPr>
        <w:spacing w:line="240" w:lineRule="auto"/>
        <w:rPr>
          <w:rFonts w:ascii="Arial" w:eastAsia="Arial" w:hAnsi="Arial" w:cs="Arial"/>
          <w:sz w:val="18"/>
          <w:szCs w:val="18"/>
        </w:rPr>
      </w:pPr>
      <w:r>
        <w:rPr>
          <w:vertAlign w:val="superscript"/>
        </w:rPr>
        <w:footnoteRef/>
      </w:r>
      <w:r>
        <w:t xml:space="preserve"> Ver:  </w:t>
      </w:r>
      <w:hyperlink r:id="rId12">
        <w:r>
          <w:rPr>
            <w:rFonts w:ascii="Arial" w:eastAsia="Arial" w:hAnsi="Arial" w:cs="Arial"/>
            <w:color w:val="1155CC"/>
            <w:sz w:val="18"/>
            <w:szCs w:val="18"/>
            <w:u w:val="single"/>
          </w:rPr>
          <w:t>https://realpolitik.com.ar/nota/64944/grave-atropello-en-jujuy-exigen-frenar-el-desalojo-de-la-comunidad-indigena-cueva-del-inca/</w:t>
        </w:r>
      </w:hyperlink>
      <w:r>
        <w:rPr>
          <w:rFonts w:ascii="Arial" w:eastAsia="Arial" w:hAnsi="Arial" w:cs="Arial"/>
          <w:sz w:val="18"/>
          <w:szCs w:val="18"/>
        </w:rPr>
        <w:t xml:space="preserve"> </w:t>
      </w:r>
    </w:p>
  </w:footnote>
  <w:footnote w:id="23">
    <w:p w14:paraId="4A071DA4" w14:textId="77777777" w:rsidR="00BC051B" w:rsidRDefault="006F64C2">
      <w:pPr>
        <w:spacing w:line="240" w:lineRule="auto"/>
      </w:pPr>
      <w:r>
        <w:rPr>
          <w:vertAlign w:val="superscript"/>
        </w:rPr>
        <w:footnoteRef/>
      </w:r>
      <w:r>
        <w:t xml:space="preserve"> Ver: </w:t>
      </w:r>
      <w:hyperlink r:id="rId13">
        <w:r>
          <w:rPr>
            <w:color w:val="1155CC"/>
            <w:u w:val="single"/>
          </w:rPr>
          <w:t>https://www.lanacion.com.ar/sociedad/quien-es-cruz-cardenas-el-hombre-senalado-como-autor-intelectual-del-incendio-en-el-parque-los-nid30012024/</w:t>
        </w:r>
      </w:hyperlink>
      <w:r>
        <w:t xml:space="preserve"> </w:t>
      </w:r>
    </w:p>
  </w:footnote>
  <w:footnote w:id="24">
    <w:p w14:paraId="0E09027C" w14:textId="77777777" w:rsidR="00BC051B" w:rsidRDefault="006F64C2">
      <w:pPr>
        <w:spacing w:line="240" w:lineRule="auto"/>
        <w:rPr>
          <w:rFonts w:ascii="Arial" w:eastAsia="Arial" w:hAnsi="Arial" w:cs="Arial"/>
        </w:rPr>
      </w:pPr>
      <w:r>
        <w:rPr>
          <w:vertAlign w:val="superscript"/>
        </w:rPr>
        <w:footnoteRef/>
      </w:r>
      <w:r>
        <w:rPr>
          <w:rFonts w:ascii="Arial" w:eastAsia="Arial" w:hAnsi="Arial" w:cs="Arial"/>
        </w:rPr>
        <w:t xml:space="preserve"> Ver: </w:t>
      </w:r>
      <w:hyperlink r:id="rId14">
        <w:r>
          <w:rPr>
            <w:rFonts w:ascii="Arial" w:eastAsia="Arial" w:hAnsi="Arial" w:cs="Arial"/>
            <w:color w:val="1155CC"/>
            <w:u w:val="single"/>
          </w:rPr>
          <w:t>https://www.laizquierdadiario.com/Recupero-la-libertad-Victoria-Nunez-Fernandez</w:t>
        </w:r>
      </w:hyperlink>
      <w:r>
        <w:rPr>
          <w:rFonts w:ascii="Arial" w:eastAsia="Arial" w:hAnsi="Arial" w:cs="Arial"/>
        </w:rPr>
        <w:t xml:space="preserve"> </w:t>
      </w:r>
    </w:p>
  </w:footnote>
  <w:footnote w:id="25">
    <w:p w14:paraId="0AB103BA"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https://fesprosa.org.ar/portal/por-lo-menos-60-muertos-por-la-falta-de-entrega-de-medicamentos-en-el-gobierno-de-milei/</w:t>
      </w:r>
    </w:p>
  </w:footnote>
  <w:footnote w:id="26">
    <w:p w14:paraId="43E89E48"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Información disponible en: </w:t>
      </w:r>
      <w:hyperlink r:id="rId15">
        <w:r>
          <w:rPr>
            <w:rFonts w:ascii="Arial" w:eastAsia="Arial" w:hAnsi="Arial" w:cs="Arial"/>
            <w:color w:val="1155CC"/>
            <w:sz w:val="18"/>
            <w:szCs w:val="18"/>
            <w:u w:val="single"/>
          </w:rPr>
          <w:t>https://renacalle.ar/</w:t>
        </w:r>
      </w:hyperlink>
      <w:r>
        <w:rPr>
          <w:rFonts w:ascii="Arial" w:eastAsia="Arial" w:hAnsi="Arial" w:cs="Arial"/>
          <w:sz w:val="18"/>
          <w:szCs w:val="18"/>
        </w:rPr>
        <w:t xml:space="preserve"> </w:t>
      </w:r>
    </w:p>
  </w:footnote>
  <w:footnote w:id="27">
    <w:p w14:paraId="4E0D1456"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El Registro Unificado de Violencias (RUV) es un registro colaborativo y federal creado, en 2021, por un equipo de investigación de la Facultad de Psicología (UBA) junto a la Asamblea Popular por los Derechos de las Personas en Situación de Calle.</w:t>
      </w:r>
    </w:p>
  </w:footnote>
  <w:footnote w:id="28">
    <w:p w14:paraId="66D1FB76"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Infobae (24 de agosto del 2024). del Bianco, C. Una persona en situación de calle muere cada 64 horas en Argentina: </w:t>
      </w:r>
      <w:hyperlink r:id="rId16">
        <w:r>
          <w:rPr>
            <w:rFonts w:ascii="Arial" w:eastAsia="Arial" w:hAnsi="Arial" w:cs="Arial"/>
            <w:color w:val="1155CC"/>
            <w:sz w:val="18"/>
            <w:szCs w:val="18"/>
            <w:u w:val="single"/>
          </w:rPr>
          <w:t>https://www.eldiarioar.com/sociedad/persona-situacion-calle-muere-64-horas-argentina_1_11606421.html?utm_source=chatgpt.com</w:t>
        </w:r>
      </w:hyperlink>
      <w:r>
        <w:rPr>
          <w:rFonts w:ascii="Arial" w:eastAsia="Arial" w:hAnsi="Arial" w:cs="Arial"/>
          <w:sz w:val="18"/>
          <w:szCs w:val="18"/>
        </w:rPr>
        <w:t xml:space="preserve"> </w:t>
      </w:r>
    </w:p>
  </w:footnote>
  <w:footnote w:id="29">
    <w:p w14:paraId="20A8BE01" w14:textId="77777777" w:rsidR="00BC051B" w:rsidRDefault="006F64C2">
      <w:pPr>
        <w:spacing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Normativa completa disponible en: </w:t>
      </w:r>
      <w:hyperlink r:id="rId17" w:anchor="titulo-3">
        <w:r>
          <w:rPr>
            <w:rFonts w:ascii="Arial" w:eastAsia="Arial" w:hAnsi="Arial" w:cs="Arial"/>
            <w:color w:val="1155CC"/>
            <w:sz w:val="18"/>
            <w:szCs w:val="18"/>
            <w:u w:val="single"/>
          </w:rPr>
          <w:t>https://www.argentina.gob.ar/justicia/derechofacil/leysimple/justicia-derechos-humanos/situacion-de-calle-y-familias-sin-techo#titulo-3</w:t>
        </w:r>
      </w:hyperlink>
      <w:r>
        <w:rPr>
          <w:rFonts w:ascii="Arial" w:eastAsia="Arial" w:hAnsi="Arial" w:cs="Arial"/>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95D8C" w14:textId="77777777" w:rsidR="00BC051B" w:rsidRDefault="006F64C2">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60288" behindDoc="0" locked="0" layoutInCell="1" hidden="0" allowOverlap="1" wp14:anchorId="0519F4AE" wp14:editId="4FCC739A">
          <wp:simplePos x="0" y="0"/>
          <wp:positionH relativeFrom="column">
            <wp:posOffset>4</wp:posOffset>
          </wp:positionH>
          <wp:positionV relativeFrom="paragraph">
            <wp:posOffset>0</wp:posOffset>
          </wp:positionV>
          <wp:extent cx="7752080" cy="1747520"/>
          <wp:effectExtent l="0" t="0" r="0" b="0"/>
          <wp:wrapSquare wrapText="bothSides" distT="0" distB="0" distL="114300" distR="114300"/>
          <wp:docPr id="1251628057" name="image3.jpg" descr=":cabezal_2da.jpg"/>
          <wp:cNvGraphicFramePr/>
          <a:graphic xmlns:a="http://schemas.openxmlformats.org/drawingml/2006/main">
            <a:graphicData uri="http://schemas.openxmlformats.org/drawingml/2006/picture">
              <pic:pic xmlns:pic="http://schemas.openxmlformats.org/drawingml/2006/picture">
                <pic:nvPicPr>
                  <pic:cNvPr id="0" name="image3.jpg" descr=":cabezal_2da.jpg"/>
                  <pic:cNvPicPr preferRelativeResize="0"/>
                </pic:nvPicPr>
                <pic:blipFill>
                  <a:blip r:embed="rId1"/>
                  <a:srcRect/>
                  <a:stretch>
                    <a:fillRect/>
                  </a:stretch>
                </pic:blipFill>
                <pic:spPr>
                  <a:xfrm>
                    <a:off x="0" y="0"/>
                    <a:ext cx="7752080" cy="174752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58960" w14:textId="77777777" w:rsidR="00BC051B" w:rsidRDefault="006F64C2">
    <w:pPr>
      <w:pBdr>
        <w:top w:val="nil"/>
        <w:left w:val="nil"/>
        <w:bottom w:val="nil"/>
        <w:right w:val="nil"/>
        <w:between w:val="nil"/>
      </w:pBdr>
      <w:tabs>
        <w:tab w:val="center" w:pos="4252"/>
        <w:tab w:val="right" w:pos="8504"/>
      </w:tabs>
      <w:ind w:right="-1425"/>
      <w:rPr>
        <w:color w:val="000000"/>
      </w:rPr>
    </w:pPr>
    <w:r>
      <w:rPr>
        <w:noProof/>
      </w:rPr>
      <w:drawing>
        <wp:anchor distT="0" distB="0" distL="114300" distR="114300" simplePos="0" relativeHeight="251658240" behindDoc="0" locked="0" layoutInCell="1" hidden="0" allowOverlap="1" wp14:anchorId="717BC438" wp14:editId="34237A0D">
          <wp:simplePos x="0" y="0"/>
          <wp:positionH relativeFrom="column">
            <wp:posOffset>-47623</wp:posOffset>
          </wp:positionH>
          <wp:positionV relativeFrom="paragraph">
            <wp:posOffset>561975</wp:posOffset>
          </wp:positionV>
          <wp:extent cx="1272438" cy="377952"/>
          <wp:effectExtent l="0" t="0" r="0" b="0"/>
          <wp:wrapNone/>
          <wp:docPr id="125162805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72438" cy="3779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CBDDA" w14:textId="77777777" w:rsidR="00BC051B" w:rsidRDefault="006F64C2">
    <w:pPr>
      <w:pBdr>
        <w:top w:val="nil"/>
        <w:left w:val="nil"/>
        <w:bottom w:val="nil"/>
        <w:right w:val="nil"/>
        <w:between w:val="nil"/>
      </w:pBdr>
      <w:tabs>
        <w:tab w:val="center" w:pos="4252"/>
        <w:tab w:val="right" w:pos="8504"/>
      </w:tabs>
      <w:ind w:left="-2340" w:right="-1425"/>
      <w:rPr>
        <w:color w:val="000000"/>
      </w:rPr>
    </w:pPr>
    <w:r>
      <w:rPr>
        <w:noProof/>
      </w:rPr>
      <w:drawing>
        <wp:anchor distT="0" distB="0" distL="0" distR="0" simplePos="0" relativeHeight="251659264" behindDoc="1" locked="0" layoutInCell="1" hidden="0" allowOverlap="1" wp14:anchorId="500E192B" wp14:editId="47E8554C">
          <wp:simplePos x="0" y="0"/>
          <wp:positionH relativeFrom="column">
            <wp:posOffset>-1497962</wp:posOffset>
          </wp:positionH>
          <wp:positionV relativeFrom="paragraph">
            <wp:posOffset>2540</wp:posOffset>
          </wp:positionV>
          <wp:extent cx="7721600" cy="1737360"/>
          <wp:effectExtent l="0" t="0" r="0" b="0"/>
          <wp:wrapNone/>
          <wp:docPr id="1251628056" name="image1.png" descr=":cabezal_1racolor.jpg"/>
          <wp:cNvGraphicFramePr/>
          <a:graphic xmlns:a="http://schemas.openxmlformats.org/drawingml/2006/main">
            <a:graphicData uri="http://schemas.openxmlformats.org/drawingml/2006/picture">
              <pic:pic xmlns:pic="http://schemas.openxmlformats.org/drawingml/2006/picture">
                <pic:nvPicPr>
                  <pic:cNvPr id="0" name="image1.png" descr=":cabezal_1racolor.jpg"/>
                  <pic:cNvPicPr preferRelativeResize="0"/>
                </pic:nvPicPr>
                <pic:blipFill>
                  <a:blip r:embed="rId1"/>
                  <a:srcRect/>
                  <a:stretch>
                    <a:fillRect/>
                  </a:stretch>
                </pic:blipFill>
                <pic:spPr>
                  <a:xfrm>
                    <a:off x="0" y="0"/>
                    <a:ext cx="7721600" cy="173736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51B"/>
    <w:rsid w:val="006F64C2"/>
    <w:rsid w:val="00BC051B"/>
    <w:rsid w:val="00D3647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8B2B"/>
  <w15:docId w15:val="{48E8B79B-4C48-4031-B94B-1E41078E1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AR" w:eastAsia="zh-CN" w:bidi="ar-SA"/>
      </w:rPr>
    </w:rPrDefault>
    <w:pPrDefault>
      <w:pPr>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Arial" w:eastAsia="Arial" w:hAnsi="Arial" w:cs="Arial"/>
      <w:b/>
    </w:rPr>
  </w:style>
  <w:style w:type="paragraph" w:styleId="Heading2">
    <w:name w:val="heading 2"/>
    <w:basedOn w:val="Normal"/>
    <w:next w:val="Normal"/>
    <w:uiPriority w:val="9"/>
    <w:semiHidden/>
    <w:unhideWhenUsed/>
    <w:qFormat/>
    <w:pPr>
      <w:keepNext/>
      <w:keepLines/>
      <w:ind w:left="-108"/>
      <w:outlineLvl w:val="1"/>
    </w:pPr>
    <w:rPr>
      <w:rFonts w:ascii="Arial" w:eastAsia="Arial" w:hAnsi="Arial" w:cs="Arial"/>
      <w:b/>
      <w:sz w:val="16"/>
      <w:szCs w:val="16"/>
    </w:rPr>
  </w:style>
  <w:style w:type="paragraph" w:styleId="Heading3">
    <w:name w:val="heading 3"/>
    <w:basedOn w:val="Normal"/>
    <w:next w:val="Normal"/>
    <w:uiPriority w:val="9"/>
    <w:semiHidden/>
    <w:unhideWhenUsed/>
    <w:qFormat/>
    <w:pPr>
      <w:keepNext/>
      <w:widowControl w:val="0"/>
      <w:ind w:left="-115" w:right="-677"/>
      <w:outlineLvl w:val="2"/>
    </w:pPr>
    <w:rPr>
      <w:rFonts w:ascii="Arial" w:eastAsia="Arial" w:hAnsi="Arial" w:cs="Arial"/>
      <w:b/>
      <w:sz w:val="16"/>
      <w:szCs w:val="16"/>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widowControl w:val="0"/>
      <w:ind w:left="-108" w:right="-677"/>
      <w:outlineLvl w:val="4"/>
    </w:pPr>
    <w:rPr>
      <w:rFonts w:ascii="Arial" w:eastAsia="Arial" w:hAnsi="Arial" w:cs="Arial"/>
      <w:b/>
      <w:sz w:val="16"/>
      <w:szCs w:val="16"/>
    </w:rPr>
  </w:style>
  <w:style w:type="paragraph" w:styleId="Heading6">
    <w:name w:val="heading 6"/>
    <w:basedOn w:val="Normal"/>
    <w:next w:val="Normal"/>
    <w:uiPriority w:val="9"/>
    <w:semiHidden/>
    <w:unhideWhenUsed/>
    <w:qFormat/>
    <w:pPr>
      <w:keepNext/>
      <w:keepLines/>
      <w:outlineLvl w:val="5"/>
    </w:pPr>
    <w:rPr>
      <w:rFonts w:ascii="Arial" w:eastAsia="Arial" w:hAnsi="Arial" w:cs="Arial"/>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https://www.instagram.com/p/C4JI39GxTQJ/?utm_source=ig_embed&amp;ig_rid=17a6d734-e407-472e-8f81-bce2c7292b20" TargetMode="Externa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boletinoficial.gob.ar/detalleAviso/primera/314918/20241001" TargetMode="External"/><Relationship Id="rId13" Type="http://schemas.openxmlformats.org/officeDocument/2006/relationships/hyperlink" Target="https://www.lanacion.com.ar/sociedad/quien-es-cruz-cardenas-el-hombre-senalado-como-autor-intelectual-del-incendio-en-el-parque-los-nid30012024/" TargetMode="External"/><Relationship Id="rId3" Type="http://schemas.openxmlformats.org/officeDocument/2006/relationships/hyperlink" Target="https://lethalindisguise.org/es/" TargetMode="External"/><Relationship Id="rId7" Type="http://schemas.openxmlformats.org/officeDocument/2006/relationships/hyperlink" Target="https://www.corteidh.or.cr/docs/casos/articulos/seriec_400_esp.pdf" TargetMode="External"/><Relationship Id="rId12" Type="http://schemas.openxmlformats.org/officeDocument/2006/relationships/hyperlink" Target="https://realpolitik.com.ar/nota/64944/grave-atropello-en-jujuy-exigen-frenar-el-desalojo-de-la-comunidad-indigena-cueva-del-inca/" TargetMode="External"/><Relationship Id="rId17" Type="http://schemas.openxmlformats.org/officeDocument/2006/relationships/hyperlink" Target="https://www.argentina.gob.ar/justicia/derechofacil/leysimple/justicia-derechos-humanos/situacion-de-calle-y-familias-sin-techo" TargetMode="External"/><Relationship Id="rId2" Type="http://schemas.openxmlformats.org/officeDocument/2006/relationships/hyperlink" Target="https://www.boletinoficial.gob.ar/detalleAviso/primera/300917/20231215?busqueda=1" TargetMode="External"/><Relationship Id="rId16" Type="http://schemas.openxmlformats.org/officeDocument/2006/relationships/hyperlink" Target="https://www.eldiarioar.com/sociedad/persona-situacion-calle-muere-64-horas-argentina_1_11606421.html?utm_source=chatgpt.com" TargetMode="External"/><Relationship Id="rId1" Type="http://schemas.openxmlformats.org/officeDocument/2006/relationships/hyperlink" Target="https://x.com/OPRArgentina/status/1904174949578817713" TargetMode="External"/><Relationship Id="rId6" Type="http://schemas.openxmlformats.org/officeDocument/2006/relationships/hyperlink" Target="https://www.boletinoficial.gob.ar/detalleAviso/primera/317918/20241210" TargetMode="External"/><Relationship Id="rId11" Type="http://schemas.openxmlformats.org/officeDocument/2006/relationships/hyperlink" Target="https://www.pagina12.com.ar/775311-violento-desalojo-de-familias-indigenas-en-guerrero" TargetMode="External"/><Relationship Id="rId5" Type="http://schemas.openxmlformats.org/officeDocument/2006/relationships/hyperlink" Target="https://servicios.infoleg.gob.ar/infolegInternet/anexos/120000-124999/122499/norma.htm" TargetMode="External"/><Relationship Id="rId15" Type="http://schemas.openxmlformats.org/officeDocument/2006/relationships/hyperlink" Target="https://renacalle.ar/" TargetMode="External"/><Relationship Id="rId10" Type="http://schemas.openxmlformats.org/officeDocument/2006/relationships/hyperlink" Target="https://www.lanacion.com.ar/politica/el-gobernador-de-chubut-le-atribuyo-los-incendios-a-la-ram-y-apunto-tienen-de-mapuche-lo-que-yo-nid28012024/" TargetMode="External"/><Relationship Id="rId4" Type="http://schemas.openxmlformats.org/officeDocument/2006/relationships/hyperlink" Target="https://www.lanacion.com.ar/politica/quien-es-pablo-grillo-el-fotografo-que-resulto-herido-de-gravedad-en-la-manifestacion-frente-al-nid12032025/" TargetMode="External"/><Relationship Id="rId9" Type="http://schemas.openxmlformats.org/officeDocument/2006/relationships/hyperlink" Target="https://www.filo.news/noticia/2024/02/17/petri-anuncio-el-desalojo-de-comunidades-mapuches-de-terrenos-del-ejercito-en-bariloche" TargetMode="External"/><Relationship Id="rId14" Type="http://schemas.openxmlformats.org/officeDocument/2006/relationships/hyperlink" Target="https://www.laizquierdadiario.com/Recupero-la-libertad-Victoria-Nunez-Fernande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8I6ffVl4zW2CuzBQuKq3P292zw==">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2025-04-29T16:57:17+00:00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D1C6AD5B-7934-4DEE-91C4-1F4D765C98D0}"/>
</file>

<file path=customXml/itemProps3.xml><?xml version="1.0" encoding="utf-8"?>
<ds:datastoreItem xmlns:ds="http://schemas.openxmlformats.org/officeDocument/2006/customXml" ds:itemID="{1650573F-1EA0-47B9-B8EE-310638405EBC}"/>
</file>

<file path=customXml/itemProps4.xml><?xml version="1.0" encoding="utf-8"?>
<ds:datastoreItem xmlns:ds="http://schemas.openxmlformats.org/officeDocument/2006/customXml" ds:itemID="{0E4EA741-6076-4ACE-BFF5-332F8E97B85C}"/>
</file>

<file path=docProps/app.xml><?xml version="1.0" encoding="utf-8"?>
<Properties xmlns="http://schemas.openxmlformats.org/officeDocument/2006/extended-properties" xmlns:vt="http://schemas.openxmlformats.org/officeDocument/2006/docPropsVTypes">
  <Template>Normal</Template>
  <TotalTime>1</TotalTime>
  <Pages>19</Pages>
  <Words>9065</Words>
  <Characters>51677</Characters>
  <Application>Microsoft Office Word</Application>
  <DocSecurity>0</DocSecurity>
  <Lines>430</Lines>
  <Paragraphs>121</Paragraphs>
  <ScaleCrop>false</ScaleCrop>
  <Company/>
  <LinksUpToDate>false</LinksUpToDate>
  <CharactersWithSpaces>60621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CELSP016</dc:creator>
  <cp:lastModifiedBy>Cherry Balmaceda</cp:lastModifiedBy>
  <cp:revision>2</cp:revision>
  <dcterms:created xsi:type="dcterms:W3CDTF">2025-04-29T16:57:00Z</dcterms:created>
  <dcterms:modified xsi:type="dcterms:W3CDTF">2025-04-29T16:57:00Z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