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155E2" w14:textId="2C5EE105" w:rsidR="00BE37BF" w:rsidRPr="001119F0" w:rsidRDefault="007F7529" w:rsidP="007F7529">
      <w:pPr>
        <w:spacing w:after="120"/>
        <w:rPr>
          <w:rFonts w:asciiTheme="majorHAnsi" w:hAnsiTheme="majorHAnsi" w:cstheme="majorHAnsi"/>
          <w:b/>
          <w:sz w:val="28"/>
          <w:szCs w:val="28"/>
          <w:u w:val="single"/>
        </w:rPr>
      </w:pPr>
      <w:bookmarkStart w:id="0" w:name="_GoBack"/>
      <w:bookmarkEnd w:id="0"/>
      <w:r w:rsidRPr="001119F0">
        <w:rPr>
          <w:rFonts w:asciiTheme="majorHAnsi" w:hAnsiTheme="majorHAnsi" w:cstheme="majorHAnsi"/>
          <w:b/>
          <w:noProof/>
          <w:sz w:val="28"/>
          <w:szCs w:val="28"/>
        </w:rPr>
        <w:drawing>
          <wp:anchor distT="0" distB="0" distL="114300" distR="114300" simplePos="0" relativeHeight="251657216"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2">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5C2BF1" w:rsidRPr="001119F0">
        <w:rPr>
          <w:rFonts w:asciiTheme="majorHAnsi" w:hAnsiTheme="majorHAnsi" w:cstheme="majorHAnsi"/>
          <w:b/>
          <w:sz w:val="34"/>
          <w:szCs w:val="34"/>
          <w:u w:val="single"/>
        </w:rPr>
        <w:t>Cuba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9B471D" w:rsidRPr="001119F0">
        <w:rPr>
          <w:rFonts w:asciiTheme="majorHAnsi" w:hAnsiTheme="majorHAnsi" w:cstheme="majorHAnsi"/>
          <w:b/>
          <w:sz w:val="34"/>
          <w:szCs w:val="34"/>
        </w:rPr>
        <w:t>9</w:t>
      </w:r>
      <w:r w:rsidR="00C84FBA" w:rsidRPr="001119F0">
        <w:rPr>
          <w:rFonts w:asciiTheme="majorHAnsi" w:hAnsiTheme="majorHAnsi" w:cstheme="majorHAnsi"/>
          <w:b/>
          <w:sz w:val="34"/>
          <w:szCs w:val="34"/>
          <w:vertAlign w:val="superscript"/>
        </w:rPr>
        <w:t>th</w:t>
      </w:r>
      <w:r w:rsidR="009B471D" w:rsidRPr="001119F0">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9B471D" w:rsidRPr="001119F0">
        <w:rPr>
          <w:rFonts w:asciiTheme="majorHAnsi" w:hAnsiTheme="majorHAnsi" w:cstheme="majorHAnsi"/>
          <w:b/>
          <w:sz w:val="34"/>
          <w:szCs w:val="34"/>
        </w:rPr>
        <w:t>March</w:t>
      </w:r>
      <w:r w:rsidR="00A53A7A" w:rsidRPr="001119F0">
        <w:rPr>
          <w:rFonts w:asciiTheme="majorHAnsi" w:hAnsiTheme="majorHAnsi" w:cstheme="majorHAnsi"/>
          <w:b/>
          <w:sz w:val="34"/>
          <w:szCs w:val="34"/>
        </w:rPr>
        <w:t xml:space="preserve"> 201</w:t>
      </w:r>
      <w:r w:rsidR="009B471D" w:rsidRPr="001119F0">
        <w:rPr>
          <w:rFonts w:asciiTheme="majorHAnsi" w:hAnsiTheme="majorHAnsi" w:cstheme="majorHAnsi"/>
          <w:b/>
          <w:sz w:val="34"/>
          <w:szCs w:val="34"/>
        </w:rPr>
        <w:t>8</w:t>
      </w:r>
    </w:p>
    <w:p w14:paraId="4508A740" w14:textId="55CD8C43"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106569" w:rsidRPr="001119F0">
        <w:rPr>
          <w:rFonts w:asciiTheme="majorHAnsi" w:hAnsiTheme="majorHAnsi" w:cstheme="majorHAnsi"/>
        </w:rPr>
        <w:br/>
      </w:r>
      <w:r w:rsidR="00633745" w:rsidRPr="001119F0">
        <w:rPr>
          <w:rFonts w:asciiTheme="majorHAnsi" w:hAnsiTheme="majorHAnsi" w:cstheme="majorHAnsi"/>
        </w:rPr>
        <w:t>of Children,</w:t>
      </w:r>
      <w:r w:rsidR="00E9361C" w:rsidRPr="001119F0">
        <w:rPr>
          <w:rFonts w:asciiTheme="majorHAnsi" w:hAnsiTheme="majorHAnsi" w:cstheme="majorHAnsi"/>
        </w:rPr>
        <w:t xml:space="preserve"> </w:t>
      </w:r>
      <w:r w:rsidR="001F05A0" w:rsidRPr="001119F0">
        <w:rPr>
          <w:rFonts w:asciiTheme="majorHAnsi" w:hAnsiTheme="majorHAnsi" w:cstheme="majorHAnsi"/>
        </w:rPr>
        <w:t>J</w:t>
      </w:r>
      <w:r w:rsidR="009B471D" w:rsidRPr="001119F0">
        <w:rPr>
          <w:rFonts w:asciiTheme="majorHAnsi" w:hAnsiTheme="majorHAnsi" w:cstheme="majorHAnsi"/>
        </w:rPr>
        <w:t>anuary 2018</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1119F0">
          <w:rPr>
            <w:rStyle w:val="Hyperlink"/>
            <w:rFonts w:asciiTheme="majorHAnsi" w:hAnsiTheme="majorHAnsi" w:cstheme="majorHAnsi"/>
          </w:rPr>
          <w:t>www.endcorporalpunishment.org</w:t>
        </w:r>
        <w:r w:rsidR="00716B5D" w:rsidRPr="001119F0">
          <w:rPr>
            <w:rStyle w:val="Hyperlink"/>
            <w:rFonts w:asciiTheme="majorHAnsi" w:hAnsiTheme="majorHAnsi" w:cstheme="majorHAnsi"/>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1119F0">
        <w:rPr>
          <w:rFonts w:asciiTheme="majorHAnsi" w:hAnsiTheme="majorHAnsi" w:cstheme="majorHAnsi"/>
          <w:b/>
          <w:sz w:val="26"/>
          <w:szCs w:val="26"/>
        </w:rPr>
        <w:t>S</w:t>
      </w:r>
      <w:r w:rsidRPr="001119F0">
        <w:rPr>
          <w:rFonts w:asciiTheme="majorHAnsi" w:hAnsiTheme="majorHAnsi" w:cstheme="majorHAnsi"/>
          <w:b/>
          <w:sz w:val="26"/>
          <w:szCs w:val="26"/>
        </w:rPr>
        <w:t>ummary</w:t>
      </w:r>
    </w:p>
    <w:p w14:paraId="57CD7F46" w14:textId="1D799CCE"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1B7D95" w:rsidRPr="001119F0">
        <w:rPr>
          <w:rFonts w:asciiTheme="majorHAnsi" w:hAnsiTheme="majorHAnsi" w:cstheme="majorHAnsi"/>
        </w:rPr>
        <w:t>Cuba</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schools and </w:t>
      </w:r>
      <w:r w:rsidR="001B7D95" w:rsidRPr="001119F0">
        <w:rPr>
          <w:rFonts w:asciiTheme="majorHAnsi" w:hAnsiTheme="majorHAnsi" w:cstheme="majorHAnsi"/>
        </w:rPr>
        <w:t>in the penal system</w:t>
      </w:r>
      <w:r w:rsidR="00106569" w:rsidRPr="001119F0">
        <w:rPr>
          <w:rFonts w:asciiTheme="majorHAnsi" w:hAnsiTheme="majorHAnsi" w:cstheme="majorHAnsi"/>
        </w:rPr>
        <w:t xml:space="preserve">, 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in the home</w:t>
      </w:r>
      <w:r w:rsidR="001B7D95" w:rsidRPr="001119F0">
        <w:rPr>
          <w:rFonts w:asciiTheme="majorHAnsi" w:hAnsiTheme="majorHAnsi" w:cstheme="majorHAnsi"/>
        </w:rPr>
        <w:t xml:space="preserve"> and</w:t>
      </w:r>
      <w:r w:rsidR="00B05968" w:rsidRPr="001119F0">
        <w:rPr>
          <w:rFonts w:asciiTheme="majorHAnsi" w:hAnsiTheme="majorHAnsi" w:cstheme="majorHAnsi"/>
        </w:rPr>
        <w:t xml:space="preserve"> in alternative care and day care settings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 </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52A881DD"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521973" w:rsidRPr="001119F0">
        <w:rPr>
          <w:rFonts w:asciiTheme="majorHAnsi" w:hAnsiTheme="majorHAnsi" w:cstheme="majorHAnsi"/>
          <w:iCs/>
        </w:rPr>
        <w:t>Cuba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521973" w:rsidRPr="001119F0">
        <w:rPr>
          <w:rFonts w:asciiTheme="majorHAnsi" w:hAnsiTheme="majorHAnsi" w:cstheme="majorHAnsi"/>
          <w:b/>
          <w:iCs/>
        </w:rPr>
        <w:t>progress is being made on the enactment of the new Family Code to repeal the provision for “adequate and moderate correction” and explicitly prohibit all corporal punishment of children</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465AE8CE"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521973" w:rsidRPr="001119F0">
        <w:rPr>
          <w:rFonts w:asciiTheme="majorHAnsi" w:hAnsiTheme="majorHAnsi" w:cstheme="majorHAnsi"/>
          <w:iCs/>
        </w:rPr>
        <w:t>Cuba</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040B524E"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21973" w:rsidRPr="001119F0">
        <w:rPr>
          <w:rFonts w:asciiTheme="majorHAnsi" w:hAnsiTheme="majorHAnsi" w:cstheme="majorHAnsi"/>
        </w:rPr>
        <w:t xml:space="preserve">Although </w:t>
      </w:r>
      <w:r w:rsidR="006C166A" w:rsidRPr="001119F0">
        <w:rPr>
          <w:rFonts w:asciiTheme="majorHAnsi" w:hAnsiTheme="majorHAnsi" w:cstheme="majorHAnsi"/>
        </w:rPr>
        <w:t xml:space="preserve">Cuba’s initial state report </w:t>
      </w:r>
      <w:r w:rsidR="009D4F36" w:rsidRPr="001119F0">
        <w:rPr>
          <w:rFonts w:asciiTheme="majorHAnsi" w:hAnsiTheme="majorHAnsi" w:cstheme="majorHAnsi"/>
        </w:rPr>
        <w:t>refers to the prohibition of corporal punishment in the penal system</w:t>
      </w:r>
      <w:r w:rsidR="00521973" w:rsidRPr="001119F0">
        <w:rPr>
          <w:rFonts w:asciiTheme="majorHAnsi" w:hAnsiTheme="majorHAnsi" w:cstheme="majorHAnsi"/>
        </w:rPr>
        <w:t>, it does not touch upon corporal punishment of children which is the most prevalent form of violence against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0852634"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68FFE5F9"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382A8F" w:rsidRPr="001119F0">
        <w:rPr>
          <w:rFonts w:asciiTheme="majorHAnsi" w:hAnsiTheme="majorHAnsi" w:cstheme="majorHAnsi"/>
          <w:sz w:val="26"/>
          <w:szCs w:val="26"/>
          <w:lang w:val="en-GB"/>
        </w:rPr>
        <w:t>Cuba</w:t>
      </w:r>
    </w:p>
    <w:p w14:paraId="610CF94D" w14:textId="37319AC3"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1B7D95" w:rsidRPr="001119F0">
        <w:rPr>
          <w:rFonts w:asciiTheme="majorHAnsi" w:hAnsiTheme="majorHAnsi" w:cstheme="majorHAnsi"/>
        </w:rPr>
        <w:t>Cuba</w:t>
      </w:r>
      <w:r w:rsidR="00126D81" w:rsidRPr="001119F0">
        <w:rPr>
          <w:rFonts w:asciiTheme="majorHAnsi" w:hAnsiTheme="majorHAnsi" w:cstheme="majorHAnsi"/>
        </w:rPr>
        <w:t>, c</w:t>
      </w:r>
      <w:r w:rsidR="007F7529" w:rsidRPr="001119F0">
        <w:rPr>
          <w:rFonts w:asciiTheme="majorHAnsi" w:hAnsiTheme="majorHAnsi" w:cstheme="majorHAnsi"/>
        </w:rPr>
        <w:t xml:space="preserve">orporal punishment of children is unlawful </w:t>
      </w:r>
      <w:r w:rsidR="00187327" w:rsidRPr="001119F0">
        <w:rPr>
          <w:rFonts w:asciiTheme="majorHAnsi" w:hAnsiTheme="majorHAnsi" w:cstheme="majorHAnsi"/>
        </w:rPr>
        <w:t xml:space="preserve">in schools and </w:t>
      </w:r>
      <w:r w:rsidR="001B7D95" w:rsidRPr="001119F0">
        <w:rPr>
          <w:rFonts w:asciiTheme="majorHAnsi" w:hAnsiTheme="majorHAnsi" w:cstheme="majorHAnsi"/>
        </w:rPr>
        <w:t>in the penal system</w:t>
      </w:r>
      <w:r w:rsidR="008730E0" w:rsidRPr="001119F0">
        <w:rPr>
          <w:rFonts w:asciiTheme="majorHAnsi" w:hAnsiTheme="majorHAnsi" w:cstheme="majorHAnsi"/>
        </w:rPr>
        <w:t>, but children with disabilities may lawfully be subject</w:t>
      </w:r>
      <w:r w:rsidRPr="001119F0">
        <w:rPr>
          <w:rFonts w:asciiTheme="majorHAnsi" w:hAnsiTheme="majorHAnsi" w:cstheme="majorHAnsi"/>
        </w:rPr>
        <w:t>ed</w:t>
      </w:r>
      <w:r w:rsidR="008730E0" w:rsidRPr="001119F0">
        <w:rPr>
          <w:rFonts w:asciiTheme="majorHAnsi" w:hAnsiTheme="majorHAnsi" w:cstheme="majorHAnsi"/>
        </w:rPr>
        <w:t xml:space="preserve"> to physical punishment in</w:t>
      </w:r>
      <w:r w:rsidR="00655927" w:rsidRPr="001119F0">
        <w:rPr>
          <w:rFonts w:asciiTheme="majorHAnsi" w:hAnsiTheme="majorHAnsi" w:cstheme="majorHAnsi"/>
        </w:rPr>
        <w:t xml:space="preserve"> </w:t>
      </w:r>
      <w:r w:rsidR="008730E0" w:rsidRPr="001119F0">
        <w:rPr>
          <w:rFonts w:asciiTheme="majorHAnsi" w:hAnsiTheme="majorHAnsi" w:cstheme="majorHAnsi"/>
        </w:rPr>
        <w:t>the home</w:t>
      </w:r>
      <w:r w:rsidR="001B7D95" w:rsidRPr="001119F0">
        <w:rPr>
          <w:rFonts w:asciiTheme="majorHAnsi" w:hAnsiTheme="majorHAnsi" w:cstheme="majorHAnsi"/>
        </w:rPr>
        <w:t xml:space="preserve"> and </w:t>
      </w:r>
      <w:r w:rsidR="00187327" w:rsidRPr="001119F0">
        <w:rPr>
          <w:rFonts w:asciiTheme="majorHAnsi" w:hAnsiTheme="majorHAnsi" w:cstheme="majorHAnsi"/>
        </w:rPr>
        <w:t>in</w:t>
      </w:r>
      <w:r w:rsidR="001B7D95" w:rsidRPr="001119F0">
        <w:rPr>
          <w:rFonts w:asciiTheme="majorHAnsi" w:hAnsiTheme="majorHAnsi" w:cstheme="majorHAnsi"/>
        </w:rPr>
        <w:t xml:space="preserve"> some</w:t>
      </w:r>
      <w:r w:rsidR="00187327" w:rsidRPr="001119F0">
        <w:rPr>
          <w:rFonts w:asciiTheme="majorHAnsi" w:hAnsiTheme="majorHAnsi" w:cstheme="majorHAnsi"/>
        </w:rPr>
        <w:t xml:space="preserve"> </w:t>
      </w:r>
      <w:r w:rsidR="008730E0" w:rsidRPr="001119F0">
        <w:rPr>
          <w:rFonts w:asciiTheme="majorHAnsi" w:hAnsiTheme="majorHAnsi" w:cstheme="majorHAnsi"/>
        </w:rPr>
        <w:t>alternative care</w:t>
      </w:r>
      <w:r w:rsidR="00187327" w:rsidRPr="001119F0">
        <w:rPr>
          <w:rFonts w:asciiTheme="majorHAnsi" w:hAnsiTheme="majorHAnsi" w:cstheme="majorHAnsi"/>
        </w:rPr>
        <w:t xml:space="preserve"> and</w:t>
      </w:r>
      <w:r w:rsidR="00126D81" w:rsidRPr="001119F0">
        <w:rPr>
          <w:rFonts w:asciiTheme="majorHAnsi" w:hAnsiTheme="majorHAnsi" w:cstheme="majorHAnsi"/>
        </w:rPr>
        <w:t xml:space="preserve"> </w:t>
      </w:r>
      <w:r w:rsidR="008730E0" w:rsidRPr="001119F0">
        <w:rPr>
          <w:rFonts w:asciiTheme="majorHAnsi" w:hAnsiTheme="majorHAnsi" w:cstheme="majorHAnsi"/>
        </w:rPr>
        <w:t>day care</w:t>
      </w:r>
      <w:r w:rsidR="00187327" w:rsidRPr="001119F0">
        <w:rPr>
          <w:rFonts w:asciiTheme="majorHAnsi" w:hAnsiTheme="majorHAnsi" w:cstheme="majorHAnsi"/>
        </w:rPr>
        <w:t xml:space="preserve"> settings</w:t>
      </w:r>
      <w:r w:rsidR="00591A1C" w:rsidRPr="001119F0">
        <w:rPr>
          <w:rFonts w:asciiTheme="majorHAnsi" w:hAnsiTheme="majorHAnsi" w:cstheme="majorHAnsi"/>
        </w:rPr>
        <w:t>.</w:t>
      </w:r>
      <w:r w:rsidR="001B7D95" w:rsidRPr="001119F0">
        <w:rPr>
          <w:rFonts w:asciiTheme="majorHAnsi" w:hAnsiTheme="majorHAnsi" w:cstheme="majorHAnsi"/>
        </w:rPr>
        <w:t xml:space="preserve"> Prohibition in institutions requires confirmation.</w:t>
      </w:r>
    </w:p>
    <w:p w14:paraId="1C7249EF" w14:textId="25716613" w:rsidR="00382A8F" w:rsidRPr="001119F0" w:rsidRDefault="00620321" w:rsidP="00382A8F">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9B471D" w:rsidRPr="001119F0">
        <w:rPr>
          <w:rFonts w:asciiTheme="majorHAnsi" w:hAnsiTheme="majorHAnsi" w:cstheme="majorHAnsi"/>
          <w:i/>
        </w:rPr>
        <w:t>.</w:t>
      </w:r>
      <w:r w:rsidR="00CB457A" w:rsidRPr="001119F0">
        <w:rPr>
          <w:rFonts w:asciiTheme="majorHAnsi" w:hAnsiTheme="majorHAnsi" w:cstheme="majorHAnsi"/>
          <w:iCs/>
        </w:rPr>
        <w:t xml:space="preserve"> </w:t>
      </w:r>
      <w:r w:rsidR="00382A8F" w:rsidRPr="001119F0">
        <w:rPr>
          <w:rFonts w:asciiTheme="majorHAnsi" w:hAnsiTheme="majorHAnsi" w:cstheme="majorHAnsi"/>
          <w:iCs/>
        </w:rPr>
        <w:t>The Family Code 1975 permits “adequate and moderate correction” of children by parents (art. 86) (unofficial translation): “Parents are empowered to reprimand and moderately and adequately correct children under their guardianship.” There is a similar provision in relation to guardians (art. 152): “All children under guardianship must give respect and obedience to the tutor. He/she will rebuke and correct them moderately.” Provisions against violence and abuse in the Family Code, the Criminal Code 1987, the Children and Youth Code and the Constitution do not include prohibition of all corporal punishment in childrearing. In 2011, in response to the recommendations on the issue by the Committee on the Rights of the Child,</w:t>
      </w:r>
      <w:r w:rsidR="00382A8F" w:rsidRPr="001119F0">
        <w:rPr>
          <w:rFonts w:asciiTheme="majorHAnsi" w:hAnsiTheme="majorHAnsi" w:cstheme="majorHAnsi"/>
          <w:iCs/>
          <w:vertAlign w:val="superscript"/>
        </w:rPr>
        <w:footnoteReference w:id="2"/>
      </w:r>
      <w:r w:rsidR="00382A8F" w:rsidRPr="001119F0">
        <w:rPr>
          <w:rFonts w:asciiTheme="majorHAnsi" w:hAnsiTheme="majorHAnsi" w:cstheme="majorHAnsi"/>
          <w:iCs/>
        </w:rPr>
        <w:t xml:space="preserve"> the Government asserted that “corporal punishment is not </w:t>
      </w:r>
      <w:r w:rsidR="00382A8F" w:rsidRPr="001119F0">
        <w:rPr>
          <w:rFonts w:asciiTheme="majorHAnsi" w:hAnsiTheme="majorHAnsi" w:cstheme="majorHAnsi"/>
          <w:iCs/>
        </w:rPr>
        <w:lastRenderedPageBreak/>
        <w:t>allowed in any law, or lower-ranking legal rules, or family practice, school or social institutions”.</w:t>
      </w:r>
      <w:r w:rsidR="00382A8F" w:rsidRPr="001119F0">
        <w:rPr>
          <w:rFonts w:asciiTheme="majorHAnsi" w:hAnsiTheme="majorHAnsi" w:cstheme="majorHAnsi"/>
          <w:iCs/>
          <w:vertAlign w:val="superscript"/>
        </w:rPr>
        <w:footnoteReference w:id="3"/>
      </w:r>
      <w:r w:rsidR="00382A8F" w:rsidRPr="001119F0">
        <w:rPr>
          <w:rFonts w:asciiTheme="majorHAnsi" w:hAnsiTheme="majorHAnsi" w:cstheme="majorHAnsi"/>
          <w:iCs/>
        </w:rPr>
        <w:t xml:space="preserve"> In fact, there is no explicit prohibition in current law of all corporal punishment in childrearing and it appears that the “right of correction” was still on the statute books.</w:t>
      </w:r>
      <w:r w:rsidR="00382A8F" w:rsidRPr="001119F0">
        <w:rPr>
          <w:rFonts w:asciiTheme="majorHAnsi" w:hAnsiTheme="majorHAnsi" w:cstheme="majorHAnsi"/>
          <w:iCs/>
          <w:vertAlign w:val="superscript"/>
        </w:rPr>
        <w:footnoteReference w:id="4"/>
      </w:r>
    </w:p>
    <w:p w14:paraId="7F5AC8FF" w14:textId="0902E767" w:rsidR="00382A8F" w:rsidRPr="001119F0" w:rsidRDefault="00382A8F" w:rsidP="00382A8F">
      <w:pPr>
        <w:autoSpaceDE w:val="0"/>
        <w:autoSpaceDN w:val="0"/>
        <w:adjustRightInd w:val="0"/>
        <w:spacing w:after="120"/>
        <w:rPr>
          <w:rFonts w:asciiTheme="majorHAnsi" w:hAnsiTheme="majorHAnsi" w:cstheme="majorHAnsi"/>
        </w:rPr>
      </w:pPr>
      <w:r w:rsidRPr="001119F0">
        <w:rPr>
          <w:rFonts w:asciiTheme="majorHAnsi" w:hAnsiTheme="majorHAnsi" w:cstheme="majorHAnsi"/>
        </w:rPr>
        <w:t>9</w:t>
      </w:r>
      <w:r w:rsidR="00620321" w:rsidRPr="001119F0">
        <w:rPr>
          <w:rFonts w:asciiTheme="majorHAnsi" w:hAnsiTheme="majorHAnsi" w:cstheme="majorHAnsi"/>
        </w:rPr>
        <w:t xml:space="preserve">. </w:t>
      </w:r>
      <w:r w:rsidR="00620321" w:rsidRPr="001119F0">
        <w:rPr>
          <w:rFonts w:asciiTheme="majorHAnsi" w:hAnsiTheme="majorHAnsi" w:cstheme="majorHAnsi"/>
          <w:i/>
        </w:rPr>
        <w:t>Corporal punishment is lawful in alternative care settings</w:t>
      </w:r>
      <w:r w:rsidRPr="001119F0">
        <w:rPr>
          <w:rFonts w:asciiTheme="majorHAnsi" w:hAnsiTheme="majorHAnsi" w:cstheme="majorHAnsi"/>
          <w:i/>
        </w:rPr>
        <w:t xml:space="preserve"> </w:t>
      </w:r>
      <w:r w:rsidRPr="001119F0">
        <w:rPr>
          <w:rFonts w:asciiTheme="majorHAnsi" w:hAnsiTheme="majorHAnsi" w:cstheme="majorHAnsi"/>
        </w:rPr>
        <w:t>under the right of correction of parents and guardians in articles 86 and 152 of the Family Code 1975. In 2011/2012 the Government stated to the Committee on the Rights of the Child that corporal punishment is prohibited in institutions but cited only the Resolution relating to education (see below).</w:t>
      </w:r>
      <w:r w:rsidRPr="001119F0">
        <w:rPr>
          <w:rFonts w:asciiTheme="majorHAnsi" w:hAnsiTheme="majorHAnsi" w:cstheme="majorHAnsi"/>
          <w:vertAlign w:val="superscript"/>
        </w:rPr>
        <w:footnoteReference w:id="5"/>
      </w:r>
    </w:p>
    <w:p w14:paraId="10700892" w14:textId="4E4BBE6A" w:rsidR="00382A8F" w:rsidRPr="001119F0" w:rsidRDefault="00D63AA6" w:rsidP="00382A8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382A8F" w:rsidRPr="001119F0">
        <w:rPr>
          <w:rFonts w:asciiTheme="majorHAnsi" w:hAnsiTheme="majorHAnsi" w:cstheme="majorHAnsi"/>
        </w:rPr>
        <w:t>0</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382A8F" w:rsidRPr="001119F0">
        <w:rPr>
          <w:rFonts w:asciiTheme="majorHAnsi" w:hAnsiTheme="majorHAnsi" w:cstheme="majorHAnsi"/>
          <w:i/>
        </w:rPr>
        <w:t xml:space="preserve"> </w:t>
      </w:r>
      <w:r w:rsidR="00382A8F" w:rsidRPr="001119F0">
        <w:rPr>
          <w:rFonts w:asciiTheme="majorHAnsi" w:hAnsiTheme="majorHAnsi" w:cstheme="majorHAnsi"/>
        </w:rPr>
        <w:t>under the right of correction of parents and guardians in articles 86 and 152 of the Family Code 1975. In 2011/2012 the Government stated to the Committee on the Rights of the Child that corporal punishment is prohibited in institutions but cited only the above mentioned Resolution relating to education.</w:t>
      </w:r>
      <w:r w:rsidR="00382A8F" w:rsidRPr="001119F0">
        <w:rPr>
          <w:rFonts w:asciiTheme="majorHAnsi" w:hAnsiTheme="majorHAnsi" w:cstheme="majorHAnsi"/>
          <w:vertAlign w:val="superscript"/>
        </w:rPr>
        <w:footnoteReference w:id="6"/>
      </w:r>
      <w:r w:rsidR="00382A8F" w:rsidRPr="001119F0">
        <w:rPr>
          <w:rFonts w:asciiTheme="majorHAnsi" w:hAnsiTheme="majorHAnsi" w:cstheme="majorHAnsi"/>
        </w:rPr>
        <w:t xml:space="preserve"> We have been unable to examine the text of this Resolution but any prohibition would presumably apply only to educational provision (preschools, etc) and not to all forms of early childhood care and day care for older children.</w:t>
      </w:r>
    </w:p>
    <w:p w14:paraId="36F583B5" w14:textId="16762CDE" w:rsidR="00382A8F" w:rsidRPr="001119F0" w:rsidRDefault="00D63AA6" w:rsidP="00382A8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1B7D95" w:rsidRPr="001119F0">
        <w:rPr>
          <w:rFonts w:asciiTheme="majorHAnsi" w:hAnsiTheme="majorHAnsi" w:cstheme="majorHAnsi"/>
        </w:rPr>
        <w:t>1</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187327" w:rsidRPr="001119F0">
        <w:rPr>
          <w:rFonts w:asciiTheme="majorHAnsi" w:hAnsiTheme="majorHAnsi" w:cstheme="majorHAnsi"/>
          <w:i/>
        </w:rPr>
        <w:t>un</w:t>
      </w:r>
      <w:r w:rsidRPr="001119F0">
        <w:rPr>
          <w:rFonts w:asciiTheme="majorHAnsi" w:hAnsiTheme="majorHAnsi" w:cstheme="majorHAnsi"/>
          <w:i/>
        </w:rPr>
        <w:t>lawful in schools</w:t>
      </w:r>
      <w:bookmarkEnd w:id="1"/>
      <w:bookmarkEnd w:id="2"/>
      <w:r w:rsidR="00CB457A" w:rsidRPr="001119F0">
        <w:rPr>
          <w:rFonts w:asciiTheme="majorHAnsi" w:hAnsiTheme="majorHAnsi" w:cstheme="majorHAnsi"/>
          <w:i/>
        </w:rPr>
        <w:t>.</w:t>
      </w:r>
      <w:r w:rsidR="004F7EF9" w:rsidRPr="001119F0">
        <w:rPr>
          <w:rFonts w:asciiTheme="majorHAnsi" w:hAnsiTheme="majorHAnsi" w:cstheme="majorHAnsi"/>
        </w:rPr>
        <w:t xml:space="preserve"> </w:t>
      </w:r>
      <w:r w:rsidR="00382A8F" w:rsidRPr="001119F0">
        <w:rPr>
          <w:rFonts w:asciiTheme="majorHAnsi" w:hAnsiTheme="majorHAnsi" w:cstheme="majorHAnsi"/>
        </w:rPr>
        <w:t>The Government has stated that corporal punishment is prohibited in schools, but we have yet to verify that prohibition is explicit. In commenting on recommendations issued in 2011 by the Committee on the Rights of the Child, the Government stated that Resolution 165/2006 of the Ministry of Education approving the Regulations on the discipline of work in educational activities (</w:t>
      </w:r>
      <w:r w:rsidR="00382A8F" w:rsidRPr="001119F0">
        <w:rPr>
          <w:rFonts w:asciiTheme="majorHAnsi" w:hAnsiTheme="majorHAnsi" w:cstheme="majorHAnsi"/>
          <w:bCs/>
        </w:rPr>
        <w:t>Resolución 165 de 2006 del Ministerio de Educación que aprueba el Reglamento Ramal de la disciplina del trabajo en la actividad educacional</w:t>
      </w:r>
      <w:r w:rsidR="00382A8F" w:rsidRPr="001119F0">
        <w:rPr>
          <w:rFonts w:asciiTheme="majorHAnsi" w:hAnsiTheme="majorHAnsi" w:cstheme="majorHAnsi"/>
        </w:rPr>
        <w:t>) prohibits corporal punishment in schools.</w:t>
      </w:r>
      <w:r w:rsidR="00382A8F" w:rsidRPr="001119F0">
        <w:rPr>
          <w:rFonts w:asciiTheme="majorHAnsi" w:hAnsiTheme="majorHAnsi" w:cstheme="majorHAnsi"/>
          <w:vertAlign w:val="superscript"/>
        </w:rPr>
        <w:footnoteReference w:id="7"/>
      </w:r>
    </w:p>
    <w:p w14:paraId="0E65CCC2" w14:textId="22C3E23F" w:rsidR="00382A8F" w:rsidRPr="001119F0" w:rsidRDefault="00D63AA6" w:rsidP="00382A8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1B7D95" w:rsidRPr="001119F0">
        <w:rPr>
          <w:rFonts w:asciiTheme="majorHAnsi" w:hAnsiTheme="majorHAnsi" w:cstheme="majorHAnsi"/>
        </w:rPr>
        <w:t>2</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1B7D95" w:rsidRPr="001119F0">
        <w:rPr>
          <w:rFonts w:asciiTheme="majorHAnsi" w:hAnsiTheme="majorHAnsi" w:cstheme="majorHAnsi"/>
          <w:i/>
        </w:rPr>
        <w:t>un</w:t>
      </w:r>
      <w:r w:rsidR="00CB457A" w:rsidRPr="001119F0">
        <w:rPr>
          <w:rFonts w:asciiTheme="majorHAnsi" w:hAnsiTheme="majorHAnsi" w:cstheme="majorHAnsi"/>
          <w:i/>
        </w:rPr>
        <w:t>l</w:t>
      </w:r>
      <w:r w:rsidRPr="001119F0">
        <w:rPr>
          <w:rFonts w:asciiTheme="majorHAnsi" w:hAnsiTheme="majorHAnsi" w:cstheme="majorHAnsi"/>
          <w:i/>
        </w:rPr>
        <w:t>awful as a disciplinary measure in penal institutions</w:t>
      </w:r>
      <w:r w:rsidR="00382A8F" w:rsidRPr="001119F0">
        <w:rPr>
          <w:rFonts w:asciiTheme="majorHAnsi" w:hAnsiTheme="majorHAnsi" w:cstheme="majorHAnsi"/>
        </w:rPr>
        <w:t xml:space="preserve"> under article 6 of the prison regulation. Article 30(11) of the Criminal Code 1987 states that “those sanctioned may not be subjected to corporal punishment, nor is it admissible to employ against them any measure entailing humiliation or a loss of dignity”.</w:t>
      </w:r>
    </w:p>
    <w:p w14:paraId="79BD505B" w14:textId="1E9F6A09" w:rsidR="00382A8F" w:rsidRPr="001119F0" w:rsidRDefault="00D63AA6" w:rsidP="00382A8F">
      <w:pPr>
        <w:spacing w:after="120"/>
        <w:rPr>
          <w:rFonts w:asciiTheme="majorHAnsi" w:hAnsiTheme="majorHAnsi" w:cstheme="majorHAnsi"/>
        </w:rPr>
      </w:pPr>
      <w:r w:rsidRPr="001119F0">
        <w:rPr>
          <w:rFonts w:asciiTheme="majorHAnsi" w:hAnsiTheme="majorHAnsi" w:cstheme="majorHAnsi"/>
        </w:rPr>
        <w:t>1</w:t>
      </w:r>
      <w:r w:rsidR="001B7D95" w:rsidRPr="001119F0">
        <w:rPr>
          <w:rFonts w:asciiTheme="majorHAnsi" w:hAnsiTheme="majorHAnsi" w:cstheme="majorHAnsi"/>
        </w:rPr>
        <w:t>3</w:t>
      </w:r>
      <w:r w:rsidRPr="001119F0">
        <w:rPr>
          <w:rFonts w:asciiTheme="majorHAnsi" w:hAnsiTheme="majorHAnsi" w:cstheme="majorHAnsi"/>
        </w:rPr>
        <w:t xml:space="preserve">. </w:t>
      </w:r>
      <w:r w:rsidRPr="001119F0">
        <w:rPr>
          <w:rFonts w:asciiTheme="majorHAnsi" w:hAnsiTheme="majorHAnsi" w:cstheme="majorHAnsi"/>
          <w:i/>
        </w:rPr>
        <w:t>Corporal punishment is unlawful as a sentence for crime</w:t>
      </w:r>
      <w:r w:rsidR="001B7D95" w:rsidRPr="001119F0">
        <w:rPr>
          <w:rFonts w:asciiTheme="majorHAnsi" w:hAnsiTheme="majorHAnsi" w:cstheme="majorHAnsi"/>
          <w:i/>
        </w:rPr>
        <w:t xml:space="preserve"> </w:t>
      </w:r>
      <w:r w:rsidR="00382A8F" w:rsidRPr="001119F0">
        <w:rPr>
          <w:rFonts w:asciiTheme="majorHAnsi" w:hAnsiTheme="majorHAnsi" w:cstheme="majorHAnsi"/>
        </w:rPr>
        <w:t xml:space="preserve">under article 30(11) of the Criminal Code 1987 (see </w:t>
      </w:r>
      <w:r w:rsidR="001B7D95" w:rsidRPr="001119F0">
        <w:rPr>
          <w:rFonts w:asciiTheme="majorHAnsi" w:hAnsiTheme="majorHAnsi" w:cstheme="majorHAnsi"/>
        </w:rPr>
        <w:t>above</w:t>
      </w:r>
      <w:r w:rsidR="00382A8F" w:rsidRPr="001119F0">
        <w:rPr>
          <w:rFonts w:asciiTheme="majorHAnsi" w:hAnsiTheme="majorHAnsi" w:cstheme="majorHAnsi"/>
        </w:rPr>
        <w:t>).</w:t>
      </w:r>
    </w:p>
    <w:p w14:paraId="74BA0710" w14:textId="2A83A278" w:rsidR="00382A8F" w:rsidRPr="001119F0" w:rsidRDefault="00382A8F" w:rsidP="00382A8F">
      <w:pPr>
        <w:autoSpaceDE w:val="0"/>
        <w:autoSpaceDN w:val="0"/>
        <w:adjustRightInd w:val="0"/>
        <w:spacing w:after="120"/>
        <w:rPr>
          <w:rFonts w:asciiTheme="majorHAnsi" w:hAnsiTheme="majorHAnsi" w:cstheme="majorHAnsi"/>
          <w:iCs/>
        </w:rPr>
      </w:pPr>
      <w:r w:rsidRPr="001119F0">
        <w:rPr>
          <w:rFonts w:asciiTheme="majorHAnsi" w:hAnsiTheme="majorHAnsi" w:cstheme="majorHAnsi"/>
        </w:rPr>
        <w:t>1</w:t>
      </w:r>
      <w:r w:rsidR="001B7D95" w:rsidRPr="001119F0">
        <w:rPr>
          <w:rFonts w:asciiTheme="majorHAnsi" w:hAnsiTheme="majorHAnsi" w:cstheme="majorHAnsi"/>
        </w:rPr>
        <w:t>4</w:t>
      </w:r>
      <w:r w:rsidRPr="001119F0">
        <w:rPr>
          <w:rFonts w:asciiTheme="majorHAnsi" w:hAnsiTheme="majorHAnsi" w:cstheme="majorHAnsi"/>
        </w:rPr>
        <w:t xml:space="preserve">. </w:t>
      </w:r>
      <w:r w:rsidRPr="001119F0">
        <w:rPr>
          <w:rFonts w:asciiTheme="majorHAnsi" w:hAnsiTheme="majorHAnsi" w:cstheme="majorHAnsi"/>
          <w:i/>
        </w:rPr>
        <w:t>Opportunities for law reform.</w:t>
      </w:r>
      <w:r w:rsidRPr="001119F0">
        <w:rPr>
          <w:rFonts w:asciiTheme="majorHAnsi" w:hAnsiTheme="majorHAnsi" w:cstheme="majorHAnsi"/>
        </w:rPr>
        <w:t xml:space="preserve"> </w:t>
      </w:r>
      <w:r w:rsidRPr="001119F0">
        <w:rPr>
          <w:rFonts w:asciiTheme="majorHAnsi" w:hAnsiTheme="majorHAnsi" w:cstheme="majorHAnsi"/>
          <w:iCs/>
        </w:rPr>
        <w:t>The Government has indicated its commitment to prohibiting all corporal punishment of children. In 2011, the Government reported that a draft new Family Code was under discussion that would remove the provision for “adequate and moderate correction”.</w:t>
      </w:r>
      <w:r w:rsidRPr="001119F0">
        <w:rPr>
          <w:rFonts w:asciiTheme="majorHAnsi" w:hAnsiTheme="majorHAnsi" w:cstheme="majorHAnsi"/>
          <w:iCs/>
          <w:vertAlign w:val="superscript"/>
        </w:rPr>
        <w:footnoteReference w:id="8"/>
      </w:r>
      <w:r w:rsidRPr="001119F0">
        <w:rPr>
          <w:rFonts w:asciiTheme="majorHAnsi" w:hAnsiTheme="majorHAnsi" w:cstheme="majorHAnsi"/>
          <w:iCs/>
        </w:rPr>
        <w:t xml:space="preserve"> In the same year, the Regional Roadmap on Violence against Children was adopted by the Central American Governments of Cuba, Mexico and the Dominican Republic: it includes a recommendation to adopt national legislation to explicitly prohibit all corporal punishment and to repeal provisions allowing for “moderate” punishment/correction.</w:t>
      </w:r>
      <w:r w:rsidRPr="001119F0">
        <w:rPr>
          <w:rFonts w:asciiTheme="majorHAnsi" w:hAnsiTheme="majorHAnsi" w:cstheme="majorHAnsi"/>
          <w:iCs/>
          <w:vertAlign w:val="superscript"/>
        </w:rPr>
        <w:footnoteReference w:id="9"/>
      </w:r>
      <w:r w:rsidRPr="001119F0">
        <w:rPr>
          <w:rFonts w:asciiTheme="majorHAnsi" w:hAnsiTheme="majorHAnsi" w:cstheme="majorHAnsi"/>
          <w:iCs/>
        </w:rPr>
        <w:t xml:space="preserve"> </w:t>
      </w:r>
    </w:p>
    <w:p w14:paraId="6327BBC2" w14:textId="77777777" w:rsidR="004F7EF9" w:rsidRPr="001119F0" w:rsidRDefault="004F7EF9" w:rsidP="001947F2">
      <w:pPr>
        <w:spacing w:after="120"/>
        <w:rPr>
          <w:rFonts w:asciiTheme="majorHAnsi" w:hAnsiTheme="majorHAnsi" w:cstheme="majorHAnsi"/>
        </w:rPr>
      </w:pPr>
    </w:p>
    <w:p w14:paraId="0632C366" w14:textId="3D28B869" w:rsidR="007F7529" w:rsidRPr="001119F0" w:rsidRDefault="007F7529" w:rsidP="007F7529">
      <w:pPr>
        <w:pStyle w:val="Heading2"/>
        <w:spacing w:after="120"/>
        <w:rPr>
          <w:rFonts w:asciiTheme="majorHAnsi" w:hAnsiTheme="majorHAnsi" w:cstheme="majorHAnsi"/>
          <w:b w:val="0"/>
          <w:sz w:val="26"/>
          <w:szCs w:val="26"/>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p>
    <w:p w14:paraId="01D6FB49" w14:textId="7FC0502C" w:rsidR="00F67CC5" w:rsidRPr="001119F0" w:rsidRDefault="00F67CC5" w:rsidP="00F67CC5">
      <w:pPr>
        <w:spacing w:after="240"/>
        <w:rPr>
          <w:rFonts w:asciiTheme="majorHAnsi" w:hAnsiTheme="majorHAnsi" w:cstheme="majorHAnsi"/>
          <w:bCs/>
        </w:rPr>
      </w:pPr>
      <w:r w:rsidRPr="001119F0">
        <w:rPr>
          <w:rFonts w:asciiTheme="majorHAnsi" w:hAnsiTheme="majorHAnsi" w:cstheme="majorHAnsi"/>
        </w:rPr>
        <w:t>1</w:t>
      </w:r>
      <w:r w:rsidR="00126D81" w:rsidRPr="001119F0">
        <w:rPr>
          <w:rFonts w:asciiTheme="majorHAnsi" w:hAnsiTheme="majorHAnsi" w:cstheme="majorHAnsi"/>
        </w:rPr>
        <w:t>5</w:t>
      </w:r>
      <w:r w:rsidRPr="001119F0">
        <w:rPr>
          <w:rFonts w:asciiTheme="majorHAnsi" w:hAnsiTheme="majorHAnsi" w:cstheme="majorHAnsi"/>
        </w:rPr>
        <w:t xml:space="preserve">. </w:t>
      </w:r>
      <w:r w:rsidR="001B7D95" w:rsidRPr="001119F0">
        <w:rPr>
          <w:rFonts w:asciiTheme="majorHAnsi" w:hAnsiTheme="majorHAnsi" w:cstheme="majorHAnsi"/>
          <w:bCs/>
        </w:rPr>
        <w:t xml:space="preserve">In 1997, the </w:t>
      </w:r>
      <w:r w:rsidR="001B7D95" w:rsidRPr="001119F0">
        <w:rPr>
          <w:rFonts w:asciiTheme="majorHAnsi" w:hAnsiTheme="majorHAnsi" w:cstheme="majorHAnsi"/>
          <w:bCs/>
          <w:i/>
        </w:rPr>
        <w:t>Committee on the Rights of the Child</w:t>
      </w:r>
      <w:r w:rsidR="001B7D95" w:rsidRPr="001119F0">
        <w:rPr>
          <w:rFonts w:asciiTheme="majorHAnsi" w:hAnsiTheme="majorHAnsi" w:cstheme="majorHAnsi"/>
          <w:bCs/>
        </w:rPr>
        <w:t xml:space="preserve"> expressed concern with the insufficient child protection system in Cuba and recommended the development of a widespread public information campaign for the prevention of corporal punishment of children.</w:t>
      </w:r>
      <w:r w:rsidR="001B7D95" w:rsidRPr="001119F0">
        <w:rPr>
          <w:rFonts w:asciiTheme="majorHAnsi" w:hAnsiTheme="majorHAnsi" w:cstheme="majorHAnsi"/>
          <w:bCs/>
          <w:vertAlign w:val="superscript"/>
        </w:rPr>
        <w:footnoteReference w:id="10"/>
      </w:r>
      <w:r w:rsidR="001B7D95" w:rsidRPr="001119F0">
        <w:rPr>
          <w:rFonts w:asciiTheme="majorHAnsi" w:hAnsiTheme="majorHAnsi" w:cstheme="majorHAnsi"/>
          <w:bCs/>
        </w:rPr>
        <w:t xml:space="preserve"> Then in 2011, it recommended the explicit prohibition of corporal punishment, urging Cuba to prioritise the adoption of the draft Family Code.</w:t>
      </w:r>
      <w:r w:rsidR="001B7D95" w:rsidRPr="001119F0">
        <w:rPr>
          <w:rFonts w:asciiTheme="majorHAnsi" w:hAnsiTheme="majorHAnsi" w:cstheme="majorHAnsi"/>
          <w:bCs/>
          <w:vertAlign w:val="superscript"/>
        </w:rPr>
        <w:footnoteReference w:id="11"/>
      </w:r>
    </w:p>
    <w:p w14:paraId="2F72CECD" w14:textId="72B697C4" w:rsidR="00F67CC5" w:rsidRPr="001119F0" w:rsidRDefault="00F67CC5" w:rsidP="00F67CC5">
      <w:pPr>
        <w:spacing w:after="240"/>
        <w:rPr>
          <w:rFonts w:asciiTheme="majorHAnsi" w:hAnsiTheme="majorHAnsi" w:cstheme="majorHAnsi"/>
          <w:bCs/>
        </w:rPr>
      </w:pPr>
    </w:p>
    <w:p w14:paraId="5C2DD584" w14:textId="77777777" w:rsidR="00F67CC5" w:rsidRPr="001119F0" w:rsidRDefault="00F67CC5" w:rsidP="00F67CC5">
      <w:pPr>
        <w:rPr>
          <w:rFonts w:asciiTheme="majorHAnsi" w:hAnsiTheme="majorHAnsi" w:cstheme="majorHAnsi"/>
        </w:rPr>
      </w:pPr>
    </w:p>
    <w:p w14:paraId="73A734C1" w14:textId="77777777"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4B0E95" w:rsidP="007A21C3">
      <w:pPr>
        <w:rPr>
          <w:rFonts w:asciiTheme="majorHAnsi" w:hAnsiTheme="majorHAnsi" w:cstheme="majorHAnsi"/>
          <w:i/>
          <w:iCs/>
        </w:rPr>
      </w:pPr>
      <w:hyperlink r:id="rId14" w:history="1">
        <w:r w:rsidR="009C24BF" w:rsidRPr="001119F0">
          <w:rPr>
            <w:rStyle w:val="Hyperlink"/>
            <w:rFonts w:asciiTheme="majorHAnsi" w:hAnsiTheme="majorHAnsi" w:cstheme="majorHAnsi"/>
            <w:i/>
            <w:iCs/>
          </w:rPr>
          <w:t>www.endcorporalpunishment.org</w:t>
        </w:r>
      </w:hyperlink>
      <w:r w:rsidR="009C24BF" w:rsidRPr="001119F0">
        <w:rPr>
          <w:rFonts w:asciiTheme="majorHAnsi" w:hAnsiTheme="majorHAnsi" w:cstheme="majorHAnsi"/>
          <w:i/>
          <w:iCs/>
        </w:rPr>
        <w:t xml:space="preserve">; </w:t>
      </w:r>
      <w:hyperlink r:id="rId15" w:history="1">
        <w:r w:rsidR="009C24BF" w:rsidRPr="001119F0">
          <w:rPr>
            <w:rStyle w:val="Hyperlink"/>
            <w:rFonts w:asciiTheme="majorHAnsi" w:hAnsiTheme="majorHAnsi" w:cstheme="majorHAnsi"/>
            <w:i/>
            <w:iCs/>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38F33712"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4B0E95">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1119F0" w:rsidRDefault="007F7529" w:rsidP="007F7529">
      <w:pPr>
        <w:pStyle w:val="FootnoteText"/>
        <w:rPr>
          <w:rFonts w:asciiTheme="majorHAnsi" w:hAnsiTheme="majorHAnsi" w:cstheme="majorHAnsi"/>
        </w:rPr>
      </w:pPr>
      <w:r w:rsidRPr="001119F0">
        <w:rPr>
          <w:rStyle w:val="FootnoteReference"/>
          <w:rFonts w:asciiTheme="majorHAnsi" w:hAnsiTheme="majorHAnsi" w:cstheme="majorHAnsi"/>
        </w:rPr>
        <w:footnoteRef/>
      </w:r>
      <w:r w:rsidRPr="001119F0">
        <w:rPr>
          <w:rFonts w:asciiTheme="majorHAnsi" w:hAnsiTheme="majorHAnsi" w:cstheme="majorHAnsi"/>
        </w:rPr>
        <w:t xml:space="preserve"> Pinheiro, P. S. (2006), </w:t>
      </w:r>
      <w:r w:rsidRPr="001119F0">
        <w:rPr>
          <w:rFonts w:asciiTheme="majorHAnsi" w:hAnsiTheme="majorHAnsi" w:cstheme="majorHAnsi"/>
          <w:i/>
        </w:rPr>
        <w:t>World Report on Violence against Children</w:t>
      </w:r>
      <w:r w:rsidRPr="001119F0">
        <w:rPr>
          <w:rFonts w:asciiTheme="majorHAnsi" w:hAnsiTheme="majorHAnsi" w:cstheme="majorHAnsi"/>
        </w:rPr>
        <w:t>, Geneva: United Nations. See also Krug E. G. et al (eds) (2002),</w:t>
      </w:r>
      <w:r w:rsidRPr="001119F0">
        <w:rPr>
          <w:rFonts w:asciiTheme="majorHAnsi" w:hAnsiTheme="majorHAnsi" w:cstheme="majorHAnsi"/>
          <w:i/>
          <w:iCs/>
        </w:rPr>
        <w:t xml:space="preserve"> World Report on Violence and Health, </w:t>
      </w:r>
      <w:r w:rsidRPr="001119F0">
        <w:rPr>
          <w:rFonts w:asciiTheme="majorHAnsi" w:hAnsiTheme="majorHAnsi" w:cstheme="majorHAnsi"/>
        </w:rPr>
        <w:t>Geneva: World Health Organisation</w:t>
      </w:r>
    </w:p>
  </w:footnote>
  <w:footnote w:id="2">
    <w:p w14:paraId="5EDBFF05" w14:textId="77777777" w:rsidR="00382A8F" w:rsidRPr="001119F0" w:rsidRDefault="00382A8F" w:rsidP="00382A8F">
      <w:pPr>
        <w:pStyle w:val="FootnoteText"/>
        <w:rPr>
          <w:rFonts w:asciiTheme="majorHAnsi" w:hAnsiTheme="majorHAnsi" w:cstheme="majorHAnsi"/>
          <w:lang w:val="fr-FR"/>
        </w:rPr>
      </w:pPr>
      <w:r w:rsidRPr="001119F0">
        <w:rPr>
          <w:rStyle w:val="FootnoteReference"/>
          <w:rFonts w:asciiTheme="majorHAnsi" w:hAnsiTheme="majorHAnsi" w:cstheme="majorHAnsi"/>
        </w:rPr>
        <w:footnoteRef/>
      </w:r>
      <w:r w:rsidRPr="001119F0">
        <w:rPr>
          <w:rFonts w:asciiTheme="majorHAnsi" w:hAnsiTheme="majorHAnsi" w:cstheme="majorHAnsi"/>
        </w:rPr>
        <w:t xml:space="preserve"> </w:t>
      </w:r>
      <w:r w:rsidRPr="001119F0">
        <w:rPr>
          <w:rFonts w:asciiTheme="majorHAnsi" w:hAnsiTheme="majorHAnsi" w:cstheme="majorHAnsi"/>
          <w:lang w:val="en-US"/>
        </w:rPr>
        <w:t xml:space="preserve">20 June 2011, CRC/C/CUB/CO/2 Advance Unedited Version, Concluding observations on second report, paras. </w:t>
      </w:r>
      <w:r w:rsidRPr="001119F0">
        <w:rPr>
          <w:rFonts w:asciiTheme="majorHAnsi" w:hAnsiTheme="majorHAnsi" w:cstheme="majorHAnsi"/>
          <w:lang w:val="fr-FR"/>
        </w:rPr>
        <w:t>36 and 37</w:t>
      </w:r>
    </w:p>
  </w:footnote>
  <w:footnote w:id="3">
    <w:p w14:paraId="38D33EE7" w14:textId="77777777" w:rsidR="00382A8F" w:rsidRPr="001119F0" w:rsidRDefault="00382A8F" w:rsidP="00382A8F">
      <w:pPr>
        <w:pStyle w:val="FootnoteText"/>
        <w:rPr>
          <w:rFonts w:asciiTheme="majorHAnsi" w:hAnsiTheme="majorHAnsi" w:cstheme="majorHAnsi"/>
          <w:lang w:val="fr-FR"/>
        </w:rPr>
      </w:pPr>
      <w:r w:rsidRPr="001119F0">
        <w:rPr>
          <w:rStyle w:val="FootnoteReference"/>
          <w:rFonts w:asciiTheme="majorHAnsi" w:hAnsiTheme="majorHAnsi" w:cstheme="majorHAnsi"/>
        </w:rPr>
        <w:footnoteRef/>
      </w:r>
      <w:r w:rsidRPr="001119F0">
        <w:rPr>
          <w:rFonts w:asciiTheme="majorHAnsi" w:hAnsiTheme="majorHAnsi" w:cstheme="majorHAnsi"/>
          <w:lang w:val="fr-FR"/>
        </w:rPr>
        <w:t xml:space="preserve"> Opiniones del Gobierno de la República de Cuba sobre el documento CRC/C/CUB/CO/2 contentivo de las Observaciones finales del Comité de los Derechos del Niño sobre el segundo Informe periódico de Cuba (?2011), pp. 7-8</w:t>
      </w:r>
    </w:p>
  </w:footnote>
  <w:footnote w:id="4">
    <w:p w14:paraId="1B2106D3" w14:textId="77777777" w:rsidR="00382A8F" w:rsidRPr="001119F0" w:rsidRDefault="00382A8F" w:rsidP="00382A8F">
      <w:pPr>
        <w:pStyle w:val="FootnoteText"/>
        <w:rPr>
          <w:rFonts w:asciiTheme="majorHAnsi" w:hAnsiTheme="majorHAnsi" w:cstheme="majorHAnsi"/>
        </w:rPr>
      </w:pPr>
      <w:r w:rsidRPr="001119F0">
        <w:rPr>
          <w:rStyle w:val="FootnoteReference"/>
          <w:rFonts w:asciiTheme="majorHAnsi" w:hAnsiTheme="majorHAnsi" w:cstheme="majorHAnsi"/>
        </w:rPr>
        <w:footnoteRef/>
      </w:r>
      <w:r w:rsidRPr="001119F0">
        <w:rPr>
          <w:rFonts w:asciiTheme="majorHAnsi" w:hAnsiTheme="majorHAnsi" w:cstheme="majorHAnsi"/>
        </w:rPr>
        <w:t xml:space="preserve"> </w:t>
      </w:r>
      <w:hyperlink r:id="rId1" w:anchor="T2" w:history="1">
        <w:r w:rsidRPr="001119F0">
          <w:rPr>
            <w:rStyle w:val="Hyperlink"/>
            <w:rFonts w:asciiTheme="majorHAnsi" w:hAnsiTheme="majorHAnsi" w:cstheme="majorHAnsi"/>
          </w:rPr>
          <w:t>http://www.gacetaoficial.cu/html/codigo%20de%20lafamilia.html#T2</w:t>
        </w:r>
      </w:hyperlink>
      <w:r w:rsidRPr="001119F0">
        <w:rPr>
          <w:rFonts w:asciiTheme="majorHAnsi" w:hAnsiTheme="majorHAnsi" w:cstheme="majorHAnsi"/>
        </w:rPr>
        <w:t>, accessed 28 March 2014</w:t>
      </w:r>
    </w:p>
  </w:footnote>
  <w:footnote w:id="5">
    <w:p w14:paraId="58DDD3C0" w14:textId="77777777" w:rsidR="00382A8F" w:rsidRPr="001119F0" w:rsidRDefault="00382A8F" w:rsidP="00382A8F">
      <w:pPr>
        <w:pStyle w:val="FootnoteText"/>
        <w:rPr>
          <w:rFonts w:asciiTheme="majorHAnsi" w:hAnsiTheme="majorHAnsi" w:cstheme="majorHAnsi"/>
          <w:lang w:val="en-US"/>
        </w:rPr>
      </w:pPr>
      <w:r w:rsidRPr="001119F0">
        <w:rPr>
          <w:rStyle w:val="FootnoteReference"/>
          <w:rFonts w:asciiTheme="majorHAnsi" w:hAnsiTheme="majorHAnsi" w:cstheme="majorHAnsi"/>
        </w:rPr>
        <w:footnoteRef/>
      </w:r>
      <w:r w:rsidRPr="001119F0">
        <w:rPr>
          <w:rFonts w:asciiTheme="majorHAnsi" w:hAnsiTheme="majorHAnsi" w:cstheme="majorHAnsi"/>
        </w:rPr>
        <w:t xml:space="preserve"> </w:t>
      </w:r>
      <w:hyperlink r:id="rId2" w:anchor="T2" w:history="1">
        <w:r w:rsidRPr="001119F0">
          <w:rPr>
            <w:rStyle w:val="Hyperlink"/>
            <w:rFonts w:asciiTheme="majorHAnsi" w:hAnsiTheme="majorHAnsi" w:cstheme="majorHAnsi"/>
          </w:rPr>
          <w:t>http://www.gacetaoficial.cu/html/codigo%20de%20lafamilia.html#T2</w:t>
        </w:r>
      </w:hyperlink>
      <w:r w:rsidRPr="001119F0">
        <w:rPr>
          <w:rFonts w:asciiTheme="majorHAnsi" w:hAnsiTheme="majorHAnsi" w:cstheme="majorHAnsi"/>
        </w:rPr>
        <w:t>, accessed 28 March 2014</w:t>
      </w:r>
    </w:p>
  </w:footnote>
  <w:footnote w:id="6">
    <w:p w14:paraId="35058E80" w14:textId="77777777" w:rsidR="00382A8F" w:rsidRPr="001119F0" w:rsidRDefault="00382A8F" w:rsidP="00382A8F">
      <w:pPr>
        <w:pStyle w:val="FootnoteText"/>
        <w:rPr>
          <w:rFonts w:asciiTheme="majorHAnsi" w:hAnsiTheme="majorHAnsi" w:cstheme="majorHAnsi"/>
          <w:lang w:val="en-US"/>
        </w:rPr>
      </w:pPr>
      <w:r w:rsidRPr="001119F0">
        <w:rPr>
          <w:rStyle w:val="FootnoteReference"/>
          <w:rFonts w:asciiTheme="majorHAnsi" w:hAnsiTheme="majorHAnsi" w:cstheme="majorHAnsi"/>
        </w:rPr>
        <w:footnoteRef/>
      </w:r>
      <w:r w:rsidRPr="001119F0">
        <w:rPr>
          <w:rFonts w:asciiTheme="majorHAnsi" w:hAnsiTheme="majorHAnsi" w:cstheme="majorHAnsi"/>
        </w:rPr>
        <w:t xml:space="preserve"> </w:t>
      </w:r>
      <w:hyperlink r:id="rId3" w:anchor="T2" w:history="1">
        <w:r w:rsidRPr="001119F0">
          <w:rPr>
            <w:rStyle w:val="Hyperlink"/>
            <w:rFonts w:asciiTheme="majorHAnsi" w:hAnsiTheme="majorHAnsi" w:cstheme="majorHAnsi"/>
          </w:rPr>
          <w:t>http://www.gacetaoficial.cu/html/codigo%20de%20lafamilia.html#T2</w:t>
        </w:r>
      </w:hyperlink>
      <w:r w:rsidRPr="001119F0">
        <w:rPr>
          <w:rFonts w:asciiTheme="majorHAnsi" w:hAnsiTheme="majorHAnsi" w:cstheme="majorHAnsi"/>
        </w:rPr>
        <w:t>, accessed 28 March 2014</w:t>
      </w:r>
    </w:p>
  </w:footnote>
  <w:footnote w:id="7">
    <w:p w14:paraId="03CA97A4" w14:textId="77777777" w:rsidR="00382A8F" w:rsidRPr="001119F0" w:rsidRDefault="00382A8F" w:rsidP="00382A8F">
      <w:pPr>
        <w:pStyle w:val="FootnoteText"/>
        <w:rPr>
          <w:rFonts w:asciiTheme="majorHAnsi" w:hAnsiTheme="majorHAnsi" w:cstheme="majorHAnsi"/>
          <w:lang w:val="en-US"/>
        </w:rPr>
      </w:pPr>
      <w:r w:rsidRPr="001119F0">
        <w:rPr>
          <w:rStyle w:val="FootnoteReference"/>
          <w:rFonts w:asciiTheme="majorHAnsi" w:hAnsiTheme="majorHAnsi" w:cstheme="majorHAnsi"/>
        </w:rPr>
        <w:footnoteRef/>
      </w:r>
      <w:r w:rsidRPr="001119F0">
        <w:rPr>
          <w:rFonts w:asciiTheme="majorHAnsi" w:hAnsiTheme="majorHAnsi" w:cstheme="majorHAnsi"/>
        </w:rPr>
        <w:t xml:space="preserve"> </w:t>
      </w:r>
      <w:hyperlink r:id="rId4" w:anchor="T2" w:history="1">
        <w:r w:rsidRPr="001119F0">
          <w:rPr>
            <w:rStyle w:val="Hyperlink"/>
            <w:rFonts w:asciiTheme="majorHAnsi" w:hAnsiTheme="majorHAnsi" w:cstheme="majorHAnsi"/>
          </w:rPr>
          <w:t>http://www.gacetaoficial.cu/html/codigo%20de%20lafamilia.html#T2</w:t>
        </w:r>
      </w:hyperlink>
      <w:r w:rsidRPr="001119F0">
        <w:rPr>
          <w:rFonts w:asciiTheme="majorHAnsi" w:hAnsiTheme="majorHAnsi" w:cstheme="majorHAnsi"/>
        </w:rPr>
        <w:t>, accessed 28 March 2014</w:t>
      </w:r>
    </w:p>
  </w:footnote>
  <w:footnote w:id="8">
    <w:p w14:paraId="1FADF583" w14:textId="77777777" w:rsidR="00382A8F" w:rsidRPr="001119F0" w:rsidRDefault="00382A8F" w:rsidP="00382A8F">
      <w:pPr>
        <w:pStyle w:val="FootnoteText"/>
        <w:rPr>
          <w:rFonts w:asciiTheme="majorHAnsi" w:hAnsiTheme="majorHAnsi" w:cstheme="majorHAnsi"/>
          <w:lang w:val="en-US"/>
        </w:rPr>
      </w:pPr>
      <w:r w:rsidRPr="001119F0">
        <w:rPr>
          <w:rStyle w:val="FootnoteReference"/>
          <w:rFonts w:asciiTheme="majorHAnsi" w:hAnsiTheme="majorHAnsi" w:cstheme="majorHAnsi"/>
        </w:rPr>
        <w:footnoteRef/>
      </w:r>
      <w:r w:rsidRPr="001119F0">
        <w:rPr>
          <w:rFonts w:asciiTheme="majorHAnsi" w:hAnsiTheme="majorHAnsi" w:cstheme="majorHAnsi"/>
        </w:rPr>
        <w:t xml:space="preserve"> 27 April 2011, CRC/C/CUB/Q/2/Add.1, Written replies to the Committee on the Rights of the Child, para. 36</w:t>
      </w:r>
    </w:p>
  </w:footnote>
  <w:footnote w:id="9">
    <w:p w14:paraId="6FB07070" w14:textId="77777777" w:rsidR="00382A8F" w:rsidRPr="001119F0" w:rsidRDefault="00382A8F" w:rsidP="00382A8F">
      <w:pPr>
        <w:rPr>
          <w:rFonts w:asciiTheme="majorHAnsi" w:hAnsiTheme="majorHAnsi" w:cstheme="majorHAnsi"/>
          <w:sz w:val="20"/>
          <w:szCs w:val="20"/>
        </w:rPr>
      </w:pPr>
      <w:r w:rsidRPr="001119F0">
        <w:rPr>
          <w:rStyle w:val="FootnoteReference"/>
          <w:rFonts w:asciiTheme="majorHAnsi" w:hAnsiTheme="majorHAnsi" w:cstheme="majorHAnsi"/>
          <w:sz w:val="20"/>
          <w:szCs w:val="20"/>
        </w:rPr>
        <w:footnoteRef/>
      </w:r>
      <w:r w:rsidRPr="001119F0">
        <w:rPr>
          <w:rFonts w:asciiTheme="majorHAnsi" w:hAnsiTheme="majorHAnsi" w:cstheme="majorHAnsi"/>
          <w:sz w:val="20"/>
          <w:szCs w:val="20"/>
        </w:rPr>
        <w:t xml:space="preserve"> </w:t>
      </w:r>
      <w:r w:rsidRPr="001119F0">
        <w:rPr>
          <w:rFonts w:asciiTheme="majorHAnsi" w:hAnsiTheme="majorHAnsi" w:cstheme="majorHAnsi"/>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5" w:history="1">
        <w:r w:rsidRPr="001119F0">
          <w:rPr>
            <w:rStyle w:val="Hyperlink"/>
            <w:rFonts w:asciiTheme="majorHAnsi" w:hAnsiTheme="majorHAnsi" w:cstheme="majorHAnsi"/>
            <w:sz w:val="20"/>
            <w:szCs w:val="20"/>
            <w:shd w:val="clear" w:color="auto" w:fill="FFFFFF"/>
          </w:rPr>
          <w:t>http://srsg.violenceagainstchildren.org/sites/default/files/political_declarations/Hoja%20de%20Ruta%20Final%20EVCN%20Centroamericano%20Dic%202012.pdf</w:t>
        </w:r>
      </w:hyperlink>
      <w:r w:rsidRPr="001119F0">
        <w:rPr>
          <w:rFonts w:asciiTheme="majorHAnsi" w:hAnsiTheme="majorHAnsi" w:cstheme="majorHAnsi"/>
          <w:sz w:val="20"/>
          <w:szCs w:val="20"/>
          <w:shd w:val="clear" w:color="auto" w:fill="FFFFFF"/>
        </w:rPr>
        <w:t>, accessed 21 February 2015</w:t>
      </w:r>
    </w:p>
  </w:footnote>
  <w:footnote w:id="10">
    <w:p w14:paraId="0FD0A4BE" w14:textId="77777777" w:rsidR="001B7D95" w:rsidRPr="001119F0" w:rsidRDefault="001B7D95" w:rsidP="001B7D95">
      <w:pPr>
        <w:pStyle w:val="FootnoteText"/>
        <w:rPr>
          <w:rFonts w:asciiTheme="majorHAnsi" w:hAnsiTheme="majorHAnsi" w:cstheme="majorHAnsi"/>
        </w:rPr>
      </w:pPr>
      <w:r w:rsidRPr="001119F0">
        <w:rPr>
          <w:rStyle w:val="FootnoteReference"/>
          <w:rFonts w:asciiTheme="majorHAnsi" w:hAnsiTheme="majorHAnsi" w:cstheme="majorHAnsi"/>
        </w:rPr>
        <w:footnoteRef/>
      </w:r>
      <w:r w:rsidRPr="001119F0">
        <w:rPr>
          <w:rFonts w:asciiTheme="majorHAnsi" w:hAnsiTheme="majorHAnsi" w:cstheme="majorHAnsi"/>
        </w:rPr>
        <w:t xml:space="preserve"> 18 June 1997, CRC/C/15/Add.72, Concluding observations on initial report, paras. 19 and 35</w:t>
      </w:r>
    </w:p>
  </w:footnote>
  <w:footnote w:id="11">
    <w:p w14:paraId="524CD122" w14:textId="77777777" w:rsidR="001B7D95" w:rsidRPr="001119F0" w:rsidRDefault="001B7D95" w:rsidP="001B7D95">
      <w:pPr>
        <w:pStyle w:val="FootnoteText"/>
        <w:rPr>
          <w:rFonts w:asciiTheme="majorHAnsi" w:hAnsiTheme="majorHAnsi" w:cstheme="majorHAnsi"/>
          <w:lang w:val="en-US"/>
        </w:rPr>
      </w:pPr>
      <w:r w:rsidRPr="001119F0">
        <w:rPr>
          <w:rStyle w:val="FootnoteReference"/>
          <w:rFonts w:asciiTheme="majorHAnsi" w:hAnsiTheme="majorHAnsi" w:cstheme="majorHAnsi"/>
        </w:rPr>
        <w:footnoteRef/>
      </w:r>
      <w:r w:rsidRPr="001119F0">
        <w:rPr>
          <w:rFonts w:asciiTheme="majorHAnsi" w:hAnsiTheme="majorHAnsi" w:cstheme="majorHAnsi"/>
        </w:rPr>
        <w:t xml:space="preserve"> 3 August 2011, CRC/C/CUB/CO/2, Concluding observations on second report, paras. 36 and 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119F0"/>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0E95"/>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687E"/>
    <w:rsid w:val="009C7037"/>
    <w:rsid w:val="009D4F36"/>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2BCC"/>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gacetaoficial.cu/html/codigo%20de%20lafamilia.html" TargetMode="External"/><Relationship Id="rId2" Type="http://schemas.openxmlformats.org/officeDocument/2006/relationships/hyperlink" Target="http://www.gacetaoficial.cu/html/codigo%20de%20lafamilia.html" TargetMode="External"/><Relationship Id="rId1" Type="http://schemas.openxmlformats.org/officeDocument/2006/relationships/hyperlink" Target="http://www.gacetaoficial.cu/html/codigo%20de%20lafamilia.html" TargetMode="External"/><Relationship Id="rId5" Type="http://schemas.openxmlformats.org/officeDocument/2006/relationships/hyperlink" Target="http://srsg.violenceagainstchildren.org/sites/default/files/political_declarations/Hoja%20de%20Ruta%20Final%20EVCN%20Centroamericano%20Dic%202012.pdf" TargetMode="External"/><Relationship Id="rId4" Type="http://schemas.openxmlformats.org/officeDocument/2006/relationships/hyperlink" Target="http://www.gacetaoficial.cu/html/codigo%20de%20lafamil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8D1B36E-2FF1-436A-B95B-F22965935152}"/>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5448E55B-31A9-4742-B047-AB8983E95FD7}"/>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0</TotalTime>
  <Pages>4</Pages>
  <Words>1477</Words>
  <Characters>8421</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9879</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subject/>
  <dc:creator>Sharon Owen</dc:creator>
  <cp:keywords/>
  <cp:lastModifiedBy>Jorge ARAYA</cp:lastModifiedBy>
  <cp:revision>2</cp:revision>
  <cp:lastPrinted>2005-01-04T10:45:00Z</cp:lastPrinted>
  <dcterms:created xsi:type="dcterms:W3CDTF">2018-01-31T10:22:00Z</dcterms:created>
  <dcterms:modified xsi:type="dcterms:W3CDTF">2018-01-31T10:22:00Z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