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966D2" w:rsidRDefault="00000000">
      <w:pPr>
        <w:jc w:val="center"/>
        <w:rPr>
          <w:b/>
          <w:i/>
          <w:color w:val="222222"/>
          <w:sz w:val="32"/>
          <w:szCs w:val="32"/>
          <w:highlight w:val="white"/>
        </w:rPr>
      </w:pPr>
      <w:r>
        <w:rPr>
          <w:b/>
          <w:i/>
          <w:sz w:val="32"/>
          <w:szCs w:val="32"/>
        </w:rPr>
        <w:t xml:space="preserve">Malawi Shadow </w:t>
      </w:r>
      <w:r>
        <w:rPr>
          <w:b/>
          <w:i/>
          <w:color w:val="222222"/>
          <w:sz w:val="32"/>
          <w:szCs w:val="32"/>
          <w:highlight w:val="white"/>
        </w:rPr>
        <w:t>r</w:t>
      </w:r>
      <w:r>
        <w:rPr>
          <w:b/>
          <w:i/>
          <w:sz w:val="32"/>
          <w:szCs w:val="32"/>
        </w:rPr>
        <w:t xml:space="preserve">eport under the Convention on Elimination of Racial Discrimination, Due </w:t>
      </w:r>
      <w:r>
        <w:rPr>
          <w:b/>
          <w:i/>
          <w:color w:val="222222"/>
          <w:sz w:val="32"/>
          <w:szCs w:val="32"/>
          <w:highlight w:val="white"/>
        </w:rPr>
        <w:t>26 August 2024</w:t>
      </w:r>
    </w:p>
    <w:p w14:paraId="00000002" w14:textId="77777777" w:rsidR="002966D2" w:rsidRDefault="002966D2">
      <w:pPr>
        <w:rPr>
          <w:color w:val="222222"/>
          <w:sz w:val="28"/>
          <w:szCs w:val="28"/>
          <w:highlight w:val="white"/>
        </w:rPr>
      </w:pPr>
    </w:p>
    <w:p w14:paraId="00000003" w14:textId="77777777" w:rsidR="002966D2" w:rsidRDefault="00000000">
      <w:pPr>
        <w:jc w:val="center"/>
        <w:rPr>
          <w:color w:val="222222"/>
          <w:sz w:val="28"/>
          <w:szCs w:val="28"/>
          <w:highlight w:val="white"/>
        </w:rPr>
      </w:pPr>
      <w:r>
        <w:rPr>
          <w:color w:val="222222"/>
          <w:sz w:val="28"/>
          <w:szCs w:val="28"/>
          <w:highlight w:val="white"/>
        </w:rPr>
        <w:t>Submitted by:</w:t>
      </w:r>
    </w:p>
    <w:p w14:paraId="00000004" w14:textId="77777777" w:rsidR="002966D2" w:rsidRDefault="002966D2">
      <w:pPr>
        <w:jc w:val="center"/>
        <w:rPr>
          <w:color w:val="222222"/>
          <w:sz w:val="28"/>
          <w:szCs w:val="28"/>
          <w:highlight w:val="white"/>
        </w:rPr>
      </w:pPr>
    </w:p>
    <w:p w14:paraId="00000005" w14:textId="77777777" w:rsidR="002966D2" w:rsidRDefault="00000000">
      <w:pPr>
        <w:jc w:val="center"/>
        <w:rPr>
          <w:b/>
          <w:color w:val="222222"/>
          <w:sz w:val="28"/>
          <w:szCs w:val="28"/>
          <w:highlight w:val="white"/>
        </w:rPr>
      </w:pPr>
      <w:r>
        <w:rPr>
          <w:b/>
          <w:color w:val="222222"/>
          <w:sz w:val="28"/>
          <w:szCs w:val="28"/>
          <w:highlight w:val="white"/>
        </w:rPr>
        <w:t xml:space="preserve">Commercial, Industrial and Allied Workers Union (CIAU), Solidarity Center, African End Sexual Harassment Initiative (AESHI), </w:t>
      </w:r>
      <w:proofErr w:type="spellStart"/>
      <w:r>
        <w:rPr>
          <w:b/>
          <w:color w:val="222222"/>
          <w:sz w:val="28"/>
          <w:szCs w:val="28"/>
          <w:highlight w:val="white"/>
        </w:rPr>
        <w:t>Izwi</w:t>
      </w:r>
      <w:proofErr w:type="spellEnd"/>
      <w:r>
        <w:rPr>
          <w:b/>
          <w:color w:val="222222"/>
          <w:sz w:val="28"/>
          <w:szCs w:val="28"/>
          <w:highlight w:val="white"/>
        </w:rPr>
        <w:t xml:space="preserve"> Domestic Worker Alliance, Movement for Advocacy Group of South Africa (MAGSA), Centre for Human Rights, Education, Advice and Assistance (CHREAA)</w:t>
      </w:r>
    </w:p>
    <w:p w14:paraId="00000006" w14:textId="77777777" w:rsidR="002966D2" w:rsidRDefault="002966D2">
      <w:pPr>
        <w:rPr>
          <w:color w:val="222222"/>
          <w:sz w:val="28"/>
          <w:szCs w:val="28"/>
          <w:highlight w:val="white"/>
        </w:rPr>
      </w:pPr>
    </w:p>
    <w:p w14:paraId="00000007" w14:textId="77777777" w:rsidR="002966D2" w:rsidRDefault="00000000">
      <w:pPr>
        <w:rPr>
          <w:b/>
          <w:sz w:val="24"/>
          <w:szCs w:val="24"/>
        </w:rPr>
      </w:pPr>
      <w:r>
        <w:rPr>
          <w:b/>
          <w:sz w:val="24"/>
          <w:szCs w:val="24"/>
        </w:rPr>
        <w:t>1.</w:t>
      </w:r>
      <w:r>
        <w:rPr>
          <w:b/>
          <w:sz w:val="24"/>
          <w:szCs w:val="24"/>
        </w:rPr>
        <w:tab/>
        <w:t>Introduction:</w:t>
      </w:r>
    </w:p>
    <w:p w14:paraId="00000008" w14:textId="77777777" w:rsidR="002966D2" w:rsidRDefault="002966D2"/>
    <w:p w14:paraId="00000009" w14:textId="77777777" w:rsidR="002966D2" w:rsidRDefault="00000000">
      <w:pPr>
        <w:spacing w:after="160" w:line="256" w:lineRule="auto"/>
      </w:pPr>
      <w:r>
        <w:t xml:space="preserve">This submission highlights the key </w:t>
      </w:r>
      <w:proofErr w:type="spellStart"/>
      <w:r>
        <w:t>labour</w:t>
      </w:r>
      <w:proofErr w:type="spellEnd"/>
      <w:r>
        <w:t xml:space="preserve"> and related issues raised by provisions of the CERD, with reference to domestic workers in Malawi.</w:t>
      </w:r>
    </w:p>
    <w:p w14:paraId="0000000A" w14:textId="77777777" w:rsidR="002966D2" w:rsidRDefault="00000000">
      <w:pPr>
        <w:spacing w:after="160" w:line="256" w:lineRule="auto"/>
        <w:jc w:val="both"/>
      </w:pPr>
      <w:r>
        <w:t>Malawi is a small, landlocked country of 12 million in southeast Africa, which the United Nations Development Program’s Human Development Index ranks Malawi as one of the very poorest countries in the world, with the human development index</w:t>
      </w:r>
      <w:r>
        <w:rPr>
          <w:vertAlign w:val="superscript"/>
        </w:rPr>
        <w:t>[1]</w:t>
      </w:r>
      <w:r>
        <w:t xml:space="preserve"> positioned 174 out of 189 countries and territories.</w:t>
      </w:r>
      <w:r>
        <w:rPr>
          <w:vertAlign w:val="superscript"/>
        </w:rPr>
        <w:t>[2]</w:t>
      </w:r>
      <w:r>
        <w:t xml:space="preserve"> 89 percent of working persons in Malawi work in informal employment with women more likely to be informally employed than men.</w:t>
      </w:r>
      <w:r>
        <w:rPr>
          <w:vertAlign w:val="superscript"/>
        </w:rPr>
        <w:t>[3]</w:t>
      </w:r>
      <w:r>
        <w:t xml:space="preserve"> </w:t>
      </w:r>
    </w:p>
    <w:p w14:paraId="0000000B" w14:textId="77777777" w:rsidR="002966D2" w:rsidRDefault="00000000">
      <w:pPr>
        <w:spacing w:after="160" w:line="256" w:lineRule="auto"/>
        <w:jc w:val="both"/>
      </w:pPr>
      <w:r>
        <w:t>Poverty plays a critical role in the continued entrenchment of gender inequalities in Malawi. Whilst Malawi has both matrilineal and patrilineal descent systems, it remains a highly patriarchal society which includes strong gendered roles and responsibilities, and significant socio-economic, cultural and political inequalities between sexes.</w:t>
      </w:r>
      <w:r>
        <w:rPr>
          <w:vertAlign w:val="superscript"/>
        </w:rPr>
        <w:t>[4]</w:t>
      </w:r>
      <w:r>
        <w:t xml:space="preserve"> Data shows that 57% of female-headed households are poor compared to 43% of male-headed households, due to their engagement in low-income activities and unpaid care, limited ability to engage in decision-making, limited access to resources and assets, higher illiteracy rates, and inadequate access to systems and services including education and healthcare.</w:t>
      </w:r>
      <w:r>
        <w:rPr>
          <w:vertAlign w:val="superscript"/>
        </w:rPr>
        <w:t>5]</w:t>
      </w:r>
    </w:p>
    <w:p w14:paraId="0000000C" w14:textId="77777777" w:rsidR="002966D2" w:rsidRDefault="00000000">
      <w:pPr>
        <w:spacing w:after="160" w:line="256" w:lineRule="auto"/>
        <w:jc w:val="both"/>
      </w:pPr>
      <w:r>
        <w:t>Almost 90 percent of domestic workers in Malawi are women, girls or children, with an age range of 12 to 75.</w:t>
      </w:r>
      <w:r>
        <w:rPr>
          <w:vertAlign w:val="superscript"/>
        </w:rPr>
        <w:t>[6]</w:t>
      </w:r>
      <w:r>
        <w:t xml:space="preserve"> It is estimated that that 25 percent of domestic workers in Malawi are younger than 14 years.</w:t>
      </w:r>
      <w:r>
        <w:rPr>
          <w:vertAlign w:val="superscript"/>
        </w:rPr>
        <w:t>[7]</w:t>
      </w:r>
      <w:r>
        <w:t>Most girls and women working as domestic workers have limited educational levels and are largely born to poor families.</w:t>
      </w:r>
      <w:r>
        <w:rPr>
          <w:vertAlign w:val="superscript"/>
        </w:rPr>
        <w:t>[8]</w:t>
      </w:r>
      <w:r>
        <w:t xml:space="preserve"> Indeed the  domestic service workforce is predominantly comprised of orphans of the HIV pandemic, who have migrated from rural to urban areas in search of employment and better economic opportunities.</w:t>
      </w:r>
      <w:r>
        <w:rPr>
          <w:vertAlign w:val="superscript"/>
        </w:rPr>
        <w:t>[9]</w:t>
      </w:r>
      <w:r>
        <w:t xml:space="preserve"> Research has indicated that placement agencies are increasingly placing young girls from tribal areas with employers in urban areas where such girls are financially exploited and abused.</w:t>
      </w:r>
      <w:r>
        <w:rPr>
          <w:vertAlign w:val="superscript"/>
        </w:rPr>
        <w:t>[10</w:t>
      </w:r>
    </w:p>
    <w:p w14:paraId="0000000D" w14:textId="7AA4BDF3" w:rsidR="002966D2" w:rsidRDefault="00000000">
      <w:pPr>
        <w:spacing w:after="160" w:line="256" w:lineRule="auto"/>
        <w:jc w:val="both"/>
      </w:pPr>
      <w:r>
        <w:t>Consequently, poor social backgrounds and economic conditions force many who often have no other better alternatives into domestic work. Furthermore, Malawi is ethnographically complex.</w:t>
      </w:r>
      <w:r>
        <w:rPr>
          <w:vertAlign w:val="superscript"/>
        </w:rPr>
        <w:t>[11]</w:t>
      </w:r>
      <w:r>
        <w:t xml:space="preserve"> The culturally hegemonic ethnic group, Chewa, Yao and </w:t>
      </w:r>
      <w:proofErr w:type="spellStart"/>
      <w:r>
        <w:t>Lomwe</w:t>
      </w:r>
      <w:proofErr w:type="spellEnd"/>
      <w:r>
        <w:t xml:space="preserve"> are matrilineal and Ngoni and </w:t>
      </w:r>
      <w:proofErr w:type="spellStart"/>
      <w:r>
        <w:t>Tumbuka</w:t>
      </w:r>
      <w:proofErr w:type="spellEnd"/>
      <w:r>
        <w:t xml:space="preserve"> are usually </w:t>
      </w:r>
      <w:r w:rsidR="00C83B3E">
        <w:t>patrilineal.</w:t>
      </w:r>
      <w:r>
        <w:t xml:space="preserve"> However, whilst there are large disparities within these cultural </w:t>
      </w:r>
      <w:r>
        <w:lastRenderedPageBreak/>
        <w:t xml:space="preserve">groups it is also clear that certain groups have greater propensity to work in certain categories of work. For example, Chewa and </w:t>
      </w:r>
      <w:proofErr w:type="spellStart"/>
      <w:r>
        <w:t>Tumbuka</w:t>
      </w:r>
      <w:proofErr w:type="spellEnd"/>
      <w:r>
        <w:t xml:space="preserve"> have greater probabilities to be in other elementary economic activities as compared to the Yao ethnic group. It is noted that the stigma for domestic work is heightened by the tribe system.</w:t>
      </w:r>
      <w:r>
        <w:rPr>
          <w:vertAlign w:val="superscript"/>
        </w:rPr>
        <w:t>[12]</w:t>
      </w:r>
      <w:r>
        <w:t xml:space="preserve"> </w:t>
      </w:r>
    </w:p>
    <w:p w14:paraId="0000000E" w14:textId="77777777" w:rsidR="002966D2" w:rsidRDefault="00000000">
      <w:pPr>
        <w:spacing w:after="160" w:line="256" w:lineRule="auto"/>
        <w:jc w:val="both"/>
      </w:pPr>
      <w:r>
        <w:t xml:space="preserve">It is a common practice for households, both affluent and relatively poor, in Malawi to employ a domestic worker to assist in its daily operations. These domestic workers usually live in their employer’s household and are expected to be available to work as the needs of the employer arise, and as such are </w:t>
      </w:r>
      <w:proofErr w:type="spellStart"/>
      <w:proofErr w:type="gramStart"/>
      <w:r>
        <w:t>easi;y</w:t>
      </w:r>
      <w:proofErr w:type="spellEnd"/>
      <w:proofErr w:type="gramEnd"/>
      <w:r>
        <w:t xml:space="preserve"> exploited.</w:t>
      </w:r>
    </w:p>
    <w:p w14:paraId="0000000F" w14:textId="54975329" w:rsidR="002966D2" w:rsidRDefault="00000000">
      <w:pPr>
        <w:spacing w:after="160" w:line="256" w:lineRule="auto"/>
        <w:jc w:val="both"/>
        <w:rPr>
          <w:b/>
          <w:sz w:val="26"/>
          <w:szCs w:val="26"/>
        </w:rPr>
      </w:pPr>
      <w:r>
        <w:t xml:space="preserve">While domestic workers are not formally excluded from the Employment Act, or the broad state apparatus for labor protection, they are by and large unaware of these rights. They are also structurally excluded from critical protections in the Act, which apply only to the employment of a threshold number of employees. This has the effect of excluding domestic workers working in private homes from core </w:t>
      </w:r>
      <w:proofErr w:type="spellStart"/>
      <w:r>
        <w:t>labour</w:t>
      </w:r>
      <w:proofErr w:type="spellEnd"/>
      <w:r>
        <w:t xml:space="preserve"> </w:t>
      </w:r>
      <w:r w:rsidR="00DB5791">
        <w:t>protections and</w:t>
      </w:r>
      <w:r>
        <w:t xml:space="preserve"> amounts to indirect and even “systematic discrimination” as defined as discrimination against “group that is pervasive and persistent and deeply entrenched in social behavior and organization, often involving unchallenged or indirect discrimination</w:t>
      </w:r>
      <w:r>
        <w:rPr>
          <w:b/>
        </w:rPr>
        <w:t>”.</w:t>
      </w:r>
      <w:r>
        <w:rPr>
          <w:b/>
          <w:vertAlign w:val="superscript"/>
        </w:rPr>
        <w:t>[1</w:t>
      </w:r>
      <w:r>
        <w:rPr>
          <w:vertAlign w:val="superscript"/>
        </w:rPr>
        <w:t>3]</w:t>
      </w:r>
    </w:p>
    <w:p w14:paraId="00000010" w14:textId="77777777" w:rsidR="002966D2" w:rsidRDefault="00000000">
      <w:pPr>
        <w:rPr>
          <w:b/>
          <w:sz w:val="24"/>
          <w:szCs w:val="24"/>
        </w:rPr>
      </w:pPr>
      <w:r>
        <w:rPr>
          <w:b/>
          <w:sz w:val="24"/>
          <w:szCs w:val="24"/>
        </w:rPr>
        <w:t>2.</w:t>
      </w:r>
      <w:r>
        <w:rPr>
          <w:b/>
          <w:sz w:val="24"/>
          <w:szCs w:val="24"/>
        </w:rPr>
        <w:tab/>
        <w:t>Informal Economies, Indirect Discrimination and Colonial Legacies</w:t>
      </w:r>
    </w:p>
    <w:p w14:paraId="00000011" w14:textId="77777777" w:rsidR="002966D2" w:rsidRDefault="002966D2">
      <w:pPr>
        <w:rPr>
          <w:b/>
        </w:rPr>
      </w:pPr>
    </w:p>
    <w:p w14:paraId="00000012" w14:textId="77777777" w:rsidR="002966D2" w:rsidRDefault="00000000">
      <w:r>
        <w:t>The CERD has adopted an intersectional approach to interpreting racial discrimination. In General Recommendation XXV on gender-related dimensions of racial discrimination, it has guided states to pay particular attention to complex forms of disadvantage in which racial discrimination is mixed with other forms of discrimination, such as age, sex, gender, religion, disability and low-economic status.</w:t>
      </w:r>
    </w:p>
    <w:p w14:paraId="00000013" w14:textId="77777777" w:rsidR="002966D2" w:rsidRDefault="002966D2"/>
    <w:p w14:paraId="00000014" w14:textId="77777777" w:rsidR="002966D2" w:rsidRDefault="00000000">
      <w:r>
        <w:t>More recently, national and African regional courts have similarly interpreted discrimination through an intersectional and a historical lens. Both the South African Constitutional Court as well as the African Court on Human Rights recently recognized the ways in which colonial and apartheid legacies remain entrenched in African legal systems, and indirectly discriminate against domestic workers, and informal economy workers respectively. ILO Convention 190 goes a long way to even the playing field between workers and employees and contemplates those rights to be free from violence and harassment as applied to all workers in all sectors.</w:t>
      </w:r>
    </w:p>
    <w:p w14:paraId="00000015" w14:textId="77777777" w:rsidR="002966D2" w:rsidRDefault="002966D2"/>
    <w:p w14:paraId="00000016" w14:textId="77777777" w:rsidR="002966D2" w:rsidRDefault="00000000">
      <w:r>
        <w:t xml:space="preserve">In the 2020 case of Mahlangu v Compensation Commissioner, the South African Constitutional Court found that the exclusion of domestic workers from the Compensation for Occupational Illness and Injuries Act constituted indirect intersectional discrimination </w:t>
      </w:r>
      <w:proofErr w:type="gramStart"/>
      <w:r>
        <w:t>on the basis of</w:t>
      </w:r>
      <w:proofErr w:type="gramEnd"/>
      <w:r>
        <w:t xml:space="preserve"> race, class and gender. It stated that this exclusion was a remnant of colonial and apartheid views that women’s work in the private sphere was not recognized as proper work.  </w:t>
      </w:r>
    </w:p>
    <w:p w14:paraId="00000017" w14:textId="77777777" w:rsidR="002966D2" w:rsidRDefault="002966D2"/>
    <w:p w14:paraId="00000018" w14:textId="77777777" w:rsidR="002966D2" w:rsidRDefault="00000000">
      <w:r>
        <w:t xml:space="preserve">In a recent advisory opinion on the criminalization of vagrancy laws, the African Court of Human Rights (ACHPR) found that the vagrancy laws (including offenses such as loitering, begging and criminalization of the informal economy) violate a host of human rights, including rights to non-discrimination, equality and the right to dignity.  Since these types of laws are broadly constructed, they allow police wide discretion to make “arbitrary arrests which are influenced by police assumptions of criminality based on biases relating to poverty, gender, race, ethnicity, </w:t>
      </w:r>
      <w:r>
        <w:lastRenderedPageBreak/>
        <w:t xml:space="preserve">place of origin and social status.”  In its advisory opinion, the court states that vagrancy laws are a “reflection of an outdated and largely Colonial perception of individuals without rights…and dehumanizes and denigrates individuals with a perceived lower status.” </w:t>
      </w:r>
    </w:p>
    <w:p w14:paraId="00000019" w14:textId="77777777" w:rsidR="002966D2" w:rsidRDefault="002966D2"/>
    <w:p w14:paraId="0000001A" w14:textId="77777777" w:rsidR="002966D2" w:rsidRDefault="00000000">
      <w:pPr>
        <w:spacing w:after="160" w:line="256" w:lineRule="auto"/>
        <w:jc w:val="both"/>
        <w:rPr>
          <w:vertAlign w:val="superscript"/>
        </w:rPr>
      </w:pPr>
      <w:r>
        <w:t>In a similar vein, there is no legislative definition, or related recognition of domestic work in Malawi, aside from the Wages (Domestic Servants Order), where they are referred to as domestic “servants”, without further definition.”</w:t>
      </w:r>
      <w:r>
        <w:rPr>
          <w:vertAlign w:val="superscript"/>
        </w:rPr>
        <w:t>[13]</w:t>
      </w:r>
      <w:r>
        <w:t xml:space="preserve"> The language of servitude implied in the term “domestic servant” is reflective also reflects an “outdated and colonial perception of individuals without rights”, and is consistent with the way domestic workers describe their experiences of being referred to as ‘stupid’, ‘uneducated’ or ‘poor’,</w:t>
      </w:r>
      <w:r>
        <w:rPr>
          <w:vertAlign w:val="superscript"/>
        </w:rPr>
        <w:t>[14]</w:t>
      </w:r>
      <w:r>
        <w:t xml:space="preserve"> and being seen as slaves, having no value despite their own sense of value and personhood.</w:t>
      </w:r>
      <w:r>
        <w:rPr>
          <w:vertAlign w:val="superscript"/>
        </w:rPr>
        <w:t>[15]</w:t>
      </w:r>
    </w:p>
    <w:p w14:paraId="0000001B" w14:textId="7E6950B9" w:rsidR="002966D2" w:rsidRDefault="00DB5791">
      <w:pPr>
        <w:spacing w:after="160" w:line="256" w:lineRule="auto"/>
        <w:jc w:val="both"/>
      </w:pPr>
      <w:r>
        <w:t>Indeed, a</w:t>
      </w:r>
      <w:r w:rsidR="00000000">
        <w:t xml:space="preserve"> </w:t>
      </w:r>
      <w:r>
        <w:t xml:space="preserve">symbol </w:t>
      </w:r>
      <w:r w:rsidR="00000000">
        <w:t>of the low status of domestic workers in Malawian society is that in cases of loss of expectation of life, where there is no evidence of how much was earned by the deceased, the High Courts of Malawi awards a value equivalent to what a domestic worker earns.</w:t>
      </w:r>
      <w:r w:rsidR="00000000">
        <w:rPr>
          <w:vertAlign w:val="superscript"/>
        </w:rPr>
        <w:t>[16]</w:t>
      </w:r>
      <w:r w:rsidR="00000000">
        <w:t xml:space="preserve"> As the Court explained, this is because domestic work is considered to be the minimum lowest job that any persons can presumably occupy when they seek employment.</w:t>
      </w:r>
      <w:r w:rsidR="00000000">
        <w:rPr>
          <w:vertAlign w:val="superscript"/>
        </w:rPr>
        <w:t>[17]</w:t>
      </w:r>
      <w:r w:rsidR="00000000">
        <w:t xml:space="preserve"> This designation makes clear domestic work is at the very bottom of the hierarchy in the world of work.</w:t>
      </w:r>
    </w:p>
    <w:p w14:paraId="0000001C" w14:textId="77777777" w:rsidR="002966D2" w:rsidRDefault="00000000">
      <w:r>
        <w:t xml:space="preserve">Accordingly, this submission is premised on a recognition that indirect intersectional discrimination </w:t>
      </w:r>
      <w:proofErr w:type="gramStart"/>
      <w:r>
        <w:t>on the basis of</w:t>
      </w:r>
      <w:proofErr w:type="gramEnd"/>
      <w:r>
        <w:t xml:space="preserve"> race, class and gender is embedded in the Malawian legal system; it can be seen in the ways in which racial discrimination primarily affects women (or affects them in a different way and to a different degree) in domestic work.</w:t>
      </w:r>
    </w:p>
    <w:p w14:paraId="0000001D" w14:textId="77777777" w:rsidR="002966D2" w:rsidRDefault="002966D2">
      <w:pPr>
        <w:rPr>
          <w:sz w:val="24"/>
          <w:szCs w:val="24"/>
        </w:rPr>
      </w:pPr>
    </w:p>
    <w:p w14:paraId="0000001E" w14:textId="77777777" w:rsidR="002966D2" w:rsidRDefault="00000000">
      <w:pPr>
        <w:rPr>
          <w:b/>
          <w:sz w:val="24"/>
          <w:szCs w:val="24"/>
        </w:rPr>
      </w:pPr>
      <w:r>
        <w:rPr>
          <w:b/>
          <w:sz w:val="24"/>
          <w:szCs w:val="24"/>
        </w:rPr>
        <w:t>3.</w:t>
      </w:r>
      <w:r>
        <w:rPr>
          <w:b/>
          <w:sz w:val="24"/>
          <w:szCs w:val="24"/>
        </w:rPr>
        <w:tab/>
        <w:t>Demographics and Legal Recognition</w:t>
      </w:r>
    </w:p>
    <w:p w14:paraId="0000001F" w14:textId="77777777" w:rsidR="002966D2" w:rsidRDefault="00000000">
      <w:pPr>
        <w:rPr>
          <w:b/>
          <w:sz w:val="24"/>
          <w:szCs w:val="24"/>
        </w:rPr>
      </w:pPr>
      <w:r>
        <w:rPr>
          <w:b/>
          <w:sz w:val="24"/>
          <w:szCs w:val="24"/>
        </w:rPr>
        <w:t>(a)</w:t>
      </w:r>
      <w:r>
        <w:rPr>
          <w:b/>
          <w:sz w:val="24"/>
          <w:szCs w:val="24"/>
        </w:rPr>
        <w:tab/>
        <w:t>Domestic Work</w:t>
      </w:r>
    </w:p>
    <w:p w14:paraId="00000020" w14:textId="77777777" w:rsidR="002966D2" w:rsidRDefault="002966D2">
      <w:pPr>
        <w:rPr>
          <w:sz w:val="28"/>
          <w:szCs w:val="28"/>
        </w:rPr>
      </w:pPr>
    </w:p>
    <w:p w14:paraId="00000021" w14:textId="77777777" w:rsidR="002966D2" w:rsidRDefault="00000000">
      <w:pPr>
        <w:rPr>
          <w:b/>
          <w:sz w:val="24"/>
          <w:szCs w:val="24"/>
        </w:rPr>
      </w:pPr>
      <w:r>
        <w:rPr>
          <w:b/>
          <w:sz w:val="24"/>
          <w:szCs w:val="24"/>
        </w:rPr>
        <w:t>4.</w:t>
      </w:r>
      <w:r>
        <w:rPr>
          <w:b/>
          <w:sz w:val="24"/>
          <w:szCs w:val="24"/>
        </w:rPr>
        <w:tab/>
        <w:t xml:space="preserve">Legal framework </w:t>
      </w:r>
    </w:p>
    <w:p w14:paraId="00000022" w14:textId="77777777" w:rsidR="002966D2" w:rsidRDefault="002966D2">
      <w:pPr>
        <w:rPr>
          <w:b/>
          <w:sz w:val="24"/>
          <w:szCs w:val="24"/>
        </w:rPr>
      </w:pPr>
    </w:p>
    <w:p w14:paraId="00000023" w14:textId="77777777" w:rsidR="002966D2" w:rsidRDefault="00000000">
      <w:pPr>
        <w:rPr>
          <w:b/>
          <w:sz w:val="24"/>
          <w:szCs w:val="24"/>
        </w:rPr>
      </w:pPr>
      <w:r>
        <w:rPr>
          <w:b/>
          <w:sz w:val="24"/>
          <w:szCs w:val="24"/>
        </w:rPr>
        <w:t>4.1</w:t>
      </w:r>
      <w:r>
        <w:rPr>
          <w:b/>
          <w:sz w:val="24"/>
          <w:szCs w:val="24"/>
        </w:rPr>
        <w:tab/>
        <w:t>International Context</w:t>
      </w:r>
    </w:p>
    <w:p w14:paraId="00000024" w14:textId="77777777" w:rsidR="002966D2" w:rsidRDefault="00000000">
      <w:pPr>
        <w:spacing w:after="160" w:line="256" w:lineRule="auto"/>
        <w:jc w:val="both"/>
      </w:pPr>
      <w:r>
        <w:t>Malawi has ratified core UN Conventions such as the International Convention on the Elimination of all Forms of Racial Discrimination (CERD), the International Covenant of Economic, Social and Cultural Rights (ICESCR). It has not yet ratified the Optional Protocol on the ICESCR.</w:t>
      </w:r>
    </w:p>
    <w:p w14:paraId="00000025" w14:textId="77777777" w:rsidR="002966D2" w:rsidRDefault="00000000">
      <w:pPr>
        <w:spacing w:after="160" w:line="256" w:lineRule="auto"/>
        <w:jc w:val="both"/>
        <w:rPr>
          <w:rFonts w:ascii="Times New Roman" w:eastAsia="Times New Roman" w:hAnsi="Times New Roman" w:cs="Times New Roman"/>
          <w:sz w:val="28"/>
          <w:szCs w:val="28"/>
        </w:rPr>
      </w:pPr>
      <w:r>
        <w:t xml:space="preserve">Malawi has not yet ratified Convention 189 on Domestic Workers Convention. In Malawi’s Decent Work Country </w:t>
      </w:r>
      <w:proofErr w:type="spellStart"/>
      <w:r>
        <w:t>Programme</w:t>
      </w:r>
      <w:proofErr w:type="spellEnd"/>
      <w:r>
        <w:t xml:space="preserve"> 2020 to 2023, the country affirmed its’ commitment to ratify Convention No. 189 as part of its national Pledge for Action to Eradicate Child </w:t>
      </w:r>
      <w:proofErr w:type="spellStart"/>
      <w:r>
        <w:t>Labour</w:t>
      </w:r>
      <w:proofErr w:type="spellEnd"/>
      <w:r>
        <w:t xml:space="preserve"> and Forced </w:t>
      </w:r>
      <w:proofErr w:type="spellStart"/>
      <w:r>
        <w:t>Labour</w:t>
      </w:r>
      <w:proofErr w:type="spellEnd"/>
      <w:r>
        <w:t>. The timeline for the ratification is unclear. Malawi has also not ratified Convention 190 on Violence and Harassment Convention, 2019 (No. 190)</w:t>
      </w:r>
      <w:r>
        <w:rPr>
          <w:rFonts w:ascii="Times New Roman" w:eastAsia="Times New Roman" w:hAnsi="Times New Roman" w:cs="Times New Roman"/>
        </w:rPr>
        <w:t>.</w:t>
      </w:r>
    </w:p>
    <w:p w14:paraId="00000026" w14:textId="77777777" w:rsidR="002966D2" w:rsidRDefault="002966D2">
      <w:pPr>
        <w:rPr>
          <w:sz w:val="28"/>
          <w:szCs w:val="28"/>
        </w:rPr>
      </w:pPr>
    </w:p>
    <w:p w14:paraId="00000027" w14:textId="77777777" w:rsidR="002966D2" w:rsidRDefault="00000000">
      <w:pPr>
        <w:rPr>
          <w:b/>
          <w:sz w:val="24"/>
          <w:szCs w:val="24"/>
        </w:rPr>
      </w:pPr>
      <w:r>
        <w:rPr>
          <w:b/>
          <w:sz w:val="24"/>
          <w:szCs w:val="24"/>
        </w:rPr>
        <w:t>4.2</w:t>
      </w:r>
      <w:r>
        <w:rPr>
          <w:b/>
          <w:sz w:val="24"/>
          <w:szCs w:val="24"/>
        </w:rPr>
        <w:tab/>
        <w:t>Constitutional Rights</w:t>
      </w:r>
    </w:p>
    <w:p w14:paraId="00000028" w14:textId="77777777" w:rsidR="002966D2" w:rsidRDefault="00000000">
      <w:pPr>
        <w:spacing w:after="160" w:line="256" w:lineRule="auto"/>
        <w:jc w:val="both"/>
      </w:pPr>
      <w:r>
        <w:t xml:space="preserve">Under Section 4 of the 1994 Malawi Constitution, “all the peoples of Malawi are entitled to the equal protection of this Constitution and laws made under it.” By way of interpretation, article 11 sets out that in interpreting the Constitution, courts shall “where applicable have regard to current norms of public international law and comparable case law.” Under Chapter IV Human Rights, article 20 entrenches equality and provides that “discrimination of persons in any form is </w:t>
      </w:r>
      <w:r>
        <w:lastRenderedPageBreak/>
        <w:t xml:space="preserve">prohibited” and “all persons, are, under any law guaranteed equal and effective protection against discrimination on grounds of race, </w:t>
      </w:r>
      <w:proofErr w:type="spellStart"/>
      <w:r>
        <w:t>colour</w:t>
      </w:r>
      <w:proofErr w:type="spellEnd"/>
      <w:r>
        <w:t>, sex, language, religion, political or other opinion, national, ethnic or social origin, disability, birth or other status or condition.” Article 20(2) provides that legislation may be passed addressing inequalities in society and prohibiting discriminatory practices. This language implies that direct and indirect discrimination would fall within the prohibition of “all forms of discrimination</w:t>
      </w:r>
      <w:proofErr w:type="gramStart"/>
      <w:r>
        <w:t>.”</w:t>
      </w:r>
      <w:r>
        <w:rPr>
          <w:vertAlign w:val="superscript"/>
        </w:rPr>
        <w:t>[</w:t>
      </w:r>
      <w:proofErr w:type="gramEnd"/>
      <w:r>
        <w:rPr>
          <w:vertAlign w:val="superscript"/>
        </w:rPr>
        <w:t>18]</w:t>
      </w:r>
    </w:p>
    <w:p w14:paraId="00000029" w14:textId="77777777" w:rsidR="002966D2" w:rsidRDefault="002966D2">
      <w:pPr>
        <w:rPr>
          <w:sz w:val="24"/>
          <w:szCs w:val="24"/>
        </w:rPr>
      </w:pPr>
    </w:p>
    <w:p w14:paraId="0000002A" w14:textId="77777777" w:rsidR="002966D2" w:rsidRDefault="00000000">
      <w:pPr>
        <w:rPr>
          <w:b/>
          <w:sz w:val="24"/>
          <w:szCs w:val="24"/>
        </w:rPr>
      </w:pPr>
      <w:r>
        <w:rPr>
          <w:b/>
          <w:sz w:val="24"/>
          <w:szCs w:val="24"/>
        </w:rPr>
        <w:t>5.</w:t>
      </w:r>
      <w:r>
        <w:rPr>
          <w:b/>
          <w:sz w:val="24"/>
          <w:szCs w:val="24"/>
        </w:rPr>
        <w:tab/>
        <w:t>Violation of CERD Rights:</w:t>
      </w:r>
    </w:p>
    <w:p w14:paraId="0000002B" w14:textId="77777777" w:rsidR="002966D2" w:rsidRDefault="002966D2">
      <w:pPr>
        <w:rPr>
          <w:b/>
          <w:sz w:val="24"/>
          <w:szCs w:val="24"/>
        </w:rPr>
      </w:pPr>
    </w:p>
    <w:p w14:paraId="0000002C" w14:textId="77777777" w:rsidR="002966D2" w:rsidRDefault="00000000">
      <w:pPr>
        <w:rPr>
          <w:b/>
          <w:sz w:val="24"/>
          <w:szCs w:val="24"/>
        </w:rPr>
      </w:pPr>
      <w:r>
        <w:rPr>
          <w:b/>
          <w:sz w:val="24"/>
          <w:szCs w:val="24"/>
        </w:rPr>
        <w:t>5.1</w:t>
      </w:r>
      <w:r>
        <w:rPr>
          <w:b/>
          <w:sz w:val="24"/>
          <w:szCs w:val="24"/>
        </w:rPr>
        <w:tab/>
        <w:t xml:space="preserve">Exclusion from Specific </w:t>
      </w:r>
      <w:proofErr w:type="spellStart"/>
      <w:r>
        <w:rPr>
          <w:b/>
          <w:sz w:val="24"/>
          <w:szCs w:val="24"/>
        </w:rPr>
        <w:t>Labour</w:t>
      </w:r>
      <w:proofErr w:type="spellEnd"/>
      <w:r>
        <w:rPr>
          <w:b/>
          <w:sz w:val="24"/>
          <w:szCs w:val="24"/>
        </w:rPr>
        <w:t xml:space="preserve"> Law Protections  </w:t>
      </w:r>
    </w:p>
    <w:p w14:paraId="0000002D" w14:textId="77777777" w:rsidR="002966D2" w:rsidRDefault="002966D2"/>
    <w:p w14:paraId="0000002E" w14:textId="77777777" w:rsidR="002966D2" w:rsidRDefault="00000000">
      <w:pPr>
        <w:spacing w:after="160" w:line="256" w:lineRule="auto"/>
        <w:jc w:val="both"/>
      </w:pPr>
      <w:r>
        <w:t>The Employment Act (EA) was enacted to ensure minimum standards of employment, and to accelerate economic growth and social justice.</w:t>
      </w:r>
      <w:r>
        <w:rPr>
          <w:vertAlign w:val="superscript"/>
        </w:rPr>
        <w:t>[19]</w:t>
      </w:r>
      <w:r>
        <w:t xml:space="preserve"> It includes provisions on non-discrimination, equal pay for work of equal value, as well as two months paid maternity leave every three years. </w:t>
      </w:r>
      <w:r>
        <w:rPr>
          <w:vertAlign w:val="superscript"/>
        </w:rPr>
        <w:t>[20]</w:t>
      </w:r>
      <w:r>
        <w:t xml:space="preserve"> While the Employment Act does not explicitly include domestic workers within its ambit, neither does it exclude them, but also does </w:t>
      </w:r>
      <w:proofErr w:type="spellStart"/>
      <w:r>
        <w:t>does</w:t>
      </w:r>
      <w:proofErr w:type="spellEnd"/>
      <w:r>
        <w:t xml:space="preserve"> not in any way address the specific conditions faced by domestic workers who work in the private homes of their employers.</w:t>
      </w:r>
      <w:r>
        <w:rPr>
          <w:vertAlign w:val="superscript"/>
        </w:rPr>
        <w:t>[22]</w:t>
      </w:r>
      <w:r>
        <w:t xml:space="preserve">  Similarly, while domestic workers are not excluded from the collective </w:t>
      </w:r>
      <w:proofErr w:type="spellStart"/>
      <w:r>
        <w:t>labour</w:t>
      </w:r>
      <w:proofErr w:type="spellEnd"/>
      <w:r>
        <w:t xml:space="preserve"> rights in the </w:t>
      </w:r>
      <w:proofErr w:type="spellStart"/>
      <w:r>
        <w:t>Labour</w:t>
      </w:r>
      <w:proofErr w:type="spellEnd"/>
      <w:r>
        <w:t xml:space="preserve"> Relations Act, the Act does </w:t>
      </w:r>
      <w:proofErr w:type="spellStart"/>
      <w:r>
        <w:t>does</w:t>
      </w:r>
      <w:proofErr w:type="spellEnd"/>
      <w:r>
        <w:t xml:space="preserve"> address the domestic worker context specifically.</w:t>
      </w:r>
    </w:p>
    <w:p w14:paraId="0000002F" w14:textId="77777777" w:rsidR="002966D2" w:rsidRDefault="002966D2">
      <w:pPr>
        <w:rPr>
          <w:sz w:val="28"/>
          <w:szCs w:val="28"/>
        </w:rPr>
      </w:pPr>
    </w:p>
    <w:p w14:paraId="00000030" w14:textId="77777777" w:rsidR="002966D2" w:rsidRDefault="00000000">
      <w:pPr>
        <w:rPr>
          <w:b/>
          <w:sz w:val="24"/>
          <w:szCs w:val="24"/>
        </w:rPr>
      </w:pPr>
      <w:r>
        <w:rPr>
          <w:b/>
          <w:sz w:val="24"/>
          <w:szCs w:val="24"/>
        </w:rPr>
        <w:t>(</w:t>
      </w:r>
      <w:proofErr w:type="spellStart"/>
      <w:r>
        <w:rPr>
          <w:b/>
          <w:sz w:val="24"/>
          <w:szCs w:val="24"/>
        </w:rPr>
        <w:t>i</w:t>
      </w:r>
      <w:proofErr w:type="spellEnd"/>
      <w:r>
        <w:rPr>
          <w:b/>
          <w:sz w:val="24"/>
          <w:szCs w:val="24"/>
        </w:rPr>
        <w:t>)</w:t>
      </w:r>
      <w:r>
        <w:rPr>
          <w:b/>
          <w:sz w:val="24"/>
          <w:szCs w:val="24"/>
        </w:rPr>
        <w:tab/>
        <w:t>Article 5(e)(</w:t>
      </w:r>
      <w:proofErr w:type="spellStart"/>
      <w:r>
        <w:rPr>
          <w:b/>
          <w:sz w:val="24"/>
          <w:szCs w:val="24"/>
        </w:rPr>
        <w:t>i</w:t>
      </w:r>
      <w:proofErr w:type="spellEnd"/>
      <w:r>
        <w:rPr>
          <w:b/>
          <w:sz w:val="24"/>
          <w:szCs w:val="24"/>
        </w:rPr>
        <w:t>) The Right to Work</w:t>
      </w:r>
    </w:p>
    <w:p w14:paraId="00000031" w14:textId="77777777" w:rsidR="002966D2" w:rsidRDefault="002966D2">
      <w:pPr>
        <w:rPr>
          <w:sz w:val="24"/>
          <w:szCs w:val="24"/>
        </w:rPr>
      </w:pPr>
    </w:p>
    <w:p w14:paraId="00000032" w14:textId="77777777" w:rsidR="002966D2" w:rsidRDefault="00000000">
      <w:pPr>
        <w:rPr>
          <w:b/>
          <w:sz w:val="24"/>
          <w:szCs w:val="24"/>
        </w:rPr>
      </w:pPr>
      <w:r>
        <w:rPr>
          <w:b/>
          <w:sz w:val="24"/>
          <w:szCs w:val="24"/>
        </w:rPr>
        <w:t>(ii)</w:t>
      </w:r>
      <w:r>
        <w:rPr>
          <w:b/>
          <w:sz w:val="24"/>
          <w:szCs w:val="24"/>
        </w:rPr>
        <w:tab/>
        <w:t>The Right to Just and Favorable Conditions at Work</w:t>
      </w:r>
    </w:p>
    <w:p w14:paraId="00000033" w14:textId="77777777" w:rsidR="002966D2" w:rsidRDefault="002966D2">
      <w:pPr>
        <w:rPr>
          <w:sz w:val="26"/>
          <w:szCs w:val="26"/>
        </w:rPr>
      </w:pPr>
    </w:p>
    <w:p w14:paraId="00000034" w14:textId="77777777" w:rsidR="002966D2" w:rsidRDefault="00000000">
      <w:pPr>
        <w:numPr>
          <w:ilvl w:val="0"/>
          <w:numId w:val="1"/>
        </w:numPr>
        <w:spacing w:after="160" w:line="256" w:lineRule="auto"/>
        <w:jc w:val="both"/>
        <w:rPr>
          <w:i/>
        </w:rPr>
      </w:pPr>
      <w:r>
        <w:rPr>
          <w:i/>
        </w:rPr>
        <w:t>Contract of Employment</w:t>
      </w:r>
    </w:p>
    <w:p w14:paraId="00000035" w14:textId="77777777" w:rsidR="002966D2" w:rsidRDefault="00000000">
      <w:pPr>
        <w:spacing w:after="160" w:line="256" w:lineRule="auto"/>
        <w:jc w:val="both"/>
      </w:pPr>
      <w:r>
        <w:t>Section 27(1)-(3) of the EA mandates an employer to give their employee a written statement of particulars of employment and provides some guidance on the particulars that must be included, such as rates and intervals of remuneration, normal hours of work, nature of work and termination of contract. However, Section 27(4) defines an employer for the purposes of this section as a person who employs at least five employees.</w:t>
      </w:r>
    </w:p>
    <w:p w14:paraId="00000036" w14:textId="77777777" w:rsidR="002966D2" w:rsidRDefault="00000000">
      <w:pPr>
        <w:spacing w:after="160" w:line="256" w:lineRule="auto"/>
        <w:jc w:val="both"/>
        <w:rPr>
          <w:vertAlign w:val="superscript"/>
        </w:rPr>
      </w:pPr>
      <w:r>
        <w:t>The effect of requiring a minimum number of employees before an employer has the obligation to provide a written contract effectively excludes domestic workers from its’ protection, since in Malawi the common practice is to employ two domestic workers for inside household work and one for the garden. Rarely do such employers have more than five employees.</w:t>
      </w:r>
      <w:r>
        <w:rPr>
          <w:vertAlign w:val="superscript"/>
        </w:rPr>
        <w:t>[23]</w:t>
      </w:r>
      <w:r>
        <w:t xml:space="preserve"> As a result, domestic workers do not often have written contract of employment. </w:t>
      </w:r>
      <w:r>
        <w:rPr>
          <w:vertAlign w:val="superscript"/>
        </w:rPr>
        <w:t>[24]</w:t>
      </w:r>
    </w:p>
    <w:p w14:paraId="00000037" w14:textId="322F5492" w:rsidR="002966D2" w:rsidRDefault="00000000">
      <w:pPr>
        <w:spacing w:after="160" w:line="256" w:lineRule="auto"/>
        <w:jc w:val="both"/>
        <w:rPr>
          <w:vertAlign w:val="superscript"/>
        </w:rPr>
      </w:pPr>
      <w:r>
        <w:t xml:space="preserve">The centrality of written contracts is critical both to specifying (and limiting) the terms of employment, </w:t>
      </w:r>
      <w:proofErr w:type="gramStart"/>
      <w:r>
        <w:t>and also</w:t>
      </w:r>
      <w:proofErr w:type="gramEnd"/>
      <w:r>
        <w:t xml:space="preserve"> essential to proving employment in legal proceedings. The absence of a required contract means workers are employed to work in an open-</w:t>
      </w:r>
      <w:r w:rsidR="00DB5791">
        <w:t>ended and</w:t>
      </w:r>
      <w:r>
        <w:t xml:space="preserve"> unspecified manner rather than specifically detailing and limiting the particular tasks being contracted for.</w:t>
      </w:r>
      <w:r>
        <w:rPr>
          <w:vertAlign w:val="superscript"/>
        </w:rPr>
        <w:t>[25]</w:t>
      </w:r>
      <w:r>
        <w:t xml:space="preserve"> The absence of a written contract also means that employers are not compelled to </w:t>
      </w:r>
      <w:proofErr w:type="gramStart"/>
      <w:r>
        <w:t>address  issues</w:t>
      </w:r>
      <w:proofErr w:type="gramEnd"/>
      <w:r>
        <w:t xml:space="preserve"> such as in-kind payments, deductions or stand-by work. This gap has been criticized for contributing to a slave-like environment.</w:t>
      </w:r>
      <w:r>
        <w:rPr>
          <w:vertAlign w:val="superscript"/>
        </w:rPr>
        <w:t>[26]</w:t>
      </w:r>
    </w:p>
    <w:p w14:paraId="00000038" w14:textId="77777777" w:rsidR="002966D2" w:rsidRDefault="00000000">
      <w:pPr>
        <w:spacing w:after="160" w:line="256" w:lineRule="auto"/>
        <w:rPr>
          <w:vertAlign w:val="superscript"/>
        </w:rPr>
      </w:pPr>
      <w:r>
        <w:lastRenderedPageBreak/>
        <w:t>This is exacerbated by the fact that the domestic work</w:t>
      </w:r>
      <w:r>
        <w:rPr>
          <w:i/>
        </w:rPr>
        <w:t xml:space="preserve"> </w:t>
      </w:r>
      <w:proofErr w:type="spellStart"/>
      <w:r>
        <w:t>labour</w:t>
      </w:r>
      <w:proofErr w:type="spellEnd"/>
      <w:r>
        <w:t xml:space="preserve"> market is skewed in </w:t>
      </w:r>
      <w:proofErr w:type="spellStart"/>
      <w:r>
        <w:t>favour</w:t>
      </w:r>
      <w:proofErr w:type="spellEnd"/>
      <w:r>
        <w:t xml:space="preserve"> of employers, and as a consequence they wield almost absolute power in deciding the conditions they will impose on the employee.</w:t>
      </w:r>
      <w:r>
        <w:rPr>
          <w:vertAlign w:val="superscript"/>
        </w:rPr>
        <w:t>[27]</w:t>
      </w:r>
      <w:r>
        <w:t xml:space="preserve"> Domestic work in Malawi generally includes but is not limited to (1) childcare (waking children up, putting them to bed, feeding, bathing, and clothing them); (2) washing clothes by hand and ironing all the dirty clothes in the household; (3) meal preparation and related task with sometimes no electrical stove, requiring cooking over an open fire; and (4) cleaning the household (sweeping, mopping cement floors daily, dusting, cleaning windows, etc.)</w:t>
      </w:r>
      <w:r>
        <w:rPr>
          <w:vertAlign w:val="superscript"/>
        </w:rPr>
        <w:t>[28]</w:t>
      </w:r>
    </w:p>
    <w:p w14:paraId="00000039" w14:textId="419D50A2" w:rsidR="002966D2" w:rsidRDefault="00000000">
      <w:pPr>
        <w:jc w:val="both"/>
        <w:rPr>
          <w:vertAlign w:val="superscript"/>
        </w:rPr>
      </w:pPr>
      <w:proofErr w:type="gramStart"/>
      <w:r>
        <w:t>The majority of</w:t>
      </w:r>
      <w:proofErr w:type="gramEnd"/>
      <w:r>
        <w:t xml:space="preserve"> domestic workers live in the household of their employer, which has some benefits for women, but also entirely blurs the separation between work and private lives of domestic workers, placing such workers at risk of abuse and exploitation.</w:t>
      </w:r>
      <w:r>
        <w:rPr>
          <w:vertAlign w:val="superscript"/>
        </w:rPr>
        <w:t>[29]</w:t>
      </w:r>
      <w:r>
        <w:t xml:space="preserve"> Because of several reasons including poverty, exclusion from legal protections and the patriarchal nature of Malawi’s social context, power imbalances exist between a domestic worker and her employer. These power imbalances are compounded by the live-in nature of domestic work and create ripe environments for sustained abuse and </w:t>
      </w:r>
      <w:r w:rsidR="00DB5791">
        <w:t>exploitation.</w:t>
      </w:r>
      <w:r w:rsidR="00DB5791">
        <w:rPr>
          <w:vertAlign w:val="superscript"/>
        </w:rPr>
        <w:t xml:space="preserve"> [</w:t>
      </w:r>
      <w:r>
        <w:rPr>
          <w:vertAlign w:val="superscript"/>
        </w:rPr>
        <w:t>30</w:t>
      </w:r>
    </w:p>
    <w:p w14:paraId="0000003A" w14:textId="77777777" w:rsidR="002966D2" w:rsidRDefault="002966D2">
      <w:pPr>
        <w:jc w:val="both"/>
        <w:rPr>
          <w:vertAlign w:val="superscript"/>
        </w:rPr>
      </w:pPr>
    </w:p>
    <w:p w14:paraId="0000003B" w14:textId="4FBECD17" w:rsidR="002966D2" w:rsidRDefault="00000000">
      <w:pPr>
        <w:jc w:val="both"/>
        <w:rPr>
          <w:vertAlign w:val="superscript"/>
        </w:rPr>
      </w:pPr>
      <w:r>
        <w:t xml:space="preserve">They report that employers are not always giving them enough to eat, nor allowing them to receive visitors including their own family members. Most domestic workers have </w:t>
      </w:r>
      <w:r w:rsidR="00DB5791">
        <w:t>reported immediately</w:t>
      </w:r>
      <w:r>
        <w:t xml:space="preserve"> lose their jobs once they disclose their pregnancies, with employers arguing that it is not possible for a domestic worker to combine parenting their own children with employment as domestic workers.</w:t>
      </w:r>
      <w:r>
        <w:rPr>
          <w:vertAlign w:val="superscript"/>
        </w:rPr>
        <w:t>[31]</w:t>
      </w:r>
      <w:r>
        <w:t xml:space="preserve"> They also report being deprived of adequate rest and sleep, and not being allowed to go to worship in a church or in a mosque.</w:t>
      </w:r>
      <w:r>
        <w:rPr>
          <w:vertAlign w:val="superscript"/>
        </w:rPr>
        <w:t>[32]</w:t>
      </w:r>
    </w:p>
    <w:p w14:paraId="0000003C" w14:textId="77777777" w:rsidR="002966D2" w:rsidRDefault="002966D2">
      <w:pPr>
        <w:rPr>
          <w:vertAlign w:val="superscript"/>
        </w:rPr>
      </w:pPr>
    </w:p>
    <w:p w14:paraId="0000003D" w14:textId="77777777" w:rsidR="002966D2" w:rsidRDefault="00000000">
      <w:pPr>
        <w:rPr>
          <w:vertAlign w:val="superscript"/>
        </w:rPr>
      </w:pPr>
      <w:r>
        <w:t>Some domestic workers have explained that some of the female employers have told domestic workers not to wear certain clothes or enter certain rooms to bring food or clean when occupied by family members to limit their interaction in these times.</w:t>
      </w:r>
      <w:r>
        <w:rPr>
          <w:vertAlign w:val="superscript"/>
        </w:rPr>
        <w:t xml:space="preserve">[57] </w:t>
      </w:r>
      <w:r>
        <w:t>Their desire to dress a certain way is entirely limited island is seen as a way for employers  to retain control and affirm that domestic workers have no autonomy even to  dress as they please.</w:t>
      </w:r>
    </w:p>
    <w:p w14:paraId="0000003E" w14:textId="77777777" w:rsidR="002966D2" w:rsidRDefault="00000000">
      <w:pPr>
        <w:jc w:val="both"/>
        <w:rPr>
          <w:b/>
        </w:rPr>
      </w:pPr>
      <w:r>
        <w:rPr>
          <w:b/>
        </w:rPr>
        <w:t xml:space="preserve"> </w:t>
      </w:r>
    </w:p>
    <w:p w14:paraId="0000003F" w14:textId="77777777" w:rsidR="002966D2" w:rsidRDefault="00000000">
      <w:pPr>
        <w:spacing w:after="160" w:line="256" w:lineRule="auto"/>
        <w:jc w:val="both"/>
        <w:rPr>
          <w:b/>
          <w:i/>
          <w:vertAlign w:val="superscript"/>
        </w:rPr>
      </w:pPr>
      <w:r>
        <w:rPr>
          <w:i/>
        </w:rPr>
        <w:t xml:space="preserve">The significance of written contracts to the enjoyment of just and </w:t>
      </w:r>
      <w:proofErr w:type="spellStart"/>
      <w:r>
        <w:rPr>
          <w:i/>
        </w:rPr>
        <w:t>favourable</w:t>
      </w:r>
      <w:proofErr w:type="spellEnd"/>
      <w:r>
        <w:rPr>
          <w:i/>
        </w:rPr>
        <w:t xml:space="preserve"> conditions at work can be seen from an ILO program called Support for the National Action Plan to combat child </w:t>
      </w:r>
      <w:proofErr w:type="spellStart"/>
      <w:r>
        <w:rPr>
          <w:i/>
        </w:rPr>
        <w:t>labour</w:t>
      </w:r>
      <w:proofErr w:type="spellEnd"/>
      <w:r>
        <w:rPr>
          <w:i/>
        </w:rPr>
        <w:t xml:space="preserve"> in Malawi (SNAP). The SNAP program works by combining community-based child </w:t>
      </w:r>
      <w:proofErr w:type="spellStart"/>
      <w:r>
        <w:rPr>
          <w:i/>
        </w:rPr>
        <w:t>labour</w:t>
      </w:r>
      <w:proofErr w:type="spellEnd"/>
      <w:r>
        <w:rPr>
          <w:i/>
        </w:rPr>
        <w:t xml:space="preserve"> monitoring system, investments in local infrastructure, and coordinated community action that aims to identify child </w:t>
      </w:r>
      <w:proofErr w:type="spellStart"/>
      <w:r>
        <w:rPr>
          <w:i/>
        </w:rPr>
        <w:t>labourers</w:t>
      </w:r>
      <w:proofErr w:type="spellEnd"/>
      <w:r>
        <w:rPr>
          <w:i/>
        </w:rPr>
        <w:t xml:space="preserve"> and ensures that they are given a chance to access education, training and eventually, employment.</w:t>
      </w:r>
      <w:r>
        <w:rPr>
          <w:b/>
          <w:i/>
          <w:vertAlign w:val="superscript"/>
        </w:rPr>
        <w:t>[33]</w:t>
      </w:r>
      <w:r>
        <w:rPr>
          <w:i/>
        </w:rPr>
        <w:t xml:space="preserve"> The ILO has reported that as a result of the SNAP program, increasing number of domestic workers are now working under a contract that is signed by the worker, the village chief, the employer and a representative of the community child </w:t>
      </w:r>
      <w:proofErr w:type="spellStart"/>
      <w:r>
        <w:rPr>
          <w:i/>
        </w:rPr>
        <w:t>labour</w:t>
      </w:r>
      <w:proofErr w:type="spellEnd"/>
      <w:r>
        <w:rPr>
          <w:i/>
        </w:rPr>
        <w:t xml:space="preserve"> committee that stipulates the number of working hours as well as the conditions. The contract also allows workers to spend part of the day at a Service Outlet, where they learn vocational skills which will enable them to start their own business</w:t>
      </w:r>
      <w:proofErr w:type="gramStart"/>
      <w:r>
        <w:rPr>
          <w:i/>
        </w:rPr>
        <w:t>…</w:t>
      </w:r>
      <w:r>
        <w:rPr>
          <w:b/>
          <w:i/>
          <w:vertAlign w:val="superscript"/>
        </w:rPr>
        <w:t>[</w:t>
      </w:r>
      <w:proofErr w:type="gramEnd"/>
      <w:r>
        <w:rPr>
          <w:b/>
          <w:i/>
          <w:vertAlign w:val="superscript"/>
        </w:rPr>
        <w:t>34]</w:t>
      </w:r>
    </w:p>
    <w:p w14:paraId="00000040" w14:textId="47648CDD" w:rsidR="002966D2" w:rsidRDefault="00000000">
      <w:pPr>
        <w:spacing w:after="160" w:line="256" w:lineRule="auto"/>
        <w:jc w:val="both"/>
      </w:pPr>
      <w:r>
        <w:t>The legal exclusion of workplaces employing under five people from the obligations to provide a written contract has dire consequences for the domestic work sector, which is predominantly female. It enables economic exploitation and is a clear obstruction to the realization of the right to just and favorable conditions under work, guaranteed by 5 (e)(</w:t>
      </w:r>
      <w:proofErr w:type="spellStart"/>
      <w:proofErr w:type="gramStart"/>
      <w:r>
        <w:t>i</w:t>
      </w:r>
      <w:proofErr w:type="spellEnd"/>
      <w:r>
        <w:t>)of</w:t>
      </w:r>
      <w:proofErr w:type="gramEnd"/>
      <w:r>
        <w:t xml:space="preserve"> CERD.  It also </w:t>
      </w:r>
      <w:r w:rsidR="00DB5791">
        <w:t>implicates article</w:t>
      </w:r>
      <w:r>
        <w:t xml:space="preserve"> </w:t>
      </w:r>
      <w:r>
        <w:lastRenderedPageBreak/>
        <w:t xml:space="preserve">20 of the Malawian Constitution, which protects against “all forms of discrimination,” including indirect discrimination </w:t>
      </w:r>
      <w:proofErr w:type="gramStart"/>
      <w:r>
        <w:t>on the basis of</w:t>
      </w:r>
      <w:proofErr w:type="gramEnd"/>
      <w:r>
        <w:t xml:space="preserve"> sex. </w:t>
      </w:r>
    </w:p>
    <w:p w14:paraId="00000041" w14:textId="77777777" w:rsidR="002966D2" w:rsidRDefault="00000000">
      <w:pPr>
        <w:spacing w:after="160" w:line="256" w:lineRule="auto"/>
        <w:jc w:val="both"/>
      </w:pPr>
      <w:r>
        <w:t>ILO C.189  requires Member States to take measures to ensure that domestic workers are informed of the terms and conditions of their employment in an appropriate, verifiable and easily understandable manner and preferably, where possible, through written contracts in accordance with national laws, regulations, or collective agreements.</w:t>
      </w:r>
      <w:r>
        <w:rPr>
          <w:vertAlign w:val="superscript"/>
        </w:rPr>
        <w:t>[35]</w:t>
      </w:r>
      <w:r>
        <w:t xml:space="preserve"> Many analogous countries, including  Namibia, South Africa, Zambia, Kenya, Tanzania, and  Zimbabwe, specify the need for the establishment of employment contracts, specifically for domestic workers. In these countries, a model contract of employment for domestic workers is also provided.</w:t>
      </w:r>
    </w:p>
    <w:p w14:paraId="00000042" w14:textId="77777777" w:rsidR="002966D2" w:rsidRDefault="00000000">
      <w:pPr>
        <w:numPr>
          <w:ilvl w:val="0"/>
          <w:numId w:val="1"/>
        </w:numPr>
        <w:spacing w:after="160" w:line="256" w:lineRule="auto"/>
        <w:jc w:val="both"/>
        <w:rPr>
          <w:i/>
        </w:rPr>
      </w:pPr>
      <w:r>
        <w:rPr>
          <w:i/>
        </w:rPr>
        <w:t>Child Domestic Workers</w:t>
      </w:r>
    </w:p>
    <w:p w14:paraId="00000043" w14:textId="77777777" w:rsidR="002966D2" w:rsidRDefault="00000000">
      <w:pPr>
        <w:spacing w:after="160" w:line="256" w:lineRule="auto"/>
        <w:jc w:val="both"/>
        <w:rPr>
          <w:vertAlign w:val="superscript"/>
        </w:rPr>
      </w:pPr>
      <w:r>
        <w:t xml:space="preserve">Section 21(1) of the EA prohibits the employment of any person under the age of 14 in any public or private agricultural, industrial or non-industrial undertaking. Section 21(2) however states that this prohibition does not include work done in “homes, vocational technical schools or other training institutions.” The Section contains a further provision in Subsection (2) with respect to work done in a vocational technical school or training program, which must be authorized and supervised by a public authority and be part of an education training program for which the school is responsible. However, there is no analogous provision for domestic workers. Consequently, children under the age of fourteen can legally work as domestic workers without the oversight provided to children working in vocational technical schools. The grouping of work in homes together with technical schools and training implies that the legislature does not view domestic work as proper work but as a form of training. This also explains the high number of child domestic workers in Malawi. </w:t>
      </w:r>
      <w:r>
        <w:rPr>
          <w:vertAlign w:val="superscript"/>
        </w:rPr>
        <w:t>[36]</w:t>
      </w:r>
    </w:p>
    <w:p w14:paraId="00000044" w14:textId="77777777" w:rsidR="002966D2" w:rsidRDefault="00000000">
      <w:pPr>
        <w:spacing w:after="160" w:line="256" w:lineRule="auto"/>
        <w:jc w:val="both"/>
      </w:pPr>
      <w:r>
        <w:t>However, article 23 of the Malawian Constitution entrenches the right to equal treatment of all children, defined as a person under 18 “regardless of the circumstances of their birth”, and determining that their best interests shall be the primary consideration in decisions impacting them.</w:t>
      </w:r>
      <w:r>
        <w:rPr>
          <w:vertAlign w:val="superscript"/>
        </w:rPr>
        <w:t>[37]</w:t>
      </w:r>
      <w:r>
        <w:t xml:space="preserve"> Arguably, the right to equal treatment is prima facie violated in article 21(1), which prohibits the employment of any person under the age of 14 in any public or private agricultural, industrial or non-industrial undertaking, but excludes domestic work from this provision. Given that domestic work is predominantly performed by women and girls who are economically disadvantaged, the absence of oversight and supervision required in the employment of persons under 14, amounts to indirect discrimination on the intersecting bases of sex, class and age in violation of CERD 5(1)(e</w:t>
      </w:r>
      <w:proofErr w:type="gramStart"/>
      <w:r>
        <w:t>)..</w:t>
      </w:r>
      <w:proofErr w:type="gramEnd"/>
    </w:p>
    <w:p w14:paraId="00000045" w14:textId="77777777" w:rsidR="002966D2" w:rsidRDefault="00000000">
      <w:pPr>
        <w:spacing w:after="160" w:line="256" w:lineRule="auto"/>
        <w:jc w:val="both"/>
      </w:pPr>
      <w:r>
        <w:t>The exclusion also runs counter to ILO C. 189, which recognizes that both child domestic workers and live-in domestic workers are particularly vulnerable and require special measures. Article 4(b), which requires that Member States ensure that work performed by domestic workers under the age of 18 and above the minimum age of employment does not deprive them of compulsory education or interfere with opportunities to participate in further education or vocational training. R. 201 elaborates that when employing a domestic worker under the age of 18,  but above the minimum age of employment defined by national law,  members must: (a) strictly limit their hours of work to ensure adequate time for rest, education and training, leisure activities and family contacts; (b) prohibiting night work; (c) placing restrictions on work that is excessively demanding, whether physically or psychologically; and (d) establishing or strengthening physical mechanisms to monitor their working and living conditions.</w:t>
      </w:r>
    </w:p>
    <w:p w14:paraId="00000046" w14:textId="77777777" w:rsidR="002966D2" w:rsidRDefault="00000000">
      <w:pPr>
        <w:jc w:val="both"/>
      </w:pPr>
      <w:r>
        <w:lastRenderedPageBreak/>
        <w:t xml:space="preserve">The EA does not in any way talk about the need for such children employed in private households to go to schools among other issues which hinders the efforts to eradicate child </w:t>
      </w:r>
      <w:proofErr w:type="spellStart"/>
      <w:r>
        <w:t>labour</w:t>
      </w:r>
      <w:proofErr w:type="spellEnd"/>
      <w:r>
        <w:t xml:space="preserve"> in Malawi.</w:t>
      </w:r>
    </w:p>
    <w:p w14:paraId="00000047" w14:textId="77777777" w:rsidR="002966D2" w:rsidRDefault="002966D2">
      <w:pPr>
        <w:jc w:val="both"/>
        <w:rPr>
          <w:sz w:val="24"/>
          <w:szCs w:val="24"/>
        </w:rPr>
      </w:pPr>
    </w:p>
    <w:p w14:paraId="00000048" w14:textId="77777777" w:rsidR="002966D2" w:rsidRDefault="00000000">
      <w:pPr>
        <w:spacing w:after="160" w:line="256" w:lineRule="auto"/>
        <w:jc w:val="both"/>
        <w:rPr>
          <w:i/>
          <w:sz w:val="24"/>
          <w:szCs w:val="24"/>
        </w:rPr>
      </w:pPr>
      <w:r>
        <w:rPr>
          <w:i/>
          <w:sz w:val="24"/>
          <w:szCs w:val="24"/>
        </w:rPr>
        <w:t>© The Right to Equal Pay for Equal Work (5</w:t>
      </w:r>
      <w:proofErr w:type="gramStart"/>
      <w:r>
        <w:rPr>
          <w:i/>
          <w:sz w:val="24"/>
          <w:szCs w:val="24"/>
        </w:rPr>
        <w:t>)e)(</w:t>
      </w:r>
      <w:proofErr w:type="spellStart"/>
      <w:proofErr w:type="gramEnd"/>
      <w:r>
        <w:rPr>
          <w:i/>
          <w:sz w:val="24"/>
          <w:szCs w:val="24"/>
        </w:rPr>
        <w:t>i</w:t>
      </w:r>
      <w:proofErr w:type="spellEnd"/>
      <w:r>
        <w:rPr>
          <w:i/>
          <w:sz w:val="24"/>
          <w:szCs w:val="24"/>
        </w:rPr>
        <w:t>))</w:t>
      </w:r>
    </w:p>
    <w:p w14:paraId="00000049" w14:textId="77777777" w:rsidR="002966D2" w:rsidRDefault="00000000">
      <w:pPr>
        <w:spacing w:after="160" w:line="256" w:lineRule="auto"/>
        <w:jc w:val="both"/>
        <w:rPr>
          <w:color w:val="1155CC"/>
          <w:u w:val="single"/>
        </w:rPr>
      </w:pPr>
      <w:r>
        <w:t xml:space="preserve">According to Section 54 of the Employment Act, the Minister for </w:t>
      </w:r>
      <w:proofErr w:type="spellStart"/>
      <w:r>
        <w:t>Labour</w:t>
      </w:r>
      <w:proofErr w:type="spellEnd"/>
      <w:r>
        <w:t xml:space="preserve"> may proclaim the minimum wages of any class of wage earners if the minister is of the view that doing so will be “expedient.”</w:t>
      </w:r>
      <w:r>
        <w:rPr>
          <w:vertAlign w:val="superscript"/>
        </w:rPr>
        <w:t>[38]</w:t>
      </w:r>
      <w:r>
        <w:t xml:space="preserve"> Malawi has a government-mandated minimum wage which from 1 February 2024 is</w:t>
      </w:r>
      <w:r>
        <w:rPr>
          <w:rFonts w:ascii="Calibri" w:eastAsia="Calibri" w:hAnsi="Calibri" w:cs="Calibri"/>
        </w:rPr>
        <w:t xml:space="preserve"> MWK3,461.54 per day and MWK90,000.04 per month</w:t>
      </w:r>
      <w:r>
        <w:t xml:space="preserve"> for both urban and rural areas.</w:t>
      </w:r>
      <w:r>
        <w:rPr>
          <w:vertAlign w:val="superscript"/>
        </w:rPr>
        <w:t>[39]</w:t>
      </w:r>
      <w:r>
        <w:t xml:space="preserve"> Since 1993, the Minister of </w:t>
      </w:r>
      <w:proofErr w:type="spellStart"/>
      <w:r>
        <w:t>Labour</w:t>
      </w:r>
      <w:proofErr w:type="spellEnd"/>
      <w:r>
        <w:t xml:space="preserve"> has proclaimed a separate minimum wage for domestic workers. In 2012, the Minister of </w:t>
      </w:r>
      <w:proofErr w:type="spellStart"/>
      <w:r>
        <w:t>Labour</w:t>
      </w:r>
      <w:proofErr w:type="spellEnd"/>
      <w:r>
        <w:t xml:space="preserve"> increased the minimum wage for domestic workers from MWK178.25 to MWK317.</w:t>
      </w:r>
      <w:r>
        <w:rPr>
          <w:vertAlign w:val="superscript"/>
        </w:rPr>
        <w:t>[40]</w:t>
      </w:r>
      <w:r>
        <w:t xml:space="preserve"> A proclamation by the minister of </w:t>
      </w:r>
      <w:proofErr w:type="spellStart"/>
      <w:r>
        <w:t>labour</w:t>
      </w:r>
      <w:proofErr w:type="spellEnd"/>
      <w:r>
        <w:t xml:space="preserve"> set the minimum wage for domestic workers at MWK962.00 per day. The current minimum wage for r domestic workers, </w:t>
      </w:r>
      <w:proofErr w:type="gramStart"/>
      <w:r>
        <w:t>is  MWK</w:t>
      </w:r>
      <w:proofErr w:type="gramEnd"/>
      <w:r>
        <w:t>2,000.00 per day and MWK52,000.00 per month.</w:t>
      </w:r>
    </w:p>
    <w:p w14:paraId="0000004A" w14:textId="0AC302B9" w:rsidR="002966D2" w:rsidRDefault="00000000">
      <w:pPr>
        <w:spacing w:after="160" w:line="256" w:lineRule="auto"/>
        <w:jc w:val="both"/>
        <w:rPr>
          <w:vertAlign w:val="superscript"/>
        </w:rPr>
      </w:pPr>
      <w:r>
        <w:t xml:space="preserve">The separate and lower wage for this female dominated sector arguably amounts to indirect discrimination on the basis of sex and gender and violates Section 31 of the Malawian Constitution, which states that “every person shall have the right to (…) fair remuneration” and Section 31(3) which declares that “[e]very person shall be entitled to fair wages and equal remuneration for work of equal value without distinction of any kind, in particular on basis of gender, disability or race."  Both the CERD committee and </w:t>
      </w:r>
      <w:r w:rsidR="00DB5791">
        <w:t>the ICESCR</w:t>
      </w:r>
      <w:r>
        <w:t xml:space="preserve"> committee have previously found that all workers should be included in one national minimum wage, and there should not be sectoral distinctions. Similarly, under ILO C.189, if there is a minimum wage in a country, it must apply to domestic workers as well.</w:t>
      </w:r>
      <w:r>
        <w:rPr>
          <w:vertAlign w:val="superscript"/>
        </w:rPr>
        <w:t>[42]</w:t>
      </w:r>
    </w:p>
    <w:p w14:paraId="0000004B" w14:textId="77777777" w:rsidR="002966D2" w:rsidRDefault="00000000">
      <w:pPr>
        <w:spacing w:before="100" w:after="100"/>
        <w:jc w:val="both"/>
        <w:rPr>
          <w:vertAlign w:val="superscript"/>
        </w:rPr>
      </w:pPr>
      <w:r>
        <w:rPr>
          <w:highlight w:val="white"/>
        </w:rPr>
        <w:t>Some authors have argued that the enforcement by the state of the minimum wage is hampered by the fact that the Malawian government itself has failed to meet the minimum wage requirements for some of its workers.</w:t>
      </w:r>
      <w:r>
        <w:rPr>
          <w:highlight w:val="white"/>
          <w:vertAlign w:val="superscript"/>
        </w:rPr>
        <w:t>[43]</w:t>
      </w:r>
      <w:r>
        <w:rPr>
          <w:highlight w:val="white"/>
        </w:rPr>
        <w:t xml:space="preserve"> CIAWU advised there are still reports of some employees who are not complying.</w:t>
      </w:r>
      <w:r>
        <w:t xml:space="preserve"> There have also been some reports that the costs of food, clothes and accommodation being included in wages, with the employer being in the position to decide if these are deducted from the agreed upon wage or given as addition to the wage.</w:t>
      </w:r>
      <w:r>
        <w:rPr>
          <w:vertAlign w:val="superscript"/>
        </w:rPr>
        <w:t>[44]</w:t>
      </w:r>
    </w:p>
    <w:p w14:paraId="0000004C" w14:textId="77777777" w:rsidR="002966D2" w:rsidRDefault="00000000">
      <w:pPr>
        <w:spacing w:before="100" w:after="100"/>
        <w:jc w:val="both"/>
        <w:rPr>
          <w:vertAlign w:val="superscript"/>
        </w:rPr>
      </w:pPr>
      <w:r>
        <w:t>Under Section 52(2), the employer cannot deduct from an employee’s wages any amount except for the following: (1) the employee’s contribution to a compulsory social security scheme; (2) an amount to be deducted in accordance with law or a court order, provided that such deduction does not exceed 50% of the wages payable in the wage period; (3) an amount authorized by the employee in writing which is not greater in aggregate to an amount equal to one-half of the wages of the employee and which (</w:t>
      </w:r>
      <w:proofErr w:type="spellStart"/>
      <w:r>
        <w:t>i</w:t>
      </w:r>
      <w:proofErr w:type="spellEnd"/>
      <w:r>
        <w:t>) is due to the employee in respect of housing furnished by the employer to the employee, goods sold by the employer to the employee or any loan or advance on his wages granted by the employer to the employee; (ii) the employer has paid or has undertaken to pay in connection with any loan granted to such employee in order to acquire a dwelling or in connection with the hiring of a dwelling or other accommodation; or (iii) the employee owes to a vacation, sick, medical, insurance, savings, provident or pension fund. It is however important to note that the Employment Act explains that any deductions from the wages of the employer must not be for the purpose of obtaining or retaining employment.</w:t>
      </w:r>
      <w:r>
        <w:rPr>
          <w:vertAlign w:val="superscript"/>
        </w:rPr>
        <w:t>[45]</w:t>
      </w:r>
    </w:p>
    <w:p w14:paraId="0000004D" w14:textId="6371CDDD" w:rsidR="002966D2" w:rsidRDefault="00000000">
      <w:pPr>
        <w:spacing w:before="100" w:after="100"/>
        <w:jc w:val="both"/>
      </w:pPr>
      <w:r>
        <w:t xml:space="preserve">However, in terms of ILO C.189 and Recommendation 201, provision for payment in kind must be a limited proportion of remuneration so as not to unduly </w:t>
      </w:r>
      <w:r w:rsidR="00DB5791">
        <w:t>diminish the</w:t>
      </w:r>
      <w:r>
        <w:t xml:space="preserve"> remuneration required to </w:t>
      </w:r>
      <w:r>
        <w:lastRenderedPageBreak/>
        <w:t xml:space="preserve">adequately support the domestic worker and her family. </w:t>
      </w:r>
      <w:proofErr w:type="gramStart"/>
      <w:r>
        <w:t>In particular, ensuring</w:t>
      </w:r>
      <w:proofErr w:type="gramEnd"/>
      <w:r>
        <w:t xml:space="preserve"> that when a domestic worker is required to live in accommodations provided by the household, no deduction be made from remuneration, unless otherwise agreed. Further, accommodation must meet certain conditions: a separate, private room, good quality meals and adequate light and/or appropriate heating/air conditioning. Further items directly related to work such as uniforms and protective clothing should not be deducted from remuneration.</w:t>
      </w:r>
    </w:p>
    <w:p w14:paraId="0000004E" w14:textId="6B5D48C8" w:rsidR="002966D2" w:rsidRDefault="00000000">
      <w:pPr>
        <w:spacing w:before="100" w:after="100"/>
        <w:jc w:val="both"/>
      </w:pPr>
      <w:r>
        <w:t>It is doubtful that a deduction of up to half a domestic worker’s salary under Section 52(2) of the Employment Act would comply with either Article 5(e)(</w:t>
      </w:r>
      <w:proofErr w:type="spellStart"/>
      <w:r>
        <w:t>i</w:t>
      </w:r>
      <w:proofErr w:type="spellEnd"/>
      <w:r>
        <w:t xml:space="preserve">) of CERD on the right to equal pay for equal work and just and favorable remuneration. Similarly, it would not comply </w:t>
      </w:r>
      <w:r w:rsidR="00DB5791">
        <w:t>with ILO</w:t>
      </w:r>
      <w:r>
        <w:t xml:space="preserve"> C.189 </w:t>
      </w:r>
      <w:r w:rsidR="00DB5791">
        <w:t>and ILO</w:t>
      </w:r>
      <w:r>
        <w:t xml:space="preserve"> Recommendation 201 and Section 7 (a) of the ICESCR, requiring fair wages for enough domestic workers to afford a decent living for themselves and their families.</w:t>
      </w:r>
    </w:p>
    <w:p w14:paraId="0000004F" w14:textId="77777777" w:rsidR="002966D2" w:rsidRDefault="00000000">
      <w:pPr>
        <w:spacing w:before="240" w:after="240"/>
        <w:jc w:val="both"/>
      </w:pPr>
      <w:r>
        <w:t>(d) Working hours:</w:t>
      </w:r>
      <w:r>
        <w:rPr>
          <w:b/>
        </w:rPr>
        <w:t xml:space="preserve"> </w:t>
      </w:r>
      <w:r>
        <w:t xml:space="preserve">Section 36 of the Employment Act provides for a 48 working hours per week is the maximum number of hours that any employee is allowed excluding overtime. The Employment Act further states that no employee is allowed to work for more than six consecutive days without a period of rest, comprising at least twenty-four consecutive hours, which shall be taken on a customary day of </w:t>
      </w:r>
      <w:proofErr w:type="gramStart"/>
      <w:r>
        <w:t>rest</w:t>
      </w:r>
      <w:proofErr w:type="gramEnd"/>
      <w:r>
        <w:t xml:space="preserve"> or a day agreed upon between the parties. Section 39 of the Employment Act mandates the payment of overtime in certain instances as well as the rate that must be paid at minimum. </w:t>
      </w:r>
    </w:p>
    <w:p w14:paraId="00000050" w14:textId="77777777" w:rsidR="002966D2" w:rsidRDefault="00000000">
      <w:pPr>
        <w:spacing w:before="240" w:after="240"/>
        <w:jc w:val="both"/>
        <w:rPr>
          <w:sz w:val="26"/>
          <w:szCs w:val="26"/>
        </w:rPr>
      </w:pPr>
      <w:r>
        <w:t xml:space="preserve">Civil society reports confirm that domestic workers are often working hours well beyond 48 </w:t>
      </w:r>
      <w:proofErr w:type="spellStart"/>
      <w:r>
        <w:t>hr</w:t>
      </w:r>
      <w:proofErr w:type="spellEnd"/>
      <w:r>
        <w:t xml:space="preserve"> weekly, without overtime pay. Furthermore, they are regularly compelled by employers to work on public holidays, without being paid double their normal wage.</w:t>
      </w:r>
    </w:p>
    <w:p w14:paraId="00000051" w14:textId="77777777" w:rsidR="002966D2" w:rsidRDefault="00000000">
      <w:pPr>
        <w:rPr>
          <w:b/>
          <w:sz w:val="24"/>
          <w:szCs w:val="24"/>
        </w:rPr>
      </w:pPr>
      <w:r>
        <w:rPr>
          <w:b/>
          <w:sz w:val="24"/>
          <w:szCs w:val="24"/>
        </w:rPr>
        <w:t>(iii) The Right to Public Health, Medical Care, Social Security, and Social Services (Article 5(e)(iv)</w:t>
      </w:r>
    </w:p>
    <w:p w14:paraId="00000052" w14:textId="77777777" w:rsidR="002966D2" w:rsidRDefault="00000000">
      <w:pPr>
        <w:spacing w:after="160" w:line="256" w:lineRule="auto"/>
        <w:jc w:val="both"/>
      </w:pPr>
      <w:r>
        <w:t>The Workers Compensation Act, 7 of 2000 (WCA) was enacted to provide compensation for injuries suffered or diseases contracted by workers in the course of their employment or for death resulting from such injuries or diseases, and to provide for the establishment and administration of a Workers' Compensation Fund.</w:t>
      </w:r>
    </w:p>
    <w:p w14:paraId="00000053" w14:textId="77777777" w:rsidR="002966D2" w:rsidRDefault="00000000">
      <w:pPr>
        <w:spacing w:after="160" w:line="256" w:lineRule="auto"/>
        <w:jc w:val="both"/>
      </w:pPr>
      <w:r>
        <w:t>Section 2 of the WCA defines a worker as any person who works under a contract of service or apprenticeship with an employer in any employment, whether the contract is expressed orally or in writing or is implied. However, the section goes on to exclude “a member of the employer's family living in the employer's house.” Section 3 of the WCA defines a "business" as any industry, undertaking, trade, occupation or other activity in which a worker is employed. An “employer” is defined as “including the Government (except the armed forces of Malawi), a local authority, anybody or association of persons, corporate or unincorporated, and the personal representative of a deceased employer.”</w:t>
      </w:r>
    </w:p>
    <w:p w14:paraId="00000054" w14:textId="77777777" w:rsidR="002966D2" w:rsidRDefault="00000000">
      <w:pPr>
        <w:spacing w:after="160" w:line="256" w:lineRule="auto"/>
        <w:jc w:val="both"/>
      </w:pPr>
      <w:r>
        <w:t xml:space="preserve">The exclusion of “a member of the employer’s family living in the employer’s house,” would clearly mean that a domestic worker who is family and living in the house would not be able to claim from the fund in the event of injury or illness at work. It is also not immediately clear if this definition of employers includes individual persons as employers and the definition of “business” includes a private home. A particularly vulnerable class of domestic workers, those employed by family </w:t>
      </w:r>
      <w:r>
        <w:lastRenderedPageBreak/>
        <w:t>members, are therefore explicitly excluded from one of the most important socio-economic safety net mechanisms for workers who are injured, disabled or fall ill during the employment.</w:t>
      </w:r>
      <w:r>
        <w:rPr>
          <w:vertAlign w:val="superscript"/>
        </w:rPr>
        <w:t>[46]</w:t>
      </w:r>
    </w:p>
    <w:p w14:paraId="00000055" w14:textId="77777777" w:rsidR="002966D2" w:rsidRDefault="00000000">
      <w:pPr>
        <w:spacing w:after="160" w:line="256" w:lineRule="auto"/>
        <w:jc w:val="both"/>
      </w:pPr>
      <w:r>
        <w:t xml:space="preserve">CERD under Article 5(e(Iv) guarantees the right to social security, that is free from discriminatory restrictions. ILO C.189 on Domestic Work similarly imposes the obligation to take measures to ensure the progressive realization of occupational health and safety for all domestic workers. </w:t>
      </w:r>
    </w:p>
    <w:p w14:paraId="00000056" w14:textId="77777777" w:rsidR="002966D2" w:rsidRDefault="00000000">
      <w:pPr>
        <w:spacing w:after="160" w:line="256" w:lineRule="auto"/>
        <w:jc w:val="both"/>
        <w:rPr>
          <w:vertAlign w:val="superscript"/>
        </w:rPr>
      </w:pPr>
      <w:r>
        <w:t xml:space="preserve">The exclusion of family members, who are employed as domestic workers in the home, from claiming compensation in cases of occupational injury essentially removes a particularly vulnerable class of domestic workers—family workers, who are frequently children, from critical workplace rights. It has gendered impacts, and arguably emanates from customs and practices that can be harmful and amounts to discrimination </w:t>
      </w:r>
      <w:proofErr w:type="gramStart"/>
      <w:r>
        <w:t>on the basis of</w:t>
      </w:r>
      <w:proofErr w:type="gramEnd"/>
      <w:r>
        <w:t xml:space="preserve"> gender at work.</w:t>
      </w:r>
      <w:r>
        <w:rPr>
          <w:vertAlign w:val="superscript"/>
        </w:rPr>
        <w:t xml:space="preserve"> [65]</w:t>
      </w:r>
    </w:p>
    <w:p w14:paraId="00000057" w14:textId="77777777" w:rsidR="002966D2" w:rsidRDefault="00000000">
      <w:pPr>
        <w:spacing w:after="160" w:line="256" w:lineRule="auto"/>
        <w:jc w:val="both"/>
      </w:pPr>
      <w:r>
        <w:t>The Pensions Act 6 of 2011 was adopted to regulate all employment related benefit entitlements arising from retirement, death or incapacitation. The Pensions Act mandates each employer to maintain a mandatory life insurance for each employee on a pension scheme. Under the Act, the employer is obligated to contribute 10%, and the employee, 5%, but Section 6(1)(a) states that this provision is limited to an employer who has more than 5 employees.</w:t>
      </w:r>
    </w:p>
    <w:p w14:paraId="00000058" w14:textId="77777777" w:rsidR="002966D2" w:rsidRDefault="00000000">
      <w:pPr>
        <w:spacing w:after="160" w:line="256" w:lineRule="auto"/>
        <w:jc w:val="both"/>
      </w:pPr>
      <w:r>
        <w:t>Similarly, Section 6(3) of the Employment (Amendment) Act of 2010 provides that “an employer whose employee’s monthly salary is below ten thousand kwachas may be exempted from complying with the provisions of the Pension Act.”</w:t>
      </w:r>
      <w:r>
        <w:rPr>
          <w:vertAlign w:val="superscript"/>
        </w:rPr>
        <w:t>[66]</w:t>
      </w:r>
      <w:r>
        <w:t xml:space="preserve"> Section 35(a) of the Employment Act provides that where an employer is exempt from providing employment benefits to employees, the employer shall, on termination, pay the employee a gratuity equal to 5%of the monthly salary of the employee for every completed year of service.</w:t>
      </w:r>
    </w:p>
    <w:p w14:paraId="00000059" w14:textId="77777777" w:rsidR="002966D2" w:rsidRDefault="00000000">
      <w:pPr>
        <w:spacing w:after="160" w:line="256" w:lineRule="auto"/>
        <w:jc w:val="both"/>
        <w:rPr>
          <w:sz w:val="26"/>
          <w:szCs w:val="26"/>
        </w:rPr>
      </w:pPr>
      <w:r>
        <w:t>While domestic workers’ minimum wage is more than MWK10,000, they are largely excluded from the operation of this Act, as most employers believe that this provision is only binding on formal employers. In some cases, domestic workers receive gratuity when they retire because of the exclusion from the Pensions Act.</w:t>
      </w:r>
    </w:p>
    <w:p w14:paraId="0000005A" w14:textId="77777777" w:rsidR="002966D2" w:rsidRDefault="002966D2">
      <w:pPr>
        <w:rPr>
          <w:sz w:val="28"/>
          <w:szCs w:val="28"/>
        </w:rPr>
      </w:pPr>
    </w:p>
    <w:p w14:paraId="0000005B" w14:textId="77777777" w:rsidR="002966D2" w:rsidRDefault="00000000">
      <w:pPr>
        <w:rPr>
          <w:b/>
          <w:sz w:val="24"/>
          <w:szCs w:val="24"/>
        </w:rPr>
      </w:pPr>
      <w:r>
        <w:rPr>
          <w:b/>
          <w:sz w:val="24"/>
          <w:szCs w:val="24"/>
        </w:rPr>
        <w:t>(IV)</w:t>
      </w:r>
      <w:r>
        <w:rPr>
          <w:b/>
          <w:sz w:val="24"/>
          <w:szCs w:val="24"/>
        </w:rPr>
        <w:tab/>
        <w:t xml:space="preserve"> Article: 5(e)(ii)) Right to Form and Join Trade Unions</w:t>
      </w:r>
    </w:p>
    <w:p w14:paraId="0000005C" w14:textId="77777777" w:rsidR="002966D2" w:rsidRDefault="002966D2">
      <w:pPr>
        <w:rPr>
          <w:b/>
          <w:sz w:val="28"/>
          <w:szCs w:val="28"/>
        </w:rPr>
      </w:pPr>
    </w:p>
    <w:p w14:paraId="0000005D" w14:textId="0DE1B3BA" w:rsidR="002966D2" w:rsidRDefault="00000000">
      <w:r>
        <w:t xml:space="preserve">Although domestic workers are not excluded from collective rights </w:t>
      </w:r>
      <w:proofErr w:type="spellStart"/>
      <w:r>
        <w:t>labour</w:t>
      </w:r>
      <w:proofErr w:type="spellEnd"/>
      <w:r>
        <w:t xml:space="preserve">, the absence of a sectoral bargaining structure in the sector impedes the full realization of this right. Indeed, given the exclusion from provisions requiring contracts, </w:t>
      </w:r>
      <w:r w:rsidR="00DB5791">
        <w:t>or the</w:t>
      </w:r>
      <w:r>
        <w:t xml:space="preserve"> capacity to bargain any form of a contract or question household heads, there is a propensity to treat domestic workers as children who </w:t>
      </w:r>
      <w:r w:rsidR="00DB5791">
        <w:t>part of a family are</w:t>
      </w:r>
      <w:r>
        <w:t xml:space="preserve"> and not as workers with equal bargaining power. Most employers invite young female kin to come to the city and help with domestic chores.  Indeed, authors such as Pape further find that the impact of rising inflation and cost of living, as well as rampant unemployment, has been the increase in employing and exploiting family members as domestic workers.   </w:t>
      </w:r>
    </w:p>
    <w:p w14:paraId="0000005E" w14:textId="77777777" w:rsidR="002966D2" w:rsidRDefault="002966D2">
      <w:pPr>
        <w:rPr>
          <w:sz w:val="28"/>
          <w:szCs w:val="28"/>
        </w:rPr>
      </w:pPr>
    </w:p>
    <w:p w14:paraId="0000005F" w14:textId="77777777" w:rsidR="002966D2" w:rsidRDefault="00000000">
      <w:pPr>
        <w:rPr>
          <w:b/>
          <w:sz w:val="24"/>
          <w:szCs w:val="24"/>
        </w:rPr>
      </w:pPr>
      <w:r>
        <w:rPr>
          <w:b/>
          <w:sz w:val="24"/>
          <w:szCs w:val="24"/>
        </w:rPr>
        <w:t>(V) Article 5(b) The Right to Security of Persons and Protection by the State against Violence or Bodily Harm whether Inflicted by the Government Officials or by an Individual Group or Institution</w:t>
      </w:r>
    </w:p>
    <w:p w14:paraId="00000060" w14:textId="77777777" w:rsidR="002966D2" w:rsidRDefault="002966D2"/>
    <w:p w14:paraId="00000061" w14:textId="77777777" w:rsidR="002966D2" w:rsidRDefault="00000000">
      <w:r>
        <w:lastRenderedPageBreak/>
        <w:t xml:space="preserve">Although the Employment Act does not address sexual harassment, in 2013 Malawi enacted the Gender Equality Act (GEA) to “promote gender equality, equal integration, influence, empowerment, dignity and opportunities, for men and women in all functions of society, to prohibit and provide redress for sex discrimination, harmful practices and sexual harassment, to provide for public awareness on promotion of gender equality, and to provide for connected matters.” Further, the Industrial Relations Court of Malawi (IRC) has recognized in </w:t>
      </w:r>
      <w:r>
        <w:rPr>
          <w:i/>
        </w:rPr>
        <w:t>Phiri v Small Holders Coffee Farmers Trust</w:t>
      </w:r>
      <w:r>
        <w:t xml:space="preserve"> that sexual harassment is a form of discrimination </w:t>
      </w:r>
      <w:proofErr w:type="gramStart"/>
      <w:r>
        <w:t>on the basis of</w:t>
      </w:r>
      <w:proofErr w:type="gramEnd"/>
      <w:r>
        <w:t xml:space="preserve"> gender and sex as it tends to prevail against women more than men due to gender roles created in the workplace.</w:t>
      </w:r>
      <w:r>
        <w:rPr>
          <w:vertAlign w:val="superscript"/>
        </w:rPr>
        <w:t>[47]</w:t>
      </w:r>
    </w:p>
    <w:p w14:paraId="00000062" w14:textId="77777777" w:rsidR="002966D2" w:rsidRDefault="00000000">
      <w:r>
        <w:t xml:space="preserve"> </w:t>
      </w:r>
    </w:p>
    <w:p w14:paraId="00000063" w14:textId="77777777" w:rsidR="002966D2" w:rsidRDefault="00000000">
      <w:r>
        <w:t>Section 6 of the GEA states that a person commits an act of sexual harassment if he or she engages in any form of unwanted verbal, non-verbal or physical conduct of sexual nature in circumstances in which a reasonable person, having regard to all circumstances, would have anticipated that the other person would be offended, humiliated or intimidated. Under Section 6(2) of the GEA, a person who sexually harasses another commits an offense and is liable for a fine of MWK1,000,000 and imprisonment of up to 5 years. Under Section 7, the government is obliged to take active measures to ensure that employers have developed and implemented appropriate policies and procedures to eliminate sexual harassment.</w:t>
      </w:r>
    </w:p>
    <w:p w14:paraId="00000064" w14:textId="77777777" w:rsidR="002966D2" w:rsidRDefault="00000000">
      <w:r>
        <w:t xml:space="preserve"> </w:t>
      </w:r>
    </w:p>
    <w:p w14:paraId="00000065" w14:textId="77777777" w:rsidR="002966D2" w:rsidRDefault="00000000">
      <w:r>
        <w:t>The reliance on the reasonable person to determine if sexual harassment occurs has been criticized as undermining the experiences and perceptions of the person being harassed and therefore setting the protection back.</w:t>
      </w:r>
      <w:r>
        <w:rPr>
          <w:vertAlign w:val="superscript"/>
        </w:rPr>
        <w:t xml:space="preserve"> [48</w:t>
      </w:r>
      <w:proofErr w:type="gramStart"/>
      <w:r>
        <w:rPr>
          <w:vertAlign w:val="superscript"/>
        </w:rPr>
        <w:t xml:space="preserve">]  </w:t>
      </w:r>
      <w:r>
        <w:t>Some</w:t>
      </w:r>
      <w:proofErr w:type="gramEnd"/>
      <w:r>
        <w:t xml:space="preserve"> have argued that the set-back could be mitigated by the application of a reasonable person in the context of gender equality and the right to dignity as entrenched by the Constitution of Malawi. Any contrary application of the reasonable person that is particularly  informed by cultural, religious and traditional norms and belief systems will severely undermine women’s access to justice and would therefore is impermissible.</w:t>
      </w:r>
      <w:r>
        <w:rPr>
          <w:vertAlign w:val="superscript"/>
        </w:rPr>
        <w:t xml:space="preserve">[49]  </w:t>
      </w:r>
      <w:r>
        <w:t>Under ILO C.190, it is “unacceptable behavior” that results or is likely to result in “physical, psychological, sexual or economic harm” that is impugned, other than “unwanted conduct (…) of a sexual nature”.</w:t>
      </w:r>
      <w:r>
        <w:rPr>
          <w:vertAlign w:val="superscript"/>
        </w:rPr>
        <w:t>[50]</w:t>
      </w:r>
    </w:p>
    <w:p w14:paraId="00000066" w14:textId="77777777" w:rsidR="002966D2" w:rsidRDefault="00000000">
      <w:r>
        <w:t xml:space="preserve"> </w:t>
      </w:r>
    </w:p>
    <w:p w14:paraId="00000067" w14:textId="6D25E883" w:rsidR="002966D2" w:rsidRDefault="00000000">
      <w:r>
        <w:t>The framing of sexual harassment under the GEA is also limited to “conduct of a sexual nature</w:t>
      </w:r>
      <w:r w:rsidR="00DB5791">
        <w:t>” and</w:t>
      </w:r>
      <w:r>
        <w:t xml:space="preserve"> does not address </w:t>
      </w:r>
      <w:r w:rsidR="00DB5791">
        <w:t>gender-based</w:t>
      </w:r>
      <w:r>
        <w:t xml:space="preserve"> harassment that is not “sexual” in nature or broader harassment that is not based on discriminatory grounds. Domestic workers in Malawi experience violence and abuse at the hands of their employers, and other members of the employer family in the household they work in. This violence is often physical, sexual and verbal compounded by their characterization as worthless members of society.</w:t>
      </w:r>
      <w:r>
        <w:rPr>
          <w:vertAlign w:val="superscript"/>
        </w:rPr>
        <w:t>[51]</w:t>
      </w:r>
    </w:p>
    <w:p w14:paraId="00000068" w14:textId="77777777" w:rsidR="002966D2" w:rsidRDefault="00000000">
      <w:r>
        <w:t xml:space="preserve"> </w:t>
      </w:r>
    </w:p>
    <w:p w14:paraId="00000069" w14:textId="77777777" w:rsidR="002966D2" w:rsidRDefault="00000000">
      <w:r>
        <w:t>Additionally, the abuse experienced has economic components such as being overworked, food deprived, insufficiently paid or not payment, and isolation from the outside community.</w:t>
      </w:r>
      <w:r>
        <w:rPr>
          <w:vertAlign w:val="superscript"/>
        </w:rPr>
        <w:t>[52]</w:t>
      </w:r>
      <w:r>
        <w:t xml:space="preserve"> Because domestic workers are overloaded with tasks, they are accused of breaking utensils or eating more than what their employers wish they would, which often exposes them to physical violence.</w:t>
      </w:r>
      <w:r>
        <w:rPr>
          <w:vertAlign w:val="superscript"/>
        </w:rPr>
        <w:t>[53]</w:t>
      </w:r>
      <w:r>
        <w:t xml:space="preserve"> Workers are constantly victims of suspicion, so whenever any item goes missing in the household, they are the first to be accused of theft and abused with threats, physical violence, police conviction and even dismissal.</w:t>
      </w:r>
      <w:r>
        <w:rPr>
          <w:vertAlign w:val="superscript"/>
        </w:rPr>
        <w:t>[54]</w:t>
      </w:r>
      <w:r>
        <w:t xml:space="preserve"> Domestic workers have explained that they </w:t>
      </w:r>
      <w:r>
        <w:lastRenderedPageBreak/>
        <w:t>tolerate and persevere even where such violence and abuse was/is painful to bear because deciding not to means that they have to go back to their previous lives marred with even higher levels of poverty.</w:t>
      </w:r>
      <w:r>
        <w:rPr>
          <w:vertAlign w:val="superscript"/>
        </w:rPr>
        <w:t>[58]</w:t>
      </w:r>
    </w:p>
    <w:p w14:paraId="0000006A" w14:textId="77777777" w:rsidR="002966D2" w:rsidRDefault="002966D2">
      <w:pPr>
        <w:rPr>
          <w:sz w:val="28"/>
          <w:szCs w:val="28"/>
        </w:rPr>
      </w:pPr>
    </w:p>
    <w:p w14:paraId="0000006B" w14:textId="77777777" w:rsidR="002966D2" w:rsidRDefault="00000000">
      <w:pPr>
        <w:rPr>
          <w:sz w:val="24"/>
          <w:szCs w:val="24"/>
        </w:rPr>
      </w:pPr>
      <w:r>
        <w:rPr>
          <w:sz w:val="24"/>
          <w:szCs w:val="24"/>
        </w:rPr>
        <w:t>(IV) Inclusion in Labor Laws, but Absence of Enforcement and Discriminatory Gaps</w:t>
      </w:r>
    </w:p>
    <w:p w14:paraId="0000006C" w14:textId="77777777" w:rsidR="002966D2" w:rsidRDefault="002966D2"/>
    <w:p w14:paraId="0000006D" w14:textId="77777777" w:rsidR="002966D2" w:rsidRDefault="00000000">
      <w:pPr>
        <w:spacing w:after="160" w:line="256" w:lineRule="auto"/>
        <w:jc w:val="both"/>
      </w:pPr>
      <w:proofErr w:type="spellStart"/>
      <w:r>
        <w:t>Labour</w:t>
      </w:r>
      <w:proofErr w:type="spellEnd"/>
      <w:r>
        <w:t xml:space="preserve"> officers who conduct </w:t>
      </w:r>
      <w:proofErr w:type="spellStart"/>
      <w:r>
        <w:t>labour</w:t>
      </w:r>
      <w:proofErr w:type="spellEnd"/>
      <w:r>
        <w:t xml:space="preserve"> inspections can only enter private homes with the consent of the employer or an order from a magistrate.</w:t>
      </w:r>
      <w:r>
        <w:rPr>
          <w:vertAlign w:val="superscript"/>
        </w:rPr>
        <w:t>[59]</w:t>
      </w:r>
      <w:r>
        <w:t xml:space="preserve"> In contrast, under Section 9 of the EA, </w:t>
      </w:r>
      <w:proofErr w:type="spellStart"/>
      <w:r>
        <w:t>labour</w:t>
      </w:r>
      <w:proofErr w:type="spellEnd"/>
      <w:r>
        <w:t xml:space="preserve"> officers have the power to “freely and without prior notice any time of the day or night” enter any premises that “he reasonably believes to be a workplace.”</w:t>
      </w:r>
    </w:p>
    <w:p w14:paraId="0000006E" w14:textId="77777777" w:rsidR="002966D2" w:rsidRDefault="00000000">
      <w:pPr>
        <w:spacing w:after="160" w:line="256" w:lineRule="auto"/>
        <w:jc w:val="both"/>
      </w:pPr>
      <w:r>
        <w:t xml:space="preserve">Limiting the inspector’s ability to enter private homes by requiring the owner’s consent,  inhibits </w:t>
      </w:r>
      <w:proofErr w:type="spellStart"/>
      <w:r>
        <w:t>labour</w:t>
      </w:r>
      <w:proofErr w:type="spellEnd"/>
      <w:r>
        <w:t xml:space="preserve"> inspections.</w:t>
      </w:r>
      <w:r>
        <w:rPr>
          <w:vertAlign w:val="superscript"/>
        </w:rPr>
        <w:t>[60]</w:t>
      </w:r>
      <w:r>
        <w:t xml:space="preserve"> The process of seeking the consent of the employer for a </w:t>
      </w:r>
      <w:proofErr w:type="spellStart"/>
      <w:r>
        <w:t>labour</w:t>
      </w:r>
      <w:proofErr w:type="spellEnd"/>
      <w:r>
        <w:t xml:space="preserve"> inspection inevitably compromises the purpose and protections that comes from the </w:t>
      </w:r>
      <w:proofErr w:type="spellStart"/>
      <w:r>
        <w:t>labour</w:t>
      </w:r>
      <w:proofErr w:type="spellEnd"/>
      <w:r>
        <w:t xml:space="preserve"> inspector.</w:t>
      </w:r>
      <w:r>
        <w:rPr>
          <w:vertAlign w:val="superscript"/>
        </w:rPr>
        <w:t>[61]</w:t>
      </w:r>
      <w:r>
        <w:t xml:space="preserve"> The requirement for the warrant from the magistrate also burdens the work of the </w:t>
      </w:r>
      <w:proofErr w:type="spellStart"/>
      <w:r>
        <w:t>labour</w:t>
      </w:r>
      <w:proofErr w:type="spellEnd"/>
      <w:r>
        <w:t xml:space="preserve"> inspector which means that they are unlikely to inspect any private homes where domestic workers are employed.</w:t>
      </w:r>
      <w:r>
        <w:rPr>
          <w:vertAlign w:val="superscript"/>
        </w:rPr>
        <w:t>[62]</w:t>
      </w:r>
      <w:r>
        <w:t xml:space="preserve"> </w:t>
      </w:r>
    </w:p>
    <w:p w14:paraId="0000006F" w14:textId="77777777" w:rsidR="002966D2" w:rsidRDefault="00000000">
      <w:pPr>
        <w:spacing w:after="160" w:line="256" w:lineRule="auto"/>
        <w:jc w:val="both"/>
        <w:rPr>
          <w:sz w:val="26"/>
          <w:szCs w:val="26"/>
        </w:rPr>
      </w:pPr>
      <w:r>
        <w:t xml:space="preserve">The requirement of a court order or occupier consent prior to inspecting a home where domestic workers are employed makes </w:t>
      </w:r>
      <w:proofErr w:type="spellStart"/>
      <w:r>
        <w:t>labour</w:t>
      </w:r>
      <w:proofErr w:type="spellEnd"/>
      <w:r>
        <w:t xml:space="preserve"> inspections ineffective and denies domestic workers a remedy. Under Article 17 of ILO C.189, each member “shall develop and implement measures for </w:t>
      </w:r>
      <w:proofErr w:type="spellStart"/>
      <w:r>
        <w:t>labour</w:t>
      </w:r>
      <w:proofErr w:type="spellEnd"/>
      <w:r>
        <w:t xml:space="preserve"> inspection, enforcement and penalties, with due regard for the special characteristics of domestic work, in accordance with national laws and regulations.”  Further, 17(3) of ILO C.189 sets out that “in so far as compatible with national laws and regulations, such measures shall specify the conditions under which access to household premises may be granted, having due regard to privacy”.</w:t>
      </w:r>
      <w:r>
        <w:br/>
      </w:r>
      <w:r>
        <w:br/>
        <w:t xml:space="preserve">For the few domestic workers who do report </w:t>
      </w:r>
      <w:proofErr w:type="spellStart"/>
      <w:r>
        <w:t>labour</w:t>
      </w:r>
      <w:proofErr w:type="spellEnd"/>
      <w:r>
        <w:t xml:space="preserve"> rights violations to the </w:t>
      </w:r>
      <w:proofErr w:type="spellStart"/>
      <w:r>
        <w:t>labour</w:t>
      </w:r>
      <w:proofErr w:type="spellEnd"/>
      <w:r>
        <w:t xml:space="preserve"> court, the court process is often delayed and drawn out, due to the backlog of cases, This significantly limits workers’ access to redress and meaningful compensation in cases of rights violations.</w:t>
      </w:r>
    </w:p>
    <w:p w14:paraId="00000070" w14:textId="77777777" w:rsidR="002966D2" w:rsidRDefault="002966D2">
      <w:pPr>
        <w:spacing w:after="160" w:line="256" w:lineRule="auto"/>
        <w:ind w:left="1080" w:hanging="360"/>
        <w:jc w:val="both"/>
        <w:rPr>
          <w:rFonts w:ascii="Calibri" w:eastAsia="Calibri" w:hAnsi="Calibri" w:cs="Calibri"/>
        </w:rPr>
      </w:pPr>
    </w:p>
    <w:p w14:paraId="00000071" w14:textId="77777777" w:rsidR="002966D2" w:rsidRDefault="00000000">
      <w:pPr>
        <w:spacing w:after="160" w:line="256" w:lineRule="auto"/>
        <w:jc w:val="both"/>
        <w:rPr>
          <w:rFonts w:ascii="Calibri" w:eastAsia="Calibri" w:hAnsi="Calibri" w:cs="Calibri"/>
          <w:b/>
          <w:sz w:val="24"/>
          <w:szCs w:val="24"/>
        </w:rPr>
      </w:pPr>
      <w:r>
        <w:rPr>
          <w:rFonts w:ascii="Calibri" w:eastAsia="Calibri" w:hAnsi="Calibri" w:cs="Calibri"/>
          <w:b/>
          <w:sz w:val="24"/>
          <w:szCs w:val="24"/>
        </w:rPr>
        <w:t>Recommendations:</w:t>
      </w:r>
    </w:p>
    <w:p w14:paraId="00000072" w14:textId="15372FAF" w:rsidR="002966D2" w:rsidRDefault="00000000">
      <w:pPr>
        <w:spacing w:after="160" w:line="256" w:lineRule="auto"/>
        <w:ind w:left="1440" w:hanging="720"/>
        <w:jc w:val="both"/>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 xml:space="preserve">Amend the Employment Act to remove the exclusion of workplaces employing less than 5 workers from the obligation to provide a written employment contract. It should </w:t>
      </w:r>
      <w:r w:rsidR="00DB5791">
        <w:rPr>
          <w:rFonts w:ascii="Calibri" w:eastAsia="Calibri" w:hAnsi="Calibri" w:cs="Calibri"/>
          <w:sz w:val="24"/>
          <w:szCs w:val="24"/>
        </w:rPr>
        <w:t>require</w:t>
      </w:r>
      <w:r>
        <w:rPr>
          <w:rFonts w:ascii="Calibri" w:eastAsia="Calibri" w:hAnsi="Calibri" w:cs="Calibri"/>
          <w:sz w:val="24"/>
          <w:szCs w:val="24"/>
        </w:rPr>
        <w:t xml:space="preserve"> that domestic workers be informed of the terms and conditions of their employment in an appropriate, verified and easily understandable manner.</w:t>
      </w:r>
    </w:p>
    <w:p w14:paraId="00000073" w14:textId="14BA8523" w:rsidR="002966D2" w:rsidRDefault="00000000">
      <w:pPr>
        <w:spacing w:after="160" w:line="256" w:lineRule="auto"/>
        <w:ind w:left="1440" w:hanging="720"/>
        <w:jc w:val="both"/>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 xml:space="preserve">Ensure that working hour limits, overtime pay, and right to paid public holidays are regulated and enforced with respect </w:t>
      </w:r>
      <w:r w:rsidR="00DB5791">
        <w:rPr>
          <w:rFonts w:ascii="Calibri" w:eastAsia="Calibri" w:hAnsi="Calibri" w:cs="Calibri"/>
          <w:sz w:val="24"/>
          <w:szCs w:val="24"/>
        </w:rPr>
        <w:t>to domestic</w:t>
      </w:r>
      <w:r>
        <w:rPr>
          <w:rFonts w:ascii="Calibri" w:eastAsia="Calibri" w:hAnsi="Calibri" w:cs="Calibri"/>
          <w:sz w:val="24"/>
          <w:szCs w:val="24"/>
        </w:rPr>
        <w:t xml:space="preserve"> workers.</w:t>
      </w:r>
    </w:p>
    <w:p w14:paraId="00000074" w14:textId="77777777" w:rsidR="002966D2" w:rsidRDefault="00000000">
      <w:pPr>
        <w:spacing w:after="160" w:line="256" w:lineRule="auto"/>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Malawi should remove references to domestic workers as “domestic servants from all its laws and regulations; and replace with “domestic worker”</w:t>
      </w:r>
    </w:p>
    <w:p w14:paraId="00000075" w14:textId="77777777" w:rsidR="002966D2" w:rsidRDefault="00000000">
      <w:pPr>
        <w:spacing w:after="160" w:line="256" w:lineRule="auto"/>
        <w:ind w:left="1440" w:hanging="720"/>
        <w:jc w:val="both"/>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 xml:space="preserve">Pass specific regulations which creates a minimum baseline for employment of domestic workers, particularly live-in domestic workers, and includes provisions </w:t>
      </w:r>
      <w:r>
        <w:rPr>
          <w:rFonts w:ascii="Calibri" w:eastAsia="Calibri" w:hAnsi="Calibri" w:cs="Calibri"/>
          <w:sz w:val="24"/>
          <w:szCs w:val="24"/>
        </w:rPr>
        <w:lastRenderedPageBreak/>
        <w:t>addressing minimum standards of housing, provision of food/heating/electricity, and ensuring the rights to privacy, family, access to visitors and freedom of religion.</w:t>
      </w:r>
    </w:p>
    <w:p w14:paraId="00000076"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Remove the exclusion of domestic workers from the prohibition of employing persons under the age of 14.</w:t>
      </w:r>
    </w:p>
    <w:p w14:paraId="00000077"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 xml:space="preserve"> </w:t>
      </w:r>
    </w:p>
    <w:p w14:paraId="00000078"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Amend the WCA to remove the exclusion of family members employed as domestic workers from claiming compensation and make clear that the home is a workplace under the WCA</w:t>
      </w:r>
    </w:p>
    <w:p w14:paraId="00000079" w14:textId="77777777" w:rsidR="002966D2" w:rsidRDefault="002966D2">
      <w:pPr>
        <w:ind w:left="1440" w:hanging="720"/>
        <w:jc w:val="both"/>
        <w:rPr>
          <w:rFonts w:ascii="Calibri" w:eastAsia="Calibri" w:hAnsi="Calibri" w:cs="Calibri"/>
          <w:sz w:val="24"/>
          <w:szCs w:val="24"/>
        </w:rPr>
      </w:pPr>
    </w:p>
    <w:p w14:paraId="0000007A"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 xml:space="preserve">Amend the </w:t>
      </w:r>
      <w:proofErr w:type="spellStart"/>
      <w:r>
        <w:rPr>
          <w:rFonts w:ascii="Calibri" w:eastAsia="Calibri" w:hAnsi="Calibri" w:cs="Calibri"/>
          <w:sz w:val="24"/>
          <w:szCs w:val="24"/>
        </w:rPr>
        <w:t>Labour</w:t>
      </w:r>
      <w:proofErr w:type="spellEnd"/>
      <w:r>
        <w:rPr>
          <w:rFonts w:ascii="Calibri" w:eastAsia="Calibri" w:hAnsi="Calibri" w:cs="Calibri"/>
          <w:sz w:val="24"/>
          <w:szCs w:val="24"/>
        </w:rPr>
        <w:t xml:space="preserve"> Act to empowered </w:t>
      </w:r>
      <w:proofErr w:type="spellStart"/>
      <w:r>
        <w:rPr>
          <w:rFonts w:ascii="Calibri" w:eastAsia="Calibri" w:hAnsi="Calibri" w:cs="Calibri"/>
          <w:sz w:val="24"/>
          <w:szCs w:val="24"/>
        </w:rPr>
        <w:t>labour</w:t>
      </w:r>
      <w:proofErr w:type="spellEnd"/>
      <w:r>
        <w:rPr>
          <w:rFonts w:ascii="Calibri" w:eastAsia="Calibri" w:hAnsi="Calibri" w:cs="Calibri"/>
          <w:sz w:val="24"/>
          <w:szCs w:val="24"/>
        </w:rPr>
        <w:t xml:space="preserve"> inspectors to inspect private homes employing domestic workers without a court order or prior notification</w:t>
      </w:r>
    </w:p>
    <w:p w14:paraId="0000007B" w14:textId="77777777" w:rsidR="002966D2" w:rsidRDefault="002966D2">
      <w:pPr>
        <w:ind w:left="1440" w:hanging="720"/>
        <w:jc w:val="both"/>
        <w:rPr>
          <w:rFonts w:ascii="Calibri" w:eastAsia="Calibri" w:hAnsi="Calibri" w:cs="Calibri"/>
          <w:sz w:val="24"/>
          <w:szCs w:val="24"/>
        </w:rPr>
      </w:pPr>
    </w:p>
    <w:p w14:paraId="0000007C"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 xml:space="preserve">Establish one national minimum wage, that represents a living wage, and applies to all sectors. </w:t>
      </w:r>
    </w:p>
    <w:p w14:paraId="0000007D" w14:textId="77777777" w:rsidR="002966D2" w:rsidRDefault="002966D2">
      <w:pPr>
        <w:ind w:left="1440" w:hanging="720"/>
        <w:jc w:val="both"/>
        <w:rPr>
          <w:rFonts w:ascii="Calibri" w:eastAsia="Calibri" w:hAnsi="Calibri" w:cs="Calibri"/>
          <w:sz w:val="24"/>
          <w:szCs w:val="24"/>
        </w:rPr>
      </w:pPr>
    </w:p>
    <w:p w14:paraId="0000007E"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Amend the Pension Act to make clear that obligations to provide employees with a pension apply to all workplaces, including those employing under 5 employees.</w:t>
      </w:r>
    </w:p>
    <w:p w14:paraId="0000007F" w14:textId="77777777" w:rsidR="002966D2" w:rsidRDefault="002966D2">
      <w:pPr>
        <w:ind w:left="1440" w:hanging="720"/>
        <w:jc w:val="both"/>
        <w:rPr>
          <w:rFonts w:ascii="Calibri" w:eastAsia="Calibri" w:hAnsi="Calibri" w:cs="Calibri"/>
          <w:sz w:val="24"/>
          <w:szCs w:val="24"/>
        </w:rPr>
      </w:pPr>
    </w:p>
    <w:p w14:paraId="00000080"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Ratify ILO Convention 189, and harmonize its provisions with the Employment Act, particularly with respect to in kind payment and deductions.</w:t>
      </w:r>
    </w:p>
    <w:p w14:paraId="00000081" w14:textId="77777777" w:rsidR="002966D2" w:rsidRDefault="002966D2">
      <w:pPr>
        <w:ind w:left="1440" w:hanging="720"/>
        <w:jc w:val="both"/>
        <w:rPr>
          <w:rFonts w:ascii="Calibri" w:eastAsia="Calibri" w:hAnsi="Calibri" w:cs="Calibri"/>
          <w:sz w:val="24"/>
          <w:szCs w:val="24"/>
        </w:rPr>
      </w:pPr>
    </w:p>
    <w:p w14:paraId="00000082" w14:textId="77777777" w:rsidR="002966D2" w:rsidRDefault="00000000">
      <w:pPr>
        <w:ind w:left="1440" w:hanging="720"/>
        <w:jc w:val="both"/>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sz w:val="24"/>
          <w:szCs w:val="24"/>
        </w:rPr>
        <w:tab/>
        <w:t>Ratify ILO C190 on Violence and Harassment in the world of work and ensure that its legislative framework addresses the full range of violence and harassment experienced by domestic workers.</w:t>
      </w:r>
    </w:p>
    <w:p w14:paraId="00000083" w14:textId="77777777" w:rsidR="002966D2" w:rsidRDefault="002966D2">
      <w:pPr>
        <w:ind w:left="1440" w:hanging="720"/>
        <w:jc w:val="both"/>
        <w:rPr>
          <w:rFonts w:ascii="Calibri" w:eastAsia="Calibri" w:hAnsi="Calibri" w:cs="Calibri"/>
          <w:sz w:val="24"/>
          <w:szCs w:val="24"/>
        </w:rPr>
      </w:pPr>
    </w:p>
    <w:p w14:paraId="00000084" w14:textId="77777777" w:rsidR="002966D2" w:rsidRDefault="002966D2">
      <w:pPr>
        <w:ind w:left="720"/>
        <w:jc w:val="both"/>
        <w:rPr>
          <w:rFonts w:ascii="Calibri" w:eastAsia="Calibri" w:hAnsi="Calibri" w:cs="Calibri"/>
          <w:sz w:val="24"/>
          <w:szCs w:val="24"/>
        </w:rPr>
      </w:pPr>
    </w:p>
    <w:p w14:paraId="00000085" w14:textId="77777777" w:rsidR="002966D2" w:rsidRDefault="00000000">
      <w:pPr>
        <w:spacing w:after="160" w:line="256" w:lineRule="auto"/>
        <w:jc w:val="both"/>
        <w:rPr>
          <w:rFonts w:ascii="Calibri" w:eastAsia="Calibri" w:hAnsi="Calibri" w:cs="Calibri"/>
          <w:sz w:val="24"/>
          <w:szCs w:val="24"/>
        </w:rPr>
      </w:pPr>
      <w:r>
        <w:rPr>
          <w:rFonts w:ascii="Calibri" w:eastAsia="Calibri" w:hAnsi="Calibri" w:cs="Calibri"/>
          <w:sz w:val="24"/>
          <w:szCs w:val="24"/>
        </w:rPr>
        <w:t xml:space="preserve"> </w:t>
      </w:r>
    </w:p>
    <w:p w14:paraId="00000086" w14:textId="77777777" w:rsidR="002966D2" w:rsidRDefault="00000000">
      <w:pPr>
        <w:spacing w:after="160" w:line="256" w:lineRule="auto"/>
        <w:jc w:val="both"/>
        <w:rPr>
          <w:rFonts w:ascii="Calibri" w:eastAsia="Calibri" w:hAnsi="Calibri" w:cs="Calibri"/>
          <w:sz w:val="24"/>
          <w:szCs w:val="24"/>
        </w:rPr>
      </w:pPr>
      <w:r>
        <w:rPr>
          <w:rFonts w:ascii="Calibri" w:eastAsia="Calibri" w:hAnsi="Calibri" w:cs="Calibri"/>
          <w:sz w:val="24"/>
          <w:szCs w:val="24"/>
        </w:rPr>
        <w:t xml:space="preserve"> </w:t>
      </w:r>
    </w:p>
    <w:p w14:paraId="00000087" w14:textId="77777777" w:rsidR="002966D2" w:rsidRDefault="002966D2">
      <w:pPr>
        <w:spacing w:after="160" w:line="256" w:lineRule="auto"/>
        <w:jc w:val="both"/>
        <w:rPr>
          <w:rFonts w:ascii="Calibri" w:eastAsia="Calibri" w:hAnsi="Calibri" w:cs="Calibri"/>
          <w:sz w:val="20"/>
          <w:szCs w:val="20"/>
        </w:rPr>
      </w:pPr>
    </w:p>
    <w:p w14:paraId="35EF09D4" w14:textId="77777777" w:rsidR="00DB5791" w:rsidRDefault="00DB5791">
      <w:pPr>
        <w:spacing w:after="160" w:line="256" w:lineRule="auto"/>
        <w:jc w:val="both"/>
        <w:rPr>
          <w:rFonts w:ascii="Calibri" w:eastAsia="Calibri" w:hAnsi="Calibri" w:cs="Calibri"/>
          <w:sz w:val="20"/>
          <w:szCs w:val="20"/>
        </w:rPr>
      </w:pPr>
    </w:p>
    <w:p w14:paraId="204A46CE" w14:textId="77777777" w:rsidR="00DB5791" w:rsidRDefault="00DB5791">
      <w:pPr>
        <w:spacing w:after="160" w:line="256" w:lineRule="auto"/>
        <w:jc w:val="both"/>
        <w:rPr>
          <w:rFonts w:ascii="Calibri" w:eastAsia="Calibri" w:hAnsi="Calibri" w:cs="Calibri"/>
          <w:sz w:val="20"/>
          <w:szCs w:val="20"/>
        </w:rPr>
      </w:pPr>
    </w:p>
    <w:p w14:paraId="5D32DC3D" w14:textId="77777777" w:rsidR="00DB5791" w:rsidRDefault="00DB5791">
      <w:pPr>
        <w:spacing w:after="160" w:line="256" w:lineRule="auto"/>
        <w:jc w:val="both"/>
        <w:rPr>
          <w:rFonts w:ascii="Calibri" w:eastAsia="Calibri" w:hAnsi="Calibri" w:cs="Calibri"/>
          <w:sz w:val="20"/>
          <w:szCs w:val="20"/>
        </w:rPr>
      </w:pPr>
    </w:p>
    <w:p w14:paraId="16B38A29" w14:textId="77777777" w:rsidR="00DB5791" w:rsidRDefault="00DB5791">
      <w:pPr>
        <w:spacing w:after="160" w:line="256" w:lineRule="auto"/>
        <w:jc w:val="both"/>
        <w:rPr>
          <w:rFonts w:ascii="Calibri" w:eastAsia="Calibri" w:hAnsi="Calibri" w:cs="Calibri"/>
          <w:sz w:val="20"/>
          <w:szCs w:val="20"/>
        </w:rPr>
      </w:pPr>
    </w:p>
    <w:p w14:paraId="15C575B2" w14:textId="77777777" w:rsidR="00DB5791" w:rsidRDefault="00DB5791">
      <w:pPr>
        <w:spacing w:after="160" w:line="256" w:lineRule="auto"/>
        <w:jc w:val="both"/>
        <w:rPr>
          <w:rFonts w:ascii="Calibri" w:eastAsia="Calibri" w:hAnsi="Calibri" w:cs="Calibri"/>
          <w:sz w:val="20"/>
          <w:szCs w:val="20"/>
        </w:rPr>
      </w:pPr>
    </w:p>
    <w:p w14:paraId="00000088" w14:textId="77777777" w:rsidR="002966D2" w:rsidRDefault="00000000">
      <w:pPr>
        <w:spacing w:before="240"/>
        <w:jc w:val="both"/>
        <w:rPr>
          <w:sz w:val="20"/>
          <w:szCs w:val="20"/>
        </w:rPr>
      </w:pPr>
      <w:r>
        <w:rPr>
          <w:sz w:val="20"/>
          <w:szCs w:val="20"/>
        </w:rPr>
        <w:lastRenderedPageBreak/>
        <w:t xml:space="preserve"> </w:t>
      </w:r>
    </w:p>
    <w:p w14:paraId="00000089" w14:textId="77777777" w:rsidR="002966D2" w:rsidRDefault="00CC734C">
      <w:pPr>
        <w:jc w:val="center"/>
        <w:rPr>
          <w:sz w:val="20"/>
          <w:szCs w:val="20"/>
        </w:rPr>
      </w:pPr>
      <w:r>
        <w:rPr>
          <w:noProof/>
        </w:rPr>
        <w:pict w14:anchorId="5B094A26">
          <v:rect id="_x0000_i1025" alt="" style="width:468pt;height:.05pt;mso-width-percent:0;mso-height-percent:0;mso-width-percent:0;mso-height-percent:0" o:hralign="center" o:hrstd="t" o:hr="t" fillcolor="#a0a0a0" stroked="f"/>
        </w:pict>
      </w:r>
    </w:p>
    <w:p w14:paraId="0000008A" w14:textId="77777777" w:rsidR="002966D2" w:rsidRDefault="00000000">
      <w:pPr>
        <w:spacing w:before="240" w:line="240" w:lineRule="auto"/>
        <w:jc w:val="both"/>
        <w:rPr>
          <w:sz w:val="20"/>
          <w:szCs w:val="20"/>
        </w:rPr>
      </w:pPr>
      <w:r>
        <w:rPr>
          <w:sz w:val="20"/>
          <w:szCs w:val="20"/>
          <w:vertAlign w:val="superscript"/>
        </w:rPr>
        <w:t>[1]</w:t>
      </w:r>
      <w:r>
        <w:rPr>
          <w:sz w:val="20"/>
          <w:szCs w:val="20"/>
        </w:rPr>
        <w:t xml:space="preserve"> The Human Development Index (HDI) is a summary measure for assessing long-term progress in three basic dimensions of human development:  long and healthy life, access to knowledge, and decent standard of living.</w:t>
      </w:r>
    </w:p>
    <w:p w14:paraId="0000008B" w14:textId="77777777" w:rsidR="002966D2" w:rsidRDefault="00000000">
      <w:pPr>
        <w:spacing w:before="240" w:line="240" w:lineRule="auto"/>
        <w:jc w:val="both"/>
        <w:rPr>
          <w:sz w:val="20"/>
          <w:szCs w:val="20"/>
        </w:rPr>
      </w:pPr>
      <w:r>
        <w:rPr>
          <w:sz w:val="20"/>
          <w:szCs w:val="20"/>
          <w:vertAlign w:val="superscript"/>
        </w:rPr>
        <w:t>[2]</w:t>
      </w:r>
      <w:r>
        <w:rPr>
          <w:sz w:val="20"/>
          <w:szCs w:val="20"/>
        </w:rPr>
        <w:t xml:space="preserve"> U.N. Development </w:t>
      </w:r>
      <w:proofErr w:type="spellStart"/>
      <w:r>
        <w:rPr>
          <w:sz w:val="20"/>
          <w:szCs w:val="20"/>
        </w:rPr>
        <w:t>Programme</w:t>
      </w:r>
      <w:proofErr w:type="spellEnd"/>
      <w:r>
        <w:rPr>
          <w:sz w:val="20"/>
          <w:szCs w:val="20"/>
        </w:rPr>
        <w:t xml:space="preserve"> ‘Human Development Report 2020: The Next Frontier: Human Development and the Anthropocene’ 2020</w:t>
      </w:r>
      <w:hyperlink r:id="rId7">
        <w:r>
          <w:rPr>
            <w:sz w:val="20"/>
            <w:szCs w:val="20"/>
            <w:u w:val="single"/>
          </w:rPr>
          <w:t xml:space="preserve"> </w:t>
        </w:r>
      </w:hyperlink>
      <w:hyperlink r:id="rId8">
        <w:r>
          <w:rPr>
            <w:color w:val="0563C1"/>
            <w:sz w:val="20"/>
            <w:szCs w:val="20"/>
            <w:u w:val="single"/>
          </w:rPr>
          <w:t>https://www.undp.org/sites/g/files/zskgke326/files/migration/by/HDR2020_Full-Report.pdf</w:t>
        </w:r>
      </w:hyperlink>
      <w:r>
        <w:rPr>
          <w:sz w:val="20"/>
          <w:szCs w:val="20"/>
        </w:rPr>
        <w:t xml:space="preserve">. </w:t>
      </w:r>
    </w:p>
    <w:p w14:paraId="0000008C" w14:textId="77777777" w:rsidR="002966D2" w:rsidRDefault="00000000">
      <w:pPr>
        <w:spacing w:before="240" w:line="240" w:lineRule="auto"/>
        <w:jc w:val="both"/>
        <w:rPr>
          <w:sz w:val="20"/>
          <w:szCs w:val="20"/>
        </w:rPr>
      </w:pPr>
      <w:r>
        <w:rPr>
          <w:sz w:val="20"/>
          <w:szCs w:val="20"/>
          <w:vertAlign w:val="superscript"/>
        </w:rPr>
        <w:t xml:space="preserve">[3] </w:t>
      </w:r>
      <w:r>
        <w:rPr>
          <w:sz w:val="20"/>
          <w:szCs w:val="20"/>
        </w:rPr>
        <w:t xml:space="preserve">National Statistical Office Zomba, Malawi ‘Malawi </w:t>
      </w:r>
      <w:proofErr w:type="spellStart"/>
      <w:r>
        <w:rPr>
          <w:sz w:val="20"/>
          <w:szCs w:val="20"/>
        </w:rPr>
        <w:t>Labour</w:t>
      </w:r>
      <w:proofErr w:type="spellEnd"/>
      <w:r>
        <w:rPr>
          <w:sz w:val="20"/>
          <w:szCs w:val="20"/>
        </w:rPr>
        <w:t xml:space="preserve"> Force Survey 2013’ 2014: ‘91 percent of rural areas persons work in informal employment compared to 69 percent in urban </w:t>
      </w:r>
      <w:proofErr w:type="gramStart"/>
      <w:r>
        <w:rPr>
          <w:sz w:val="20"/>
          <w:szCs w:val="20"/>
        </w:rPr>
        <w:t>areas’</w:t>
      </w:r>
      <w:proofErr w:type="gramEnd"/>
      <w:r>
        <w:rPr>
          <w:sz w:val="20"/>
          <w:szCs w:val="20"/>
        </w:rPr>
        <w:t>.</w:t>
      </w:r>
    </w:p>
    <w:p w14:paraId="0000008D" w14:textId="77777777" w:rsidR="002966D2" w:rsidRDefault="00000000">
      <w:pPr>
        <w:spacing w:before="240" w:line="240" w:lineRule="auto"/>
        <w:jc w:val="both"/>
        <w:rPr>
          <w:sz w:val="20"/>
          <w:szCs w:val="20"/>
        </w:rPr>
      </w:pPr>
      <w:r>
        <w:rPr>
          <w:sz w:val="20"/>
          <w:szCs w:val="20"/>
          <w:vertAlign w:val="superscript"/>
        </w:rPr>
        <w:t xml:space="preserve">[4] </w:t>
      </w:r>
      <w:r>
        <w:rPr>
          <w:sz w:val="20"/>
          <w:szCs w:val="20"/>
        </w:rPr>
        <w:t>GENDER EQUALITY, SOCIAL INCLUSION AND RESILIENCE IN MALAWI, DISCUSSION PAPER, Emma Lovell, Building Resilience and Adapting to Climate Change (BRACC) p 16-19, July 2021.</w:t>
      </w:r>
    </w:p>
    <w:p w14:paraId="0000008E" w14:textId="77777777" w:rsidR="002966D2" w:rsidRDefault="00000000">
      <w:pPr>
        <w:spacing w:before="240" w:line="240" w:lineRule="auto"/>
        <w:jc w:val="both"/>
        <w:rPr>
          <w:sz w:val="20"/>
          <w:szCs w:val="20"/>
        </w:rPr>
      </w:pPr>
      <w:r>
        <w:rPr>
          <w:sz w:val="20"/>
          <w:szCs w:val="20"/>
        </w:rPr>
        <w:t>[5] Ibid</w:t>
      </w:r>
    </w:p>
    <w:p w14:paraId="0000008F" w14:textId="77777777" w:rsidR="002966D2" w:rsidRDefault="00000000">
      <w:pPr>
        <w:spacing w:before="240" w:line="240" w:lineRule="auto"/>
        <w:jc w:val="both"/>
        <w:rPr>
          <w:sz w:val="20"/>
          <w:szCs w:val="20"/>
        </w:rPr>
      </w:pPr>
      <w:r>
        <w:rPr>
          <w:sz w:val="20"/>
          <w:szCs w:val="20"/>
          <w:vertAlign w:val="superscript"/>
        </w:rPr>
        <w:t xml:space="preserve">[6] </w:t>
      </w:r>
      <w:r>
        <w:rPr>
          <w:sz w:val="20"/>
          <w:szCs w:val="20"/>
        </w:rPr>
        <w:t xml:space="preserve">G. </w:t>
      </w:r>
      <w:proofErr w:type="spellStart"/>
      <w:r>
        <w:rPr>
          <w:sz w:val="20"/>
          <w:szCs w:val="20"/>
        </w:rPr>
        <w:t>Thiruvasagam</w:t>
      </w:r>
      <w:proofErr w:type="spellEnd"/>
      <w:r>
        <w:rPr>
          <w:sz w:val="20"/>
          <w:szCs w:val="20"/>
        </w:rPr>
        <w:t xml:space="preserve">, D. Rajasekar &amp; R. </w:t>
      </w:r>
      <w:proofErr w:type="spellStart"/>
      <w:r>
        <w:rPr>
          <w:sz w:val="20"/>
          <w:szCs w:val="20"/>
        </w:rPr>
        <w:t>Vettriselvan</w:t>
      </w:r>
      <w:proofErr w:type="spellEnd"/>
      <w:r>
        <w:rPr>
          <w:sz w:val="20"/>
          <w:szCs w:val="20"/>
        </w:rPr>
        <w:t xml:space="preserve"> ‘Profile and Problems of Women Domestic Workers in Mangochi, Malawi’ 8 Int’l J. Recent Tech. &amp; Engineering 1167, 1168 2019.</w:t>
      </w:r>
    </w:p>
    <w:p w14:paraId="00000090" w14:textId="77777777" w:rsidR="002966D2" w:rsidRDefault="00000000">
      <w:pPr>
        <w:spacing w:before="240" w:line="240" w:lineRule="auto"/>
        <w:jc w:val="both"/>
        <w:rPr>
          <w:sz w:val="20"/>
          <w:szCs w:val="20"/>
          <w:u w:val="single"/>
        </w:rPr>
      </w:pPr>
      <w:r>
        <w:rPr>
          <w:sz w:val="20"/>
          <w:szCs w:val="20"/>
          <w:vertAlign w:val="superscript"/>
        </w:rPr>
        <w:t xml:space="preserve">[7] </w:t>
      </w:r>
      <w:r>
        <w:rPr>
          <w:sz w:val="20"/>
          <w:szCs w:val="20"/>
        </w:rPr>
        <w:t xml:space="preserve">Lucius </w:t>
      </w:r>
      <w:proofErr w:type="spellStart"/>
      <w:r>
        <w:rPr>
          <w:sz w:val="20"/>
          <w:szCs w:val="20"/>
        </w:rPr>
        <w:t>Pandame</w:t>
      </w:r>
      <w:proofErr w:type="spellEnd"/>
      <w:r>
        <w:rPr>
          <w:sz w:val="20"/>
          <w:szCs w:val="20"/>
        </w:rPr>
        <w:t xml:space="preserve"> ‘The socio-economic and legal position of domestic workers in Malawi: A case study of Zomba municipality’ 2006</w:t>
      </w:r>
      <w:hyperlink r:id="rId9">
        <w:r>
          <w:rPr>
            <w:sz w:val="20"/>
            <w:szCs w:val="20"/>
          </w:rPr>
          <w:t xml:space="preserve"> </w:t>
        </w:r>
      </w:hyperlink>
      <w:hyperlink r:id="rId10">
        <w:r>
          <w:rPr>
            <w:sz w:val="20"/>
            <w:szCs w:val="20"/>
            <w:u w:val="single"/>
          </w:rPr>
          <w:t>http://www.searcwl.ac.zw/index.php?option=com_docman&amp;task=doc_download&amp;gid=30&amp;Itemid=89</w:t>
        </w:r>
      </w:hyperlink>
    </w:p>
    <w:p w14:paraId="00000091" w14:textId="77777777" w:rsidR="002966D2" w:rsidRDefault="00000000">
      <w:pPr>
        <w:spacing w:before="240" w:line="240" w:lineRule="auto"/>
        <w:jc w:val="both"/>
        <w:rPr>
          <w:sz w:val="20"/>
          <w:szCs w:val="20"/>
        </w:rPr>
      </w:pPr>
      <w:r>
        <w:rPr>
          <w:sz w:val="20"/>
          <w:szCs w:val="20"/>
          <w:vertAlign w:val="superscript"/>
        </w:rPr>
        <w:t>[8]</w:t>
      </w:r>
      <w:r>
        <w:rPr>
          <w:sz w:val="20"/>
          <w:szCs w:val="20"/>
          <w:vertAlign w:val="subscript"/>
        </w:rPr>
        <w:t xml:space="preserve"> </w:t>
      </w:r>
      <w:r>
        <w:rPr>
          <w:sz w:val="20"/>
          <w:szCs w:val="20"/>
          <w:vertAlign w:val="superscript"/>
        </w:rPr>
        <w:t xml:space="preserve"> </w:t>
      </w:r>
      <w:r>
        <w:rPr>
          <w:sz w:val="20"/>
          <w:szCs w:val="20"/>
        </w:rPr>
        <w:t xml:space="preserve">Lucius </w:t>
      </w:r>
      <w:proofErr w:type="spellStart"/>
      <w:r>
        <w:rPr>
          <w:sz w:val="20"/>
          <w:szCs w:val="20"/>
        </w:rPr>
        <w:t>Pandame</w:t>
      </w:r>
      <w:proofErr w:type="spellEnd"/>
      <w:r>
        <w:rPr>
          <w:sz w:val="20"/>
          <w:szCs w:val="20"/>
        </w:rPr>
        <w:t xml:space="preserve"> ‘The socio-economic and legal position of domestic workers in Malawi: A case study of Zomba municipality’ 2006</w:t>
      </w:r>
      <w:hyperlink r:id="rId11">
        <w:r>
          <w:rPr>
            <w:sz w:val="20"/>
            <w:szCs w:val="20"/>
          </w:rPr>
          <w:t xml:space="preserve"> </w:t>
        </w:r>
      </w:hyperlink>
      <w:hyperlink r:id="rId12">
        <w:r>
          <w:rPr>
            <w:sz w:val="20"/>
            <w:szCs w:val="20"/>
            <w:u w:val="single"/>
          </w:rPr>
          <w:t>http://www.searcwl.ac.zw/index.php?option=com_docman&amp;task=doc_download&amp;gid=30&amp;Itemid=89</w:t>
        </w:r>
      </w:hyperlink>
      <w:r>
        <w:rPr>
          <w:sz w:val="20"/>
          <w:szCs w:val="20"/>
        </w:rPr>
        <w:t>I</w:t>
      </w:r>
    </w:p>
    <w:p w14:paraId="00000092" w14:textId="77777777" w:rsidR="002966D2" w:rsidRDefault="00000000">
      <w:pPr>
        <w:spacing w:before="240" w:line="240" w:lineRule="auto"/>
        <w:jc w:val="both"/>
        <w:rPr>
          <w:sz w:val="20"/>
          <w:szCs w:val="20"/>
          <w:highlight w:val="white"/>
        </w:rPr>
      </w:pPr>
      <w:r>
        <w:rPr>
          <w:sz w:val="20"/>
          <w:szCs w:val="20"/>
          <w:vertAlign w:val="superscript"/>
        </w:rPr>
        <w:t xml:space="preserve">[9] </w:t>
      </w:r>
      <w:r>
        <w:rPr>
          <w:sz w:val="20"/>
          <w:szCs w:val="20"/>
          <w:highlight w:val="white"/>
        </w:rPr>
        <w:t>Mkandawire-</w:t>
      </w:r>
      <w:proofErr w:type="spellStart"/>
      <w:r>
        <w:rPr>
          <w:sz w:val="20"/>
          <w:szCs w:val="20"/>
          <w:highlight w:val="white"/>
        </w:rPr>
        <w:t>Valhmu</w:t>
      </w:r>
      <w:proofErr w:type="spellEnd"/>
      <w:r>
        <w:rPr>
          <w:sz w:val="20"/>
          <w:szCs w:val="20"/>
          <w:highlight w:val="white"/>
        </w:rPr>
        <w:t xml:space="preserve"> &amp; al. </w:t>
      </w:r>
      <w:r>
        <w:rPr>
          <w:i/>
          <w:sz w:val="20"/>
          <w:szCs w:val="20"/>
          <w:highlight w:val="white"/>
        </w:rPr>
        <w:t>‘</w:t>
      </w:r>
      <w:proofErr w:type="spellStart"/>
      <w:r>
        <w:rPr>
          <w:sz w:val="20"/>
          <w:szCs w:val="20"/>
          <w:highlight w:val="white"/>
        </w:rPr>
        <w:t>Surving</w:t>
      </w:r>
      <w:proofErr w:type="spellEnd"/>
      <w:r>
        <w:rPr>
          <w:sz w:val="20"/>
          <w:szCs w:val="20"/>
          <w:highlight w:val="white"/>
        </w:rPr>
        <w:t xml:space="preserve"> Life as a Woman: A Critical Ethnography of Violence in the Lives of Female Domestic Workers in Malawi’   30 Health Care Women Int’l 783 2009</w:t>
      </w:r>
    </w:p>
    <w:p w14:paraId="00000093" w14:textId="77777777" w:rsidR="002966D2" w:rsidRDefault="00000000">
      <w:pPr>
        <w:spacing w:before="240" w:line="240" w:lineRule="auto"/>
        <w:jc w:val="both"/>
        <w:rPr>
          <w:sz w:val="20"/>
          <w:szCs w:val="20"/>
        </w:rPr>
      </w:pPr>
      <w:r>
        <w:rPr>
          <w:sz w:val="20"/>
          <w:szCs w:val="20"/>
          <w:vertAlign w:val="superscript"/>
        </w:rPr>
        <w:t>[10]</w:t>
      </w:r>
      <w:r>
        <w:rPr>
          <w:sz w:val="20"/>
          <w:szCs w:val="20"/>
          <w:highlight w:val="white"/>
        </w:rPr>
        <w:t xml:space="preserve"> Lucy Mkandawire-</w:t>
      </w:r>
      <w:proofErr w:type="spellStart"/>
      <w:r>
        <w:rPr>
          <w:sz w:val="20"/>
          <w:szCs w:val="20"/>
          <w:highlight w:val="white"/>
        </w:rPr>
        <w:t>Valhmu</w:t>
      </w:r>
      <w:proofErr w:type="spellEnd"/>
      <w:r>
        <w:rPr>
          <w:sz w:val="20"/>
          <w:szCs w:val="20"/>
          <w:highlight w:val="white"/>
        </w:rPr>
        <w:t xml:space="preserve"> </w:t>
      </w:r>
      <w:proofErr w:type="gramStart"/>
      <w:r>
        <w:rPr>
          <w:sz w:val="20"/>
          <w:szCs w:val="20"/>
          <w:highlight w:val="white"/>
        </w:rPr>
        <w:t>&amp;  al.</w:t>
      </w:r>
      <w:proofErr w:type="gramEnd"/>
      <w:r>
        <w:rPr>
          <w:sz w:val="20"/>
          <w:szCs w:val="20"/>
          <w:highlight w:val="white"/>
        </w:rPr>
        <w:t>’ Surviving Life as a Woman: A Critical Ethnography of Violence in the Lives of Female Domestic Workers in Malawi’ 30 Health Care Women Int’l 783 2009’ A 2004 study showed that about 17.5% of children below the age of 15 years lost one or both parents with about half of these losing their lives to AIDS.</w:t>
      </w:r>
      <w:r>
        <w:rPr>
          <w:sz w:val="20"/>
          <w:szCs w:val="20"/>
        </w:rPr>
        <w:t>’</w:t>
      </w:r>
    </w:p>
    <w:p w14:paraId="00000094" w14:textId="77777777" w:rsidR="002966D2" w:rsidRDefault="00000000">
      <w:pPr>
        <w:spacing w:before="240" w:line="240" w:lineRule="auto"/>
        <w:jc w:val="both"/>
        <w:rPr>
          <w:sz w:val="20"/>
          <w:szCs w:val="20"/>
        </w:rPr>
      </w:pPr>
      <w:r>
        <w:rPr>
          <w:sz w:val="20"/>
          <w:szCs w:val="20"/>
          <w:vertAlign w:val="superscript"/>
        </w:rPr>
        <w:t xml:space="preserve">[11] </w:t>
      </w:r>
      <w:r>
        <w:rPr>
          <w:sz w:val="20"/>
          <w:szCs w:val="20"/>
          <w:highlight w:val="white"/>
        </w:rPr>
        <w:t xml:space="preserve">Hyder A, Behrman JR. Female economic activity in Rural Malawi. J Dev </w:t>
      </w:r>
      <w:proofErr w:type="spellStart"/>
      <w:r>
        <w:rPr>
          <w:sz w:val="20"/>
          <w:szCs w:val="20"/>
          <w:highlight w:val="white"/>
        </w:rPr>
        <w:t>Leadersh</w:t>
      </w:r>
      <w:proofErr w:type="spellEnd"/>
      <w:r>
        <w:rPr>
          <w:sz w:val="20"/>
          <w:szCs w:val="20"/>
          <w:highlight w:val="white"/>
        </w:rPr>
        <w:t>. 2014 Jun;3(1):1-10 available at Female economic activity in Rural Malawi - PMC (</w:t>
      </w:r>
      <w:proofErr w:type="gramStart"/>
      <w:r>
        <w:rPr>
          <w:sz w:val="20"/>
          <w:szCs w:val="20"/>
          <w:highlight w:val="white"/>
        </w:rPr>
        <w:t>nih.gov)t</w:t>
      </w:r>
      <w:proofErr w:type="gramEnd"/>
      <w:r>
        <w:rPr>
          <w:sz w:val="20"/>
          <w:szCs w:val="20"/>
          <w:highlight w:val="white"/>
        </w:rPr>
        <w:t xml:space="preserve"> </w:t>
      </w:r>
      <w:r>
        <w:rPr>
          <w:sz w:val="20"/>
          <w:szCs w:val="20"/>
        </w:rPr>
        <w:t>785.</w:t>
      </w:r>
    </w:p>
    <w:p w14:paraId="00000095" w14:textId="77777777" w:rsidR="002966D2" w:rsidRDefault="00000000">
      <w:pPr>
        <w:spacing w:before="240" w:line="240" w:lineRule="auto"/>
        <w:jc w:val="both"/>
        <w:rPr>
          <w:sz w:val="20"/>
          <w:szCs w:val="20"/>
        </w:rPr>
      </w:pPr>
      <w:r>
        <w:rPr>
          <w:sz w:val="20"/>
          <w:szCs w:val="20"/>
          <w:highlight w:val="white"/>
        </w:rPr>
        <w:t>[</w:t>
      </w:r>
      <w:proofErr w:type="gramStart"/>
      <w:r>
        <w:rPr>
          <w:sz w:val="20"/>
          <w:szCs w:val="20"/>
          <w:highlight w:val="white"/>
        </w:rPr>
        <w:t>12]Profile</w:t>
      </w:r>
      <w:proofErr w:type="gramEnd"/>
      <w:r>
        <w:rPr>
          <w:sz w:val="20"/>
          <w:szCs w:val="20"/>
          <w:highlight w:val="white"/>
        </w:rPr>
        <w:t xml:space="preserve"> and Problems of Women Domestic Workers in Mangochi, Malawi </w:t>
      </w:r>
      <w:proofErr w:type="spellStart"/>
      <w:r>
        <w:rPr>
          <w:sz w:val="20"/>
          <w:szCs w:val="20"/>
          <w:highlight w:val="white"/>
        </w:rPr>
        <w:t>G.Thiruvasagam</w:t>
      </w:r>
      <w:proofErr w:type="spellEnd"/>
      <w:r>
        <w:rPr>
          <w:sz w:val="20"/>
          <w:szCs w:val="20"/>
          <w:highlight w:val="white"/>
        </w:rPr>
        <w:t xml:space="preserve">, </w:t>
      </w:r>
      <w:proofErr w:type="spellStart"/>
      <w:r>
        <w:rPr>
          <w:sz w:val="20"/>
          <w:szCs w:val="20"/>
          <w:highlight w:val="white"/>
        </w:rPr>
        <w:t>D.Rajasekar</w:t>
      </w:r>
      <w:proofErr w:type="spellEnd"/>
      <w:r>
        <w:rPr>
          <w:sz w:val="20"/>
          <w:szCs w:val="20"/>
          <w:highlight w:val="white"/>
        </w:rPr>
        <w:t>, R .</w:t>
      </w:r>
      <w:proofErr w:type="spellStart"/>
      <w:r>
        <w:rPr>
          <w:sz w:val="20"/>
          <w:szCs w:val="20"/>
          <w:highlight w:val="white"/>
        </w:rPr>
        <w:t>Vettriselvan</w:t>
      </w:r>
      <w:proofErr w:type="spellEnd"/>
      <w:r>
        <w:rPr>
          <w:sz w:val="20"/>
          <w:szCs w:val="20"/>
          <w:highlight w:val="white"/>
        </w:rPr>
        <w:t xml:space="preserve">, International Journal of Recent Technology and Engineering (IJRTE) Volume-8, July 2019. A study of 300 domestic workers in Mangochi, Malawi showed that more than half (61percent) of the women domestic worker participants came from rural areas.[2] This study concluded that </w:t>
      </w:r>
      <w:r>
        <w:rPr>
          <w:i/>
          <w:sz w:val="20"/>
          <w:szCs w:val="20"/>
          <w:highlight w:val="white"/>
        </w:rPr>
        <w:t>the fact that most of the women domestic workers are of Backward tribes who are all speaking Chichewa and it reflects the low social position that the domestic work is accorded traditionally. In other words, the occupation and tribal status appears to be closely interrelated.</w:t>
      </w:r>
    </w:p>
    <w:p w14:paraId="00000096" w14:textId="77777777" w:rsidR="002966D2" w:rsidRDefault="00000000">
      <w:pPr>
        <w:spacing w:before="240" w:line="240" w:lineRule="auto"/>
        <w:jc w:val="both"/>
        <w:rPr>
          <w:sz w:val="20"/>
          <w:szCs w:val="20"/>
        </w:rPr>
      </w:pPr>
      <w:r>
        <w:rPr>
          <w:sz w:val="20"/>
          <w:szCs w:val="20"/>
          <w:vertAlign w:val="superscript"/>
        </w:rPr>
        <w:t>[13]</w:t>
      </w:r>
      <w:r>
        <w:rPr>
          <w:sz w:val="20"/>
          <w:szCs w:val="20"/>
        </w:rPr>
        <w:t xml:space="preserve"> General comment no. 20 ‘Non-discrimination in economic, social and cultural rights (art. 2, para. </w:t>
      </w:r>
      <w:proofErr w:type="gramStart"/>
      <w:r>
        <w:rPr>
          <w:sz w:val="20"/>
          <w:szCs w:val="20"/>
        </w:rPr>
        <w:t>2,</w:t>
      </w:r>
      <w:proofErr w:type="gramEnd"/>
      <w:r>
        <w:rPr>
          <w:sz w:val="20"/>
          <w:szCs w:val="20"/>
        </w:rPr>
        <w:t xml:space="preserve"> of the International Covenant on Economic, Social and Cultural Rights)’ 2009</w:t>
      </w:r>
    </w:p>
    <w:p w14:paraId="00000097" w14:textId="77777777" w:rsidR="002966D2" w:rsidRDefault="00000000">
      <w:pPr>
        <w:spacing w:before="240" w:line="240" w:lineRule="auto"/>
        <w:jc w:val="both"/>
        <w:rPr>
          <w:sz w:val="20"/>
          <w:szCs w:val="20"/>
        </w:rPr>
      </w:pPr>
      <w:r>
        <w:rPr>
          <w:sz w:val="20"/>
          <w:szCs w:val="20"/>
          <w:vertAlign w:val="superscript"/>
        </w:rPr>
        <w:t>[14]</w:t>
      </w:r>
      <w:r>
        <w:rPr>
          <w:sz w:val="20"/>
          <w:szCs w:val="20"/>
        </w:rPr>
        <w:t xml:space="preserve"> Wages (Domestic Servants Order)</w:t>
      </w:r>
    </w:p>
    <w:p w14:paraId="00000098" w14:textId="77777777" w:rsidR="002966D2" w:rsidRDefault="00000000">
      <w:pPr>
        <w:spacing w:before="240" w:line="240" w:lineRule="auto"/>
        <w:jc w:val="both"/>
        <w:rPr>
          <w:sz w:val="20"/>
          <w:szCs w:val="20"/>
          <w:highlight w:val="white"/>
        </w:rPr>
      </w:pPr>
      <w:r>
        <w:rPr>
          <w:sz w:val="20"/>
          <w:szCs w:val="20"/>
          <w:vertAlign w:val="superscript"/>
        </w:rPr>
        <w:lastRenderedPageBreak/>
        <w:t>[</w:t>
      </w:r>
      <w:proofErr w:type="gramStart"/>
      <w:r>
        <w:rPr>
          <w:sz w:val="20"/>
          <w:szCs w:val="20"/>
          <w:vertAlign w:val="superscript"/>
        </w:rPr>
        <w:t>15]</w:t>
      </w:r>
      <w:r>
        <w:rPr>
          <w:sz w:val="20"/>
          <w:szCs w:val="20"/>
          <w:highlight w:val="white"/>
        </w:rPr>
        <w:t>Lucy</w:t>
      </w:r>
      <w:proofErr w:type="gramEnd"/>
      <w:r>
        <w:rPr>
          <w:sz w:val="20"/>
          <w:szCs w:val="20"/>
          <w:highlight w:val="white"/>
        </w:rPr>
        <w:t xml:space="preserve"> Mkandawire-</w:t>
      </w:r>
      <w:proofErr w:type="spellStart"/>
      <w:r>
        <w:rPr>
          <w:sz w:val="20"/>
          <w:szCs w:val="20"/>
          <w:highlight w:val="white"/>
        </w:rPr>
        <w:t>Valhmu</w:t>
      </w:r>
      <w:proofErr w:type="spellEnd"/>
      <w:r>
        <w:rPr>
          <w:sz w:val="20"/>
          <w:szCs w:val="20"/>
          <w:highlight w:val="white"/>
        </w:rPr>
        <w:t xml:space="preserve"> &amp; et al.,’ Surviving Life as a Woman: A Critical Ethnography of Violence in the Lives of Female Domestic Workers in Malawi’, 30 Health Care Women Int’l 783 (2009) </w:t>
      </w:r>
    </w:p>
    <w:p w14:paraId="00000099" w14:textId="77777777" w:rsidR="002966D2" w:rsidRDefault="00000000">
      <w:pPr>
        <w:spacing w:before="240" w:line="240" w:lineRule="auto"/>
        <w:jc w:val="both"/>
        <w:rPr>
          <w:sz w:val="20"/>
          <w:szCs w:val="20"/>
        </w:rPr>
      </w:pPr>
      <w:r>
        <w:rPr>
          <w:sz w:val="20"/>
          <w:szCs w:val="20"/>
          <w:vertAlign w:val="superscript"/>
        </w:rPr>
        <w:t>[16]</w:t>
      </w:r>
      <w:r>
        <w:rPr>
          <w:sz w:val="20"/>
          <w:szCs w:val="20"/>
          <w:vertAlign w:val="subscript"/>
        </w:rPr>
        <w:t xml:space="preserve"> </w:t>
      </w:r>
      <w:proofErr w:type="spellStart"/>
      <w:r>
        <w:rPr>
          <w:sz w:val="20"/>
          <w:szCs w:val="20"/>
        </w:rPr>
        <w:t>Godileki</w:t>
      </w:r>
      <w:proofErr w:type="spellEnd"/>
      <w:r>
        <w:rPr>
          <w:sz w:val="20"/>
          <w:szCs w:val="20"/>
        </w:rPr>
        <w:t xml:space="preserve"> v. </w:t>
      </w:r>
      <w:proofErr w:type="spellStart"/>
      <w:r>
        <w:rPr>
          <w:sz w:val="20"/>
          <w:szCs w:val="20"/>
        </w:rPr>
        <w:t>Chinoy</w:t>
      </w:r>
      <w:proofErr w:type="spellEnd"/>
      <w:r>
        <w:rPr>
          <w:sz w:val="20"/>
          <w:szCs w:val="20"/>
        </w:rPr>
        <w:t>, [2003] MWHC 58.</w:t>
      </w:r>
    </w:p>
    <w:p w14:paraId="0000009A" w14:textId="77777777" w:rsidR="002966D2" w:rsidRDefault="00000000">
      <w:pPr>
        <w:spacing w:before="240" w:line="240" w:lineRule="auto"/>
        <w:jc w:val="both"/>
        <w:rPr>
          <w:sz w:val="20"/>
          <w:szCs w:val="20"/>
        </w:rPr>
      </w:pPr>
      <w:r>
        <w:rPr>
          <w:sz w:val="20"/>
          <w:szCs w:val="20"/>
          <w:vertAlign w:val="superscript"/>
        </w:rPr>
        <w:t xml:space="preserve">[17] </w:t>
      </w:r>
      <w:proofErr w:type="spellStart"/>
      <w:r>
        <w:rPr>
          <w:sz w:val="20"/>
          <w:szCs w:val="20"/>
        </w:rPr>
        <w:t>Godileki</w:t>
      </w:r>
      <w:proofErr w:type="spellEnd"/>
      <w:r>
        <w:rPr>
          <w:sz w:val="20"/>
          <w:szCs w:val="20"/>
        </w:rPr>
        <w:t xml:space="preserve"> v. </w:t>
      </w:r>
      <w:proofErr w:type="spellStart"/>
      <w:r>
        <w:rPr>
          <w:sz w:val="20"/>
          <w:szCs w:val="20"/>
        </w:rPr>
        <w:t>Chinoy</w:t>
      </w:r>
      <w:proofErr w:type="spellEnd"/>
      <w:r>
        <w:rPr>
          <w:sz w:val="20"/>
          <w:szCs w:val="20"/>
        </w:rPr>
        <w:t>, [2003] MWHC 58.</w:t>
      </w:r>
    </w:p>
    <w:p w14:paraId="0000009B" w14:textId="77777777" w:rsidR="002966D2" w:rsidRDefault="00000000">
      <w:pPr>
        <w:spacing w:before="240" w:line="240" w:lineRule="auto"/>
        <w:jc w:val="both"/>
        <w:rPr>
          <w:sz w:val="20"/>
          <w:szCs w:val="20"/>
        </w:rPr>
      </w:pPr>
      <w:r>
        <w:rPr>
          <w:sz w:val="20"/>
          <w:szCs w:val="20"/>
          <w:vertAlign w:val="superscript"/>
        </w:rPr>
        <w:t xml:space="preserve">[18] </w:t>
      </w:r>
      <w:proofErr w:type="spellStart"/>
      <w:r>
        <w:rPr>
          <w:sz w:val="20"/>
          <w:szCs w:val="20"/>
        </w:rPr>
        <w:t>Kanyenga</w:t>
      </w:r>
      <w:proofErr w:type="spellEnd"/>
      <w:r>
        <w:rPr>
          <w:sz w:val="20"/>
          <w:szCs w:val="20"/>
        </w:rPr>
        <w:t xml:space="preserve"> v. Prime Insurance Co. [2004] MWHC 29; </w:t>
      </w:r>
      <w:proofErr w:type="spellStart"/>
      <w:r>
        <w:rPr>
          <w:sz w:val="20"/>
          <w:szCs w:val="20"/>
        </w:rPr>
        <w:t>Pandame</w:t>
      </w:r>
      <w:proofErr w:type="spellEnd"/>
    </w:p>
    <w:p w14:paraId="0000009C" w14:textId="77777777" w:rsidR="002966D2" w:rsidRDefault="00000000">
      <w:pPr>
        <w:spacing w:before="240" w:line="240" w:lineRule="auto"/>
        <w:jc w:val="both"/>
        <w:rPr>
          <w:sz w:val="20"/>
          <w:szCs w:val="20"/>
        </w:rPr>
      </w:pPr>
      <w:r>
        <w:rPr>
          <w:sz w:val="20"/>
          <w:szCs w:val="20"/>
        </w:rPr>
        <w:t>[19]</w:t>
      </w:r>
      <w:r>
        <w:rPr>
          <w:sz w:val="20"/>
          <w:szCs w:val="20"/>
          <w:vertAlign w:val="subscript"/>
        </w:rPr>
        <w:t xml:space="preserve"> </w:t>
      </w:r>
      <w:r>
        <w:rPr>
          <w:sz w:val="20"/>
          <w:szCs w:val="20"/>
        </w:rPr>
        <w:t xml:space="preserve">Banda v </w:t>
      </w:r>
      <w:proofErr w:type="spellStart"/>
      <w:r>
        <w:rPr>
          <w:sz w:val="20"/>
          <w:szCs w:val="20"/>
        </w:rPr>
        <w:t>Lekha</w:t>
      </w:r>
      <w:proofErr w:type="spellEnd"/>
      <w:r>
        <w:rPr>
          <w:sz w:val="20"/>
          <w:szCs w:val="20"/>
        </w:rPr>
        <w:t>, [2005] MWIRCC 44: ‘The Industrial Relations Court specifically stated that Section 20 of the Constitution prohibits unfair discrimination of persons in any form’.</w:t>
      </w:r>
    </w:p>
    <w:p w14:paraId="0000009D" w14:textId="77777777" w:rsidR="002966D2" w:rsidRDefault="00000000">
      <w:pPr>
        <w:spacing w:before="240" w:line="240" w:lineRule="auto"/>
        <w:jc w:val="both"/>
        <w:rPr>
          <w:sz w:val="20"/>
          <w:szCs w:val="20"/>
        </w:rPr>
      </w:pPr>
      <w:r>
        <w:rPr>
          <w:sz w:val="20"/>
          <w:szCs w:val="20"/>
          <w:vertAlign w:val="superscript"/>
        </w:rPr>
        <w:t>[20]</w:t>
      </w:r>
      <w:r>
        <w:rPr>
          <w:sz w:val="20"/>
          <w:szCs w:val="20"/>
        </w:rPr>
        <w:t xml:space="preserve"> Employment Act No. 6) Preamble (Malawi) 2000  </w:t>
      </w:r>
    </w:p>
    <w:p w14:paraId="0000009E" w14:textId="77777777" w:rsidR="002966D2" w:rsidRDefault="00000000">
      <w:pPr>
        <w:spacing w:before="240" w:line="240" w:lineRule="auto"/>
        <w:jc w:val="both"/>
        <w:rPr>
          <w:sz w:val="20"/>
          <w:szCs w:val="20"/>
        </w:rPr>
      </w:pPr>
      <w:r>
        <w:rPr>
          <w:sz w:val="20"/>
          <w:szCs w:val="20"/>
          <w:vertAlign w:val="superscript"/>
        </w:rPr>
        <w:t>[21]</w:t>
      </w:r>
      <w:r>
        <w:rPr>
          <w:sz w:val="20"/>
          <w:szCs w:val="20"/>
        </w:rPr>
        <w:t xml:space="preserve"> EA, § 47.</w:t>
      </w:r>
    </w:p>
    <w:p w14:paraId="0000009F" w14:textId="77777777" w:rsidR="002966D2" w:rsidRDefault="00000000">
      <w:pPr>
        <w:spacing w:before="240" w:line="240" w:lineRule="auto"/>
        <w:jc w:val="both"/>
        <w:rPr>
          <w:sz w:val="20"/>
          <w:szCs w:val="20"/>
        </w:rPr>
      </w:pPr>
      <w:r>
        <w:rPr>
          <w:sz w:val="20"/>
          <w:szCs w:val="20"/>
          <w:vertAlign w:val="superscript"/>
        </w:rPr>
        <w:t xml:space="preserve">[22] </w:t>
      </w:r>
      <w:r>
        <w:rPr>
          <w:sz w:val="20"/>
          <w:szCs w:val="20"/>
        </w:rPr>
        <w:t>EA Section 3 : ‘employee means(a) a person who offers his services under an oral or written contract of employment, whether express or implied, (b) any person …... who performs work or services for another person for remuneration or reward on such terms and conditions that he is in relation to that person in a position of economic dependence on, and under an obligation to perform duties for, that person more closely resembling the relationship of employee than that of an independent contractor; or (c) where appropriate, a former employee”</w:t>
      </w:r>
    </w:p>
    <w:p w14:paraId="000000A0" w14:textId="77777777" w:rsidR="002966D2" w:rsidRDefault="00000000">
      <w:pPr>
        <w:spacing w:before="240" w:line="240" w:lineRule="auto"/>
        <w:jc w:val="both"/>
        <w:rPr>
          <w:sz w:val="20"/>
          <w:szCs w:val="20"/>
        </w:rPr>
      </w:pPr>
      <w:r>
        <w:rPr>
          <w:sz w:val="20"/>
          <w:szCs w:val="20"/>
          <w:vertAlign w:val="superscript"/>
        </w:rPr>
        <w:t>[23]</w:t>
      </w:r>
      <w:r>
        <w:rPr>
          <w:sz w:val="20"/>
          <w:szCs w:val="20"/>
        </w:rPr>
        <w:t xml:space="preserve"> </w:t>
      </w:r>
      <w:proofErr w:type="spellStart"/>
      <w:r>
        <w:rPr>
          <w:sz w:val="20"/>
          <w:szCs w:val="20"/>
        </w:rPr>
        <w:t>Pandame</w:t>
      </w:r>
      <w:proofErr w:type="spellEnd"/>
      <w:r>
        <w:rPr>
          <w:sz w:val="20"/>
          <w:szCs w:val="20"/>
        </w:rPr>
        <w:t xml:space="preserve">, </w:t>
      </w:r>
      <w:r>
        <w:rPr>
          <w:i/>
          <w:sz w:val="20"/>
          <w:szCs w:val="20"/>
        </w:rPr>
        <w:t>supra note 7</w:t>
      </w:r>
      <w:r>
        <w:rPr>
          <w:sz w:val="20"/>
          <w:szCs w:val="20"/>
        </w:rPr>
        <w:t>.</w:t>
      </w:r>
    </w:p>
    <w:p w14:paraId="000000A1" w14:textId="77777777" w:rsidR="002966D2" w:rsidRDefault="00000000">
      <w:pPr>
        <w:spacing w:before="240" w:line="240" w:lineRule="auto"/>
        <w:jc w:val="both"/>
        <w:rPr>
          <w:sz w:val="20"/>
          <w:szCs w:val="20"/>
          <w:highlight w:val="white"/>
        </w:rPr>
      </w:pPr>
      <w:r>
        <w:rPr>
          <w:sz w:val="20"/>
          <w:szCs w:val="20"/>
          <w:vertAlign w:val="superscript"/>
        </w:rPr>
        <w:t xml:space="preserve">[24] </w:t>
      </w:r>
      <w:r>
        <w:rPr>
          <w:sz w:val="20"/>
          <w:szCs w:val="20"/>
        </w:rPr>
        <w:t xml:space="preserve">See also </w:t>
      </w:r>
      <w:r>
        <w:rPr>
          <w:sz w:val="20"/>
          <w:szCs w:val="20"/>
          <w:highlight w:val="white"/>
        </w:rPr>
        <w:t>Mkandawire-</w:t>
      </w:r>
      <w:proofErr w:type="spellStart"/>
      <w:r>
        <w:rPr>
          <w:sz w:val="20"/>
          <w:szCs w:val="20"/>
          <w:highlight w:val="white"/>
        </w:rPr>
        <w:t>Valhmu</w:t>
      </w:r>
      <w:proofErr w:type="spellEnd"/>
      <w:r>
        <w:rPr>
          <w:sz w:val="20"/>
          <w:szCs w:val="20"/>
          <w:highlight w:val="white"/>
        </w:rPr>
        <w:t xml:space="preserve">, </w:t>
      </w:r>
      <w:r>
        <w:rPr>
          <w:i/>
          <w:sz w:val="20"/>
          <w:szCs w:val="20"/>
          <w:highlight w:val="white"/>
        </w:rPr>
        <w:t>Surviving Life as a Women</w:t>
      </w:r>
      <w:r>
        <w:rPr>
          <w:sz w:val="20"/>
          <w:szCs w:val="20"/>
          <w:highlight w:val="white"/>
        </w:rPr>
        <w:t xml:space="preserve">, </w:t>
      </w:r>
      <w:r>
        <w:rPr>
          <w:i/>
          <w:sz w:val="20"/>
          <w:szCs w:val="20"/>
          <w:highlight w:val="white"/>
        </w:rPr>
        <w:t>supra</w:t>
      </w:r>
      <w:r>
        <w:rPr>
          <w:sz w:val="20"/>
          <w:szCs w:val="20"/>
          <w:highlight w:val="white"/>
        </w:rPr>
        <w:t xml:space="preserve"> at 797 (referencing “garden boys”).</w:t>
      </w:r>
    </w:p>
    <w:p w14:paraId="000000A2" w14:textId="77777777" w:rsidR="002966D2" w:rsidRDefault="00000000">
      <w:pPr>
        <w:spacing w:before="240" w:line="240" w:lineRule="auto"/>
        <w:jc w:val="both"/>
        <w:rPr>
          <w:sz w:val="20"/>
          <w:szCs w:val="20"/>
        </w:rPr>
      </w:pPr>
      <w:r>
        <w:rPr>
          <w:sz w:val="20"/>
          <w:szCs w:val="20"/>
        </w:rPr>
        <w:t xml:space="preserve">See </w:t>
      </w:r>
      <w:proofErr w:type="spellStart"/>
      <w:r>
        <w:rPr>
          <w:sz w:val="20"/>
          <w:szCs w:val="20"/>
        </w:rPr>
        <w:t>Kachika</w:t>
      </w:r>
      <w:proofErr w:type="spellEnd"/>
      <w:r>
        <w:rPr>
          <w:sz w:val="20"/>
          <w:szCs w:val="20"/>
        </w:rPr>
        <w:t xml:space="preserve"> v. Longwe, matter no. IRC 195/2003 (unreported), as cited and confirmed in </w:t>
      </w:r>
      <w:proofErr w:type="spellStart"/>
      <w:r>
        <w:rPr>
          <w:sz w:val="20"/>
          <w:szCs w:val="20"/>
        </w:rPr>
        <w:t>Chisowa</w:t>
      </w:r>
      <w:proofErr w:type="spellEnd"/>
      <w:r>
        <w:rPr>
          <w:sz w:val="20"/>
          <w:szCs w:val="20"/>
        </w:rPr>
        <w:t xml:space="preserve"> v. Ibrahim Cash 'n Carry [2005] MWIRC 86. The IRC has affirmed that the employer has the duty to draw up the particulars of employment and providing them to employee in terms of section 27 of the Employment Act.</w:t>
      </w:r>
    </w:p>
    <w:p w14:paraId="000000A3" w14:textId="77777777" w:rsidR="002966D2" w:rsidRDefault="00000000">
      <w:pPr>
        <w:spacing w:before="240" w:line="240" w:lineRule="auto"/>
        <w:jc w:val="both"/>
        <w:rPr>
          <w:sz w:val="20"/>
          <w:szCs w:val="20"/>
        </w:rPr>
      </w:pPr>
      <w:r>
        <w:rPr>
          <w:sz w:val="20"/>
          <w:szCs w:val="20"/>
          <w:vertAlign w:val="superscript"/>
        </w:rPr>
        <w:t>[25]</w:t>
      </w:r>
      <w:r>
        <w:rPr>
          <w:sz w:val="20"/>
          <w:szCs w:val="20"/>
        </w:rPr>
        <w:t xml:space="preserve"> In </w:t>
      </w:r>
      <w:proofErr w:type="spellStart"/>
      <w:r>
        <w:rPr>
          <w:i/>
          <w:sz w:val="20"/>
          <w:szCs w:val="20"/>
        </w:rPr>
        <w:t>Kachika</w:t>
      </w:r>
      <w:proofErr w:type="spellEnd"/>
      <w:r>
        <w:rPr>
          <w:i/>
          <w:sz w:val="20"/>
          <w:szCs w:val="20"/>
        </w:rPr>
        <w:t xml:space="preserve"> v. Longwe</w:t>
      </w:r>
      <w:r>
        <w:rPr>
          <w:sz w:val="20"/>
          <w:szCs w:val="20"/>
        </w:rPr>
        <w:t xml:space="preserve">, the Industrial </w:t>
      </w:r>
      <w:proofErr w:type="spellStart"/>
      <w:r>
        <w:rPr>
          <w:sz w:val="20"/>
          <w:szCs w:val="20"/>
        </w:rPr>
        <w:t>Labour</w:t>
      </w:r>
      <w:proofErr w:type="spellEnd"/>
      <w:r>
        <w:rPr>
          <w:sz w:val="20"/>
          <w:szCs w:val="20"/>
        </w:rPr>
        <w:t xml:space="preserve"> Court addressed the issue of absence of a written contract of employment: “An employer can therefore not rely on the absence of such particulars as proof that there was no employer-employee relationship and therefore deny a claimant employee rights and benefits.”</w:t>
      </w:r>
    </w:p>
    <w:p w14:paraId="000000A4" w14:textId="77777777" w:rsidR="002966D2" w:rsidRDefault="00000000">
      <w:pPr>
        <w:spacing w:before="240" w:line="240" w:lineRule="auto"/>
        <w:jc w:val="both"/>
        <w:rPr>
          <w:sz w:val="20"/>
          <w:szCs w:val="20"/>
        </w:rPr>
      </w:pPr>
      <w:r>
        <w:rPr>
          <w:sz w:val="20"/>
          <w:szCs w:val="20"/>
          <w:vertAlign w:val="superscript"/>
        </w:rPr>
        <w:t>[26]</w:t>
      </w:r>
      <w:r>
        <w:rPr>
          <w:sz w:val="20"/>
          <w:szCs w:val="20"/>
        </w:rPr>
        <w:t xml:space="preserve"> </w:t>
      </w:r>
      <w:proofErr w:type="spellStart"/>
      <w:r>
        <w:rPr>
          <w:sz w:val="20"/>
          <w:szCs w:val="20"/>
        </w:rPr>
        <w:t>Pandame</w:t>
      </w:r>
      <w:proofErr w:type="spellEnd"/>
      <w:r>
        <w:rPr>
          <w:sz w:val="20"/>
          <w:szCs w:val="20"/>
        </w:rPr>
        <w:t xml:space="preserve">, </w:t>
      </w:r>
      <w:r>
        <w:rPr>
          <w:i/>
          <w:sz w:val="20"/>
          <w:szCs w:val="20"/>
        </w:rPr>
        <w:t>supra</w:t>
      </w:r>
      <w:r>
        <w:rPr>
          <w:sz w:val="20"/>
          <w:szCs w:val="20"/>
        </w:rPr>
        <w:t xml:space="preserve"> note 7.</w:t>
      </w:r>
    </w:p>
    <w:p w14:paraId="000000A5" w14:textId="77777777" w:rsidR="002966D2" w:rsidRDefault="00000000">
      <w:pPr>
        <w:spacing w:before="240" w:line="240" w:lineRule="auto"/>
        <w:jc w:val="both"/>
        <w:rPr>
          <w:sz w:val="20"/>
          <w:szCs w:val="20"/>
        </w:rPr>
      </w:pPr>
      <w:r>
        <w:rPr>
          <w:sz w:val="20"/>
          <w:szCs w:val="20"/>
          <w:vertAlign w:val="superscript"/>
        </w:rPr>
        <w:t>[27]</w:t>
      </w:r>
      <w:r>
        <w:rPr>
          <w:sz w:val="20"/>
          <w:szCs w:val="20"/>
        </w:rPr>
        <w:t xml:space="preserve"> </w:t>
      </w:r>
      <w:r>
        <w:rPr>
          <w:i/>
          <w:sz w:val="20"/>
          <w:szCs w:val="20"/>
        </w:rPr>
        <w:t>Id</w:t>
      </w:r>
      <w:r>
        <w:rPr>
          <w:sz w:val="20"/>
          <w:szCs w:val="20"/>
        </w:rPr>
        <w:t>. (quoting Busia). Trade Unions in Malawi have been holding employees to task, and some employers are adopting some informal methods of documenting the agreements between employer and employee even it’s in a hard covered book just to record the terms agreed and the way the domestic worker is working.</w:t>
      </w:r>
    </w:p>
    <w:p w14:paraId="000000A6" w14:textId="77777777" w:rsidR="002966D2" w:rsidRDefault="00000000">
      <w:pPr>
        <w:spacing w:before="240" w:line="240" w:lineRule="auto"/>
        <w:jc w:val="both"/>
        <w:rPr>
          <w:sz w:val="20"/>
          <w:szCs w:val="20"/>
        </w:rPr>
      </w:pPr>
      <w:r>
        <w:rPr>
          <w:sz w:val="20"/>
          <w:szCs w:val="20"/>
          <w:vertAlign w:val="superscript"/>
        </w:rPr>
        <w:t>[28]</w:t>
      </w:r>
      <w:r>
        <w:rPr>
          <w:sz w:val="20"/>
          <w:szCs w:val="20"/>
          <w:vertAlign w:val="subscript"/>
        </w:rPr>
        <w:t xml:space="preserve"> </w:t>
      </w:r>
      <w:proofErr w:type="spellStart"/>
      <w:r>
        <w:rPr>
          <w:sz w:val="20"/>
          <w:szCs w:val="20"/>
        </w:rPr>
        <w:t>Pendame</w:t>
      </w:r>
      <w:proofErr w:type="spellEnd"/>
      <w:r>
        <w:rPr>
          <w:sz w:val="20"/>
          <w:szCs w:val="20"/>
        </w:rPr>
        <w:t xml:space="preserve"> (note 7), </w:t>
      </w:r>
      <w:proofErr w:type="spellStart"/>
      <w:r>
        <w:rPr>
          <w:sz w:val="20"/>
          <w:szCs w:val="20"/>
        </w:rPr>
        <w:t>pg</w:t>
      </w:r>
      <w:proofErr w:type="spellEnd"/>
      <w:r>
        <w:rPr>
          <w:sz w:val="20"/>
          <w:szCs w:val="20"/>
        </w:rPr>
        <w:t xml:space="preserve"> 8.</w:t>
      </w:r>
    </w:p>
    <w:p w14:paraId="000000A7" w14:textId="77777777" w:rsidR="002966D2" w:rsidRDefault="00000000">
      <w:pPr>
        <w:spacing w:before="240" w:line="240" w:lineRule="auto"/>
        <w:jc w:val="both"/>
        <w:rPr>
          <w:sz w:val="20"/>
          <w:szCs w:val="20"/>
        </w:rPr>
      </w:pPr>
      <w:r>
        <w:rPr>
          <w:sz w:val="20"/>
          <w:szCs w:val="20"/>
          <w:vertAlign w:val="superscript"/>
        </w:rPr>
        <w:t>[29]</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&amp; Patricia E. Stevens, applying a Feminist Approach to Health and Human Rights Research in Malawi A Study of Violence in the Lives of Female Domestic Workers Advances in Nursing Science, 2007 Oct – Dec Vol. 30(4) pp. 278–289, pg. 279</w:t>
      </w:r>
    </w:p>
    <w:p w14:paraId="000000A8" w14:textId="77777777" w:rsidR="002966D2" w:rsidRDefault="00000000">
      <w:pPr>
        <w:spacing w:before="240" w:line="240" w:lineRule="auto"/>
        <w:jc w:val="both"/>
        <w:rPr>
          <w:sz w:val="20"/>
          <w:szCs w:val="20"/>
        </w:rPr>
      </w:pPr>
      <w:r>
        <w:rPr>
          <w:sz w:val="20"/>
          <w:szCs w:val="20"/>
          <w:vertAlign w:val="superscript"/>
        </w:rPr>
        <w:t>[30</w:t>
      </w:r>
      <w:proofErr w:type="gramStart"/>
      <w:r>
        <w:rPr>
          <w:sz w:val="20"/>
          <w:szCs w:val="20"/>
          <w:vertAlign w:val="superscript"/>
        </w:rPr>
        <w:t>]</w:t>
      </w:r>
      <w:r>
        <w:rPr>
          <w:sz w:val="20"/>
          <w:szCs w:val="20"/>
          <w:vertAlign w:val="subscript"/>
        </w:rPr>
        <w:t xml:space="preserve">  </w:t>
      </w:r>
      <w:r>
        <w:rPr>
          <w:sz w:val="20"/>
          <w:szCs w:val="20"/>
        </w:rPr>
        <w:t>Lucy</w:t>
      </w:r>
      <w:proofErr w:type="gramEnd"/>
      <w:r>
        <w:rPr>
          <w:sz w:val="20"/>
          <w:szCs w:val="20"/>
        </w:rPr>
        <w:t xml:space="preserve"> Mkandawire-</w:t>
      </w:r>
      <w:proofErr w:type="spellStart"/>
      <w:r>
        <w:rPr>
          <w:sz w:val="20"/>
          <w:szCs w:val="20"/>
        </w:rPr>
        <w:t>Valhmu</w:t>
      </w:r>
      <w:proofErr w:type="spellEnd"/>
      <w:r>
        <w:rPr>
          <w:sz w:val="20"/>
          <w:szCs w:val="20"/>
        </w:rPr>
        <w:t xml:space="preserve">, Rachel Rodriguez, Nawal Ammar &amp; Keiko </w:t>
      </w:r>
      <w:proofErr w:type="spellStart"/>
      <w:r>
        <w:rPr>
          <w:sz w:val="20"/>
          <w:szCs w:val="20"/>
        </w:rPr>
        <w:t>Nemoto</w:t>
      </w:r>
      <w:proofErr w:type="spellEnd"/>
      <w:r>
        <w:rPr>
          <w:sz w:val="20"/>
          <w:szCs w:val="20"/>
        </w:rPr>
        <w:t xml:space="preserve"> , pg. 785</w:t>
      </w:r>
    </w:p>
    <w:p w14:paraId="000000A9" w14:textId="77777777" w:rsidR="002966D2" w:rsidRDefault="00000000">
      <w:pPr>
        <w:spacing w:before="240" w:line="240" w:lineRule="auto"/>
        <w:jc w:val="both"/>
        <w:rPr>
          <w:sz w:val="20"/>
          <w:szCs w:val="20"/>
        </w:rPr>
      </w:pPr>
      <w:r>
        <w:rPr>
          <w:sz w:val="20"/>
          <w:szCs w:val="20"/>
          <w:vertAlign w:val="superscript"/>
        </w:rPr>
        <w:t>[31]</w:t>
      </w:r>
      <w:r>
        <w:rPr>
          <w:sz w:val="20"/>
          <w:szCs w:val="20"/>
          <w:vertAlign w:val="subscript"/>
        </w:rPr>
        <w:t xml:space="preserve"> </w:t>
      </w:r>
      <w:r>
        <w:rPr>
          <w:sz w:val="20"/>
          <w:szCs w:val="20"/>
        </w:rPr>
        <w:t>Ibid, pg. 785</w:t>
      </w:r>
    </w:p>
    <w:p w14:paraId="000000AA" w14:textId="77777777" w:rsidR="002966D2" w:rsidRDefault="00000000">
      <w:pPr>
        <w:spacing w:before="240" w:line="240" w:lineRule="auto"/>
        <w:jc w:val="both"/>
        <w:rPr>
          <w:sz w:val="20"/>
          <w:szCs w:val="20"/>
        </w:rPr>
      </w:pPr>
      <w:r>
        <w:rPr>
          <w:sz w:val="20"/>
          <w:szCs w:val="20"/>
          <w:vertAlign w:val="superscript"/>
        </w:rPr>
        <w:t>[32]</w:t>
      </w:r>
      <w:r>
        <w:rPr>
          <w:sz w:val="20"/>
          <w:szCs w:val="20"/>
        </w:rPr>
        <w:t xml:space="preserve"> Mary </w:t>
      </w:r>
      <w:proofErr w:type="spellStart"/>
      <w:proofErr w:type="gramStart"/>
      <w:r>
        <w:rPr>
          <w:sz w:val="20"/>
          <w:szCs w:val="20"/>
        </w:rPr>
        <w:t>Dzinyemba</w:t>
      </w:r>
      <w:proofErr w:type="spellEnd"/>
      <w:r>
        <w:rPr>
          <w:sz w:val="20"/>
          <w:szCs w:val="20"/>
        </w:rPr>
        <w:t>,  CIAWU</w:t>
      </w:r>
      <w:proofErr w:type="gramEnd"/>
      <w:r>
        <w:rPr>
          <w:sz w:val="20"/>
          <w:szCs w:val="20"/>
        </w:rPr>
        <w:t xml:space="preserve"> (January 15 2023).</w:t>
      </w:r>
    </w:p>
    <w:p w14:paraId="000000AB" w14:textId="77777777" w:rsidR="002966D2" w:rsidRDefault="00000000">
      <w:pPr>
        <w:spacing w:before="240" w:line="240" w:lineRule="auto"/>
        <w:jc w:val="both"/>
        <w:rPr>
          <w:sz w:val="20"/>
          <w:szCs w:val="20"/>
        </w:rPr>
      </w:pPr>
      <w:r>
        <w:rPr>
          <w:sz w:val="20"/>
          <w:szCs w:val="20"/>
          <w:vertAlign w:val="superscript"/>
        </w:rPr>
        <w:t>[33</w:t>
      </w:r>
      <w:proofErr w:type="gramStart"/>
      <w:r>
        <w:rPr>
          <w:sz w:val="20"/>
          <w:szCs w:val="20"/>
          <w:vertAlign w:val="superscript"/>
        </w:rPr>
        <w:t>]</w:t>
      </w:r>
      <w:r>
        <w:rPr>
          <w:sz w:val="20"/>
          <w:szCs w:val="20"/>
          <w:vertAlign w:val="subscript"/>
        </w:rPr>
        <w:t xml:space="preserve">  </w:t>
      </w:r>
      <w:r>
        <w:rPr>
          <w:sz w:val="20"/>
          <w:szCs w:val="20"/>
        </w:rPr>
        <w:t>Lucy</w:t>
      </w:r>
      <w:proofErr w:type="gramEnd"/>
      <w:r>
        <w:rPr>
          <w:sz w:val="20"/>
          <w:szCs w:val="20"/>
        </w:rPr>
        <w:t xml:space="preserve"> Mkandawire-</w:t>
      </w:r>
      <w:proofErr w:type="spellStart"/>
      <w:r>
        <w:rPr>
          <w:sz w:val="20"/>
          <w:szCs w:val="20"/>
        </w:rPr>
        <w:t>Valhmu</w:t>
      </w:r>
      <w:proofErr w:type="spellEnd"/>
      <w:r>
        <w:rPr>
          <w:sz w:val="20"/>
          <w:szCs w:val="20"/>
        </w:rPr>
        <w:t xml:space="preserve">, Rachel Rodriguez, Nawal Ammar &amp; Keiko </w:t>
      </w:r>
      <w:proofErr w:type="spellStart"/>
      <w:r>
        <w:rPr>
          <w:sz w:val="20"/>
          <w:szCs w:val="20"/>
        </w:rPr>
        <w:t>Nemoto</w:t>
      </w:r>
      <w:proofErr w:type="spellEnd"/>
      <w:r>
        <w:rPr>
          <w:sz w:val="20"/>
          <w:szCs w:val="20"/>
        </w:rPr>
        <w:t>, pg. 795</w:t>
      </w:r>
    </w:p>
    <w:p w14:paraId="000000AC" w14:textId="77777777" w:rsidR="002966D2" w:rsidRDefault="00000000">
      <w:pPr>
        <w:spacing w:before="240" w:line="240" w:lineRule="auto"/>
        <w:jc w:val="both"/>
        <w:rPr>
          <w:sz w:val="20"/>
          <w:szCs w:val="20"/>
        </w:rPr>
      </w:pPr>
      <w:r>
        <w:rPr>
          <w:b/>
          <w:i/>
          <w:sz w:val="20"/>
          <w:szCs w:val="20"/>
          <w:vertAlign w:val="superscript"/>
        </w:rPr>
        <w:lastRenderedPageBreak/>
        <w:t>[34]</w:t>
      </w:r>
      <w:r>
        <w:rPr>
          <w:sz w:val="20"/>
          <w:szCs w:val="20"/>
          <w:vertAlign w:val="subscript"/>
        </w:rPr>
        <w:t xml:space="preserve"> </w:t>
      </w:r>
      <w:r>
        <w:rPr>
          <w:sz w:val="20"/>
          <w:szCs w:val="20"/>
        </w:rPr>
        <w:t xml:space="preserve">Going Child </w:t>
      </w:r>
      <w:proofErr w:type="spellStart"/>
      <w:r>
        <w:rPr>
          <w:sz w:val="20"/>
          <w:szCs w:val="20"/>
        </w:rPr>
        <w:t>Labour</w:t>
      </w:r>
      <w:proofErr w:type="spellEnd"/>
      <w:r>
        <w:rPr>
          <w:sz w:val="20"/>
          <w:szCs w:val="20"/>
        </w:rPr>
        <w:t xml:space="preserve"> Free in Malawi, ILO,</w:t>
      </w:r>
      <w:hyperlink r:id="rId13">
        <w:r>
          <w:rPr>
            <w:sz w:val="20"/>
            <w:szCs w:val="20"/>
          </w:rPr>
          <w:t xml:space="preserve"> </w:t>
        </w:r>
      </w:hyperlink>
      <w:hyperlink r:id="rId14">
        <w:r>
          <w:rPr>
            <w:sz w:val="20"/>
            <w:szCs w:val="20"/>
            <w:u w:val="single"/>
          </w:rPr>
          <w:t>https://www.ilo.org/global/about-the-ilo/multimedia/features/malawi/lang--en/index.htm</w:t>
        </w:r>
      </w:hyperlink>
      <w:r>
        <w:rPr>
          <w:sz w:val="20"/>
          <w:szCs w:val="20"/>
        </w:rPr>
        <w:t xml:space="preserve"> [Accessed on 22 September 2021]</w:t>
      </w:r>
    </w:p>
    <w:p w14:paraId="000000AD" w14:textId="77777777" w:rsidR="002966D2" w:rsidRDefault="00000000">
      <w:pPr>
        <w:spacing w:before="240" w:line="240" w:lineRule="auto"/>
        <w:jc w:val="both"/>
        <w:rPr>
          <w:sz w:val="20"/>
          <w:szCs w:val="20"/>
        </w:rPr>
      </w:pPr>
      <w:r>
        <w:rPr>
          <w:b/>
          <w:i/>
          <w:sz w:val="20"/>
          <w:szCs w:val="20"/>
          <w:vertAlign w:val="superscript"/>
        </w:rPr>
        <w:t>[35]</w:t>
      </w:r>
      <w:r>
        <w:rPr>
          <w:sz w:val="20"/>
          <w:szCs w:val="20"/>
          <w:vertAlign w:val="subscript"/>
        </w:rPr>
        <w:t xml:space="preserve"> </w:t>
      </w:r>
      <w:r>
        <w:rPr>
          <w:sz w:val="20"/>
          <w:szCs w:val="20"/>
        </w:rPr>
        <w:t>Ibid.</w:t>
      </w:r>
    </w:p>
    <w:p w14:paraId="000000AE" w14:textId="77777777" w:rsidR="002966D2" w:rsidRDefault="00000000">
      <w:pPr>
        <w:spacing w:before="240" w:line="240" w:lineRule="auto"/>
        <w:jc w:val="both"/>
        <w:rPr>
          <w:sz w:val="20"/>
          <w:szCs w:val="20"/>
        </w:rPr>
      </w:pPr>
      <w:r>
        <w:rPr>
          <w:sz w:val="20"/>
          <w:szCs w:val="20"/>
          <w:vertAlign w:val="superscript"/>
        </w:rPr>
        <w:t>[36]</w:t>
      </w:r>
      <w:r>
        <w:rPr>
          <w:sz w:val="20"/>
          <w:szCs w:val="20"/>
        </w:rPr>
        <w:t xml:space="preserve"> C. 189 at art. 7.</w:t>
      </w:r>
    </w:p>
    <w:p w14:paraId="000000AF" w14:textId="77777777" w:rsidR="002966D2" w:rsidRDefault="00000000">
      <w:pPr>
        <w:spacing w:before="240" w:line="240" w:lineRule="auto"/>
        <w:jc w:val="both"/>
        <w:rPr>
          <w:sz w:val="20"/>
          <w:szCs w:val="20"/>
        </w:rPr>
      </w:pPr>
      <w:r>
        <w:rPr>
          <w:sz w:val="20"/>
          <w:szCs w:val="20"/>
          <w:vertAlign w:val="superscript"/>
        </w:rPr>
        <w:t>[37]</w:t>
      </w:r>
      <w:r>
        <w:rPr>
          <w:sz w:val="20"/>
          <w:szCs w:val="20"/>
        </w:rPr>
        <w:t xml:space="preserve"> Note that Section 22(1) of the EA provides that children between the ages of 14 and 18 years of age cannot be employed in any occupation or activity that is harmful to their education, health or safety or which is prejudicial to their education. It requires employers of children to register the children working for them and sets a fine for contravention. Section 22(1) does not exclude domestic workers. Arguably children between the ages of 14 and 18 could be employed in domestic work in a manner that is harmful to their education, health or safety. However, there is no similar limitation in the employment of children under 14 in section 22(1).</w:t>
      </w:r>
    </w:p>
    <w:p w14:paraId="000000B0" w14:textId="77777777" w:rsidR="002966D2" w:rsidRDefault="00000000">
      <w:pPr>
        <w:spacing w:before="240" w:line="240" w:lineRule="auto"/>
        <w:jc w:val="both"/>
        <w:rPr>
          <w:sz w:val="20"/>
          <w:szCs w:val="20"/>
        </w:rPr>
      </w:pPr>
      <w:r>
        <w:rPr>
          <w:sz w:val="20"/>
          <w:szCs w:val="20"/>
          <w:vertAlign w:val="superscript"/>
        </w:rPr>
        <w:t>[38]</w:t>
      </w:r>
      <w:r>
        <w:rPr>
          <w:sz w:val="20"/>
          <w:szCs w:val="20"/>
        </w:rPr>
        <w:t xml:space="preserve"> Article 23 of the </w:t>
      </w:r>
      <w:proofErr w:type="spellStart"/>
      <w:r>
        <w:rPr>
          <w:sz w:val="20"/>
          <w:szCs w:val="20"/>
        </w:rPr>
        <w:t>Malawaian</w:t>
      </w:r>
      <w:proofErr w:type="spellEnd"/>
      <w:r>
        <w:rPr>
          <w:sz w:val="20"/>
          <w:szCs w:val="20"/>
        </w:rPr>
        <w:t xml:space="preserve"> Constitution covers the right to equal treatment of all children, which is defined as a person under eighteen, “regardless of the circumstances of their birth” and determining that their best interests shall be the primary consideration in decisions impacting them. Further, they are entitled to protection from economic exploitation, including work that is hazardous, interferes with their education or is “harmful to their health, physical, mental, spiritual, or social well-being.”</w:t>
      </w:r>
    </w:p>
    <w:p w14:paraId="000000B1" w14:textId="77777777" w:rsidR="002966D2" w:rsidRDefault="00000000">
      <w:pPr>
        <w:spacing w:before="240" w:line="240" w:lineRule="auto"/>
        <w:jc w:val="both"/>
        <w:rPr>
          <w:sz w:val="20"/>
          <w:szCs w:val="20"/>
        </w:rPr>
      </w:pPr>
      <w:r>
        <w:rPr>
          <w:sz w:val="20"/>
          <w:szCs w:val="20"/>
          <w:vertAlign w:val="superscript"/>
        </w:rPr>
        <w:t>[39</w:t>
      </w:r>
      <w:proofErr w:type="gramStart"/>
      <w:r>
        <w:rPr>
          <w:sz w:val="20"/>
          <w:szCs w:val="20"/>
          <w:vertAlign w:val="superscript"/>
        </w:rPr>
        <w:t xml:space="preserve">] </w:t>
      </w:r>
      <w:r>
        <w:rPr>
          <w:sz w:val="20"/>
          <w:szCs w:val="20"/>
        </w:rPr>
        <w:t xml:space="preserve"> Section</w:t>
      </w:r>
      <w:proofErr w:type="gramEnd"/>
      <w:r>
        <w:rPr>
          <w:sz w:val="20"/>
          <w:szCs w:val="20"/>
        </w:rPr>
        <w:t xml:space="preserve"> 54 of the EA further mandates the Minister of </w:t>
      </w:r>
      <w:proofErr w:type="spellStart"/>
      <w:r>
        <w:rPr>
          <w:sz w:val="20"/>
          <w:szCs w:val="20"/>
        </w:rPr>
        <w:t>Labour</w:t>
      </w:r>
      <w:proofErr w:type="spellEnd"/>
      <w:r>
        <w:rPr>
          <w:sz w:val="20"/>
          <w:szCs w:val="20"/>
        </w:rPr>
        <w:t xml:space="preserve"> to issue the wage orders through a government gazette after consulting with representative </w:t>
      </w:r>
      <w:proofErr w:type="spellStart"/>
      <w:r>
        <w:rPr>
          <w:sz w:val="20"/>
          <w:szCs w:val="20"/>
        </w:rPr>
        <w:t>organisations</w:t>
      </w:r>
      <w:proofErr w:type="spellEnd"/>
      <w:r>
        <w:rPr>
          <w:sz w:val="20"/>
          <w:szCs w:val="20"/>
        </w:rPr>
        <w:t xml:space="preserve"> of workers and employers.</w:t>
      </w:r>
    </w:p>
    <w:p w14:paraId="000000B2" w14:textId="77777777" w:rsidR="002966D2" w:rsidRDefault="00000000">
      <w:pPr>
        <w:spacing w:before="240" w:line="240" w:lineRule="auto"/>
        <w:jc w:val="both"/>
        <w:rPr>
          <w:sz w:val="20"/>
          <w:szCs w:val="20"/>
          <w:u w:val="single"/>
        </w:rPr>
      </w:pPr>
      <w:r>
        <w:rPr>
          <w:sz w:val="20"/>
          <w:szCs w:val="20"/>
          <w:vertAlign w:val="superscript"/>
        </w:rPr>
        <w:t xml:space="preserve">[40] </w:t>
      </w:r>
      <w:r>
        <w:rPr>
          <w:sz w:val="20"/>
          <w:szCs w:val="20"/>
        </w:rPr>
        <w:t xml:space="preserve">Chimwemwe </w:t>
      </w:r>
      <w:proofErr w:type="spellStart"/>
      <w:r>
        <w:rPr>
          <w:sz w:val="20"/>
          <w:szCs w:val="20"/>
        </w:rPr>
        <w:t>Mangazi</w:t>
      </w:r>
      <w:proofErr w:type="spellEnd"/>
      <w:r>
        <w:rPr>
          <w:sz w:val="20"/>
          <w:szCs w:val="20"/>
        </w:rPr>
        <w:t xml:space="preserve"> ‘New Minimum Wage Starts January 1’ </w:t>
      </w:r>
      <w:r>
        <w:rPr>
          <w:smallCaps/>
          <w:sz w:val="20"/>
          <w:szCs w:val="20"/>
        </w:rPr>
        <w:t>Times</w:t>
      </w:r>
      <w:r>
        <w:rPr>
          <w:sz w:val="20"/>
          <w:szCs w:val="20"/>
        </w:rPr>
        <w:t xml:space="preserve"> (Dec. 24, 2020), </w:t>
      </w:r>
      <w:r>
        <w:rPr>
          <w:sz w:val="20"/>
          <w:szCs w:val="20"/>
          <w:vertAlign w:val="superscript"/>
        </w:rPr>
        <w:t xml:space="preserve"> </w:t>
      </w:r>
      <w:hyperlink r:id="rId15">
        <w:r>
          <w:rPr>
            <w:sz w:val="20"/>
            <w:szCs w:val="20"/>
            <w:u w:val="single"/>
          </w:rPr>
          <w:t>https://times.mw/new-minimum-wage-starts-january-1/</w:t>
        </w:r>
      </w:hyperlink>
      <w:r>
        <w:rPr>
          <w:sz w:val="20"/>
          <w:szCs w:val="20"/>
          <w:u w:val="single"/>
        </w:rPr>
        <w:t>.</w:t>
      </w:r>
      <w:r>
        <w:rPr>
          <w:sz w:val="20"/>
          <w:szCs w:val="20"/>
        </w:rPr>
        <w:t xml:space="preserve"> See also </w:t>
      </w:r>
      <w:proofErr w:type="gramStart"/>
      <w:r>
        <w:rPr>
          <w:sz w:val="20"/>
          <w:szCs w:val="20"/>
        </w:rPr>
        <w:t>WageIndicator.org  ‘</w:t>
      </w:r>
      <w:proofErr w:type="gramEnd"/>
      <w:r>
        <w:rPr>
          <w:sz w:val="20"/>
          <w:szCs w:val="20"/>
        </w:rPr>
        <w:t>Minimum Wage – Malawi’, 2022</w:t>
      </w:r>
      <w:hyperlink r:id="rId16">
        <w:r>
          <w:rPr>
            <w:sz w:val="20"/>
            <w:szCs w:val="20"/>
            <w:u w:val="single"/>
          </w:rPr>
          <w:t xml:space="preserve"> https://wageindicator.org/salary/minimum-wage/malawi</w:t>
        </w:r>
      </w:hyperlink>
      <w:r>
        <w:rPr>
          <w:sz w:val="20"/>
          <w:szCs w:val="20"/>
          <w:u w:val="single"/>
        </w:rPr>
        <w:t xml:space="preserve">, See </w:t>
      </w:r>
      <w:r>
        <w:rPr>
          <w:rFonts w:ascii="Calibri" w:eastAsia="Calibri" w:hAnsi="Calibri" w:cs="Calibri"/>
          <w:u w:val="single"/>
        </w:rPr>
        <w:t>https://wageindicator.org/salary/minimum-wage/malaw</w:t>
      </w:r>
    </w:p>
    <w:p w14:paraId="000000B3" w14:textId="77777777" w:rsidR="002966D2" w:rsidRDefault="00000000">
      <w:pPr>
        <w:spacing w:before="240" w:line="240" w:lineRule="auto"/>
        <w:jc w:val="both"/>
        <w:rPr>
          <w:sz w:val="20"/>
          <w:szCs w:val="20"/>
          <w:u w:val="single"/>
        </w:rPr>
      </w:pPr>
      <w:r>
        <w:rPr>
          <w:sz w:val="20"/>
          <w:szCs w:val="20"/>
          <w:vertAlign w:val="superscript"/>
        </w:rPr>
        <w:t xml:space="preserve">[41] </w:t>
      </w:r>
      <w:r>
        <w:rPr>
          <w:sz w:val="20"/>
          <w:szCs w:val="20"/>
        </w:rPr>
        <w:t>‘Malawi Increase Minimum Wage Rate Over 100 Percent’ Nyasa Times  2012</w:t>
      </w:r>
      <w:hyperlink r:id="rId17">
        <w:r>
          <w:rPr>
            <w:sz w:val="20"/>
            <w:szCs w:val="20"/>
            <w:u w:val="single"/>
          </w:rPr>
          <w:t xml:space="preserve"> https://www.nyasatimes.com/malawi-increase-minimum-wage-rate-over-100-percent/</w:t>
        </w:r>
      </w:hyperlink>
      <w:r>
        <w:rPr>
          <w:sz w:val="20"/>
          <w:szCs w:val="20"/>
          <w:u w:val="single"/>
        </w:rPr>
        <w:t>.</w:t>
      </w:r>
      <w:r>
        <w:rPr>
          <w:i/>
          <w:sz w:val="20"/>
          <w:szCs w:val="20"/>
        </w:rPr>
        <w:t>See</w:t>
      </w:r>
      <w:r>
        <w:rPr>
          <w:sz w:val="20"/>
          <w:szCs w:val="20"/>
        </w:rPr>
        <w:t xml:space="preserve"> </w:t>
      </w:r>
      <w:r>
        <w:rPr>
          <w:i/>
          <w:sz w:val="20"/>
          <w:szCs w:val="20"/>
        </w:rPr>
        <w:t>also</w:t>
      </w:r>
      <w:r>
        <w:rPr>
          <w:sz w:val="20"/>
          <w:szCs w:val="20"/>
        </w:rPr>
        <w:t xml:space="preserve"> Duncan </w:t>
      </w:r>
      <w:proofErr w:type="spellStart"/>
      <w:r>
        <w:rPr>
          <w:sz w:val="20"/>
          <w:szCs w:val="20"/>
        </w:rPr>
        <w:t>Mlanjira</w:t>
      </w:r>
      <w:proofErr w:type="spellEnd"/>
      <w:r>
        <w:rPr>
          <w:sz w:val="20"/>
          <w:szCs w:val="20"/>
        </w:rPr>
        <w:t xml:space="preserve"> ‘Govt Gazettes Amended Minimum Monthly Wages or Cargo Truck Drivers’ Nyasa Times 2020,</w:t>
      </w:r>
      <w:hyperlink r:id="rId18">
        <w:r>
          <w:rPr>
            <w:sz w:val="20"/>
            <w:szCs w:val="20"/>
            <w:u w:val="single"/>
          </w:rPr>
          <w:t xml:space="preserve"> https://www.nyasatimes.com/govt-gazettes-amended-minimum-monthly-wages-for-cargo-truck-drivers/</w:t>
        </w:r>
      </w:hyperlink>
    </w:p>
    <w:p w14:paraId="000000B4" w14:textId="77777777" w:rsidR="002966D2" w:rsidRDefault="00000000">
      <w:pPr>
        <w:spacing w:before="240" w:line="240" w:lineRule="auto"/>
        <w:jc w:val="both"/>
        <w:rPr>
          <w:sz w:val="20"/>
          <w:szCs w:val="20"/>
        </w:rPr>
      </w:pPr>
      <w:r>
        <w:rPr>
          <w:sz w:val="20"/>
          <w:szCs w:val="20"/>
          <w:vertAlign w:val="superscript"/>
        </w:rPr>
        <w:t>[42] ‘</w:t>
      </w:r>
      <w:r>
        <w:rPr>
          <w:sz w:val="20"/>
          <w:szCs w:val="20"/>
        </w:rPr>
        <w:t xml:space="preserve">Employment Act (Minimum Wages) Citation and Commencement (Wet Cargo and Dry Cargo Truck Drivers) Order’ Parliament Gazette Extraordinary 493 2020. See also Duncan </w:t>
      </w:r>
      <w:proofErr w:type="spellStart"/>
      <w:r>
        <w:rPr>
          <w:sz w:val="20"/>
          <w:szCs w:val="20"/>
        </w:rPr>
        <w:t>Mlanjira</w:t>
      </w:r>
      <w:proofErr w:type="spellEnd"/>
      <w:r>
        <w:rPr>
          <w:sz w:val="20"/>
          <w:szCs w:val="20"/>
        </w:rPr>
        <w:t xml:space="preserve"> ‘Govt Gazettes Amended Minimum Monthly Wages or Cargo Truck Drivers’ Nyasa Times 2020,</w:t>
      </w:r>
      <w:hyperlink r:id="rId19">
        <w:r>
          <w:rPr>
            <w:sz w:val="20"/>
            <w:szCs w:val="20"/>
            <w:u w:val="single"/>
          </w:rPr>
          <w:t xml:space="preserve"> https://www.nyasatimes.com/govt-gazettes-amended-minimum-monthly-wages-for-cargo-truck-drivers/</w:t>
        </w:r>
      </w:hyperlink>
      <w:r>
        <w:rPr>
          <w:sz w:val="20"/>
          <w:szCs w:val="20"/>
          <w:u w:val="single"/>
        </w:rPr>
        <w:t>.</w:t>
      </w:r>
      <w:r>
        <w:rPr>
          <w:sz w:val="20"/>
          <w:szCs w:val="20"/>
        </w:rPr>
        <w:t xml:space="preserve">  </w:t>
      </w:r>
    </w:p>
    <w:p w14:paraId="000000B5" w14:textId="77777777" w:rsidR="002966D2" w:rsidRDefault="00000000">
      <w:pPr>
        <w:spacing w:before="240" w:line="240" w:lineRule="auto"/>
        <w:jc w:val="both"/>
        <w:rPr>
          <w:sz w:val="20"/>
          <w:szCs w:val="20"/>
        </w:rPr>
      </w:pPr>
      <w:r>
        <w:rPr>
          <w:sz w:val="20"/>
          <w:szCs w:val="20"/>
        </w:rPr>
        <w:t>Section 55 of the EA explains that any employer who pays a wage below the stipulated minimum wage rate is guilty of an offence and liable to a fine of MK 50,000 and to imprisonment for ten years.</w:t>
      </w:r>
    </w:p>
    <w:p w14:paraId="000000B6" w14:textId="77777777" w:rsidR="002966D2" w:rsidRDefault="00000000">
      <w:pPr>
        <w:spacing w:before="240" w:line="240" w:lineRule="auto"/>
        <w:jc w:val="both"/>
        <w:rPr>
          <w:sz w:val="20"/>
          <w:szCs w:val="20"/>
        </w:rPr>
      </w:pPr>
      <w:r>
        <w:rPr>
          <w:sz w:val="20"/>
          <w:szCs w:val="20"/>
          <w:vertAlign w:val="superscript"/>
        </w:rPr>
        <w:t>[43]</w:t>
      </w:r>
      <w:r>
        <w:rPr>
          <w:sz w:val="20"/>
          <w:szCs w:val="20"/>
        </w:rPr>
        <w:t xml:space="preserve"> C. 189, art. 11.</w:t>
      </w:r>
    </w:p>
    <w:p w14:paraId="000000B7" w14:textId="77777777" w:rsidR="002966D2" w:rsidRDefault="00000000">
      <w:pPr>
        <w:spacing w:before="240" w:line="240" w:lineRule="auto"/>
        <w:jc w:val="both"/>
        <w:rPr>
          <w:sz w:val="20"/>
          <w:szCs w:val="20"/>
        </w:rPr>
      </w:pPr>
      <w:r>
        <w:rPr>
          <w:sz w:val="20"/>
          <w:szCs w:val="20"/>
          <w:highlight w:val="white"/>
          <w:vertAlign w:val="superscript"/>
        </w:rPr>
        <w:t>[44]</w:t>
      </w:r>
      <w:r>
        <w:rPr>
          <w:sz w:val="20"/>
          <w:szCs w:val="20"/>
          <w:vertAlign w:val="subscript"/>
        </w:rPr>
        <w:t xml:space="preserve"> </w:t>
      </w:r>
      <w:r>
        <w:rPr>
          <w:sz w:val="20"/>
          <w:szCs w:val="20"/>
        </w:rPr>
        <w:t>For more on non-compliance with minimum wage regulations by the Malawian government see</w:t>
      </w:r>
      <w:hyperlink r:id="rId20">
        <w:r>
          <w:rPr>
            <w:sz w:val="20"/>
            <w:szCs w:val="20"/>
            <w:u w:val="single"/>
          </w:rPr>
          <w:t xml:space="preserve"> Kalani Malema</w:t>
        </w:r>
      </w:hyperlink>
      <w:r>
        <w:rPr>
          <w:sz w:val="20"/>
          <w:szCs w:val="20"/>
        </w:rPr>
        <w:t xml:space="preserve"> ‘The Problem of Non-Compliance with Minimum Wage in the Public Service Organizations in Malawi versus Government as a Role Model Employer’ International Journal of Science and Research (IJSR) 6(4) 2017</w:t>
      </w:r>
      <w:hyperlink r:id="rId21">
        <w:r>
          <w:rPr>
            <w:sz w:val="20"/>
            <w:szCs w:val="20"/>
          </w:rPr>
          <w:t xml:space="preserve"> </w:t>
        </w:r>
      </w:hyperlink>
      <w:hyperlink r:id="rId22">
        <w:r>
          <w:rPr>
            <w:sz w:val="20"/>
            <w:szCs w:val="20"/>
            <w:u w:val="single"/>
          </w:rPr>
          <w:t>https://www.researchgate.net/publication/324006306_The_Problem_of_Non-Compliance_with_Minimum_Wage_in_the_Public_Service_Organizations_in_Malawi_versus_Government_as_a_Role_Model_Employer</w:t>
        </w:r>
      </w:hyperlink>
      <w:r>
        <w:rPr>
          <w:sz w:val="20"/>
          <w:szCs w:val="20"/>
        </w:rPr>
        <w:t xml:space="preserve"> </w:t>
      </w:r>
      <w:r>
        <w:rPr>
          <w:sz w:val="20"/>
          <w:szCs w:val="20"/>
          <w:vertAlign w:val="superscript"/>
        </w:rPr>
        <w:t>[44]</w:t>
      </w:r>
      <w:r>
        <w:rPr>
          <w:sz w:val="20"/>
          <w:szCs w:val="20"/>
          <w:vertAlign w:val="subscript"/>
        </w:rPr>
        <w:t xml:space="preserve"> </w:t>
      </w:r>
      <w:r>
        <w:rPr>
          <w:sz w:val="20"/>
          <w:szCs w:val="20"/>
        </w:rPr>
        <w:t xml:space="preserve">G. </w:t>
      </w:r>
      <w:proofErr w:type="spellStart"/>
      <w:r>
        <w:rPr>
          <w:sz w:val="20"/>
          <w:szCs w:val="20"/>
        </w:rPr>
        <w:t>Thiruvasagam</w:t>
      </w:r>
      <w:proofErr w:type="spellEnd"/>
      <w:r>
        <w:rPr>
          <w:sz w:val="20"/>
          <w:szCs w:val="20"/>
        </w:rPr>
        <w:t xml:space="preserve">, D. Rajasekar &amp; R. </w:t>
      </w:r>
      <w:proofErr w:type="spellStart"/>
      <w:r>
        <w:rPr>
          <w:sz w:val="20"/>
          <w:szCs w:val="20"/>
        </w:rPr>
        <w:t>Vettriselvan</w:t>
      </w:r>
      <w:proofErr w:type="spellEnd"/>
      <w:r>
        <w:rPr>
          <w:sz w:val="20"/>
          <w:szCs w:val="20"/>
        </w:rPr>
        <w:t xml:space="preserve"> ‘Profile and Problems of Women Domestic Workers in Mangochi, Malawi’ 8 Int’l J. Recent Tech. &amp; Engineering 1167 2019</w:t>
      </w:r>
    </w:p>
    <w:p w14:paraId="000000B8" w14:textId="77777777" w:rsidR="002966D2" w:rsidRDefault="00000000">
      <w:pPr>
        <w:spacing w:before="240" w:line="240" w:lineRule="auto"/>
        <w:jc w:val="both"/>
        <w:rPr>
          <w:sz w:val="20"/>
          <w:szCs w:val="20"/>
        </w:rPr>
      </w:pPr>
      <w:r>
        <w:rPr>
          <w:sz w:val="20"/>
          <w:szCs w:val="20"/>
        </w:rPr>
        <w:t xml:space="preserve"> </w:t>
      </w:r>
    </w:p>
    <w:p w14:paraId="000000B9" w14:textId="77777777" w:rsidR="002966D2" w:rsidRDefault="00000000">
      <w:pPr>
        <w:spacing w:before="240" w:line="240" w:lineRule="auto"/>
        <w:jc w:val="both"/>
        <w:rPr>
          <w:sz w:val="20"/>
          <w:szCs w:val="20"/>
        </w:rPr>
      </w:pPr>
      <w:r>
        <w:rPr>
          <w:sz w:val="20"/>
          <w:szCs w:val="20"/>
          <w:vertAlign w:val="superscript"/>
        </w:rPr>
        <w:t>[45]</w:t>
      </w:r>
      <w:r>
        <w:rPr>
          <w:sz w:val="20"/>
          <w:szCs w:val="20"/>
        </w:rPr>
        <w:t xml:space="preserve"> Section 52(1) of the EA</w:t>
      </w:r>
    </w:p>
    <w:p w14:paraId="000000BA" w14:textId="77777777" w:rsidR="002966D2" w:rsidRDefault="00000000">
      <w:pPr>
        <w:spacing w:before="240" w:line="240" w:lineRule="auto"/>
        <w:jc w:val="both"/>
        <w:rPr>
          <w:sz w:val="20"/>
          <w:szCs w:val="20"/>
        </w:rPr>
      </w:pPr>
      <w:r>
        <w:rPr>
          <w:sz w:val="20"/>
          <w:szCs w:val="20"/>
          <w:vertAlign w:val="superscript"/>
        </w:rPr>
        <w:lastRenderedPageBreak/>
        <w:t>[46]</w:t>
      </w:r>
      <w:r>
        <w:rPr>
          <w:sz w:val="20"/>
          <w:szCs w:val="20"/>
          <w:vertAlign w:val="subscript"/>
        </w:rPr>
        <w:t xml:space="preserve"> </w:t>
      </w:r>
      <w:r>
        <w:rPr>
          <w:sz w:val="20"/>
          <w:szCs w:val="20"/>
        </w:rPr>
        <w:t xml:space="preserve">Interview with Mary </w:t>
      </w:r>
      <w:proofErr w:type="spellStart"/>
      <w:r>
        <w:rPr>
          <w:sz w:val="20"/>
          <w:szCs w:val="20"/>
        </w:rPr>
        <w:t>Dzinyemba</w:t>
      </w:r>
      <w:proofErr w:type="spellEnd"/>
      <w:r>
        <w:rPr>
          <w:sz w:val="20"/>
          <w:szCs w:val="20"/>
        </w:rPr>
        <w:t>.</w:t>
      </w:r>
    </w:p>
    <w:p w14:paraId="000000BB" w14:textId="77777777" w:rsidR="002966D2" w:rsidRDefault="00000000">
      <w:pPr>
        <w:spacing w:before="240" w:line="240" w:lineRule="auto"/>
        <w:jc w:val="both"/>
        <w:rPr>
          <w:sz w:val="20"/>
          <w:szCs w:val="20"/>
        </w:rPr>
      </w:pPr>
      <w:r>
        <w:rPr>
          <w:sz w:val="20"/>
          <w:szCs w:val="20"/>
          <w:vertAlign w:val="superscript"/>
        </w:rPr>
        <w:t>[47]</w:t>
      </w:r>
      <w:r>
        <w:rPr>
          <w:sz w:val="20"/>
          <w:szCs w:val="20"/>
        </w:rPr>
        <w:t xml:space="preserve"> Phiri v. Small Holders Coffee Farmers Trust, [2006] MWIRC 11. See also Jumbo v. Banja La </w:t>
      </w:r>
      <w:proofErr w:type="spellStart"/>
      <w:r>
        <w:rPr>
          <w:sz w:val="20"/>
          <w:szCs w:val="20"/>
        </w:rPr>
        <w:t>Mtsogolo</w:t>
      </w:r>
      <w:proofErr w:type="spellEnd"/>
      <w:r>
        <w:rPr>
          <w:sz w:val="20"/>
          <w:szCs w:val="20"/>
        </w:rPr>
        <w:t>—Matter [2002] MWIRC 12 (2002).</w:t>
      </w:r>
    </w:p>
    <w:p w14:paraId="000000BC" w14:textId="77777777" w:rsidR="002966D2" w:rsidRDefault="00000000">
      <w:pPr>
        <w:spacing w:before="240" w:line="240" w:lineRule="auto"/>
        <w:jc w:val="both"/>
        <w:rPr>
          <w:sz w:val="20"/>
          <w:szCs w:val="20"/>
        </w:rPr>
      </w:pPr>
      <w:r>
        <w:rPr>
          <w:sz w:val="20"/>
          <w:szCs w:val="20"/>
          <w:vertAlign w:val="superscript"/>
        </w:rPr>
        <w:t>[48]</w:t>
      </w:r>
      <w:r>
        <w:rPr>
          <w:sz w:val="20"/>
          <w:szCs w:val="20"/>
          <w:vertAlign w:val="subscript"/>
        </w:rPr>
        <w:t xml:space="preserve"> </w:t>
      </w:r>
      <w:proofErr w:type="spellStart"/>
      <w:r>
        <w:rPr>
          <w:sz w:val="20"/>
          <w:szCs w:val="20"/>
        </w:rPr>
        <w:t>Sikwese</w:t>
      </w:r>
      <w:proofErr w:type="spellEnd"/>
      <w:r>
        <w:rPr>
          <w:sz w:val="20"/>
          <w:szCs w:val="20"/>
        </w:rPr>
        <w:t xml:space="preserve"> RS ‘Women’s Economic Rights: Removing Barriers to Women’s Access to Justice in Malawi’ Goal 16 of the Sustainable Development Goals: Perspectives from Judges and Lawyers in Southern Africa on Promoting Rule of Law and equal Access to Justice (Southern Africa Litigation Centre, Johannesburg, Republic of South Africa)2016</w:t>
      </w:r>
      <w:hyperlink r:id="rId23">
        <w:r>
          <w:rPr>
            <w:sz w:val="20"/>
            <w:szCs w:val="20"/>
          </w:rPr>
          <w:t xml:space="preserve"> </w:t>
        </w:r>
      </w:hyperlink>
      <w:hyperlink r:id="rId24">
        <w:r>
          <w:rPr>
            <w:sz w:val="20"/>
            <w:szCs w:val="20"/>
            <w:u w:val="single"/>
          </w:rPr>
          <w:t>https://www.southernafricalitigationcentre.org/wp-content/uploads/2017/08/GOAL-16-Book-Sikwese.pdf</w:t>
        </w:r>
      </w:hyperlink>
      <w:r>
        <w:rPr>
          <w:sz w:val="20"/>
          <w:szCs w:val="20"/>
        </w:rPr>
        <w:t xml:space="preserve"> [Accessed on 15 September 2021].</w:t>
      </w:r>
    </w:p>
    <w:p w14:paraId="000000BD" w14:textId="77777777" w:rsidR="002966D2" w:rsidRDefault="00000000">
      <w:pPr>
        <w:spacing w:before="240" w:line="240" w:lineRule="auto"/>
        <w:jc w:val="both"/>
        <w:rPr>
          <w:sz w:val="20"/>
          <w:szCs w:val="20"/>
        </w:rPr>
      </w:pPr>
      <w:r>
        <w:rPr>
          <w:sz w:val="20"/>
          <w:szCs w:val="20"/>
          <w:vertAlign w:val="superscript"/>
        </w:rPr>
        <w:t>[49]</w:t>
      </w:r>
      <w:r>
        <w:rPr>
          <w:sz w:val="20"/>
          <w:szCs w:val="20"/>
        </w:rPr>
        <w:t xml:space="preserve"> Ibid, </w:t>
      </w:r>
      <w:proofErr w:type="spellStart"/>
      <w:r>
        <w:rPr>
          <w:sz w:val="20"/>
          <w:szCs w:val="20"/>
        </w:rPr>
        <w:t>pg</w:t>
      </w:r>
      <w:proofErr w:type="spellEnd"/>
      <w:r>
        <w:rPr>
          <w:sz w:val="20"/>
          <w:szCs w:val="20"/>
        </w:rPr>
        <w:t xml:space="preserve"> 28.</w:t>
      </w:r>
    </w:p>
    <w:p w14:paraId="000000BE" w14:textId="77777777" w:rsidR="002966D2" w:rsidRDefault="00000000">
      <w:pPr>
        <w:spacing w:before="240" w:line="240" w:lineRule="auto"/>
        <w:jc w:val="both"/>
        <w:rPr>
          <w:sz w:val="20"/>
          <w:szCs w:val="20"/>
        </w:rPr>
      </w:pPr>
      <w:r>
        <w:rPr>
          <w:sz w:val="20"/>
          <w:szCs w:val="20"/>
          <w:vertAlign w:val="superscript"/>
        </w:rPr>
        <w:t>[50]</w:t>
      </w:r>
      <w:r>
        <w:rPr>
          <w:sz w:val="20"/>
          <w:szCs w:val="20"/>
        </w:rPr>
        <w:t xml:space="preserve"> Article 1 of ILO C.190</w:t>
      </w:r>
    </w:p>
    <w:p w14:paraId="000000BF" w14:textId="77777777" w:rsidR="002966D2" w:rsidRDefault="00000000">
      <w:pPr>
        <w:spacing w:before="240" w:line="240" w:lineRule="auto"/>
        <w:jc w:val="both"/>
        <w:rPr>
          <w:sz w:val="20"/>
          <w:szCs w:val="20"/>
        </w:rPr>
      </w:pPr>
      <w:r>
        <w:rPr>
          <w:sz w:val="20"/>
          <w:szCs w:val="20"/>
          <w:vertAlign w:val="superscript"/>
        </w:rPr>
        <w:t>[51]</w:t>
      </w:r>
      <w:r>
        <w:rPr>
          <w:sz w:val="20"/>
          <w:szCs w:val="20"/>
          <w:vertAlign w:val="subscript"/>
        </w:rPr>
        <w:t xml:space="preserve"> ‘</w:t>
      </w:r>
      <w:r>
        <w:rPr>
          <w:sz w:val="20"/>
          <w:szCs w:val="20"/>
        </w:rPr>
        <w:t xml:space="preserve">ILO ‘Understanding child </w:t>
      </w:r>
      <w:proofErr w:type="spellStart"/>
      <w:r>
        <w:rPr>
          <w:sz w:val="20"/>
          <w:szCs w:val="20"/>
        </w:rPr>
        <w:t>labour</w:t>
      </w:r>
      <w:proofErr w:type="spellEnd"/>
      <w:r>
        <w:rPr>
          <w:sz w:val="20"/>
          <w:szCs w:val="20"/>
        </w:rPr>
        <w:t xml:space="preserve"> and youth employment in Malawi’2018</w:t>
      </w:r>
      <w:hyperlink r:id="rId25">
        <w:r>
          <w:rPr>
            <w:sz w:val="20"/>
            <w:szCs w:val="20"/>
          </w:rPr>
          <w:t xml:space="preserve"> </w:t>
        </w:r>
      </w:hyperlink>
      <w:hyperlink r:id="rId26">
        <w:r>
          <w:rPr>
            <w:sz w:val="20"/>
            <w:szCs w:val="20"/>
            <w:u w:val="single"/>
          </w:rPr>
          <w:t>https://www.ilo.org/wcmsp5/groups/public/---</w:t>
        </w:r>
        <w:proofErr w:type="spellStart"/>
        <w:r>
          <w:rPr>
            <w:sz w:val="20"/>
            <w:szCs w:val="20"/>
            <w:u w:val="single"/>
          </w:rPr>
          <w:t>ed_norm</w:t>
        </w:r>
        <w:proofErr w:type="spellEnd"/>
        <w:r>
          <w:rPr>
            <w:sz w:val="20"/>
            <w:szCs w:val="20"/>
            <w:u w:val="single"/>
          </w:rPr>
          <w:t>/---</w:t>
        </w:r>
        <w:proofErr w:type="spellStart"/>
        <w:r>
          <w:rPr>
            <w:sz w:val="20"/>
            <w:szCs w:val="20"/>
            <w:u w:val="single"/>
          </w:rPr>
          <w:t>ipec</w:t>
        </w:r>
        <w:proofErr w:type="spellEnd"/>
        <w:r>
          <w:rPr>
            <w:sz w:val="20"/>
            <w:szCs w:val="20"/>
            <w:u w:val="single"/>
          </w:rPr>
          <w:t>/documents/publication/wcms_651037.pdf</w:t>
        </w:r>
      </w:hyperlink>
      <w:r>
        <w:rPr>
          <w:sz w:val="20"/>
          <w:szCs w:val="20"/>
        </w:rPr>
        <w:t xml:space="preserve"> </w:t>
      </w:r>
    </w:p>
    <w:p w14:paraId="000000C0" w14:textId="77777777" w:rsidR="002966D2" w:rsidRDefault="00000000">
      <w:pPr>
        <w:spacing w:before="240" w:line="240" w:lineRule="auto"/>
        <w:jc w:val="both"/>
        <w:rPr>
          <w:sz w:val="20"/>
          <w:szCs w:val="20"/>
        </w:rPr>
      </w:pPr>
      <w:r>
        <w:rPr>
          <w:sz w:val="20"/>
          <w:szCs w:val="20"/>
          <w:vertAlign w:val="superscript"/>
        </w:rPr>
        <w:t>[52]</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xml:space="preserve">, Rachel Rodriguez, Nawal Ammar &amp; Keiko </w:t>
      </w:r>
      <w:proofErr w:type="spellStart"/>
      <w:r>
        <w:rPr>
          <w:sz w:val="20"/>
          <w:szCs w:val="20"/>
        </w:rPr>
        <w:t>Nemoto</w:t>
      </w:r>
      <w:proofErr w:type="spellEnd"/>
      <w:r>
        <w:rPr>
          <w:sz w:val="20"/>
          <w:szCs w:val="20"/>
        </w:rPr>
        <w:t>, pg. 794</w:t>
      </w:r>
    </w:p>
    <w:p w14:paraId="000000C1" w14:textId="77777777" w:rsidR="002966D2" w:rsidRDefault="00000000">
      <w:pPr>
        <w:spacing w:before="240" w:line="240" w:lineRule="auto"/>
        <w:jc w:val="both"/>
        <w:rPr>
          <w:sz w:val="20"/>
          <w:szCs w:val="20"/>
        </w:rPr>
      </w:pPr>
      <w:r>
        <w:rPr>
          <w:color w:val="FF0000"/>
          <w:sz w:val="20"/>
          <w:szCs w:val="20"/>
          <w:vertAlign w:val="superscript"/>
        </w:rPr>
        <w:t>[53]</w:t>
      </w:r>
      <w:r>
        <w:rPr>
          <w:sz w:val="20"/>
          <w:szCs w:val="20"/>
          <w:vertAlign w:val="subscript"/>
        </w:rPr>
        <w:t xml:space="preserve"> </w:t>
      </w:r>
      <w:r>
        <w:rPr>
          <w:sz w:val="20"/>
          <w:szCs w:val="20"/>
        </w:rPr>
        <w:t xml:space="preserve">Busia as cited in </w:t>
      </w:r>
      <w:proofErr w:type="spellStart"/>
      <w:r>
        <w:rPr>
          <w:sz w:val="20"/>
          <w:szCs w:val="20"/>
        </w:rPr>
        <w:t>Pandame</w:t>
      </w:r>
      <w:proofErr w:type="spellEnd"/>
      <w:r>
        <w:rPr>
          <w:sz w:val="20"/>
          <w:szCs w:val="20"/>
        </w:rPr>
        <w:t>, note 7, pg. 10</w:t>
      </w:r>
    </w:p>
    <w:p w14:paraId="000000C2" w14:textId="77777777" w:rsidR="002966D2" w:rsidRDefault="00000000">
      <w:pPr>
        <w:spacing w:before="240" w:line="240" w:lineRule="auto"/>
        <w:jc w:val="both"/>
        <w:rPr>
          <w:sz w:val="20"/>
          <w:szCs w:val="20"/>
        </w:rPr>
      </w:pPr>
      <w:r>
        <w:rPr>
          <w:sz w:val="20"/>
          <w:szCs w:val="20"/>
          <w:vertAlign w:val="superscript"/>
        </w:rPr>
        <w:t>[54]</w:t>
      </w:r>
      <w:r>
        <w:rPr>
          <w:sz w:val="20"/>
          <w:szCs w:val="20"/>
          <w:vertAlign w:val="subscript"/>
        </w:rPr>
        <w:t xml:space="preserve"> </w:t>
      </w:r>
      <w:r>
        <w:rPr>
          <w:sz w:val="20"/>
          <w:szCs w:val="20"/>
        </w:rPr>
        <w:t>Ibid, pg. 1168.</w:t>
      </w:r>
    </w:p>
    <w:p w14:paraId="000000C3" w14:textId="77777777" w:rsidR="002966D2" w:rsidRDefault="00000000">
      <w:pPr>
        <w:spacing w:before="240" w:line="240" w:lineRule="auto"/>
        <w:jc w:val="both"/>
        <w:rPr>
          <w:sz w:val="20"/>
          <w:szCs w:val="20"/>
        </w:rPr>
      </w:pPr>
      <w:r>
        <w:rPr>
          <w:sz w:val="20"/>
          <w:szCs w:val="20"/>
          <w:vertAlign w:val="superscript"/>
        </w:rPr>
        <w:t>[55]</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xml:space="preserve">, Rachel Rodriguez, Nawal Ammar &amp; Keiko </w:t>
      </w:r>
      <w:proofErr w:type="spellStart"/>
      <w:proofErr w:type="gramStart"/>
      <w:r>
        <w:rPr>
          <w:sz w:val="20"/>
          <w:szCs w:val="20"/>
        </w:rPr>
        <w:t>Nemoto</w:t>
      </w:r>
      <w:proofErr w:type="spellEnd"/>
      <w:r>
        <w:rPr>
          <w:sz w:val="20"/>
          <w:szCs w:val="20"/>
        </w:rPr>
        <w:t xml:space="preserve"> ,</w:t>
      </w:r>
      <w:proofErr w:type="gramEnd"/>
      <w:r>
        <w:rPr>
          <w:sz w:val="20"/>
          <w:szCs w:val="20"/>
        </w:rPr>
        <w:t xml:space="preserve"> pg. 794</w:t>
      </w:r>
    </w:p>
    <w:p w14:paraId="000000C4" w14:textId="77777777" w:rsidR="002966D2" w:rsidRDefault="00000000">
      <w:pPr>
        <w:spacing w:before="240" w:line="240" w:lineRule="auto"/>
        <w:jc w:val="both"/>
        <w:rPr>
          <w:sz w:val="20"/>
          <w:szCs w:val="20"/>
        </w:rPr>
      </w:pPr>
      <w:r>
        <w:rPr>
          <w:sz w:val="20"/>
          <w:szCs w:val="20"/>
          <w:vertAlign w:val="superscript"/>
        </w:rPr>
        <w:t>[56]</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xml:space="preserve">, Rachel Rodriguez, Nawal Ammar &amp; Keiko </w:t>
      </w:r>
      <w:proofErr w:type="spellStart"/>
      <w:proofErr w:type="gramStart"/>
      <w:r>
        <w:rPr>
          <w:sz w:val="20"/>
          <w:szCs w:val="20"/>
        </w:rPr>
        <w:t>Nemoto</w:t>
      </w:r>
      <w:proofErr w:type="spellEnd"/>
      <w:r>
        <w:rPr>
          <w:sz w:val="20"/>
          <w:szCs w:val="20"/>
        </w:rPr>
        <w:t xml:space="preserve"> ,</w:t>
      </w:r>
      <w:proofErr w:type="gramEnd"/>
      <w:r>
        <w:rPr>
          <w:sz w:val="20"/>
          <w:szCs w:val="20"/>
        </w:rPr>
        <w:t xml:space="preserve"> pg. 796</w:t>
      </w:r>
    </w:p>
    <w:p w14:paraId="000000C5" w14:textId="77777777" w:rsidR="002966D2" w:rsidRDefault="00000000">
      <w:pPr>
        <w:spacing w:before="240" w:line="240" w:lineRule="auto"/>
        <w:jc w:val="both"/>
        <w:rPr>
          <w:sz w:val="20"/>
          <w:szCs w:val="20"/>
        </w:rPr>
      </w:pPr>
      <w:r>
        <w:rPr>
          <w:sz w:val="20"/>
          <w:szCs w:val="20"/>
          <w:vertAlign w:val="superscript"/>
        </w:rPr>
        <w:t>[57]</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xml:space="preserve">, Rachel Rodriguez, Nawal Ammar &amp; Keiko </w:t>
      </w:r>
      <w:proofErr w:type="spellStart"/>
      <w:proofErr w:type="gramStart"/>
      <w:r>
        <w:rPr>
          <w:sz w:val="20"/>
          <w:szCs w:val="20"/>
        </w:rPr>
        <w:t>Nemoto</w:t>
      </w:r>
      <w:proofErr w:type="spellEnd"/>
      <w:r>
        <w:rPr>
          <w:sz w:val="20"/>
          <w:szCs w:val="20"/>
        </w:rPr>
        <w:t xml:space="preserve"> ,</w:t>
      </w:r>
      <w:proofErr w:type="gramEnd"/>
      <w:r>
        <w:rPr>
          <w:sz w:val="20"/>
          <w:szCs w:val="20"/>
        </w:rPr>
        <w:t xml:space="preserve"> pg. 796.</w:t>
      </w:r>
    </w:p>
    <w:p w14:paraId="000000C6" w14:textId="77777777" w:rsidR="002966D2" w:rsidRDefault="00000000">
      <w:pPr>
        <w:spacing w:before="240" w:line="240" w:lineRule="auto"/>
        <w:jc w:val="both"/>
        <w:rPr>
          <w:sz w:val="20"/>
          <w:szCs w:val="20"/>
        </w:rPr>
      </w:pPr>
      <w:r>
        <w:rPr>
          <w:sz w:val="20"/>
          <w:szCs w:val="20"/>
          <w:vertAlign w:val="superscript"/>
        </w:rPr>
        <w:t>[58]</w:t>
      </w:r>
      <w:r>
        <w:rPr>
          <w:sz w:val="20"/>
          <w:szCs w:val="20"/>
          <w:vertAlign w:val="subscript"/>
        </w:rPr>
        <w:t xml:space="preserve"> </w:t>
      </w:r>
      <w:r>
        <w:rPr>
          <w:sz w:val="20"/>
          <w:szCs w:val="20"/>
        </w:rPr>
        <w:t>Lucy Mkandawire-</w:t>
      </w:r>
      <w:proofErr w:type="spellStart"/>
      <w:r>
        <w:rPr>
          <w:sz w:val="20"/>
          <w:szCs w:val="20"/>
        </w:rPr>
        <w:t>Valhmu</w:t>
      </w:r>
      <w:proofErr w:type="spellEnd"/>
      <w:r>
        <w:rPr>
          <w:sz w:val="20"/>
          <w:szCs w:val="20"/>
        </w:rPr>
        <w:t xml:space="preserve">, Rachel Rodriguez, Nawal Ammar &amp; Keiko </w:t>
      </w:r>
      <w:proofErr w:type="spellStart"/>
      <w:r>
        <w:rPr>
          <w:sz w:val="20"/>
          <w:szCs w:val="20"/>
        </w:rPr>
        <w:t>Nemoto</w:t>
      </w:r>
      <w:proofErr w:type="spellEnd"/>
      <w:r>
        <w:rPr>
          <w:sz w:val="20"/>
          <w:szCs w:val="20"/>
        </w:rPr>
        <w:t>, pg. 793.</w:t>
      </w:r>
    </w:p>
    <w:p w14:paraId="000000C7" w14:textId="77777777" w:rsidR="002966D2" w:rsidRDefault="00000000">
      <w:pPr>
        <w:spacing w:before="240" w:line="240" w:lineRule="auto"/>
        <w:jc w:val="both"/>
        <w:rPr>
          <w:sz w:val="20"/>
          <w:szCs w:val="20"/>
        </w:rPr>
      </w:pPr>
      <w:r>
        <w:rPr>
          <w:sz w:val="20"/>
          <w:szCs w:val="20"/>
          <w:vertAlign w:val="superscript"/>
        </w:rPr>
        <w:t xml:space="preserve">[59] </w:t>
      </w:r>
      <w:r>
        <w:rPr>
          <w:sz w:val="20"/>
          <w:szCs w:val="20"/>
        </w:rPr>
        <w:t>EA, § 9(1)(c).</w:t>
      </w:r>
    </w:p>
    <w:p w14:paraId="000000C8" w14:textId="77777777" w:rsidR="002966D2" w:rsidRDefault="00000000">
      <w:pPr>
        <w:spacing w:before="240" w:line="240" w:lineRule="auto"/>
        <w:jc w:val="both"/>
        <w:rPr>
          <w:sz w:val="20"/>
          <w:szCs w:val="20"/>
        </w:rPr>
      </w:pPr>
      <w:r>
        <w:rPr>
          <w:sz w:val="20"/>
          <w:szCs w:val="20"/>
          <w:vertAlign w:val="superscript"/>
        </w:rPr>
        <w:t xml:space="preserve">[60] </w:t>
      </w:r>
      <w:proofErr w:type="spellStart"/>
      <w:r>
        <w:rPr>
          <w:sz w:val="20"/>
          <w:szCs w:val="20"/>
        </w:rPr>
        <w:t>Pandame</w:t>
      </w:r>
      <w:proofErr w:type="spellEnd"/>
      <w:r>
        <w:rPr>
          <w:sz w:val="20"/>
          <w:szCs w:val="20"/>
        </w:rPr>
        <w:t xml:space="preserve">, </w:t>
      </w:r>
      <w:r>
        <w:rPr>
          <w:i/>
          <w:sz w:val="20"/>
          <w:szCs w:val="20"/>
        </w:rPr>
        <w:t>supra</w:t>
      </w:r>
      <w:r>
        <w:rPr>
          <w:sz w:val="20"/>
          <w:szCs w:val="20"/>
        </w:rPr>
        <w:t xml:space="preserve"> note 7 at 13.</w:t>
      </w:r>
    </w:p>
    <w:p w14:paraId="000000C9" w14:textId="77777777" w:rsidR="002966D2" w:rsidRDefault="00000000">
      <w:pPr>
        <w:spacing w:before="240" w:line="240" w:lineRule="auto"/>
        <w:jc w:val="both"/>
        <w:rPr>
          <w:sz w:val="20"/>
          <w:szCs w:val="20"/>
        </w:rPr>
      </w:pPr>
      <w:r>
        <w:rPr>
          <w:sz w:val="20"/>
          <w:szCs w:val="20"/>
          <w:vertAlign w:val="superscript"/>
        </w:rPr>
        <w:t xml:space="preserve">[61] </w:t>
      </w:r>
      <w:r>
        <w:rPr>
          <w:sz w:val="20"/>
          <w:szCs w:val="20"/>
        </w:rPr>
        <w:t>Kalani Malema ‘Social Protection: The State Regulation of the Employment Relationship in</w:t>
      </w:r>
    </w:p>
    <w:p w14:paraId="000000CA" w14:textId="77777777" w:rsidR="002966D2" w:rsidRDefault="00000000">
      <w:pPr>
        <w:spacing w:before="240" w:line="240" w:lineRule="auto"/>
        <w:jc w:val="both"/>
        <w:rPr>
          <w:sz w:val="20"/>
          <w:szCs w:val="20"/>
        </w:rPr>
      </w:pPr>
      <w:r>
        <w:rPr>
          <w:sz w:val="20"/>
          <w:szCs w:val="20"/>
        </w:rPr>
        <w:t>Malawi-Achievements and Challenges’ 2014</w:t>
      </w:r>
      <w:hyperlink r:id="rId27">
        <w:r>
          <w:rPr>
            <w:sz w:val="20"/>
            <w:szCs w:val="20"/>
          </w:rPr>
          <w:t xml:space="preserve"> </w:t>
        </w:r>
      </w:hyperlink>
      <w:hyperlink r:id="rId28">
        <w:r>
          <w:rPr>
            <w:color w:val="1155CC"/>
            <w:sz w:val="20"/>
            <w:szCs w:val="20"/>
            <w:u w:val="single"/>
          </w:rPr>
          <w:t>https://www.researchgate.net/publication/324006461_Social_Protection_The_State_Regulation_of_the_Employment_Relationship_in_Malawi-Achievements_and_Challenges</w:t>
        </w:r>
      </w:hyperlink>
      <w:r>
        <w:rPr>
          <w:sz w:val="20"/>
          <w:szCs w:val="20"/>
        </w:rPr>
        <w:t xml:space="preserve"> </w:t>
      </w:r>
    </w:p>
    <w:p w14:paraId="000000CB" w14:textId="77777777" w:rsidR="002966D2" w:rsidRDefault="00000000">
      <w:pPr>
        <w:spacing w:before="240" w:line="240" w:lineRule="auto"/>
        <w:jc w:val="both"/>
        <w:rPr>
          <w:sz w:val="20"/>
          <w:szCs w:val="20"/>
        </w:rPr>
      </w:pPr>
      <w:r>
        <w:rPr>
          <w:sz w:val="20"/>
          <w:szCs w:val="20"/>
          <w:vertAlign w:val="superscript"/>
        </w:rPr>
        <w:t xml:space="preserve">[62] </w:t>
      </w:r>
      <w:r>
        <w:rPr>
          <w:sz w:val="20"/>
          <w:szCs w:val="20"/>
        </w:rPr>
        <w:t>Id.</w:t>
      </w:r>
    </w:p>
    <w:p w14:paraId="000000CC" w14:textId="77777777" w:rsidR="002966D2" w:rsidRDefault="00000000">
      <w:pPr>
        <w:spacing w:before="240" w:line="240" w:lineRule="auto"/>
        <w:jc w:val="both"/>
        <w:rPr>
          <w:sz w:val="20"/>
          <w:szCs w:val="20"/>
        </w:rPr>
      </w:pPr>
      <w:r>
        <w:rPr>
          <w:sz w:val="20"/>
          <w:szCs w:val="20"/>
        </w:rPr>
        <w:t xml:space="preserve"> </w:t>
      </w:r>
    </w:p>
    <w:p w14:paraId="000000CD" w14:textId="77777777" w:rsidR="002966D2" w:rsidRDefault="00000000">
      <w:pPr>
        <w:spacing w:before="240" w:line="240" w:lineRule="auto"/>
        <w:jc w:val="both"/>
        <w:rPr>
          <w:sz w:val="20"/>
          <w:szCs w:val="20"/>
        </w:rPr>
      </w:pPr>
      <w:r>
        <w:rPr>
          <w:sz w:val="20"/>
          <w:szCs w:val="20"/>
        </w:rPr>
        <w:t xml:space="preserve"> </w:t>
      </w:r>
    </w:p>
    <w:p w14:paraId="000000CE" w14:textId="77777777" w:rsidR="002966D2" w:rsidRDefault="00000000">
      <w:pPr>
        <w:spacing w:before="240" w:line="240" w:lineRule="auto"/>
        <w:jc w:val="both"/>
        <w:rPr>
          <w:sz w:val="20"/>
          <w:szCs w:val="20"/>
        </w:rPr>
      </w:pPr>
      <w:r>
        <w:rPr>
          <w:sz w:val="20"/>
          <w:szCs w:val="20"/>
        </w:rPr>
        <w:t xml:space="preserve"> </w:t>
      </w:r>
    </w:p>
    <w:p w14:paraId="000000CF" w14:textId="77777777" w:rsidR="002966D2" w:rsidRDefault="00000000">
      <w:pPr>
        <w:spacing w:before="240" w:line="240" w:lineRule="auto"/>
        <w:jc w:val="both"/>
        <w:rPr>
          <w:sz w:val="20"/>
          <w:szCs w:val="20"/>
        </w:rPr>
      </w:pPr>
      <w:r>
        <w:rPr>
          <w:sz w:val="20"/>
          <w:szCs w:val="20"/>
        </w:rPr>
        <w:t xml:space="preserve"> </w:t>
      </w:r>
    </w:p>
    <w:p w14:paraId="000000D0" w14:textId="77777777" w:rsidR="002966D2" w:rsidRDefault="002966D2">
      <w:pPr>
        <w:spacing w:before="240" w:after="240" w:line="240" w:lineRule="auto"/>
        <w:jc w:val="both"/>
        <w:rPr>
          <w:sz w:val="20"/>
          <w:szCs w:val="20"/>
        </w:rPr>
      </w:pPr>
    </w:p>
    <w:p w14:paraId="000000D1" w14:textId="77777777" w:rsidR="002966D2" w:rsidRDefault="002966D2">
      <w:pPr>
        <w:spacing w:line="240" w:lineRule="auto"/>
        <w:rPr>
          <w:sz w:val="20"/>
          <w:szCs w:val="20"/>
        </w:rPr>
      </w:pPr>
    </w:p>
    <w:p w14:paraId="000000D2" w14:textId="77777777" w:rsidR="002966D2" w:rsidRDefault="002966D2">
      <w:pPr>
        <w:spacing w:line="240" w:lineRule="auto"/>
        <w:rPr>
          <w:sz w:val="20"/>
          <w:szCs w:val="20"/>
        </w:rPr>
      </w:pPr>
    </w:p>
    <w:sectPr w:rsidR="002966D2">
      <w:head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4B8C7" w14:textId="77777777" w:rsidR="00CC734C" w:rsidRDefault="00CC734C">
      <w:pPr>
        <w:spacing w:line="240" w:lineRule="auto"/>
      </w:pPr>
      <w:r>
        <w:separator/>
      </w:r>
    </w:p>
  </w:endnote>
  <w:endnote w:type="continuationSeparator" w:id="0">
    <w:p w14:paraId="77C3F3BF" w14:textId="77777777" w:rsidR="00CC734C" w:rsidRDefault="00CC7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93E07" w14:textId="77777777" w:rsidR="00CC734C" w:rsidRDefault="00CC734C">
      <w:pPr>
        <w:spacing w:line="240" w:lineRule="auto"/>
      </w:pPr>
      <w:r>
        <w:separator/>
      </w:r>
    </w:p>
  </w:footnote>
  <w:footnote w:type="continuationSeparator" w:id="0">
    <w:p w14:paraId="15A5852E" w14:textId="77777777" w:rsidR="00CC734C" w:rsidRDefault="00CC73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3" w14:textId="06F85659" w:rsidR="002966D2" w:rsidRDefault="00000000">
    <w:pPr>
      <w:jc w:val="right"/>
    </w:pPr>
    <w:r>
      <w:fldChar w:fldCharType="begin"/>
    </w:r>
    <w:r>
      <w:instrText>PAGE</w:instrText>
    </w:r>
    <w:r>
      <w:fldChar w:fldCharType="separate"/>
    </w:r>
    <w:r w:rsidR="00C83B3E">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A50F7E"/>
    <w:multiLevelType w:val="multilevel"/>
    <w:tmpl w:val="F97A42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5105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6D2"/>
    <w:rsid w:val="00196F0C"/>
    <w:rsid w:val="002966D2"/>
    <w:rsid w:val="00C83B3E"/>
    <w:rsid w:val="00CC734C"/>
    <w:rsid w:val="00DB5791"/>
  </w:rsids>
  <m:mathPr>
    <m:mathFont m:val="Cambria Math"/>
    <m:brkBin m:val="before"/>
    <m:brkBinSub m:val="--"/>
    <m:smallFrac m:val="0"/>
    <m:dispDef/>
    <m:lMargin m:val="0"/>
    <m:rMargin m:val="0"/>
    <m:defJc m:val="centerGroup"/>
    <m:wrapIndent m:val="1440"/>
    <m:intLim m:val="subSup"/>
    <m:naryLim m:val="undOvr"/>
  </m:mathPr>
  <w:themeFontLang w:val="en-I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21DEA"/>
  <w15:docId w15:val="{5E305556-B1FB-D14F-8697-44DDE386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ilo.org/global/about-the-ilo/multimedia/features/malawi/lang--en/index.htm" TargetMode="External"/><Relationship Id="rId18" Type="http://schemas.openxmlformats.org/officeDocument/2006/relationships/hyperlink" Target="https://www.nyasatimes.com/govt-gazettes-amended-minimum-monthly-wages-for-cargo-truck-drivers/" TargetMode="External"/><Relationship Id="rId26" Type="http://schemas.openxmlformats.org/officeDocument/2006/relationships/hyperlink" Target="https://www.ilo.org/wcmsp5/groups/public/---ed_norm/---ipec/documents/publication/wcms_651037.pdf" TargetMode="External"/><Relationship Id="rId3" Type="http://schemas.openxmlformats.org/officeDocument/2006/relationships/settings" Target="settings.xml"/><Relationship Id="rId21" Type="http://schemas.openxmlformats.org/officeDocument/2006/relationships/hyperlink" Target="https://www.researchgate.net/publication/324006306_The_Problem_of_Non-Compliance_with_Minimum_Wage_in_the_Public_Service_Organizations_in_Malawi_versus_Government_as_a_Role_Model_Employer" TargetMode="External"/><Relationship Id="rId7" Type="http://schemas.openxmlformats.org/officeDocument/2006/relationships/hyperlink" Target="https://www.undp.org/sites/g/files/zskgke326/files/migration/by/HDR2020_Full-Report.pdf" TargetMode="External"/><Relationship Id="rId12" Type="http://schemas.openxmlformats.org/officeDocument/2006/relationships/hyperlink" Target="http://www.searcwl.ac.zw/index.php?option=com_docman&amp;task=doc_download&amp;gid=30&amp;Itemid=89" TargetMode="External"/><Relationship Id="rId17" Type="http://schemas.openxmlformats.org/officeDocument/2006/relationships/hyperlink" Target="https://www.nyasatimes.com/malawi-increase-minimum-wage-rate-over-100-percent/" TargetMode="External"/><Relationship Id="rId25" Type="http://schemas.openxmlformats.org/officeDocument/2006/relationships/hyperlink" Target="https://www.ilo.org/wcmsp5/groups/public/---ed_norm/---ipec/documents/publication/wcms_651037.pdf" TargetMode="External"/><Relationship Id="rId33"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ageindicator.org/salary/minimum-wage/malawi" TargetMode="External"/><Relationship Id="rId20" Type="http://schemas.openxmlformats.org/officeDocument/2006/relationships/hyperlink" Target="https://www.researchgate.net/profile/Kalani-Malema"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arcwl.ac.zw/index.php?option=com_docman&amp;task=doc_download&amp;gid=30&amp;Itemid=89" TargetMode="External"/><Relationship Id="rId24" Type="http://schemas.openxmlformats.org/officeDocument/2006/relationships/hyperlink" Target="https://www.southernafricalitigationcentre.org/wp-content/uploads/2017/08/GOAL-16-Book-Sikwese.pdf" TargetMode="External"/><Relationship Id="rId32"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times.mw/new-minimum-wage-starts-january-1/" TargetMode="External"/><Relationship Id="rId23" Type="http://schemas.openxmlformats.org/officeDocument/2006/relationships/hyperlink" Target="https://www.southernafricalitigationcentre.org/wp-content/uploads/2017/08/GOAL-16-Book-Sikwese.pdf" TargetMode="External"/><Relationship Id="rId28" Type="http://schemas.openxmlformats.org/officeDocument/2006/relationships/hyperlink" Target="https://www.researchgate.net/publication/324006461_Social_Protection_The_State_Regulation_of_the_Employment_Relationship_in_Malawi-Achievements_and_Challenges" TargetMode="External"/><Relationship Id="rId10" Type="http://schemas.openxmlformats.org/officeDocument/2006/relationships/hyperlink" Target="http://www.searcwl.ac.zw/index.php?option=com_docman&amp;task=doc_download&amp;gid=30&amp;Itemid=89" TargetMode="External"/><Relationship Id="rId19" Type="http://schemas.openxmlformats.org/officeDocument/2006/relationships/hyperlink" Target="https://www.nyasatimes.com/govt-gazettes-amended-minimum-monthly-wages-for-cargo-truck-driver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earcwl.ac.zw/index.php?option=com_docman&amp;task=doc_download&amp;gid=30&amp;Itemid=89" TargetMode="External"/><Relationship Id="rId14" Type="http://schemas.openxmlformats.org/officeDocument/2006/relationships/hyperlink" Target="https://www.ilo.org/global/about-the-ilo/multimedia/features/malawi/lang--en/index.htm" TargetMode="External"/><Relationship Id="rId22" Type="http://schemas.openxmlformats.org/officeDocument/2006/relationships/hyperlink" Target="https://www.researchgate.net/publication/324006306_The_Problem_of_Non-Compliance_with_Minimum_Wage_in_the_Public_Service_Organizations_in_Malawi_versus_Government_as_a_Role_Model_Employer" TargetMode="External"/><Relationship Id="rId27" Type="http://schemas.openxmlformats.org/officeDocument/2006/relationships/hyperlink" Target="https://www.researchgate.net/publication/324006461_Social_Protection_The_State_Regulation_of_the_Employment_Relationship_in_Malawi-Achievements_and_Challenges" TargetMode="External"/><Relationship Id="rId30" Type="http://schemas.openxmlformats.org/officeDocument/2006/relationships/fontTable" Target="fontTable.xml"/><Relationship Id="rId8" Type="http://schemas.openxmlformats.org/officeDocument/2006/relationships/hyperlink" Target="https://www.undp.org/sites/g/files/zskgke326/files/migration/by/HDR2020_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6567BC-4201-4D82-AF12-2CB0055342B3}"/>
</file>

<file path=customXml/itemProps2.xml><?xml version="1.0" encoding="utf-8"?>
<ds:datastoreItem xmlns:ds="http://schemas.openxmlformats.org/officeDocument/2006/customXml" ds:itemID="{784A1A17-FA1C-42DA-AE53-F4A6348F5272}"/>
</file>

<file path=docProps/app.xml><?xml version="1.0" encoding="utf-8"?>
<Properties xmlns="http://schemas.openxmlformats.org/officeDocument/2006/extended-properties" xmlns:vt="http://schemas.openxmlformats.org/officeDocument/2006/docPropsVTypes">
  <Template>Normal.dotm</Template>
  <TotalTime>4</TotalTime>
  <Pages>17</Pages>
  <Words>7675</Words>
  <Characters>43750</Characters>
  <Application>Microsoft Office Word</Application>
  <DocSecurity>0</DocSecurity>
  <Lines>364</Lines>
  <Paragraphs>102</Paragraphs>
  <ScaleCrop>false</ScaleCrop>
  <Company/>
  <LinksUpToDate>false</LinksUpToDate>
  <CharactersWithSpaces>51323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Ziona Tanzer</cp:lastModifiedBy>
  <cp:revision>2</cp:revision>
  <dcterms:created xsi:type="dcterms:W3CDTF">2024-08-26T23:32:00Z</dcterms:created>
  <dcterms:modified xsi:type="dcterms:W3CDTF">2024-08-26T23:32:00Z</dcterms:modified>
</cp:coreProperties>
</file>