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493E" w:rsidRDefault="00E3493E"/>
    <w:p w:rsidR="00E3493E" w:rsidRDefault="00E3493E"/>
    <w:p w:rsidR="00E3493E" w:rsidRDefault="001F4C85">
      <w:pPr>
        <w:keepNext/>
        <w:pBdr>
          <w:top w:val="nil"/>
          <w:left w:val="nil"/>
          <w:bottom w:val="nil"/>
          <w:right w:val="nil"/>
          <w:between w:val="nil"/>
        </w:pBdr>
        <w:tabs>
          <w:tab w:val="left" w:pos="142"/>
          <w:tab w:val="left" w:pos="142"/>
        </w:tabs>
        <w:ind w:left="-1276"/>
        <w:rPr>
          <w:rFonts w:ascii="Helvetica Neue" w:eastAsia="Helvetica Neue" w:hAnsi="Helvetica Neue" w:cs="Helvetica Neue"/>
          <w:sz w:val="36"/>
          <w:szCs w:val="36"/>
        </w:rPr>
      </w:pPr>
      <w:r>
        <w:rPr>
          <w:rFonts w:ascii="Helvetica Neue" w:eastAsia="Helvetica Neue" w:hAnsi="Helvetica Neue" w:cs="Helvetica Neue"/>
          <w:sz w:val="36"/>
          <w:szCs w:val="36"/>
        </w:rPr>
        <w:t>Submission to the UN Committee on the Elimination of Discrimination against Women</w:t>
      </w:r>
    </w:p>
    <w:p w:rsidR="00E3493E" w:rsidRDefault="00E3493E">
      <w:pPr>
        <w:keepNext/>
        <w:pBdr>
          <w:top w:val="nil"/>
          <w:left w:val="nil"/>
          <w:bottom w:val="nil"/>
          <w:right w:val="nil"/>
          <w:between w:val="nil"/>
        </w:pBdr>
        <w:tabs>
          <w:tab w:val="left" w:pos="142"/>
          <w:tab w:val="left" w:pos="142"/>
        </w:tabs>
        <w:ind w:left="-1276"/>
        <w:rPr>
          <w:rFonts w:ascii="Helvetica Neue" w:eastAsia="Helvetica Neue" w:hAnsi="Helvetica Neue" w:cs="Helvetica Neue"/>
          <w:sz w:val="36"/>
          <w:szCs w:val="36"/>
        </w:rPr>
      </w:pPr>
    </w:p>
    <w:p w:rsidR="00E3493E" w:rsidRDefault="001F4C85">
      <w:pPr>
        <w:keepNext/>
        <w:pBdr>
          <w:top w:val="nil"/>
          <w:left w:val="nil"/>
          <w:bottom w:val="nil"/>
          <w:right w:val="nil"/>
          <w:between w:val="nil"/>
        </w:pBdr>
        <w:tabs>
          <w:tab w:val="left" w:pos="142"/>
          <w:tab w:val="left" w:pos="142"/>
        </w:tabs>
        <w:ind w:left="-1276"/>
        <w:rPr>
          <w:rFonts w:ascii="Helvetica Neue" w:eastAsia="Helvetica Neue" w:hAnsi="Helvetica Neue" w:cs="Helvetica Neue"/>
          <w:sz w:val="36"/>
          <w:szCs w:val="36"/>
        </w:rPr>
      </w:pPr>
      <w:r>
        <w:rPr>
          <w:rFonts w:ascii="Helvetica Neue" w:eastAsia="Helvetica Neue" w:hAnsi="Helvetica Neue" w:cs="Helvetica Neue"/>
          <w:sz w:val="36"/>
          <w:szCs w:val="36"/>
        </w:rPr>
        <w:t xml:space="preserve">Review of Sweden </w:t>
      </w:r>
    </w:p>
    <w:p w:rsidR="00E3493E" w:rsidRDefault="00E3493E">
      <w:pPr>
        <w:ind w:left="-1276"/>
        <w:rPr>
          <w:b/>
        </w:rPr>
      </w:pPr>
    </w:p>
    <w:p w:rsidR="00E3493E" w:rsidRDefault="001F4C85">
      <w:pPr>
        <w:ind w:left="-1276"/>
        <w:rPr>
          <w:rFonts w:ascii="Helvetica Neue" w:eastAsia="Helvetica Neue" w:hAnsi="Helvetica Neue" w:cs="Helvetica Neue"/>
          <w:b/>
          <w:color w:val="000000"/>
          <w:sz w:val="32"/>
          <w:szCs w:val="32"/>
        </w:rPr>
      </w:pPr>
      <w:r>
        <w:t>80 Session (18 October - 12 November 2021)</w:t>
      </w:r>
    </w:p>
    <w:p w:rsidR="00E3493E" w:rsidRDefault="00E3493E">
      <w:pPr>
        <w:ind w:left="-1276"/>
        <w:rPr>
          <w:rFonts w:ascii="Helvetica Neue" w:eastAsia="Helvetica Neue" w:hAnsi="Helvetica Neue" w:cs="Helvetica Neue"/>
          <w:b/>
          <w:color w:val="000000"/>
          <w:sz w:val="32"/>
          <w:szCs w:val="32"/>
        </w:rPr>
      </w:pPr>
    </w:p>
    <w:p w:rsidR="00E3493E" w:rsidRDefault="001F4C85">
      <w:pPr>
        <w:keepNext/>
        <w:pBdr>
          <w:top w:val="nil"/>
          <w:left w:val="nil"/>
          <w:bottom w:val="nil"/>
          <w:right w:val="nil"/>
          <w:between w:val="nil"/>
        </w:pBdr>
        <w:tabs>
          <w:tab w:val="left" w:pos="142"/>
          <w:tab w:val="left" w:pos="142"/>
        </w:tabs>
        <w:ind w:left="-1276"/>
        <w:rPr>
          <w:rFonts w:ascii="Helvetica Neue" w:eastAsia="Helvetica Neue" w:hAnsi="Helvetica Neue" w:cs="Helvetica Neue"/>
          <w:sz w:val="32"/>
          <w:szCs w:val="32"/>
        </w:rPr>
      </w:pPr>
      <w:r>
        <w:rPr>
          <w:rFonts w:ascii="Helvetica Neue" w:eastAsia="Helvetica Neue" w:hAnsi="Helvetica Neue" w:cs="Helvetica Neue"/>
          <w:color w:val="000000"/>
          <w:sz w:val="32"/>
          <w:szCs w:val="32"/>
        </w:rPr>
        <w:t>About RFSL and this submission</w:t>
      </w:r>
    </w:p>
    <w:p w:rsidR="00E3493E" w:rsidRDefault="00E3493E">
      <w:pPr>
        <w:keepNext/>
        <w:pBdr>
          <w:top w:val="nil"/>
          <w:left w:val="nil"/>
          <w:bottom w:val="nil"/>
          <w:right w:val="nil"/>
          <w:between w:val="nil"/>
        </w:pBdr>
        <w:tabs>
          <w:tab w:val="left" w:pos="142"/>
          <w:tab w:val="left" w:pos="142"/>
        </w:tabs>
        <w:ind w:left="-1276"/>
        <w:rPr>
          <w:rFonts w:ascii="Helvetica Neue" w:eastAsia="Helvetica Neue" w:hAnsi="Helvetica Neue" w:cs="Helvetica Neue"/>
          <w:sz w:val="32"/>
          <w:szCs w:val="32"/>
        </w:rPr>
      </w:pPr>
    </w:p>
    <w:p w:rsidR="00E3493E" w:rsidRDefault="001F4C85">
      <w:pPr>
        <w:keepNext/>
        <w:pBdr>
          <w:top w:val="nil"/>
          <w:left w:val="nil"/>
          <w:bottom w:val="nil"/>
          <w:right w:val="nil"/>
          <w:between w:val="nil"/>
        </w:pBdr>
        <w:tabs>
          <w:tab w:val="left" w:pos="142"/>
          <w:tab w:val="left" w:pos="142"/>
        </w:tabs>
        <w:ind w:left="-1276"/>
      </w:pPr>
      <w:r>
        <w:t>1. R</w:t>
      </w:r>
      <w:r>
        <w:t xml:space="preserve">FSL, the Swedish Federation for Lesbian, Gay, Bisexual, Transgender, Queer and Intersex Rights, was founded in 1950. With approximately 6300 members all over Sweden, RFSL is a strong voice of LGBTQI people in the country. </w:t>
      </w:r>
    </w:p>
    <w:p w:rsidR="00E3493E" w:rsidRDefault="00E3493E">
      <w:pPr>
        <w:ind w:left="-1276"/>
      </w:pPr>
    </w:p>
    <w:p w:rsidR="00E3493E" w:rsidRDefault="001F4C85">
      <w:pPr>
        <w:ind w:left="-1276"/>
      </w:pPr>
      <w:r>
        <w:t>2. We note with concern that LBT</w:t>
      </w:r>
      <w:r>
        <w:t>I-women and girls were not mentioned in the list of issues from the committee. The Swedish response only mentions sexual orientation in listings of discrimination grounds, and the same goes for the state report. The only question raised by the committee re</w:t>
      </w:r>
      <w:r>
        <w:t xml:space="preserve">garding LGBTQI specifically was about the introduction of the </w:t>
      </w:r>
      <w:r w:rsidR="00E2437F">
        <w:t>gender-neutral</w:t>
      </w:r>
      <w:r>
        <w:t xml:space="preserve"> pronoun “hen” in the Swedish dictionary. However important this word is for the vis</w:t>
      </w:r>
      <w:r w:rsidR="00E2437F">
        <w:t>i</w:t>
      </w:r>
      <w:r>
        <w:t>bility and inclusion of non-binary people in Sweden we found it surprising, since LGBTQI-women a</w:t>
      </w:r>
      <w:r>
        <w:t>nd girls in Sweden face several forms of human rights violations and discrimination that were not at all addressed. This lack of inclusion in the reporting to CEDAW is concerning, since LBTI-women’s rights are women’s rights, and like in the rest of the wo</w:t>
      </w:r>
      <w:r>
        <w:t xml:space="preserve">rld LBTI-women in Sweden face </w:t>
      </w:r>
      <w:r w:rsidR="00E2437F">
        <w:t>discrimination</w:t>
      </w:r>
      <w:r>
        <w:t xml:space="preserve"> both in regard to gender and sexual orientation and/or gender identity.  </w:t>
      </w:r>
    </w:p>
    <w:p w:rsidR="00E3493E" w:rsidRDefault="00E3493E">
      <w:pPr>
        <w:ind w:left="-1276"/>
      </w:pPr>
    </w:p>
    <w:p w:rsidR="00E3493E" w:rsidRDefault="001F4C85">
      <w:pPr>
        <w:ind w:left="-1276"/>
      </w:pPr>
      <w:r>
        <w:t xml:space="preserve">3. In this submission RFSL highlight the situation of lesbian, bisexual, trans and intersex (LBTI) women, non-binary people and intersex </w:t>
      </w:r>
      <w:r>
        <w:t>children in Sweden. We have chosen to focus on LBTI women in the asylum process, violence against LBTI women and the wider concept of gender equality and gender-based violence, unnecessary medical interventions on intersex children and the Swedish gender r</w:t>
      </w:r>
      <w:r>
        <w:t xml:space="preserve">ecognition law. </w:t>
      </w:r>
    </w:p>
    <w:p w:rsidR="00E3493E" w:rsidRDefault="001F4C85">
      <w:pPr>
        <w:ind w:left="-1276"/>
      </w:pPr>
      <w:r>
        <w:t xml:space="preserve"> </w:t>
      </w:r>
    </w:p>
    <w:p w:rsidR="00E3493E" w:rsidRDefault="001F4C85">
      <w:pPr>
        <w:keepNext/>
        <w:pBdr>
          <w:top w:val="nil"/>
          <w:left w:val="nil"/>
          <w:bottom w:val="nil"/>
          <w:right w:val="nil"/>
          <w:between w:val="nil"/>
        </w:pBdr>
        <w:tabs>
          <w:tab w:val="left" w:pos="142"/>
          <w:tab w:val="left" w:pos="142"/>
        </w:tabs>
        <w:ind w:left="-1276"/>
        <w:rPr>
          <w:rFonts w:ascii="Helvetica Neue" w:eastAsia="Helvetica Neue" w:hAnsi="Helvetica Neue" w:cs="Helvetica Neue"/>
          <w:sz w:val="32"/>
          <w:szCs w:val="32"/>
        </w:rPr>
      </w:pPr>
      <w:r>
        <w:br w:type="page"/>
      </w:r>
    </w:p>
    <w:p w:rsidR="00E3493E" w:rsidRDefault="001F4C85">
      <w:pPr>
        <w:keepNext/>
        <w:pBdr>
          <w:top w:val="nil"/>
          <w:left w:val="nil"/>
          <w:bottom w:val="nil"/>
          <w:right w:val="nil"/>
          <w:between w:val="nil"/>
        </w:pBdr>
        <w:tabs>
          <w:tab w:val="left" w:pos="142"/>
          <w:tab w:val="left" w:pos="142"/>
        </w:tabs>
        <w:ind w:left="-1276"/>
        <w:rPr>
          <w:rFonts w:ascii="Helvetica Neue" w:eastAsia="Helvetica Neue" w:hAnsi="Helvetica Neue" w:cs="Helvetica Neue"/>
          <w:color w:val="000000"/>
          <w:sz w:val="32"/>
          <w:szCs w:val="32"/>
        </w:rPr>
      </w:pPr>
      <w:r>
        <w:rPr>
          <w:rFonts w:ascii="Helvetica Neue" w:eastAsia="Helvetica Neue" w:hAnsi="Helvetica Neue" w:cs="Helvetica Neue"/>
          <w:color w:val="000000"/>
          <w:sz w:val="32"/>
          <w:szCs w:val="32"/>
        </w:rPr>
        <w:lastRenderedPageBreak/>
        <w:t>Asylum-seeking and refugee LBT</w:t>
      </w:r>
      <w:r>
        <w:rPr>
          <w:rFonts w:ascii="Helvetica Neue" w:eastAsia="Helvetica Neue" w:hAnsi="Helvetica Neue" w:cs="Helvetica Neue"/>
          <w:sz w:val="32"/>
          <w:szCs w:val="32"/>
        </w:rPr>
        <w:t>I</w:t>
      </w:r>
      <w:r>
        <w:rPr>
          <w:rFonts w:ascii="Helvetica Neue" w:eastAsia="Helvetica Neue" w:hAnsi="Helvetica Neue" w:cs="Helvetica Neue"/>
          <w:color w:val="000000"/>
          <w:sz w:val="32"/>
          <w:szCs w:val="32"/>
        </w:rPr>
        <w:t xml:space="preserve"> women</w:t>
      </w:r>
    </w:p>
    <w:p w:rsidR="00E3493E" w:rsidRDefault="00E3493E">
      <w:pPr>
        <w:ind w:left="-1276"/>
        <w:rPr>
          <w:b/>
          <w:color w:val="000000"/>
        </w:rPr>
      </w:pPr>
    </w:p>
    <w:p w:rsidR="00E3493E" w:rsidRDefault="001F4C85">
      <w:pPr>
        <w:pBdr>
          <w:top w:val="nil"/>
          <w:left w:val="nil"/>
          <w:bottom w:val="nil"/>
          <w:right w:val="nil"/>
          <w:between w:val="nil"/>
        </w:pBdr>
        <w:ind w:left="-1276"/>
        <w:rPr>
          <w:rFonts w:ascii="Helvetica Neue" w:eastAsia="Helvetica Neue" w:hAnsi="Helvetica Neue" w:cs="Helvetica Neue"/>
          <w:color w:val="000000"/>
          <w:highlight w:val="white"/>
        </w:rPr>
      </w:pPr>
      <w:r>
        <w:rPr>
          <w:rFonts w:ascii="Helvetica Neue" w:eastAsia="Helvetica Neue" w:hAnsi="Helvetica Neue" w:cs="Helvetica Neue"/>
          <w:color w:val="000000"/>
          <w:highlight w:val="white"/>
        </w:rPr>
        <w:t>The principle of non-refoulment</w:t>
      </w:r>
    </w:p>
    <w:p w:rsidR="00E3493E" w:rsidRDefault="001F4C85">
      <w:pPr>
        <w:ind w:left="-1276"/>
        <w:rPr>
          <w:highlight w:val="white"/>
        </w:rPr>
      </w:pPr>
      <w:r>
        <w:rPr>
          <w:highlight w:val="white"/>
        </w:rPr>
        <w:t>4. The concerns stated in the Concluding Observations from this Committee on the combined eighth and ninth periodic report of Sweden</w:t>
      </w:r>
      <w:r>
        <w:rPr>
          <w:highlight w:val="white"/>
          <w:vertAlign w:val="superscript"/>
        </w:rPr>
        <w:footnoteReference w:id="1"/>
      </w:r>
      <w:r>
        <w:rPr>
          <w:highlight w:val="white"/>
        </w:rPr>
        <w:t>, noting that Sweden’s asylum policy leads to particularly negative consequences for women and children asylum seekers, are unfortunately still valid. In July 2021 a new very restrictive asylum law came into effect.</w:t>
      </w:r>
      <w:r>
        <w:rPr>
          <w:highlight w:val="white"/>
          <w:vertAlign w:val="superscript"/>
        </w:rPr>
        <w:footnoteReference w:id="2"/>
      </w:r>
      <w:r>
        <w:rPr>
          <w:highlight w:val="white"/>
        </w:rPr>
        <w:t xml:space="preserve"> People who are granted asylum in Sweden</w:t>
      </w:r>
      <w:r>
        <w:rPr>
          <w:highlight w:val="white"/>
        </w:rPr>
        <w:t xml:space="preserve"> only get temporary residence permits and the possibility of reuniting with family members has been even further obstructed. </w:t>
      </w:r>
    </w:p>
    <w:p w:rsidR="00E3493E" w:rsidRDefault="00E3493E">
      <w:pPr>
        <w:ind w:left="-1276"/>
        <w:rPr>
          <w:highlight w:val="white"/>
        </w:rPr>
      </w:pPr>
    </w:p>
    <w:p w:rsidR="00E3493E" w:rsidRDefault="001F4C85">
      <w:pPr>
        <w:ind w:left="-1276"/>
      </w:pPr>
      <w:r>
        <w:rPr>
          <w:highlight w:val="white"/>
        </w:rPr>
        <w:t>5. S</w:t>
      </w:r>
      <w:r>
        <w:t>weden still does not live up to the principle of non-refoulment. There is evidence of lesbian and bisexual women being deport</w:t>
      </w:r>
      <w:r>
        <w:t>ed 2017-2020 to countries where same-sex relations are criminalized, such as Uganda, Ethiopia, Nigeria, Gambia and Kenya.</w:t>
      </w:r>
      <w:r>
        <w:rPr>
          <w:vertAlign w:val="superscript"/>
        </w:rPr>
        <w:footnoteReference w:id="3"/>
      </w:r>
      <w:r>
        <w:t xml:space="preserve"> </w:t>
      </w:r>
      <w:r>
        <w:rPr>
          <w:highlight w:val="white"/>
        </w:rPr>
        <w:t>A number of cases related to deportation or refoulment of representatives of LGBTI community from Sweden have earlier been reviewed b</w:t>
      </w:r>
      <w:r>
        <w:rPr>
          <w:highlight w:val="white"/>
        </w:rPr>
        <w:t>y the UN Committee against Torture.</w:t>
      </w:r>
      <w:r>
        <w:rPr>
          <w:highlight w:val="white"/>
          <w:vertAlign w:val="superscript"/>
        </w:rPr>
        <w:footnoteReference w:id="4"/>
      </w:r>
    </w:p>
    <w:p w:rsidR="00E3493E" w:rsidRDefault="00E3493E"/>
    <w:p w:rsidR="00E2437F" w:rsidRDefault="001F4C85" w:rsidP="00E2437F">
      <w:pPr>
        <w:ind w:left="-1276"/>
        <w:rPr>
          <w:highlight w:val="white"/>
        </w:rPr>
      </w:pPr>
      <w:r>
        <w:rPr>
          <w:highlight w:val="white"/>
        </w:rPr>
        <w:t>6. The Swedish Migration Agency has narrow and ineffective methods for deciding if countries qualify as “safe”. These poorly established criteria decide whether an LGBTI asylum seeker is entitled to protection by the S</w:t>
      </w:r>
      <w:r>
        <w:rPr>
          <w:highlight w:val="white"/>
        </w:rPr>
        <w:t>wedish State or not. They investigate if the country of origin provides security for LGBTI people, ignoring evidence of the lack of implementation of human rights and the societies’ hostile approach towards LGBTI people. Legal uncertainty and inconsistency</w:t>
      </w:r>
      <w:r>
        <w:rPr>
          <w:highlight w:val="white"/>
        </w:rPr>
        <w:t xml:space="preserve"> pervade the asylum process for LBTI women in Sweden. In similar cases, the same country is judged to be safe for one asylum seeker and in the next ruling to be unsafe. The whole asylum process resembles a cruel lottery, determining who is granted asylum a</w:t>
      </w:r>
      <w:r>
        <w:rPr>
          <w:highlight w:val="white"/>
        </w:rPr>
        <w:t>nd safety and who is not.</w:t>
      </w:r>
      <w:r w:rsidR="00E2437F">
        <w:rPr>
          <w:highlight w:val="white"/>
        </w:rPr>
        <w:t xml:space="preserve"> </w:t>
      </w:r>
      <w:r>
        <w:rPr>
          <w:highlight w:val="white"/>
        </w:rPr>
        <w:t>Hence</w:t>
      </w:r>
      <w:r w:rsidR="00E2437F">
        <w:rPr>
          <w:highlight w:val="white"/>
        </w:rPr>
        <w:t>,</w:t>
      </w:r>
      <w:r>
        <w:rPr>
          <w:highlight w:val="white"/>
        </w:rPr>
        <w:t xml:space="preserve"> RFSL wants to reinforce the recommendations of the CEDAW-committee of the p</w:t>
      </w:r>
      <w:bookmarkStart w:id="0" w:name="_GoBack"/>
      <w:bookmarkEnd w:id="0"/>
      <w:r>
        <w:rPr>
          <w:highlight w:val="white"/>
        </w:rPr>
        <w:t>revious reporting cycle, almost in the exact same wording.</w:t>
      </w:r>
    </w:p>
    <w:p w:rsidR="00E2437F" w:rsidRPr="00E2437F" w:rsidRDefault="00E2437F" w:rsidP="00E2437F">
      <w:pPr>
        <w:ind w:left="-1276"/>
        <w:rPr>
          <w:highlight w:val="white"/>
        </w:rPr>
      </w:pPr>
    </w:p>
    <w:p w:rsidR="00E3493E" w:rsidRPr="00E2437F" w:rsidRDefault="001F4C85" w:rsidP="00E2437F">
      <w:pPr>
        <w:ind w:left="-1276"/>
        <w:rPr>
          <w:highlight w:val="white"/>
        </w:rPr>
      </w:pPr>
      <w:r>
        <w:rPr>
          <w:b/>
        </w:rPr>
        <w:t>Recommendation</w:t>
      </w:r>
    </w:p>
    <w:p w:rsidR="00E3493E" w:rsidRDefault="001F4C85">
      <w:pPr>
        <w:numPr>
          <w:ilvl w:val="0"/>
          <w:numId w:val="1"/>
        </w:numPr>
        <w:pBdr>
          <w:top w:val="single" w:sz="4" w:space="1" w:color="000000"/>
          <w:left w:val="single" w:sz="4" w:space="4" w:color="000000"/>
          <w:bottom w:val="single" w:sz="4" w:space="1" w:color="000000"/>
          <w:right w:val="single" w:sz="4" w:space="4" w:color="000000"/>
          <w:between w:val="nil"/>
        </w:pBdr>
        <w:rPr>
          <w:b/>
        </w:rPr>
      </w:pPr>
      <w:r>
        <w:t xml:space="preserve">To implement its obligations under international law with regard to </w:t>
      </w:r>
      <w:r w:rsidR="00E2437F">
        <w:t>LGBTI-</w:t>
      </w:r>
      <w:r>
        <w:t>asylum seekers and refugees, such as the principle of non-</w:t>
      </w:r>
      <w:proofErr w:type="spellStart"/>
      <w:r>
        <w:t>refoulement</w:t>
      </w:r>
      <w:proofErr w:type="spellEnd"/>
      <w:r>
        <w:t>.</w:t>
      </w:r>
    </w:p>
    <w:p w:rsidR="00E3493E" w:rsidRDefault="001F4C85">
      <w:pPr>
        <w:numPr>
          <w:ilvl w:val="0"/>
          <w:numId w:val="1"/>
        </w:numPr>
        <w:pBdr>
          <w:top w:val="single" w:sz="4" w:space="1" w:color="000000"/>
          <w:left w:val="single" w:sz="4" w:space="4" w:color="000000"/>
          <w:bottom w:val="single" w:sz="4" w:space="1" w:color="000000"/>
          <w:right w:val="single" w:sz="4" w:space="4" w:color="000000"/>
          <w:between w:val="nil"/>
        </w:pBdr>
        <w:rPr>
          <w:b/>
        </w:rPr>
      </w:pPr>
      <w:r>
        <w:t xml:space="preserve">To take a gender sensitive approach in receiving the current refugee inflows and in considering asylum claims, thereby ensuring that the needs of asylum seeking and refugee women </w:t>
      </w:r>
      <w:r>
        <w:t>and girls (including women who are LBTI) arriving in Sweden are addressed as a priority concern.</w:t>
      </w:r>
    </w:p>
    <w:p w:rsidR="00E3493E" w:rsidRDefault="00E3493E">
      <w:pPr>
        <w:pBdr>
          <w:top w:val="nil"/>
          <w:left w:val="nil"/>
          <w:bottom w:val="nil"/>
          <w:right w:val="nil"/>
          <w:between w:val="nil"/>
        </w:pBdr>
        <w:ind w:left="-1276"/>
        <w:rPr>
          <w:rFonts w:ascii="Helvetica Neue" w:eastAsia="Helvetica Neue" w:hAnsi="Helvetica Neue" w:cs="Helvetica Neue"/>
          <w:highlight w:val="white"/>
        </w:rPr>
      </w:pPr>
    </w:p>
    <w:p w:rsidR="00E3493E" w:rsidRDefault="001F4C85">
      <w:pPr>
        <w:pBdr>
          <w:top w:val="nil"/>
          <w:left w:val="nil"/>
          <w:bottom w:val="nil"/>
          <w:right w:val="nil"/>
          <w:between w:val="nil"/>
        </w:pBdr>
        <w:ind w:left="-1276"/>
        <w:rPr>
          <w:rFonts w:ascii="Helvetica Neue" w:eastAsia="Helvetica Neue" w:hAnsi="Helvetica Neue" w:cs="Helvetica Neue"/>
          <w:color w:val="000000"/>
          <w:highlight w:val="white"/>
        </w:rPr>
      </w:pPr>
      <w:r>
        <w:rPr>
          <w:rFonts w:ascii="Helvetica Neue" w:eastAsia="Helvetica Neue" w:hAnsi="Helvetica Neue" w:cs="Helvetica Neue"/>
          <w:color w:val="000000"/>
          <w:highlight w:val="white"/>
        </w:rPr>
        <w:t>Quality of asylum assessments</w:t>
      </w:r>
    </w:p>
    <w:p w:rsidR="00E3493E" w:rsidRDefault="001F4C85">
      <w:pPr>
        <w:ind w:left="-1276"/>
        <w:rPr>
          <w:highlight w:val="white"/>
        </w:rPr>
      </w:pPr>
      <w:r>
        <w:rPr>
          <w:highlight w:val="white"/>
        </w:rPr>
        <w:t>8. Many of the case workers at the Migration Agency, interpreters and public counsels, lack competence regarding LGBTI asylum se</w:t>
      </w:r>
      <w:r>
        <w:rPr>
          <w:highlight w:val="white"/>
        </w:rPr>
        <w:t>ekers’ specific situation. This is evident through interpreters’ inadequate vocabulary, or the lack of relevant questions from the case worker to assess the credibility of the asylum seekers’ story. In the asylum cases of LGBTI people, the Migration Agency</w:t>
      </w:r>
      <w:r>
        <w:rPr>
          <w:highlight w:val="white"/>
        </w:rPr>
        <w:t xml:space="preserve"> makes a credibility assessment of the person's sexuality and/or gender identity. The assessment is often based on stereotypical and Western notions of what sexuality and gender is. It is also combined with a lack of understanding of how cultural differenc</w:t>
      </w:r>
      <w:r>
        <w:rPr>
          <w:highlight w:val="white"/>
        </w:rPr>
        <w:t>es can play a role in the way one's identity is described or expressed. Furthermore, the Migration Agency often focuses on the person being open and out, manifesting their identity in an “understandable” way to the Agency.</w:t>
      </w:r>
      <w:r>
        <w:rPr>
          <w:highlight w:val="white"/>
          <w:vertAlign w:val="superscript"/>
        </w:rPr>
        <w:footnoteReference w:id="5"/>
      </w:r>
    </w:p>
    <w:p w:rsidR="00E3493E" w:rsidRDefault="00E3493E">
      <w:pPr>
        <w:ind w:left="-1276"/>
        <w:rPr>
          <w:highlight w:val="white"/>
        </w:rPr>
      </w:pPr>
    </w:p>
    <w:p w:rsidR="00E3493E" w:rsidRDefault="001F4C85">
      <w:pPr>
        <w:ind w:left="-1276"/>
        <w:rPr>
          <w:highlight w:val="white"/>
        </w:rPr>
      </w:pPr>
      <w:r>
        <w:rPr>
          <w:highlight w:val="white"/>
        </w:rPr>
        <w:t>9. An example of Sweden deporting LGBTI refugees to countries where they risk torture on the grounds of a case worker’s normative perception of sexuality: A female applicant from Nigeria didn’t know that same-sex relations were criminalized in the country.</w:t>
      </w:r>
      <w:r>
        <w:rPr>
          <w:highlight w:val="white"/>
        </w:rPr>
        <w:t xml:space="preserve"> The case officer tells the client "Well, if I was a lesbian in Nigeria, I would have looked up the laws myself about homosexuality". She was denied asylum and sent back to Nigeria</w:t>
      </w:r>
      <w:r>
        <w:rPr>
          <w:highlight w:val="white"/>
          <w:vertAlign w:val="superscript"/>
        </w:rPr>
        <w:footnoteReference w:id="6"/>
      </w:r>
      <w:r>
        <w:rPr>
          <w:highlight w:val="white"/>
        </w:rPr>
        <w:t>, a country where sex between two people of the same gender is prohibited a</w:t>
      </w:r>
      <w:r>
        <w:rPr>
          <w:highlight w:val="white"/>
        </w:rPr>
        <w:t>nd in some parts of the country even punishable by death.</w:t>
      </w:r>
    </w:p>
    <w:p w:rsidR="00E3493E" w:rsidRDefault="00E3493E">
      <w:pPr>
        <w:ind w:left="-1276"/>
        <w:rPr>
          <w:highlight w:val="white"/>
        </w:rPr>
      </w:pPr>
    </w:p>
    <w:p w:rsidR="00E3493E" w:rsidRDefault="001F4C85">
      <w:pPr>
        <w:ind w:left="-1276"/>
      </w:pPr>
      <w:r>
        <w:t>10. The Migration Agency has itself evaluated the quality of its decisions regarding applications on LGBTI grounds and concluded that improvement is needed. The report highlights that about 30 % of</w:t>
      </w:r>
      <w:r>
        <w:t xml:space="preserve"> the cases were handled poorly by the case officer. One problem raised in the report is that the Migration Agency often rejects or fails to consider proof given by the asylum seeker regarding previous experiences of persecution or violence, the risk of per</w:t>
      </w:r>
      <w:r>
        <w:t>secution upon return or the situation for LGBTI people in their home country.</w:t>
      </w:r>
      <w:r>
        <w:rPr>
          <w:vertAlign w:val="superscript"/>
        </w:rPr>
        <w:footnoteReference w:id="7"/>
      </w:r>
    </w:p>
    <w:p w:rsidR="00E3493E" w:rsidRDefault="001F4C85">
      <w:pPr>
        <w:ind w:left="-1276"/>
        <w:rPr>
          <w:b/>
          <w:color w:val="000000"/>
        </w:rPr>
      </w:pPr>
      <w:r>
        <w:rPr>
          <w:highlight w:val="white"/>
        </w:rPr>
        <w:br/>
      </w:r>
      <w:r>
        <w:rPr>
          <w:b/>
        </w:rPr>
        <w:t>Recommendation</w:t>
      </w:r>
    </w:p>
    <w:p w:rsidR="00E3493E" w:rsidRDefault="001F4C85">
      <w:pPr>
        <w:pBdr>
          <w:top w:val="single" w:sz="4" w:space="1" w:color="000000"/>
          <w:left w:val="single" w:sz="4" w:space="4" w:color="000000"/>
          <w:bottom w:val="single" w:sz="4" w:space="1" w:color="000000"/>
          <w:right w:val="single" w:sz="4" w:space="4" w:color="000000"/>
        </w:pBdr>
        <w:ind w:left="-1276"/>
        <w:rPr>
          <w:b/>
          <w:color w:val="000000"/>
        </w:rPr>
      </w:pPr>
      <w:r>
        <w:t>a) Ensure improved quality of the asylum process regarding LBTI women’s asylum applications.</w:t>
      </w:r>
    </w:p>
    <w:p w:rsidR="007766A6" w:rsidRDefault="007766A6">
      <w:pPr>
        <w:keepNext/>
        <w:pBdr>
          <w:top w:val="nil"/>
          <w:left w:val="nil"/>
          <w:bottom w:val="nil"/>
          <w:right w:val="nil"/>
          <w:between w:val="nil"/>
        </w:pBdr>
        <w:tabs>
          <w:tab w:val="left" w:pos="142"/>
          <w:tab w:val="left" w:pos="142"/>
        </w:tabs>
        <w:ind w:left="-1276"/>
        <w:rPr>
          <w:rFonts w:ascii="Helvetica Neue" w:eastAsia="Helvetica Neue" w:hAnsi="Helvetica Neue" w:cs="Helvetica Neue"/>
          <w:color w:val="000000"/>
          <w:sz w:val="32"/>
          <w:szCs w:val="32"/>
        </w:rPr>
      </w:pPr>
    </w:p>
    <w:p w:rsidR="00E3493E" w:rsidRDefault="001F4C85">
      <w:pPr>
        <w:keepNext/>
        <w:pBdr>
          <w:top w:val="nil"/>
          <w:left w:val="nil"/>
          <w:bottom w:val="nil"/>
          <w:right w:val="nil"/>
          <w:between w:val="nil"/>
        </w:pBdr>
        <w:tabs>
          <w:tab w:val="left" w:pos="142"/>
          <w:tab w:val="left" w:pos="142"/>
        </w:tabs>
        <w:ind w:left="-1276"/>
        <w:rPr>
          <w:rFonts w:ascii="Helvetica Neue" w:eastAsia="Helvetica Neue" w:hAnsi="Helvetica Neue" w:cs="Helvetica Neue"/>
          <w:color w:val="000000"/>
          <w:sz w:val="32"/>
          <w:szCs w:val="32"/>
        </w:rPr>
      </w:pPr>
      <w:r>
        <w:rPr>
          <w:rFonts w:ascii="Helvetica Neue" w:eastAsia="Helvetica Neue" w:hAnsi="Helvetica Neue" w:cs="Helvetica Neue"/>
          <w:color w:val="000000"/>
          <w:sz w:val="32"/>
          <w:szCs w:val="32"/>
        </w:rPr>
        <w:t>Constitutional, legislative and institutional framework</w:t>
      </w:r>
    </w:p>
    <w:p w:rsidR="00E3493E" w:rsidRDefault="00E3493E">
      <w:pPr>
        <w:pBdr>
          <w:top w:val="nil"/>
          <w:left w:val="nil"/>
          <w:bottom w:val="nil"/>
          <w:right w:val="nil"/>
          <w:between w:val="nil"/>
        </w:pBdr>
        <w:ind w:left="-1276"/>
        <w:rPr>
          <w:rFonts w:ascii="Helvetica Neue" w:eastAsia="Helvetica Neue" w:hAnsi="Helvetica Neue" w:cs="Helvetica Neue"/>
        </w:rPr>
      </w:pPr>
    </w:p>
    <w:p w:rsidR="00E3493E" w:rsidRDefault="001F4C85">
      <w:pPr>
        <w:pBdr>
          <w:top w:val="nil"/>
          <w:left w:val="nil"/>
          <w:bottom w:val="nil"/>
          <w:right w:val="nil"/>
          <w:between w:val="nil"/>
        </w:pBdr>
        <w:ind w:left="-1276"/>
        <w:rPr>
          <w:rFonts w:ascii="Helvetica Neue" w:eastAsia="Helvetica Neue" w:hAnsi="Helvetica Neue" w:cs="Helvetica Neue"/>
          <w:b/>
          <w:color w:val="000000"/>
          <w:sz w:val="32"/>
          <w:szCs w:val="32"/>
        </w:rPr>
      </w:pPr>
      <w:r>
        <w:rPr>
          <w:rFonts w:ascii="Helvetica Neue" w:eastAsia="Helvetica Neue" w:hAnsi="Helvetica Neue" w:cs="Helvetica Neue"/>
          <w:color w:val="000000"/>
        </w:rPr>
        <w:t>Definition of equality between genders and gender-based violence</w:t>
      </w:r>
    </w:p>
    <w:p w:rsidR="00E3493E" w:rsidRDefault="001F4C85">
      <w:pPr>
        <w:ind w:left="-1276"/>
        <w:rPr>
          <w:color w:val="000000"/>
        </w:rPr>
      </w:pPr>
      <w:r>
        <w:t xml:space="preserve">11. </w:t>
      </w:r>
      <w:r>
        <w:rPr>
          <w:color w:val="000000"/>
        </w:rPr>
        <w:t xml:space="preserve">The Swedish Government has been highlighting feminism and gender equality greatly over the last </w:t>
      </w:r>
      <w:r>
        <w:t>seven</w:t>
      </w:r>
      <w:r>
        <w:rPr>
          <w:color w:val="000000"/>
        </w:rPr>
        <w:t xml:space="preserve"> years, which included introducing the Feminist Foreign Policy. As a feminist organiza</w:t>
      </w:r>
      <w:r>
        <w:rPr>
          <w:color w:val="000000"/>
        </w:rPr>
        <w:t>tion, RFSL embraces these efforts. However, the lack of a holistic view on gender, and a narrow focus on heterosexual women and men, girls and boys, often results in LBT</w:t>
      </w:r>
      <w:r>
        <w:t>I</w:t>
      </w:r>
      <w:r>
        <w:rPr>
          <w:color w:val="000000"/>
        </w:rPr>
        <w:t xml:space="preserve"> women and gir</w:t>
      </w:r>
      <w:r>
        <w:t xml:space="preserve">ls </w:t>
      </w:r>
      <w:r>
        <w:rPr>
          <w:color w:val="000000"/>
        </w:rPr>
        <w:t xml:space="preserve">and non-binary people being left behind. </w:t>
      </w:r>
    </w:p>
    <w:p w:rsidR="00E3493E" w:rsidRDefault="00E3493E">
      <w:pPr>
        <w:ind w:left="-1276"/>
      </w:pPr>
    </w:p>
    <w:p w:rsidR="00E3493E" w:rsidRDefault="001F4C85">
      <w:pPr>
        <w:ind w:left="-1276"/>
        <w:rPr>
          <w:color w:val="000000"/>
        </w:rPr>
      </w:pPr>
      <w:r>
        <w:t xml:space="preserve">12. </w:t>
      </w:r>
      <w:r>
        <w:rPr>
          <w:color w:val="000000"/>
        </w:rPr>
        <w:t>Since most statistics are disaggregated by legal gender, there is a gap of knowledge about trans people’s (including non-binary people’s) life, health and experiences. Sweden has to ensure, that gender equality should mean equality among </w:t>
      </w:r>
      <w:r>
        <w:rPr>
          <w:color w:val="000000"/>
          <w:u w:val="single"/>
        </w:rPr>
        <w:t>all genders</w:t>
      </w:r>
      <w:r>
        <w:rPr>
          <w:color w:val="000000"/>
        </w:rPr>
        <w:t>, inclu</w:t>
      </w:r>
      <w:r>
        <w:rPr>
          <w:color w:val="000000"/>
        </w:rPr>
        <w:t>ding lesbian, gay, bisexual, trans, intersex and non-binary person</w:t>
      </w:r>
      <w:r>
        <w:t>s.</w:t>
      </w:r>
      <w:r>
        <w:rPr>
          <w:vertAlign w:val="superscript"/>
        </w:rPr>
        <w:footnoteReference w:id="8"/>
      </w:r>
      <w:r>
        <w:rPr>
          <w:color w:val="000000"/>
        </w:rPr>
        <w:t xml:space="preserve"> </w:t>
      </w:r>
    </w:p>
    <w:p w:rsidR="00E3493E" w:rsidRDefault="00E3493E">
      <w:pPr>
        <w:ind w:left="-1276"/>
        <w:rPr>
          <w:highlight w:val="yellow"/>
        </w:rPr>
      </w:pPr>
    </w:p>
    <w:p w:rsidR="00E3493E" w:rsidRDefault="001F4C85">
      <w:pPr>
        <w:ind w:left="-1276"/>
        <w:rPr>
          <w:color w:val="000000"/>
        </w:rPr>
      </w:pPr>
      <w:r>
        <w:t xml:space="preserve">13. </w:t>
      </w:r>
      <w:r>
        <w:rPr>
          <w:color w:val="000000"/>
        </w:rPr>
        <w:t>One example is the Swedish prevention work on gender-based violence, that almost solely focuses men’s violence against women. The Swedish national strategy to prevent and combat me</w:t>
      </w:r>
      <w:r>
        <w:rPr>
          <w:color w:val="000000"/>
        </w:rPr>
        <w:t>n’s violence against women do mention violence in same sex-relationships. However, the strategy fails to specify any interventions meant to prevent violence in other situations/relationships than men violating women. It erases the experiences of LGBTQ peop</w:t>
      </w:r>
      <w:r>
        <w:rPr>
          <w:color w:val="000000"/>
        </w:rPr>
        <w:t>le, who are especially exposed to gender-based violence due to breaking gender and sexuality norms. Trans people are especially exposed to different types of violence, including domestic violence and violence in close relations</w:t>
      </w:r>
      <w:r>
        <w:t>.</w:t>
      </w:r>
      <w:r>
        <w:rPr>
          <w:vertAlign w:val="superscript"/>
        </w:rPr>
        <w:footnoteReference w:id="9"/>
      </w:r>
      <w:r>
        <w:t xml:space="preserve"> </w:t>
      </w:r>
      <w:r>
        <w:rPr>
          <w:color w:val="000000"/>
        </w:rPr>
        <w:t xml:space="preserve">It is apparent that trans </w:t>
      </w:r>
      <w:r>
        <w:rPr>
          <w:color w:val="000000"/>
        </w:rPr>
        <w:t xml:space="preserve">women face serious difficulties in accessing shelters or support centers due to their gender identity and/or expression. This further exposes them to violence, discrimination and exclusion. </w:t>
      </w:r>
    </w:p>
    <w:p w:rsidR="00E3493E" w:rsidRDefault="00E3493E">
      <w:pPr>
        <w:ind w:left="-1276"/>
        <w:rPr>
          <w:color w:val="000000"/>
        </w:rPr>
      </w:pPr>
    </w:p>
    <w:p w:rsidR="00E3493E" w:rsidRDefault="001F4C85">
      <w:pPr>
        <w:ind w:left="-1276"/>
        <w:rPr>
          <w:b/>
          <w:color w:val="000000"/>
        </w:rPr>
      </w:pPr>
      <w:r>
        <w:rPr>
          <w:b/>
        </w:rPr>
        <w:t>Recommendation</w:t>
      </w:r>
    </w:p>
    <w:p w:rsidR="00E3493E" w:rsidRDefault="001F4C85">
      <w:pPr>
        <w:pBdr>
          <w:top w:val="single" w:sz="4" w:space="1" w:color="000000"/>
          <w:left w:val="single" w:sz="4" w:space="4" w:color="000000"/>
          <w:bottom w:val="single" w:sz="4" w:space="1" w:color="000000"/>
          <w:right w:val="single" w:sz="4" w:space="4" w:color="000000"/>
        </w:pBdr>
        <w:ind w:left="-1276"/>
      </w:pPr>
      <w:r>
        <w:t>Ensure that all women, girls, men, boys and non-b</w:t>
      </w:r>
      <w:r>
        <w:t>inary people, regardless of sexual orientation</w:t>
      </w:r>
      <w:r w:rsidR="00E2437F">
        <w:t xml:space="preserve"> or trans experience</w:t>
      </w:r>
      <w:r>
        <w:t>, are included in the work for equality between genders and in the efforts against gender-based violence.</w:t>
      </w:r>
    </w:p>
    <w:p w:rsidR="00E3493E" w:rsidRDefault="001F4C85">
      <w:pPr>
        <w:keepNext/>
        <w:pBdr>
          <w:top w:val="nil"/>
          <w:left w:val="nil"/>
          <w:bottom w:val="nil"/>
          <w:right w:val="nil"/>
          <w:between w:val="nil"/>
        </w:pBdr>
        <w:tabs>
          <w:tab w:val="left" w:pos="142"/>
          <w:tab w:val="left" w:pos="142"/>
        </w:tabs>
        <w:ind w:left="-1276" w:hanging="1276"/>
        <w:rPr>
          <w:rFonts w:ascii="Helvetica Neue" w:eastAsia="Helvetica Neue" w:hAnsi="Helvetica Neue" w:cs="Helvetica Neue"/>
        </w:rPr>
      </w:pPr>
      <w:r>
        <w:rPr>
          <w:rFonts w:ascii="Helvetica Neue" w:eastAsia="Helvetica Neue" w:hAnsi="Helvetica Neue" w:cs="Helvetica Neue"/>
          <w:color w:val="000000"/>
          <w:sz w:val="32"/>
          <w:szCs w:val="32"/>
        </w:rPr>
        <w:br/>
      </w:r>
      <w:r>
        <w:rPr>
          <w:rFonts w:ascii="Helvetica Neue" w:eastAsia="Helvetica Neue" w:hAnsi="Helvetica Neue" w:cs="Helvetica Neue"/>
        </w:rPr>
        <w:t>Gender recognition</w:t>
      </w:r>
    </w:p>
    <w:p w:rsidR="00E3493E" w:rsidRDefault="001F4C85">
      <w:pPr>
        <w:ind w:left="-1276"/>
      </w:pPr>
      <w:r>
        <w:t>14. Sweden has the world’s oldest gender recognition law. It was groundbreaking when it was established in 1972, but now it is severely outdated. The law requires trans people to go through mandatory gender affirming health care to get legal gender recogni</w:t>
      </w:r>
      <w:r>
        <w:t xml:space="preserve">tion. This goes against the 15. Principle 31, of the reviewed Yogyakarta Principles, that States should ensure a quick, transparent, and accessible mechanism that legally recognizes and affirms each person’s self-defined gender identity and to ensure that </w:t>
      </w:r>
      <w:r>
        <w:t xml:space="preserve">no eligibility criteria, such as medical or psychological interventions, shall be a prerequisite to change one’s name, legal sex or </w:t>
      </w:r>
      <w:r>
        <w:br/>
        <w:t>gender.</w:t>
      </w:r>
      <w:r>
        <w:rPr>
          <w:vertAlign w:val="superscript"/>
        </w:rPr>
        <w:footnoteReference w:id="10"/>
      </w:r>
      <w:r>
        <w:t xml:space="preserve"> In 2018 the Swedish Government prepared a proposed law that ensures this right, but the proposal was stalled for y</w:t>
      </w:r>
      <w:r>
        <w:t>ears. Recently, in September 2021, the Prime Minister promised a new law before the election in 2022, but a proposal is not yet public. Additionally, it is not possible for non-binary people in Sweden to have their gender legally recognized, since a gender</w:t>
      </w:r>
      <w:r>
        <w:t xml:space="preserve">-neutral gender marker does not exist. </w:t>
      </w:r>
    </w:p>
    <w:p w:rsidR="00E3493E" w:rsidRDefault="00E3493E">
      <w:pPr>
        <w:ind w:left="-1276"/>
      </w:pPr>
    </w:p>
    <w:p w:rsidR="00E3493E" w:rsidRDefault="001F4C85">
      <w:pPr>
        <w:ind w:left="-1276"/>
        <w:rPr>
          <w:b/>
        </w:rPr>
      </w:pPr>
      <w:bookmarkStart w:id="1" w:name="_heading=h.gjdgxs" w:colFirst="0" w:colLast="0"/>
      <w:bookmarkEnd w:id="1"/>
      <w:r>
        <w:rPr>
          <w:b/>
        </w:rPr>
        <w:t>Recommendation</w:t>
      </w:r>
    </w:p>
    <w:p w:rsidR="00E3493E" w:rsidRDefault="00E2437F">
      <w:pPr>
        <w:pBdr>
          <w:top w:val="single" w:sz="4" w:space="1" w:color="000000"/>
          <w:left w:val="single" w:sz="4" w:space="4" w:color="000000"/>
          <w:bottom w:val="single" w:sz="4" w:space="1" w:color="000000"/>
          <w:right w:val="single" w:sz="4" w:space="4" w:color="000000"/>
        </w:pBdr>
        <w:tabs>
          <w:tab w:val="left" w:pos="3686"/>
        </w:tabs>
        <w:ind w:left="-1276"/>
      </w:pPr>
      <w:r>
        <w:t>Act</w:t>
      </w:r>
      <w:r w:rsidR="001F4C85">
        <w:t xml:space="preserve"> to promptly implement a new gender recognition law, ensuring a quick, transparent and accessible mechanism based on self-definition.</w:t>
      </w:r>
    </w:p>
    <w:p w:rsidR="00E3493E" w:rsidRDefault="00E3493E">
      <w:pPr>
        <w:keepNext/>
        <w:pBdr>
          <w:top w:val="nil"/>
          <w:left w:val="nil"/>
          <w:bottom w:val="nil"/>
          <w:right w:val="nil"/>
          <w:between w:val="nil"/>
        </w:pBdr>
        <w:tabs>
          <w:tab w:val="left" w:pos="142"/>
          <w:tab w:val="left" w:pos="142"/>
        </w:tabs>
        <w:ind w:left="-1276" w:hanging="1276"/>
        <w:rPr>
          <w:rFonts w:ascii="Helvetica Neue" w:eastAsia="Helvetica Neue" w:hAnsi="Helvetica Neue" w:cs="Helvetica Neue"/>
          <w:sz w:val="32"/>
          <w:szCs w:val="32"/>
        </w:rPr>
      </w:pPr>
    </w:p>
    <w:p w:rsidR="00E3493E" w:rsidRDefault="001F4C85">
      <w:pPr>
        <w:keepNext/>
        <w:pBdr>
          <w:top w:val="nil"/>
          <w:left w:val="nil"/>
          <w:bottom w:val="nil"/>
          <w:right w:val="nil"/>
          <w:between w:val="nil"/>
        </w:pBdr>
        <w:tabs>
          <w:tab w:val="left" w:pos="142"/>
          <w:tab w:val="left" w:pos="142"/>
        </w:tabs>
        <w:ind w:left="-1276"/>
        <w:rPr>
          <w:rFonts w:ascii="Helvetica Neue" w:eastAsia="Helvetica Neue" w:hAnsi="Helvetica Neue" w:cs="Helvetica Neue"/>
          <w:color w:val="000000"/>
          <w:sz w:val="32"/>
          <w:szCs w:val="32"/>
        </w:rPr>
      </w:pPr>
      <w:r>
        <w:rPr>
          <w:rFonts w:ascii="Helvetica Neue" w:eastAsia="Helvetica Neue" w:hAnsi="Helvetica Neue" w:cs="Helvetica Neue"/>
          <w:color w:val="000000"/>
          <w:sz w:val="32"/>
          <w:szCs w:val="32"/>
        </w:rPr>
        <w:t>Access to justice</w:t>
      </w:r>
    </w:p>
    <w:p w:rsidR="00E3493E" w:rsidRDefault="00E3493E">
      <w:pPr>
        <w:ind w:left="-1276"/>
        <w:rPr>
          <w:color w:val="000000"/>
        </w:rPr>
      </w:pPr>
    </w:p>
    <w:p w:rsidR="00E3493E" w:rsidRDefault="001F4C85">
      <w:pPr>
        <w:pBdr>
          <w:top w:val="nil"/>
          <w:left w:val="nil"/>
          <w:bottom w:val="nil"/>
          <w:right w:val="nil"/>
          <w:between w:val="nil"/>
        </w:pBdr>
        <w:ind w:left="-1276"/>
        <w:rPr>
          <w:rFonts w:ascii="Helvetica Neue" w:eastAsia="Helvetica Neue" w:hAnsi="Helvetica Neue" w:cs="Helvetica Neue"/>
          <w:color w:val="000000"/>
        </w:rPr>
      </w:pPr>
      <w:r>
        <w:rPr>
          <w:rFonts w:ascii="Helvetica Neue" w:eastAsia="Helvetica Neue" w:hAnsi="Helvetica Neue" w:cs="Helvetica Neue"/>
          <w:color w:val="000000"/>
        </w:rPr>
        <w:t>Crime victim support</w:t>
      </w:r>
    </w:p>
    <w:p w:rsidR="00E3493E" w:rsidRDefault="001F4C85">
      <w:pPr>
        <w:ind w:left="-1276"/>
      </w:pPr>
      <w:r>
        <w:t xml:space="preserve">16. RFSL embraces Sweden’s new law on rape and that Sweden, in line with the CEDAW </w:t>
      </w:r>
      <w:r w:rsidR="00E2437F">
        <w:t>committee’s</w:t>
      </w:r>
      <w:r>
        <w:t xml:space="preserve"> recommendations have amend its Criminal Code to ensure that rape is defined on the basis of the lack of consent by the victim. This is a great step forward for all</w:t>
      </w:r>
      <w:r>
        <w:t xml:space="preserve"> people who experience rape and sexual assaults, regardless of sex or gender. </w:t>
      </w:r>
    </w:p>
    <w:p w:rsidR="00E3493E" w:rsidRDefault="00E3493E">
      <w:pPr>
        <w:ind w:left="-1276"/>
      </w:pPr>
    </w:p>
    <w:p w:rsidR="00E3493E" w:rsidRDefault="001F4C85">
      <w:pPr>
        <w:ind w:left="-1276"/>
        <w:rPr>
          <w:color w:val="000000"/>
        </w:rPr>
      </w:pPr>
      <w:r>
        <w:t xml:space="preserve">17. </w:t>
      </w:r>
      <w:r>
        <w:rPr>
          <w:color w:val="000000"/>
        </w:rPr>
        <w:t xml:space="preserve">The Inquiry concerning a stronger status and improved living conditions for trans </w:t>
      </w:r>
      <w:r>
        <w:rPr>
          <w:color w:val="000000"/>
        </w:rPr>
        <w:br/>
        <w:t>peopl</w:t>
      </w:r>
      <w:r>
        <w:t>e</w:t>
      </w:r>
      <w:r>
        <w:rPr>
          <w:vertAlign w:val="superscript"/>
        </w:rPr>
        <w:footnoteReference w:id="11"/>
      </w:r>
      <w:r>
        <w:rPr>
          <w:color w:val="000000"/>
        </w:rPr>
        <w:t xml:space="preserve"> investigated the situation for trans people of all genders, including non-binary </w:t>
      </w:r>
      <w:r>
        <w:rPr>
          <w:color w:val="000000"/>
        </w:rPr>
        <w:t>people and trans women, who are victims of crime. The report recommends the Swedish Government to implement a number of actions to ensure better and more appropriate support for trans people subjected to violence.</w:t>
      </w:r>
      <w:r>
        <w:t xml:space="preserve"> </w:t>
      </w:r>
      <w:r>
        <w:rPr>
          <w:color w:val="000000"/>
        </w:rPr>
        <w:t>The report states that trans people (of al</w:t>
      </w:r>
      <w:r>
        <w:rPr>
          <w:color w:val="000000"/>
        </w:rPr>
        <w:t>l genders, including trans women and non-binary people) are twice as likely to have been subjected to violence than the general population in Sweden. It showed that it is very common to have experienced both physical, psychological, and sexual violence. He</w:t>
      </w:r>
      <w:r>
        <w:rPr>
          <w:color w:val="000000"/>
        </w:rPr>
        <w:t xml:space="preserve">nce, this group needs extra support and attention. </w:t>
      </w:r>
    </w:p>
    <w:p w:rsidR="00E3493E" w:rsidRDefault="00E3493E">
      <w:pPr>
        <w:ind w:left="-1276"/>
        <w:rPr>
          <w:color w:val="000000"/>
        </w:rPr>
      </w:pPr>
    </w:p>
    <w:p w:rsidR="00E3493E" w:rsidRDefault="001F4C85">
      <w:pPr>
        <w:ind w:left="-1276"/>
        <w:rPr>
          <w:color w:val="000000"/>
        </w:rPr>
      </w:pPr>
      <w:r>
        <w:t xml:space="preserve">18. </w:t>
      </w:r>
      <w:r>
        <w:rPr>
          <w:color w:val="000000"/>
        </w:rPr>
        <w:t>Support mechanisms and shelters for victims of partner violence are usually tailored to women subjected to violence from a man they are or have been in a relationship with. Research also</w:t>
      </w:r>
      <w:r>
        <w:t xml:space="preserve"> </w:t>
      </w:r>
      <w:r>
        <w:rPr>
          <w:color w:val="000000"/>
        </w:rPr>
        <w:t>show that le</w:t>
      </w:r>
      <w:r>
        <w:rPr>
          <w:color w:val="000000"/>
        </w:rPr>
        <w:t>sbian and bisexual women in Sweden are experiencing more partner violence than heterosexual women</w:t>
      </w:r>
      <w:r>
        <w:t>.</w:t>
      </w:r>
      <w:r>
        <w:rPr>
          <w:vertAlign w:val="superscript"/>
        </w:rPr>
        <w:footnoteReference w:id="12"/>
      </w:r>
    </w:p>
    <w:p w:rsidR="00E3493E" w:rsidRDefault="00E3493E">
      <w:pPr>
        <w:ind w:left="-1276"/>
      </w:pPr>
    </w:p>
    <w:p w:rsidR="00E3493E" w:rsidRDefault="001F4C85">
      <w:pPr>
        <w:ind w:left="-1276"/>
      </w:pPr>
      <w:r>
        <w:t xml:space="preserve">19. </w:t>
      </w:r>
      <w:r>
        <w:rPr>
          <w:color w:val="000000"/>
        </w:rPr>
        <w:t>RFSL Support Service is the only service in the country specifically focusing on helping LGBTQ people subjected to violence, and has existed for 20 years now. The service still needs to apply for project funding annually and the level of funding for this s</w:t>
      </w:r>
      <w:r>
        <w:rPr>
          <w:color w:val="000000"/>
        </w:rPr>
        <w:t>ervice is insufficient to meet the needs within this group</w:t>
      </w:r>
      <w:r>
        <w:t>.</w:t>
      </w:r>
      <w:r>
        <w:rPr>
          <w:vertAlign w:val="superscript"/>
        </w:rPr>
        <w:footnoteReference w:id="13"/>
      </w:r>
      <w:r>
        <w:t xml:space="preserve"> In the last few years we have seen progress that some of the support services for young girls now explicitly support trans youth. However</w:t>
      </w:r>
      <w:r w:rsidR="00E2437F">
        <w:t>,</w:t>
      </w:r>
      <w:r>
        <w:t xml:space="preserve"> many of the shelters and support services for adult women</w:t>
      </w:r>
      <w:r>
        <w:t xml:space="preserve"> are still trans exclusionary. RFSL also welcomed the government’s intention to secure long term funding for women’s support shelters in the years to come. However</w:t>
      </w:r>
      <w:r w:rsidR="00E2437F">
        <w:t>,</w:t>
      </w:r>
      <w:r>
        <w:t xml:space="preserve"> it is still unclear if this also implies that funding for supporting LBTI women will be perm</w:t>
      </w:r>
      <w:r>
        <w:t xml:space="preserve">anent too or not. </w:t>
      </w:r>
    </w:p>
    <w:p w:rsidR="00E3493E" w:rsidRDefault="00E3493E">
      <w:pPr>
        <w:ind w:left="-1276"/>
      </w:pPr>
    </w:p>
    <w:p w:rsidR="00E3493E" w:rsidRDefault="001F4C85">
      <w:pPr>
        <w:ind w:left="-1276"/>
        <w:rPr>
          <w:b/>
          <w:color w:val="000000"/>
        </w:rPr>
      </w:pPr>
      <w:r>
        <w:rPr>
          <w:b/>
        </w:rPr>
        <w:t>Recommendation</w:t>
      </w:r>
    </w:p>
    <w:p w:rsidR="00E3493E" w:rsidRDefault="001F4C85">
      <w:pPr>
        <w:numPr>
          <w:ilvl w:val="0"/>
          <w:numId w:val="2"/>
        </w:numPr>
        <w:pBdr>
          <w:top w:val="single" w:sz="4" w:space="1" w:color="000000"/>
          <w:left w:val="single" w:sz="4" w:space="4" w:color="000000"/>
          <w:bottom w:val="single" w:sz="4" w:space="1" w:color="000000"/>
          <w:right w:val="single" w:sz="4" w:space="4" w:color="000000"/>
          <w:between w:val="nil"/>
        </w:pBdr>
        <w:rPr>
          <w:color w:val="000000"/>
        </w:rPr>
      </w:pPr>
      <w:r>
        <w:t>Take measures to e</w:t>
      </w:r>
      <w:r>
        <w:rPr>
          <w:color w:val="000000"/>
        </w:rPr>
        <w:t>nsure the implementation of an internal skills development program within the Police Authority with a LGBT</w:t>
      </w:r>
      <w:r>
        <w:t>I</w:t>
      </w:r>
      <w:r>
        <w:rPr>
          <w:color w:val="000000"/>
        </w:rPr>
        <w:t xml:space="preserve"> perspective, including a trans perspective</w:t>
      </w:r>
      <w:r>
        <w:t>.</w:t>
      </w:r>
    </w:p>
    <w:p w:rsidR="00E3493E" w:rsidRDefault="001F4C85">
      <w:pPr>
        <w:numPr>
          <w:ilvl w:val="0"/>
          <w:numId w:val="2"/>
        </w:numPr>
        <w:pBdr>
          <w:top w:val="single" w:sz="4" w:space="1" w:color="000000"/>
          <w:left w:val="single" w:sz="4" w:space="4" w:color="000000"/>
          <w:bottom w:val="single" w:sz="4" w:space="1" w:color="000000"/>
          <w:right w:val="single" w:sz="4" w:space="4" w:color="000000"/>
          <w:between w:val="nil"/>
        </w:pBdr>
        <w:rPr>
          <w:color w:val="000000"/>
        </w:rPr>
      </w:pPr>
      <w:r>
        <w:t>Take necessary action to make the</w:t>
      </w:r>
      <w:r>
        <w:rPr>
          <w:color w:val="000000"/>
        </w:rPr>
        <w:t xml:space="preserve"> Swedish Crime Sur</w:t>
      </w:r>
      <w:r>
        <w:rPr>
          <w:color w:val="000000"/>
        </w:rPr>
        <w:t>vey inclusive of trans people.</w:t>
      </w:r>
    </w:p>
    <w:p w:rsidR="00E3493E" w:rsidRDefault="001F4C85">
      <w:pPr>
        <w:numPr>
          <w:ilvl w:val="0"/>
          <w:numId w:val="2"/>
        </w:numPr>
        <w:pBdr>
          <w:top w:val="single" w:sz="4" w:space="1" w:color="000000"/>
          <w:left w:val="single" w:sz="4" w:space="4" w:color="000000"/>
          <w:bottom w:val="single" w:sz="4" w:space="1" w:color="000000"/>
          <w:right w:val="single" w:sz="4" w:space="4" w:color="000000"/>
          <w:between w:val="nil"/>
        </w:pBdr>
        <w:rPr>
          <w:color w:val="000000"/>
        </w:rPr>
      </w:pPr>
      <w:r>
        <w:t>S</w:t>
      </w:r>
      <w:r>
        <w:rPr>
          <w:color w:val="000000"/>
        </w:rPr>
        <w:t>ecure long-term funding to civil society organizations providing crime victim support for LBT</w:t>
      </w:r>
      <w:r>
        <w:t>I</w:t>
      </w:r>
      <w:r>
        <w:rPr>
          <w:color w:val="000000"/>
        </w:rPr>
        <w:t xml:space="preserve"> women and non-binary people</w:t>
      </w:r>
      <w:r>
        <w:t>.</w:t>
      </w:r>
    </w:p>
    <w:p w:rsidR="00E3493E" w:rsidRDefault="00E3493E">
      <w:pPr>
        <w:keepNext/>
        <w:pBdr>
          <w:top w:val="nil"/>
          <w:left w:val="nil"/>
          <w:bottom w:val="nil"/>
          <w:right w:val="nil"/>
          <w:between w:val="nil"/>
        </w:pBdr>
        <w:tabs>
          <w:tab w:val="left" w:pos="142"/>
          <w:tab w:val="left" w:pos="142"/>
        </w:tabs>
        <w:ind w:left="-1276" w:hanging="1276"/>
        <w:rPr>
          <w:rFonts w:ascii="Helvetica Neue" w:eastAsia="Helvetica Neue" w:hAnsi="Helvetica Neue" w:cs="Helvetica Neue"/>
          <w:color w:val="000000"/>
          <w:sz w:val="32"/>
          <w:szCs w:val="32"/>
        </w:rPr>
      </w:pPr>
    </w:p>
    <w:p w:rsidR="00E3493E" w:rsidRDefault="001F4C85">
      <w:pPr>
        <w:keepNext/>
        <w:pBdr>
          <w:top w:val="nil"/>
          <w:left w:val="nil"/>
          <w:bottom w:val="nil"/>
          <w:right w:val="nil"/>
          <w:between w:val="nil"/>
        </w:pBdr>
        <w:tabs>
          <w:tab w:val="left" w:pos="142"/>
          <w:tab w:val="left" w:pos="142"/>
        </w:tabs>
        <w:ind w:left="-1276"/>
        <w:rPr>
          <w:rFonts w:ascii="Helvetica Neue" w:eastAsia="Helvetica Neue" w:hAnsi="Helvetica Neue" w:cs="Helvetica Neue"/>
          <w:sz w:val="32"/>
          <w:szCs w:val="32"/>
        </w:rPr>
      </w:pPr>
      <w:r>
        <w:rPr>
          <w:rFonts w:ascii="Helvetica Neue" w:eastAsia="Helvetica Neue" w:hAnsi="Helvetica Neue" w:cs="Helvetica Neue"/>
          <w:sz w:val="32"/>
          <w:szCs w:val="32"/>
        </w:rPr>
        <w:t>National human rights institution</w:t>
      </w:r>
    </w:p>
    <w:p w:rsidR="00E3493E" w:rsidRDefault="00E3493E">
      <w:pPr>
        <w:ind w:left="-1276"/>
      </w:pPr>
    </w:p>
    <w:p w:rsidR="00E3493E" w:rsidRDefault="001F4C85">
      <w:pPr>
        <w:ind w:left="-1276"/>
        <w:rPr>
          <w:rFonts w:ascii="Helvetica Neue" w:eastAsia="Helvetica Neue" w:hAnsi="Helvetica Neue" w:cs="Helvetica Neue"/>
          <w:sz w:val="32"/>
          <w:szCs w:val="32"/>
        </w:rPr>
      </w:pPr>
      <w:r>
        <w:t xml:space="preserve">20. RFSL appreciates that the Swedish parliament has decided to establish an independent national institution for human rights. It is needed both to live up to the Paris Principles, but also to safeguard the national work on human rights. </w:t>
      </w:r>
    </w:p>
    <w:p w:rsidR="00E3493E" w:rsidRDefault="00E3493E">
      <w:pPr>
        <w:keepNext/>
        <w:pBdr>
          <w:top w:val="nil"/>
          <w:left w:val="nil"/>
          <w:bottom w:val="nil"/>
          <w:right w:val="nil"/>
          <w:between w:val="nil"/>
        </w:pBdr>
        <w:tabs>
          <w:tab w:val="left" w:pos="142"/>
          <w:tab w:val="left" w:pos="142"/>
        </w:tabs>
        <w:ind w:left="-1276"/>
        <w:rPr>
          <w:rFonts w:ascii="Helvetica Neue" w:eastAsia="Helvetica Neue" w:hAnsi="Helvetica Neue" w:cs="Helvetica Neue"/>
          <w:sz w:val="32"/>
          <w:szCs w:val="32"/>
        </w:rPr>
      </w:pPr>
    </w:p>
    <w:p w:rsidR="00E3493E" w:rsidRDefault="001F4C85">
      <w:pPr>
        <w:keepNext/>
        <w:pBdr>
          <w:top w:val="nil"/>
          <w:left w:val="nil"/>
          <w:bottom w:val="nil"/>
          <w:right w:val="nil"/>
          <w:between w:val="nil"/>
        </w:pBdr>
        <w:tabs>
          <w:tab w:val="left" w:pos="142"/>
          <w:tab w:val="left" w:pos="142"/>
        </w:tabs>
        <w:ind w:left="-1276"/>
        <w:rPr>
          <w:rFonts w:ascii="Helvetica Neue" w:eastAsia="Helvetica Neue" w:hAnsi="Helvetica Neue" w:cs="Helvetica Neue"/>
          <w:b/>
          <w:color w:val="000000"/>
          <w:sz w:val="32"/>
          <w:szCs w:val="32"/>
        </w:rPr>
      </w:pPr>
      <w:r>
        <w:rPr>
          <w:rFonts w:ascii="Helvetica Neue" w:eastAsia="Helvetica Neue" w:hAnsi="Helvetica Neue" w:cs="Helvetica Neue"/>
          <w:color w:val="000000"/>
          <w:sz w:val="32"/>
          <w:szCs w:val="32"/>
        </w:rPr>
        <w:t>Stereotypes and</w:t>
      </w:r>
      <w:r>
        <w:rPr>
          <w:rFonts w:ascii="Helvetica Neue" w:eastAsia="Helvetica Neue" w:hAnsi="Helvetica Neue" w:cs="Helvetica Neue"/>
          <w:color w:val="000000"/>
          <w:sz w:val="32"/>
          <w:szCs w:val="32"/>
        </w:rPr>
        <w:t xml:space="preserve"> harmful practices</w:t>
      </w:r>
    </w:p>
    <w:p w:rsidR="00E3493E" w:rsidRDefault="00E3493E">
      <w:pPr>
        <w:ind w:left="-1276"/>
      </w:pPr>
    </w:p>
    <w:p w:rsidR="00E3493E" w:rsidRDefault="001F4C85">
      <w:pPr>
        <w:pBdr>
          <w:top w:val="nil"/>
          <w:left w:val="nil"/>
          <w:bottom w:val="nil"/>
          <w:right w:val="nil"/>
          <w:between w:val="nil"/>
        </w:pBdr>
        <w:ind w:left="-1276"/>
        <w:rPr>
          <w:rFonts w:ascii="Helvetica Neue" w:eastAsia="Helvetica Neue" w:hAnsi="Helvetica Neue" w:cs="Helvetica Neue"/>
          <w:color w:val="000000"/>
        </w:rPr>
      </w:pPr>
      <w:r>
        <w:rPr>
          <w:rFonts w:ascii="Helvetica Neue" w:eastAsia="Helvetica Neue" w:hAnsi="Helvetica Neue" w:cs="Helvetica Neue"/>
          <w:color w:val="000000"/>
        </w:rPr>
        <w:t>“Normalizing” surgeries on intersex children</w:t>
      </w:r>
    </w:p>
    <w:p w:rsidR="00E3493E" w:rsidRDefault="001F4C85">
      <w:pPr>
        <w:ind w:left="-1276"/>
        <w:rPr>
          <w:color w:val="000000"/>
        </w:rPr>
      </w:pPr>
      <w:r>
        <w:t xml:space="preserve">21. </w:t>
      </w:r>
      <w:r>
        <w:rPr>
          <w:color w:val="000000"/>
        </w:rPr>
        <w:t xml:space="preserve">Sweden still perform sex “normalizing” surgeries on children born with different intersex traits. The largest group subjected to this harmful treatment today in Sweden are children who are assigned a female legal gender, born with </w:t>
      </w:r>
      <w:proofErr w:type="gramStart"/>
      <w:r>
        <w:rPr>
          <w:color w:val="000000"/>
        </w:rPr>
        <w:t>46,XX</w:t>
      </w:r>
      <w:proofErr w:type="gramEnd"/>
      <w:r>
        <w:rPr>
          <w:color w:val="000000"/>
        </w:rPr>
        <w:t>-karyotype and “masc</w:t>
      </w:r>
      <w:r>
        <w:rPr>
          <w:color w:val="000000"/>
        </w:rPr>
        <w:t>ulinized” external genitalia, for example children born with CAH</w:t>
      </w:r>
      <w:r>
        <w:t>.</w:t>
      </w:r>
      <w:r>
        <w:rPr>
          <w:vertAlign w:val="superscript"/>
        </w:rPr>
        <w:footnoteReference w:id="14"/>
      </w:r>
      <w:r>
        <w:t xml:space="preserve"> </w:t>
      </w:r>
      <w:r>
        <w:rPr>
          <w:color w:val="000000"/>
        </w:rPr>
        <w:t xml:space="preserve">There is no data on how many children are subjected to this every year, which is in itself very problematic. </w:t>
      </w:r>
    </w:p>
    <w:p w:rsidR="00E3493E" w:rsidRDefault="00E3493E">
      <w:pPr>
        <w:ind w:left="-1276"/>
        <w:rPr>
          <w:color w:val="000000"/>
        </w:rPr>
      </w:pPr>
    </w:p>
    <w:p w:rsidR="00E3493E" w:rsidRDefault="001F4C85">
      <w:pPr>
        <w:ind w:left="-1276"/>
        <w:rPr>
          <w:color w:val="000000"/>
        </w:rPr>
      </w:pPr>
      <w:r>
        <w:t>22. Already i</w:t>
      </w:r>
      <w:r>
        <w:rPr>
          <w:color w:val="000000"/>
        </w:rPr>
        <w:t>n 2013</w:t>
      </w:r>
      <w:r w:rsidR="00E2437F">
        <w:rPr>
          <w:color w:val="000000"/>
        </w:rPr>
        <w:t>,</w:t>
      </w:r>
      <w:r>
        <w:rPr>
          <w:color w:val="000000"/>
        </w:rPr>
        <w:t xml:space="preserve"> the Report of the Special Rapporteur on torture and other </w:t>
      </w:r>
      <w:r>
        <w:rPr>
          <w:color w:val="000000"/>
        </w:rPr>
        <w:t>cruel, inhuman or degrading treatment or punishment, Juan E. Méndez, called upon all states to repeal any law allowing intrusive and irreversible treatments, including forced genital-normalizing surgery when enforced or administered without the free and in</w:t>
      </w:r>
      <w:r>
        <w:rPr>
          <w:color w:val="000000"/>
        </w:rPr>
        <w:t>formed consent of the person concerned</w:t>
      </w:r>
      <w:r>
        <w:t>.</w:t>
      </w:r>
      <w:r>
        <w:rPr>
          <w:vertAlign w:val="superscript"/>
        </w:rPr>
        <w:footnoteReference w:id="15"/>
      </w:r>
    </w:p>
    <w:p w:rsidR="00E3493E" w:rsidRDefault="00E3493E">
      <w:pPr>
        <w:ind w:left="-1276"/>
        <w:rPr>
          <w:color w:val="000000"/>
        </w:rPr>
      </w:pPr>
    </w:p>
    <w:p w:rsidR="00E3493E" w:rsidRDefault="001F4C85">
      <w:pPr>
        <w:ind w:left="-1276"/>
        <w:rPr>
          <w:color w:val="000000"/>
        </w:rPr>
      </w:pPr>
      <w:r>
        <w:t xml:space="preserve">23. </w:t>
      </w:r>
      <w:r>
        <w:rPr>
          <w:color w:val="000000"/>
        </w:rPr>
        <w:t xml:space="preserve">A report from the Swedish Social Board for Health and Welfare about medical care for children born with intersex traits showed that surgeries are often carried out very early in the child’s life (3-12 months), </w:t>
      </w:r>
      <w:r>
        <w:rPr>
          <w:color w:val="000000"/>
        </w:rPr>
        <w:t>long before the child is old enough to give their consent. The different Swedish medical teams working with intersex children also have different views and praxis on when and if surgeries should take place, resulting in unequal care depending on where in t</w:t>
      </w:r>
      <w:r>
        <w:rPr>
          <w:color w:val="000000"/>
        </w:rPr>
        <w:t>he country you are born. The view of the parents, and the parents’ ability to provide emotional support for the child if genital surgery is not performed, are strictly non-medical factors considered when making the decision about surgery</w:t>
      </w:r>
      <w:r>
        <w:t>.</w:t>
      </w:r>
      <w:r>
        <w:rPr>
          <w:vertAlign w:val="superscript"/>
        </w:rPr>
        <w:footnoteReference w:id="16"/>
      </w:r>
    </w:p>
    <w:p w:rsidR="00E3493E" w:rsidRDefault="00E3493E">
      <w:pPr>
        <w:ind w:left="-1276"/>
        <w:rPr>
          <w:color w:val="000000"/>
        </w:rPr>
      </w:pPr>
    </w:p>
    <w:p w:rsidR="00E3493E" w:rsidRDefault="001F4C85">
      <w:pPr>
        <w:ind w:left="-1276"/>
        <w:rPr>
          <w:color w:val="000000"/>
        </w:rPr>
      </w:pPr>
      <w:r>
        <w:t xml:space="preserve">24. </w:t>
      </w:r>
      <w:r>
        <w:rPr>
          <w:color w:val="000000"/>
        </w:rPr>
        <w:t>In 2017 The</w:t>
      </w:r>
      <w:r>
        <w:rPr>
          <w:color w:val="000000"/>
        </w:rPr>
        <w:t xml:space="preserve"> Swedish National Council on Medical Ethics published a comment on medical care for intersex children, where they emphasize that early surgical interventions should only be done when they are medically motivated, and that surgeries with the sole purpose to</w:t>
      </w:r>
      <w:r>
        <w:rPr>
          <w:color w:val="000000"/>
        </w:rPr>
        <w:t xml:space="preserve"> “normalize” a child’s genitalia should not be performed until the child is old enough to consent and be part of the decision. The comment highlights that it’s very important to protect the child’s right to bodily integrit</w:t>
      </w:r>
      <w:r>
        <w:t>y.</w:t>
      </w:r>
      <w:r>
        <w:rPr>
          <w:vertAlign w:val="superscript"/>
        </w:rPr>
        <w:footnoteReference w:id="17"/>
      </w:r>
      <w:r>
        <w:rPr>
          <w:color w:val="000000"/>
        </w:rPr>
        <w:t xml:space="preserve"> </w:t>
      </w:r>
    </w:p>
    <w:p w:rsidR="00E3493E" w:rsidRDefault="00E3493E">
      <w:pPr>
        <w:ind w:left="-1276"/>
        <w:rPr>
          <w:color w:val="000000"/>
        </w:rPr>
      </w:pPr>
    </w:p>
    <w:p w:rsidR="00E3493E" w:rsidRDefault="001F4C85">
      <w:pPr>
        <w:ind w:left="-1276"/>
        <w:rPr>
          <w:color w:val="000000"/>
        </w:rPr>
      </w:pPr>
      <w:r>
        <w:lastRenderedPageBreak/>
        <w:t>25. In 2020 the Swedish Soci</w:t>
      </w:r>
      <w:r>
        <w:t>al Board for Health and Welfare published new guidelines</w:t>
      </w:r>
      <w:r>
        <w:rPr>
          <w:vertAlign w:val="superscript"/>
        </w:rPr>
        <w:footnoteReference w:id="18"/>
      </w:r>
      <w:r>
        <w:t xml:space="preserve"> for the care of new</w:t>
      </w:r>
      <w:r>
        <w:t>borns with intersex traits. In these guidelines they do not defer all early cosmetic surgeries, they only advise against performing them and say they can still be done in exemp</w:t>
      </w:r>
      <w:r>
        <w:t>tion. Hence</w:t>
      </w:r>
      <w:r>
        <w:rPr>
          <w:color w:val="000000"/>
        </w:rPr>
        <w:t>, these practices continue and there is no prohibition of subjecting children to these medically unnecessary treatments. Sex “normalizing” surgeries on intersex children are harmful and statutes examples of cruel, inhumane and degrading treatmen</w:t>
      </w:r>
      <w:r>
        <w:rPr>
          <w:color w:val="000000"/>
        </w:rPr>
        <w:t xml:space="preserve">t. </w:t>
      </w:r>
    </w:p>
    <w:p w:rsidR="00E3493E" w:rsidRDefault="00E3493E">
      <w:pPr>
        <w:ind w:left="-1276"/>
        <w:rPr>
          <w:color w:val="000000"/>
        </w:rPr>
      </w:pPr>
    </w:p>
    <w:p w:rsidR="00E3493E" w:rsidRDefault="001F4C85">
      <w:pPr>
        <w:ind w:left="-1276"/>
        <w:rPr>
          <w:b/>
          <w:color w:val="000000"/>
        </w:rPr>
      </w:pPr>
      <w:r>
        <w:rPr>
          <w:b/>
        </w:rPr>
        <w:t>Recommendation</w:t>
      </w:r>
    </w:p>
    <w:p w:rsidR="00E3493E" w:rsidRDefault="001F4C85">
      <w:pPr>
        <w:pBdr>
          <w:top w:val="single" w:sz="4" w:space="1" w:color="000000"/>
          <w:left w:val="single" w:sz="4" w:space="4" w:color="000000"/>
          <w:bottom w:val="single" w:sz="4" w:space="1" w:color="000000"/>
          <w:right w:val="single" w:sz="4" w:space="4" w:color="000000"/>
        </w:pBdr>
        <w:tabs>
          <w:tab w:val="left" w:pos="3686"/>
        </w:tabs>
        <w:ind w:left="-1276"/>
        <w:rPr>
          <w:color w:val="000000"/>
        </w:rPr>
      </w:pPr>
      <w:r>
        <w:t xml:space="preserve">Take </w:t>
      </w:r>
      <w:r>
        <w:rPr>
          <w:color w:val="000000"/>
        </w:rPr>
        <w:t>measures taken or planned to adopt legislative provisions that explicitly prohibit the performance of unnecessary surgical or other medical procedures on intersex children before they reach an age when they can consent, and to train medical and psychologic</w:t>
      </w:r>
      <w:r>
        <w:rPr>
          <w:color w:val="000000"/>
        </w:rPr>
        <w:t>al professionals on the rights of intersex persons.</w:t>
      </w:r>
    </w:p>
    <w:p w:rsidR="00E3493E" w:rsidRDefault="00E3493E">
      <w:pPr>
        <w:pBdr>
          <w:top w:val="nil"/>
          <w:left w:val="nil"/>
          <w:bottom w:val="nil"/>
          <w:right w:val="nil"/>
          <w:between w:val="nil"/>
        </w:pBdr>
        <w:ind w:left="-1276" w:hanging="1276"/>
        <w:rPr>
          <w:rFonts w:ascii="Helvetica Neue" w:eastAsia="Helvetica Neue" w:hAnsi="Helvetica Neue" w:cs="Helvetica Neue"/>
          <w:color w:val="000000"/>
        </w:rPr>
      </w:pPr>
    </w:p>
    <w:p w:rsidR="00E3493E" w:rsidRDefault="00E3493E">
      <w:pPr>
        <w:ind w:left="-1276"/>
        <w:rPr>
          <w:color w:val="000000"/>
        </w:rPr>
      </w:pPr>
    </w:p>
    <w:p w:rsidR="00E3493E" w:rsidRDefault="00E3493E">
      <w:pPr>
        <w:ind w:left="-1276"/>
        <w:rPr>
          <w:color w:val="000000"/>
        </w:rPr>
      </w:pPr>
    </w:p>
    <w:p w:rsidR="00E3493E" w:rsidRDefault="00E3493E">
      <w:pPr>
        <w:ind w:left="-1276"/>
      </w:pPr>
    </w:p>
    <w:sectPr w:rsidR="00E3493E">
      <w:headerReference w:type="default" r:id="rId8"/>
      <w:headerReference w:type="first" r:id="rId9"/>
      <w:footerReference w:type="first" r:id="rId10"/>
      <w:pgSz w:w="11906" w:h="16838"/>
      <w:pgMar w:top="2552" w:right="851" w:bottom="1418" w:left="3686" w:header="907" w:footer="13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4C85" w:rsidRDefault="001F4C85">
      <w:r>
        <w:separator/>
      </w:r>
    </w:p>
  </w:endnote>
  <w:endnote w:type="continuationSeparator" w:id="0">
    <w:p w:rsidR="001F4C85" w:rsidRDefault="001F4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Futura">
    <w:panose1 w:val="020B0602020204020303"/>
    <w:charset w:val="00"/>
    <w:family w:val="swiss"/>
    <w:pitch w:val="variable"/>
    <w:sig w:usb0="A00002AF" w:usb1="5000214A"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Georgia">
    <w:altName w:val="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93E" w:rsidRDefault="00E3493E">
    <w:pPr>
      <w:ind w:left="1985"/>
      <w:rPr>
        <w:rFonts w:ascii="Helvetica Neue" w:eastAsia="Helvetica Neue" w:hAnsi="Helvetica Neue" w:cs="Helvetica Neue"/>
        <w:sz w:val="6"/>
        <w:szCs w:val="6"/>
      </w:rPr>
    </w:pPr>
  </w:p>
  <w:p w:rsidR="00E3493E" w:rsidRDefault="001F4C85">
    <w:pPr>
      <w:ind w:left="2694"/>
      <w:rPr>
        <w:rFonts w:ascii="Helvetica Neue" w:eastAsia="Helvetica Neue" w:hAnsi="Helvetica Neue" w:cs="Helvetica Neue"/>
        <w:i/>
        <w:sz w:val="2"/>
        <w:szCs w:val="2"/>
      </w:rPr>
    </w:pPr>
    <w:r>
      <w:rPr>
        <w:noProof/>
      </w:rPr>
      <mc:AlternateContent>
        <mc:Choice Requires="wpg">
          <w:drawing>
            <wp:anchor distT="4294967295" distB="4294967295" distL="114300" distR="114300" simplePos="0" relativeHeight="251660288" behindDoc="0" locked="0" layoutInCell="1" hidden="0" allowOverlap="1">
              <wp:simplePos x="0" y="0"/>
              <wp:positionH relativeFrom="column">
                <wp:posOffset>-800099</wp:posOffset>
              </wp:positionH>
              <wp:positionV relativeFrom="paragraph">
                <wp:posOffset>5096</wp:posOffset>
              </wp:positionV>
              <wp:extent cx="6070600" cy="25400"/>
              <wp:effectExtent l="0" t="0" r="0" b="0"/>
              <wp:wrapNone/>
              <wp:docPr id="10" name="Straight Arrow Connector 10"/>
              <wp:cNvGraphicFramePr/>
              <a:graphic xmlns:a="http://schemas.openxmlformats.org/drawingml/2006/main">
                <a:graphicData uri="http://schemas.microsoft.com/office/word/2010/wordprocessingShape">
                  <wps:wsp>
                    <wps:cNvCnPr/>
                    <wps:spPr>
                      <a:xfrm>
                        <a:off x="2317050" y="3780000"/>
                        <a:ext cx="6057900" cy="0"/>
                      </a:xfrm>
                      <a:prstGeom prst="straightConnector1">
                        <a:avLst/>
                      </a:prstGeom>
                      <a:noFill/>
                      <a:ln w="12700" cap="flat" cmpd="sng">
                        <a:solidFill>
                          <a:srgbClr val="000000"/>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5" distT="4294967295" distL="114300" distR="114300" hidden="0" layoutInCell="1" locked="0" relativeHeight="0" simplePos="0">
              <wp:simplePos x="0" y="0"/>
              <wp:positionH relativeFrom="column">
                <wp:posOffset>-800099</wp:posOffset>
              </wp:positionH>
              <wp:positionV relativeFrom="paragraph">
                <wp:posOffset>5096</wp:posOffset>
              </wp:positionV>
              <wp:extent cx="6070600" cy="25400"/>
              <wp:effectExtent b="0" l="0" r="0" t="0"/>
              <wp:wrapNone/>
              <wp:docPr id="10"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6070600" cy="25400"/>
                      </a:xfrm>
                      <a:prstGeom prst="rect"/>
                      <a:ln/>
                    </pic:spPr>
                  </pic:pic>
                </a:graphicData>
              </a:graphic>
            </wp:anchor>
          </w:drawing>
        </mc:Fallback>
      </mc:AlternateContent>
    </w:r>
  </w:p>
  <w:p w:rsidR="00E3493E" w:rsidRDefault="00E3493E">
    <w:pPr>
      <w:rPr>
        <w:rFonts w:ascii="Helvetica Neue" w:eastAsia="Helvetica Neue" w:hAnsi="Helvetica Neue" w:cs="Helvetica Neue"/>
        <w:i/>
        <w:sz w:val="12"/>
        <w:szCs w:val="12"/>
      </w:rPr>
    </w:pPr>
  </w:p>
  <w:p w:rsidR="00E3493E" w:rsidRPr="007766A6" w:rsidRDefault="001F4C85">
    <w:pPr>
      <w:ind w:left="-1276"/>
      <w:rPr>
        <w:rFonts w:ascii="Helvetica Neue" w:eastAsia="Helvetica Neue" w:hAnsi="Helvetica Neue" w:cs="Helvetica Neue"/>
        <w:i/>
        <w:color w:val="595959"/>
        <w:sz w:val="18"/>
        <w:szCs w:val="18"/>
        <w:lang w:val="sv-SE"/>
      </w:rPr>
    </w:pPr>
    <w:r w:rsidRPr="007766A6">
      <w:rPr>
        <w:rFonts w:ascii="Helvetica Neue" w:eastAsia="Helvetica Neue" w:hAnsi="Helvetica Neue" w:cs="Helvetica Neue"/>
        <w:i/>
        <w:color w:val="595959"/>
        <w:sz w:val="18"/>
        <w:szCs w:val="18"/>
        <w:lang w:val="sv-SE"/>
      </w:rPr>
      <w:t xml:space="preserve">Riksförbundet för homosexuellas, bisexuellas, transpersoners, queeras och </w:t>
    </w:r>
    <w:proofErr w:type="spellStart"/>
    <w:r w:rsidRPr="007766A6">
      <w:rPr>
        <w:rFonts w:ascii="Helvetica Neue" w:eastAsia="Helvetica Neue" w:hAnsi="Helvetica Neue" w:cs="Helvetica Neue"/>
        <w:i/>
        <w:color w:val="595959"/>
        <w:sz w:val="18"/>
        <w:szCs w:val="18"/>
        <w:lang w:val="sv-SE"/>
      </w:rPr>
      <w:t>intersexpersoners</w:t>
    </w:r>
    <w:proofErr w:type="spellEnd"/>
    <w:r w:rsidRPr="007766A6">
      <w:rPr>
        <w:rFonts w:ascii="Helvetica Neue" w:eastAsia="Helvetica Neue" w:hAnsi="Helvetica Neue" w:cs="Helvetica Neue"/>
        <w:i/>
        <w:color w:val="595959"/>
        <w:sz w:val="18"/>
        <w:szCs w:val="18"/>
        <w:lang w:val="sv-SE"/>
      </w:rPr>
      <w:t xml:space="preserve"> rättigheter</w:t>
    </w:r>
  </w:p>
  <w:p w:rsidR="00E3493E" w:rsidRDefault="001F4C85">
    <w:pPr>
      <w:ind w:left="-1276"/>
      <w:rPr>
        <w:rFonts w:ascii="Helvetica Neue" w:eastAsia="Helvetica Neue" w:hAnsi="Helvetica Neue" w:cs="Helvetica Neue"/>
        <w:i/>
        <w:color w:val="595959"/>
        <w:sz w:val="18"/>
        <w:szCs w:val="18"/>
      </w:rPr>
    </w:pPr>
    <w:r>
      <w:rPr>
        <w:rFonts w:ascii="Helvetica Neue" w:eastAsia="Helvetica Neue" w:hAnsi="Helvetica Neue" w:cs="Helvetica Neue"/>
        <w:i/>
        <w:color w:val="595959"/>
        <w:sz w:val="18"/>
        <w:szCs w:val="18"/>
      </w:rPr>
      <w:t>The Swedish federation for Lesbian, Gay, Bisexual, Transgender, Queer and Intersex Rights</w:t>
    </w:r>
  </w:p>
  <w:p w:rsidR="00E3493E" w:rsidRDefault="00E3493E">
    <w:pPr>
      <w:ind w:left="-1276"/>
      <w:rPr>
        <w:rFonts w:ascii="Helvetica Neue" w:eastAsia="Helvetica Neue" w:hAnsi="Helvetica Neue" w:cs="Helvetica Neue"/>
        <w:color w:val="595959"/>
        <w:sz w:val="18"/>
        <w:szCs w:val="18"/>
      </w:rPr>
    </w:pPr>
  </w:p>
  <w:p w:rsidR="00E3493E" w:rsidRDefault="001F4C85">
    <w:pPr>
      <w:ind w:left="-1276"/>
      <w:rPr>
        <w:rFonts w:ascii="Helvetica Neue" w:eastAsia="Helvetica Neue" w:hAnsi="Helvetica Neue" w:cs="Helvetica Neue"/>
        <w:color w:val="595959"/>
        <w:sz w:val="18"/>
        <w:szCs w:val="18"/>
      </w:rPr>
    </w:pPr>
    <w:r>
      <w:rPr>
        <w:rFonts w:ascii="Helvetica Neue" w:eastAsia="Helvetica Neue" w:hAnsi="Helvetica Neue" w:cs="Helvetica Neue"/>
        <w:color w:val="595959"/>
        <w:sz w:val="18"/>
        <w:szCs w:val="18"/>
      </w:rPr>
      <w:t>Address: Box 350, SE-101 26 Stockholm, Sweden</w:t>
    </w:r>
  </w:p>
  <w:p w:rsidR="00E3493E" w:rsidRDefault="001F4C85">
    <w:pPr>
      <w:ind w:left="-1276"/>
      <w:rPr>
        <w:rFonts w:ascii="Helvetica Neue" w:eastAsia="Helvetica Neue" w:hAnsi="Helvetica Neue" w:cs="Helvetica Neue"/>
        <w:color w:val="595959"/>
        <w:sz w:val="18"/>
        <w:szCs w:val="18"/>
      </w:rPr>
    </w:pPr>
    <w:r>
      <w:rPr>
        <w:rFonts w:ascii="Helvetica Neue" w:eastAsia="Helvetica Neue" w:hAnsi="Helvetica Neue" w:cs="Helvetica Neue"/>
        <w:color w:val="595959"/>
        <w:sz w:val="18"/>
        <w:szCs w:val="18"/>
      </w:rPr>
      <w:t>Contact for this submission: Cal Orre, cal.orre@rfsl.se, +46-723004077</w:t>
    </w:r>
  </w:p>
  <w:p w:rsidR="00E3493E" w:rsidRDefault="001F4C85">
    <w:pPr>
      <w:ind w:left="-1276"/>
      <w:rPr>
        <w:rFonts w:ascii="Helvetica Neue" w:eastAsia="Helvetica Neue" w:hAnsi="Helvetica Neue" w:cs="Helvetica Neue"/>
        <w:color w:val="595959"/>
        <w:sz w:val="18"/>
        <w:szCs w:val="18"/>
      </w:rPr>
    </w:pPr>
    <w:r>
      <w:rPr>
        <w:rFonts w:ascii="Helvetica Neue" w:eastAsia="Helvetica Neue" w:hAnsi="Helvetica Neue" w:cs="Helvetica Neue"/>
        <w:color w:val="595959"/>
        <w:sz w:val="18"/>
        <w:szCs w:val="18"/>
      </w:rPr>
      <w:t>www.rfsl.se</w:t>
    </w:r>
  </w:p>
  <w:p w:rsidR="00E3493E" w:rsidRDefault="00E3493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4C85" w:rsidRDefault="001F4C85">
      <w:r>
        <w:separator/>
      </w:r>
    </w:p>
  </w:footnote>
  <w:footnote w:type="continuationSeparator" w:id="0">
    <w:p w:rsidR="001F4C85" w:rsidRDefault="001F4C85">
      <w:r>
        <w:continuationSeparator/>
      </w:r>
    </w:p>
  </w:footnote>
  <w:footnote w:id="1">
    <w:p w:rsidR="00E3493E" w:rsidRDefault="001F4C85">
      <w:pPr>
        <w:rPr>
          <w:sz w:val="20"/>
          <w:szCs w:val="20"/>
        </w:rPr>
      </w:pPr>
      <w:r>
        <w:rPr>
          <w:vertAlign w:val="superscript"/>
        </w:rPr>
        <w:footnoteRef/>
      </w:r>
      <w:r>
        <w:rPr>
          <w:sz w:val="20"/>
          <w:szCs w:val="20"/>
        </w:rPr>
        <w:t xml:space="preserve"> </w:t>
      </w:r>
      <w:r>
        <w:rPr>
          <w:sz w:val="18"/>
          <w:szCs w:val="18"/>
        </w:rPr>
        <w:t xml:space="preserve"> CEDAW/C/SWE/CO/8-9/Add.1</w:t>
      </w:r>
    </w:p>
  </w:footnote>
  <w:footnote w:id="2">
    <w:p w:rsidR="00E3493E" w:rsidRDefault="001F4C85">
      <w:pPr>
        <w:rPr>
          <w:sz w:val="20"/>
          <w:szCs w:val="20"/>
        </w:rPr>
      </w:pPr>
      <w:r>
        <w:rPr>
          <w:vertAlign w:val="superscript"/>
        </w:rPr>
        <w:footnoteRef/>
      </w:r>
      <w:r>
        <w:rPr>
          <w:sz w:val="20"/>
          <w:szCs w:val="20"/>
        </w:rPr>
        <w:t>https://www.migrationsverket.se/English/About-the-Migration-Agency/For-press/News-archive/News-archive-2021/2021-07-21-The-Swedish-Migration-Agency-is-now-starting-to-apply-the-new-rules-of-the-Aliens-Ac</w:t>
      </w:r>
      <w:r>
        <w:rPr>
          <w:sz w:val="20"/>
          <w:szCs w:val="20"/>
        </w:rPr>
        <w:t>t.html</w:t>
      </w:r>
    </w:p>
  </w:footnote>
  <w:footnote w:id="3">
    <w:p w:rsidR="00E3493E" w:rsidRPr="007766A6" w:rsidRDefault="001F4C85">
      <w:pPr>
        <w:rPr>
          <w:sz w:val="20"/>
          <w:szCs w:val="20"/>
          <w:lang w:val="sv-SE"/>
        </w:rPr>
      </w:pPr>
      <w:r>
        <w:rPr>
          <w:vertAlign w:val="superscript"/>
        </w:rPr>
        <w:footnoteRef/>
      </w:r>
      <w:r w:rsidRPr="007766A6">
        <w:rPr>
          <w:sz w:val="20"/>
          <w:szCs w:val="20"/>
          <w:lang w:val="sv-SE"/>
        </w:rPr>
        <w:t xml:space="preserve"> </w:t>
      </w:r>
      <w:hyperlink r:id="rId1">
        <w:r w:rsidRPr="007766A6">
          <w:rPr>
            <w:color w:val="1155CC"/>
            <w:sz w:val="20"/>
            <w:szCs w:val="20"/>
            <w:u w:val="single"/>
            <w:lang w:val="sv-SE"/>
          </w:rPr>
          <w:t xml:space="preserve">Avslagsmotiveringar i </w:t>
        </w:r>
        <w:proofErr w:type="spellStart"/>
        <w:r w:rsidRPr="007766A6">
          <w:rPr>
            <w:color w:val="1155CC"/>
            <w:sz w:val="20"/>
            <w:szCs w:val="20"/>
            <w:u w:val="single"/>
            <w:lang w:val="sv-SE"/>
          </w:rPr>
          <w:t>hbtqi</w:t>
        </w:r>
        <w:proofErr w:type="spellEnd"/>
        <w:r w:rsidRPr="007766A6">
          <w:rPr>
            <w:color w:val="1155CC"/>
            <w:sz w:val="20"/>
            <w:szCs w:val="20"/>
            <w:u w:val="single"/>
            <w:lang w:val="sv-SE"/>
          </w:rPr>
          <w:t>-asylärenden.</w:t>
        </w:r>
      </w:hyperlink>
      <w:r w:rsidRPr="007766A6">
        <w:rPr>
          <w:sz w:val="20"/>
          <w:szCs w:val="20"/>
          <w:lang w:val="sv-SE"/>
        </w:rPr>
        <w:t xml:space="preserve"> RFSL. 2020</w:t>
      </w:r>
    </w:p>
  </w:footnote>
  <w:footnote w:id="4">
    <w:p w:rsidR="00E3493E" w:rsidRDefault="001F4C85">
      <w:pPr>
        <w:rPr>
          <w:sz w:val="18"/>
          <w:szCs w:val="18"/>
          <w:highlight w:val="white"/>
        </w:rPr>
      </w:pPr>
      <w:r>
        <w:rPr>
          <w:vertAlign w:val="superscript"/>
        </w:rPr>
        <w:footnoteRef/>
      </w:r>
      <w:r>
        <w:rPr>
          <w:sz w:val="20"/>
          <w:szCs w:val="20"/>
        </w:rPr>
        <w:t xml:space="preserve"> </w:t>
      </w:r>
      <w:r>
        <w:rPr>
          <w:sz w:val="18"/>
          <w:szCs w:val="18"/>
          <w:highlight w:val="white"/>
        </w:rPr>
        <w:t xml:space="preserve">See e.g.: Committee against Torture: </w:t>
      </w:r>
      <w:r>
        <w:rPr>
          <w:i/>
          <w:sz w:val="18"/>
          <w:szCs w:val="18"/>
          <w:highlight w:val="white"/>
        </w:rPr>
        <w:t>E.J.V.M. v. Sweden</w:t>
      </w:r>
      <w:r>
        <w:rPr>
          <w:sz w:val="18"/>
          <w:szCs w:val="18"/>
          <w:highlight w:val="white"/>
        </w:rPr>
        <w:t>, communication no. 213/2002, decision of 14 November 2003,</w:t>
      </w:r>
      <w:hyperlink r:id="rId2">
        <w:r>
          <w:rPr>
            <w:sz w:val="18"/>
            <w:szCs w:val="18"/>
            <w:highlight w:val="white"/>
          </w:rPr>
          <w:t xml:space="preserve"> </w:t>
        </w:r>
      </w:hyperlink>
      <w:hyperlink r:id="rId3">
        <w:r>
          <w:rPr>
            <w:color w:val="1155CC"/>
            <w:sz w:val="18"/>
            <w:szCs w:val="18"/>
            <w:highlight w:val="white"/>
            <w:u w:val="single"/>
          </w:rPr>
          <w:t>CAT/C/31/D/213/2002</w:t>
        </w:r>
      </w:hyperlink>
      <w:r>
        <w:rPr>
          <w:sz w:val="18"/>
          <w:szCs w:val="18"/>
          <w:highlight w:val="white"/>
        </w:rPr>
        <w:t xml:space="preserve">; </w:t>
      </w:r>
      <w:proofErr w:type="spellStart"/>
      <w:r>
        <w:rPr>
          <w:i/>
          <w:sz w:val="18"/>
          <w:szCs w:val="18"/>
          <w:highlight w:val="white"/>
        </w:rPr>
        <w:t>Uttam</w:t>
      </w:r>
      <w:proofErr w:type="spellEnd"/>
      <w:r>
        <w:rPr>
          <w:i/>
          <w:sz w:val="18"/>
          <w:szCs w:val="18"/>
          <w:highlight w:val="white"/>
        </w:rPr>
        <w:t xml:space="preserve"> Mondal v. Sweden</w:t>
      </w:r>
      <w:r>
        <w:rPr>
          <w:sz w:val="18"/>
          <w:szCs w:val="18"/>
          <w:highlight w:val="white"/>
        </w:rPr>
        <w:t>, communication No. 338/2008, decision of 23 May 2011,</w:t>
      </w:r>
      <w:hyperlink r:id="rId4">
        <w:r>
          <w:rPr>
            <w:sz w:val="18"/>
            <w:szCs w:val="18"/>
            <w:highlight w:val="white"/>
          </w:rPr>
          <w:t xml:space="preserve"> </w:t>
        </w:r>
      </w:hyperlink>
      <w:hyperlink r:id="rId5">
        <w:r>
          <w:rPr>
            <w:color w:val="1155CC"/>
            <w:sz w:val="18"/>
            <w:szCs w:val="18"/>
            <w:highlight w:val="white"/>
            <w:u w:val="single"/>
          </w:rPr>
          <w:t>CAT/C/46/D/338/2008</w:t>
        </w:r>
      </w:hyperlink>
      <w:r>
        <w:rPr>
          <w:sz w:val="18"/>
          <w:szCs w:val="18"/>
          <w:highlight w:val="white"/>
        </w:rPr>
        <w:t xml:space="preserve">; </w:t>
      </w:r>
      <w:r>
        <w:rPr>
          <w:i/>
          <w:sz w:val="18"/>
          <w:szCs w:val="18"/>
          <w:highlight w:val="white"/>
        </w:rPr>
        <w:t>E.A. v. Sweden,</w:t>
      </w:r>
      <w:r>
        <w:rPr>
          <w:b/>
          <w:i/>
          <w:sz w:val="18"/>
          <w:szCs w:val="18"/>
          <w:highlight w:val="white"/>
        </w:rPr>
        <w:t xml:space="preserve"> </w:t>
      </w:r>
      <w:r>
        <w:rPr>
          <w:sz w:val="18"/>
          <w:szCs w:val="18"/>
          <w:highlight w:val="white"/>
        </w:rPr>
        <w:t>communication no. 690/2015, decision of 11 August 2017,</w:t>
      </w:r>
      <w:hyperlink r:id="rId6">
        <w:r>
          <w:rPr>
            <w:sz w:val="18"/>
            <w:szCs w:val="18"/>
            <w:highlight w:val="white"/>
          </w:rPr>
          <w:t xml:space="preserve"> </w:t>
        </w:r>
      </w:hyperlink>
      <w:hyperlink r:id="rId7">
        <w:r>
          <w:rPr>
            <w:color w:val="1155CC"/>
            <w:sz w:val="18"/>
            <w:szCs w:val="18"/>
            <w:highlight w:val="white"/>
            <w:u w:val="single"/>
          </w:rPr>
          <w:t>CAT/C/61/D/690/2015</w:t>
        </w:r>
      </w:hyperlink>
      <w:r>
        <w:rPr>
          <w:sz w:val="18"/>
          <w:szCs w:val="18"/>
          <w:highlight w:val="white"/>
        </w:rPr>
        <w:t xml:space="preserve">; Human Rights Committee: </w:t>
      </w:r>
      <w:r>
        <w:rPr>
          <w:i/>
          <w:sz w:val="18"/>
          <w:szCs w:val="18"/>
          <w:highlight w:val="white"/>
        </w:rPr>
        <w:t>X. v. Sweden</w:t>
      </w:r>
      <w:r>
        <w:rPr>
          <w:sz w:val="18"/>
          <w:szCs w:val="18"/>
          <w:highlight w:val="white"/>
        </w:rPr>
        <w:t>, communication no. 1833/2008, views of 1 November 2011,</w:t>
      </w:r>
      <w:hyperlink r:id="rId8">
        <w:r>
          <w:rPr>
            <w:sz w:val="18"/>
            <w:szCs w:val="18"/>
            <w:highlight w:val="white"/>
          </w:rPr>
          <w:t xml:space="preserve"> </w:t>
        </w:r>
      </w:hyperlink>
      <w:hyperlink r:id="rId9">
        <w:r>
          <w:rPr>
            <w:color w:val="1155CC"/>
            <w:sz w:val="18"/>
            <w:szCs w:val="18"/>
            <w:highlight w:val="white"/>
            <w:u w:val="single"/>
          </w:rPr>
          <w:t>CCPR/C/103/D/1833/2008</w:t>
        </w:r>
      </w:hyperlink>
      <w:r>
        <w:rPr>
          <w:sz w:val="18"/>
          <w:szCs w:val="18"/>
          <w:highlight w:val="white"/>
        </w:rPr>
        <w:t xml:space="preserve">; </w:t>
      </w:r>
      <w:r>
        <w:rPr>
          <w:i/>
          <w:sz w:val="18"/>
          <w:szCs w:val="18"/>
          <w:highlight w:val="white"/>
        </w:rPr>
        <w:t>M. I. v.</w:t>
      </w:r>
      <w:r>
        <w:rPr>
          <w:i/>
          <w:sz w:val="18"/>
          <w:szCs w:val="18"/>
          <w:highlight w:val="white"/>
        </w:rPr>
        <w:t xml:space="preserve"> Sweden</w:t>
      </w:r>
      <w:r>
        <w:rPr>
          <w:sz w:val="18"/>
          <w:szCs w:val="18"/>
          <w:highlight w:val="white"/>
        </w:rPr>
        <w:t>, communication no. 2149/2012, views of 25 July 2013,</w:t>
      </w:r>
      <w:hyperlink r:id="rId10">
        <w:r>
          <w:rPr>
            <w:sz w:val="18"/>
            <w:szCs w:val="18"/>
            <w:highlight w:val="white"/>
          </w:rPr>
          <w:t xml:space="preserve"> </w:t>
        </w:r>
      </w:hyperlink>
      <w:hyperlink r:id="rId11">
        <w:r>
          <w:rPr>
            <w:color w:val="1155CC"/>
            <w:sz w:val="18"/>
            <w:szCs w:val="18"/>
            <w:highlight w:val="white"/>
            <w:u w:val="single"/>
          </w:rPr>
          <w:t>CCPR/C/108/D/2149/2012</w:t>
        </w:r>
      </w:hyperlink>
      <w:r>
        <w:rPr>
          <w:sz w:val="18"/>
          <w:szCs w:val="18"/>
          <w:highlight w:val="white"/>
        </w:rPr>
        <w:t>.</w:t>
      </w:r>
    </w:p>
    <w:p w:rsidR="00E3493E" w:rsidRDefault="00E3493E">
      <w:pPr>
        <w:rPr>
          <w:sz w:val="20"/>
          <w:szCs w:val="20"/>
        </w:rPr>
      </w:pPr>
    </w:p>
  </w:footnote>
  <w:footnote w:id="5">
    <w:p w:rsidR="00E3493E" w:rsidRDefault="001F4C85">
      <w:pPr>
        <w:rPr>
          <w:sz w:val="20"/>
          <w:szCs w:val="20"/>
        </w:rPr>
      </w:pPr>
      <w:r>
        <w:rPr>
          <w:vertAlign w:val="superscript"/>
        </w:rPr>
        <w:footnoteRef/>
      </w:r>
      <w:r>
        <w:rPr>
          <w:sz w:val="20"/>
          <w:szCs w:val="20"/>
        </w:rPr>
        <w:t xml:space="preserve"> </w:t>
      </w:r>
      <w:r>
        <w:rPr>
          <w:sz w:val="18"/>
          <w:szCs w:val="18"/>
        </w:rPr>
        <w:t xml:space="preserve">Commitment for legal security. RFSL </w:t>
      </w:r>
      <w:proofErr w:type="spellStart"/>
      <w:r>
        <w:rPr>
          <w:sz w:val="18"/>
          <w:szCs w:val="18"/>
        </w:rPr>
        <w:t>Ungdom</w:t>
      </w:r>
      <w:proofErr w:type="spellEnd"/>
      <w:r>
        <w:rPr>
          <w:sz w:val="18"/>
          <w:szCs w:val="18"/>
        </w:rPr>
        <w:t xml:space="preserve"> 2017. </w:t>
      </w:r>
    </w:p>
  </w:footnote>
  <w:footnote w:id="6">
    <w:p w:rsidR="00E3493E" w:rsidRDefault="001F4C85">
      <w:pPr>
        <w:rPr>
          <w:sz w:val="20"/>
          <w:szCs w:val="20"/>
        </w:rPr>
      </w:pPr>
      <w:r>
        <w:rPr>
          <w:vertAlign w:val="superscript"/>
        </w:rPr>
        <w:footnoteRef/>
      </w:r>
      <w:r>
        <w:rPr>
          <w:sz w:val="20"/>
          <w:szCs w:val="20"/>
        </w:rPr>
        <w:t xml:space="preserve"> </w:t>
      </w:r>
      <w:r>
        <w:rPr>
          <w:sz w:val="18"/>
          <w:szCs w:val="18"/>
        </w:rPr>
        <w:t xml:space="preserve">Testimony from the RFSL asylum lawyer, Aino </w:t>
      </w:r>
      <w:proofErr w:type="spellStart"/>
      <w:r>
        <w:rPr>
          <w:sz w:val="18"/>
          <w:szCs w:val="18"/>
        </w:rPr>
        <w:t>Gröndahl</w:t>
      </w:r>
      <w:proofErr w:type="spellEnd"/>
      <w:r>
        <w:rPr>
          <w:sz w:val="18"/>
          <w:szCs w:val="18"/>
        </w:rPr>
        <w:t>.</w:t>
      </w:r>
    </w:p>
  </w:footnote>
  <w:footnote w:id="7">
    <w:p w:rsidR="00E3493E" w:rsidRDefault="001F4C85">
      <w:pPr>
        <w:rPr>
          <w:sz w:val="20"/>
          <w:szCs w:val="20"/>
        </w:rPr>
      </w:pPr>
      <w:r>
        <w:rPr>
          <w:vertAlign w:val="superscript"/>
        </w:rPr>
        <w:footnoteRef/>
      </w:r>
      <w:r w:rsidRPr="007766A6">
        <w:rPr>
          <w:sz w:val="20"/>
          <w:szCs w:val="20"/>
          <w:lang w:val="sv-SE"/>
        </w:rPr>
        <w:t xml:space="preserve"> </w:t>
      </w:r>
      <w:r w:rsidRPr="007766A6">
        <w:rPr>
          <w:sz w:val="18"/>
          <w:szCs w:val="18"/>
          <w:lang w:val="sv-SE"/>
        </w:rPr>
        <w:t xml:space="preserve">Analysrapport. Tematisk kvalitetsuppföljning av asylärenden där </w:t>
      </w:r>
      <w:proofErr w:type="spellStart"/>
      <w:r w:rsidRPr="007766A6">
        <w:rPr>
          <w:sz w:val="18"/>
          <w:szCs w:val="18"/>
          <w:lang w:val="sv-SE"/>
        </w:rPr>
        <w:t>hbtq</w:t>
      </w:r>
      <w:proofErr w:type="spellEnd"/>
      <w:r w:rsidRPr="007766A6">
        <w:rPr>
          <w:sz w:val="18"/>
          <w:szCs w:val="18"/>
          <w:lang w:val="sv-SE"/>
        </w:rPr>
        <w:t xml:space="preserve">-skäl prövats. </w:t>
      </w:r>
      <w:proofErr w:type="spellStart"/>
      <w:r>
        <w:rPr>
          <w:sz w:val="18"/>
          <w:szCs w:val="18"/>
        </w:rPr>
        <w:t>Migrationsverket</w:t>
      </w:r>
      <w:proofErr w:type="spellEnd"/>
      <w:r>
        <w:rPr>
          <w:sz w:val="18"/>
          <w:szCs w:val="18"/>
        </w:rPr>
        <w:t xml:space="preserve"> 2017.</w:t>
      </w:r>
    </w:p>
  </w:footnote>
  <w:footnote w:id="8">
    <w:p w:rsidR="00E3493E" w:rsidRPr="007766A6" w:rsidRDefault="001F4C85">
      <w:pPr>
        <w:rPr>
          <w:sz w:val="20"/>
          <w:szCs w:val="20"/>
          <w:lang w:val="sv-SE"/>
        </w:rPr>
      </w:pPr>
      <w:r>
        <w:rPr>
          <w:vertAlign w:val="superscript"/>
        </w:rPr>
        <w:footnoteRef/>
      </w:r>
      <w:r>
        <w:rPr>
          <w:sz w:val="20"/>
          <w:szCs w:val="20"/>
        </w:rPr>
        <w:t xml:space="preserve"> </w:t>
      </w:r>
      <w:r>
        <w:rPr>
          <w:sz w:val="18"/>
          <w:szCs w:val="18"/>
        </w:rPr>
        <w:t>A/HRC/39/34 Intersessional expert meeting to consider gaps in, challenges to and best practices aimed at the full enjoyment of human rights by all women and girls and the</w:t>
      </w:r>
      <w:r>
        <w:rPr>
          <w:sz w:val="20"/>
          <w:szCs w:val="20"/>
        </w:rPr>
        <w:t xml:space="preserve"> systematic mainstreamin</w:t>
      </w:r>
      <w:r>
        <w:rPr>
          <w:sz w:val="20"/>
          <w:szCs w:val="20"/>
        </w:rPr>
        <w:t xml:space="preserve">g </w:t>
      </w:r>
      <w:r>
        <w:rPr>
          <w:sz w:val="18"/>
          <w:szCs w:val="18"/>
        </w:rPr>
        <w:t xml:space="preserve">of a gender perspective into the implementation of the 2030 Agenda for Sustainable Development. </w:t>
      </w:r>
      <w:proofErr w:type="spellStart"/>
      <w:r w:rsidRPr="007766A6">
        <w:rPr>
          <w:sz w:val="18"/>
          <w:szCs w:val="18"/>
          <w:lang w:val="sv-SE"/>
        </w:rPr>
        <w:t>Report</w:t>
      </w:r>
      <w:proofErr w:type="spellEnd"/>
      <w:r w:rsidRPr="007766A6">
        <w:rPr>
          <w:sz w:val="18"/>
          <w:szCs w:val="18"/>
          <w:lang w:val="sv-SE"/>
        </w:rPr>
        <w:t xml:space="preserve"> </w:t>
      </w:r>
      <w:proofErr w:type="spellStart"/>
      <w:r w:rsidRPr="007766A6">
        <w:rPr>
          <w:sz w:val="18"/>
          <w:szCs w:val="18"/>
          <w:lang w:val="sv-SE"/>
        </w:rPr>
        <w:t>of</w:t>
      </w:r>
      <w:proofErr w:type="spellEnd"/>
      <w:r w:rsidRPr="007766A6">
        <w:rPr>
          <w:sz w:val="18"/>
          <w:szCs w:val="18"/>
          <w:lang w:val="sv-SE"/>
        </w:rPr>
        <w:t xml:space="preserve"> the United Nations </w:t>
      </w:r>
      <w:proofErr w:type="spellStart"/>
      <w:r w:rsidRPr="007766A6">
        <w:rPr>
          <w:sz w:val="18"/>
          <w:szCs w:val="18"/>
          <w:lang w:val="sv-SE"/>
        </w:rPr>
        <w:t>High</w:t>
      </w:r>
      <w:proofErr w:type="spellEnd"/>
      <w:r w:rsidRPr="007766A6">
        <w:rPr>
          <w:sz w:val="18"/>
          <w:szCs w:val="18"/>
          <w:lang w:val="sv-SE"/>
        </w:rPr>
        <w:t xml:space="preserve"> </w:t>
      </w:r>
      <w:proofErr w:type="spellStart"/>
      <w:r w:rsidRPr="007766A6">
        <w:rPr>
          <w:sz w:val="18"/>
          <w:szCs w:val="18"/>
          <w:lang w:val="sv-SE"/>
        </w:rPr>
        <w:t>Commissioner</w:t>
      </w:r>
      <w:proofErr w:type="spellEnd"/>
      <w:r w:rsidRPr="007766A6">
        <w:rPr>
          <w:sz w:val="18"/>
          <w:szCs w:val="18"/>
          <w:lang w:val="sv-SE"/>
        </w:rPr>
        <w:t xml:space="preserve"> for Human </w:t>
      </w:r>
      <w:proofErr w:type="spellStart"/>
      <w:r w:rsidRPr="007766A6">
        <w:rPr>
          <w:sz w:val="18"/>
          <w:szCs w:val="18"/>
          <w:lang w:val="sv-SE"/>
        </w:rPr>
        <w:t>Rights</w:t>
      </w:r>
      <w:proofErr w:type="spellEnd"/>
    </w:p>
  </w:footnote>
  <w:footnote w:id="9">
    <w:p w:rsidR="00E3493E" w:rsidRPr="007766A6" w:rsidRDefault="001F4C85">
      <w:pPr>
        <w:rPr>
          <w:sz w:val="18"/>
          <w:szCs w:val="18"/>
          <w:lang w:val="sv-SE"/>
        </w:rPr>
      </w:pPr>
      <w:r>
        <w:rPr>
          <w:vertAlign w:val="superscript"/>
        </w:rPr>
        <w:footnoteRef/>
      </w:r>
      <w:r w:rsidRPr="007766A6">
        <w:rPr>
          <w:sz w:val="20"/>
          <w:szCs w:val="20"/>
          <w:lang w:val="sv-SE"/>
        </w:rPr>
        <w:t xml:space="preserve"> </w:t>
      </w:r>
      <w:r w:rsidRPr="007766A6">
        <w:rPr>
          <w:sz w:val="18"/>
          <w:szCs w:val="18"/>
          <w:lang w:val="sv-SE"/>
        </w:rPr>
        <w:t xml:space="preserve"> Hä</w:t>
      </w:r>
      <w:r w:rsidRPr="007766A6">
        <w:rPr>
          <w:sz w:val="18"/>
          <w:szCs w:val="18"/>
          <w:lang w:val="sv-SE"/>
        </w:rPr>
        <w:t>lsan och hälsans bestämningsfaktorer för transpersoner. Folkhälsomyndigheten, 2015.</w:t>
      </w:r>
    </w:p>
    <w:p w:rsidR="00E3493E" w:rsidRPr="007766A6" w:rsidRDefault="00E3493E">
      <w:pPr>
        <w:rPr>
          <w:sz w:val="20"/>
          <w:szCs w:val="20"/>
          <w:lang w:val="sv-SE"/>
        </w:rPr>
      </w:pPr>
    </w:p>
  </w:footnote>
  <w:footnote w:id="10">
    <w:p w:rsidR="00E3493E" w:rsidRPr="007766A6" w:rsidRDefault="001F4C85">
      <w:pPr>
        <w:rPr>
          <w:sz w:val="20"/>
          <w:szCs w:val="20"/>
          <w:lang w:val="sv-SE"/>
        </w:rPr>
      </w:pPr>
      <w:r>
        <w:rPr>
          <w:vertAlign w:val="superscript"/>
        </w:rPr>
        <w:footnoteRef/>
      </w:r>
      <w:r w:rsidRPr="007766A6">
        <w:rPr>
          <w:sz w:val="20"/>
          <w:szCs w:val="20"/>
          <w:lang w:val="sv-SE"/>
        </w:rPr>
        <w:t xml:space="preserve"> </w:t>
      </w:r>
      <w:r w:rsidRPr="007766A6">
        <w:rPr>
          <w:sz w:val="18"/>
          <w:szCs w:val="18"/>
          <w:lang w:val="sv-SE"/>
        </w:rPr>
        <w:t xml:space="preserve">Yogyakarta </w:t>
      </w:r>
      <w:proofErr w:type="spellStart"/>
      <w:r w:rsidRPr="007766A6">
        <w:rPr>
          <w:sz w:val="18"/>
          <w:szCs w:val="18"/>
          <w:lang w:val="sv-SE"/>
        </w:rPr>
        <w:t>priciples</w:t>
      </w:r>
      <w:proofErr w:type="spellEnd"/>
      <w:r w:rsidRPr="007766A6">
        <w:rPr>
          <w:sz w:val="18"/>
          <w:szCs w:val="18"/>
          <w:lang w:val="sv-SE"/>
        </w:rPr>
        <w:t xml:space="preserve"> + 10, 2017, p.9</w:t>
      </w:r>
    </w:p>
  </w:footnote>
  <w:footnote w:id="11">
    <w:p w:rsidR="00E3493E" w:rsidRPr="007766A6" w:rsidRDefault="001F4C85">
      <w:pPr>
        <w:rPr>
          <w:b/>
          <w:sz w:val="20"/>
          <w:szCs w:val="20"/>
          <w:lang w:val="sv-SE"/>
        </w:rPr>
      </w:pPr>
      <w:r>
        <w:rPr>
          <w:vertAlign w:val="superscript"/>
        </w:rPr>
        <w:footnoteRef/>
      </w:r>
      <w:r w:rsidRPr="007766A6">
        <w:rPr>
          <w:sz w:val="20"/>
          <w:szCs w:val="20"/>
          <w:lang w:val="sv-SE"/>
        </w:rPr>
        <w:t xml:space="preserve"> </w:t>
      </w:r>
      <w:r w:rsidRPr="007766A6">
        <w:rPr>
          <w:sz w:val="18"/>
          <w:szCs w:val="18"/>
          <w:lang w:val="sv-SE"/>
        </w:rPr>
        <w:t>Transpersoner i Sverige, SOU 2017:92</w:t>
      </w:r>
    </w:p>
  </w:footnote>
  <w:footnote w:id="12">
    <w:p w:rsidR="00E3493E" w:rsidRPr="007766A6" w:rsidRDefault="001F4C85">
      <w:pPr>
        <w:rPr>
          <w:sz w:val="20"/>
          <w:szCs w:val="20"/>
          <w:lang w:val="sv-SE"/>
        </w:rPr>
      </w:pPr>
      <w:r>
        <w:rPr>
          <w:vertAlign w:val="superscript"/>
        </w:rPr>
        <w:footnoteRef/>
      </w:r>
      <w:r w:rsidRPr="007766A6">
        <w:rPr>
          <w:sz w:val="20"/>
          <w:szCs w:val="20"/>
          <w:lang w:val="sv-SE"/>
        </w:rPr>
        <w:t xml:space="preserve"> </w:t>
      </w:r>
      <w:r w:rsidRPr="007766A6">
        <w:rPr>
          <w:sz w:val="18"/>
          <w:szCs w:val="18"/>
          <w:lang w:val="sv-SE"/>
        </w:rPr>
        <w:t>Våld i samkönade relationer - en kunskaps och forskningsöversikt. NCK, 2018</w:t>
      </w:r>
    </w:p>
  </w:footnote>
  <w:footnote w:id="13">
    <w:p w:rsidR="00E3493E" w:rsidRPr="007766A6" w:rsidRDefault="001F4C85">
      <w:pPr>
        <w:rPr>
          <w:sz w:val="20"/>
          <w:szCs w:val="20"/>
          <w:lang w:val="sv-SE"/>
        </w:rPr>
      </w:pPr>
      <w:r>
        <w:rPr>
          <w:vertAlign w:val="superscript"/>
        </w:rPr>
        <w:footnoteRef/>
      </w:r>
      <w:r w:rsidRPr="007766A6">
        <w:rPr>
          <w:sz w:val="20"/>
          <w:szCs w:val="20"/>
          <w:lang w:val="sv-SE"/>
        </w:rPr>
        <w:t xml:space="preserve"> </w:t>
      </w:r>
      <w:r w:rsidRPr="007766A6">
        <w:rPr>
          <w:sz w:val="18"/>
          <w:szCs w:val="18"/>
          <w:lang w:val="sv-SE"/>
        </w:rPr>
        <w:t>Kunskap och erfare</w:t>
      </w:r>
      <w:r w:rsidRPr="007766A6">
        <w:rPr>
          <w:sz w:val="18"/>
          <w:szCs w:val="18"/>
          <w:lang w:val="sv-SE"/>
        </w:rPr>
        <w:t xml:space="preserve">nheter av arbete med våldsutsatta </w:t>
      </w:r>
      <w:proofErr w:type="spellStart"/>
      <w:r w:rsidRPr="007766A6">
        <w:rPr>
          <w:sz w:val="18"/>
          <w:szCs w:val="18"/>
          <w:lang w:val="sv-SE"/>
        </w:rPr>
        <w:t>hbtq</w:t>
      </w:r>
      <w:proofErr w:type="spellEnd"/>
      <w:r w:rsidRPr="007766A6">
        <w:rPr>
          <w:sz w:val="18"/>
          <w:szCs w:val="18"/>
          <w:lang w:val="sv-SE"/>
        </w:rPr>
        <w:t>-personer. RFSL. 2018</w:t>
      </w:r>
    </w:p>
  </w:footnote>
  <w:footnote w:id="14">
    <w:p w:rsidR="00E3493E" w:rsidRDefault="001F4C85">
      <w:pPr>
        <w:rPr>
          <w:sz w:val="20"/>
          <w:szCs w:val="20"/>
        </w:rPr>
      </w:pPr>
      <w:r>
        <w:rPr>
          <w:vertAlign w:val="superscript"/>
        </w:rPr>
        <w:footnoteRef/>
      </w:r>
      <w:r w:rsidRPr="007766A6">
        <w:rPr>
          <w:sz w:val="20"/>
          <w:szCs w:val="20"/>
          <w:lang w:val="sv-SE"/>
        </w:rPr>
        <w:t xml:space="preserve"> </w:t>
      </w:r>
      <w:r w:rsidRPr="007766A6">
        <w:rPr>
          <w:sz w:val="18"/>
          <w:szCs w:val="18"/>
          <w:lang w:val="sv-SE"/>
        </w:rPr>
        <w:t xml:space="preserve">Vård och behandling av personer med intersexuella tillstånd. Socialstyrelsen. </w:t>
      </w:r>
      <w:r>
        <w:rPr>
          <w:sz w:val="18"/>
          <w:szCs w:val="18"/>
        </w:rPr>
        <w:t>2017</w:t>
      </w:r>
    </w:p>
  </w:footnote>
  <w:footnote w:id="15">
    <w:p w:rsidR="00E3493E" w:rsidRPr="007766A6" w:rsidRDefault="001F4C85">
      <w:pPr>
        <w:rPr>
          <w:sz w:val="20"/>
          <w:szCs w:val="20"/>
          <w:lang w:val="sv-SE"/>
        </w:rPr>
      </w:pPr>
      <w:r>
        <w:rPr>
          <w:vertAlign w:val="superscript"/>
        </w:rPr>
        <w:footnoteRef/>
      </w:r>
      <w:r>
        <w:rPr>
          <w:sz w:val="20"/>
          <w:szCs w:val="20"/>
        </w:rPr>
        <w:t xml:space="preserve"> </w:t>
      </w:r>
      <w:r>
        <w:rPr>
          <w:sz w:val="18"/>
          <w:szCs w:val="18"/>
        </w:rPr>
        <w:t xml:space="preserve">Report of the Special Rapporteur on torture and other cruel, </w:t>
      </w:r>
      <w:r>
        <w:rPr>
          <w:sz w:val="18"/>
          <w:szCs w:val="18"/>
        </w:rPr>
        <w:t xml:space="preserve">inhuman or degrading treatment or punishment, Juan E. Méndez. </w:t>
      </w:r>
      <w:r w:rsidRPr="007766A6">
        <w:rPr>
          <w:sz w:val="18"/>
          <w:szCs w:val="18"/>
          <w:lang w:val="sv-SE"/>
        </w:rPr>
        <w:t>UN. 2013</w:t>
      </w:r>
    </w:p>
  </w:footnote>
  <w:footnote w:id="16">
    <w:p w:rsidR="00E3493E" w:rsidRDefault="001F4C85">
      <w:pPr>
        <w:rPr>
          <w:sz w:val="20"/>
          <w:szCs w:val="20"/>
        </w:rPr>
      </w:pPr>
      <w:r>
        <w:rPr>
          <w:vertAlign w:val="superscript"/>
        </w:rPr>
        <w:footnoteRef/>
      </w:r>
      <w:r w:rsidRPr="007766A6">
        <w:rPr>
          <w:sz w:val="20"/>
          <w:szCs w:val="20"/>
          <w:lang w:val="sv-SE"/>
        </w:rPr>
        <w:t xml:space="preserve"> </w:t>
      </w:r>
      <w:r w:rsidRPr="007766A6">
        <w:rPr>
          <w:sz w:val="18"/>
          <w:szCs w:val="18"/>
          <w:lang w:val="sv-SE"/>
        </w:rPr>
        <w:t xml:space="preserve">Vård och behandling av personer med intersexuella tillstånd. Socialstyrelsen. </w:t>
      </w:r>
      <w:r>
        <w:rPr>
          <w:sz w:val="18"/>
          <w:szCs w:val="18"/>
        </w:rPr>
        <w:t>2017</w:t>
      </w:r>
    </w:p>
  </w:footnote>
  <w:footnote w:id="17">
    <w:p w:rsidR="00E3493E" w:rsidRPr="007766A6" w:rsidRDefault="001F4C85">
      <w:pPr>
        <w:rPr>
          <w:sz w:val="20"/>
          <w:szCs w:val="20"/>
          <w:lang w:val="sv-SE"/>
        </w:rPr>
      </w:pPr>
      <w:r>
        <w:rPr>
          <w:vertAlign w:val="superscript"/>
        </w:rPr>
        <w:footnoteRef/>
      </w:r>
      <w:r>
        <w:rPr>
          <w:sz w:val="20"/>
          <w:szCs w:val="20"/>
        </w:rPr>
        <w:t xml:space="preserve"> </w:t>
      </w:r>
      <w:r>
        <w:rPr>
          <w:sz w:val="18"/>
          <w:szCs w:val="18"/>
        </w:rPr>
        <w:t xml:space="preserve">The Swedish National Council on Medical Ethics (SMER) Comment on care of intersexual children. </w:t>
      </w:r>
      <w:r w:rsidRPr="007766A6">
        <w:rPr>
          <w:sz w:val="18"/>
          <w:szCs w:val="18"/>
          <w:lang w:val="sv-SE"/>
        </w:rPr>
        <w:t>2017</w:t>
      </w:r>
    </w:p>
  </w:footnote>
  <w:footnote w:id="18">
    <w:p w:rsidR="00E3493E" w:rsidRPr="00E2437F" w:rsidRDefault="001F4C85">
      <w:pPr>
        <w:rPr>
          <w:sz w:val="18"/>
          <w:szCs w:val="18"/>
          <w:lang w:val="sv-SE"/>
        </w:rPr>
      </w:pPr>
      <w:r w:rsidRPr="00E2437F">
        <w:rPr>
          <w:sz w:val="18"/>
          <w:szCs w:val="18"/>
          <w:vertAlign w:val="superscript"/>
        </w:rPr>
        <w:footnoteRef/>
      </w:r>
      <w:r w:rsidRPr="00E2437F">
        <w:rPr>
          <w:sz w:val="18"/>
          <w:szCs w:val="18"/>
          <w:lang w:val="sv-SE"/>
        </w:rPr>
        <w:t xml:space="preserve"> Vård och behandling vid tillstånd som påverkar könsutvecklingen (”DSD”), Socialstyrelsen,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93E" w:rsidRDefault="00E3493E">
    <w:pPr>
      <w:tabs>
        <w:tab w:val="right" w:pos="7371"/>
      </w:tabs>
    </w:pPr>
  </w:p>
  <w:p w:rsidR="00E3493E" w:rsidRDefault="00E3493E">
    <w:pPr>
      <w:tabs>
        <w:tab w:val="right" w:pos="7371"/>
      </w:tabs>
    </w:pPr>
  </w:p>
  <w:p w:rsidR="00E3493E" w:rsidRDefault="001F4C85">
    <w:pPr>
      <w:tabs>
        <w:tab w:val="right" w:pos="7371"/>
      </w:tabs>
    </w:pPr>
    <w:r>
      <w:tab/>
      <w:t>2021-09-</w:t>
    </w:r>
    <w:r w:rsidR="00E2437F">
      <w:t>17</w:t>
    </w:r>
    <w:r>
      <w:tab/>
    </w:r>
    <w:r>
      <w:fldChar w:fldCharType="begin"/>
    </w:r>
    <w:r>
      <w:instrText>PAGE</w:instrText>
    </w:r>
    <w:r w:rsidR="007766A6">
      <w:fldChar w:fldCharType="separate"/>
    </w:r>
    <w:r w:rsidR="007766A6">
      <w:rPr>
        <w:noProof/>
      </w:rPr>
      <w:t>2</w:t>
    </w:r>
    <w:r>
      <w:fldChar w:fldCharType="end"/>
    </w:r>
    <w:r>
      <w:t xml:space="preserve"> (</w:t>
    </w:r>
    <w:r>
      <w:fldChar w:fldCharType="begin"/>
    </w:r>
    <w:r>
      <w:instrText>NUMPAGES</w:instrText>
    </w:r>
    <w:r w:rsidR="007766A6">
      <w:fldChar w:fldCharType="separate"/>
    </w:r>
    <w:r w:rsidR="007766A6">
      <w:rPr>
        <w:noProof/>
      </w:rPr>
      <w:t>2</w:t>
    </w:r>
    <w:r>
      <w:fldChar w:fldCharType="end"/>
    </w: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93E" w:rsidRDefault="001F4C85">
    <w:pPr>
      <w:pBdr>
        <w:top w:val="nil"/>
        <w:left w:val="nil"/>
        <w:bottom w:val="nil"/>
        <w:right w:val="nil"/>
        <w:between w:val="nil"/>
      </w:pBdr>
      <w:jc w:val="right"/>
      <w:rPr>
        <w:color w:val="000000"/>
        <w:sz w:val="22"/>
        <w:szCs w:val="22"/>
      </w:rPr>
    </w:pPr>
    <w:r>
      <w:rPr>
        <w:rFonts w:ascii="Times New Roman" w:eastAsia="Times New Roman" w:hAnsi="Times New Roman" w:cs="Times New Roman"/>
        <w:color w:val="000000"/>
        <w:sz w:val="22"/>
        <w:szCs w:val="22"/>
      </w:rPr>
      <w:t xml:space="preserve"> </w:t>
    </w:r>
    <w:r>
      <w:rPr>
        <w:color w:val="000000"/>
        <w:sz w:val="22"/>
        <w:szCs w:val="22"/>
      </w:rPr>
      <w:t>20</w:t>
    </w:r>
    <w:r>
      <w:rPr>
        <w:sz w:val="22"/>
        <w:szCs w:val="22"/>
      </w:rPr>
      <w:t>21</w:t>
    </w:r>
    <w:r>
      <w:rPr>
        <w:color w:val="000000"/>
        <w:sz w:val="22"/>
        <w:szCs w:val="22"/>
      </w:rPr>
      <w:t>-</w:t>
    </w:r>
    <w:r>
      <w:rPr>
        <w:sz w:val="22"/>
        <w:szCs w:val="22"/>
      </w:rPr>
      <w:t>09</w:t>
    </w:r>
    <w:r>
      <w:rPr>
        <w:color w:val="000000"/>
        <w:sz w:val="22"/>
        <w:szCs w:val="22"/>
      </w:rPr>
      <w:t>-</w:t>
    </w:r>
    <w:r>
      <w:rPr>
        <w:noProof/>
      </w:rPr>
      <w:drawing>
        <wp:anchor distT="114300" distB="114300" distL="114300" distR="114300" simplePos="0" relativeHeight="251658240" behindDoc="1" locked="0" layoutInCell="1" hidden="0" allowOverlap="1">
          <wp:simplePos x="0" y="0"/>
          <wp:positionH relativeFrom="column">
            <wp:posOffset>-1919287</wp:posOffset>
          </wp:positionH>
          <wp:positionV relativeFrom="paragraph">
            <wp:posOffset>85726</wp:posOffset>
          </wp:positionV>
          <wp:extent cx="1905000" cy="438150"/>
          <wp:effectExtent l="0" t="0" r="0" b="0"/>
          <wp:wrapNone/>
          <wp:docPr id="12"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1"/>
                  <a:srcRect/>
                  <a:stretch>
                    <a:fillRect/>
                  </a:stretch>
                </pic:blipFill>
                <pic:spPr>
                  <a:xfrm>
                    <a:off x="0" y="0"/>
                    <a:ext cx="1905000" cy="438150"/>
                  </a:xfrm>
                  <a:prstGeom prst="rect">
                    <a:avLst/>
                  </a:prstGeom>
                  <a:ln/>
                </pic:spPr>
              </pic:pic>
            </a:graphicData>
          </a:graphic>
        </wp:anchor>
      </w:drawing>
    </w:r>
    <w:r w:rsidR="00E2437F">
      <w:rPr>
        <w:color w:val="000000"/>
        <w:sz w:val="22"/>
        <w:szCs w:val="22"/>
      </w:rPr>
      <w:t>17</w:t>
    </w:r>
  </w:p>
  <w:p w:rsidR="00E3493E" w:rsidRDefault="001F4C85">
    <w:pPr>
      <w:pBdr>
        <w:top w:val="nil"/>
        <w:left w:val="nil"/>
        <w:bottom w:val="nil"/>
        <w:right w:val="nil"/>
        <w:between w:val="nil"/>
      </w:pBdr>
      <w:jc w:val="right"/>
      <w:rPr>
        <w:color w:val="000000"/>
        <w:sz w:val="22"/>
        <w:szCs w:val="22"/>
      </w:rPr>
    </w:pPr>
    <w:r>
      <w:rPr>
        <w:color w:val="000000"/>
        <w:sz w:val="22"/>
        <w:szCs w:val="22"/>
      </w:rPr>
      <w:t>Stockholm, Sweden</w:t>
    </w:r>
  </w:p>
  <w:p w:rsidR="00E3493E" w:rsidRDefault="00E3493E">
    <w:pPr>
      <w:tabs>
        <w:tab w:val="right" w:pos="7371"/>
      </w:tabs>
    </w:pPr>
  </w:p>
  <w:p w:rsidR="00E3493E" w:rsidRDefault="00E3493E">
    <w:pPr>
      <w:tabs>
        <w:tab w:val="right" w:pos="7371"/>
      </w:tabs>
    </w:pPr>
  </w:p>
  <w:p w:rsidR="00E3493E" w:rsidRDefault="001F4C85">
    <w:pPr>
      <w:tabs>
        <w:tab w:val="right" w:pos="7371"/>
      </w:tabs>
      <w:jc w:val="right"/>
    </w:pPr>
    <w:r>
      <w:tab/>
    </w:r>
    <w:r>
      <w:tab/>
    </w:r>
  </w:p>
  <w:p w:rsidR="00E3493E" w:rsidRDefault="001F4C85">
    <w:pPr>
      <w:tabs>
        <w:tab w:val="left" w:pos="2835"/>
        <w:tab w:val="right" w:pos="7371"/>
      </w:tabs>
    </w:pPr>
    <w:r>
      <w:rPr>
        <w:noProof/>
      </w:rPr>
      <mc:AlternateContent>
        <mc:Choice Requires="wpg">
          <w:drawing>
            <wp:anchor distT="4294967295" distB="4294967295" distL="114300" distR="114300" simplePos="0" relativeHeight="251659264" behindDoc="0" locked="0" layoutInCell="1" hidden="0" allowOverlap="1">
              <wp:simplePos x="0" y="0"/>
              <wp:positionH relativeFrom="column">
                <wp:posOffset>-2628899</wp:posOffset>
              </wp:positionH>
              <wp:positionV relativeFrom="paragraph">
                <wp:posOffset>170196</wp:posOffset>
              </wp:positionV>
              <wp:extent cx="3327400" cy="25400"/>
              <wp:effectExtent l="0" t="0" r="0" b="0"/>
              <wp:wrapNone/>
              <wp:docPr id="11" name="Straight Arrow Connector 11"/>
              <wp:cNvGraphicFramePr/>
              <a:graphic xmlns:a="http://schemas.openxmlformats.org/drawingml/2006/main">
                <a:graphicData uri="http://schemas.microsoft.com/office/word/2010/wordprocessingShape">
                  <wps:wsp>
                    <wps:cNvCnPr/>
                    <wps:spPr>
                      <a:xfrm>
                        <a:off x="3688650" y="3780000"/>
                        <a:ext cx="3314700" cy="0"/>
                      </a:xfrm>
                      <a:prstGeom prst="straightConnector1">
                        <a:avLst/>
                      </a:prstGeom>
                      <a:noFill/>
                      <a:ln w="12700" cap="flat" cmpd="sng">
                        <a:solidFill>
                          <a:srgbClr val="000000"/>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5" distT="4294967295" distL="114300" distR="114300" hidden="0" layoutInCell="1" locked="0" relativeHeight="0" simplePos="0">
              <wp:simplePos x="0" y="0"/>
              <wp:positionH relativeFrom="column">
                <wp:posOffset>-2628899</wp:posOffset>
              </wp:positionH>
              <wp:positionV relativeFrom="paragraph">
                <wp:posOffset>170196</wp:posOffset>
              </wp:positionV>
              <wp:extent cx="3327400" cy="25400"/>
              <wp:effectExtent b="0" l="0" r="0" t="0"/>
              <wp:wrapNone/>
              <wp:docPr id="1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3327400" cy="2540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14C1D"/>
    <w:multiLevelType w:val="multilevel"/>
    <w:tmpl w:val="52FAC526"/>
    <w:lvl w:ilvl="0">
      <w:start w:val="1"/>
      <w:numFmt w:val="lowerLetter"/>
      <w:lvlText w:val="%1)"/>
      <w:lvlJc w:val="left"/>
      <w:pPr>
        <w:ind w:left="-916" w:hanging="360"/>
      </w:pPr>
    </w:lvl>
    <w:lvl w:ilvl="1">
      <w:start w:val="1"/>
      <w:numFmt w:val="lowerLetter"/>
      <w:lvlText w:val="%2."/>
      <w:lvlJc w:val="left"/>
      <w:pPr>
        <w:ind w:left="-196" w:hanging="360"/>
      </w:pPr>
    </w:lvl>
    <w:lvl w:ilvl="2">
      <w:start w:val="1"/>
      <w:numFmt w:val="lowerRoman"/>
      <w:lvlText w:val="%3."/>
      <w:lvlJc w:val="right"/>
      <w:pPr>
        <w:ind w:left="524" w:hanging="180"/>
      </w:pPr>
    </w:lvl>
    <w:lvl w:ilvl="3">
      <w:start w:val="1"/>
      <w:numFmt w:val="decimal"/>
      <w:lvlText w:val="%4."/>
      <w:lvlJc w:val="left"/>
      <w:pPr>
        <w:ind w:left="1244" w:hanging="360"/>
      </w:pPr>
    </w:lvl>
    <w:lvl w:ilvl="4">
      <w:start w:val="1"/>
      <w:numFmt w:val="lowerLetter"/>
      <w:lvlText w:val="%5."/>
      <w:lvlJc w:val="left"/>
      <w:pPr>
        <w:ind w:left="1964" w:hanging="360"/>
      </w:pPr>
    </w:lvl>
    <w:lvl w:ilvl="5">
      <w:start w:val="1"/>
      <w:numFmt w:val="lowerRoman"/>
      <w:lvlText w:val="%6."/>
      <w:lvlJc w:val="right"/>
      <w:pPr>
        <w:ind w:left="2684" w:hanging="180"/>
      </w:pPr>
    </w:lvl>
    <w:lvl w:ilvl="6">
      <w:start w:val="1"/>
      <w:numFmt w:val="decimal"/>
      <w:lvlText w:val="%7."/>
      <w:lvlJc w:val="left"/>
      <w:pPr>
        <w:ind w:left="3404" w:hanging="360"/>
      </w:pPr>
    </w:lvl>
    <w:lvl w:ilvl="7">
      <w:start w:val="1"/>
      <w:numFmt w:val="lowerLetter"/>
      <w:lvlText w:val="%8."/>
      <w:lvlJc w:val="left"/>
      <w:pPr>
        <w:ind w:left="4124" w:hanging="360"/>
      </w:pPr>
    </w:lvl>
    <w:lvl w:ilvl="8">
      <w:start w:val="1"/>
      <w:numFmt w:val="lowerRoman"/>
      <w:lvlText w:val="%9."/>
      <w:lvlJc w:val="right"/>
      <w:pPr>
        <w:ind w:left="4844" w:hanging="180"/>
      </w:pPr>
    </w:lvl>
  </w:abstractNum>
  <w:abstractNum w:abstractNumId="1" w15:restartNumberingAfterBreak="0">
    <w:nsid w:val="6E3547BD"/>
    <w:multiLevelType w:val="multilevel"/>
    <w:tmpl w:val="DF988238"/>
    <w:lvl w:ilvl="0">
      <w:start w:val="1"/>
      <w:numFmt w:val="lowerLetter"/>
      <w:lvlText w:val="%1)"/>
      <w:lvlJc w:val="left"/>
      <w:pPr>
        <w:ind w:left="-916" w:hanging="360"/>
      </w:pPr>
      <w:rPr>
        <w:b w:val="0"/>
        <w:color w:val="000000"/>
      </w:rPr>
    </w:lvl>
    <w:lvl w:ilvl="1">
      <w:start w:val="1"/>
      <w:numFmt w:val="lowerLetter"/>
      <w:lvlText w:val="%2."/>
      <w:lvlJc w:val="left"/>
      <w:pPr>
        <w:ind w:left="-196" w:hanging="360"/>
      </w:pPr>
    </w:lvl>
    <w:lvl w:ilvl="2">
      <w:start w:val="1"/>
      <w:numFmt w:val="lowerRoman"/>
      <w:lvlText w:val="%3."/>
      <w:lvlJc w:val="right"/>
      <w:pPr>
        <w:ind w:left="524" w:hanging="180"/>
      </w:pPr>
    </w:lvl>
    <w:lvl w:ilvl="3">
      <w:start w:val="1"/>
      <w:numFmt w:val="decimal"/>
      <w:lvlText w:val="%4."/>
      <w:lvlJc w:val="left"/>
      <w:pPr>
        <w:ind w:left="1244" w:hanging="360"/>
      </w:pPr>
    </w:lvl>
    <w:lvl w:ilvl="4">
      <w:start w:val="1"/>
      <w:numFmt w:val="lowerLetter"/>
      <w:lvlText w:val="%5."/>
      <w:lvlJc w:val="left"/>
      <w:pPr>
        <w:ind w:left="1964" w:hanging="360"/>
      </w:pPr>
    </w:lvl>
    <w:lvl w:ilvl="5">
      <w:start w:val="1"/>
      <w:numFmt w:val="lowerRoman"/>
      <w:lvlText w:val="%6."/>
      <w:lvlJc w:val="right"/>
      <w:pPr>
        <w:ind w:left="2684" w:hanging="180"/>
      </w:pPr>
    </w:lvl>
    <w:lvl w:ilvl="6">
      <w:start w:val="1"/>
      <w:numFmt w:val="decimal"/>
      <w:lvlText w:val="%7."/>
      <w:lvlJc w:val="left"/>
      <w:pPr>
        <w:ind w:left="3404" w:hanging="360"/>
      </w:pPr>
    </w:lvl>
    <w:lvl w:ilvl="7">
      <w:start w:val="1"/>
      <w:numFmt w:val="lowerLetter"/>
      <w:lvlText w:val="%8."/>
      <w:lvlJc w:val="left"/>
      <w:pPr>
        <w:ind w:left="4124" w:hanging="360"/>
      </w:pPr>
    </w:lvl>
    <w:lvl w:ilvl="8">
      <w:start w:val="1"/>
      <w:numFmt w:val="lowerRoman"/>
      <w:lvlText w:val="%9."/>
      <w:lvlJc w:val="right"/>
      <w:pPr>
        <w:ind w:left="484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93E"/>
    <w:rsid w:val="001F4C85"/>
    <w:rsid w:val="007766A6"/>
    <w:rsid w:val="00E2437F"/>
    <w:rsid w:val="00E3493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4:docId w14:val="5CB2EE54"/>
  <w15:docId w15:val="{8CB055F4-272B-164E-8E6C-B6B1B4598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Garamond" w:hAnsi="Garamond" w:cs="Garamond"/>
        <w:sz w:val="24"/>
        <w:szCs w:val="24"/>
        <w:lang w:val="en-US" w:eastAsia="en-US" w:bidi="ar-SA"/>
      </w:rPr>
    </w:rPrDefault>
    <w:pPrDefault>
      <w:pPr>
        <w:tabs>
          <w:tab w:val="left" w:pos="3402"/>
        </w:tab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3EC9"/>
    <w:rPr>
      <w:lang w:eastAsia="sv-SE"/>
    </w:rPr>
  </w:style>
  <w:style w:type="paragraph" w:styleId="Heading1">
    <w:name w:val="heading 1"/>
    <w:basedOn w:val="Normal"/>
    <w:next w:val="Normal"/>
    <w:uiPriority w:val="9"/>
    <w:qFormat/>
    <w:rsid w:val="00BF4F90"/>
    <w:pPr>
      <w:keepNext/>
      <w:tabs>
        <w:tab w:val="left" w:pos="142"/>
      </w:tabs>
      <w:ind w:left="-1276"/>
      <w:outlineLvl w:val="0"/>
    </w:pPr>
    <w:rPr>
      <w:rFonts w:ascii="Helvetica" w:hAnsi="Helvetica"/>
      <w:color w:val="000000"/>
      <w:sz w:val="32"/>
    </w:rPr>
  </w:style>
  <w:style w:type="paragraph" w:styleId="Heading2">
    <w:name w:val="heading 2"/>
    <w:basedOn w:val="Normal"/>
    <w:next w:val="Normal"/>
    <w:uiPriority w:val="9"/>
    <w:semiHidden/>
    <w:unhideWhenUsed/>
    <w:qFormat/>
    <w:rsid w:val="002635F0"/>
    <w:pPr>
      <w:ind w:left="-1276"/>
      <w:outlineLvl w:val="1"/>
    </w:pPr>
    <w:rPr>
      <w:rFonts w:ascii="Helvetica" w:hAnsi="Helvetica"/>
      <w:lang w:val="en-GB"/>
    </w:rPr>
  </w:style>
  <w:style w:type="paragraph" w:styleId="Heading3">
    <w:name w:val="heading 3"/>
    <w:basedOn w:val="Normal"/>
    <w:next w:val="Normal"/>
    <w:uiPriority w:val="9"/>
    <w:semiHidden/>
    <w:unhideWhenUsed/>
    <w:qFormat/>
    <w:rsid w:val="00853EC9"/>
    <w:pPr>
      <w:keepNext/>
      <w:outlineLvl w:val="2"/>
    </w:pPr>
    <w:rPr>
      <w:rFonts w:ascii="Futura" w:hAnsi="Futura"/>
      <w:b/>
      <w:i/>
    </w:rPr>
  </w:style>
  <w:style w:type="paragraph" w:styleId="Heading4">
    <w:name w:val="heading 4"/>
    <w:basedOn w:val="Normal"/>
    <w:next w:val="Normal"/>
    <w:uiPriority w:val="9"/>
    <w:semiHidden/>
    <w:unhideWhenUsed/>
    <w:qFormat/>
    <w:rsid w:val="00853EC9"/>
    <w:pPr>
      <w:keepNext/>
      <w:outlineLvl w:val="3"/>
    </w:pPr>
    <w:rPr>
      <w:b/>
    </w:rPr>
  </w:style>
  <w:style w:type="paragraph" w:styleId="Heading5">
    <w:name w:val="heading 5"/>
    <w:basedOn w:val="Normal"/>
    <w:next w:val="Normal"/>
    <w:link w:val="Heading5Char"/>
    <w:uiPriority w:val="9"/>
    <w:semiHidden/>
    <w:unhideWhenUsed/>
    <w:qFormat/>
    <w:rsid w:val="00853EC9"/>
    <w:pPr>
      <w:outlineLvl w:val="4"/>
    </w:pPr>
    <w:rPr>
      <w:b/>
      <w:i/>
      <w:szCs w:val="26"/>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rsid w:val="00853EC9"/>
  </w:style>
  <w:style w:type="character" w:customStyle="1" w:styleId="BodyTextChar">
    <w:name w:val="Body Text Char"/>
    <w:link w:val="BodyText"/>
    <w:rsid w:val="00853EC9"/>
    <w:rPr>
      <w:rFonts w:ascii="Garamond" w:hAnsi="Garamond"/>
      <w:sz w:val="24"/>
    </w:rPr>
  </w:style>
  <w:style w:type="character" w:styleId="Hyperlink">
    <w:name w:val="Hyperlink"/>
    <w:rsid w:val="00853EC9"/>
    <w:rPr>
      <w:color w:val="0000FF"/>
      <w:u w:val="single"/>
    </w:rPr>
  </w:style>
  <w:style w:type="character" w:customStyle="1" w:styleId="Heading5Char">
    <w:name w:val="Heading 5 Char"/>
    <w:link w:val="Heading5"/>
    <w:rsid w:val="00853EC9"/>
    <w:rPr>
      <w:rFonts w:ascii="Garamond" w:hAnsi="Garamond"/>
      <w:b/>
      <w:i/>
      <w:sz w:val="24"/>
      <w:szCs w:val="26"/>
    </w:rPr>
  </w:style>
  <w:style w:type="character" w:styleId="LineNumber">
    <w:name w:val="line number"/>
    <w:rsid w:val="00853EC9"/>
    <w:rPr>
      <w:rFonts w:ascii="Garamond" w:hAnsi="Garamond"/>
      <w:i/>
      <w:sz w:val="12"/>
    </w:rPr>
  </w:style>
  <w:style w:type="paragraph" w:styleId="Footer">
    <w:name w:val="footer"/>
    <w:basedOn w:val="Normal"/>
    <w:link w:val="FooterChar"/>
    <w:rsid w:val="00853EC9"/>
    <w:pPr>
      <w:tabs>
        <w:tab w:val="center" w:pos="4536"/>
        <w:tab w:val="right" w:pos="9072"/>
      </w:tabs>
    </w:pPr>
  </w:style>
  <w:style w:type="character" w:customStyle="1" w:styleId="FooterChar">
    <w:name w:val="Footer Char"/>
    <w:link w:val="Footer"/>
    <w:rsid w:val="00853EC9"/>
    <w:rPr>
      <w:rFonts w:ascii="Garamond" w:hAnsi="Garamond"/>
      <w:sz w:val="24"/>
    </w:rPr>
  </w:style>
  <w:style w:type="paragraph" w:styleId="Header">
    <w:name w:val="header"/>
    <w:basedOn w:val="Normal"/>
    <w:link w:val="HeaderChar"/>
    <w:rsid w:val="00853EC9"/>
    <w:pPr>
      <w:tabs>
        <w:tab w:val="center" w:pos="4536"/>
        <w:tab w:val="right" w:pos="9072"/>
      </w:tabs>
    </w:pPr>
  </w:style>
  <w:style w:type="character" w:customStyle="1" w:styleId="HeaderChar">
    <w:name w:val="Header Char"/>
    <w:link w:val="Header"/>
    <w:rsid w:val="00853EC9"/>
    <w:rPr>
      <w:rFonts w:ascii="Garamond" w:hAnsi="Garamond"/>
      <w:sz w:val="24"/>
    </w:rPr>
  </w:style>
  <w:style w:type="paragraph" w:customStyle="1" w:styleId="Titel">
    <w:name w:val="Titel"/>
    <w:basedOn w:val="Normal"/>
    <w:next w:val="Normal"/>
    <w:rsid w:val="00853EC9"/>
    <w:pPr>
      <w:spacing w:after="240"/>
    </w:pPr>
    <w:rPr>
      <w:rFonts w:ascii="Futura" w:hAnsi="Futura"/>
      <w:b/>
      <w:spacing w:val="24"/>
      <w:sz w:val="40"/>
    </w:rPr>
  </w:style>
  <w:style w:type="paragraph" w:styleId="BalloonText">
    <w:name w:val="Balloon Text"/>
    <w:basedOn w:val="Normal"/>
    <w:link w:val="BalloonTextChar"/>
    <w:uiPriority w:val="99"/>
    <w:semiHidden/>
    <w:unhideWhenUsed/>
    <w:rsid w:val="00B66D49"/>
    <w:rPr>
      <w:rFonts w:ascii="Lucida Grande" w:hAnsi="Lucida Grande"/>
      <w:sz w:val="18"/>
      <w:szCs w:val="18"/>
    </w:rPr>
  </w:style>
  <w:style w:type="paragraph" w:customStyle="1" w:styleId="Adressflt">
    <w:name w:val="Adressfält"/>
    <w:basedOn w:val="Normal"/>
    <w:qFormat/>
    <w:rsid w:val="00D10137"/>
    <w:rPr>
      <w:sz w:val="22"/>
    </w:rPr>
  </w:style>
  <w:style w:type="character" w:customStyle="1" w:styleId="BalloonTextChar">
    <w:name w:val="Balloon Text Char"/>
    <w:link w:val="BalloonText"/>
    <w:uiPriority w:val="99"/>
    <w:semiHidden/>
    <w:rsid w:val="00B66D49"/>
    <w:rPr>
      <w:rFonts w:ascii="Lucida Grande" w:hAnsi="Lucida Grande"/>
      <w:sz w:val="18"/>
      <w:szCs w:val="18"/>
    </w:rPr>
  </w:style>
  <w:style w:type="paragraph" w:styleId="FootnoteText">
    <w:name w:val="footnote text"/>
    <w:basedOn w:val="Normal"/>
    <w:link w:val="FootnoteTextChar"/>
    <w:uiPriority w:val="99"/>
    <w:semiHidden/>
    <w:unhideWhenUsed/>
    <w:rsid w:val="001F4B7A"/>
    <w:rPr>
      <w:sz w:val="20"/>
    </w:rPr>
  </w:style>
  <w:style w:type="character" w:customStyle="1" w:styleId="FootnoteTextChar">
    <w:name w:val="Footnote Text Char"/>
    <w:basedOn w:val="DefaultParagraphFont"/>
    <w:link w:val="FootnoteText"/>
    <w:uiPriority w:val="99"/>
    <w:semiHidden/>
    <w:rsid w:val="001F4B7A"/>
    <w:rPr>
      <w:rFonts w:ascii="Garamond" w:hAnsi="Garamond"/>
      <w:lang w:eastAsia="sv-SE"/>
    </w:rPr>
  </w:style>
  <w:style w:type="character" w:styleId="FootnoteReference">
    <w:name w:val="footnote reference"/>
    <w:basedOn w:val="DefaultParagraphFont"/>
    <w:uiPriority w:val="99"/>
    <w:semiHidden/>
    <w:unhideWhenUsed/>
    <w:rsid w:val="001F4B7A"/>
    <w:rPr>
      <w:vertAlign w:val="superscript"/>
    </w:rPr>
  </w:style>
  <w:style w:type="paragraph" w:styleId="ListParagraph">
    <w:name w:val="List Paragraph"/>
    <w:basedOn w:val="Normal"/>
    <w:uiPriority w:val="72"/>
    <w:qFormat/>
    <w:rsid w:val="00547E46"/>
    <w:pPr>
      <w:ind w:left="720"/>
      <w:contextualSpacing/>
    </w:pPr>
  </w:style>
  <w:style w:type="character" w:styleId="CommentReference">
    <w:name w:val="annotation reference"/>
    <w:basedOn w:val="DefaultParagraphFont"/>
    <w:uiPriority w:val="99"/>
    <w:semiHidden/>
    <w:unhideWhenUsed/>
    <w:rsid w:val="00F2391A"/>
    <w:rPr>
      <w:sz w:val="16"/>
      <w:szCs w:val="16"/>
    </w:rPr>
  </w:style>
  <w:style w:type="paragraph" w:styleId="CommentText">
    <w:name w:val="annotation text"/>
    <w:basedOn w:val="Normal"/>
    <w:link w:val="CommentTextChar"/>
    <w:uiPriority w:val="99"/>
    <w:semiHidden/>
    <w:unhideWhenUsed/>
    <w:rsid w:val="00F2391A"/>
    <w:pPr>
      <w:ind w:left="-1276"/>
    </w:pPr>
    <w:rPr>
      <w:sz w:val="20"/>
    </w:rPr>
  </w:style>
  <w:style w:type="character" w:customStyle="1" w:styleId="CommentTextChar">
    <w:name w:val="Comment Text Char"/>
    <w:basedOn w:val="DefaultParagraphFont"/>
    <w:link w:val="CommentText"/>
    <w:uiPriority w:val="99"/>
    <w:semiHidden/>
    <w:rsid w:val="00F2391A"/>
    <w:rPr>
      <w:rFonts w:ascii="Garamond" w:hAnsi="Garamond"/>
      <w:lang w:eastAsia="sv-SE"/>
    </w:rPr>
  </w:style>
  <w:style w:type="paragraph" w:styleId="NormalWeb">
    <w:name w:val="Normal (Web)"/>
    <w:basedOn w:val="Normal"/>
    <w:uiPriority w:val="99"/>
    <w:semiHidden/>
    <w:unhideWhenUsed/>
    <w:rsid w:val="008F4DD2"/>
    <w:rPr>
      <w:rFonts w:ascii="Times New Roman" w:hAnsi="Times New Roman"/>
    </w:rPr>
  </w:style>
  <w:style w:type="paragraph" w:styleId="CommentSubject">
    <w:name w:val="annotation subject"/>
    <w:basedOn w:val="CommentText"/>
    <w:next w:val="CommentText"/>
    <w:link w:val="CommentSubjectChar"/>
    <w:uiPriority w:val="99"/>
    <w:semiHidden/>
    <w:unhideWhenUsed/>
    <w:rsid w:val="000933FE"/>
    <w:pPr>
      <w:ind w:left="0"/>
    </w:pPr>
    <w:rPr>
      <w:b/>
      <w:bCs/>
    </w:rPr>
  </w:style>
  <w:style w:type="character" w:customStyle="1" w:styleId="CommentSubjectChar">
    <w:name w:val="Comment Subject Char"/>
    <w:basedOn w:val="CommentTextChar"/>
    <w:link w:val="CommentSubject"/>
    <w:uiPriority w:val="99"/>
    <w:semiHidden/>
    <w:rsid w:val="000933FE"/>
    <w:rPr>
      <w:rFonts w:ascii="Garamond" w:hAnsi="Garamond"/>
      <w:b/>
      <w:bCs/>
      <w:lang w:eastAsia="sv-SE"/>
    </w:rPr>
  </w:style>
  <w:style w:type="paragraph" w:styleId="Revision">
    <w:name w:val="Revision"/>
    <w:hidden/>
    <w:uiPriority w:val="71"/>
    <w:rsid w:val="004E0032"/>
    <w:rPr>
      <w:lang w:eastAsia="sv-SE"/>
    </w:rPr>
  </w:style>
  <w:style w:type="character" w:styleId="UnresolvedMention">
    <w:name w:val="Unresolved Mention"/>
    <w:basedOn w:val="DefaultParagraphFont"/>
    <w:uiPriority w:val="99"/>
    <w:semiHidden/>
    <w:unhideWhenUsed/>
    <w:rsid w:val="00370578"/>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CPR%2FC%2F103%2FD%2F1833%2F2008&amp;Lang=en" TargetMode="External"/><Relationship Id="rId3" Type="http://schemas.openxmlformats.org/officeDocument/2006/relationships/hyperlink" Target="http://juris.ohchr.org/Search/Details/157" TargetMode="External"/><Relationship Id="rId7" Type="http://schemas.openxmlformats.org/officeDocument/2006/relationships/hyperlink" Target="http://tbinternet.ohchr.org/_layouts/treatybodyexternal/Download.aspx?symbolno=CAT%2fC%2f61%2fD%2f690%2f2015&amp;Lang=en" TargetMode="External"/><Relationship Id="rId2" Type="http://schemas.openxmlformats.org/officeDocument/2006/relationships/hyperlink" Target="http://juris.ohchr.org/Search/Details/157" TargetMode="External"/><Relationship Id="rId1" Type="http://schemas.openxmlformats.org/officeDocument/2006/relationships/hyperlink" Target="https://www.rfsl.se/wp-content/uploads/2020/12/Rapport-AVSLAGSMOTIVERINGAR-I-H-BTQI-ASYL%C3%84RENDEN-2020.11.09.pdf" TargetMode="External"/><Relationship Id="rId6" Type="http://schemas.openxmlformats.org/officeDocument/2006/relationships/hyperlink" Target="http://tbinternet.ohchr.org/_layouts/treatybodyexternal/Download.aspx?symbolno=CAT%2fC%2f61%2fD%2f690%2f2015&amp;Lang=en" TargetMode="External"/><Relationship Id="rId11" Type="http://schemas.openxmlformats.org/officeDocument/2006/relationships/hyperlink" Target="http://tbinternet.ohchr.org/_layouts/treatybodyexternal/Download.aspx?symbolno=CCPR%2FC%2F108%2FD%2F2149%2F2012&amp;Lang=en" TargetMode="External"/><Relationship Id="rId5" Type="http://schemas.openxmlformats.org/officeDocument/2006/relationships/hyperlink" Target="http://tbinternet.ohchr.org/_layouts/treatybodyexternal/Download.aspx?symbolno=CAT%2FC%2F46%2FD%2F338%2F2008&amp;Lang=en" TargetMode="External"/><Relationship Id="rId10" Type="http://schemas.openxmlformats.org/officeDocument/2006/relationships/hyperlink" Target="http://tbinternet.ohchr.org/_layouts/treatybodyexternal/Download.aspx?symbolno=CCPR%2FC%2F108%2FD%2F2149%2F2012&amp;Lang=en" TargetMode="External"/><Relationship Id="rId4" Type="http://schemas.openxmlformats.org/officeDocument/2006/relationships/hyperlink" Target="http://tbinternet.ohchr.org/_layouts/treatybodyexternal/Download.aspx?symbolno=CAT%2FC%2F46%2FD%2F338%2F2008&amp;Lang=en" TargetMode="External"/><Relationship Id="rId9" Type="http://schemas.openxmlformats.org/officeDocument/2006/relationships/hyperlink" Target="http://tbinternet.ohchr.org/_layouts/treatybodyexternal/Download.aspx?symbolno=CCPR%2FC%2F103%2FD%2F1833%2F2008&amp;Lang=e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85ZAgLDJ/VSxEW6Dw/2G7qy4iuQ==">AMUW2mW6yRsw8oM9zmWZNDImGrQoIxU3TMI6rBgkkSsajoTpfpp0YUG+scemCv1VAsP39/yi8k6tmise71/OrsnkVgy+oQ9DSdnfZxJpYsH8eKoSEaYWjemnLlQJvthNg+ra/b4v6k29</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D498146-2480-4214-96CF-04856010F3D8}"/>
</file>

<file path=customXml/itemProps3.xml><?xml version="1.0" encoding="utf-8"?>
<ds:datastoreItem xmlns:ds="http://schemas.openxmlformats.org/officeDocument/2006/customXml" ds:itemID="{310FD060-7C26-48C0-9B30-9A20D479DE04}"/>
</file>

<file path=customXml/itemProps4.xml><?xml version="1.0" encoding="utf-8"?>
<ds:datastoreItem xmlns:ds="http://schemas.openxmlformats.org/officeDocument/2006/customXml" ds:itemID="{3881C24B-1CF5-494A-90D5-7FF38DB8125C}"/>
</file>

<file path=docProps/app.xml><?xml version="1.0" encoding="utf-8"?>
<Properties xmlns="http://schemas.openxmlformats.org/officeDocument/2006/extended-properties" xmlns:vt="http://schemas.openxmlformats.org/officeDocument/2006/docPropsVTypes">
  <Template>Normal.dotm</Template>
  <TotalTime>5</TotalTime>
  <Pages>7</Pages>
  <Words>2283</Words>
  <Characters>13015</Characters>
  <Application>Microsoft Office Word</Application>
  <DocSecurity>0</DocSecurity>
  <Lines>108</Lines>
  <Paragraphs>30</Paragraphs>
  <ScaleCrop>false</ScaleCrop>
  <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 Orre</dc:creator>
  <cp:lastModifiedBy>Carolina Orre</cp:lastModifiedBy>
  <cp:revision>3</cp:revision>
  <dcterms:created xsi:type="dcterms:W3CDTF">2021-09-17T10:22:00Z</dcterms:created>
  <dcterms:modified xsi:type="dcterms:W3CDTF">2021-09-17T10:27:00Z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