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Garamond" w:cs="Garamond" w:eastAsia="Garamond" w:hAnsi="Garamond"/>
          <w:b w:val="1"/>
          <w:bCs w:val="1"/>
          <w:sz w:val="36"/>
          <w:szCs w:val="36"/>
        </w:rPr>
      </w:pPr>
      <w:r w:rsidDel="00000000" w:rsidR="00000000" w:rsidRPr="00000000">
        <w:rPr>
          <w:rtl w:val="0"/>
        </w:rPr>
      </w:r>
    </w:p>
    <w:p w:rsidR="00000000" w:rsidDel="00000000" w:rsidP="00000000" w:rsidRDefault="00000000" w:rsidRPr="00000000" w14:paraId="00000002">
      <w:pPr>
        <w:jc w:val="center"/>
        <w:rPr>
          <w:rFonts w:ascii="Garamond" w:cs="Garamond" w:eastAsia="Garamond" w:hAnsi="Garamond"/>
          <w:b w:val="1"/>
          <w:bCs w:val="1"/>
          <w:sz w:val="36"/>
          <w:szCs w:val="36"/>
        </w:rPr>
      </w:pPr>
      <w:r w:rsidDel="00000000" w:rsidR="00000000" w:rsidRPr="00000000">
        <w:rPr>
          <w:rtl w:val="0"/>
        </w:rPr>
      </w:r>
    </w:p>
    <w:p w:rsidR="00000000" w:rsidDel="00000000" w:rsidP="00000000" w:rsidRDefault="00000000" w:rsidRPr="00000000" w14:paraId="00000003">
      <w:pPr>
        <w:jc w:val="center"/>
        <w:rPr>
          <w:rFonts w:ascii="Garamond" w:cs="Garamond" w:eastAsia="Garamond" w:hAnsi="Garamond"/>
          <w:b w:val="1"/>
          <w:bCs w:val="1"/>
          <w:sz w:val="36"/>
          <w:szCs w:val="36"/>
        </w:rPr>
      </w:pPr>
      <w:r w:rsidDel="00000000" w:rsidR="00000000" w:rsidRPr="00000000">
        <w:rPr>
          <w:rFonts w:ascii="Garamond" w:cs="Garamond" w:eastAsia="Garamond" w:hAnsi="Garamond"/>
          <w:b w:val="1"/>
          <w:bCs w:val="1"/>
          <w:sz w:val="36"/>
          <w:szCs w:val="36"/>
          <w:rtl w:val="0"/>
        </w:rPr>
        <w:t xml:space="preserve">Comité de Derechos Económicos, Sociales y Culturales de Naciones Unidas</w:t>
      </w:r>
    </w:p>
    <w:p w:rsidR="00000000" w:rsidDel="00000000" w:rsidP="00000000" w:rsidRDefault="00000000" w:rsidRPr="00000000" w14:paraId="00000004">
      <w:pPr>
        <w:jc w:val="center"/>
        <w:rPr>
          <w:rFonts w:ascii="Garamond" w:cs="Garamond" w:eastAsia="Garamond" w:hAnsi="Garamond"/>
          <w:b w:val="1"/>
          <w:bCs w:val="1"/>
          <w:sz w:val="36"/>
          <w:szCs w:val="36"/>
        </w:rPr>
      </w:pPr>
      <w:r w:rsidDel="00000000" w:rsidR="00000000" w:rsidRPr="00000000">
        <w:rPr>
          <w:rtl w:val="0"/>
        </w:rPr>
      </w:r>
    </w:p>
    <w:p w:rsidR="00000000" w:rsidDel="00000000" w:rsidP="00000000" w:rsidRDefault="00000000" w:rsidRPr="00000000" w14:paraId="00000005">
      <w:pPr>
        <w:jc w:val="center"/>
        <w:rPr>
          <w:rFonts w:ascii="Garamond" w:cs="Garamond" w:eastAsia="Garamond" w:hAnsi="Garamond"/>
          <w:b w:val="1"/>
          <w:bCs w:val="1"/>
          <w:sz w:val="36"/>
          <w:szCs w:val="36"/>
        </w:rPr>
      </w:pPr>
      <w:r w:rsidDel="00000000" w:rsidR="00000000" w:rsidRPr="00000000">
        <w:rPr>
          <w:rtl w:val="0"/>
        </w:rPr>
      </w:r>
    </w:p>
    <w:p w:rsidR="00000000" w:rsidDel="00000000" w:rsidP="00000000" w:rsidRDefault="00000000" w:rsidRPr="00000000" w14:paraId="00000006">
      <w:pPr>
        <w:jc w:val="center"/>
        <w:rPr>
          <w:rFonts w:ascii="Garamond" w:cs="Garamond" w:eastAsia="Garamond" w:hAnsi="Garamond"/>
          <w:b w:val="1"/>
          <w:bCs w:val="1"/>
          <w:sz w:val="36"/>
          <w:szCs w:val="36"/>
        </w:rPr>
      </w:pPr>
      <w:r w:rsidDel="00000000" w:rsidR="00000000" w:rsidRPr="00000000">
        <w:rPr>
          <w:rtl w:val="0"/>
        </w:rPr>
      </w:r>
    </w:p>
    <w:p w:rsidR="00000000" w:rsidDel="00000000" w:rsidP="00000000" w:rsidRDefault="00000000" w:rsidRPr="00000000" w14:paraId="00000007">
      <w:pPr>
        <w:jc w:val="center"/>
        <w:rPr>
          <w:rFonts w:ascii="Garamond" w:cs="Garamond" w:eastAsia="Garamond" w:hAnsi="Garamond"/>
          <w:b w:val="1"/>
          <w:bCs w:val="1"/>
          <w:sz w:val="36"/>
          <w:szCs w:val="36"/>
        </w:rPr>
      </w:pPr>
      <w:r w:rsidDel="00000000" w:rsidR="00000000" w:rsidRPr="00000000">
        <w:rPr>
          <w:rFonts w:ascii="Garamond" w:cs="Garamond" w:eastAsia="Garamond" w:hAnsi="Garamond"/>
          <w:b w:val="1"/>
          <w:bCs w:val="1"/>
          <w:sz w:val="36"/>
          <w:szCs w:val="36"/>
          <w:rtl w:val="0"/>
        </w:rPr>
        <w:t xml:space="preserve">Situación de las personas LGBTQ+ en Ecuador </w:t>
      </w:r>
    </w:p>
    <w:p w:rsidR="00000000" w:rsidDel="00000000" w:rsidP="00000000" w:rsidRDefault="00000000" w:rsidRPr="00000000" w14:paraId="00000008">
      <w:pPr>
        <w:jc w:val="center"/>
        <w:rPr>
          <w:rFonts w:ascii="Garamond" w:cs="Garamond" w:eastAsia="Garamond" w:hAnsi="Garamond"/>
          <w:b w:val="1"/>
          <w:bCs w:val="1"/>
          <w:sz w:val="36"/>
          <w:szCs w:val="36"/>
        </w:rPr>
      </w:pPr>
      <w:r w:rsidDel="00000000" w:rsidR="00000000" w:rsidRPr="00000000">
        <w:rPr>
          <w:rtl w:val="0"/>
        </w:rPr>
      </w:r>
    </w:p>
    <w:p w:rsidR="00000000" w:rsidDel="00000000" w:rsidP="00000000" w:rsidRDefault="00000000" w:rsidRPr="00000000" w14:paraId="00000009">
      <w:pPr>
        <w:jc w:val="center"/>
        <w:rPr>
          <w:rFonts w:ascii="Garamond" w:cs="Garamond" w:eastAsia="Garamond" w:hAnsi="Garamond"/>
          <w:b w:val="1"/>
          <w:bCs w:val="1"/>
          <w:sz w:val="36"/>
          <w:szCs w:val="36"/>
        </w:rPr>
      </w:pPr>
      <w:r w:rsidDel="00000000" w:rsidR="00000000" w:rsidRPr="00000000">
        <w:rPr>
          <w:rtl w:val="0"/>
        </w:rPr>
      </w:r>
    </w:p>
    <w:p w:rsidR="00000000" w:rsidDel="00000000" w:rsidP="00000000" w:rsidRDefault="00000000" w:rsidRPr="00000000" w14:paraId="0000000A">
      <w:pPr>
        <w:jc w:val="center"/>
        <w:rPr>
          <w:rFonts w:ascii="Garamond" w:cs="Garamond" w:eastAsia="Garamond" w:hAnsi="Garamond"/>
          <w:sz w:val="30"/>
          <w:szCs w:val="30"/>
        </w:rPr>
      </w:pPr>
      <w:r w:rsidDel="00000000" w:rsidR="00000000" w:rsidRPr="00000000">
        <w:rPr>
          <w:rFonts w:ascii="Garamond" w:cs="Garamond" w:eastAsia="Garamond" w:hAnsi="Garamond"/>
          <w:sz w:val="30"/>
          <w:szCs w:val="30"/>
          <w:rtl w:val="0"/>
        </w:rPr>
        <w:t xml:space="preserve">Lista de Cuestiones sugeridas al Comité para que se le eleven a la República de Ecuador en el marco de la sesión 79°</w:t>
      </w:r>
    </w:p>
    <w:p w:rsidR="00000000" w:rsidDel="00000000" w:rsidP="00000000" w:rsidRDefault="00000000" w:rsidRPr="00000000" w14:paraId="0000000B">
      <w:pPr>
        <w:jc w:val="center"/>
        <w:rPr>
          <w:rFonts w:ascii="Garamond" w:cs="Garamond" w:eastAsia="Garamond" w:hAnsi="Garamond"/>
          <w:sz w:val="30"/>
          <w:szCs w:val="30"/>
        </w:rPr>
      </w:pPr>
      <w:r w:rsidDel="00000000" w:rsidR="00000000" w:rsidRPr="00000000">
        <w:rPr>
          <w:rFonts w:ascii="Garamond" w:cs="Garamond" w:eastAsia="Garamond" w:hAnsi="Garamond"/>
          <w:sz w:val="30"/>
          <w:szCs w:val="30"/>
          <w:rtl w:val="0"/>
        </w:rPr>
        <w:t xml:space="preserve"> (febrero-marzo 2026)</w:t>
      </w:r>
    </w:p>
    <w:p w:rsidR="00000000" w:rsidDel="00000000" w:rsidP="00000000" w:rsidRDefault="00000000" w:rsidRPr="00000000" w14:paraId="0000000C">
      <w:pPr>
        <w:spacing w:line="240" w:lineRule="auto"/>
        <w:jc w:val="center"/>
        <w:rPr>
          <w:rFonts w:ascii="Garamond" w:cs="Garamond" w:eastAsia="Garamond" w:hAnsi="Garamond"/>
          <w:sz w:val="30"/>
          <w:szCs w:val="30"/>
        </w:rPr>
      </w:pPr>
      <w:r w:rsidDel="00000000" w:rsidR="00000000" w:rsidRPr="00000000">
        <w:rPr>
          <w:rtl w:val="0"/>
        </w:rPr>
      </w:r>
    </w:p>
    <w:p w:rsidR="00000000" w:rsidDel="00000000" w:rsidP="00000000" w:rsidRDefault="00000000" w:rsidRPr="00000000" w14:paraId="0000000D">
      <w:pPr>
        <w:jc w:val="center"/>
        <w:rPr>
          <w:rFonts w:ascii="Garamond" w:cs="Garamond" w:eastAsia="Garamond" w:hAnsi="Garamond"/>
          <w:sz w:val="36"/>
          <w:szCs w:val="36"/>
        </w:rPr>
      </w:pPr>
      <w:r w:rsidDel="00000000" w:rsidR="00000000" w:rsidRPr="00000000">
        <w:rPr>
          <w:rtl w:val="0"/>
        </w:rPr>
      </w:r>
    </w:p>
    <w:p w:rsidR="00000000" w:rsidDel="00000000" w:rsidP="00000000" w:rsidRDefault="00000000" w:rsidRPr="00000000" w14:paraId="0000000E">
      <w:pPr>
        <w:jc w:val="center"/>
        <w:rPr>
          <w:rFonts w:ascii="Garamond" w:cs="Garamond" w:eastAsia="Garamond" w:hAnsi="Garamond"/>
          <w:sz w:val="36"/>
          <w:szCs w:val="36"/>
        </w:rPr>
      </w:pPr>
      <w:r w:rsidDel="00000000" w:rsidR="00000000" w:rsidRPr="00000000">
        <w:rPr>
          <w:rtl w:val="0"/>
        </w:rPr>
      </w:r>
    </w:p>
    <w:p w:rsidR="00000000" w:rsidDel="00000000" w:rsidP="00000000" w:rsidRDefault="00000000" w:rsidRPr="00000000" w14:paraId="0000000F">
      <w:pPr>
        <w:jc w:val="center"/>
        <w:rPr>
          <w:rFonts w:ascii="Garamond" w:cs="Garamond" w:eastAsia="Garamond" w:hAnsi="Garamond"/>
          <w:sz w:val="36"/>
          <w:szCs w:val="36"/>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152400</wp:posOffset>
            </wp:positionH>
            <wp:positionV relativeFrom="paragraph">
              <wp:posOffset>219075</wp:posOffset>
            </wp:positionV>
            <wp:extent cx="2245408" cy="1925498"/>
            <wp:effectExtent b="0" l="0" r="0" t="0"/>
            <wp:wrapNone/>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245408" cy="1925498"/>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2981325</wp:posOffset>
            </wp:positionH>
            <wp:positionV relativeFrom="paragraph">
              <wp:posOffset>203393</wp:posOffset>
            </wp:positionV>
            <wp:extent cx="2778450" cy="1845148"/>
            <wp:effectExtent b="0" l="0" r="0" t="0"/>
            <wp:wrapNone/>
            <wp:docPr id="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778450" cy="1845148"/>
                    </a:xfrm>
                    <a:prstGeom prst="rect"/>
                    <a:ln/>
                  </pic:spPr>
                </pic:pic>
              </a:graphicData>
            </a:graphic>
          </wp:anchor>
        </w:drawing>
      </w:r>
    </w:p>
    <w:p w:rsidR="00000000" w:rsidDel="00000000" w:rsidP="00000000" w:rsidRDefault="00000000" w:rsidRPr="00000000" w14:paraId="00000010">
      <w:pPr>
        <w:jc w:val="center"/>
        <w:rPr>
          <w:rFonts w:ascii="Garamond" w:cs="Garamond" w:eastAsia="Garamond" w:hAnsi="Garamond"/>
          <w:sz w:val="36"/>
          <w:szCs w:val="36"/>
        </w:rPr>
      </w:pPr>
      <w:r w:rsidDel="00000000" w:rsidR="00000000" w:rsidRPr="00000000">
        <w:rPr>
          <w:rtl w:val="0"/>
        </w:rPr>
      </w:r>
    </w:p>
    <w:p w:rsidR="00000000" w:rsidDel="00000000" w:rsidP="00000000" w:rsidRDefault="00000000" w:rsidRPr="00000000" w14:paraId="00000011">
      <w:pPr>
        <w:jc w:val="center"/>
        <w:rPr>
          <w:rFonts w:ascii="Garamond" w:cs="Garamond" w:eastAsia="Garamond" w:hAnsi="Garamond"/>
          <w:sz w:val="36"/>
          <w:szCs w:val="36"/>
        </w:rPr>
      </w:pPr>
      <w:r w:rsidDel="00000000" w:rsidR="00000000" w:rsidRPr="00000000">
        <w:rPr>
          <w:rtl w:val="0"/>
        </w:rPr>
      </w:r>
    </w:p>
    <w:p w:rsidR="00000000" w:rsidDel="00000000" w:rsidP="00000000" w:rsidRDefault="00000000" w:rsidRPr="00000000" w14:paraId="00000012">
      <w:pPr>
        <w:jc w:val="center"/>
        <w:rPr>
          <w:rFonts w:ascii="Garamond" w:cs="Garamond" w:eastAsia="Garamond" w:hAnsi="Garamond"/>
          <w:sz w:val="36"/>
          <w:szCs w:val="36"/>
        </w:rPr>
      </w:pPr>
      <w:r w:rsidDel="00000000" w:rsidR="00000000" w:rsidRPr="00000000">
        <w:rPr>
          <w:rtl w:val="0"/>
        </w:rPr>
      </w:r>
    </w:p>
    <w:p w:rsidR="00000000" w:rsidDel="00000000" w:rsidP="00000000" w:rsidRDefault="00000000" w:rsidRPr="00000000" w14:paraId="00000013">
      <w:pPr>
        <w:jc w:val="center"/>
        <w:rPr>
          <w:rFonts w:ascii="Garamond" w:cs="Garamond" w:eastAsia="Garamond" w:hAnsi="Garamond"/>
          <w:sz w:val="36"/>
          <w:szCs w:val="36"/>
        </w:rPr>
      </w:pPr>
      <w:r w:rsidDel="00000000" w:rsidR="00000000" w:rsidRPr="00000000">
        <w:rPr>
          <w:rtl w:val="0"/>
        </w:rPr>
      </w:r>
    </w:p>
    <w:p w:rsidR="00000000" w:rsidDel="00000000" w:rsidP="00000000" w:rsidRDefault="00000000" w:rsidRPr="00000000" w14:paraId="00000014">
      <w:pPr>
        <w:jc w:val="center"/>
        <w:rPr>
          <w:rFonts w:ascii="Garamond" w:cs="Garamond" w:eastAsia="Garamond" w:hAnsi="Garamond"/>
          <w:sz w:val="36"/>
          <w:szCs w:val="36"/>
        </w:rPr>
      </w:pPr>
      <w:r w:rsidDel="00000000" w:rsidR="00000000" w:rsidRPr="00000000">
        <w:rPr>
          <w:rtl w:val="0"/>
        </w:rPr>
      </w:r>
    </w:p>
    <w:p w:rsidR="00000000" w:rsidDel="00000000" w:rsidP="00000000" w:rsidRDefault="00000000" w:rsidRPr="00000000" w14:paraId="00000015">
      <w:pPr>
        <w:jc w:val="center"/>
        <w:rPr>
          <w:rFonts w:ascii="Garamond" w:cs="Garamond" w:eastAsia="Garamond" w:hAnsi="Garamond"/>
          <w:sz w:val="36"/>
          <w:szCs w:val="36"/>
        </w:rPr>
      </w:pPr>
      <w:r w:rsidDel="00000000" w:rsidR="00000000" w:rsidRPr="00000000">
        <w:rPr>
          <w:rtl w:val="0"/>
        </w:rPr>
      </w:r>
    </w:p>
    <w:p w:rsidR="00000000" w:rsidDel="00000000" w:rsidP="00000000" w:rsidRDefault="00000000" w:rsidRPr="00000000" w14:paraId="00000016">
      <w:pPr>
        <w:jc w:val="left"/>
        <w:rPr>
          <w:rFonts w:ascii="Garamond" w:cs="Garamond" w:eastAsia="Garamond" w:hAnsi="Garamond"/>
          <w:sz w:val="36"/>
          <w:szCs w:val="36"/>
        </w:rPr>
      </w:pPr>
      <w:r w:rsidDel="00000000" w:rsidR="00000000" w:rsidRPr="00000000">
        <w:rPr>
          <w:rtl w:val="0"/>
        </w:rPr>
      </w:r>
    </w:p>
    <w:p w:rsidR="00000000" w:rsidDel="00000000" w:rsidP="00000000" w:rsidRDefault="00000000" w:rsidRPr="00000000" w14:paraId="00000017">
      <w:pPr>
        <w:jc w:val="left"/>
        <w:rPr>
          <w:rFonts w:ascii="Garamond" w:cs="Garamond" w:eastAsia="Garamond" w:hAnsi="Garamond"/>
          <w:sz w:val="36"/>
          <w:szCs w:val="36"/>
        </w:rPr>
      </w:pPr>
      <w:r w:rsidDel="00000000" w:rsidR="00000000" w:rsidRPr="00000000">
        <w:rPr>
          <w:rtl w:val="0"/>
        </w:rPr>
      </w:r>
    </w:p>
    <w:p w:rsidR="00000000" w:rsidDel="00000000" w:rsidP="00000000" w:rsidRDefault="00000000" w:rsidRPr="00000000" w14:paraId="00000018">
      <w:pPr>
        <w:jc w:val="center"/>
        <w:rPr>
          <w:rFonts w:ascii="Garamond" w:cs="Garamond" w:eastAsia="Garamond" w:hAnsi="Garamond"/>
          <w:sz w:val="36"/>
          <w:szCs w:val="36"/>
        </w:rPr>
      </w:pPr>
      <w:r w:rsidDel="00000000" w:rsidR="00000000" w:rsidRPr="00000000">
        <w:rPr>
          <w:rtl w:val="0"/>
        </w:rPr>
      </w:r>
    </w:p>
    <w:p w:rsidR="00000000" w:rsidDel="00000000" w:rsidP="00000000" w:rsidRDefault="00000000" w:rsidRPr="00000000" w14:paraId="00000019">
      <w:pPr>
        <w:jc w:val="center"/>
        <w:rPr>
          <w:rFonts w:ascii="Garamond" w:cs="Garamond" w:eastAsia="Garamond" w:hAnsi="Garamond"/>
          <w:b w:val="1"/>
          <w:bCs w:val="1"/>
          <w:sz w:val="36"/>
          <w:szCs w:val="36"/>
        </w:rPr>
      </w:pPr>
      <w:r w:rsidDel="00000000" w:rsidR="00000000" w:rsidRPr="00000000">
        <w:rPr>
          <w:rFonts w:ascii="Garamond" w:cs="Garamond" w:eastAsia="Garamond" w:hAnsi="Garamond"/>
          <w:b w:val="1"/>
          <w:bCs w:val="1"/>
          <w:sz w:val="36"/>
          <w:szCs w:val="36"/>
          <w:rtl w:val="0"/>
        </w:rPr>
        <w:t xml:space="preserve">Noviembre 2025</w:t>
      </w:r>
    </w:p>
    <w:p w:rsidR="00000000" w:rsidDel="00000000" w:rsidP="00000000" w:rsidRDefault="00000000" w:rsidRPr="00000000" w14:paraId="0000001A">
      <w:pPr>
        <w:jc w:val="center"/>
        <w:rPr>
          <w:rFonts w:ascii="Garamond" w:cs="Garamond" w:eastAsia="Garamond" w:hAnsi="Garamond"/>
          <w:b w:val="1"/>
          <w:bCs w:val="1"/>
          <w:sz w:val="36"/>
          <w:szCs w:val="36"/>
        </w:rPr>
      </w:pPr>
      <w:r w:rsidDel="00000000" w:rsidR="00000000" w:rsidRPr="00000000">
        <w:rPr>
          <w:rtl w:val="0"/>
        </w:rPr>
      </w:r>
    </w:p>
    <w:p w:rsidR="00000000" w:rsidDel="00000000" w:rsidP="00000000" w:rsidRDefault="00000000" w:rsidRPr="00000000" w14:paraId="0000001B">
      <w:pPr>
        <w:jc w:val="center"/>
        <w:rPr>
          <w:rFonts w:ascii="Garamond" w:cs="Garamond" w:eastAsia="Garamond" w:hAnsi="Garamond"/>
          <w:b w:val="1"/>
          <w:bCs w:val="1"/>
          <w:sz w:val="36"/>
          <w:szCs w:val="36"/>
        </w:rPr>
      </w:pPr>
      <w:r w:rsidDel="00000000" w:rsidR="00000000" w:rsidRPr="00000000">
        <w:rPr>
          <w:rtl w:val="0"/>
        </w:rPr>
      </w:r>
    </w:p>
    <w:p w:rsidR="00000000" w:rsidDel="00000000" w:rsidP="00000000" w:rsidRDefault="00000000" w:rsidRPr="00000000" w14:paraId="0000001C">
      <w:pPr>
        <w:jc w:val="center"/>
        <w:rPr>
          <w:rFonts w:ascii="Garamond" w:cs="Garamond" w:eastAsia="Garamond" w:hAnsi="Garamond"/>
          <w:b w:val="1"/>
          <w:bCs w:val="1"/>
          <w:sz w:val="36"/>
          <w:szCs w:val="36"/>
        </w:rPr>
      </w:pPr>
      <w:r w:rsidDel="00000000" w:rsidR="00000000" w:rsidRPr="00000000">
        <w:rPr>
          <w:rtl w:val="0"/>
        </w:rPr>
      </w:r>
    </w:p>
    <w:p w:rsidR="00000000" w:rsidDel="00000000" w:rsidP="00000000" w:rsidRDefault="00000000" w:rsidRPr="00000000" w14:paraId="0000001D">
      <w:pPr>
        <w:jc w:val="left"/>
        <w:rPr>
          <w:rFonts w:ascii="Garamond" w:cs="Garamond" w:eastAsia="Garamond" w:hAnsi="Garamond"/>
          <w:b w:val="1"/>
          <w:bCs w:val="1"/>
          <w:sz w:val="36"/>
          <w:szCs w:val="36"/>
        </w:rPr>
      </w:pPr>
      <w:r w:rsidDel="00000000" w:rsidR="00000000" w:rsidRPr="00000000">
        <w:rPr>
          <w:rtl w:val="0"/>
        </w:rPr>
      </w:r>
    </w:p>
    <w:p w:rsidR="00000000" w:rsidDel="00000000" w:rsidP="00000000" w:rsidRDefault="00000000" w:rsidRPr="00000000" w14:paraId="0000001E">
      <w:pPr>
        <w:jc w:val="left"/>
        <w:rPr>
          <w:rFonts w:ascii="Garamond" w:cs="Garamond" w:eastAsia="Garamond" w:hAnsi="Garamond"/>
          <w:b w:val="1"/>
          <w:bCs w:val="1"/>
          <w:sz w:val="36"/>
          <w:szCs w:val="36"/>
        </w:rPr>
      </w:pPr>
      <w:r w:rsidDel="00000000" w:rsidR="00000000" w:rsidRPr="00000000">
        <w:rPr>
          <w:rtl w:val="0"/>
        </w:rPr>
      </w:r>
    </w:p>
    <w:p w:rsidR="00000000" w:rsidDel="00000000" w:rsidP="00000000" w:rsidRDefault="00000000" w:rsidRPr="00000000" w14:paraId="0000001F">
      <w:pPr>
        <w:jc w:val="left"/>
        <w:rPr>
          <w:rFonts w:ascii="Garamond" w:cs="Garamond" w:eastAsia="Garamond" w:hAnsi="Garamond"/>
          <w:b w:val="1"/>
          <w:bCs w:val="1"/>
          <w:sz w:val="36"/>
          <w:szCs w:val="36"/>
        </w:rPr>
      </w:pPr>
      <w:r w:rsidDel="00000000" w:rsidR="00000000" w:rsidRPr="00000000">
        <w:rPr>
          <w:rtl w:val="0"/>
        </w:rPr>
      </w:r>
    </w:p>
    <w:p w:rsidR="00000000" w:rsidDel="00000000" w:rsidP="00000000" w:rsidRDefault="00000000" w:rsidRPr="00000000" w14:paraId="00000020">
      <w:pPr>
        <w:numPr>
          <w:ilvl w:val="0"/>
          <w:numId w:val="6"/>
        </w:numPr>
        <w:ind w:left="720" w:hanging="360"/>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PRESENTACIÓN</w:t>
      </w:r>
    </w:p>
    <w:p w:rsidR="00000000" w:rsidDel="00000000" w:rsidP="00000000" w:rsidRDefault="00000000" w:rsidRPr="00000000" w14:paraId="00000021">
      <w:pPr>
        <w:ind w:left="720" w:firstLine="0"/>
        <w:jc w:val="both"/>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22">
      <w:pPr>
        <w:numPr>
          <w:ilvl w:val="0"/>
          <w:numId w:val="1"/>
        </w:numPr>
        <w:ind w:left="720" w:hanging="360"/>
        <w:jc w:val="both"/>
        <w:rPr>
          <w:rFonts w:ascii="Garamond" w:cs="Garamond" w:eastAsia="Garamond" w:hAnsi="Garamond"/>
          <w:sz w:val="24"/>
          <w:szCs w:val="24"/>
          <w:highlight w:val="white"/>
          <w:u w:val="none"/>
        </w:rPr>
      </w:pPr>
      <w:r w:rsidDel="00000000" w:rsidR="00000000" w:rsidRPr="00000000">
        <w:rPr>
          <w:rFonts w:ascii="Garamond" w:cs="Garamond" w:eastAsia="Garamond" w:hAnsi="Garamond"/>
          <w:b w:val="1"/>
          <w:bCs w:val="1"/>
          <w:sz w:val="24"/>
          <w:szCs w:val="24"/>
          <w:highlight w:val="white"/>
          <w:rtl w:val="0"/>
        </w:rPr>
        <w:t xml:space="preserve">Fundación Pakta</w:t>
      </w:r>
      <w:r w:rsidDel="00000000" w:rsidR="00000000" w:rsidRPr="00000000">
        <w:rPr>
          <w:rFonts w:ascii="Garamond" w:cs="Garamond" w:eastAsia="Garamond" w:hAnsi="Garamond"/>
          <w:sz w:val="24"/>
          <w:szCs w:val="24"/>
          <w:highlight w:val="white"/>
          <w:rtl w:val="0"/>
        </w:rPr>
        <w:t xml:space="preserve"> es una organización de sociedad civil que desde 2017 trabaja por los derechos de la población LGBTIQ+ en Ecuador. </w:t>
      </w:r>
      <w:r w:rsidDel="00000000" w:rsidR="00000000" w:rsidRPr="00000000">
        <w:rPr>
          <w:rFonts w:ascii="Garamond" w:cs="Garamond" w:eastAsia="Garamond" w:hAnsi="Garamond"/>
          <w:sz w:val="24"/>
          <w:szCs w:val="24"/>
          <w:highlight w:val="white"/>
          <w:rtl w:val="0"/>
        </w:rPr>
        <w:t xml:space="preserve">Desde las acciones de litigio estratégico, han participado y han sido actores relevantes para que la Corte Constitucional del Ecuador reconociera la identidad de género autopercibida de las personas trans en 2017 y la de las familias de parejas del mismo sexo en 2018.</w:t>
      </w:r>
      <w:r w:rsidDel="00000000" w:rsidR="00000000" w:rsidRPr="00000000">
        <w:rPr>
          <w:rFonts w:ascii="Garamond" w:cs="Garamond" w:eastAsia="Garamond" w:hAnsi="Garamond"/>
          <w:sz w:val="24"/>
          <w:szCs w:val="24"/>
          <w:highlight w:val="white"/>
          <w:rtl w:val="0"/>
        </w:rPr>
        <w:t xml:space="preserve"> Desde ese momento Pakta impulsó los procesos para el reconocimiento del Matrimonio Igualitario, cuyo resultado se materializó en junio </w:t>
      </w:r>
      <w:r w:rsidDel="00000000" w:rsidR="00000000" w:rsidRPr="00000000">
        <w:rPr>
          <w:rFonts w:ascii="Garamond" w:cs="Garamond" w:eastAsia="Garamond" w:hAnsi="Garamond"/>
          <w:sz w:val="24"/>
          <w:szCs w:val="24"/>
          <w:highlight w:val="white"/>
          <w:rtl w:val="0"/>
        </w:rPr>
        <w:t xml:space="preserve">de</w:t>
      </w:r>
      <w:r w:rsidDel="00000000" w:rsidR="00000000" w:rsidRPr="00000000">
        <w:rPr>
          <w:rFonts w:ascii="Garamond" w:cs="Garamond" w:eastAsia="Garamond" w:hAnsi="Garamond"/>
          <w:sz w:val="24"/>
          <w:szCs w:val="24"/>
          <w:highlight w:val="white"/>
          <w:rtl w:val="0"/>
        </w:rPr>
        <w:t xml:space="preserve"> 2019.</w:t>
      </w:r>
    </w:p>
    <w:p w:rsidR="00000000" w:rsidDel="00000000" w:rsidP="00000000" w:rsidRDefault="00000000" w:rsidRPr="00000000" w14:paraId="00000023">
      <w:pPr>
        <w:jc w:val="both"/>
        <w:rPr>
          <w:rFonts w:ascii="Garamond" w:cs="Garamond" w:eastAsia="Garamond" w:hAnsi="Garamond"/>
          <w:sz w:val="24"/>
          <w:szCs w:val="24"/>
          <w:highlight w:val="white"/>
        </w:rPr>
      </w:pPr>
      <w:r w:rsidDel="00000000" w:rsidR="00000000" w:rsidRPr="00000000">
        <w:rPr>
          <w:rtl w:val="0"/>
        </w:rPr>
      </w:r>
    </w:p>
    <w:p w:rsidR="00000000" w:rsidDel="00000000" w:rsidP="00000000" w:rsidRDefault="00000000" w:rsidRPr="00000000" w14:paraId="00000024">
      <w:pPr>
        <w:numPr>
          <w:ilvl w:val="0"/>
          <w:numId w:val="1"/>
        </w:numPr>
        <w:ind w:left="720" w:hanging="360"/>
        <w:jc w:val="both"/>
        <w:rPr>
          <w:rFonts w:ascii="Garamond" w:cs="Garamond" w:eastAsia="Garamond" w:hAnsi="Garamond"/>
          <w:sz w:val="24"/>
          <w:szCs w:val="24"/>
          <w:highlight w:val="white"/>
          <w:u w:val="none"/>
        </w:rPr>
      </w:pPr>
      <w:r w:rsidDel="00000000" w:rsidR="00000000" w:rsidRPr="00000000">
        <w:rPr>
          <w:rFonts w:ascii="Garamond" w:cs="Garamond" w:eastAsia="Garamond" w:hAnsi="Garamond"/>
          <w:b w:val="1"/>
          <w:bCs w:val="1"/>
          <w:sz w:val="24"/>
          <w:szCs w:val="24"/>
          <w:highlight w:val="white"/>
          <w:rtl w:val="0"/>
        </w:rPr>
        <w:t xml:space="preserve">La Red de Litigantes LGBTI+ de las Américas </w:t>
      </w:r>
      <w:r w:rsidDel="00000000" w:rsidR="00000000" w:rsidRPr="00000000">
        <w:rPr>
          <w:rFonts w:ascii="Garamond" w:cs="Garamond" w:eastAsia="Garamond" w:hAnsi="Garamond"/>
          <w:sz w:val="24"/>
          <w:szCs w:val="24"/>
          <w:highlight w:val="white"/>
          <w:rtl w:val="0"/>
        </w:rPr>
        <w:t xml:space="preserve">es una red internacional e independiente conformada por personas y organizaciones sociales que trabajan por el reconocimiento, la protección y la garantía de los derechos de las personas LGBTI+ en el continente americano a través del litigio estratégico y acciones de incidencia. Se conformó en 2019 como un espacio de diálogo, cooperación e intercambio de experiencias entre sus integrantes de 17 países de Latinoamérica y el Caribe. </w:t>
      </w:r>
    </w:p>
    <w:p w:rsidR="00000000" w:rsidDel="00000000" w:rsidP="00000000" w:rsidRDefault="00000000" w:rsidRPr="00000000" w14:paraId="00000025">
      <w:pPr>
        <w:jc w:val="both"/>
        <w:rPr>
          <w:rFonts w:ascii="Garamond" w:cs="Garamond" w:eastAsia="Garamond" w:hAnsi="Garamond"/>
          <w:sz w:val="24"/>
          <w:szCs w:val="24"/>
          <w:highlight w:val="white"/>
        </w:rPr>
      </w:pPr>
      <w:r w:rsidDel="00000000" w:rsidR="00000000" w:rsidRPr="00000000">
        <w:rPr>
          <w:rtl w:val="0"/>
        </w:rPr>
      </w:r>
    </w:p>
    <w:p w:rsidR="00000000" w:rsidDel="00000000" w:rsidP="00000000" w:rsidRDefault="00000000" w:rsidRPr="00000000" w14:paraId="00000026">
      <w:pPr>
        <w:numPr>
          <w:ilvl w:val="0"/>
          <w:numId w:val="1"/>
        </w:numPr>
        <w:ind w:left="720" w:hanging="360"/>
        <w:jc w:val="both"/>
        <w:rPr>
          <w:rFonts w:ascii="Garamond" w:cs="Garamond" w:eastAsia="Garamond" w:hAnsi="Garamond"/>
          <w:sz w:val="24"/>
          <w:szCs w:val="24"/>
          <w:highlight w:val="white"/>
          <w:u w:val="none"/>
        </w:rPr>
      </w:pPr>
      <w:r w:rsidDel="00000000" w:rsidR="00000000" w:rsidRPr="00000000">
        <w:rPr>
          <w:rFonts w:ascii="Garamond" w:cs="Garamond" w:eastAsia="Garamond" w:hAnsi="Garamond"/>
          <w:sz w:val="24"/>
          <w:szCs w:val="24"/>
          <w:highlight w:val="white"/>
          <w:rtl w:val="0"/>
        </w:rPr>
        <w:t xml:space="preserve">Ambas organizaciones integramos una coalición para la presentación de este documento con el propósito de contribuir a la elaboración de la Lista de Cuestiones del Comité de Derechos Económicos, Sociales y Culturales, en el marco del próximo proceso de evaluación del cumplimiento del Pacto Internacional de Derechos Económicos, Sociales y Culturales (en adelante el Pacto)  por parte del Estado ecuatoriano.</w:t>
      </w:r>
    </w:p>
    <w:p w:rsidR="00000000" w:rsidDel="00000000" w:rsidP="00000000" w:rsidRDefault="00000000" w:rsidRPr="00000000" w14:paraId="00000027">
      <w:pPr>
        <w:jc w:val="both"/>
        <w:rPr>
          <w:rFonts w:ascii="Garamond" w:cs="Garamond" w:eastAsia="Garamond" w:hAnsi="Garamond"/>
          <w:b w:val="1"/>
          <w:bCs w:val="1"/>
          <w:sz w:val="24"/>
          <w:szCs w:val="24"/>
          <w:highlight w:val="white"/>
        </w:rPr>
      </w:pPr>
      <w:r w:rsidDel="00000000" w:rsidR="00000000" w:rsidRPr="00000000">
        <w:rPr>
          <w:rtl w:val="0"/>
        </w:rPr>
      </w:r>
    </w:p>
    <w:p w:rsidR="00000000" w:rsidDel="00000000" w:rsidP="00000000" w:rsidRDefault="00000000" w:rsidRPr="00000000" w14:paraId="00000028">
      <w:pPr>
        <w:numPr>
          <w:ilvl w:val="0"/>
          <w:numId w:val="6"/>
        </w:numPr>
        <w:ind w:left="720" w:hanging="360"/>
        <w:jc w:val="both"/>
        <w:rPr>
          <w:rFonts w:ascii="Garamond" w:cs="Garamond" w:eastAsia="Garamond" w:hAnsi="Garamond"/>
          <w:b w:val="1"/>
          <w:bCs w:val="1"/>
          <w:sz w:val="24"/>
          <w:szCs w:val="24"/>
          <w:highlight w:val="white"/>
        </w:rPr>
      </w:pPr>
      <w:r w:rsidDel="00000000" w:rsidR="00000000" w:rsidRPr="00000000">
        <w:rPr>
          <w:rFonts w:ascii="Garamond" w:cs="Garamond" w:eastAsia="Garamond" w:hAnsi="Garamond"/>
          <w:b w:val="1"/>
          <w:bCs w:val="1"/>
          <w:sz w:val="24"/>
          <w:szCs w:val="24"/>
          <w:highlight w:val="white"/>
          <w:rtl w:val="0"/>
        </w:rPr>
        <w:t xml:space="preserve">CONTEXTO Y MARCO NORMATIVO NACIONAL</w:t>
      </w:r>
    </w:p>
    <w:p w:rsidR="00000000" w:rsidDel="00000000" w:rsidP="00000000" w:rsidRDefault="00000000" w:rsidRPr="00000000" w14:paraId="00000029">
      <w:pPr>
        <w:spacing w:line="276" w:lineRule="auto"/>
        <w:ind w:left="720" w:firstLine="0"/>
        <w:jc w:val="both"/>
        <w:rPr>
          <w:rFonts w:ascii="Garamond" w:cs="Garamond" w:eastAsia="Garamond" w:hAnsi="Garamond"/>
          <w:sz w:val="24"/>
          <w:szCs w:val="24"/>
          <w:highlight w:val="white"/>
        </w:rPr>
      </w:pPr>
      <w:r w:rsidDel="00000000" w:rsidR="00000000" w:rsidRPr="00000000">
        <w:rPr>
          <w:rtl w:val="0"/>
        </w:rPr>
      </w:r>
    </w:p>
    <w:p w:rsidR="00000000" w:rsidDel="00000000" w:rsidP="00000000" w:rsidRDefault="00000000" w:rsidRPr="00000000" w14:paraId="0000002A">
      <w:pPr>
        <w:spacing w:line="276"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highlight w:val="white"/>
          <w:rtl w:val="0"/>
        </w:rPr>
        <w:t xml:space="preserve">4. </w:t>
      </w:r>
      <w:r w:rsidDel="00000000" w:rsidR="00000000" w:rsidRPr="00000000">
        <w:rPr>
          <w:rFonts w:ascii="Garamond" w:cs="Garamond" w:eastAsia="Garamond" w:hAnsi="Garamond"/>
          <w:sz w:val="24"/>
          <w:szCs w:val="24"/>
          <w:highlight w:val="white"/>
          <w:rtl w:val="0"/>
        </w:rPr>
        <w:t xml:space="preserve">En Ecuador, la homosexualidad fue tipificada como un delito en el artículo 516 de su Código Penal hasta noviembre de 1997.</w:t>
      </w:r>
      <w:r w:rsidDel="00000000" w:rsidR="00000000" w:rsidRPr="00000000">
        <w:rPr>
          <w:rFonts w:ascii="Garamond" w:cs="Garamond" w:eastAsia="Garamond" w:hAnsi="Garamond"/>
          <w:sz w:val="24"/>
          <w:szCs w:val="24"/>
          <w:highlight w:val="white"/>
          <w:rtl w:val="0"/>
        </w:rPr>
        <w:t xml:space="preserve"> </w:t>
      </w:r>
      <w:r w:rsidDel="00000000" w:rsidR="00000000" w:rsidRPr="00000000">
        <w:rPr>
          <w:rFonts w:ascii="Garamond" w:cs="Garamond" w:eastAsia="Garamond" w:hAnsi="Garamond"/>
          <w:sz w:val="24"/>
          <w:szCs w:val="24"/>
          <w:highlight w:val="white"/>
          <w:rtl w:val="0"/>
        </w:rPr>
        <w:t xml:space="preserve">Esta tardía descriminalización favoreció la persistencia de la discriminación estructural, sustentada en el sistema patriarcal heterocisnormativo, contra las personas con orientación sexual e identidad de género diversa.</w:t>
      </w:r>
      <w:r w:rsidDel="00000000" w:rsidR="00000000" w:rsidRPr="00000000">
        <w:rPr>
          <w:rFonts w:ascii="Garamond" w:cs="Garamond" w:eastAsia="Garamond" w:hAnsi="Garamond"/>
          <w:sz w:val="24"/>
          <w:szCs w:val="24"/>
          <w:highlight w:val="white"/>
          <w:rtl w:val="0"/>
        </w:rPr>
        <w:t xml:space="preserve"> </w:t>
      </w:r>
      <w:r w:rsidDel="00000000" w:rsidR="00000000" w:rsidRPr="00000000">
        <w:rPr>
          <w:rFonts w:ascii="Garamond" w:cs="Garamond" w:eastAsia="Garamond" w:hAnsi="Garamond"/>
          <w:sz w:val="24"/>
          <w:szCs w:val="24"/>
          <w:rtl w:val="0"/>
        </w:rPr>
        <w:t xml:space="preserve">Esto ha generado imaginarios colectivos estigmatizantes que persisten en Ecuador y siguen obstaculizando el ejercicio de los derechos humanos de las personas LGBTIQ+ en el país. </w:t>
      </w:r>
    </w:p>
    <w:p w:rsidR="00000000" w:rsidDel="00000000" w:rsidP="00000000" w:rsidRDefault="00000000" w:rsidRPr="00000000" w14:paraId="0000002B">
      <w:pPr>
        <w:spacing w:line="276"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2C">
      <w:pPr>
        <w:spacing w:line="276"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5. Según el Instituto Nacional de Estadística y Censos (INEC) esta población reporta altos índices de discriminación en el acceso a la educación, salud, trabajo, vivienda, entre otros</w:t>
      </w:r>
      <w:r w:rsidDel="00000000" w:rsidR="00000000" w:rsidRPr="00000000">
        <w:rPr>
          <w:rFonts w:ascii="Garamond" w:cs="Garamond" w:eastAsia="Garamond" w:hAnsi="Garamond"/>
          <w:sz w:val="24"/>
          <w:szCs w:val="24"/>
          <w:vertAlign w:val="superscript"/>
        </w:rPr>
        <w:footnoteReference w:customMarkFollows="0" w:id="0"/>
      </w:r>
      <w:r w:rsidDel="00000000" w:rsidR="00000000" w:rsidRPr="00000000">
        <w:rPr>
          <w:rFonts w:ascii="Garamond" w:cs="Garamond" w:eastAsia="Garamond" w:hAnsi="Garamond"/>
          <w:rtl w:val="0"/>
        </w:rPr>
        <w:t xml:space="preserve">.</w:t>
      </w:r>
      <w:r w:rsidDel="00000000" w:rsidR="00000000" w:rsidRPr="00000000">
        <w:rPr>
          <w:rFonts w:ascii="Garamond" w:cs="Garamond" w:eastAsia="Garamond" w:hAnsi="Garamond"/>
          <w:sz w:val="24"/>
          <w:szCs w:val="24"/>
          <w:rtl w:val="0"/>
        </w:rPr>
        <w:t xml:space="preserve"> Para hacer frente a esta situación, el Estado de Ecuador ha realizado adecuaciones a su ordenamiento jurídico para avanzar en la protección formal de ciertos derechos </w:t>
      </w:r>
      <w:r w:rsidDel="00000000" w:rsidR="00000000" w:rsidRPr="00000000">
        <w:rPr>
          <w:rFonts w:ascii="Garamond" w:cs="Garamond" w:eastAsia="Garamond" w:hAnsi="Garamond"/>
          <w:sz w:val="24"/>
          <w:szCs w:val="24"/>
          <w:rtl w:val="0"/>
        </w:rPr>
        <w:t xml:space="preserve">de</w:t>
      </w:r>
      <w:r w:rsidDel="00000000" w:rsidR="00000000" w:rsidRPr="00000000">
        <w:rPr>
          <w:rFonts w:ascii="Garamond" w:cs="Garamond" w:eastAsia="Garamond" w:hAnsi="Garamond"/>
          <w:sz w:val="24"/>
          <w:szCs w:val="24"/>
          <w:rtl w:val="0"/>
        </w:rPr>
        <w:t xml:space="preserve"> las personas LGBTIQ+. </w:t>
      </w:r>
    </w:p>
    <w:p w:rsidR="00000000" w:rsidDel="00000000" w:rsidP="00000000" w:rsidRDefault="00000000" w:rsidRPr="00000000" w14:paraId="0000002D">
      <w:pPr>
        <w:spacing w:line="276" w:lineRule="auto"/>
        <w:ind w:left="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2E">
      <w:pPr>
        <w:spacing w:line="276" w:lineRule="auto"/>
        <w:ind w:left="0" w:firstLine="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6. </w:t>
      </w:r>
      <w:r w:rsidDel="00000000" w:rsidR="00000000" w:rsidRPr="00000000">
        <w:rPr>
          <w:rFonts w:ascii="Garamond" w:cs="Garamond" w:eastAsia="Garamond" w:hAnsi="Garamond"/>
          <w:sz w:val="24"/>
          <w:szCs w:val="24"/>
          <w:rtl w:val="0"/>
        </w:rPr>
        <w:t xml:space="preserve">La Constitución de la República prohíbe la discriminación motivada por la orientación sexual o la identidad de género de una persona.</w:t>
      </w:r>
      <w:r w:rsidDel="00000000" w:rsidR="00000000" w:rsidRPr="00000000">
        <w:rPr>
          <w:rFonts w:ascii="Garamond" w:cs="Garamond" w:eastAsia="Garamond" w:hAnsi="Garamond"/>
          <w:sz w:val="24"/>
          <w:szCs w:val="24"/>
          <w:rtl w:val="0"/>
        </w:rPr>
        <w:t xml:space="preserve"> Asimismo, protege la confidencialidad, el derecho a la información en materia de sexualidad, incluyendo la orientación sexual, y recalca el deber de respetar y reconocer la diversidad sexogenérica de las personas</w:t>
      </w:r>
      <w:r w:rsidDel="00000000" w:rsidR="00000000" w:rsidRPr="00000000">
        <w:rPr>
          <w:rFonts w:ascii="Garamond" w:cs="Garamond" w:eastAsia="Garamond" w:hAnsi="Garamond"/>
          <w:sz w:val="24"/>
          <w:szCs w:val="24"/>
          <w:vertAlign w:val="superscript"/>
        </w:rPr>
        <w:footnoteReference w:customMarkFollows="0" w:id="1"/>
      </w:r>
      <w:r w:rsidDel="00000000" w:rsidR="00000000" w:rsidRPr="00000000">
        <w:rPr>
          <w:rFonts w:ascii="Garamond" w:cs="Garamond" w:eastAsia="Garamond" w:hAnsi="Garamond"/>
          <w:sz w:val="24"/>
          <w:szCs w:val="24"/>
          <w:rtl w:val="0"/>
        </w:rPr>
        <w:t xml:space="preserve">. </w:t>
      </w:r>
    </w:p>
    <w:p w:rsidR="00000000" w:rsidDel="00000000" w:rsidP="00000000" w:rsidRDefault="00000000" w:rsidRPr="00000000" w14:paraId="0000002F">
      <w:pPr>
        <w:spacing w:line="276" w:lineRule="auto"/>
        <w:ind w:left="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30">
      <w:pPr>
        <w:spacing w:line="276" w:lineRule="auto"/>
        <w:ind w:left="0" w:firstLine="0"/>
        <w:jc w:val="both"/>
        <w:rPr>
          <w:rFonts w:ascii="Garamond" w:cs="Garamond" w:eastAsia="Garamond" w:hAnsi="Garamond"/>
          <w:b w:val="1"/>
          <w:bCs w:val="1"/>
          <w:sz w:val="24"/>
          <w:szCs w:val="24"/>
        </w:rPr>
      </w:pPr>
      <w:r w:rsidDel="00000000" w:rsidR="00000000" w:rsidRPr="00000000">
        <w:rPr>
          <w:rFonts w:ascii="Garamond" w:cs="Garamond" w:eastAsia="Garamond" w:hAnsi="Garamond"/>
          <w:sz w:val="24"/>
          <w:szCs w:val="24"/>
          <w:rtl w:val="0"/>
        </w:rPr>
        <w:t xml:space="preserve">7. Asimismo, las uniones civiles entre parejas del mismo sexo fueron reconocidas a partir de la Constituci</w:t>
      </w:r>
      <w:r w:rsidDel="00000000" w:rsidR="00000000" w:rsidRPr="00000000">
        <w:rPr>
          <w:rFonts w:ascii="Garamond" w:cs="Garamond" w:eastAsia="Garamond" w:hAnsi="Garamond"/>
          <w:sz w:val="24"/>
          <w:szCs w:val="24"/>
          <w:rtl w:val="0"/>
        </w:rPr>
        <w:t xml:space="preserve">ón de 2008</w:t>
      </w:r>
      <w:r w:rsidDel="00000000" w:rsidR="00000000" w:rsidRPr="00000000">
        <w:rPr>
          <w:rFonts w:ascii="Garamond" w:cs="Garamond" w:eastAsia="Garamond" w:hAnsi="Garamond"/>
          <w:sz w:val="24"/>
          <w:szCs w:val="24"/>
          <w:vertAlign w:val="superscript"/>
        </w:rPr>
        <w:footnoteReference w:customMarkFollows="0" w:id="2"/>
      </w:r>
      <w:r w:rsidDel="00000000" w:rsidR="00000000" w:rsidRPr="00000000">
        <w:rPr>
          <w:rFonts w:ascii="Garamond" w:cs="Garamond" w:eastAsia="Garamond" w:hAnsi="Garamond"/>
          <w:sz w:val="24"/>
          <w:szCs w:val="24"/>
          <w:rtl w:val="0"/>
        </w:rPr>
        <w:t xml:space="preserve">. Bajo este marco, la Corte Constitucional ha jugado un rol importante de poder contramayoritario en favor del reconocimiento de derechos para la poblaci</w:t>
      </w:r>
      <w:r w:rsidDel="00000000" w:rsidR="00000000" w:rsidRPr="00000000">
        <w:rPr>
          <w:rFonts w:ascii="Garamond" w:cs="Garamond" w:eastAsia="Garamond" w:hAnsi="Garamond"/>
          <w:sz w:val="24"/>
          <w:szCs w:val="24"/>
          <w:rtl w:val="0"/>
        </w:rPr>
        <w:t xml:space="preserve">ón LGBTIQ+. Esta Corte en el año 2018 reconoció el derecho a las parejas del mismo sexo a registrar con sus apellidos a sus hijos e hijas concebidas a través de métodos de reproducción asistida</w:t>
      </w:r>
      <w:r w:rsidDel="00000000" w:rsidR="00000000" w:rsidRPr="00000000">
        <w:rPr>
          <w:rFonts w:ascii="Garamond" w:cs="Garamond" w:eastAsia="Garamond" w:hAnsi="Garamond"/>
          <w:sz w:val="24"/>
          <w:szCs w:val="24"/>
          <w:vertAlign w:val="superscript"/>
        </w:rPr>
        <w:footnoteReference w:customMarkFollows="0" w:id="3"/>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sz w:val="24"/>
          <w:szCs w:val="24"/>
          <w:rtl w:val="0"/>
        </w:rPr>
        <w:t xml:space="preserve">En año 2019 la Corte Constitucional, siguiendo los estándares desarrollados por la Corte Interamericana de Derechos Humanos en la Opinión Consultiva 24/17, hizo extensiva la figura del matrimonio civil a parejas del mismo sexo</w:t>
      </w:r>
      <w:r w:rsidDel="00000000" w:rsidR="00000000" w:rsidRPr="00000000">
        <w:rPr>
          <w:rFonts w:ascii="Garamond" w:cs="Garamond" w:eastAsia="Garamond" w:hAnsi="Garamond"/>
          <w:sz w:val="24"/>
          <w:szCs w:val="24"/>
          <w:vertAlign w:val="superscript"/>
        </w:rPr>
        <w:footnoteReference w:customMarkFollows="0" w:id="4"/>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No obstante, existe una prohibición constitucional expresa sobre la adopción por parejas del mismo sexo</w:t>
      </w:r>
      <w:r w:rsidDel="00000000" w:rsidR="00000000" w:rsidRPr="00000000">
        <w:rPr>
          <w:rFonts w:ascii="Garamond" w:cs="Garamond" w:eastAsia="Garamond" w:hAnsi="Garamond"/>
          <w:b w:val="1"/>
          <w:bCs w:val="1"/>
          <w:sz w:val="24"/>
          <w:szCs w:val="24"/>
          <w:vertAlign w:val="superscript"/>
        </w:rPr>
        <w:footnoteReference w:customMarkFollows="0" w:id="5"/>
      </w:r>
      <w:r w:rsidDel="00000000" w:rsidR="00000000" w:rsidRPr="00000000">
        <w:rPr>
          <w:rFonts w:ascii="Garamond" w:cs="Garamond" w:eastAsia="Garamond" w:hAnsi="Garamond"/>
          <w:b w:val="1"/>
          <w:bCs w:val="1"/>
          <w:sz w:val="24"/>
          <w:szCs w:val="24"/>
          <w:rtl w:val="0"/>
        </w:rPr>
        <w:t xml:space="preserve">.</w:t>
      </w:r>
    </w:p>
    <w:p w:rsidR="00000000" w:rsidDel="00000000" w:rsidP="00000000" w:rsidRDefault="00000000" w:rsidRPr="00000000" w14:paraId="00000031">
      <w:pPr>
        <w:spacing w:line="276" w:lineRule="auto"/>
        <w:ind w:left="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32">
      <w:pPr>
        <w:spacing w:line="276" w:lineRule="auto"/>
        <w:ind w:left="0" w:firstLine="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8. La Corte Constitucional ecuatoriana a través de su jurisprudencia reconoció también el derecho a la identidad de género, y producto de dos decisiones del 2017 y del 2022</w:t>
      </w:r>
      <w:r w:rsidDel="00000000" w:rsidR="00000000" w:rsidRPr="00000000">
        <w:rPr>
          <w:rFonts w:ascii="Garamond" w:cs="Garamond" w:eastAsia="Garamond" w:hAnsi="Garamond"/>
          <w:sz w:val="24"/>
          <w:szCs w:val="24"/>
          <w:vertAlign w:val="superscript"/>
        </w:rPr>
        <w:footnoteReference w:customMarkFollows="0" w:id="6"/>
      </w:r>
      <w:r w:rsidDel="00000000" w:rsidR="00000000" w:rsidRPr="00000000">
        <w:rPr>
          <w:rFonts w:ascii="Garamond" w:cs="Garamond" w:eastAsia="Garamond" w:hAnsi="Garamond"/>
          <w:sz w:val="24"/>
          <w:szCs w:val="24"/>
          <w:rtl w:val="0"/>
        </w:rPr>
        <w:t xml:space="preserve">, la Asamblea Nacional Ecuatoriana y el Ejecutivo obedecieron al exhorto que les obligaba a crear un procedimiento administrativo de rectificación registral del marcador de "sexo" en el documento de identidad, sin requisitos patologizantes ni solicitud de testigos</w:t>
      </w:r>
      <w:r w:rsidDel="00000000" w:rsidR="00000000" w:rsidRPr="00000000">
        <w:rPr>
          <w:rFonts w:ascii="Garamond" w:cs="Garamond" w:eastAsia="Garamond" w:hAnsi="Garamond"/>
          <w:sz w:val="24"/>
          <w:szCs w:val="24"/>
          <w:vertAlign w:val="superscript"/>
        </w:rPr>
        <w:footnoteReference w:customMarkFollows="0" w:id="7"/>
      </w:r>
      <w:r w:rsidDel="00000000" w:rsidR="00000000" w:rsidRPr="00000000">
        <w:rPr>
          <w:rFonts w:ascii="Garamond" w:cs="Garamond" w:eastAsia="Garamond" w:hAnsi="Garamond"/>
          <w:sz w:val="24"/>
          <w:szCs w:val="24"/>
          <w:rtl w:val="0"/>
        </w:rPr>
        <w:t xml:space="preserve">. </w:t>
      </w:r>
    </w:p>
    <w:p w:rsidR="00000000" w:rsidDel="00000000" w:rsidP="00000000" w:rsidRDefault="00000000" w:rsidRPr="00000000" w14:paraId="00000033">
      <w:pPr>
        <w:spacing w:line="276" w:lineRule="auto"/>
        <w:ind w:left="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34">
      <w:pPr>
        <w:spacing w:line="240" w:lineRule="auto"/>
        <w:ind w:left="0" w:firstLine="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9. Pese a la existencia de estos avances normativos, la  realidad violenta y discriminatoria que viven las personas LGBTIQ+ a diario se agudiza por la inacción del Estado ecuatoriano, que no ofrece una garantiza material a los derechos de esta población, particularmente derechos económicos, sociales y culturales, y constantemente incumple sentencias judiciales y obligaciones internacionales que ha contraído para la protección de derechos humanos. También </w:t>
      </w:r>
      <w:r w:rsidDel="00000000" w:rsidR="00000000" w:rsidRPr="00000000">
        <w:rPr>
          <w:rFonts w:ascii="Garamond" w:cs="Garamond" w:eastAsia="Garamond" w:hAnsi="Garamond"/>
          <w:sz w:val="24"/>
          <w:szCs w:val="24"/>
          <w:rtl w:val="0"/>
        </w:rPr>
        <w:t xml:space="preserve">es necesario precisar que los avances en derechos humanos de la población LGBTIQ+ en Ecuador no se han producido por voluntad del Estado, ni mediante reformas ni propuestas del Ejecutivo o del Legislativo. Las principales reivindicaciones se han realizado como resultado de procesos de litigio, por la vía constitucional, ante la falta de voluntad y apertura del Estado.</w:t>
      </w:r>
      <w:r w:rsidDel="00000000" w:rsidR="00000000" w:rsidRPr="00000000">
        <w:rPr>
          <w:rtl w:val="0"/>
        </w:rPr>
      </w:r>
    </w:p>
    <w:p w:rsidR="00000000" w:rsidDel="00000000" w:rsidP="00000000" w:rsidRDefault="00000000" w:rsidRPr="00000000" w14:paraId="00000035">
      <w:pPr>
        <w:spacing w:line="240" w:lineRule="auto"/>
        <w:ind w:left="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36">
      <w:pPr>
        <w:spacing w:line="240" w:lineRule="auto"/>
        <w:ind w:left="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37">
      <w:pPr>
        <w:numPr>
          <w:ilvl w:val="0"/>
          <w:numId w:val="6"/>
        </w:numPr>
        <w:spacing w:line="240" w:lineRule="auto"/>
        <w:ind w:left="720" w:hanging="360"/>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LISTA DE CUESTIONES SUGERIDAS AL COMITÉ</w:t>
      </w:r>
    </w:p>
    <w:p w:rsidR="00000000" w:rsidDel="00000000" w:rsidP="00000000" w:rsidRDefault="00000000" w:rsidRPr="00000000" w14:paraId="00000038">
      <w:pPr>
        <w:spacing w:line="240" w:lineRule="auto"/>
        <w:ind w:left="0" w:firstLine="0"/>
        <w:jc w:val="both"/>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39">
      <w:pPr>
        <w:numPr>
          <w:ilvl w:val="0"/>
          <w:numId w:val="7"/>
        </w:numPr>
        <w:spacing w:line="240" w:lineRule="auto"/>
        <w:ind w:left="283.46456692913375" w:hanging="283.46456692913375"/>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Derecho al trabajo en condiciones equitativas y satisfactorias (Artículos 6 y 7) </w:t>
      </w:r>
    </w:p>
    <w:p w:rsidR="00000000" w:rsidDel="00000000" w:rsidP="00000000" w:rsidRDefault="00000000" w:rsidRPr="00000000" w14:paraId="0000003A">
      <w:pPr>
        <w:spacing w:line="240" w:lineRule="auto"/>
        <w:ind w:left="0" w:firstLine="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w:t>
      </w:r>
    </w:p>
    <w:p w:rsidR="00000000" w:rsidDel="00000000" w:rsidP="00000000" w:rsidRDefault="00000000" w:rsidRPr="00000000" w14:paraId="0000003B">
      <w:pPr>
        <w:spacing w:line="276" w:lineRule="auto"/>
        <w:ind w:left="0" w:firstLine="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10. En materia del derecho al trabajo, en el año 2005 con la modificación del Código del Trabajo se incluyó el derecho a la remuneración equitativa y libre de discriminación para personas con orientación sexual diversa</w:t>
      </w:r>
      <w:r w:rsidDel="00000000" w:rsidR="00000000" w:rsidRPr="00000000">
        <w:rPr>
          <w:rFonts w:ascii="Garamond" w:cs="Garamond" w:eastAsia="Garamond" w:hAnsi="Garamond"/>
          <w:sz w:val="24"/>
          <w:szCs w:val="24"/>
          <w:vertAlign w:val="superscript"/>
        </w:rPr>
        <w:footnoteReference w:customMarkFollows="0" w:id="8"/>
      </w:r>
      <w:r w:rsidDel="00000000" w:rsidR="00000000" w:rsidRPr="00000000">
        <w:rPr>
          <w:rFonts w:ascii="Garamond" w:cs="Garamond" w:eastAsia="Garamond" w:hAnsi="Garamond"/>
          <w:sz w:val="24"/>
          <w:szCs w:val="24"/>
          <w:rtl w:val="0"/>
        </w:rPr>
        <w:t xml:space="preserve">. En 2015, a través de la Ley para la Justicia Laboral y el Reconocimiento del Trabajo en el Hogar, se contempla una indemnización especial para las personas que hayan sido despedidas de forma discriminatoria por su orientación sexual</w:t>
      </w:r>
      <w:r w:rsidDel="00000000" w:rsidR="00000000" w:rsidRPr="00000000">
        <w:rPr>
          <w:rFonts w:ascii="Garamond" w:cs="Garamond" w:eastAsia="Garamond" w:hAnsi="Garamond"/>
          <w:sz w:val="24"/>
          <w:szCs w:val="24"/>
          <w:vertAlign w:val="superscript"/>
        </w:rPr>
        <w:footnoteReference w:customMarkFollows="0" w:id="9"/>
      </w:r>
      <w:r w:rsidDel="00000000" w:rsidR="00000000" w:rsidRPr="00000000">
        <w:rPr>
          <w:rFonts w:ascii="Garamond" w:cs="Garamond" w:eastAsia="Garamond" w:hAnsi="Garamond"/>
          <w:sz w:val="24"/>
          <w:szCs w:val="24"/>
          <w:rtl w:val="0"/>
        </w:rPr>
        <w:t xml:space="preserve">. Asimismo, en el año 2017 el Ministerio de Trabajo emiti</w:t>
      </w:r>
      <w:r w:rsidDel="00000000" w:rsidR="00000000" w:rsidRPr="00000000">
        <w:rPr>
          <w:rFonts w:ascii="Garamond" w:cs="Garamond" w:eastAsia="Garamond" w:hAnsi="Garamond"/>
          <w:sz w:val="24"/>
          <w:szCs w:val="24"/>
          <w:rtl w:val="0"/>
        </w:rPr>
        <w:t xml:space="preserve">ó el Acuerdo Ministerial No.MDT-2017-0082</w:t>
      </w:r>
      <w:r w:rsidDel="00000000" w:rsidR="00000000" w:rsidRPr="00000000">
        <w:rPr>
          <w:rFonts w:ascii="Garamond" w:cs="Garamond" w:eastAsia="Garamond" w:hAnsi="Garamond"/>
          <w:sz w:val="24"/>
          <w:szCs w:val="24"/>
          <w:vertAlign w:val="superscript"/>
        </w:rPr>
        <w:footnoteReference w:customMarkFollows="0" w:id="10"/>
      </w:r>
      <w:r w:rsidDel="00000000" w:rsidR="00000000" w:rsidRPr="00000000">
        <w:rPr>
          <w:rFonts w:ascii="Garamond" w:cs="Garamond" w:eastAsia="Garamond" w:hAnsi="Garamond"/>
          <w:sz w:val="24"/>
          <w:szCs w:val="24"/>
          <w:rtl w:val="0"/>
        </w:rPr>
        <w:t xml:space="preserve">, que expide la Normativa para la Erradicación de la Discriminación en el Ámbito Laboral, la cual fue reformada en agosto de 2025, mediante el Acuerdo Ministerial No.MDT-2025-102</w:t>
      </w:r>
      <w:r w:rsidDel="00000000" w:rsidR="00000000" w:rsidRPr="00000000">
        <w:rPr>
          <w:rFonts w:ascii="Garamond" w:cs="Garamond" w:eastAsia="Garamond" w:hAnsi="Garamond"/>
          <w:sz w:val="24"/>
          <w:szCs w:val="24"/>
          <w:vertAlign w:val="superscript"/>
        </w:rPr>
        <w:footnoteReference w:customMarkFollows="0" w:id="11"/>
      </w:r>
      <w:r w:rsidDel="00000000" w:rsidR="00000000" w:rsidRPr="00000000">
        <w:rPr>
          <w:rFonts w:ascii="Garamond" w:cs="Garamond" w:eastAsia="Garamond" w:hAnsi="Garamond"/>
          <w:sz w:val="24"/>
          <w:szCs w:val="24"/>
          <w:rtl w:val="0"/>
        </w:rPr>
        <w:t xml:space="preserve">. Esta normativa obliga al Ministerio a controlar que en los espacios laborales no exista discriminación mediante protocolos de selección, rutas internas y externas de denuncia y programas de sensibilización al interior de los lugares de trabajo. A pesar de esto</w:t>
      </w:r>
      <w:r w:rsidDel="00000000" w:rsidR="00000000" w:rsidRPr="00000000">
        <w:rPr>
          <w:rFonts w:ascii="Garamond" w:cs="Garamond" w:eastAsia="Garamond" w:hAnsi="Garamond"/>
          <w:sz w:val="24"/>
          <w:szCs w:val="24"/>
          <w:rtl w:val="0"/>
        </w:rPr>
        <w:t xml:space="preserve">según cifras del INEC, al menos un 22% de las personas LGBTQ+ encuestadas fueron víctimas de violencia y discriminación en el ámbito laboral</w:t>
      </w:r>
      <w:r w:rsidDel="00000000" w:rsidR="00000000" w:rsidRPr="00000000">
        <w:rPr>
          <w:rFonts w:ascii="Garamond" w:cs="Garamond" w:eastAsia="Garamond" w:hAnsi="Garamond"/>
          <w:sz w:val="24"/>
          <w:szCs w:val="24"/>
          <w:vertAlign w:val="superscript"/>
        </w:rPr>
        <w:footnoteReference w:customMarkFollows="0" w:id="12"/>
      </w:r>
      <w:r w:rsidDel="00000000" w:rsidR="00000000" w:rsidRPr="00000000">
        <w:rPr>
          <w:rFonts w:ascii="Garamond" w:cs="Garamond" w:eastAsia="Garamond" w:hAnsi="Garamond"/>
          <w:sz w:val="24"/>
          <w:szCs w:val="24"/>
          <w:rtl w:val="0"/>
        </w:rPr>
        <w:t xml:space="preserve">. </w:t>
      </w:r>
    </w:p>
    <w:p w:rsidR="00000000" w:rsidDel="00000000" w:rsidP="00000000" w:rsidRDefault="00000000" w:rsidRPr="00000000" w14:paraId="0000003C">
      <w:pPr>
        <w:spacing w:line="276" w:lineRule="auto"/>
        <w:ind w:left="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3D">
      <w:pPr>
        <w:spacing w:line="276" w:lineRule="auto"/>
        <w:ind w:left="0" w:firstLine="0"/>
        <w:jc w:val="both"/>
        <w:rPr>
          <w:rFonts w:ascii="Garamond" w:cs="Garamond" w:eastAsia="Garamond" w:hAnsi="Garamond"/>
        </w:rPr>
      </w:pPr>
      <w:r w:rsidDel="00000000" w:rsidR="00000000" w:rsidRPr="00000000">
        <w:rPr>
          <w:rFonts w:ascii="Garamond" w:cs="Garamond" w:eastAsia="Garamond" w:hAnsi="Garamond"/>
          <w:sz w:val="24"/>
          <w:szCs w:val="24"/>
          <w:rtl w:val="0"/>
        </w:rPr>
        <w:t xml:space="preserve">11. Asimismo, la orientación sexual sigue siendo un motivo de discriminación para que una persona sea seleccionada para un puesto laboral. </w:t>
      </w:r>
      <w:r w:rsidDel="00000000" w:rsidR="00000000" w:rsidRPr="00000000">
        <w:rPr>
          <w:rFonts w:ascii="Garamond" w:cs="Garamond" w:eastAsia="Garamond" w:hAnsi="Garamond"/>
          <w:sz w:val="24"/>
          <w:szCs w:val="24"/>
          <w:rtl w:val="0"/>
        </w:rPr>
        <w:t xml:space="preserve">Según el Banco Interamericano de Desarrollo, durante los procesos de reclutamiento de personal, a las candidatas lesbianas se las consideraba más aptas para los empleos, aunque se les ofrecían salarios menores que a sus pares heterosexuales.</w:t>
      </w:r>
      <w:r w:rsidDel="00000000" w:rsidR="00000000" w:rsidRPr="00000000">
        <w:rPr>
          <w:rFonts w:ascii="Garamond" w:cs="Garamond" w:eastAsia="Garamond" w:hAnsi="Garamond"/>
          <w:sz w:val="24"/>
          <w:szCs w:val="24"/>
          <w:rtl w:val="0"/>
        </w:rPr>
        <w:t xml:space="preserve"> Y los hombres gays fueron seleccionados en menor medida para los empleos por ser percibidos como menos cualificados</w:t>
      </w:r>
      <w:r w:rsidDel="00000000" w:rsidR="00000000" w:rsidRPr="00000000">
        <w:rPr>
          <w:rFonts w:ascii="Garamond" w:cs="Garamond" w:eastAsia="Garamond" w:hAnsi="Garamond"/>
          <w:sz w:val="24"/>
          <w:szCs w:val="24"/>
          <w:vertAlign w:val="superscript"/>
        </w:rPr>
        <w:footnoteReference w:customMarkFollows="0" w:id="13"/>
      </w:r>
      <w:r w:rsidDel="00000000" w:rsidR="00000000" w:rsidRPr="00000000">
        <w:rPr>
          <w:rFonts w:ascii="Garamond" w:cs="Garamond" w:eastAsia="Garamond" w:hAnsi="Garamond"/>
          <w:sz w:val="24"/>
          <w:szCs w:val="24"/>
          <w:rtl w:val="0"/>
        </w:rPr>
        <w:t xml:space="preserve">. </w:t>
      </w:r>
      <w:r w:rsidDel="00000000" w:rsidR="00000000" w:rsidRPr="00000000">
        <w:rPr>
          <w:rtl w:val="0"/>
        </w:rPr>
      </w:r>
    </w:p>
    <w:p w:rsidR="00000000" w:rsidDel="00000000" w:rsidP="00000000" w:rsidRDefault="00000000" w:rsidRPr="00000000" w14:paraId="0000003E">
      <w:pPr>
        <w:spacing w:line="276" w:lineRule="auto"/>
        <w:ind w:left="0" w:firstLine="0"/>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3F">
      <w:pPr>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12. A nivel local, el gobierno del Cantón de Manta emitió una ordenanza para la garantía de los Derechos de las Personas LGBTQ+, la cual incluye medidas afirmativas para la inclusión laboral de las personas trans que viven en la ciudad y la promoción de políticas de estímulo a las empresas privadas para su inserción oportuna y justa</w:t>
      </w:r>
      <w:r w:rsidDel="00000000" w:rsidR="00000000" w:rsidRPr="00000000">
        <w:rPr>
          <w:rFonts w:ascii="Garamond" w:cs="Garamond" w:eastAsia="Garamond" w:hAnsi="Garamond"/>
          <w:sz w:val="24"/>
          <w:szCs w:val="24"/>
          <w:vertAlign w:val="superscript"/>
        </w:rPr>
        <w:footnoteReference w:customMarkFollows="0" w:id="14"/>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sz w:val="24"/>
          <w:szCs w:val="24"/>
          <w:rtl w:val="0"/>
        </w:rPr>
        <w:t xml:space="preserve">Sin embargo, esta buena práctica constituye un avance aislado, que no ha sido replicado por el resto de los municipios del Ecuador, ni siquiera por su capital, Quito, ya que esta derogó una ordenanza que tenía en relación a derechos de personas LGBTIQ+</w:t>
      </w:r>
      <w:r w:rsidDel="00000000" w:rsidR="00000000" w:rsidRPr="00000000">
        <w:rPr>
          <w:rFonts w:ascii="Garamond" w:cs="Garamond" w:eastAsia="Garamond" w:hAnsi="Garamond"/>
          <w:sz w:val="24"/>
          <w:szCs w:val="24"/>
          <w:vertAlign w:val="superscript"/>
        </w:rPr>
        <w:footnoteReference w:customMarkFollows="0" w:id="15"/>
      </w:r>
      <w:r w:rsidDel="00000000" w:rsidR="00000000" w:rsidRPr="00000000">
        <w:rPr>
          <w:rFonts w:ascii="Garamond" w:cs="Garamond" w:eastAsia="Garamond" w:hAnsi="Garamond"/>
          <w:sz w:val="24"/>
          <w:szCs w:val="24"/>
          <w:rtl w:val="0"/>
        </w:rPr>
        <w:t xml:space="preserve"> y la sustituyó por una ordenanza más genérica en materia de no discriminación</w:t>
      </w:r>
      <w:r w:rsidDel="00000000" w:rsidR="00000000" w:rsidRPr="00000000">
        <w:rPr>
          <w:rFonts w:ascii="Garamond" w:cs="Garamond" w:eastAsia="Garamond" w:hAnsi="Garamond"/>
          <w:sz w:val="24"/>
          <w:szCs w:val="24"/>
          <w:vertAlign w:val="superscript"/>
        </w:rPr>
        <w:footnoteReference w:customMarkFollows="0" w:id="16"/>
      </w:r>
      <w:r w:rsidDel="00000000" w:rsidR="00000000" w:rsidRPr="00000000">
        <w:rPr>
          <w:rFonts w:ascii="Garamond" w:cs="Garamond" w:eastAsia="Garamond" w:hAnsi="Garamond"/>
          <w:sz w:val="24"/>
          <w:szCs w:val="24"/>
          <w:rtl w:val="0"/>
        </w:rPr>
        <w:t xml:space="preserve">.</w:t>
      </w:r>
      <w:r w:rsidDel="00000000" w:rsidR="00000000" w:rsidRPr="00000000">
        <w:rPr>
          <w:rFonts w:ascii="Garamond" w:cs="Garamond" w:eastAsia="Garamond" w:hAnsi="Garamond"/>
          <w:sz w:val="24"/>
          <w:szCs w:val="24"/>
          <w:rtl w:val="0"/>
        </w:rPr>
        <w:t xml:space="preserve"> La ausencia de medidas afirmativas tiene graves impactos para la población trans del resto del país, pues según el Consejo Nacional para la Igualdad de Género, al menos un 87% no cuenta con un empleo formal</w:t>
      </w:r>
      <w:r w:rsidDel="00000000" w:rsidR="00000000" w:rsidRPr="00000000">
        <w:rPr>
          <w:rFonts w:ascii="Garamond" w:cs="Garamond" w:eastAsia="Garamond" w:hAnsi="Garamond"/>
          <w:sz w:val="24"/>
          <w:szCs w:val="24"/>
          <w:vertAlign w:val="superscript"/>
        </w:rPr>
        <w:footnoteReference w:customMarkFollows="0" w:id="17"/>
      </w:r>
      <w:r w:rsidDel="00000000" w:rsidR="00000000" w:rsidRPr="00000000">
        <w:rPr>
          <w:rFonts w:ascii="Garamond" w:cs="Garamond" w:eastAsia="Garamond" w:hAnsi="Garamond"/>
          <w:sz w:val="24"/>
          <w:szCs w:val="24"/>
          <w:rtl w:val="0"/>
        </w:rPr>
        <w:t xml:space="preserve">, lo que genera situaciones de precarización y afecta la posibilidad de una vida digna.</w:t>
      </w:r>
    </w:p>
    <w:p w:rsidR="00000000" w:rsidDel="00000000" w:rsidP="00000000" w:rsidRDefault="00000000" w:rsidRPr="00000000" w14:paraId="00000040">
      <w:pPr>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41">
      <w:pPr>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Preguntas sugeridas para el Estado </w:t>
      </w:r>
      <w:r w:rsidDel="00000000" w:rsidR="00000000" w:rsidRPr="00000000">
        <w:rPr>
          <w:rFonts w:ascii="Garamond" w:cs="Garamond" w:eastAsia="Garamond" w:hAnsi="Garamond"/>
          <w:b w:val="1"/>
          <w:bCs w:val="1"/>
          <w:sz w:val="24"/>
          <w:szCs w:val="24"/>
          <w:rtl w:val="0"/>
        </w:rPr>
        <w:t xml:space="preserve">Ecuatoriano</w:t>
      </w:r>
      <w:r w:rsidDel="00000000" w:rsidR="00000000" w:rsidRPr="00000000">
        <w:rPr>
          <w:rFonts w:ascii="Garamond" w:cs="Garamond" w:eastAsia="Garamond" w:hAnsi="Garamond"/>
          <w:b w:val="1"/>
          <w:bCs w:val="1"/>
          <w:sz w:val="24"/>
          <w:szCs w:val="24"/>
          <w:rtl w:val="0"/>
        </w:rPr>
        <w:t xml:space="preserve">:</w:t>
      </w:r>
    </w:p>
    <w:p w:rsidR="00000000" w:rsidDel="00000000" w:rsidP="00000000" w:rsidRDefault="00000000" w:rsidRPr="00000000" w14:paraId="00000042">
      <w:pPr>
        <w:jc w:val="both"/>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43">
      <w:pPr>
        <w:numPr>
          <w:ilvl w:val="0"/>
          <w:numId w:val="3"/>
        </w:numPr>
        <w:ind w:left="720" w:hanging="360"/>
        <w:jc w:val="both"/>
        <w:rPr>
          <w:rFonts w:ascii="Nunito" w:cs="Nunito" w:eastAsia="Nunito" w:hAnsi="Nunito"/>
          <w:sz w:val="24"/>
          <w:szCs w:val="24"/>
        </w:rPr>
      </w:pPr>
      <w:r w:rsidDel="00000000" w:rsidR="00000000" w:rsidRPr="00000000">
        <w:rPr>
          <w:rFonts w:ascii="Garamond" w:cs="Garamond" w:eastAsia="Garamond" w:hAnsi="Garamond"/>
          <w:sz w:val="24"/>
          <w:szCs w:val="24"/>
          <w:rtl w:val="0"/>
        </w:rPr>
        <w:t xml:space="preserve">¿Existen </w:t>
      </w:r>
      <w:r w:rsidDel="00000000" w:rsidR="00000000" w:rsidRPr="00000000">
        <w:rPr>
          <w:rFonts w:ascii="Garamond" w:cs="Garamond" w:eastAsia="Garamond" w:hAnsi="Garamond"/>
          <w:b w:val="1"/>
          <w:bCs w:val="1"/>
          <w:sz w:val="24"/>
          <w:szCs w:val="24"/>
          <w:rtl w:val="0"/>
        </w:rPr>
        <w:t xml:space="preserve">datos desagregados</w:t>
      </w:r>
      <w:r w:rsidDel="00000000" w:rsidR="00000000" w:rsidRPr="00000000">
        <w:rPr>
          <w:rFonts w:ascii="Garamond" w:cs="Garamond" w:eastAsia="Garamond" w:hAnsi="Garamond"/>
          <w:sz w:val="24"/>
          <w:szCs w:val="24"/>
          <w:rtl w:val="0"/>
        </w:rPr>
        <w:t xml:space="preserve"> producidos por el Estado sobre el número de denuncias, investigaciones y sanciones aplicadas por actos de discriminación laboral contra personas LGBTIQ+ en los últimos cinco años? </w:t>
      </w:r>
    </w:p>
    <w:p w:rsidR="00000000" w:rsidDel="00000000" w:rsidP="00000000" w:rsidRDefault="00000000" w:rsidRPr="00000000" w14:paraId="00000044">
      <w:pPr>
        <w:numPr>
          <w:ilvl w:val="0"/>
          <w:numId w:val="3"/>
        </w:numPr>
        <w:ind w:left="720" w:hanging="360"/>
        <w:jc w:val="both"/>
        <w:rPr>
          <w:rFonts w:ascii="Nunito" w:cs="Nunito" w:eastAsia="Nunito" w:hAnsi="Nunito"/>
          <w:sz w:val="24"/>
          <w:szCs w:val="24"/>
        </w:rPr>
      </w:pPr>
      <w:r w:rsidDel="00000000" w:rsidR="00000000" w:rsidRPr="00000000">
        <w:rPr>
          <w:rFonts w:ascii="Garamond" w:cs="Garamond" w:eastAsia="Garamond" w:hAnsi="Garamond"/>
          <w:sz w:val="24"/>
          <w:szCs w:val="24"/>
          <w:rtl w:val="0"/>
        </w:rPr>
        <w:t xml:space="preserve">¿Qué mecanismos de </w:t>
      </w:r>
      <w:r w:rsidDel="00000000" w:rsidR="00000000" w:rsidRPr="00000000">
        <w:rPr>
          <w:rFonts w:ascii="Garamond" w:cs="Garamond" w:eastAsia="Garamond" w:hAnsi="Garamond"/>
          <w:b w:val="1"/>
          <w:bCs w:val="1"/>
          <w:sz w:val="24"/>
          <w:szCs w:val="24"/>
          <w:rtl w:val="0"/>
        </w:rPr>
        <w:t xml:space="preserve">supervisión,</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sanción</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o</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reparación</w:t>
      </w:r>
      <w:r w:rsidDel="00000000" w:rsidR="00000000" w:rsidRPr="00000000">
        <w:rPr>
          <w:rFonts w:ascii="Garamond" w:cs="Garamond" w:eastAsia="Garamond" w:hAnsi="Garamond"/>
          <w:sz w:val="24"/>
          <w:szCs w:val="24"/>
          <w:rtl w:val="0"/>
        </w:rPr>
        <w:t xml:space="preserve"> existen actualmente para los casos de despido por motivos discriminatorios por orientación sexual o identidad de género, conforme al Código de Trabajo,  la Ley para la Justicia Laboral y el Reconocimiento del Trabajo en el Hogar de 2015?</w:t>
      </w:r>
      <w:r w:rsidDel="00000000" w:rsidR="00000000" w:rsidRPr="00000000">
        <w:rPr>
          <w:rtl w:val="0"/>
        </w:rPr>
      </w:r>
    </w:p>
    <w:p w:rsidR="00000000" w:rsidDel="00000000" w:rsidP="00000000" w:rsidRDefault="00000000" w:rsidRPr="00000000" w14:paraId="00000045">
      <w:pPr>
        <w:numPr>
          <w:ilvl w:val="0"/>
          <w:numId w:val="3"/>
        </w:numPr>
        <w:ind w:left="720" w:hanging="360"/>
        <w:jc w:val="both"/>
        <w:rPr>
          <w:rFonts w:ascii="Nunito" w:cs="Nunito" w:eastAsia="Nunito" w:hAnsi="Nunito"/>
          <w:sz w:val="24"/>
          <w:szCs w:val="24"/>
        </w:rPr>
      </w:pPr>
      <w:r w:rsidDel="00000000" w:rsidR="00000000" w:rsidRPr="00000000">
        <w:rPr>
          <w:rFonts w:ascii="Garamond" w:cs="Garamond" w:eastAsia="Garamond" w:hAnsi="Garamond"/>
          <w:sz w:val="24"/>
          <w:szCs w:val="24"/>
          <w:rtl w:val="0"/>
        </w:rPr>
        <w:t xml:space="preserve">¿Qu</w:t>
      </w:r>
      <w:r w:rsidDel="00000000" w:rsidR="00000000" w:rsidRPr="00000000">
        <w:rPr>
          <w:rFonts w:ascii="Garamond" w:cs="Garamond" w:eastAsia="Garamond" w:hAnsi="Garamond"/>
          <w:sz w:val="24"/>
          <w:szCs w:val="24"/>
          <w:rtl w:val="0"/>
        </w:rPr>
        <w:t xml:space="preserve">é información </w:t>
      </w:r>
      <w:r w:rsidDel="00000000" w:rsidR="00000000" w:rsidRPr="00000000">
        <w:rPr>
          <w:rFonts w:ascii="Garamond" w:cs="Garamond" w:eastAsia="Garamond" w:hAnsi="Garamond"/>
          <w:sz w:val="24"/>
          <w:szCs w:val="24"/>
          <w:rtl w:val="0"/>
        </w:rPr>
        <w:t xml:space="preserve">tiene </w:t>
      </w:r>
      <w:r w:rsidDel="00000000" w:rsidR="00000000" w:rsidRPr="00000000">
        <w:rPr>
          <w:rFonts w:ascii="Garamond" w:cs="Garamond" w:eastAsia="Garamond" w:hAnsi="Garamond"/>
          <w:sz w:val="24"/>
          <w:szCs w:val="24"/>
          <w:rtl w:val="0"/>
        </w:rPr>
        <w:t xml:space="preserve">el</w:t>
      </w:r>
      <w:r w:rsidDel="00000000" w:rsidR="00000000" w:rsidRPr="00000000">
        <w:rPr>
          <w:rFonts w:ascii="Garamond" w:cs="Garamond" w:eastAsia="Garamond" w:hAnsi="Garamond"/>
          <w:sz w:val="24"/>
          <w:szCs w:val="24"/>
          <w:rtl w:val="0"/>
        </w:rPr>
        <w:t xml:space="preserve"> Ministerio de Trabajo respecto a la aplicaci</w:t>
      </w:r>
      <w:r w:rsidDel="00000000" w:rsidR="00000000" w:rsidRPr="00000000">
        <w:rPr>
          <w:rFonts w:ascii="Garamond" w:cs="Garamond" w:eastAsia="Garamond" w:hAnsi="Garamond"/>
          <w:sz w:val="24"/>
          <w:szCs w:val="24"/>
          <w:rtl w:val="0"/>
        </w:rPr>
        <w:t xml:space="preserve">ón de los Acuerdos Ministeriales No.MDT-2017-0082 y No.MDT-2025-10 </w:t>
      </w:r>
      <w:r w:rsidDel="00000000" w:rsidR="00000000" w:rsidRPr="00000000">
        <w:rPr>
          <w:rFonts w:ascii="Garamond" w:cs="Garamond" w:eastAsia="Garamond" w:hAnsi="Garamond"/>
          <w:sz w:val="24"/>
          <w:szCs w:val="24"/>
          <w:rtl w:val="0"/>
        </w:rPr>
        <w:t xml:space="preserve">relacionados con </w:t>
      </w:r>
      <w:r w:rsidDel="00000000" w:rsidR="00000000" w:rsidRPr="00000000">
        <w:rPr>
          <w:rFonts w:ascii="Garamond" w:cs="Garamond" w:eastAsia="Garamond" w:hAnsi="Garamond"/>
          <w:b w:val="1"/>
          <w:bCs w:val="1"/>
          <w:sz w:val="24"/>
          <w:szCs w:val="24"/>
          <w:rtl w:val="0"/>
        </w:rPr>
        <w:t xml:space="preserve"> la discriminación de personas LGBTIQ+ en espacios laborales,</w:t>
      </w:r>
      <w:r w:rsidDel="00000000" w:rsidR="00000000" w:rsidRPr="00000000">
        <w:rPr>
          <w:rFonts w:ascii="Garamond" w:cs="Garamond" w:eastAsia="Garamond" w:hAnsi="Garamond"/>
          <w:sz w:val="24"/>
          <w:szCs w:val="24"/>
          <w:rtl w:val="0"/>
        </w:rPr>
        <w:t xml:space="preserve"> en los sectores público y privado?</w:t>
      </w:r>
    </w:p>
    <w:p w:rsidR="00000000" w:rsidDel="00000000" w:rsidP="00000000" w:rsidRDefault="00000000" w:rsidRPr="00000000" w14:paraId="00000046">
      <w:pPr>
        <w:numPr>
          <w:ilvl w:val="0"/>
          <w:numId w:val="3"/>
        </w:numPr>
        <w:ind w:left="720" w:hanging="360"/>
        <w:jc w:val="both"/>
        <w:rPr>
          <w:rFonts w:ascii="Nunito" w:cs="Nunito" w:eastAsia="Nunito" w:hAnsi="Nunito"/>
          <w:sz w:val="24"/>
          <w:szCs w:val="24"/>
        </w:rPr>
      </w:pPr>
      <w:r w:rsidDel="00000000" w:rsidR="00000000" w:rsidRPr="00000000">
        <w:rPr>
          <w:rFonts w:ascii="Garamond" w:cs="Garamond" w:eastAsia="Garamond" w:hAnsi="Garamond"/>
          <w:sz w:val="24"/>
          <w:szCs w:val="24"/>
          <w:rtl w:val="0"/>
        </w:rPr>
        <w:t xml:space="preserve">¿Qu</w:t>
      </w:r>
      <w:r w:rsidDel="00000000" w:rsidR="00000000" w:rsidRPr="00000000">
        <w:rPr>
          <w:rFonts w:ascii="Garamond" w:cs="Garamond" w:eastAsia="Garamond" w:hAnsi="Garamond"/>
          <w:sz w:val="24"/>
          <w:szCs w:val="24"/>
          <w:rtl w:val="0"/>
        </w:rPr>
        <w:t xml:space="preserve">é</w:t>
      </w:r>
      <w:r w:rsidDel="00000000" w:rsidR="00000000" w:rsidRPr="00000000">
        <w:rPr>
          <w:rFonts w:ascii="Garamond" w:cs="Garamond" w:eastAsia="Garamond" w:hAnsi="Garamond"/>
          <w:sz w:val="24"/>
          <w:szCs w:val="24"/>
          <w:rtl w:val="0"/>
        </w:rPr>
        <w:t xml:space="preserve"> mecanismos </w:t>
      </w:r>
      <w:r w:rsidDel="00000000" w:rsidR="00000000" w:rsidRPr="00000000">
        <w:rPr>
          <w:rFonts w:ascii="Garamond" w:cs="Garamond" w:eastAsia="Garamond" w:hAnsi="Garamond"/>
          <w:b w:val="1"/>
          <w:bCs w:val="1"/>
          <w:sz w:val="24"/>
          <w:szCs w:val="24"/>
          <w:rtl w:val="0"/>
        </w:rPr>
        <w:t xml:space="preserve">mandatorios </w:t>
      </w:r>
      <w:r w:rsidDel="00000000" w:rsidR="00000000" w:rsidRPr="00000000">
        <w:rPr>
          <w:rFonts w:ascii="Garamond" w:cs="Garamond" w:eastAsia="Garamond" w:hAnsi="Garamond"/>
          <w:sz w:val="24"/>
          <w:szCs w:val="24"/>
          <w:rtl w:val="0"/>
        </w:rPr>
        <w:t xml:space="preserve">de </w:t>
      </w:r>
      <w:r w:rsidDel="00000000" w:rsidR="00000000" w:rsidRPr="00000000">
        <w:rPr>
          <w:rFonts w:ascii="Garamond" w:cs="Garamond" w:eastAsia="Garamond" w:hAnsi="Garamond"/>
          <w:b w:val="1"/>
          <w:bCs w:val="1"/>
          <w:sz w:val="24"/>
          <w:szCs w:val="24"/>
          <w:rtl w:val="0"/>
        </w:rPr>
        <w:t xml:space="preserve">capacitación y sensibilización  existen </w:t>
      </w:r>
      <w:r w:rsidDel="00000000" w:rsidR="00000000" w:rsidRPr="00000000">
        <w:rPr>
          <w:rFonts w:ascii="Garamond" w:cs="Garamond" w:eastAsia="Garamond" w:hAnsi="Garamond"/>
          <w:sz w:val="24"/>
          <w:szCs w:val="24"/>
          <w:rtl w:val="0"/>
        </w:rPr>
        <w:t xml:space="preserve">para el sector empresarial y las instituciones públicas sobre diversidad sexual y de género y no discriminación en el ámbito laboral? </w:t>
      </w:r>
    </w:p>
    <w:p w:rsidR="00000000" w:rsidDel="00000000" w:rsidP="00000000" w:rsidRDefault="00000000" w:rsidRPr="00000000" w14:paraId="00000047">
      <w:pPr>
        <w:numPr>
          <w:ilvl w:val="0"/>
          <w:numId w:val="3"/>
        </w:numPr>
        <w:ind w:left="720" w:hanging="360"/>
        <w:jc w:val="both"/>
        <w:rPr>
          <w:rFonts w:ascii="Nunito" w:cs="Nunito" w:eastAsia="Nunito" w:hAnsi="Nunito"/>
          <w:sz w:val="24"/>
          <w:szCs w:val="24"/>
        </w:rPr>
      </w:pPr>
      <w:r w:rsidDel="00000000" w:rsidR="00000000" w:rsidRPr="00000000">
        <w:rPr>
          <w:rFonts w:ascii="Garamond" w:cs="Garamond" w:eastAsia="Garamond" w:hAnsi="Garamond"/>
          <w:sz w:val="24"/>
          <w:szCs w:val="24"/>
          <w:rtl w:val="0"/>
        </w:rPr>
        <w:t xml:space="preserve">¿El Estado ha emprendido medidas de acci</w:t>
      </w:r>
      <w:r w:rsidDel="00000000" w:rsidR="00000000" w:rsidRPr="00000000">
        <w:rPr>
          <w:rFonts w:ascii="Garamond" w:cs="Garamond" w:eastAsia="Garamond" w:hAnsi="Garamond"/>
          <w:sz w:val="24"/>
          <w:szCs w:val="24"/>
          <w:rtl w:val="0"/>
        </w:rPr>
        <w:t xml:space="preserve">ón</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sz w:val="24"/>
          <w:szCs w:val="24"/>
          <w:rtl w:val="0"/>
        </w:rPr>
        <w:t xml:space="preserve">afirmativa</w:t>
      </w:r>
      <w:r w:rsidDel="00000000" w:rsidR="00000000" w:rsidRPr="00000000">
        <w:rPr>
          <w:rFonts w:ascii="Garamond" w:cs="Garamond" w:eastAsia="Garamond" w:hAnsi="Garamond"/>
          <w:sz w:val="24"/>
          <w:szCs w:val="24"/>
          <w:rtl w:val="0"/>
        </w:rPr>
        <w:t xml:space="preserve"> para la </w:t>
      </w:r>
      <w:r w:rsidDel="00000000" w:rsidR="00000000" w:rsidRPr="00000000">
        <w:rPr>
          <w:rFonts w:ascii="Garamond" w:cs="Garamond" w:eastAsia="Garamond" w:hAnsi="Garamond"/>
          <w:b w:val="1"/>
          <w:bCs w:val="1"/>
          <w:sz w:val="24"/>
          <w:szCs w:val="24"/>
          <w:rtl w:val="0"/>
        </w:rPr>
        <w:t xml:space="preserve">profesionalización o la formalización laboral</w:t>
      </w:r>
      <w:r w:rsidDel="00000000" w:rsidR="00000000" w:rsidRPr="00000000">
        <w:rPr>
          <w:rFonts w:ascii="Garamond" w:cs="Garamond" w:eastAsia="Garamond" w:hAnsi="Garamond"/>
          <w:sz w:val="24"/>
          <w:szCs w:val="24"/>
          <w:rtl w:val="0"/>
        </w:rPr>
        <w:t xml:space="preserve"> de personas LGBTIQ+? </w:t>
      </w:r>
    </w:p>
    <w:p w:rsidR="00000000" w:rsidDel="00000000" w:rsidP="00000000" w:rsidRDefault="00000000" w:rsidRPr="00000000" w14:paraId="00000048">
      <w:pPr>
        <w:ind w:left="72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49">
      <w:pPr>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B.  Derecho a la seguridad social (artículo 10) </w:t>
      </w:r>
    </w:p>
    <w:p w:rsidR="00000000" w:rsidDel="00000000" w:rsidP="00000000" w:rsidRDefault="00000000" w:rsidRPr="00000000" w14:paraId="0000004A">
      <w:pPr>
        <w:ind w:left="0" w:firstLine="0"/>
        <w:jc w:val="both"/>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4B">
      <w:pPr>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13. El 12 de junio de 2019, la Corte Constitucional del Ecuador emitió dos sentencias que reconocen el matrimonio igualitario en Ecuador</w:t>
      </w:r>
      <w:r w:rsidDel="00000000" w:rsidR="00000000" w:rsidRPr="00000000">
        <w:rPr>
          <w:rFonts w:ascii="Garamond" w:cs="Garamond" w:eastAsia="Garamond" w:hAnsi="Garamond"/>
          <w:sz w:val="24"/>
          <w:szCs w:val="24"/>
          <w:vertAlign w:val="superscript"/>
        </w:rPr>
        <w:footnoteReference w:customMarkFollows="0" w:id="18"/>
      </w:r>
      <w:r w:rsidDel="00000000" w:rsidR="00000000" w:rsidRPr="00000000">
        <w:rPr>
          <w:rFonts w:ascii="Garamond" w:cs="Garamond" w:eastAsia="Garamond" w:hAnsi="Garamond"/>
          <w:sz w:val="24"/>
          <w:szCs w:val="24"/>
          <w:rtl w:val="0"/>
        </w:rPr>
        <w:t xml:space="preserve">.  Si bien estas sentencias permitieron el acceso a las parejas del mismo sexo al matrimonio civil, el Ecuador no ha realizado los cambios normativos en: Código Civil, Ley Orgánica de Gestión de la Identidad y Datos Civiles y Código de la Niñez y la Adolescencia. La iniciativa legislativa de ninguna entidad pública se ha activado para cumplir estas sentencias, a pesar de la insistencia de la sociedad civil. Adicionalmente, la Corte Constitucional no ha realizado </w:t>
      </w:r>
      <w:r w:rsidDel="00000000" w:rsidR="00000000" w:rsidRPr="00000000">
        <w:rPr>
          <w:rFonts w:ascii="Garamond" w:cs="Garamond" w:eastAsia="Garamond" w:hAnsi="Garamond"/>
          <w:sz w:val="24"/>
          <w:szCs w:val="24"/>
          <w:rtl w:val="0"/>
        </w:rPr>
        <w:t xml:space="preserve">oportunamente</w:t>
      </w:r>
      <w:r w:rsidDel="00000000" w:rsidR="00000000" w:rsidRPr="00000000">
        <w:rPr>
          <w:rFonts w:ascii="Garamond" w:cs="Garamond" w:eastAsia="Garamond" w:hAnsi="Garamond"/>
          <w:sz w:val="24"/>
          <w:szCs w:val="24"/>
          <w:rtl w:val="0"/>
        </w:rPr>
        <w:t xml:space="preserve"> el seguimiento de la implementación de las medidas ordenadas en sus sentencias vinculadas a este tema. Como consecuencia, se generan constantes obstáculos y barreras para que las parejas del mismo sexo puedan ser beneficiarias de las regulaciones en materia de seguridad social para cónyuges y para sus hijos e hijas. </w:t>
      </w:r>
    </w:p>
    <w:p w:rsidR="00000000" w:rsidDel="00000000" w:rsidP="00000000" w:rsidRDefault="00000000" w:rsidRPr="00000000" w14:paraId="0000004C">
      <w:pPr>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4D">
      <w:pPr>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14. Especialmente, en lo que respecta a la filiación y el registro de hijos e hijas de parejas del mismo sexo, preocupa que el Registro Civil de Ecuador, de manera arbitraria, no acate la Sentencia de la Corte Constitucional que se pronunció sobre esta materia</w:t>
      </w:r>
      <w:r w:rsidDel="00000000" w:rsidR="00000000" w:rsidRPr="00000000">
        <w:rPr>
          <w:rFonts w:ascii="Garamond" w:cs="Garamond" w:eastAsia="Garamond" w:hAnsi="Garamond"/>
          <w:sz w:val="24"/>
          <w:szCs w:val="24"/>
          <w:vertAlign w:val="superscript"/>
        </w:rPr>
        <w:footnoteReference w:customMarkFollows="0" w:id="19"/>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sz w:val="24"/>
          <w:szCs w:val="24"/>
          <w:rtl w:val="0"/>
        </w:rPr>
        <w:t xml:space="preserve">En la práctica, se continúa limitando el acceso al registro civil solo a niños y niñas de parejas del mismo sexo que hayan nacido mediante un mecanismo de reproducción asistida certificado por un profesional de la salud.</w:t>
      </w:r>
      <w:r w:rsidDel="00000000" w:rsidR="00000000" w:rsidRPr="00000000">
        <w:rPr>
          <w:rFonts w:ascii="Garamond" w:cs="Garamond" w:eastAsia="Garamond" w:hAnsi="Garamond"/>
          <w:sz w:val="24"/>
          <w:szCs w:val="24"/>
          <w:rtl w:val="0"/>
        </w:rPr>
        <w:t xml:space="preserve"> Además, esta entidad solo admite la inscripción de hijos e hijas de parejas lesbianas</w:t>
      </w:r>
      <w:r w:rsidDel="00000000" w:rsidR="00000000" w:rsidRPr="00000000">
        <w:rPr>
          <w:rFonts w:ascii="Garamond" w:cs="Garamond" w:eastAsia="Garamond" w:hAnsi="Garamond"/>
          <w:sz w:val="24"/>
          <w:szCs w:val="24"/>
          <w:vertAlign w:val="superscript"/>
        </w:rPr>
        <w:footnoteReference w:customMarkFollows="0" w:id="20"/>
      </w:r>
      <w:r w:rsidDel="00000000" w:rsidR="00000000" w:rsidRPr="00000000">
        <w:rPr>
          <w:rFonts w:ascii="Garamond" w:cs="Garamond" w:eastAsia="Garamond" w:hAnsi="Garamond"/>
          <w:sz w:val="24"/>
          <w:szCs w:val="24"/>
          <w:rtl w:val="0"/>
        </w:rPr>
        <w:t xml:space="preserve">, excluyendo la posibilidad de reconocer la filiación de parejas conformadas por otras personas de la diversidad sexual y de género, sin que esto haya sido dispuesto por la Corte Constitucional. </w:t>
      </w:r>
    </w:p>
    <w:p w:rsidR="00000000" w:rsidDel="00000000" w:rsidP="00000000" w:rsidRDefault="00000000" w:rsidRPr="00000000" w14:paraId="0000004E">
      <w:pPr>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4F">
      <w:pPr>
        <w:jc w:val="both"/>
        <w:rPr>
          <w:rFonts w:ascii="Garamond" w:cs="Garamond" w:eastAsia="Garamond" w:hAnsi="Garamond"/>
          <w:b w:val="1"/>
          <w:bCs w:val="1"/>
          <w:i w:val="1"/>
          <w:iCs w:val="1"/>
          <w:color w:val="ff0000"/>
          <w:sz w:val="24"/>
          <w:szCs w:val="24"/>
        </w:rPr>
      </w:pPr>
      <w:r w:rsidDel="00000000" w:rsidR="00000000" w:rsidRPr="00000000">
        <w:rPr>
          <w:rFonts w:ascii="Garamond" w:cs="Garamond" w:eastAsia="Garamond" w:hAnsi="Garamond"/>
          <w:sz w:val="24"/>
          <w:szCs w:val="24"/>
          <w:rtl w:val="0"/>
        </w:rPr>
        <w:t xml:space="preserve">15. </w:t>
      </w:r>
      <w:r w:rsidDel="00000000" w:rsidR="00000000" w:rsidRPr="00000000">
        <w:rPr>
          <w:rFonts w:ascii="Garamond" w:cs="Garamond" w:eastAsia="Garamond" w:hAnsi="Garamond"/>
          <w:sz w:val="24"/>
          <w:szCs w:val="24"/>
          <w:rtl w:val="0"/>
        </w:rPr>
        <w:t xml:space="preserve">Como consecuencia de esta situación, el acceso y disfrute de derechos como las licencias de maternidad y paternidad, la pensión de sobrevivencia, la afiliación al sistema de salud en calidad de beneficiarios, los auxilios funerarios y otras formas de protección social son inaplicados arbitrariamente a las familias de personas del mismo sexo.</w:t>
      </w:r>
      <w:r w:rsidDel="00000000" w:rsidR="00000000" w:rsidRPr="00000000">
        <w:rPr>
          <w:rFonts w:ascii="Garamond" w:cs="Garamond" w:eastAsia="Garamond" w:hAnsi="Garamond"/>
          <w:sz w:val="24"/>
          <w:szCs w:val="24"/>
          <w:rtl w:val="0"/>
        </w:rPr>
        <w:t xml:space="preserve"> </w:t>
      </w:r>
      <w:r w:rsidDel="00000000" w:rsidR="00000000" w:rsidRPr="00000000">
        <w:rPr>
          <w:rtl w:val="0"/>
        </w:rPr>
      </w:r>
    </w:p>
    <w:p w:rsidR="00000000" w:rsidDel="00000000" w:rsidP="00000000" w:rsidRDefault="00000000" w:rsidRPr="00000000" w14:paraId="00000050">
      <w:pPr>
        <w:jc w:val="both"/>
        <w:rPr>
          <w:rFonts w:ascii="Garamond" w:cs="Garamond" w:eastAsia="Garamond" w:hAnsi="Garamond"/>
          <w:color w:val="ff0000"/>
          <w:sz w:val="24"/>
          <w:szCs w:val="24"/>
        </w:rPr>
      </w:pPr>
      <w:r w:rsidDel="00000000" w:rsidR="00000000" w:rsidRPr="00000000">
        <w:rPr>
          <w:rtl w:val="0"/>
        </w:rPr>
      </w:r>
    </w:p>
    <w:p w:rsidR="00000000" w:rsidDel="00000000" w:rsidP="00000000" w:rsidRDefault="00000000" w:rsidRPr="00000000" w14:paraId="00000051">
      <w:pPr>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Preguntas sugeridas para el Estado </w:t>
      </w:r>
      <w:r w:rsidDel="00000000" w:rsidR="00000000" w:rsidRPr="00000000">
        <w:rPr>
          <w:rFonts w:ascii="Garamond" w:cs="Garamond" w:eastAsia="Garamond" w:hAnsi="Garamond"/>
          <w:b w:val="1"/>
          <w:bCs w:val="1"/>
          <w:sz w:val="24"/>
          <w:szCs w:val="24"/>
          <w:rtl w:val="0"/>
        </w:rPr>
        <w:t xml:space="preserve">Ecuatoriano</w:t>
      </w:r>
      <w:r w:rsidDel="00000000" w:rsidR="00000000" w:rsidRPr="00000000">
        <w:rPr>
          <w:rFonts w:ascii="Garamond" w:cs="Garamond" w:eastAsia="Garamond" w:hAnsi="Garamond"/>
          <w:b w:val="1"/>
          <w:bCs w:val="1"/>
          <w:sz w:val="24"/>
          <w:szCs w:val="24"/>
          <w:rtl w:val="0"/>
        </w:rPr>
        <w:t xml:space="preserve">:</w:t>
      </w:r>
    </w:p>
    <w:p w:rsidR="00000000" w:rsidDel="00000000" w:rsidP="00000000" w:rsidRDefault="00000000" w:rsidRPr="00000000" w14:paraId="00000052">
      <w:pPr>
        <w:jc w:val="both"/>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53">
      <w:pPr>
        <w:numPr>
          <w:ilvl w:val="0"/>
          <w:numId w:val="4"/>
        </w:numPr>
        <w:ind w:left="720" w:hanging="360"/>
        <w:jc w:val="both"/>
        <w:rPr>
          <w:rFonts w:ascii="Nunito" w:cs="Nunito" w:eastAsia="Nunito" w:hAnsi="Nunito"/>
          <w:sz w:val="24"/>
          <w:szCs w:val="24"/>
          <w:u w:val="none"/>
        </w:rPr>
      </w:pPr>
      <w:r w:rsidDel="00000000" w:rsidR="00000000" w:rsidRPr="00000000">
        <w:rPr>
          <w:rFonts w:ascii="Garamond" w:cs="Garamond" w:eastAsia="Garamond" w:hAnsi="Garamond"/>
          <w:sz w:val="24"/>
          <w:szCs w:val="24"/>
          <w:rtl w:val="0"/>
        </w:rPr>
        <w:t xml:space="preserve">Ante la ausencia de voluntad legislativa para cumplir con  los exhortos de la Corte Constitucional que ordenan modificar la legislación existente sobre matrimonio y filiación para familias conformadas por personas LGBTIQ+, ¿qué </w:t>
      </w:r>
      <w:r w:rsidDel="00000000" w:rsidR="00000000" w:rsidRPr="00000000">
        <w:rPr>
          <w:rFonts w:ascii="Garamond" w:cs="Garamond" w:eastAsia="Garamond" w:hAnsi="Garamond"/>
          <w:b w:val="1"/>
          <w:bCs w:val="1"/>
          <w:sz w:val="24"/>
          <w:szCs w:val="24"/>
          <w:rtl w:val="0"/>
        </w:rPr>
        <w:t xml:space="preserve">mecanismos ha creado el Estado para superar las barreras y obstáculos </w:t>
      </w:r>
      <w:r w:rsidDel="00000000" w:rsidR="00000000" w:rsidRPr="00000000">
        <w:rPr>
          <w:rFonts w:ascii="Garamond" w:cs="Garamond" w:eastAsia="Garamond" w:hAnsi="Garamond"/>
          <w:sz w:val="24"/>
          <w:szCs w:val="24"/>
          <w:rtl w:val="0"/>
        </w:rPr>
        <w:t xml:space="preserve">que enfrentan estas familias en materia de seguridad social derivados de la falta de reconocimiento formal de sus vínculos? </w:t>
      </w:r>
    </w:p>
    <w:p w:rsidR="00000000" w:rsidDel="00000000" w:rsidP="00000000" w:rsidRDefault="00000000" w:rsidRPr="00000000" w14:paraId="00000054">
      <w:pPr>
        <w:ind w:left="72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55">
      <w:pPr>
        <w:numPr>
          <w:ilvl w:val="0"/>
          <w:numId w:val="4"/>
        </w:numPr>
        <w:ind w:left="720" w:hanging="360"/>
        <w:jc w:val="both"/>
        <w:rPr>
          <w:rFonts w:ascii="Nunito" w:cs="Nunito" w:eastAsia="Nunito" w:hAnsi="Nunito"/>
          <w:sz w:val="24"/>
          <w:szCs w:val="24"/>
          <w:u w:val="none"/>
        </w:rPr>
      </w:pPr>
      <w:r w:rsidDel="00000000" w:rsidR="00000000" w:rsidRPr="00000000">
        <w:rPr>
          <w:rFonts w:ascii="Garamond" w:cs="Garamond" w:eastAsia="Garamond" w:hAnsi="Garamond"/>
          <w:sz w:val="24"/>
          <w:szCs w:val="24"/>
          <w:rtl w:val="0"/>
        </w:rPr>
        <w:t xml:space="preserve">¿Se han implementado o se implementarán acciones como la c</w:t>
      </w:r>
      <w:r w:rsidDel="00000000" w:rsidR="00000000" w:rsidRPr="00000000">
        <w:rPr>
          <w:rFonts w:ascii="Garamond" w:cs="Garamond" w:eastAsia="Garamond" w:hAnsi="Garamond"/>
          <w:b w:val="1"/>
          <w:bCs w:val="1"/>
          <w:sz w:val="24"/>
          <w:szCs w:val="24"/>
          <w:rtl w:val="0"/>
        </w:rPr>
        <w:t xml:space="preserve">reación de protocolos administrativos dentro del Registro Civil</w:t>
      </w:r>
      <w:r w:rsidDel="00000000" w:rsidR="00000000" w:rsidRPr="00000000">
        <w:rPr>
          <w:rFonts w:ascii="Garamond" w:cs="Garamond" w:eastAsia="Garamond" w:hAnsi="Garamond"/>
          <w:sz w:val="24"/>
          <w:szCs w:val="24"/>
          <w:rtl w:val="0"/>
        </w:rPr>
        <w:t xml:space="preserve"> del Ecuador para garantizar la inscripción y reconocimiento de hijos e hijas de parejas del mismo sexo, conforme a lo ordenado por la Corte Constitucional?</w:t>
      </w:r>
    </w:p>
    <w:p w:rsidR="00000000" w:rsidDel="00000000" w:rsidP="00000000" w:rsidRDefault="00000000" w:rsidRPr="00000000" w14:paraId="00000056">
      <w:pPr>
        <w:ind w:left="72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57">
      <w:pPr>
        <w:numPr>
          <w:ilvl w:val="0"/>
          <w:numId w:val="4"/>
        </w:numPr>
        <w:ind w:left="720" w:hanging="360"/>
        <w:jc w:val="both"/>
        <w:rPr>
          <w:rFonts w:ascii="Nunito" w:cs="Nunito" w:eastAsia="Nunito" w:hAnsi="Nunito"/>
          <w:sz w:val="24"/>
          <w:szCs w:val="24"/>
          <w:u w:val="none"/>
        </w:rPr>
      </w:pPr>
      <w:r w:rsidDel="00000000" w:rsidR="00000000" w:rsidRPr="00000000">
        <w:rPr>
          <w:rFonts w:ascii="Garamond" w:cs="Garamond" w:eastAsia="Garamond" w:hAnsi="Garamond"/>
          <w:sz w:val="24"/>
          <w:szCs w:val="24"/>
          <w:rtl w:val="0"/>
        </w:rPr>
        <w:t xml:space="preserve">¿Qué medidas está llevando a cabo el Estado de Ecuador para eliminar la </w:t>
      </w:r>
      <w:r w:rsidDel="00000000" w:rsidR="00000000" w:rsidRPr="00000000">
        <w:rPr>
          <w:rFonts w:ascii="Garamond" w:cs="Garamond" w:eastAsia="Garamond" w:hAnsi="Garamond"/>
          <w:b w:val="1"/>
          <w:bCs w:val="1"/>
          <w:sz w:val="24"/>
          <w:szCs w:val="24"/>
          <w:rtl w:val="0"/>
        </w:rPr>
        <w:t xml:space="preserve">prohibición constitucional de </w:t>
      </w:r>
      <w:r w:rsidDel="00000000" w:rsidR="00000000" w:rsidRPr="00000000">
        <w:rPr>
          <w:rFonts w:ascii="Garamond" w:cs="Garamond" w:eastAsia="Garamond" w:hAnsi="Garamond"/>
          <w:b w:val="1"/>
          <w:bCs w:val="1"/>
          <w:sz w:val="24"/>
          <w:szCs w:val="24"/>
          <w:rtl w:val="0"/>
        </w:rPr>
        <w:t xml:space="preserve">la </w:t>
      </w:r>
      <w:r w:rsidDel="00000000" w:rsidR="00000000" w:rsidRPr="00000000">
        <w:rPr>
          <w:rFonts w:ascii="Garamond" w:cs="Garamond" w:eastAsia="Garamond" w:hAnsi="Garamond"/>
          <w:b w:val="1"/>
          <w:bCs w:val="1"/>
          <w:sz w:val="24"/>
          <w:szCs w:val="24"/>
          <w:rtl w:val="0"/>
        </w:rPr>
        <w:t xml:space="preserve">adopción de parejas homosexuales,</w:t>
      </w:r>
      <w:r w:rsidDel="00000000" w:rsidR="00000000" w:rsidRPr="00000000">
        <w:rPr>
          <w:rFonts w:ascii="Garamond" w:cs="Garamond" w:eastAsia="Garamond" w:hAnsi="Garamond"/>
          <w:sz w:val="24"/>
          <w:szCs w:val="24"/>
          <w:rtl w:val="0"/>
        </w:rPr>
        <w:t xml:space="preserve"> la cual es abiertamente discriminatoria? </w:t>
      </w:r>
    </w:p>
    <w:p w:rsidR="00000000" w:rsidDel="00000000" w:rsidP="00000000" w:rsidRDefault="00000000" w:rsidRPr="00000000" w14:paraId="00000058">
      <w:pPr>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59">
      <w:pPr>
        <w:numPr>
          <w:ilvl w:val="0"/>
          <w:numId w:val="4"/>
        </w:numPr>
        <w:ind w:left="720" w:hanging="360"/>
        <w:jc w:val="both"/>
        <w:rPr>
          <w:rFonts w:ascii="Nunito" w:cs="Nunito" w:eastAsia="Nunito" w:hAnsi="Nunito"/>
          <w:sz w:val="24"/>
          <w:szCs w:val="24"/>
          <w:u w:val="none"/>
        </w:rPr>
      </w:pPr>
      <w:r w:rsidDel="00000000" w:rsidR="00000000" w:rsidRPr="00000000">
        <w:rPr>
          <w:rFonts w:ascii="Garamond" w:cs="Garamond" w:eastAsia="Garamond" w:hAnsi="Garamond"/>
          <w:sz w:val="24"/>
          <w:szCs w:val="24"/>
          <w:rtl w:val="0"/>
        </w:rPr>
        <w:t xml:space="preserve">¿Cómo superará el Estado la </w:t>
      </w:r>
      <w:r w:rsidDel="00000000" w:rsidR="00000000" w:rsidRPr="00000000">
        <w:rPr>
          <w:rFonts w:ascii="Garamond" w:cs="Garamond" w:eastAsia="Garamond" w:hAnsi="Garamond"/>
          <w:b w:val="1"/>
          <w:bCs w:val="1"/>
          <w:sz w:val="24"/>
          <w:szCs w:val="24"/>
          <w:rtl w:val="0"/>
        </w:rPr>
        <w:t xml:space="preserve">limitación</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legal</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al</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registro</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de</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hijos</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e</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hijas</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de</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parejas</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del</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mismo</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sexo</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que</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únicamente</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hayan</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nacido</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mediante</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mecanismos</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de</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reproducción asistida</w:t>
      </w:r>
      <w:r w:rsidDel="00000000" w:rsidR="00000000" w:rsidRPr="00000000">
        <w:rPr>
          <w:rFonts w:ascii="Garamond" w:cs="Garamond" w:eastAsia="Garamond" w:hAnsi="Garamond"/>
          <w:sz w:val="24"/>
          <w:szCs w:val="24"/>
          <w:rtl w:val="0"/>
        </w:rPr>
        <w:t xml:space="preserve">?</w:t>
      </w:r>
      <w:r w:rsidDel="00000000" w:rsidR="00000000" w:rsidRPr="00000000">
        <w:rPr>
          <w:rFonts w:ascii="Garamond" w:cs="Garamond" w:eastAsia="Garamond" w:hAnsi="Garamond"/>
          <w:sz w:val="24"/>
          <w:szCs w:val="24"/>
          <w:rtl w:val="0"/>
        </w:rPr>
        <w:t xml:space="preserve"> </w:t>
      </w:r>
    </w:p>
    <w:p w:rsidR="00000000" w:rsidDel="00000000" w:rsidP="00000000" w:rsidRDefault="00000000" w:rsidRPr="00000000" w14:paraId="0000005A">
      <w:pPr>
        <w:ind w:left="72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5B">
      <w:pPr>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C. Derecho al disfrute del más alto nivel posible de salud física y mental (artículo 12) </w:t>
      </w:r>
    </w:p>
    <w:p w:rsidR="00000000" w:rsidDel="00000000" w:rsidP="00000000" w:rsidRDefault="00000000" w:rsidRPr="00000000" w14:paraId="0000005C">
      <w:pPr>
        <w:jc w:val="both"/>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5D">
      <w:pPr>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16. </w:t>
      </w:r>
      <w:r w:rsidDel="00000000" w:rsidR="00000000" w:rsidRPr="00000000">
        <w:rPr>
          <w:rFonts w:ascii="Garamond" w:cs="Garamond" w:eastAsia="Garamond" w:hAnsi="Garamond"/>
          <w:sz w:val="24"/>
          <w:szCs w:val="24"/>
          <w:rtl w:val="0"/>
        </w:rPr>
        <w:t xml:space="preserve">En 2016 se public</w:t>
      </w:r>
      <w:r w:rsidDel="00000000" w:rsidR="00000000" w:rsidRPr="00000000">
        <w:rPr>
          <w:rFonts w:ascii="Garamond" w:cs="Garamond" w:eastAsia="Garamond" w:hAnsi="Garamond"/>
          <w:sz w:val="24"/>
          <w:szCs w:val="24"/>
          <w:rtl w:val="0"/>
        </w:rPr>
        <w:t xml:space="preserve">ó el Manual de Atención Integral en Salud a Personas LGBTI, que fue completado en el año 2024 y renombrado como “Manual de Buenas Prácticas en la Atención Integral de Salud a Personas de las Diversidades Sexo-Genéricas (LGBTIQ+)”. Este último se aprobó por el Ministerio de Salud Pública mediante Acuerdo Ministerial No.00085-2024, estableciendo su obligatoria aplicación en toda la Red Pública de salud</w:t>
      </w:r>
      <w:r w:rsidDel="00000000" w:rsidR="00000000" w:rsidRPr="00000000">
        <w:rPr>
          <w:rFonts w:ascii="Garamond" w:cs="Garamond" w:eastAsia="Garamond" w:hAnsi="Garamond"/>
          <w:sz w:val="24"/>
          <w:szCs w:val="24"/>
          <w:vertAlign w:val="superscript"/>
        </w:rPr>
        <w:footnoteReference w:customMarkFollows="0" w:id="21"/>
      </w:r>
      <w:r w:rsidDel="00000000" w:rsidR="00000000" w:rsidRPr="00000000">
        <w:rPr>
          <w:rFonts w:ascii="Garamond" w:cs="Garamond" w:eastAsia="Garamond" w:hAnsi="Garamond"/>
          <w:sz w:val="24"/>
          <w:szCs w:val="24"/>
          <w:rtl w:val="0"/>
        </w:rPr>
        <w:t xml:space="preserve">.</w:t>
      </w:r>
    </w:p>
    <w:p w:rsidR="00000000" w:rsidDel="00000000" w:rsidP="00000000" w:rsidRDefault="00000000" w:rsidRPr="00000000" w14:paraId="0000005E">
      <w:pPr>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5F">
      <w:pPr>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17. A pesar de esto</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sz w:val="24"/>
          <w:szCs w:val="24"/>
          <w:rtl w:val="0"/>
        </w:rPr>
        <w:t xml:space="preserve">en particular,</w:t>
      </w:r>
      <w:r w:rsidDel="00000000" w:rsidR="00000000" w:rsidRPr="00000000">
        <w:rPr>
          <w:rFonts w:ascii="Garamond" w:cs="Garamond" w:eastAsia="Garamond" w:hAnsi="Garamond"/>
          <w:sz w:val="24"/>
          <w:szCs w:val="24"/>
          <w:rtl w:val="0"/>
        </w:rPr>
        <w:t xml:space="preserve"> las personas trans en Ecuador enfrentan graves desafíos. La discriminación en el acceso a los servicios de salud se presenta como una constante, agravada por la escasez de protocolos específicos y la insuficiente sensibilización del personal sanitario</w:t>
      </w:r>
      <w:r w:rsidDel="00000000" w:rsidR="00000000" w:rsidRPr="00000000">
        <w:rPr>
          <w:rFonts w:ascii="Garamond" w:cs="Garamond" w:eastAsia="Garamond" w:hAnsi="Garamond"/>
          <w:sz w:val="24"/>
          <w:szCs w:val="24"/>
          <w:vertAlign w:val="superscript"/>
        </w:rPr>
        <w:footnoteReference w:customMarkFollows="0" w:id="22"/>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sz w:val="24"/>
          <w:szCs w:val="24"/>
          <w:rtl w:val="0"/>
        </w:rPr>
        <w:t xml:space="preserve">Este nivel de hostilidad y de discriminación sistemática aleja a estas personas del sistema de salud y las expone a recurrir a la automedicación o a someterse a procedimientos en centros clandestinos y no especializados para sus procesos de afirmación identitaria.</w:t>
      </w:r>
      <w:r w:rsidDel="00000000" w:rsidR="00000000" w:rsidRPr="00000000">
        <w:rPr>
          <w:rFonts w:ascii="Garamond" w:cs="Garamond" w:eastAsia="Garamond" w:hAnsi="Garamond"/>
          <w:sz w:val="24"/>
          <w:szCs w:val="24"/>
          <w:rtl w:val="0"/>
        </w:rPr>
        <w:t xml:space="preserve"> </w:t>
      </w:r>
    </w:p>
    <w:p w:rsidR="00000000" w:rsidDel="00000000" w:rsidP="00000000" w:rsidRDefault="00000000" w:rsidRPr="00000000" w14:paraId="00000060">
      <w:pPr>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61">
      <w:pPr>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18. Si bien existen casos aislados de personas trans que han accedido parcialmente a servicios que permitan sus procesos de transición, como exámenes pre hormonales o acompañamiento psicológico dentro del sistema público de salud, estos apoyos no responden a una política institucional ni a protocolos estandarizados. Su provisión está supeditada en gran medida a la voluntad individual del personal médico, lo que genera un acceso desigual y discrecional al servicio de salud, que además solo prestan estos servicios en las grandes ciudades del país</w:t>
      </w:r>
      <w:r w:rsidDel="00000000" w:rsidR="00000000" w:rsidRPr="00000000">
        <w:rPr>
          <w:rFonts w:ascii="Garamond" w:cs="Garamond" w:eastAsia="Garamond" w:hAnsi="Garamond"/>
          <w:sz w:val="24"/>
          <w:szCs w:val="24"/>
          <w:vertAlign w:val="superscript"/>
        </w:rPr>
        <w:footnoteReference w:customMarkFollows="0" w:id="23"/>
      </w:r>
      <w:r w:rsidDel="00000000" w:rsidR="00000000" w:rsidRPr="00000000">
        <w:rPr>
          <w:rFonts w:ascii="Garamond" w:cs="Garamond" w:eastAsia="Garamond" w:hAnsi="Garamond"/>
          <w:sz w:val="24"/>
          <w:szCs w:val="24"/>
          <w:rtl w:val="0"/>
        </w:rPr>
        <w:t xml:space="preserve">. </w:t>
      </w:r>
    </w:p>
    <w:p w:rsidR="00000000" w:rsidDel="00000000" w:rsidP="00000000" w:rsidRDefault="00000000" w:rsidRPr="00000000" w14:paraId="00000062">
      <w:pPr>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63">
      <w:pPr>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19. Es así que el sistema privado de salud constituye la única alternativa para acceder a procedimientos quirúrgicos de afirmación de género, pero sus costos resultan inalcanzables para la mayoría de la población trans. Una mastectomía, por ejemplo, puede alcanzar un valor aproximado de 6.000 dólares estadounidenses, equivalente a doce salarios mínimos en Ecuador (470 USD mensuales)</w:t>
      </w:r>
      <w:r w:rsidDel="00000000" w:rsidR="00000000" w:rsidRPr="00000000">
        <w:rPr>
          <w:rFonts w:ascii="Garamond" w:cs="Garamond" w:eastAsia="Garamond" w:hAnsi="Garamond"/>
          <w:sz w:val="24"/>
          <w:szCs w:val="24"/>
          <w:vertAlign w:val="superscript"/>
        </w:rPr>
        <w:footnoteReference w:customMarkFollows="0" w:id="24"/>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sz w:val="24"/>
          <w:szCs w:val="24"/>
          <w:rtl w:val="0"/>
        </w:rPr>
        <w:t xml:space="preserve">Un caso que ejemplifica esto es el de E.E, quien fue la primera mujer trans en demandar judicialmente al Estado, en 2009 por la adecuación registral y quirúrgica de su identidad de género. Las cortes ecuatorianas fallaron a su favor; sin embargo, la adecuación de su identidad quirúrgica se entorpeció hasta el punto de que en el año 2022 tuvo que demandar nuevamente al Estado para el cumplimiento de la sentencia de 2009. A pesar de esto, el Estado no ha brindado atención oportuna y especializada a la señora E.E</w:t>
      </w:r>
      <w:r w:rsidDel="00000000" w:rsidR="00000000" w:rsidRPr="00000000">
        <w:rPr>
          <w:rFonts w:ascii="Garamond" w:cs="Garamond" w:eastAsia="Garamond" w:hAnsi="Garamond"/>
          <w:sz w:val="24"/>
          <w:szCs w:val="24"/>
          <w:vertAlign w:val="superscript"/>
        </w:rPr>
        <w:footnoteReference w:customMarkFollows="0" w:id="25"/>
      </w:r>
      <w:r w:rsidDel="00000000" w:rsidR="00000000" w:rsidRPr="00000000">
        <w:rPr>
          <w:rFonts w:ascii="Garamond" w:cs="Garamond" w:eastAsia="Garamond" w:hAnsi="Garamond"/>
          <w:sz w:val="24"/>
          <w:szCs w:val="24"/>
          <w:rtl w:val="0"/>
        </w:rPr>
        <w:t xml:space="preserve">.</w:t>
      </w:r>
      <w:r w:rsidDel="00000000" w:rsidR="00000000" w:rsidRPr="00000000">
        <w:rPr>
          <w:rtl w:val="0"/>
        </w:rPr>
      </w:r>
    </w:p>
    <w:p w:rsidR="00000000" w:rsidDel="00000000" w:rsidP="00000000" w:rsidRDefault="00000000" w:rsidRPr="00000000" w14:paraId="00000064">
      <w:pPr>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65">
      <w:pPr>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20. Además de las limitaciones que enfrentan las infancias y adolescencias trans para modificar su documento de identidad de acuerdo a su identidad de género, en el Sistema de Salud son invisibilizados completamente, pues no existe normativas que protejan su derecho a acceder a tratamientos psicológicos y hormonales para la reafirmación de su identidad de género</w:t>
      </w:r>
      <w:r w:rsidDel="00000000" w:rsidR="00000000" w:rsidRPr="00000000">
        <w:rPr>
          <w:rFonts w:ascii="Garamond" w:cs="Garamond" w:eastAsia="Garamond" w:hAnsi="Garamond"/>
          <w:sz w:val="24"/>
          <w:szCs w:val="24"/>
          <w:vertAlign w:val="superscript"/>
        </w:rPr>
        <w:footnoteReference w:customMarkFollows="0" w:id="26"/>
      </w:r>
      <w:r w:rsidDel="00000000" w:rsidR="00000000" w:rsidRPr="00000000">
        <w:rPr>
          <w:rFonts w:ascii="Garamond" w:cs="Garamond" w:eastAsia="Garamond" w:hAnsi="Garamond"/>
          <w:sz w:val="24"/>
          <w:szCs w:val="24"/>
          <w:rtl w:val="0"/>
        </w:rPr>
        <w:t xml:space="preserve">. Esto limita drásticamente su derecho al nivel más alto de salud, pero también se funda en el desconocimiento o negación de su autonomía progresiva y el libre desarrollo de su personalidad. </w:t>
      </w:r>
    </w:p>
    <w:p w:rsidR="00000000" w:rsidDel="00000000" w:rsidP="00000000" w:rsidRDefault="00000000" w:rsidRPr="00000000" w14:paraId="00000066">
      <w:pPr>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67">
      <w:pPr>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21. En relación a los Esfuerzos para Cambiar la Orientación Sexual e Identidad y Expresión de Género (</w:t>
      </w:r>
      <w:r w:rsidDel="00000000" w:rsidR="00000000" w:rsidRPr="00000000">
        <w:rPr>
          <w:rFonts w:ascii="Garamond" w:cs="Garamond" w:eastAsia="Garamond" w:hAnsi="Garamond"/>
          <w:sz w:val="24"/>
          <w:szCs w:val="24"/>
          <w:rtl w:val="0"/>
        </w:rPr>
        <w:t xml:space="preserve">ECOSIEG</w:t>
      </w:r>
      <w:r w:rsidDel="00000000" w:rsidR="00000000" w:rsidRPr="00000000">
        <w:rPr>
          <w:rFonts w:ascii="Garamond" w:cs="Garamond" w:eastAsia="Garamond" w:hAnsi="Garamond"/>
          <w:sz w:val="24"/>
          <w:szCs w:val="24"/>
          <w:rtl w:val="0"/>
        </w:rPr>
        <w:t xml:space="preserve">), también conocidas como prácticas de conversión, desde el 2012 Ecuador prohíbe que estas se lleven a cabo dentro de los centros de rehabilitación por consumo de sustancias</w:t>
      </w:r>
      <w:r w:rsidDel="00000000" w:rsidR="00000000" w:rsidRPr="00000000">
        <w:rPr>
          <w:rFonts w:ascii="Garamond" w:cs="Garamond" w:eastAsia="Garamond" w:hAnsi="Garamond"/>
          <w:sz w:val="24"/>
          <w:szCs w:val="24"/>
          <w:vertAlign w:val="superscript"/>
        </w:rPr>
        <w:footnoteReference w:customMarkFollows="0" w:id="27"/>
      </w:r>
      <w:r w:rsidDel="00000000" w:rsidR="00000000" w:rsidRPr="00000000">
        <w:rPr>
          <w:rFonts w:ascii="Garamond" w:cs="Garamond" w:eastAsia="Garamond" w:hAnsi="Garamond"/>
          <w:sz w:val="24"/>
          <w:szCs w:val="24"/>
          <w:rtl w:val="0"/>
        </w:rPr>
        <w:t xml:space="preserve">. Asimismo, en 2014 se modificó el Código Penal para tipificar estas conductas como formas de tortura agravada</w:t>
      </w:r>
      <w:r w:rsidDel="00000000" w:rsidR="00000000" w:rsidRPr="00000000">
        <w:rPr>
          <w:rFonts w:ascii="Garamond" w:cs="Garamond" w:eastAsia="Garamond" w:hAnsi="Garamond"/>
          <w:sz w:val="24"/>
          <w:szCs w:val="24"/>
          <w:vertAlign w:val="superscript"/>
        </w:rPr>
        <w:footnoteReference w:customMarkFollows="0" w:id="28"/>
      </w:r>
      <w:r w:rsidDel="00000000" w:rsidR="00000000" w:rsidRPr="00000000">
        <w:rPr>
          <w:rFonts w:ascii="Garamond" w:cs="Garamond" w:eastAsia="Garamond" w:hAnsi="Garamond"/>
          <w:sz w:val="24"/>
          <w:szCs w:val="24"/>
          <w:rtl w:val="0"/>
        </w:rPr>
        <w:t xml:space="preserve">. Sin embargo, el tipo penal es bastante limitado y la prohibición del Acuerdo Ministerial de 2012 sobre este asunto no es lo suficientemente amplia </w:t>
      </w:r>
      <w:r w:rsidDel="00000000" w:rsidR="00000000" w:rsidRPr="00000000">
        <w:rPr>
          <w:rFonts w:ascii="Garamond" w:cs="Garamond" w:eastAsia="Garamond" w:hAnsi="Garamond"/>
          <w:sz w:val="24"/>
          <w:szCs w:val="24"/>
          <w:rtl w:val="0"/>
        </w:rPr>
        <w:t xml:space="preserve">como </w:t>
      </w:r>
      <w:r w:rsidDel="00000000" w:rsidR="00000000" w:rsidRPr="00000000">
        <w:rPr>
          <w:rFonts w:ascii="Garamond" w:cs="Garamond" w:eastAsia="Garamond" w:hAnsi="Garamond"/>
          <w:sz w:val="24"/>
          <w:szCs w:val="24"/>
          <w:rtl w:val="0"/>
        </w:rPr>
        <w:t xml:space="preserve">para limitar estas prácticas en otros espacios, como lugares de culto religioso o centros psiquiátricos. Además, el resultado de esto es la limitada persecuci</w:t>
      </w:r>
      <w:r w:rsidDel="00000000" w:rsidR="00000000" w:rsidRPr="00000000">
        <w:rPr>
          <w:rFonts w:ascii="Garamond" w:cs="Garamond" w:eastAsia="Garamond" w:hAnsi="Garamond"/>
          <w:sz w:val="24"/>
          <w:szCs w:val="24"/>
          <w:rtl w:val="0"/>
        </w:rPr>
        <w:t xml:space="preserve">ón penal por delitos de tortura en estos casos y solo la existencia de cierres administrativos de las clínicas</w:t>
      </w:r>
      <w:r w:rsidDel="00000000" w:rsidR="00000000" w:rsidRPr="00000000">
        <w:rPr>
          <w:rFonts w:ascii="Garamond" w:cs="Garamond" w:eastAsia="Garamond" w:hAnsi="Garamond"/>
          <w:sz w:val="24"/>
          <w:szCs w:val="24"/>
          <w:vertAlign w:val="superscript"/>
        </w:rPr>
        <w:footnoteReference w:customMarkFollows="0" w:id="29"/>
      </w:r>
      <w:r w:rsidDel="00000000" w:rsidR="00000000" w:rsidRPr="00000000">
        <w:rPr>
          <w:rFonts w:ascii="Garamond" w:cs="Garamond" w:eastAsia="Garamond" w:hAnsi="Garamond"/>
          <w:sz w:val="24"/>
          <w:szCs w:val="24"/>
          <w:rtl w:val="0"/>
        </w:rPr>
        <w:t xml:space="preserve">. </w:t>
      </w:r>
      <w:r w:rsidDel="00000000" w:rsidR="00000000" w:rsidRPr="00000000">
        <w:rPr>
          <w:rtl w:val="0"/>
        </w:rPr>
      </w:r>
    </w:p>
    <w:p w:rsidR="00000000" w:rsidDel="00000000" w:rsidP="00000000" w:rsidRDefault="00000000" w:rsidRPr="00000000" w14:paraId="00000068">
      <w:pPr>
        <w:ind w:left="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69">
      <w:pPr>
        <w:ind w:left="0" w:firstLine="0"/>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Preguntas al Estado Ecuatoriano: </w:t>
      </w:r>
    </w:p>
    <w:p w:rsidR="00000000" w:rsidDel="00000000" w:rsidP="00000000" w:rsidRDefault="00000000" w:rsidRPr="00000000" w14:paraId="0000006A">
      <w:pPr>
        <w:ind w:left="0" w:firstLine="0"/>
        <w:jc w:val="both"/>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6B">
      <w:pPr>
        <w:numPr>
          <w:ilvl w:val="0"/>
          <w:numId w:val="2"/>
        </w:numPr>
        <w:ind w:left="720" w:hanging="360"/>
        <w:jc w:val="both"/>
        <w:rPr>
          <w:rFonts w:ascii="Nunito" w:cs="Nunito" w:eastAsia="Nunito" w:hAnsi="Nunito"/>
          <w:sz w:val="24"/>
          <w:szCs w:val="24"/>
        </w:rPr>
      </w:pPr>
      <w:r w:rsidDel="00000000" w:rsidR="00000000" w:rsidRPr="00000000">
        <w:rPr>
          <w:rFonts w:ascii="Garamond" w:cs="Garamond" w:eastAsia="Garamond" w:hAnsi="Garamond"/>
          <w:sz w:val="24"/>
          <w:szCs w:val="24"/>
          <w:rtl w:val="0"/>
        </w:rPr>
        <w:t xml:space="preserve">¿Qué medidas ha adoptado el Estado para </w:t>
      </w:r>
      <w:r w:rsidDel="00000000" w:rsidR="00000000" w:rsidRPr="00000000">
        <w:rPr>
          <w:rFonts w:ascii="Garamond" w:cs="Garamond" w:eastAsia="Garamond" w:hAnsi="Garamond"/>
          <w:b w:val="1"/>
          <w:bCs w:val="1"/>
          <w:sz w:val="24"/>
          <w:szCs w:val="24"/>
          <w:rtl w:val="0"/>
        </w:rPr>
        <w:t xml:space="preserve">garantizar el acceso efectivo y libre de discriminación</w:t>
      </w:r>
      <w:r w:rsidDel="00000000" w:rsidR="00000000" w:rsidRPr="00000000">
        <w:rPr>
          <w:rFonts w:ascii="Garamond" w:cs="Garamond" w:eastAsia="Garamond" w:hAnsi="Garamond"/>
          <w:sz w:val="24"/>
          <w:szCs w:val="24"/>
          <w:rtl w:val="0"/>
        </w:rPr>
        <w:t xml:space="preserve"> de las personas trans al sistema público de salud, especialmente en las zonas rurales o fuera de las grandes ciudades?</w:t>
      </w:r>
    </w:p>
    <w:p w:rsidR="00000000" w:rsidDel="00000000" w:rsidP="00000000" w:rsidRDefault="00000000" w:rsidRPr="00000000" w14:paraId="0000006C">
      <w:pPr>
        <w:ind w:left="72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6D">
      <w:pPr>
        <w:numPr>
          <w:ilvl w:val="0"/>
          <w:numId w:val="2"/>
        </w:numPr>
        <w:ind w:left="720" w:hanging="36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w:t>
      </w:r>
      <w:r w:rsidDel="00000000" w:rsidR="00000000" w:rsidRPr="00000000">
        <w:rPr>
          <w:rFonts w:ascii="Garamond" w:cs="Garamond" w:eastAsia="Garamond" w:hAnsi="Garamond"/>
          <w:sz w:val="24"/>
          <w:szCs w:val="24"/>
          <w:rtl w:val="0"/>
        </w:rPr>
        <w:t xml:space="preserve">ómo se vigila en la Red de Salud Pública el cumplimiento del Manual de Buenas Prácticas en la Atención Integral de Salud a Personas de las Diversidades Sexo-Genéricas (LGBTIQ+)</w:t>
      </w:r>
      <w:r w:rsidDel="00000000" w:rsidR="00000000" w:rsidRPr="00000000">
        <w:rPr>
          <w:rFonts w:ascii="Garamond" w:cs="Garamond" w:eastAsia="Garamond" w:hAnsi="Garamond"/>
          <w:sz w:val="24"/>
          <w:szCs w:val="24"/>
          <w:rtl w:val="0"/>
        </w:rPr>
        <w:t xml:space="preserve">? y </w:t>
      </w:r>
      <w:r w:rsidDel="00000000" w:rsidR="00000000" w:rsidRPr="00000000">
        <w:rPr>
          <w:rFonts w:ascii="Garamond" w:cs="Garamond" w:eastAsia="Garamond" w:hAnsi="Garamond"/>
          <w:sz w:val="24"/>
          <w:szCs w:val="24"/>
          <w:rtl w:val="0"/>
        </w:rPr>
        <w:t xml:space="preserve">¿qué tipo de sanciones se prevén  ante su incumplimiento por parte de profesionales y personal de salud que brindan atención en los establecimientos del Sistema Nacional de Salud?</w:t>
      </w:r>
      <w:r w:rsidDel="00000000" w:rsidR="00000000" w:rsidRPr="00000000">
        <w:rPr>
          <w:rtl w:val="0"/>
        </w:rPr>
      </w:r>
    </w:p>
    <w:p w:rsidR="00000000" w:rsidDel="00000000" w:rsidP="00000000" w:rsidRDefault="00000000" w:rsidRPr="00000000" w14:paraId="0000006E">
      <w:pPr>
        <w:ind w:left="72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6F">
      <w:pPr>
        <w:numPr>
          <w:ilvl w:val="0"/>
          <w:numId w:val="2"/>
        </w:numPr>
        <w:ind w:left="720" w:hanging="360"/>
        <w:jc w:val="both"/>
        <w:rPr>
          <w:rFonts w:ascii="Nunito" w:cs="Nunito" w:eastAsia="Nunito" w:hAnsi="Nunito"/>
          <w:sz w:val="24"/>
          <w:szCs w:val="24"/>
          <w:u w:val="none"/>
        </w:rPr>
      </w:pPr>
      <w:r w:rsidDel="00000000" w:rsidR="00000000" w:rsidRPr="00000000">
        <w:rPr>
          <w:rFonts w:ascii="Garamond" w:cs="Garamond" w:eastAsia="Garamond" w:hAnsi="Garamond"/>
          <w:sz w:val="24"/>
          <w:szCs w:val="24"/>
          <w:rtl w:val="0"/>
        </w:rPr>
        <w:t xml:space="preserve">En virtud del principio de progresividad, ¿el Estado Ecuatoriano está emprendiendo acciones para incluir los procedimientos hormonales y quirúrgicos de reafirmación identitaria  dentro de los </w:t>
      </w:r>
      <w:r w:rsidDel="00000000" w:rsidR="00000000" w:rsidRPr="00000000">
        <w:rPr>
          <w:rFonts w:ascii="Garamond" w:cs="Garamond" w:eastAsia="Garamond" w:hAnsi="Garamond"/>
          <w:b w:val="1"/>
          <w:bCs w:val="1"/>
          <w:sz w:val="24"/>
          <w:szCs w:val="24"/>
          <w:rtl w:val="0"/>
        </w:rPr>
        <w:t xml:space="preserve">servicios obligatorios del plan de salud</w:t>
      </w:r>
      <w:r w:rsidDel="00000000" w:rsidR="00000000" w:rsidRPr="00000000">
        <w:rPr>
          <w:rFonts w:ascii="Garamond" w:cs="Garamond" w:eastAsia="Garamond" w:hAnsi="Garamond"/>
          <w:sz w:val="24"/>
          <w:szCs w:val="24"/>
          <w:rtl w:val="0"/>
        </w:rPr>
        <w:t xml:space="preserve">? Mientras tanto, ¿cómo garantiza el Estado la </w:t>
      </w:r>
      <w:r w:rsidDel="00000000" w:rsidR="00000000" w:rsidRPr="00000000">
        <w:rPr>
          <w:rFonts w:ascii="Garamond" w:cs="Garamond" w:eastAsia="Garamond" w:hAnsi="Garamond"/>
          <w:b w:val="1"/>
          <w:bCs w:val="1"/>
          <w:sz w:val="24"/>
          <w:szCs w:val="24"/>
          <w:rtl w:val="0"/>
        </w:rPr>
        <w:t xml:space="preserve">disponibilidad y accesibilidad</w:t>
      </w:r>
      <w:r w:rsidDel="00000000" w:rsidR="00000000" w:rsidRPr="00000000">
        <w:rPr>
          <w:rFonts w:ascii="Garamond" w:cs="Garamond" w:eastAsia="Garamond" w:hAnsi="Garamond"/>
          <w:sz w:val="24"/>
          <w:szCs w:val="24"/>
          <w:rtl w:val="0"/>
        </w:rPr>
        <w:t xml:space="preserve"> de estos servicios, considerando los costos elevados del sistema privado?</w:t>
      </w:r>
    </w:p>
    <w:p w:rsidR="00000000" w:rsidDel="00000000" w:rsidP="00000000" w:rsidRDefault="00000000" w:rsidRPr="00000000" w14:paraId="00000070">
      <w:pPr>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1">
      <w:pPr>
        <w:numPr>
          <w:ilvl w:val="0"/>
          <w:numId w:val="2"/>
        </w:numPr>
        <w:ind w:left="720" w:hanging="360"/>
        <w:jc w:val="both"/>
        <w:rPr>
          <w:rFonts w:ascii="Nunito" w:cs="Nunito" w:eastAsia="Nunito" w:hAnsi="Nunito"/>
          <w:sz w:val="24"/>
          <w:szCs w:val="24"/>
          <w:u w:val="none"/>
        </w:rPr>
      </w:pPr>
      <w:r w:rsidDel="00000000" w:rsidR="00000000" w:rsidRPr="00000000">
        <w:rPr>
          <w:rFonts w:ascii="Garamond" w:cs="Garamond" w:eastAsia="Garamond" w:hAnsi="Garamond"/>
          <w:sz w:val="24"/>
          <w:szCs w:val="24"/>
          <w:rtl w:val="0"/>
        </w:rPr>
        <w:t xml:space="preserve">¿Existen </w:t>
      </w:r>
      <w:r w:rsidDel="00000000" w:rsidR="00000000" w:rsidRPr="00000000">
        <w:rPr>
          <w:rFonts w:ascii="Garamond" w:cs="Garamond" w:eastAsia="Garamond" w:hAnsi="Garamond"/>
          <w:b w:val="1"/>
          <w:bCs w:val="1"/>
          <w:sz w:val="24"/>
          <w:szCs w:val="24"/>
          <w:rtl w:val="0"/>
        </w:rPr>
        <w:t xml:space="preserve">normas, protocolos o directrices clínicas para</w:t>
      </w:r>
      <w:r w:rsidDel="00000000" w:rsidR="00000000" w:rsidRPr="00000000">
        <w:rPr>
          <w:rFonts w:ascii="Garamond" w:cs="Garamond" w:eastAsia="Garamond" w:hAnsi="Garamond"/>
          <w:sz w:val="24"/>
          <w:szCs w:val="24"/>
          <w:rtl w:val="0"/>
        </w:rPr>
        <w:t xml:space="preserve"> garantizar que </w:t>
      </w:r>
      <w:r w:rsidDel="00000000" w:rsidR="00000000" w:rsidRPr="00000000">
        <w:rPr>
          <w:rFonts w:ascii="Garamond" w:cs="Garamond" w:eastAsia="Garamond" w:hAnsi="Garamond"/>
          <w:b w:val="1"/>
          <w:bCs w:val="1"/>
          <w:sz w:val="24"/>
          <w:szCs w:val="24"/>
          <w:rtl w:val="0"/>
        </w:rPr>
        <w:t xml:space="preserve">niños, niñas y adolescentes trans e intersex</w:t>
      </w:r>
      <w:r w:rsidDel="00000000" w:rsidR="00000000" w:rsidRPr="00000000">
        <w:rPr>
          <w:rFonts w:ascii="Garamond" w:cs="Garamond" w:eastAsia="Garamond" w:hAnsi="Garamond"/>
          <w:sz w:val="24"/>
          <w:szCs w:val="24"/>
          <w:rtl w:val="0"/>
        </w:rPr>
        <w:t xml:space="preserve"> reciban acompañamiento psicológico y médico integral </w:t>
      </w:r>
      <w:r w:rsidDel="00000000" w:rsidR="00000000" w:rsidRPr="00000000">
        <w:rPr>
          <w:rFonts w:ascii="Garamond" w:cs="Garamond" w:eastAsia="Garamond" w:hAnsi="Garamond"/>
          <w:sz w:val="24"/>
          <w:szCs w:val="24"/>
          <w:rtl w:val="0"/>
        </w:rPr>
        <w:t xml:space="preserve">dirigido</w:t>
      </w:r>
      <w:r w:rsidDel="00000000" w:rsidR="00000000" w:rsidRPr="00000000">
        <w:rPr>
          <w:rFonts w:ascii="Garamond" w:cs="Garamond" w:eastAsia="Garamond" w:hAnsi="Garamond"/>
          <w:sz w:val="24"/>
          <w:szCs w:val="24"/>
          <w:rtl w:val="0"/>
        </w:rPr>
        <w:t xml:space="preserve"> a garantizar su derecho a la identidad de género y al más alto nivel posible de salud?</w:t>
      </w:r>
    </w:p>
    <w:p w:rsidR="00000000" w:rsidDel="00000000" w:rsidP="00000000" w:rsidRDefault="00000000" w:rsidRPr="00000000" w14:paraId="00000072">
      <w:pPr>
        <w:ind w:left="72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3">
      <w:pPr>
        <w:numPr>
          <w:ilvl w:val="0"/>
          <w:numId w:val="2"/>
        </w:numPr>
        <w:ind w:left="720" w:hanging="360"/>
        <w:jc w:val="both"/>
        <w:rPr>
          <w:rFonts w:ascii="Nunito" w:cs="Nunito" w:eastAsia="Nunito" w:hAnsi="Nunito"/>
          <w:sz w:val="24"/>
          <w:szCs w:val="24"/>
          <w:u w:val="none"/>
        </w:rPr>
      </w:pPr>
      <w:r w:rsidDel="00000000" w:rsidR="00000000" w:rsidRPr="00000000">
        <w:rPr>
          <w:rFonts w:ascii="Garamond" w:cs="Garamond" w:eastAsia="Garamond" w:hAnsi="Garamond"/>
          <w:sz w:val="24"/>
          <w:szCs w:val="24"/>
          <w:rtl w:val="0"/>
        </w:rPr>
        <w:t xml:space="preserve">¿Qué </w:t>
      </w:r>
      <w:r w:rsidDel="00000000" w:rsidR="00000000" w:rsidRPr="00000000">
        <w:rPr>
          <w:rFonts w:ascii="Garamond" w:cs="Garamond" w:eastAsia="Garamond" w:hAnsi="Garamond"/>
          <w:b w:val="1"/>
          <w:bCs w:val="1"/>
          <w:sz w:val="24"/>
          <w:szCs w:val="24"/>
          <w:rtl w:val="0"/>
        </w:rPr>
        <w:t xml:space="preserve">acciones </w:t>
      </w:r>
      <w:r w:rsidDel="00000000" w:rsidR="00000000" w:rsidRPr="00000000">
        <w:rPr>
          <w:rFonts w:ascii="Garamond" w:cs="Garamond" w:eastAsia="Garamond" w:hAnsi="Garamond"/>
          <w:sz w:val="24"/>
          <w:szCs w:val="24"/>
          <w:rtl w:val="0"/>
        </w:rPr>
        <w:t xml:space="preserve">ha adoptado el Estado para </w:t>
      </w:r>
      <w:r w:rsidDel="00000000" w:rsidR="00000000" w:rsidRPr="00000000">
        <w:rPr>
          <w:rFonts w:ascii="Garamond" w:cs="Garamond" w:eastAsia="Garamond" w:hAnsi="Garamond"/>
          <w:b w:val="1"/>
          <w:bCs w:val="1"/>
          <w:sz w:val="24"/>
          <w:szCs w:val="24"/>
          <w:rtl w:val="0"/>
        </w:rPr>
        <w:t xml:space="preserve">prevenir, investigar y sancionar</w:t>
      </w:r>
      <w:r w:rsidDel="00000000" w:rsidR="00000000" w:rsidRPr="00000000">
        <w:rPr>
          <w:rFonts w:ascii="Garamond" w:cs="Garamond" w:eastAsia="Garamond" w:hAnsi="Garamond"/>
          <w:sz w:val="24"/>
          <w:szCs w:val="24"/>
          <w:rtl w:val="0"/>
        </w:rPr>
        <w:t xml:space="preserve"> las denominadas “prácticas de conversión” tanto dentro de los centros de rehabilitación previstos en el Acuerdo Ministerial de 2012, como en otros espacios (lugares de culto religioso o centros psiquiátrico, etc.) en los que estas tienen ocurrencia?  </w:t>
      </w:r>
    </w:p>
    <w:p w:rsidR="00000000" w:rsidDel="00000000" w:rsidP="00000000" w:rsidRDefault="00000000" w:rsidRPr="00000000" w14:paraId="00000074">
      <w:pPr>
        <w:ind w:left="72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5">
      <w:pPr>
        <w:numPr>
          <w:ilvl w:val="0"/>
          <w:numId w:val="2"/>
        </w:numPr>
        <w:ind w:left="720" w:hanging="360"/>
        <w:jc w:val="both"/>
        <w:rPr>
          <w:rFonts w:ascii="Nunito" w:cs="Nunito" w:eastAsia="Nunito" w:hAnsi="Nunito"/>
          <w:sz w:val="24"/>
          <w:szCs w:val="24"/>
          <w:u w:val="none"/>
        </w:rPr>
      </w:pPr>
      <w:r w:rsidDel="00000000" w:rsidR="00000000" w:rsidRPr="00000000">
        <w:rPr>
          <w:rFonts w:ascii="Garamond" w:cs="Garamond" w:eastAsia="Garamond" w:hAnsi="Garamond"/>
          <w:sz w:val="24"/>
          <w:szCs w:val="24"/>
          <w:rtl w:val="0"/>
        </w:rPr>
        <w:t xml:space="preserve">¿Cómo garantiza el Estado la </w:t>
      </w:r>
      <w:r w:rsidDel="00000000" w:rsidR="00000000" w:rsidRPr="00000000">
        <w:rPr>
          <w:rFonts w:ascii="Garamond" w:cs="Garamond" w:eastAsia="Garamond" w:hAnsi="Garamond"/>
          <w:b w:val="1"/>
          <w:bCs w:val="1"/>
          <w:sz w:val="24"/>
          <w:szCs w:val="24"/>
          <w:rtl w:val="0"/>
        </w:rPr>
        <w:t xml:space="preserve">participación de organizaciones LGBTQ+, </w:t>
      </w:r>
      <w:r w:rsidDel="00000000" w:rsidR="00000000" w:rsidRPr="00000000">
        <w:rPr>
          <w:rFonts w:ascii="Garamond" w:cs="Garamond" w:eastAsia="Garamond" w:hAnsi="Garamond"/>
          <w:sz w:val="24"/>
          <w:szCs w:val="24"/>
          <w:rtl w:val="0"/>
        </w:rPr>
        <w:t xml:space="preserve">especialmente trans, en la elaboración, implementación y evaluación de sus </w:t>
      </w:r>
      <w:r w:rsidDel="00000000" w:rsidR="00000000" w:rsidRPr="00000000">
        <w:rPr>
          <w:rFonts w:ascii="Garamond" w:cs="Garamond" w:eastAsia="Garamond" w:hAnsi="Garamond"/>
          <w:b w:val="1"/>
          <w:bCs w:val="1"/>
          <w:sz w:val="24"/>
          <w:szCs w:val="24"/>
          <w:rtl w:val="0"/>
        </w:rPr>
        <w:t xml:space="preserve">políticas públicas en salud</w:t>
      </w:r>
      <w:r w:rsidDel="00000000" w:rsidR="00000000" w:rsidRPr="00000000">
        <w:rPr>
          <w:rFonts w:ascii="Garamond" w:cs="Garamond" w:eastAsia="Garamond" w:hAnsi="Garamond"/>
          <w:sz w:val="24"/>
          <w:szCs w:val="24"/>
          <w:rtl w:val="0"/>
        </w:rPr>
        <w:t xml:space="preserve">?</w:t>
      </w:r>
    </w:p>
    <w:p w:rsidR="00000000" w:rsidDel="00000000" w:rsidP="00000000" w:rsidRDefault="00000000" w:rsidRPr="00000000" w14:paraId="00000076">
      <w:pPr>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7">
      <w:pPr>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D. Derecho a la educación  (artículo 13) </w:t>
      </w:r>
    </w:p>
    <w:p w:rsidR="00000000" w:rsidDel="00000000" w:rsidP="00000000" w:rsidRDefault="00000000" w:rsidRPr="00000000" w14:paraId="00000078">
      <w:pPr>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9">
      <w:pPr>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22. En 2021, la Ley Orgánica de Educación Intercultural fue reformada y establece el principio de no discriminación motivada por la orientación sexual y la identidad de género en el ámbito educativo</w:t>
      </w:r>
      <w:r w:rsidDel="00000000" w:rsidR="00000000" w:rsidRPr="00000000">
        <w:rPr>
          <w:rFonts w:ascii="Garamond" w:cs="Garamond" w:eastAsia="Garamond" w:hAnsi="Garamond"/>
          <w:sz w:val="24"/>
          <w:szCs w:val="24"/>
          <w:vertAlign w:val="superscript"/>
        </w:rPr>
        <w:footnoteReference w:customMarkFollows="0" w:id="30"/>
      </w:r>
      <w:r w:rsidDel="00000000" w:rsidR="00000000" w:rsidRPr="00000000">
        <w:rPr>
          <w:rFonts w:ascii="Garamond" w:cs="Garamond" w:eastAsia="Garamond" w:hAnsi="Garamond"/>
          <w:sz w:val="24"/>
          <w:szCs w:val="24"/>
          <w:rtl w:val="0"/>
        </w:rPr>
        <w:t xml:space="preserve">. Asimismo, dispone el deber de las instituciones educativas de adoptar medidas para prevenir y enfrentar el acoso escolar motivado por dichos supuestos</w:t>
      </w:r>
      <w:r w:rsidDel="00000000" w:rsidR="00000000" w:rsidRPr="00000000">
        <w:rPr>
          <w:rFonts w:ascii="Garamond" w:cs="Garamond" w:eastAsia="Garamond" w:hAnsi="Garamond"/>
          <w:sz w:val="24"/>
          <w:szCs w:val="24"/>
          <w:vertAlign w:val="superscript"/>
        </w:rPr>
        <w:footnoteReference w:customMarkFollows="0" w:id="31"/>
      </w:r>
      <w:r w:rsidDel="00000000" w:rsidR="00000000" w:rsidRPr="00000000">
        <w:rPr>
          <w:rFonts w:ascii="Garamond" w:cs="Garamond" w:eastAsia="Garamond" w:hAnsi="Garamond"/>
          <w:sz w:val="24"/>
          <w:szCs w:val="24"/>
          <w:rtl w:val="0"/>
        </w:rPr>
        <w:t xml:space="preserve">. </w:t>
      </w:r>
    </w:p>
    <w:p w:rsidR="00000000" w:rsidDel="00000000" w:rsidP="00000000" w:rsidRDefault="00000000" w:rsidRPr="00000000" w14:paraId="0000007A">
      <w:pPr>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B">
      <w:pPr>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23. No obstante, en la práctica las instituciones educativas siguen siendo espacios donde las personas LGBTQ+ se enfrentan a graves situaciones de discriminación que, además de aumentar el riesgo de deserción escolar, ponen en riesgo la integridad y la vida de niños, niñas y adolescentes. Por ejemplo, en febrero del 2025 un adolescente gay en Guayaquil se suicidó por el constante hostigamiento de sus compañeros, de los docentes y la falta de protección de la institución educativa, pese a las constantes quejas de su madre</w:t>
      </w:r>
      <w:r w:rsidDel="00000000" w:rsidR="00000000" w:rsidRPr="00000000">
        <w:rPr>
          <w:rFonts w:ascii="Garamond" w:cs="Garamond" w:eastAsia="Garamond" w:hAnsi="Garamond"/>
          <w:sz w:val="24"/>
          <w:szCs w:val="24"/>
          <w:vertAlign w:val="superscript"/>
        </w:rPr>
        <w:footnoteReference w:customMarkFollows="0" w:id="32"/>
      </w:r>
      <w:r w:rsidDel="00000000" w:rsidR="00000000" w:rsidRPr="00000000">
        <w:rPr>
          <w:rFonts w:ascii="Garamond" w:cs="Garamond" w:eastAsia="Garamond" w:hAnsi="Garamond"/>
          <w:sz w:val="24"/>
          <w:szCs w:val="24"/>
          <w:rtl w:val="0"/>
        </w:rPr>
        <w:t xml:space="preserve">. </w:t>
      </w:r>
    </w:p>
    <w:p w:rsidR="00000000" w:rsidDel="00000000" w:rsidP="00000000" w:rsidRDefault="00000000" w:rsidRPr="00000000" w14:paraId="0000007C">
      <w:pPr>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D">
      <w:pPr>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24. Las infancias trans, en ejercicio de su derecho a la educación, también enfrentan distintos obstáculos. Las escuelas no suelen apoyarles ni acompañarles en sus procesos de transición de género; por el contrario, les violentan négandose a llamarlas por el nombre con el que se identifican, persiste la negativa de permitirles acceder al baño que les corresponde de acuerdo a su identidad de género o les exigen utilizar el uniforme del sexo que les fue asignado al nacer. Producto de una situación de este tipo, la Corte Constitucional de Ecuador protegió los derech</w:t>
      </w:r>
      <w:r w:rsidDel="00000000" w:rsidR="00000000" w:rsidRPr="00000000">
        <w:rPr>
          <w:rFonts w:ascii="Garamond" w:cs="Garamond" w:eastAsia="Garamond" w:hAnsi="Garamond"/>
          <w:sz w:val="24"/>
          <w:szCs w:val="24"/>
          <w:rtl w:val="0"/>
        </w:rPr>
        <w:t xml:space="preserve">os de una niña trans y además de otras medidas de reparación, ordenó al Ministerio de Educación crear un Protocolo de Acompañamiento estudiantil obligatorio a nivel nacional para el reconocimiento de la identidad de género</w:t>
      </w:r>
      <w:r w:rsidDel="00000000" w:rsidR="00000000" w:rsidRPr="00000000">
        <w:rPr>
          <w:rFonts w:ascii="Garamond" w:cs="Garamond" w:eastAsia="Garamond" w:hAnsi="Garamond"/>
          <w:sz w:val="24"/>
          <w:szCs w:val="24"/>
          <w:vertAlign w:val="superscript"/>
        </w:rPr>
        <w:footnoteReference w:customMarkFollows="0" w:id="33"/>
      </w:r>
      <w:r w:rsidDel="00000000" w:rsidR="00000000" w:rsidRPr="00000000">
        <w:rPr>
          <w:rFonts w:ascii="Garamond" w:cs="Garamond" w:eastAsia="Garamond" w:hAnsi="Garamond"/>
          <w:sz w:val="24"/>
          <w:szCs w:val="24"/>
          <w:rtl w:val="0"/>
        </w:rPr>
        <w:t xml:space="preserve">. </w:t>
      </w:r>
    </w:p>
    <w:p w:rsidR="00000000" w:rsidDel="00000000" w:rsidP="00000000" w:rsidRDefault="00000000" w:rsidRPr="00000000" w14:paraId="0000007E">
      <w:pPr>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F">
      <w:pPr>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25. Si bien esta decisión es un hito en la protección de las personas LGBTQ+ en ambientes educativos, la sentencia fue instrumentalizada por parte de grupos antiderechos para fines políticos, argumentando que la sentencia impone la </w:t>
      </w:r>
      <w:r w:rsidDel="00000000" w:rsidR="00000000" w:rsidRPr="00000000">
        <w:rPr>
          <w:rFonts w:ascii="Garamond" w:cs="Garamond" w:eastAsia="Garamond" w:hAnsi="Garamond"/>
          <w:i w:val="1"/>
          <w:iCs w:val="1"/>
          <w:sz w:val="24"/>
          <w:szCs w:val="24"/>
          <w:rtl w:val="0"/>
        </w:rPr>
        <w:t xml:space="preserve">“ideología de género”</w:t>
      </w:r>
      <w:r w:rsidDel="00000000" w:rsidR="00000000" w:rsidRPr="00000000">
        <w:rPr>
          <w:rFonts w:ascii="Garamond" w:cs="Garamond" w:eastAsia="Garamond" w:hAnsi="Garamond"/>
          <w:sz w:val="24"/>
          <w:szCs w:val="24"/>
          <w:rtl w:val="0"/>
        </w:rPr>
        <w:t xml:space="preserve"> en el sistema educativo ecuatoriano y negando que los niños, niñas o adolescentes tengan la madurez para </w:t>
      </w:r>
      <w:r w:rsidDel="00000000" w:rsidR="00000000" w:rsidRPr="00000000">
        <w:rPr>
          <w:rFonts w:ascii="Garamond" w:cs="Garamond" w:eastAsia="Garamond" w:hAnsi="Garamond"/>
          <w:sz w:val="24"/>
          <w:szCs w:val="24"/>
          <w:rtl w:val="0"/>
        </w:rPr>
        <w:t xml:space="preserve">autodeterminar</w:t>
      </w:r>
      <w:r w:rsidDel="00000000" w:rsidR="00000000" w:rsidRPr="00000000">
        <w:rPr>
          <w:rFonts w:ascii="Garamond" w:cs="Garamond" w:eastAsia="Garamond" w:hAnsi="Garamond"/>
          <w:sz w:val="24"/>
          <w:szCs w:val="24"/>
          <w:rtl w:val="0"/>
        </w:rPr>
        <w:t xml:space="preserve"> su identidad</w:t>
      </w:r>
      <w:r w:rsidDel="00000000" w:rsidR="00000000" w:rsidRPr="00000000">
        <w:rPr>
          <w:rFonts w:ascii="Garamond" w:cs="Garamond" w:eastAsia="Garamond" w:hAnsi="Garamond"/>
          <w:sz w:val="24"/>
          <w:szCs w:val="24"/>
          <w:vertAlign w:val="superscript"/>
        </w:rPr>
        <w:footnoteReference w:customMarkFollows="0" w:id="34"/>
      </w:r>
      <w:r w:rsidDel="00000000" w:rsidR="00000000" w:rsidRPr="00000000">
        <w:rPr>
          <w:rFonts w:ascii="Garamond" w:cs="Garamond" w:eastAsia="Garamond" w:hAnsi="Garamond"/>
          <w:sz w:val="24"/>
          <w:szCs w:val="24"/>
          <w:rtl w:val="0"/>
        </w:rPr>
        <w:t xml:space="preserve">. Producto de esto, el Ministerio de Educación se limitó a asegurar que su cumplimiento de la sentencia se limitará a reforzar los protocolos contra la discriminación y la violencia, pero no abordarán de manera estructural la violencia por prejuicio contra niñeces LGBTIQ+ en ámbitos educativos</w:t>
      </w:r>
      <w:r w:rsidDel="00000000" w:rsidR="00000000" w:rsidRPr="00000000">
        <w:rPr>
          <w:rFonts w:ascii="Garamond" w:cs="Garamond" w:eastAsia="Garamond" w:hAnsi="Garamond"/>
          <w:sz w:val="24"/>
          <w:szCs w:val="24"/>
          <w:vertAlign w:val="superscript"/>
        </w:rPr>
        <w:footnoteReference w:customMarkFollows="0" w:id="35"/>
      </w:r>
      <w:r w:rsidDel="00000000" w:rsidR="00000000" w:rsidRPr="00000000">
        <w:rPr>
          <w:rFonts w:ascii="Garamond" w:cs="Garamond" w:eastAsia="Garamond" w:hAnsi="Garamond"/>
          <w:sz w:val="24"/>
          <w:szCs w:val="24"/>
          <w:rtl w:val="0"/>
        </w:rPr>
        <w:t xml:space="preserve">. Incluso, el Presidente aprovechó la coyuntura para afirmar que no permitirá la instalación de la </w:t>
      </w:r>
      <w:r w:rsidDel="00000000" w:rsidR="00000000" w:rsidRPr="00000000">
        <w:rPr>
          <w:rFonts w:ascii="Garamond" w:cs="Garamond" w:eastAsia="Garamond" w:hAnsi="Garamond"/>
          <w:i w:val="1"/>
          <w:iCs w:val="1"/>
          <w:sz w:val="24"/>
          <w:szCs w:val="24"/>
          <w:rtl w:val="0"/>
        </w:rPr>
        <w:t xml:space="preserve">ideología de género </w:t>
      </w:r>
      <w:r w:rsidDel="00000000" w:rsidR="00000000" w:rsidRPr="00000000">
        <w:rPr>
          <w:rFonts w:ascii="Garamond" w:cs="Garamond" w:eastAsia="Garamond" w:hAnsi="Garamond"/>
          <w:sz w:val="24"/>
          <w:szCs w:val="24"/>
          <w:rtl w:val="0"/>
        </w:rPr>
        <w:t xml:space="preserve">en las escuelas ni en los textos académicos</w:t>
      </w:r>
      <w:r w:rsidDel="00000000" w:rsidR="00000000" w:rsidRPr="00000000">
        <w:rPr>
          <w:rFonts w:ascii="Garamond" w:cs="Garamond" w:eastAsia="Garamond" w:hAnsi="Garamond"/>
          <w:sz w:val="24"/>
          <w:szCs w:val="24"/>
          <w:vertAlign w:val="superscript"/>
        </w:rPr>
        <w:footnoteReference w:customMarkFollows="0" w:id="36"/>
      </w:r>
      <w:r w:rsidDel="00000000" w:rsidR="00000000" w:rsidRPr="00000000">
        <w:rPr>
          <w:rFonts w:ascii="Garamond" w:cs="Garamond" w:eastAsia="Garamond" w:hAnsi="Garamond"/>
          <w:sz w:val="24"/>
          <w:szCs w:val="24"/>
          <w:rtl w:val="0"/>
        </w:rPr>
        <w:t xml:space="preserve">, tergiversando la situación sin dar respuesta a la falta de protección de las niñeces en su diversidad.</w:t>
      </w:r>
    </w:p>
    <w:p w:rsidR="00000000" w:rsidDel="00000000" w:rsidP="00000000" w:rsidRDefault="00000000" w:rsidRPr="00000000" w14:paraId="00000080">
      <w:pPr>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81">
      <w:pPr>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Preguntas sugeridas al Estado Ecuatoriano: </w:t>
      </w:r>
    </w:p>
    <w:p w:rsidR="00000000" w:rsidDel="00000000" w:rsidP="00000000" w:rsidRDefault="00000000" w:rsidRPr="00000000" w14:paraId="00000082">
      <w:pPr>
        <w:jc w:val="both"/>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83">
      <w:pPr>
        <w:numPr>
          <w:ilvl w:val="0"/>
          <w:numId w:val="5"/>
        </w:numPr>
        <w:ind w:left="720" w:hanging="360"/>
        <w:jc w:val="both"/>
        <w:rPr>
          <w:rFonts w:ascii="Nunito" w:cs="Nunito" w:eastAsia="Nunito" w:hAnsi="Nunito"/>
          <w:sz w:val="24"/>
          <w:szCs w:val="24"/>
          <w:u w:val="none"/>
        </w:rPr>
      </w:pPr>
      <w:r w:rsidDel="00000000" w:rsidR="00000000" w:rsidRPr="00000000">
        <w:rPr>
          <w:rFonts w:ascii="Garamond" w:cs="Garamond" w:eastAsia="Garamond" w:hAnsi="Garamond"/>
          <w:sz w:val="24"/>
          <w:szCs w:val="24"/>
          <w:rtl w:val="0"/>
        </w:rPr>
        <w:t xml:space="preserve">¿Qué </w:t>
      </w:r>
      <w:r w:rsidDel="00000000" w:rsidR="00000000" w:rsidRPr="00000000">
        <w:rPr>
          <w:rFonts w:ascii="Garamond" w:cs="Garamond" w:eastAsia="Garamond" w:hAnsi="Garamond"/>
          <w:b w:val="1"/>
          <w:bCs w:val="1"/>
          <w:sz w:val="24"/>
          <w:szCs w:val="24"/>
          <w:rtl w:val="0"/>
        </w:rPr>
        <w:t xml:space="preserve">protocolos y mecanismos</w:t>
      </w:r>
      <w:r w:rsidDel="00000000" w:rsidR="00000000" w:rsidRPr="00000000">
        <w:rPr>
          <w:rFonts w:ascii="Garamond" w:cs="Garamond" w:eastAsia="Garamond" w:hAnsi="Garamond"/>
          <w:sz w:val="24"/>
          <w:szCs w:val="24"/>
          <w:rtl w:val="0"/>
        </w:rPr>
        <w:t xml:space="preserve"> existen para asegurar que las instituciones educativas  públicas y privadas </w:t>
      </w:r>
      <w:r w:rsidDel="00000000" w:rsidR="00000000" w:rsidRPr="00000000">
        <w:rPr>
          <w:rFonts w:ascii="Garamond" w:cs="Garamond" w:eastAsia="Garamond" w:hAnsi="Garamond"/>
          <w:b w:val="1"/>
          <w:bCs w:val="1"/>
          <w:sz w:val="24"/>
          <w:szCs w:val="24"/>
          <w:rtl w:val="0"/>
        </w:rPr>
        <w:t xml:space="preserve">prevengan, investiguen y sancionen</w:t>
      </w:r>
      <w:r w:rsidDel="00000000" w:rsidR="00000000" w:rsidRPr="00000000">
        <w:rPr>
          <w:rFonts w:ascii="Garamond" w:cs="Garamond" w:eastAsia="Garamond" w:hAnsi="Garamond"/>
          <w:sz w:val="24"/>
          <w:szCs w:val="24"/>
          <w:rtl w:val="0"/>
        </w:rPr>
        <w:t xml:space="preserve"> casos de acoso o violencia escolar por motivos de orientación sexual o</w:t>
      </w:r>
      <w:r w:rsidDel="00000000" w:rsidR="00000000" w:rsidRPr="00000000">
        <w:rPr>
          <w:rFonts w:ascii="Garamond" w:cs="Garamond" w:eastAsia="Garamond" w:hAnsi="Garamond"/>
          <w:sz w:val="24"/>
          <w:szCs w:val="24"/>
          <w:rtl w:val="0"/>
        </w:rPr>
        <w:t xml:space="preserve"> de</w:t>
      </w:r>
      <w:r w:rsidDel="00000000" w:rsidR="00000000" w:rsidRPr="00000000">
        <w:rPr>
          <w:rFonts w:ascii="Garamond" w:cs="Garamond" w:eastAsia="Garamond" w:hAnsi="Garamond"/>
          <w:sz w:val="24"/>
          <w:szCs w:val="24"/>
          <w:rtl w:val="0"/>
        </w:rPr>
        <w:t xml:space="preserve"> identidad de género?</w:t>
      </w:r>
    </w:p>
    <w:p w:rsidR="00000000" w:rsidDel="00000000" w:rsidP="00000000" w:rsidRDefault="00000000" w:rsidRPr="00000000" w14:paraId="00000084">
      <w:pPr>
        <w:ind w:left="72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85">
      <w:pPr>
        <w:numPr>
          <w:ilvl w:val="0"/>
          <w:numId w:val="5"/>
        </w:numPr>
        <w:ind w:left="720" w:hanging="360"/>
        <w:jc w:val="both"/>
        <w:rPr>
          <w:rFonts w:ascii="Nunito" w:cs="Nunito" w:eastAsia="Nunito" w:hAnsi="Nunito"/>
          <w:sz w:val="24"/>
          <w:szCs w:val="24"/>
          <w:u w:val="none"/>
        </w:rPr>
      </w:pPr>
      <w:r w:rsidDel="00000000" w:rsidR="00000000" w:rsidRPr="00000000">
        <w:rPr>
          <w:rFonts w:ascii="Garamond" w:cs="Garamond" w:eastAsia="Garamond" w:hAnsi="Garamond"/>
          <w:sz w:val="24"/>
          <w:szCs w:val="24"/>
          <w:rtl w:val="0"/>
        </w:rPr>
        <w:t xml:space="preserve">¿Podría el Estado proporcionar </w:t>
      </w:r>
      <w:r w:rsidDel="00000000" w:rsidR="00000000" w:rsidRPr="00000000">
        <w:rPr>
          <w:rFonts w:ascii="Garamond" w:cs="Garamond" w:eastAsia="Garamond" w:hAnsi="Garamond"/>
          <w:b w:val="1"/>
          <w:bCs w:val="1"/>
          <w:sz w:val="24"/>
          <w:szCs w:val="24"/>
          <w:rtl w:val="0"/>
        </w:rPr>
        <w:t xml:space="preserve">datos</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desagregados</w:t>
      </w:r>
      <w:r w:rsidDel="00000000" w:rsidR="00000000" w:rsidRPr="00000000">
        <w:rPr>
          <w:rFonts w:ascii="Garamond" w:cs="Garamond" w:eastAsia="Garamond" w:hAnsi="Garamond"/>
          <w:sz w:val="24"/>
          <w:szCs w:val="24"/>
          <w:rtl w:val="0"/>
        </w:rPr>
        <w:t xml:space="preserve"> sobre denuncias, sanciones y medidas disciplinarias adoptadas en los últimos cinco años por casos de acoso o discriminación contra estudiantes LGBTIQ+?</w:t>
      </w:r>
      <w:r w:rsidDel="00000000" w:rsidR="00000000" w:rsidRPr="00000000">
        <w:rPr>
          <w:rtl w:val="0"/>
        </w:rPr>
      </w:r>
    </w:p>
    <w:p w:rsidR="00000000" w:rsidDel="00000000" w:rsidP="00000000" w:rsidRDefault="00000000" w:rsidRPr="00000000" w14:paraId="00000086">
      <w:pPr>
        <w:ind w:left="72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87">
      <w:pPr>
        <w:numPr>
          <w:ilvl w:val="0"/>
          <w:numId w:val="5"/>
        </w:numPr>
        <w:ind w:left="720" w:hanging="360"/>
        <w:jc w:val="both"/>
        <w:rPr>
          <w:rFonts w:ascii="Nunito" w:cs="Nunito" w:eastAsia="Nunito" w:hAnsi="Nunito"/>
          <w:sz w:val="24"/>
          <w:szCs w:val="24"/>
          <w:u w:val="none"/>
        </w:rPr>
      </w:pPr>
      <w:r w:rsidDel="00000000" w:rsidR="00000000" w:rsidRPr="00000000">
        <w:rPr>
          <w:rFonts w:ascii="Garamond" w:cs="Garamond" w:eastAsia="Garamond" w:hAnsi="Garamond"/>
          <w:sz w:val="24"/>
          <w:szCs w:val="24"/>
          <w:rtl w:val="0"/>
        </w:rPr>
        <w:t xml:space="preserve">¿Qué avances ha realizado el Estado en el </w:t>
      </w:r>
      <w:r w:rsidDel="00000000" w:rsidR="00000000" w:rsidRPr="00000000">
        <w:rPr>
          <w:rFonts w:ascii="Garamond" w:cs="Garamond" w:eastAsia="Garamond" w:hAnsi="Garamond"/>
          <w:b w:val="1"/>
          <w:bCs w:val="1"/>
          <w:sz w:val="24"/>
          <w:szCs w:val="24"/>
          <w:rtl w:val="0"/>
        </w:rPr>
        <w:t xml:space="preserve">cumplimiento</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de</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la</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sentencia</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de</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la</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Corte</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Constitucional</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95-18-EP/24</w:t>
      </w:r>
      <w:r w:rsidDel="00000000" w:rsidR="00000000" w:rsidRPr="00000000">
        <w:rPr>
          <w:rFonts w:ascii="Garamond" w:cs="Garamond" w:eastAsia="Garamond" w:hAnsi="Garamond"/>
          <w:sz w:val="24"/>
          <w:szCs w:val="24"/>
          <w:rtl w:val="0"/>
        </w:rPr>
        <w:t xml:space="preserve"> respecto de la </w:t>
      </w:r>
      <w:r w:rsidDel="00000000" w:rsidR="00000000" w:rsidRPr="00000000">
        <w:rPr>
          <w:rFonts w:ascii="Garamond" w:cs="Garamond" w:eastAsia="Garamond" w:hAnsi="Garamond"/>
          <w:b w:val="1"/>
          <w:bCs w:val="1"/>
          <w:sz w:val="24"/>
          <w:szCs w:val="24"/>
          <w:rtl w:val="0"/>
        </w:rPr>
        <w:t xml:space="preserve">elaboración</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e</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implementación</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del</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Protocolo</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de</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Acompañamiento</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Estudiantil</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Nacional</w:t>
      </w:r>
      <w:r w:rsidDel="00000000" w:rsidR="00000000" w:rsidRPr="00000000">
        <w:rPr>
          <w:rFonts w:ascii="Garamond" w:cs="Garamond" w:eastAsia="Garamond" w:hAnsi="Garamond"/>
          <w:sz w:val="24"/>
          <w:szCs w:val="24"/>
          <w:rtl w:val="0"/>
        </w:rPr>
        <w:t xml:space="preserve"> para el reconocimiento de la identidad de género?</w:t>
      </w:r>
      <w:r w:rsidDel="00000000" w:rsidR="00000000" w:rsidRPr="00000000">
        <w:rPr>
          <w:rtl w:val="0"/>
        </w:rPr>
      </w:r>
    </w:p>
    <w:p w:rsidR="00000000" w:rsidDel="00000000" w:rsidP="00000000" w:rsidRDefault="00000000" w:rsidRPr="00000000" w14:paraId="00000088">
      <w:pPr>
        <w:ind w:left="72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89">
      <w:pPr>
        <w:numPr>
          <w:ilvl w:val="0"/>
          <w:numId w:val="5"/>
        </w:numPr>
        <w:ind w:left="720" w:hanging="360"/>
        <w:jc w:val="both"/>
        <w:rPr>
          <w:rFonts w:ascii="Nunito" w:cs="Nunito" w:eastAsia="Nunito" w:hAnsi="Nunito"/>
          <w:sz w:val="24"/>
          <w:szCs w:val="24"/>
          <w:u w:val="none"/>
        </w:rPr>
      </w:pPr>
      <w:r w:rsidDel="00000000" w:rsidR="00000000" w:rsidRPr="00000000">
        <w:rPr>
          <w:rFonts w:ascii="Garamond" w:cs="Garamond" w:eastAsia="Garamond" w:hAnsi="Garamond"/>
          <w:sz w:val="24"/>
          <w:szCs w:val="24"/>
          <w:rtl w:val="0"/>
        </w:rPr>
        <w:t xml:space="preserve">¿Qué acciones ha tomado el Estado frente a los </w:t>
      </w:r>
      <w:r w:rsidDel="00000000" w:rsidR="00000000" w:rsidRPr="00000000">
        <w:rPr>
          <w:rFonts w:ascii="Garamond" w:cs="Garamond" w:eastAsia="Garamond" w:hAnsi="Garamond"/>
          <w:b w:val="1"/>
          <w:bCs w:val="1"/>
          <w:sz w:val="24"/>
          <w:szCs w:val="24"/>
          <w:rtl w:val="0"/>
        </w:rPr>
        <w:t xml:space="preserve">discursos discriminatorios y desinformantes </w:t>
      </w:r>
      <w:r w:rsidDel="00000000" w:rsidR="00000000" w:rsidRPr="00000000">
        <w:rPr>
          <w:rFonts w:ascii="Garamond" w:cs="Garamond" w:eastAsia="Garamond" w:hAnsi="Garamond"/>
          <w:sz w:val="24"/>
          <w:szCs w:val="24"/>
          <w:rtl w:val="0"/>
        </w:rPr>
        <w:t xml:space="preserve">de actores políticos que deslegitiman la decisión </w:t>
      </w:r>
      <w:r w:rsidDel="00000000" w:rsidR="00000000" w:rsidRPr="00000000">
        <w:rPr>
          <w:rFonts w:ascii="Garamond" w:cs="Garamond" w:eastAsia="Garamond" w:hAnsi="Garamond"/>
          <w:b w:val="1"/>
          <w:bCs w:val="1"/>
          <w:sz w:val="24"/>
          <w:szCs w:val="24"/>
          <w:rtl w:val="0"/>
        </w:rPr>
        <w:t xml:space="preserve"> 95-18-EP/24 </w:t>
      </w:r>
      <w:r w:rsidDel="00000000" w:rsidR="00000000" w:rsidRPr="00000000">
        <w:rPr>
          <w:rFonts w:ascii="Garamond" w:cs="Garamond" w:eastAsia="Garamond" w:hAnsi="Garamond"/>
          <w:sz w:val="24"/>
          <w:szCs w:val="24"/>
          <w:rtl w:val="0"/>
        </w:rPr>
        <w:t xml:space="preserve">de la Corte Constitucional y ponen en tela de juicio los derechos de niños, niñas y adolescentes LGBTIQ+? </w:t>
      </w:r>
    </w:p>
    <w:p w:rsidR="00000000" w:rsidDel="00000000" w:rsidP="00000000" w:rsidRDefault="00000000" w:rsidRPr="00000000" w14:paraId="0000008A">
      <w:pPr>
        <w:ind w:left="72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8B">
      <w:pPr>
        <w:numPr>
          <w:ilvl w:val="0"/>
          <w:numId w:val="5"/>
        </w:numPr>
        <w:ind w:left="720" w:hanging="360"/>
        <w:jc w:val="both"/>
        <w:rPr>
          <w:rFonts w:ascii="Nunito" w:cs="Nunito" w:eastAsia="Nunito" w:hAnsi="Nunito"/>
          <w:sz w:val="24"/>
          <w:szCs w:val="24"/>
        </w:rPr>
      </w:pPr>
      <w:r w:rsidDel="00000000" w:rsidR="00000000" w:rsidRPr="00000000">
        <w:rPr>
          <w:rFonts w:ascii="Garamond" w:cs="Garamond" w:eastAsia="Garamond" w:hAnsi="Garamond"/>
          <w:sz w:val="24"/>
          <w:szCs w:val="24"/>
          <w:rtl w:val="0"/>
        </w:rPr>
        <w:t xml:space="preserve">¿El Estado implementa o implemenetará mecanismos de </w:t>
      </w:r>
      <w:r w:rsidDel="00000000" w:rsidR="00000000" w:rsidRPr="00000000">
        <w:rPr>
          <w:rFonts w:ascii="Garamond" w:cs="Garamond" w:eastAsia="Garamond" w:hAnsi="Garamond"/>
          <w:b w:val="1"/>
          <w:bCs w:val="1"/>
          <w:sz w:val="24"/>
          <w:szCs w:val="24"/>
          <w:rtl w:val="0"/>
        </w:rPr>
        <w:t xml:space="preserve">capacitación y sensibilización </w:t>
      </w:r>
      <w:r w:rsidDel="00000000" w:rsidR="00000000" w:rsidRPr="00000000">
        <w:rPr>
          <w:rFonts w:ascii="Garamond" w:cs="Garamond" w:eastAsia="Garamond" w:hAnsi="Garamond"/>
          <w:sz w:val="24"/>
          <w:szCs w:val="24"/>
          <w:rtl w:val="0"/>
        </w:rPr>
        <w:t xml:space="preserve">para trabajadores de instituciones educativas públicas y privadas sobre diversidad sexual y de género, y no discriminación?</w:t>
      </w:r>
    </w:p>
    <w:p w:rsidR="00000000" w:rsidDel="00000000" w:rsidP="00000000" w:rsidRDefault="00000000" w:rsidRPr="00000000" w14:paraId="0000008C">
      <w:pPr>
        <w:ind w:left="720" w:firstLine="0"/>
        <w:jc w:val="both"/>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8D">
      <w:pPr>
        <w:jc w:val="both"/>
        <w:rPr>
          <w:rFonts w:ascii="Nunito" w:cs="Nunito" w:eastAsia="Nunito" w:hAnsi="Nunito"/>
          <w:sz w:val="24"/>
          <w:szCs w:val="24"/>
        </w:rPr>
      </w:pPr>
      <w:r w:rsidDel="00000000" w:rsidR="00000000" w:rsidRPr="00000000">
        <w:rPr>
          <w:rtl w:val="0"/>
        </w:rPr>
      </w:r>
    </w:p>
    <w:sectPr>
      <w:headerReference r:id="rId9" w:type="default"/>
      <w:headerReference r:id="rId10" w:type="first"/>
      <w:footerReference r:id="rId11" w:type="default"/>
      <w:footerReference r:id="rId12" w:type="first"/>
      <w:pgSz w:h="16834" w:w="11909" w:orient="portrait"/>
      <w:pgMar w:bottom="1275.5905511811025" w:top="1275.5905511811025" w:left="1275.5905511811025" w:right="1275.5905511811025"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uni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A">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91">
      <w:pPr>
        <w:spacing w:line="240" w:lineRule="auto"/>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Garamond" w:cs="Garamond" w:eastAsia="Garamond" w:hAnsi="Garamond"/>
          <w:sz w:val="20"/>
          <w:szCs w:val="20"/>
          <w:rtl w:val="0"/>
        </w:rPr>
        <w:t xml:space="preserve">INEC (Instituto Nacional de Estadísticas y Censos del Ecuador), Estudio de caso sobre condiciones de vida, inclusión social y cumplimiento de derechos humanos población de la LGBTI en el Ecuador, (Quito: Instituto Nacional de Estadísticas y Censos del Ecuador, 2013),19-29.</w:t>
      </w:r>
    </w:p>
  </w:footnote>
  <w:footnote w:id="8">
    <w:p w:rsidR="00000000" w:rsidDel="00000000" w:rsidP="00000000" w:rsidRDefault="00000000" w:rsidRPr="00000000" w14:paraId="00000092">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Congreso Nacional del Ecuador. Código de Trabajo. Artículo 79. 2005.</w:t>
      </w:r>
    </w:p>
  </w:footnote>
  <w:footnote w:id="1">
    <w:p w:rsidR="00000000" w:rsidDel="00000000" w:rsidP="00000000" w:rsidRDefault="00000000" w:rsidRPr="00000000" w14:paraId="00000093">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Constitución Política de la República de Ecuador. Artículos 11(2), 66(9-11), 83(14)</w:t>
      </w:r>
    </w:p>
  </w:footnote>
  <w:footnote w:id="9">
    <w:p w:rsidR="00000000" w:rsidDel="00000000" w:rsidP="00000000" w:rsidRDefault="00000000" w:rsidRPr="00000000" w14:paraId="00000094">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Congreso Nacional del Ecuador. Ley orgánica para la Justicia Laboral y el Reconocimiento del Trabajo en el Hogar. Artículo 195(3). 2015. </w:t>
      </w:r>
    </w:p>
  </w:footnote>
  <w:footnote w:id="2">
    <w:p w:rsidR="00000000" w:rsidDel="00000000" w:rsidP="00000000" w:rsidRDefault="00000000" w:rsidRPr="00000000" w14:paraId="00000095">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Ibid. Artículo 68. </w:t>
      </w:r>
    </w:p>
  </w:footnote>
  <w:footnote w:id="4">
    <w:p w:rsidR="00000000" w:rsidDel="00000000" w:rsidP="00000000" w:rsidRDefault="00000000" w:rsidRPr="00000000" w14:paraId="00000096">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Corte Constitucional del Ecuador. Sentencias </w:t>
      </w:r>
      <w:r w:rsidDel="00000000" w:rsidR="00000000" w:rsidRPr="00000000">
        <w:rPr>
          <w:rFonts w:ascii="Garamond" w:cs="Garamond" w:eastAsia="Garamond" w:hAnsi="Garamond"/>
          <w:sz w:val="20"/>
          <w:szCs w:val="20"/>
          <w:rtl w:val="0"/>
        </w:rPr>
        <w:t xml:space="preserve">1</w:t>
      </w:r>
      <w:r w:rsidDel="00000000" w:rsidR="00000000" w:rsidRPr="00000000">
        <w:rPr>
          <w:rFonts w:ascii="Garamond" w:cs="Garamond" w:eastAsia="Garamond" w:hAnsi="Garamond"/>
          <w:sz w:val="20"/>
          <w:szCs w:val="20"/>
          <w:rtl w:val="0"/>
        </w:rPr>
        <w:t xml:space="preserve">0-18-CN/19</w:t>
      </w:r>
      <w:r w:rsidDel="00000000" w:rsidR="00000000" w:rsidRPr="00000000">
        <w:rPr>
          <w:rFonts w:ascii="Garamond" w:cs="Garamond" w:eastAsia="Garamond" w:hAnsi="Garamond"/>
          <w:sz w:val="20"/>
          <w:szCs w:val="20"/>
          <w:highlight w:val="white"/>
          <w:rtl w:val="0"/>
        </w:rPr>
        <w:t xml:space="preserve"> y </w:t>
      </w:r>
      <w:r w:rsidDel="00000000" w:rsidR="00000000" w:rsidRPr="00000000">
        <w:rPr>
          <w:rFonts w:ascii="Garamond" w:cs="Garamond" w:eastAsia="Garamond" w:hAnsi="Garamond"/>
          <w:sz w:val="20"/>
          <w:szCs w:val="20"/>
          <w:rtl w:val="0"/>
        </w:rPr>
        <w:t xml:space="preserve">11-18-CN/19</w:t>
      </w:r>
      <w:r w:rsidDel="00000000" w:rsidR="00000000" w:rsidRPr="00000000">
        <w:rPr>
          <w:rtl w:val="0"/>
        </w:rPr>
      </w:r>
    </w:p>
  </w:footnote>
  <w:footnote w:id="5">
    <w:p w:rsidR="00000000" w:rsidDel="00000000" w:rsidP="00000000" w:rsidRDefault="00000000" w:rsidRPr="00000000" w14:paraId="00000097">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Op. Cit. Constitución de la República del Ecuador. Artículo 68</w:t>
      </w:r>
    </w:p>
  </w:footnote>
  <w:footnote w:id="6">
    <w:p w:rsidR="00000000" w:rsidDel="00000000" w:rsidP="00000000" w:rsidRDefault="00000000" w:rsidRPr="00000000" w14:paraId="00000098">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Corte Constitucional del Ecuador. Sentencias 133-17-SEP-CC y 52-18-IS/22</w:t>
      </w:r>
    </w:p>
  </w:footnote>
  <w:footnote w:id="7">
    <w:p w:rsidR="00000000" w:rsidDel="00000000" w:rsidP="00000000" w:rsidRDefault="00000000" w:rsidRPr="00000000" w14:paraId="00000099">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r w:rsidDel="00000000" w:rsidR="00000000" w:rsidRPr="00000000">
        <w:rPr>
          <w:rFonts w:ascii="Garamond" w:cs="Garamond" w:eastAsia="Garamond" w:hAnsi="Garamond"/>
          <w:color w:val="1c1c1c"/>
          <w:sz w:val="20"/>
          <w:szCs w:val="20"/>
          <w:highlight w:val="white"/>
          <w:rtl w:val="0"/>
        </w:rPr>
        <w:t xml:space="preserve"> Asamblea Nacional Ecuatoriana. </w:t>
      </w:r>
      <w:r w:rsidDel="00000000" w:rsidR="00000000" w:rsidRPr="00000000">
        <w:rPr>
          <w:rFonts w:ascii="Garamond" w:cs="Garamond" w:eastAsia="Garamond" w:hAnsi="Garamond"/>
          <w:sz w:val="20"/>
          <w:szCs w:val="20"/>
          <w:rtl w:val="0"/>
        </w:rPr>
        <w:t xml:space="preserve">Ley Orgánica Reformatoria de la Ley Orgánica de Gestión de Datos Civiles</w:t>
      </w:r>
      <w:r w:rsidDel="00000000" w:rsidR="00000000" w:rsidRPr="00000000">
        <w:rPr>
          <w:rFonts w:ascii="Garamond" w:cs="Garamond" w:eastAsia="Garamond" w:hAnsi="Garamond"/>
          <w:sz w:val="20"/>
          <w:szCs w:val="20"/>
          <w:highlight w:val="white"/>
          <w:rtl w:val="0"/>
        </w:rPr>
        <w:t xml:space="preserve">.</w:t>
      </w:r>
      <w:r w:rsidDel="00000000" w:rsidR="00000000" w:rsidRPr="00000000">
        <w:rPr>
          <w:rFonts w:ascii="Garamond" w:cs="Garamond" w:eastAsia="Garamond" w:hAnsi="Garamond"/>
          <w:color w:val="1c1c1c"/>
          <w:sz w:val="20"/>
          <w:szCs w:val="20"/>
          <w:highlight w:val="white"/>
          <w:rtl w:val="0"/>
        </w:rPr>
        <w:t xml:space="preserve"> Artículo 34. 2024; Presidencia de la República de Ecuador. Decreto Ejecutivo No. 294.2024.</w:t>
      </w:r>
      <w:r w:rsidDel="00000000" w:rsidR="00000000" w:rsidRPr="00000000">
        <w:rPr>
          <w:rtl w:val="0"/>
        </w:rPr>
      </w:r>
    </w:p>
  </w:footnote>
  <w:footnote w:id="12">
    <w:p w:rsidR="00000000" w:rsidDel="00000000" w:rsidP="00000000" w:rsidRDefault="00000000" w:rsidRPr="00000000" w14:paraId="0000009B">
      <w:pPr>
        <w:spacing w:line="240" w:lineRule="auto"/>
        <w:rPr>
          <w:rFonts w:ascii="Garamond" w:cs="Garamond" w:eastAsia="Garamond" w:hAnsi="Garamond"/>
          <w:sz w:val="18"/>
          <w:szCs w:val="18"/>
        </w:rPr>
      </w:pPr>
      <w:r w:rsidDel="00000000" w:rsidR="00000000" w:rsidRPr="00000000">
        <w:rPr>
          <w:rStyle w:val="FootnoteReference"/>
          <w:vertAlign w:val="superscript"/>
        </w:rPr>
        <w:footnoteRef/>
      </w:r>
      <w:r w:rsidDel="00000000" w:rsidR="00000000" w:rsidRPr="00000000">
        <w:rPr>
          <w:rFonts w:ascii="Garamond" w:cs="Garamond" w:eastAsia="Garamond" w:hAnsi="Garamond"/>
          <w:sz w:val="18"/>
          <w:szCs w:val="18"/>
          <w:rtl w:val="0"/>
        </w:rPr>
        <w:t xml:space="preserve"> Op. Cit. INEC (Instituto Nacional de Estadísticas y Censos del Ecuador)</w:t>
      </w:r>
    </w:p>
  </w:footnote>
  <w:footnote w:id="13">
    <w:p w:rsidR="00000000" w:rsidDel="00000000" w:rsidP="00000000" w:rsidRDefault="00000000" w:rsidRPr="00000000" w14:paraId="0000009C">
      <w:pPr>
        <w:spacing w:line="240" w:lineRule="auto"/>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Hernández, H., Quiroz, G., Zambrano, O., &amp; Zanoni, W. (2023). Measuring Labor Market Discrimination against LGTBQ+ in the Case of Ecuador: A Field Experiment. Banco Interamericano de Desarrollo. Disponible en</w:t>
      </w:r>
      <w:hyperlink r:id="rId1">
        <w:r w:rsidDel="00000000" w:rsidR="00000000" w:rsidRPr="00000000">
          <w:rPr>
            <w:rFonts w:ascii="Garamond" w:cs="Garamond" w:eastAsia="Garamond" w:hAnsi="Garamond"/>
            <w:color w:val="1155cc"/>
            <w:sz w:val="20"/>
            <w:szCs w:val="20"/>
            <w:u w:val="single"/>
            <w:rtl w:val="0"/>
          </w:rPr>
          <w:t xml:space="preserve"> https://doi.org/10.18235/0005026</w:t>
        </w:r>
      </w:hyperlink>
      <w:r w:rsidDel="00000000" w:rsidR="00000000" w:rsidRPr="00000000">
        <w:rPr>
          <w:rtl w:val="0"/>
        </w:rPr>
      </w:r>
    </w:p>
  </w:footnote>
  <w:footnote w:id="14">
    <w:p w:rsidR="00000000" w:rsidDel="00000000" w:rsidP="00000000" w:rsidRDefault="00000000" w:rsidRPr="00000000" w14:paraId="0000009D">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Ordenanza No. 045-2022 del Cantón de Manta. </w:t>
      </w:r>
    </w:p>
  </w:footnote>
  <w:footnote w:id="18">
    <w:p w:rsidR="00000000" w:rsidDel="00000000" w:rsidP="00000000" w:rsidRDefault="00000000" w:rsidRPr="00000000" w14:paraId="0000009E">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Corte Constitucional del Ecuador. Sentencias No.10-18-CN/19 y No.11-18-CN/19</w:t>
      </w:r>
    </w:p>
  </w:footnote>
  <w:footnote w:id="20">
    <w:p w:rsidR="00000000" w:rsidDel="00000000" w:rsidP="00000000" w:rsidRDefault="00000000" w:rsidRPr="00000000" w14:paraId="0000009F">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Edición </w:t>
      </w:r>
      <w:r w:rsidDel="00000000" w:rsidR="00000000" w:rsidRPr="00000000">
        <w:rPr>
          <w:rFonts w:ascii="Garamond" w:cs="Garamond" w:eastAsia="Garamond" w:hAnsi="Garamond"/>
          <w:sz w:val="20"/>
          <w:szCs w:val="20"/>
          <w:rtl w:val="0"/>
        </w:rPr>
        <w:t xml:space="preserve">Cientonce</w:t>
      </w:r>
      <w:r w:rsidDel="00000000" w:rsidR="00000000" w:rsidRPr="00000000">
        <w:rPr>
          <w:rFonts w:ascii="Garamond" w:cs="Garamond" w:eastAsia="Garamond" w:hAnsi="Garamond"/>
          <w:sz w:val="20"/>
          <w:szCs w:val="20"/>
          <w:rtl w:val="0"/>
        </w:rPr>
        <w:t xml:space="preserve">. Dos años de espera para inscribir a su hija.28 de diciembre de 2021. Disponible en: </w:t>
      </w:r>
      <w:hyperlink r:id="rId2">
        <w:r w:rsidDel="00000000" w:rsidR="00000000" w:rsidRPr="00000000">
          <w:rPr>
            <w:rFonts w:ascii="Garamond" w:cs="Garamond" w:eastAsia="Garamond" w:hAnsi="Garamond"/>
            <w:color w:val="1155cc"/>
            <w:sz w:val="20"/>
            <w:szCs w:val="20"/>
            <w:u w:val="single"/>
            <w:rtl w:val="0"/>
          </w:rPr>
          <w:t xml:space="preserve">https://edicion111.com/2021/12/28/dos-anos-de-espera-para-inscribir-a-su-hija/</w:t>
        </w:r>
      </w:hyperlink>
      <w:r w:rsidDel="00000000" w:rsidR="00000000" w:rsidRPr="00000000">
        <w:rPr>
          <w:rFonts w:ascii="Garamond" w:cs="Garamond" w:eastAsia="Garamond" w:hAnsi="Garamond"/>
          <w:sz w:val="20"/>
          <w:szCs w:val="20"/>
          <w:rtl w:val="0"/>
        </w:rPr>
        <w:t xml:space="preserve"> </w:t>
      </w:r>
    </w:p>
  </w:footnote>
  <w:footnote w:id="19">
    <w:p w:rsidR="00000000" w:rsidDel="00000000" w:rsidP="00000000" w:rsidRDefault="00000000" w:rsidRPr="00000000" w14:paraId="000000A0">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Sentencia No.184- 18-SEP-CC</w:t>
      </w:r>
      <w:r w:rsidDel="00000000" w:rsidR="00000000" w:rsidRPr="00000000">
        <w:rPr>
          <w:rtl w:val="0"/>
        </w:rPr>
      </w:r>
    </w:p>
  </w:footnote>
  <w:footnote w:id="22">
    <w:p w:rsidR="00000000" w:rsidDel="00000000" w:rsidP="00000000" w:rsidRDefault="00000000" w:rsidRPr="00000000" w14:paraId="000000A1">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Garamond" w:cs="Garamond" w:eastAsia="Garamond" w:hAnsi="Garamond"/>
          <w:sz w:val="20"/>
          <w:szCs w:val="20"/>
          <w:rtl w:val="0"/>
        </w:rPr>
        <w:t xml:space="preserve">Colombia Diversa. Red de Litigantes LGBTI+ de las Américas. Acceso a la salud de personas trans en América Latina. pág. 28. Disponible en: </w:t>
      </w:r>
      <w:hyperlink r:id="rId3">
        <w:r w:rsidDel="00000000" w:rsidR="00000000" w:rsidRPr="00000000">
          <w:rPr>
            <w:rFonts w:ascii="Garamond" w:cs="Garamond" w:eastAsia="Garamond" w:hAnsi="Garamond"/>
            <w:color w:val="1155cc"/>
            <w:sz w:val="20"/>
            <w:szCs w:val="20"/>
            <w:u w:val="single"/>
            <w:rtl w:val="0"/>
          </w:rPr>
          <w:t xml:space="preserve">Acceso a la salud para personas trans en América Latina </w:t>
        </w:r>
      </w:hyperlink>
      <w:r w:rsidDel="00000000" w:rsidR="00000000" w:rsidRPr="00000000">
        <w:rPr>
          <w:rtl w:val="0"/>
        </w:rPr>
      </w:r>
    </w:p>
  </w:footnote>
  <w:footnote w:id="24">
    <w:p w:rsidR="00000000" w:rsidDel="00000000" w:rsidP="00000000" w:rsidRDefault="00000000" w:rsidRPr="00000000" w14:paraId="000000A2">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Ibid.</w:t>
      </w:r>
    </w:p>
  </w:footnote>
  <w:footnote w:id="17">
    <w:p w:rsidR="00000000" w:rsidDel="00000000" w:rsidP="00000000" w:rsidRDefault="00000000" w:rsidRPr="00000000" w14:paraId="000000A3">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Garamond" w:cs="Garamond" w:eastAsia="Garamond" w:hAnsi="Garamond"/>
          <w:sz w:val="20"/>
          <w:szCs w:val="20"/>
          <w:rtl w:val="0"/>
        </w:rPr>
        <w:t xml:space="preserve">Ecuavisa. El 87% de personas trans en Ecuador no tiene empleo. 14 de septiembre de 2023. Disponible en: </w:t>
      </w:r>
      <w:hyperlink r:id="rId4">
        <w:r w:rsidDel="00000000" w:rsidR="00000000" w:rsidRPr="00000000">
          <w:rPr>
            <w:rFonts w:ascii="Garamond" w:cs="Garamond" w:eastAsia="Garamond" w:hAnsi="Garamond"/>
            <w:color w:val="1155cc"/>
            <w:sz w:val="20"/>
            <w:szCs w:val="20"/>
            <w:u w:val="single"/>
            <w:rtl w:val="0"/>
          </w:rPr>
          <w:t xml:space="preserve">https://www.ecuavisa.com/noticias/sociedad/personas-trans-ecuador-empleo-EE5776644</w:t>
        </w:r>
      </w:hyperlink>
      <w:r w:rsidDel="00000000" w:rsidR="00000000" w:rsidRPr="00000000">
        <w:rPr>
          <w:rFonts w:ascii="Garamond" w:cs="Garamond" w:eastAsia="Garamond" w:hAnsi="Garamond"/>
          <w:sz w:val="20"/>
          <w:szCs w:val="20"/>
          <w:rtl w:val="0"/>
        </w:rPr>
        <w:t xml:space="preserve"> </w:t>
      </w:r>
    </w:p>
  </w:footnote>
  <w:footnote w:id="23">
    <w:p w:rsidR="00000000" w:rsidDel="00000000" w:rsidP="00000000" w:rsidRDefault="00000000" w:rsidRPr="00000000" w14:paraId="000000A4">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Ibid. pág. 34.</w:t>
      </w:r>
    </w:p>
  </w:footnote>
  <w:footnote w:id="26">
    <w:p w:rsidR="00000000" w:rsidDel="00000000" w:rsidP="00000000" w:rsidRDefault="00000000" w:rsidRPr="00000000" w14:paraId="000000A5">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Información proporcionada por Fundación Pakta, Ecuador</w:t>
      </w:r>
    </w:p>
  </w:footnote>
  <w:footnote w:id="27">
    <w:p w:rsidR="00000000" w:rsidDel="00000000" w:rsidP="00000000" w:rsidRDefault="00000000" w:rsidRPr="00000000" w14:paraId="000000A6">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Ministerio de salud pública. Acuerdo Ministerial. No. 76. 2012. </w:t>
      </w:r>
    </w:p>
  </w:footnote>
  <w:footnote w:id="28">
    <w:p w:rsidR="00000000" w:rsidDel="00000000" w:rsidP="00000000" w:rsidRDefault="00000000" w:rsidRPr="00000000" w14:paraId="000000A7">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Código Penal de Ecuador. </w:t>
      </w:r>
      <w:r w:rsidDel="00000000" w:rsidR="00000000" w:rsidRPr="00000000">
        <w:rPr>
          <w:rFonts w:ascii="Garamond" w:cs="Garamond" w:eastAsia="Garamond" w:hAnsi="Garamond"/>
          <w:color w:val="1c1c1c"/>
          <w:sz w:val="20"/>
          <w:szCs w:val="20"/>
          <w:highlight w:val="white"/>
          <w:rtl w:val="0"/>
        </w:rPr>
        <w:t xml:space="preserve">Artículo 151(3) D. </w:t>
      </w:r>
      <w:r w:rsidDel="00000000" w:rsidR="00000000" w:rsidRPr="00000000">
        <w:rPr>
          <w:rtl w:val="0"/>
        </w:rPr>
      </w:r>
    </w:p>
  </w:footnote>
  <w:footnote w:id="30">
    <w:p w:rsidR="00000000" w:rsidDel="00000000" w:rsidP="00000000" w:rsidRDefault="00000000" w:rsidRPr="00000000" w14:paraId="000000A8">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Asamblea Nacional. Ley Orgánica de Educación Intercultural. Artículos 2.3 y 2.4. </w:t>
      </w:r>
    </w:p>
  </w:footnote>
  <w:footnote w:id="31">
    <w:p w:rsidR="00000000" w:rsidDel="00000000" w:rsidP="00000000" w:rsidRDefault="00000000" w:rsidRPr="00000000" w14:paraId="000000A9">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Ibid. artículo 64.2 </w:t>
      </w:r>
    </w:p>
  </w:footnote>
  <w:footnote w:id="32">
    <w:p w:rsidR="00000000" w:rsidDel="00000000" w:rsidP="00000000" w:rsidRDefault="00000000" w:rsidRPr="00000000" w14:paraId="000000AA">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aramond" w:cs="Garamond" w:eastAsia="Garamond" w:hAnsi="Garamond"/>
          <w:sz w:val="20"/>
          <w:szCs w:val="20"/>
          <w:rtl w:val="0"/>
        </w:rPr>
        <w:t xml:space="preserve">Edición Ciento once. Los suicidios que quedan en el clóset a causa de la omisión estatal. 18 de agosto de 2025. Disponible en: </w:t>
      </w:r>
      <w:hyperlink r:id="rId5">
        <w:r w:rsidDel="00000000" w:rsidR="00000000" w:rsidRPr="00000000">
          <w:rPr>
            <w:rFonts w:ascii="Garamond" w:cs="Garamond" w:eastAsia="Garamond" w:hAnsi="Garamond"/>
            <w:color w:val="1155cc"/>
            <w:sz w:val="20"/>
            <w:szCs w:val="20"/>
            <w:u w:val="single"/>
            <w:rtl w:val="0"/>
          </w:rPr>
          <w:t xml:space="preserve">https://edicion111.com/2025/08/18/los-suicidios-que-quedan-en-el-closet-a-causa-de-la-omision-estatal/</w:t>
        </w:r>
      </w:hyperlink>
      <w:r w:rsidDel="00000000" w:rsidR="00000000" w:rsidRPr="00000000">
        <w:rPr>
          <w:rFonts w:ascii="Garamond" w:cs="Garamond" w:eastAsia="Garamond" w:hAnsi="Garamond"/>
          <w:sz w:val="20"/>
          <w:szCs w:val="20"/>
          <w:rtl w:val="0"/>
        </w:rPr>
        <w:t xml:space="preserve"> </w:t>
      </w:r>
    </w:p>
  </w:footnote>
  <w:footnote w:id="33">
    <w:p w:rsidR="00000000" w:rsidDel="00000000" w:rsidP="00000000" w:rsidRDefault="00000000" w:rsidRPr="00000000" w14:paraId="000000AB">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Corte Constitucional de Ecuador. Sentencia 95-18-EP/24. </w:t>
      </w:r>
    </w:p>
  </w:footnote>
  <w:footnote w:id="34">
    <w:p w:rsidR="00000000" w:rsidDel="00000000" w:rsidP="00000000" w:rsidRDefault="00000000" w:rsidRPr="00000000" w14:paraId="000000AC">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Garamond" w:cs="Garamond" w:eastAsia="Garamond" w:hAnsi="Garamond"/>
          <w:sz w:val="20"/>
          <w:szCs w:val="20"/>
          <w:rtl w:val="0"/>
        </w:rPr>
        <w:t xml:space="preserve">El Comercio. Esto dijo la candidata presidencial Luisa González sobre el ‘cambio de sexo en menores’ en Ecuador. 8 de marzo de 2025. Disponible en: </w:t>
      </w:r>
      <w:hyperlink r:id="rId6">
        <w:r w:rsidDel="00000000" w:rsidR="00000000" w:rsidRPr="00000000">
          <w:rPr>
            <w:rFonts w:ascii="Garamond" w:cs="Garamond" w:eastAsia="Garamond" w:hAnsi="Garamond"/>
            <w:color w:val="1155cc"/>
            <w:sz w:val="20"/>
            <w:szCs w:val="20"/>
            <w:u w:val="single"/>
            <w:rtl w:val="0"/>
          </w:rPr>
          <w:t xml:space="preserve">https://www.elcomercio.com/actualidad/politica/la-candidata-presidencial-luisa-gonzalez-rechaza-el-cambio-de-sexo-en-menores-en-ecuador/</w:t>
        </w:r>
      </w:hyperlink>
      <w:r w:rsidDel="00000000" w:rsidR="00000000" w:rsidRPr="00000000">
        <w:rPr>
          <w:rFonts w:ascii="Garamond" w:cs="Garamond" w:eastAsia="Garamond" w:hAnsi="Garamond"/>
          <w:sz w:val="20"/>
          <w:szCs w:val="20"/>
          <w:rtl w:val="0"/>
        </w:rPr>
        <w:t xml:space="preserve"> </w:t>
      </w:r>
    </w:p>
  </w:footnote>
  <w:footnote w:id="36">
    <w:p w:rsidR="00000000" w:rsidDel="00000000" w:rsidP="00000000" w:rsidRDefault="00000000" w:rsidRPr="00000000" w14:paraId="000000AD">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Garamond" w:cs="Garamond" w:eastAsia="Garamond" w:hAnsi="Garamond"/>
          <w:sz w:val="20"/>
          <w:szCs w:val="20"/>
          <w:rtl w:val="0"/>
        </w:rPr>
        <w:t xml:space="preserve">La Hora. Daniel Noboa no permitirá ideología de género en textos o instituciones educativas. 10 de marzo de 2025. Disponible en: </w:t>
      </w:r>
      <w:hyperlink r:id="rId7">
        <w:r w:rsidDel="00000000" w:rsidR="00000000" w:rsidRPr="00000000">
          <w:rPr>
            <w:rFonts w:ascii="Garamond" w:cs="Garamond" w:eastAsia="Garamond" w:hAnsi="Garamond"/>
            <w:color w:val="1155cc"/>
            <w:sz w:val="20"/>
            <w:szCs w:val="20"/>
            <w:u w:val="single"/>
            <w:rtl w:val="0"/>
          </w:rPr>
          <w:t xml:space="preserve">https://www.lahora.com.ec/archivo/Daniel-Noboa-no-permitira-ideologia-de-genero-en-textos-o-instituciones-educativas-20250311-0002.html</w:t>
        </w:r>
      </w:hyperlink>
      <w:r w:rsidDel="00000000" w:rsidR="00000000" w:rsidRPr="00000000">
        <w:rPr>
          <w:rFonts w:ascii="Garamond" w:cs="Garamond" w:eastAsia="Garamond" w:hAnsi="Garamond"/>
          <w:sz w:val="20"/>
          <w:szCs w:val="20"/>
          <w:rtl w:val="0"/>
        </w:rPr>
        <w:t xml:space="preserve"> </w:t>
      </w:r>
    </w:p>
  </w:footnote>
  <w:footnote w:id="35">
    <w:p w:rsidR="00000000" w:rsidDel="00000000" w:rsidP="00000000" w:rsidRDefault="00000000" w:rsidRPr="00000000" w14:paraId="000000AE">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Garamond" w:cs="Garamond" w:eastAsia="Garamond" w:hAnsi="Garamond"/>
          <w:sz w:val="20"/>
          <w:szCs w:val="20"/>
          <w:rtl w:val="0"/>
        </w:rPr>
        <w:t xml:space="preserve">DNews. El Ministerio de Educación rechaza implementar acciones basadas en ideologías de género. 27 de febrero de 2025. Disponible en: </w:t>
      </w:r>
      <w:hyperlink r:id="rId8">
        <w:r w:rsidDel="00000000" w:rsidR="00000000" w:rsidRPr="00000000">
          <w:rPr>
            <w:rFonts w:ascii="Garamond" w:cs="Garamond" w:eastAsia="Garamond" w:hAnsi="Garamond"/>
            <w:color w:val="1155cc"/>
            <w:sz w:val="20"/>
            <w:szCs w:val="20"/>
            <w:u w:val="single"/>
            <w:rtl w:val="0"/>
          </w:rPr>
          <w:t xml:space="preserve">https://www.youtube.com/watch?v=MbLCn_ktVV8</w:t>
        </w:r>
      </w:hyperlink>
      <w:r w:rsidDel="00000000" w:rsidR="00000000" w:rsidRPr="00000000">
        <w:rPr>
          <w:rFonts w:ascii="Garamond" w:cs="Garamond" w:eastAsia="Garamond" w:hAnsi="Garamond"/>
          <w:sz w:val="20"/>
          <w:szCs w:val="20"/>
          <w:rtl w:val="0"/>
        </w:rPr>
        <w:t xml:space="preserve"> </w:t>
      </w:r>
    </w:p>
  </w:footnote>
  <w:footnote w:id="3">
    <w:p w:rsidR="00000000" w:rsidDel="00000000" w:rsidP="00000000" w:rsidRDefault="00000000" w:rsidRPr="00000000" w14:paraId="000000AF">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Corte Constitucional del Ecuador. Sentencia 184-18-SEP-CC.</w:t>
      </w:r>
    </w:p>
  </w:footnote>
  <w:footnote w:id="10">
    <w:p w:rsidR="00000000" w:rsidDel="00000000" w:rsidP="00000000" w:rsidRDefault="00000000" w:rsidRPr="00000000" w14:paraId="000000B0">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Ministerio del Trabajo del Ecuador. Acuerdo Ministerial No.MDT-2017-0082. 2017.</w:t>
      </w:r>
    </w:p>
  </w:footnote>
  <w:footnote w:id="11">
    <w:p w:rsidR="00000000" w:rsidDel="00000000" w:rsidP="00000000" w:rsidRDefault="00000000" w:rsidRPr="00000000" w14:paraId="000000B1">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Ministerio del Trabajo del Ecuador. Acuerdo Ministerial No.MDT-2025-102. 2025.</w:t>
      </w:r>
    </w:p>
  </w:footnote>
  <w:footnote w:id="15">
    <w:p w:rsidR="00000000" w:rsidDel="00000000" w:rsidP="00000000" w:rsidRDefault="00000000" w:rsidRPr="00000000" w14:paraId="000000B2">
      <w:pPr>
        <w:spacing w:line="240" w:lineRule="auto"/>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Municipio del Distrito Metropolitano de Quito. Ordenanza 240. 2007.</w:t>
      </w:r>
    </w:p>
  </w:footnote>
  <w:footnote w:id="16">
    <w:p w:rsidR="00000000" w:rsidDel="00000000" w:rsidP="00000000" w:rsidRDefault="00000000" w:rsidRPr="00000000" w14:paraId="000000B3">
      <w:pPr>
        <w:spacing w:line="240" w:lineRule="auto"/>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Municipio del Distrito Metropolitano de Quito. Ordenanzas 554. 2014.</w:t>
      </w:r>
    </w:p>
  </w:footnote>
  <w:footnote w:id="21">
    <w:p w:rsidR="00000000" w:rsidDel="00000000" w:rsidP="00000000" w:rsidRDefault="00000000" w:rsidRPr="00000000" w14:paraId="000000B4">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Garamond" w:cs="Garamond" w:eastAsia="Garamond" w:hAnsi="Garamond"/>
          <w:sz w:val="20"/>
          <w:szCs w:val="20"/>
          <w:rtl w:val="0"/>
        </w:rPr>
        <w:t xml:space="preserve">Ministerio de Salud Pública. Acuerdo Ministerial No.00085-2025. 2024. Disponible en: </w:t>
      </w:r>
      <w:hyperlink r:id="rId9">
        <w:r w:rsidDel="00000000" w:rsidR="00000000" w:rsidRPr="00000000">
          <w:rPr>
            <w:rFonts w:ascii="Garamond" w:cs="Garamond" w:eastAsia="Garamond" w:hAnsi="Garamond"/>
            <w:color w:val="1155cc"/>
            <w:sz w:val="20"/>
            <w:szCs w:val="20"/>
            <w:u w:val="single"/>
            <w:rtl w:val="0"/>
          </w:rPr>
          <w:t xml:space="preserve">Acuerdo-MSP_Manual-Atencion-Integral-Personas-Sexo-Genericas.pdf</w:t>
        </w:r>
      </w:hyperlink>
      <w:r w:rsidDel="00000000" w:rsidR="00000000" w:rsidRPr="00000000">
        <w:rPr>
          <w:rtl w:val="0"/>
        </w:rPr>
      </w:r>
    </w:p>
  </w:footnote>
  <w:footnote w:id="25">
    <w:p w:rsidR="00000000" w:rsidDel="00000000" w:rsidP="00000000" w:rsidRDefault="00000000" w:rsidRPr="00000000" w14:paraId="000000B5">
      <w:pPr>
        <w:spacing w:line="240" w:lineRule="auto"/>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GK. El caso de Estrella Estévez, explicado. 2022. </w:t>
      </w:r>
      <w:hyperlink r:id="rId10">
        <w:r w:rsidDel="00000000" w:rsidR="00000000" w:rsidRPr="00000000">
          <w:rPr>
            <w:rFonts w:ascii="Garamond" w:cs="Garamond" w:eastAsia="Garamond" w:hAnsi="Garamond"/>
            <w:color w:val="1155cc"/>
            <w:sz w:val="20"/>
            <w:szCs w:val="20"/>
            <w:u w:val="single"/>
            <w:rtl w:val="0"/>
          </w:rPr>
          <w:t xml:space="preserve">https://gk.city/2022/03/24/estrella-estevez-caso-explicado/</w:t>
        </w:r>
      </w:hyperlink>
      <w:r w:rsidDel="00000000" w:rsidR="00000000" w:rsidRPr="00000000">
        <w:rPr>
          <w:rFonts w:ascii="Garamond" w:cs="Garamond" w:eastAsia="Garamond" w:hAnsi="Garamond"/>
          <w:sz w:val="20"/>
          <w:szCs w:val="20"/>
          <w:rtl w:val="0"/>
        </w:rPr>
        <w:t xml:space="preserve"> </w:t>
      </w:r>
    </w:p>
  </w:footnote>
  <w:footnote w:id="29">
    <w:p w:rsidR="00000000" w:rsidDel="00000000" w:rsidP="00000000" w:rsidRDefault="00000000" w:rsidRPr="00000000" w14:paraId="000000B6">
      <w:pPr>
        <w:spacing w:line="240" w:lineRule="auto"/>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INREDH. Corazón borrado; Las secuelas que causan los centros de «deshomosexualización». 2023. https://inredh.org/corazon-borrado-las-secuelas-que-causan-los-centros-de-deshomosexualizacion/</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E">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2200275</wp:posOffset>
          </wp:positionH>
          <wp:positionV relativeFrom="paragraph">
            <wp:posOffset>-266699</wp:posOffset>
          </wp:positionV>
          <wp:extent cx="773759" cy="666750"/>
          <wp:effectExtent b="0" l="0" r="0" t="0"/>
          <wp:wrapNone/>
          <wp:docPr id="2" name="image2.png"/>
          <a:graphic>
            <a:graphicData uri="http://schemas.openxmlformats.org/drawingml/2006/picture">
              <pic:pic>
                <pic:nvPicPr>
                  <pic:cNvPr id="0" name="image2.png"/>
                  <pic:cNvPicPr preferRelativeResize="0"/>
                </pic:nvPicPr>
                <pic:blipFill>
                  <a:blip r:embed="rId1"/>
                  <a:srcRect b="-15714" l="0" r="0" t="15714"/>
                  <a:stretch>
                    <a:fillRect/>
                  </a:stretch>
                </pic:blipFill>
                <pic:spPr>
                  <a:xfrm>
                    <a:off x="0" y="0"/>
                    <a:ext cx="773759" cy="666750"/>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3105150</wp:posOffset>
          </wp:positionH>
          <wp:positionV relativeFrom="paragraph">
            <wp:posOffset>-342899</wp:posOffset>
          </wp:positionV>
          <wp:extent cx="998783" cy="663575"/>
          <wp:effectExtent b="0" l="0" r="0" t="0"/>
          <wp:wrapNone/>
          <wp:docPr id="3"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998783" cy="66357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2.xml"/><Relationship Id="rId10" Type="http://schemas.openxmlformats.org/officeDocument/2006/relationships/header" Target="head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unito-regular.ttf"/><Relationship Id="rId6" Type="http://schemas.openxmlformats.org/officeDocument/2006/relationships/font" Target="fonts/Nunito-bold.ttf"/><Relationship Id="rId7" Type="http://schemas.openxmlformats.org/officeDocument/2006/relationships/font" Target="fonts/Nunito-italic.ttf"/><Relationship Id="rId8" Type="http://schemas.openxmlformats.org/officeDocument/2006/relationships/font" Target="fonts/Nunito-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doi.org/10.18235/0005026" TargetMode="External"/><Relationship Id="rId2" Type="http://schemas.openxmlformats.org/officeDocument/2006/relationships/hyperlink" Target="https://edicion111.com/2021/12/28/dos-anos-de-espera-para-inscribir-a-su-hija/" TargetMode="External"/><Relationship Id="rId3" Type="http://schemas.openxmlformats.org/officeDocument/2006/relationships/hyperlink" Target="https://colombiadiversa.org/publicacion/acceso-a-la-salud-para-personas-trans-en-america-latina/" TargetMode="External"/><Relationship Id="rId4" Type="http://schemas.openxmlformats.org/officeDocument/2006/relationships/hyperlink" Target="https://www.ecuavisa.com/noticias/sociedad/personas-trans-ecuador-empleo-EE5776644" TargetMode="External"/><Relationship Id="rId10" Type="http://schemas.openxmlformats.org/officeDocument/2006/relationships/hyperlink" Target="https://gk.city/2022/03/24/estrella-estevez-caso-explicado/" TargetMode="External"/><Relationship Id="rId9" Type="http://schemas.openxmlformats.org/officeDocument/2006/relationships/hyperlink" Target="https://www.congope.gob.ec/wp-content/uploads/2024/12/Acuerdo-MSP_Manual-Atencion-Integral-Personas-Sexo-Genericas.pdf" TargetMode="External"/><Relationship Id="rId5" Type="http://schemas.openxmlformats.org/officeDocument/2006/relationships/hyperlink" Target="https://edicion111.com/2025/08/18/los-suicidios-que-quedan-en-el-closet-a-causa-de-la-omision-estatal/" TargetMode="External"/><Relationship Id="rId6" Type="http://schemas.openxmlformats.org/officeDocument/2006/relationships/hyperlink" Target="https://www.elcomercio.com/actualidad/politica/la-candidata-presidencial-luisa-gonzalez-rechaza-el-cambio-de-sexo-en-menores-en-ecuador/" TargetMode="External"/><Relationship Id="rId7" Type="http://schemas.openxmlformats.org/officeDocument/2006/relationships/hyperlink" Target="https://www.lahora.com.ec/archivo/Daniel-Noboa-no-permitira-ideologia-de-genero-en-textos-o-instituciones-educativas-20250311-0002.html" TargetMode="External"/><Relationship Id="rId8" Type="http://schemas.openxmlformats.org/officeDocument/2006/relationships/hyperlink" Target="https://www.youtube.com/watch?v=MbLCn_ktVV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