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1ADC82" w14:textId="361D8DD9" w:rsidR="00D9796D" w:rsidRDefault="00613E2B" w:rsidP="009F2EFF">
      <w:pPr>
        <w:pStyle w:val="Nadpis1"/>
        <w:jc w:val="both"/>
      </w:pPr>
      <w:bookmarkStart w:id="0" w:name="_GoBack"/>
      <w:bookmarkEnd w:id="0"/>
      <w:r>
        <w:rPr>
          <w:lang w:bidi="en-GB"/>
        </w:rPr>
        <w:t>WRITTEN SUBMISSION FOR THE 92</w:t>
      </w:r>
      <w:r w:rsidR="005A2BC4">
        <w:rPr>
          <w:lang w:bidi="en-GB"/>
        </w:rPr>
        <w:t>nd</w:t>
      </w:r>
      <w:r>
        <w:rPr>
          <w:lang w:bidi="en-GB"/>
        </w:rPr>
        <w:t xml:space="preserve"> SESSION OF THE COMMITTEE ON THE ELIMINATION OF DISCRIMINATION AGAINST WOMEN REGARDING THE CZECH REPUBLIC</w:t>
      </w:r>
    </w:p>
    <w:p w14:paraId="5243ACA5" w14:textId="77777777" w:rsidR="00613E2B" w:rsidRDefault="00613E2B" w:rsidP="009F2EFF">
      <w:pPr>
        <w:sectPr w:rsidR="00613E2B" w:rsidSect="008C3233">
          <w:headerReference w:type="default" r:id="rId8"/>
          <w:pgSz w:w="11906" w:h="16838"/>
          <w:pgMar w:top="1701" w:right="1440" w:bottom="1440" w:left="1440" w:header="658" w:footer="709" w:gutter="0"/>
          <w:cols w:space="708"/>
          <w:vAlign w:val="center"/>
          <w:docGrid w:linePitch="360"/>
        </w:sectPr>
      </w:pPr>
    </w:p>
    <w:sdt>
      <w:sdtPr>
        <w:rPr>
          <w:rFonts w:asciiTheme="minorHAnsi" w:eastAsiaTheme="minorHAnsi" w:hAnsiTheme="minorHAnsi" w:cstheme="minorHAnsi"/>
          <w:i/>
          <w:iCs/>
          <w:color w:val="auto"/>
          <w:sz w:val="20"/>
          <w:szCs w:val="20"/>
          <w:lang w:eastAsia="en-US"/>
        </w:rPr>
        <w:id w:val="-322813482"/>
        <w:docPartObj>
          <w:docPartGallery w:val="Table of Contents"/>
          <w:docPartUnique/>
        </w:docPartObj>
      </w:sdtPr>
      <w:sdtEndPr>
        <w:rPr>
          <w:b/>
          <w:bCs/>
        </w:rPr>
      </w:sdtEndPr>
      <w:sdtContent>
        <w:p w14:paraId="67F1AB0A" w14:textId="71F4B784" w:rsidR="001A7231" w:rsidRPr="00E23C76" w:rsidRDefault="000D11DD" w:rsidP="002F002C">
          <w:pPr>
            <w:pStyle w:val="Nadpisobsahu"/>
            <w:spacing w:after="240"/>
            <w:ind w:left="-284" w:firstLine="142"/>
            <w:rPr>
              <w:b/>
              <w:color w:val="008576"/>
              <w:sz w:val="22"/>
              <w:szCs w:val="22"/>
            </w:rPr>
          </w:pPr>
          <w:r w:rsidRPr="00E23C76">
            <w:rPr>
              <w:b/>
              <w:color w:val="008576"/>
              <w:sz w:val="22"/>
              <w:szCs w:val="22"/>
              <w:lang w:bidi="en-GB"/>
            </w:rPr>
            <w:t>Table of contents</w:t>
          </w:r>
        </w:p>
        <w:p w14:paraId="65CA7F60" w14:textId="09D04A22" w:rsidR="003A5877" w:rsidRPr="00E23C76" w:rsidRDefault="00BA4638">
          <w:pPr>
            <w:pStyle w:val="Obsah2"/>
            <w:tabs>
              <w:tab w:val="right" w:leader="dot" w:pos="9016"/>
            </w:tabs>
            <w:rPr>
              <w:rFonts w:eastAsiaTheme="minorEastAsia" w:cstheme="minorBidi"/>
              <w:i w:val="0"/>
              <w:iCs w:val="0"/>
              <w:noProof/>
              <w:sz w:val="22"/>
              <w:szCs w:val="22"/>
              <w:lang w:val="cs-CZ" w:eastAsia="cs-CZ"/>
            </w:rPr>
          </w:pPr>
          <w:r w:rsidRPr="00E23C76">
            <w:rPr>
              <w:b/>
              <w:i w:val="0"/>
              <w:sz w:val="22"/>
              <w:szCs w:val="22"/>
              <w:lang w:bidi="en-GB"/>
            </w:rPr>
            <w:fldChar w:fldCharType="begin"/>
          </w:r>
          <w:r w:rsidRPr="00E23C76">
            <w:rPr>
              <w:b/>
              <w:i w:val="0"/>
              <w:sz w:val="22"/>
              <w:szCs w:val="22"/>
              <w:lang w:bidi="en-GB"/>
            </w:rPr>
            <w:instrText xml:space="preserve"> TOC \o "2-2" \t "záhlaví-kontakt;1" </w:instrText>
          </w:r>
          <w:r w:rsidRPr="00E23C76">
            <w:rPr>
              <w:b/>
              <w:i w:val="0"/>
              <w:sz w:val="22"/>
              <w:szCs w:val="22"/>
              <w:lang w:bidi="en-GB"/>
            </w:rPr>
            <w:fldChar w:fldCharType="separate"/>
          </w:r>
          <w:r w:rsidR="003A5877" w:rsidRPr="00E23C76">
            <w:rPr>
              <w:noProof/>
              <w:sz w:val="22"/>
              <w:szCs w:val="22"/>
              <w:lang w:bidi="en-GB"/>
            </w:rPr>
            <w:t>Introduction</w:t>
          </w:r>
          <w:r w:rsidR="003A5877" w:rsidRPr="00E23C76">
            <w:rPr>
              <w:noProof/>
              <w:sz w:val="22"/>
              <w:szCs w:val="22"/>
            </w:rPr>
            <w:tab/>
          </w:r>
          <w:r w:rsidR="003A5877" w:rsidRPr="00E23C76">
            <w:rPr>
              <w:noProof/>
              <w:sz w:val="22"/>
              <w:szCs w:val="22"/>
            </w:rPr>
            <w:fldChar w:fldCharType="begin"/>
          </w:r>
          <w:r w:rsidR="003A5877" w:rsidRPr="00E23C76">
            <w:rPr>
              <w:noProof/>
              <w:sz w:val="22"/>
              <w:szCs w:val="22"/>
            </w:rPr>
            <w:instrText xml:space="preserve"> PAGEREF _Toc218516885 \h </w:instrText>
          </w:r>
          <w:r w:rsidR="003A5877" w:rsidRPr="00E23C76">
            <w:rPr>
              <w:noProof/>
              <w:sz w:val="22"/>
              <w:szCs w:val="22"/>
            </w:rPr>
          </w:r>
          <w:r w:rsidR="003A5877" w:rsidRPr="00E23C76">
            <w:rPr>
              <w:noProof/>
              <w:sz w:val="22"/>
              <w:szCs w:val="22"/>
            </w:rPr>
            <w:fldChar w:fldCharType="separate"/>
          </w:r>
          <w:r w:rsidR="003A5877" w:rsidRPr="00E23C76">
            <w:rPr>
              <w:noProof/>
              <w:sz w:val="22"/>
              <w:szCs w:val="22"/>
            </w:rPr>
            <w:t>1</w:t>
          </w:r>
          <w:r w:rsidR="003A5877" w:rsidRPr="00E23C76">
            <w:rPr>
              <w:noProof/>
              <w:sz w:val="22"/>
              <w:szCs w:val="22"/>
            </w:rPr>
            <w:fldChar w:fldCharType="end"/>
          </w:r>
        </w:p>
        <w:p w14:paraId="248564D0" w14:textId="624F73E7"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A.</w:t>
          </w:r>
          <w:r w:rsidRPr="00E23C76">
            <w:rPr>
              <w:rFonts w:eastAsiaTheme="minorEastAsia" w:cstheme="minorBidi"/>
              <w:i w:val="0"/>
              <w:iCs w:val="0"/>
              <w:noProof/>
              <w:sz w:val="22"/>
              <w:szCs w:val="22"/>
              <w:lang w:val="cs-CZ" w:eastAsia="cs-CZ"/>
            </w:rPr>
            <w:tab/>
          </w:r>
          <w:r w:rsidRPr="00E23C76">
            <w:rPr>
              <w:noProof/>
              <w:sz w:val="22"/>
              <w:szCs w:val="22"/>
              <w:lang w:bidi="en-GB"/>
            </w:rPr>
            <w:t>Insufficient assessment of the impact of legislation on gender equality (Articles 2 and 3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_Toc218516886 \h </w:instrText>
          </w:r>
          <w:r w:rsidRPr="00E23C76">
            <w:rPr>
              <w:noProof/>
              <w:sz w:val="22"/>
              <w:szCs w:val="22"/>
            </w:rPr>
          </w:r>
          <w:r w:rsidRPr="00E23C76">
            <w:rPr>
              <w:noProof/>
              <w:sz w:val="22"/>
              <w:szCs w:val="22"/>
            </w:rPr>
            <w:fldChar w:fldCharType="separate"/>
          </w:r>
          <w:r w:rsidRPr="00E23C76">
            <w:rPr>
              <w:noProof/>
              <w:sz w:val="22"/>
              <w:szCs w:val="22"/>
            </w:rPr>
            <w:t>2</w:t>
          </w:r>
          <w:r w:rsidRPr="00E23C76">
            <w:rPr>
              <w:noProof/>
              <w:sz w:val="22"/>
              <w:szCs w:val="22"/>
            </w:rPr>
            <w:fldChar w:fldCharType="end"/>
          </w:r>
        </w:p>
        <w:p w14:paraId="2C79385C" w14:textId="13B53E0B"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B.</w:t>
          </w:r>
          <w:r w:rsidRPr="00E23C76">
            <w:rPr>
              <w:rFonts w:eastAsiaTheme="minorEastAsia" w:cstheme="minorBidi"/>
              <w:i w:val="0"/>
              <w:iCs w:val="0"/>
              <w:noProof/>
              <w:sz w:val="22"/>
              <w:szCs w:val="22"/>
              <w:lang w:val="cs-CZ" w:eastAsia="cs-CZ"/>
            </w:rPr>
            <w:tab/>
          </w:r>
          <w:r w:rsidRPr="00E23C76">
            <w:rPr>
              <w:noProof/>
              <w:sz w:val="22"/>
              <w:szCs w:val="22"/>
              <w:lang w:bidi="en-GB"/>
            </w:rPr>
            <w:t>Number of anti-discrimination claims brought by women and their success rate (Article 2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_Toc218516887 \h </w:instrText>
          </w:r>
          <w:r w:rsidRPr="00E23C76">
            <w:rPr>
              <w:noProof/>
              <w:sz w:val="22"/>
              <w:szCs w:val="22"/>
            </w:rPr>
          </w:r>
          <w:r w:rsidRPr="00E23C76">
            <w:rPr>
              <w:noProof/>
              <w:sz w:val="22"/>
              <w:szCs w:val="22"/>
            </w:rPr>
            <w:fldChar w:fldCharType="separate"/>
          </w:r>
          <w:r w:rsidRPr="00E23C76">
            <w:rPr>
              <w:noProof/>
              <w:sz w:val="22"/>
              <w:szCs w:val="22"/>
            </w:rPr>
            <w:t>2</w:t>
          </w:r>
          <w:r w:rsidRPr="00E23C76">
            <w:rPr>
              <w:noProof/>
              <w:sz w:val="22"/>
              <w:szCs w:val="22"/>
            </w:rPr>
            <w:fldChar w:fldCharType="end"/>
          </w:r>
        </w:p>
        <w:p w14:paraId="4173EF1F" w14:textId="4B0D2F10"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C.</w:t>
          </w:r>
          <w:r w:rsidRPr="00E23C76">
            <w:rPr>
              <w:rFonts w:eastAsiaTheme="minorEastAsia" w:cstheme="minorBidi"/>
              <w:i w:val="0"/>
              <w:iCs w:val="0"/>
              <w:noProof/>
              <w:sz w:val="22"/>
              <w:szCs w:val="22"/>
              <w:lang w:val="cs-CZ" w:eastAsia="cs-CZ"/>
            </w:rPr>
            <w:tab/>
          </w:r>
          <w:r w:rsidRPr="00E23C76">
            <w:rPr>
              <w:noProof/>
              <w:sz w:val="22"/>
              <w:szCs w:val="22"/>
              <w:lang w:bidi="en-GB"/>
            </w:rPr>
            <w:t>Insufficient funding for non-profit organisations assisting victims of crime (Articles 2, 5 and 6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_Toc218516888 \h </w:instrText>
          </w:r>
          <w:r w:rsidRPr="00E23C76">
            <w:rPr>
              <w:noProof/>
              <w:sz w:val="22"/>
              <w:szCs w:val="22"/>
            </w:rPr>
          </w:r>
          <w:r w:rsidRPr="00E23C76">
            <w:rPr>
              <w:noProof/>
              <w:sz w:val="22"/>
              <w:szCs w:val="22"/>
            </w:rPr>
            <w:fldChar w:fldCharType="separate"/>
          </w:r>
          <w:r w:rsidRPr="00E23C76">
            <w:rPr>
              <w:noProof/>
              <w:sz w:val="22"/>
              <w:szCs w:val="22"/>
            </w:rPr>
            <w:t>3</w:t>
          </w:r>
          <w:r w:rsidRPr="00E23C76">
            <w:rPr>
              <w:noProof/>
              <w:sz w:val="22"/>
              <w:szCs w:val="22"/>
            </w:rPr>
            <w:fldChar w:fldCharType="end"/>
          </w:r>
        </w:p>
        <w:p w14:paraId="17A95FF7" w14:textId="47797BCF"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D.</w:t>
          </w:r>
          <w:r w:rsidRPr="00E23C76">
            <w:rPr>
              <w:rFonts w:eastAsiaTheme="minorEastAsia" w:cstheme="minorBidi"/>
              <w:i w:val="0"/>
              <w:iCs w:val="0"/>
              <w:noProof/>
              <w:sz w:val="22"/>
              <w:szCs w:val="22"/>
              <w:lang w:val="cs-CZ" w:eastAsia="cs-CZ"/>
            </w:rPr>
            <w:tab/>
          </w:r>
          <w:r w:rsidRPr="00E23C76">
            <w:rPr>
              <w:noProof/>
              <w:sz w:val="22"/>
              <w:szCs w:val="22"/>
              <w:lang w:bidi="en-GB"/>
            </w:rPr>
            <w:t>Status of migrant women, detention of families with children (Articles 3 and 6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_Toc218516889 \h </w:instrText>
          </w:r>
          <w:r w:rsidRPr="00E23C76">
            <w:rPr>
              <w:noProof/>
              <w:sz w:val="22"/>
              <w:szCs w:val="22"/>
            </w:rPr>
          </w:r>
          <w:r w:rsidRPr="00E23C76">
            <w:rPr>
              <w:noProof/>
              <w:sz w:val="22"/>
              <w:szCs w:val="22"/>
            </w:rPr>
            <w:fldChar w:fldCharType="separate"/>
          </w:r>
          <w:r w:rsidRPr="00E23C76">
            <w:rPr>
              <w:noProof/>
              <w:sz w:val="22"/>
              <w:szCs w:val="22"/>
            </w:rPr>
            <w:t>4</w:t>
          </w:r>
          <w:r w:rsidRPr="00E23C76">
            <w:rPr>
              <w:noProof/>
              <w:sz w:val="22"/>
              <w:szCs w:val="22"/>
            </w:rPr>
            <w:fldChar w:fldCharType="end"/>
          </w:r>
        </w:p>
        <w:p w14:paraId="57D34931" w14:textId="6D087BA4"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E.</w:t>
          </w:r>
          <w:r w:rsidRPr="00E23C76">
            <w:rPr>
              <w:rFonts w:eastAsiaTheme="minorEastAsia" w:cstheme="minorBidi"/>
              <w:i w:val="0"/>
              <w:iCs w:val="0"/>
              <w:noProof/>
              <w:sz w:val="22"/>
              <w:szCs w:val="22"/>
              <w:lang w:val="cs-CZ" w:eastAsia="cs-CZ"/>
            </w:rPr>
            <w:tab/>
          </w:r>
          <w:r w:rsidRPr="00E23C76">
            <w:rPr>
              <w:noProof/>
              <w:sz w:val="22"/>
              <w:szCs w:val="22"/>
              <w:lang w:bidi="en-GB"/>
            </w:rPr>
            <w:t>Impact of maternity and parenthood on the employment of women (Article 11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_Toc218516890 \h </w:instrText>
          </w:r>
          <w:r w:rsidRPr="00E23C76">
            <w:rPr>
              <w:noProof/>
              <w:sz w:val="22"/>
              <w:szCs w:val="22"/>
            </w:rPr>
          </w:r>
          <w:r w:rsidRPr="00E23C76">
            <w:rPr>
              <w:noProof/>
              <w:sz w:val="22"/>
              <w:szCs w:val="22"/>
            </w:rPr>
            <w:fldChar w:fldCharType="separate"/>
          </w:r>
          <w:r w:rsidRPr="00E23C76">
            <w:rPr>
              <w:noProof/>
              <w:sz w:val="22"/>
              <w:szCs w:val="22"/>
            </w:rPr>
            <w:t>5</w:t>
          </w:r>
          <w:r w:rsidRPr="00E23C76">
            <w:rPr>
              <w:noProof/>
              <w:sz w:val="22"/>
              <w:szCs w:val="22"/>
            </w:rPr>
            <w:fldChar w:fldCharType="end"/>
          </w:r>
        </w:p>
        <w:p w14:paraId="5FABBB0F" w14:textId="2FA51131"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F.</w:t>
          </w:r>
          <w:r w:rsidRPr="00E23C76">
            <w:rPr>
              <w:rFonts w:eastAsiaTheme="minorEastAsia" w:cstheme="minorBidi"/>
              <w:i w:val="0"/>
              <w:iCs w:val="0"/>
              <w:noProof/>
              <w:sz w:val="22"/>
              <w:szCs w:val="22"/>
              <w:lang w:val="cs-CZ" w:eastAsia="cs-CZ"/>
            </w:rPr>
            <w:tab/>
          </w:r>
          <w:r w:rsidRPr="00E23C76">
            <w:rPr>
              <w:noProof/>
              <w:sz w:val="22"/>
              <w:szCs w:val="22"/>
              <w:lang w:bidi="en-GB"/>
            </w:rPr>
            <w:t>Impact of unavailable support on women carers (Articles 11, 13 and 14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_Toc218516891 \h </w:instrText>
          </w:r>
          <w:r w:rsidRPr="00E23C76">
            <w:rPr>
              <w:noProof/>
              <w:sz w:val="22"/>
              <w:szCs w:val="22"/>
            </w:rPr>
          </w:r>
          <w:r w:rsidRPr="00E23C76">
            <w:rPr>
              <w:noProof/>
              <w:sz w:val="22"/>
              <w:szCs w:val="22"/>
            </w:rPr>
            <w:fldChar w:fldCharType="separate"/>
          </w:r>
          <w:r w:rsidRPr="00E23C76">
            <w:rPr>
              <w:noProof/>
              <w:sz w:val="22"/>
              <w:szCs w:val="22"/>
            </w:rPr>
            <w:t>7</w:t>
          </w:r>
          <w:r w:rsidRPr="00E23C76">
            <w:rPr>
              <w:noProof/>
              <w:sz w:val="22"/>
              <w:szCs w:val="22"/>
            </w:rPr>
            <w:fldChar w:fldCharType="end"/>
          </w:r>
        </w:p>
        <w:p w14:paraId="5A341B9E" w14:textId="3ABA4DE1"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G.</w:t>
          </w:r>
          <w:r w:rsidRPr="00E23C76">
            <w:rPr>
              <w:rFonts w:eastAsiaTheme="minorEastAsia" w:cstheme="minorBidi"/>
              <w:i w:val="0"/>
              <w:iCs w:val="0"/>
              <w:noProof/>
              <w:sz w:val="22"/>
              <w:szCs w:val="22"/>
              <w:lang w:val="cs-CZ" w:eastAsia="cs-CZ"/>
            </w:rPr>
            <w:tab/>
          </w:r>
          <w:r w:rsidRPr="00E23C76">
            <w:rPr>
              <w:noProof/>
              <w:sz w:val="22"/>
              <w:szCs w:val="22"/>
              <w:lang w:bidi="en-GB"/>
            </w:rPr>
            <w:t>ME/CFS – women’s access to health care and social support (Articles 11 and 12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_Toc218516892 \h </w:instrText>
          </w:r>
          <w:r w:rsidRPr="00E23C76">
            <w:rPr>
              <w:noProof/>
              <w:sz w:val="22"/>
              <w:szCs w:val="22"/>
            </w:rPr>
          </w:r>
          <w:r w:rsidRPr="00E23C76">
            <w:rPr>
              <w:noProof/>
              <w:sz w:val="22"/>
              <w:szCs w:val="22"/>
            </w:rPr>
            <w:fldChar w:fldCharType="separate"/>
          </w:r>
          <w:r w:rsidRPr="00E23C76">
            <w:rPr>
              <w:noProof/>
              <w:sz w:val="22"/>
              <w:szCs w:val="22"/>
            </w:rPr>
            <w:t>8</w:t>
          </w:r>
          <w:r w:rsidRPr="00E23C76">
            <w:rPr>
              <w:noProof/>
              <w:sz w:val="22"/>
              <w:szCs w:val="22"/>
            </w:rPr>
            <w:fldChar w:fldCharType="end"/>
          </w:r>
        </w:p>
        <w:p w14:paraId="1C146F31" w14:textId="53459130"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H.</w:t>
          </w:r>
          <w:r w:rsidRPr="00E23C76">
            <w:rPr>
              <w:rFonts w:eastAsiaTheme="minorEastAsia" w:cstheme="minorBidi"/>
              <w:i w:val="0"/>
              <w:iCs w:val="0"/>
              <w:noProof/>
              <w:sz w:val="22"/>
              <w:szCs w:val="22"/>
              <w:lang w:val="cs-CZ" w:eastAsia="cs-CZ"/>
            </w:rPr>
            <w:tab/>
          </w:r>
          <w:r w:rsidRPr="00E23C76">
            <w:rPr>
              <w:noProof/>
              <w:sz w:val="22"/>
              <w:szCs w:val="22"/>
              <w:lang w:bidi="en-GB"/>
            </w:rPr>
            <w:t>Mental health of girls and young women and lack of access to health care (Article 12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_Toc218516893 \h </w:instrText>
          </w:r>
          <w:r w:rsidRPr="00E23C76">
            <w:rPr>
              <w:noProof/>
              <w:sz w:val="22"/>
              <w:szCs w:val="22"/>
            </w:rPr>
          </w:r>
          <w:r w:rsidRPr="00E23C76">
            <w:rPr>
              <w:noProof/>
              <w:sz w:val="22"/>
              <w:szCs w:val="22"/>
            </w:rPr>
            <w:fldChar w:fldCharType="separate"/>
          </w:r>
          <w:r w:rsidRPr="00E23C76">
            <w:rPr>
              <w:noProof/>
              <w:sz w:val="22"/>
              <w:szCs w:val="22"/>
            </w:rPr>
            <w:t>9</w:t>
          </w:r>
          <w:r w:rsidRPr="00E23C76">
            <w:rPr>
              <w:noProof/>
              <w:sz w:val="22"/>
              <w:szCs w:val="22"/>
            </w:rPr>
            <w:fldChar w:fldCharType="end"/>
          </w:r>
        </w:p>
        <w:p w14:paraId="56FA68C4" w14:textId="0E5FCF1B"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I.</w:t>
          </w:r>
          <w:r w:rsidRPr="00E23C76">
            <w:rPr>
              <w:rFonts w:eastAsiaTheme="minorEastAsia" w:cstheme="minorBidi"/>
              <w:i w:val="0"/>
              <w:iCs w:val="0"/>
              <w:noProof/>
              <w:sz w:val="22"/>
              <w:szCs w:val="22"/>
              <w:lang w:val="cs-CZ" w:eastAsia="cs-CZ"/>
            </w:rPr>
            <w:tab/>
          </w:r>
          <w:r w:rsidRPr="00E23C76">
            <w:rPr>
              <w:noProof/>
              <w:sz w:val="22"/>
              <w:szCs w:val="22"/>
              <w:lang w:bidi="en-GB"/>
            </w:rPr>
            <w:t>Health care in connection with pregnancy and childbirth (Article 12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_Toc218516894 \h </w:instrText>
          </w:r>
          <w:r w:rsidRPr="00E23C76">
            <w:rPr>
              <w:noProof/>
              <w:sz w:val="22"/>
              <w:szCs w:val="22"/>
            </w:rPr>
          </w:r>
          <w:r w:rsidRPr="00E23C76">
            <w:rPr>
              <w:noProof/>
              <w:sz w:val="22"/>
              <w:szCs w:val="22"/>
            </w:rPr>
            <w:fldChar w:fldCharType="separate"/>
          </w:r>
          <w:r w:rsidRPr="00E23C76">
            <w:rPr>
              <w:noProof/>
              <w:sz w:val="22"/>
              <w:szCs w:val="22"/>
            </w:rPr>
            <w:t>10</w:t>
          </w:r>
          <w:r w:rsidRPr="00E23C76">
            <w:rPr>
              <w:noProof/>
              <w:sz w:val="22"/>
              <w:szCs w:val="22"/>
            </w:rPr>
            <w:fldChar w:fldCharType="end"/>
          </w:r>
        </w:p>
        <w:p w14:paraId="5F92095C" w14:textId="4A7AFD7C" w:rsidR="003A5877" w:rsidRPr="00E23C76" w:rsidRDefault="003A5877">
          <w:pPr>
            <w:pStyle w:val="Obsah2"/>
            <w:tabs>
              <w:tab w:val="right" w:leader="dot" w:pos="9016"/>
            </w:tabs>
            <w:rPr>
              <w:rFonts w:eastAsiaTheme="minorEastAsia" w:cstheme="minorBidi"/>
              <w:i w:val="0"/>
              <w:iCs w:val="0"/>
              <w:noProof/>
              <w:sz w:val="22"/>
              <w:szCs w:val="22"/>
              <w:lang w:val="cs-CZ" w:eastAsia="cs-CZ"/>
            </w:rPr>
          </w:pPr>
          <w:r w:rsidRPr="00E23C76">
            <w:rPr>
              <w:noProof/>
              <w:sz w:val="22"/>
              <w:szCs w:val="22"/>
            </w:rPr>
            <w:t>J.</w:t>
          </w:r>
          <w:r w:rsidRPr="00E23C76">
            <w:rPr>
              <w:rFonts w:eastAsiaTheme="minorEastAsia" w:cstheme="minorBidi"/>
              <w:i w:val="0"/>
              <w:iCs w:val="0"/>
              <w:noProof/>
              <w:sz w:val="22"/>
              <w:szCs w:val="22"/>
              <w:lang w:val="cs-CZ" w:eastAsia="cs-CZ"/>
            </w:rPr>
            <w:tab/>
          </w:r>
          <w:r w:rsidRPr="00E23C76">
            <w:rPr>
              <w:noProof/>
              <w:sz w:val="22"/>
              <w:szCs w:val="22"/>
              <w:lang w:bidi="en-GB"/>
            </w:rPr>
            <w:t>Compensation for unlawful sterilisations (Article 12 of the Convention)</w:t>
          </w:r>
          <w:r w:rsidRPr="00E23C76">
            <w:rPr>
              <w:noProof/>
              <w:sz w:val="22"/>
              <w:szCs w:val="22"/>
            </w:rPr>
            <w:tab/>
          </w:r>
          <w:r w:rsidRPr="00E23C76">
            <w:rPr>
              <w:noProof/>
              <w:sz w:val="22"/>
              <w:szCs w:val="22"/>
            </w:rPr>
            <w:fldChar w:fldCharType="begin"/>
          </w:r>
          <w:r w:rsidRPr="00E23C76">
            <w:rPr>
              <w:noProof/>
              <w:sz w:val="22"/>
              <w:szCs w:val="22"/>
            </w:rPr>
            <w:instrText xml:space="preserve"> PAGEREF _Toc218516895 \h </w:instrText>
          </w:r>
          <w:r w:rsidRPr="00E23C76">
            <w:rPr>
              <w:noProof/>
              <w:sz w:val="22"/>
              <w:szCs w:val="22"/>
            </w:rPr>
          </w:r>
          <w:r w:rsidRPr="00E23C76">
            <w:rPr>
              <w:noProof/>
              <w:sz w:val="22"/>
              <w:szCs w:val="22"/>
            </w:rPr>
            <w:fldChar w:fldCharType="separate"/>
          </w:r>
          <w:r w:rsidRPr="00E23C76">
            <w:rPr>
              <w:noProof/>
              <w:sz w:val="22"/>
              <w:szCs w:val="22"/>
            </w:rPr>
            <w:t>11</w:t>
          </w:r>
          <w:r w:rsidRPr="00E23C76">
            <w:rPr>
              <w:noProof/>
              <w:sz w:val="22"/>
              <w:szCs w:val="22"/>
            </w:rPr>
            <w:fldChar w:fldCharType="end"/>
          </w:r>
        </w:p>
        <w:p w14:paraId="04DB6069" w14:textId="629FD398" w:rsidR="000D11DD" w:rsidRDefault="00BA4638" w:rsidP="00BA4638">
          <w:pPr>
            <w:pStyle w:val="Obsah2"/>
            <w:tabs>
              <w:tab w:val="right" w:pos="9016"/>
            </w:tabs>
          </w:pPr>
          <w:r w:rsidRPr="00E23C76">
            <w:rPr>
              <w:b/>
              <w:i w:val="0"/>
              <w:sz w:val="22"/>
              <w:szCs w:val="22"/>
              <w:lang w:bidi="en-GB"/>
            </w:rPr>
            <w:fldChar w:fldCharType="end"/>
          </w:r>
        </w:p>
      </w:sdtContent>
    </w:sdt>
    <w:p w14:paraId="1C967090" w14:textId="77777777" w:rsidR="003D7104" w:rsidRDefault="003D7104" w:rsidP="001A7231">
      <w:pPr>
        <w:ind w:left="-142" w:firstLine="142"/>
        <w:sectPr w:rsidR="003D7104" w:rsidSect="008C3233">
          <w:pgSz w:w="11906" w:h="16838"/>
          <w:pgMar w:top="1701" w:right="1440" w:bottom="1440" w:left="1440" w:header="658" w:footer="709" w:gutter="0"/>
          <w:cols w:space="708"/>
          <w:docGrid w:linePitch="360"/>
        </w:sectPr>
      </w:pPr>
    </w:p>
    <w:p w14:paraId="75C13496" w14:textId="298D3F8B" w:rsidR="000664AC" w:rsidRPr="00C22F3E" w:rsidRDefault="00407DD0" w:rsidP="00BE1718">
      <w:pPr>
        <w:pStyle w:val="Styl1"/>
        <w:ind w:left="0" w:firstLine="0"/>
      </w:pPr>
      <w:bookmarkStart w:id="1" w:name="_Toc218516885"/>
      <w:r>
        <w:rPr>
          <w:lang w:bidi="en-GB"/>
        </w:rPr>
        <w:lastRenderedPageBreak/>
        <w:t>Introduction</w:t>
      </w:r>
      <w:bookmarkEnd w:id="1"/>
    </w:p>
    <w:p w14:paraId="4E727388" w14:textId="49E8580E" w:rsidR="005944FA" w:rsidRPr="00D9371F" w:rsidRDefault="005944FA" w:rsidP="005944FA">
      <w:pPr>
        <w:pStyle w:val="Zkladntext"/>
        <w:spacing w:line="360" w:lineRule="auto"/>
        <w:ind w:left="0" w:firstLine="0"/>
      </w:pPr>
      <w:r w:rsidRPr="00D9371F">
        <w:rPr>
          <w:lang w:bidi="en-GB"/>
        </w:rPr>
        <w:t>The Public Defender of Rights of the Czech Republic (the “Ombudsman”) is an independent institution established by Act No. 349/1999 Coll., on the Public Defender of Rights and the Defender of Children’s Rights. Since July 2025, the Ombudsman has been executing the mandate of the National Human Rights Institution and his deputy has been acting as the Children’s Ombudsman.</w:t>
      </w:r>
    </w:p>
    <w:p w14:paraId="17C70625" w14:textId="1CE6402B" w:rsidR="005944FA" w:rsidRDefault="006D681C" w:rsidP="005944FA">
      <w:pPr>
        <w:pStyle w:val="Zkladntext"/>
        <w:spacing w:line="360" w:lineRule="auto"/>
        <w:ind w:left="0" w:firstLine="0"/>
      </w:pPr>
      <w:r>
        <w:rPr>
          <w:lang w:bidi="en-GB"/>
        </w:rPr>
        <w:t>T</w:t>
      </w:r>
      <w:r w:rsidR="005944FA" w:rsidRPr="0086177F">
        <w:rPr>
          <w:lang w:bidi="en-GB"/>
        </w:rPr>
        <w:t>he Ombudsman deals with cases of unlawful action and neglect of public authorities and carries out other mandates. These include the protection of persons deprived of liberty or dependent on care against ill-treatment, supervision of the detention of foreigners and the execution of expulsions, equal treatment and protection against discrimination, ensuring the right of EU citizens and their family members to free movement, and the protection of the rights of persons with disabilities.</w:t>
      </w:r>
    </w:p>
    <w:p w14:paraId="6ED0C898" w14:textId="5B70E82D" w:rsidR="00BC2535" w:rsidRPr="00D9371F" w:rsidRDefault="00BC2535" w:rsidP="009F2EFF">
      <w:pPr>
        <w:pStyle w:val="Zkladntext"/>
        <w:spacing w:line="360" w:lineRule="auto"/>
        <w:ind w:left="0" w:firstLine="0"/>
      </w:pPr>
      <w:r w:rsidRPr="00D9371F">
        <w:rPr>
          <w:lang w:bidi="en-GB"/>
        </w:rPr>
        <w:t xml:space="preserve">This submission </w:t>
      </w:r>
      <w:r w:rsidR="00DE037E">
        <w:rPr>
          <w:lang w:bidi="en-GB"/>
        </w:rPr>
        <w:t>takes</w:t>
      </w:r>
      <w:r w:rsidRPr="00D9371F">
        <w:rPr>
          <w:lang w:bidi="en-GB"/>
        </w:rPr>
        <w:t xml:space="preserve"> into account the report of the Czech Republic (CEDAW/C/CZE/7), the Committee’s list of issues (CEDAW/C/CZE/Q/7) and the Czech Republic’s replies to the list of issues (CEDAW/C/CZE/RQ/7).</w:t>
      </w:r>
      <w:r w:rsidR="00E23C76">
        <w:rPr>
          <w:lang w:bidi="en-GB"/>
        </w:rPr>
        <w:t xml:space="preserve"> </w:t>
      </w:r>
      <w:r w:rsidR="00F15D79">
        <w:rPr>
          <w:lang w:bidi="en-GB"/>
        </w:rPr>
        <w:t xml:space="preserve">It provides </w:t>
      </w:r>
      <w:r w:rsidR="004C4F02" w:rsidRPr="004C4F02">
        <w:rPr>
          <w:lang w:bidi="en-GB"/>
        </w:rPr>
        <w:t xml:space="preserve">an independent perspective on the key issues that impact the implementation of the Convention, drawing on the Ombudsman’s findings and insights. It </w:t>
      </w:r>
      <w:r w:rsidR="00F15D79">
        <w:rPr>
          <w:lang w:bidi="en-GB"/>
        </w:rPr>
        <w:t>includes</w:t>
      </w:r>
      <w:r w:rsidR="004C4F02" w:rsidRPr="004C4F02">
        <w:rPr>
          <w:lang w:bidi="en-GB"/>
        </w:rPr>
        <w:t xml:space="preserve"> recommendations to </w:t>
      </w:r>
      <w:r w:rsidR="00F15D79">
        <w:rPr>
          <w:lang w:bidi="en-GB"/>
        </w:rPr>
        <w:t>strengthen</w:t>
      </w:r>
      <w:r w:rsidR="004C4F02" w:rsidRPr="004C4F02">
        <w:rPr>
          <w:lang w:bidi="en-GB"/>
        </w:rPr>
        <w:t xml:space="preserve"> compliance with the Convention and the protection of women’s rights in practice.</w:t>
      </w:r>
    </w:p>
    <w:p w14:paraId="23835C43" w14:textId="05F19D0C" w:rsidR="00BC2535" w:rsidRDefault="00BC2535" w:rsidP="009F2EFF">
      <w:pPr>
        <w:pStyle w:val="Zkladntext"/>
        <w:spacing w:line="360" w:lineRule="auto"/>
      </w:pPr>
    </w:p>
    <w:p w14:paraId="4D469DAB" w14:textId="26863276" w:rsidR="00460A3F" w:rsidRDefault="00460A3F" w:rsidP="009F2EFF">
      <w:pPr>
        <w:pStyle w:val="Zkladntext"/>
        <w:spacing w:line="360" w:lineRule="auto"/>
      </w:pPr>
    </w:p>
    <w:p w14:paraId="054A94D0" w14:textId="6F7E203B" w:rsidR="00BC2535" w:rsidRDefault="00BC2535" w:rsidP="009F2EFF"/>
    <w:p w14:paraId="54A75B3D" w14:textId="3CA65D5E" w:rsidR="00BC2535" w:rsidRDefault="00BC2535" w:rsidP="009F2EFF"/>
    <w:p w14:paraId="5558ACA0" w14:textId="77777777" w:rsidR="00BC2535" w:rsidRDefault="00BC2535" w:rsidP="009F2EFF"/>
    <w:p w14:paraId="1CA9B6FC" w14:textId="35DDAAC1" w:rsidR="003D477F" w:rsidRDefault="003D477F" w:rsidP="009F2EFF"/>
    <w:p w14:paraId="59F56405" w14:textId="07A96D01" w:rsidR="00014D32" w:rsidRPr="00110ED2" w:rsidRDefault="00014D32" w:rsidP="00797885">
      <w:pPr>
        <w:pStyle w:val="Nadpis2"/>
      </w:pPr>
      <w:bookmarkStart w:id="2" w:name="_Toc218516886"/>
      <w:r w:rsidRPr="00110ED2">
        <w:rPr>
          <w:lang w:bidi="en-GB"/>
        </w:rPr>
        <w:lastRenderedPageBreak/>
        <w:t>Insufficient assessment of the impact of legislation on gender equality (Articles 2 and 3 of the Convention)</w:t>
      </w:r>
      <w:bookmarkEnd w:id="2"/>
      <w:r w:rsidRPr="00110ED2">
        <w:rPr>
          <w:lang w:bidi="en-GB"/>
        </w:rPr>
        <w:t xml:space="preserve">  </w:t>
      </w:r>
    </w:p>
    <w:p w14:paraId="5D964277" w14:textId="7E4891F6" w:rsidR="00014D32" w:rsidRPr="00A53279" w:rsidRDefault="00014D32" w:rsidP="00500170">
      <w:pPr>
        <w:pStyle w:val="Odstavecseseznamem"/>
        <w:numPr>
          <w:ilvl w:val="0"/>
          <w:numId w:val="6"/>
        </w:numPr>
        <w:rPr>
          <w:rFonts w:eastAsia="Times New Roman" w:cs="Calibri"/>
          <w:szCs w:val="23"/>
          <w:lang w:eastAsia="cs-CZ"/>
        </w:rPr>
      </w:pPr>
      <w:r w:rsidRPr="00A53279">
        <w:rPr>
          <w:rFonts w:eastAsia="Times New Roman" w:cs="Calibri"/>
          <w:szCs w:val="23"/>
          <w:lang w:bidi="en-GB"/>
        </w:rPr>
        <w:t xml:space="preserve">Although gender impact assessments (GIAs) are mandatory for legislative drafts presented in the Czech Republic, these are mostly formalistic or are not carried out at all. Many of the legislative drafts adopted in response to various crises during the period under review (the Covid-19 pandemic, the energy and inflation crises, among others), which demonstrably had a greater negative impact on women, were not properly assessed. </w:t>
      </w:r>
      <w:r w:rsidR="00500170" w:rsidRPr="00500170">
        <w:rPr>
          <w:rFonts w:eastAsia="Times New Roman" w:cs="Calibri"/>
          <w:szCs w:val="23"/>
          <w:lang w:bidi="en-GB"/>
        </w:rPr>
        <w:t xml:space="preserve">This may lead to insufficient measures to address the risks of </w:t>
      </w:r>
      <w:r w:rsidR="00500170">
        <w:rPr>
          <w:rFonts w:eastAsia="Times New Roman" w:cs="Calibri"/>
          <w:szCs w:val="23"/>
          <w:lang w:bidi="en-GB"/>
        </w:rPr>
        <w:t>widening</w:t>
      </w:r>
      <w:r w:rsidR="00500170" w:rsidRPr="00500170">
        <w:rPr>
          <w:rFonts w:eastAsia="Times New Roman" w:cs="Calibri"/>
          <w:szCs w:val="23"/>
          <w:lang w:bidi="en-GB"/>
        </w:rPr>
        <w:t xml:space="preserve"> or </w:t>
      </w:r>
      <w:r w:rsidR="00500170">
        <w:rPr>
          <w:rFonts w:eastAsia="Times New Roman" w:cs="Calibri"/>
          <w:szCs w:val="23"/>
          <w:lang w:bidi="en-GB"/>
        </w:rPr>
        <w:t>maintaining</w:t>
      </w:r>
      <w:r w:rsidR="00500170" w:rsidRPr="00500170">
        <w:rPr>
          <w:rFonts w:eastAsia="Times New Roman" w:cs="Calibri"/>
          <w:szCs w:val="23"/>
          <w:lang w:bidi="en-GB"/>
        </w:rPr>
        <w:t xml:space="preserve"> inequalities</w:t>
      </w:r>
      <w:r w:rsidRPr="00A53279">
        <w:rPr>
          <w:rFonts w:eastAsia="Times New Roman" w:cs="Calibri"/>
          <w:szCs w:val="23"/>
          <w:lang w:bidi="en-GB"/>
        </w:rPr>
        <w:t xml:space="preserve"> </w:t>
      </w:r>
      <w:r w:rsidR="00500170">
        <w:rPr>
          <w:rFonts w:eastAsia="Times New Roman" w:cs="Calibri"/>
          <w:szCs w:val="23"/>
          <w:lang w:bidi="en-GB"/>
        </w:rPr>
        <w:t>in the draft legislation</w:t>
      </w:r>
      <w:r w:rsidRPr="00A53279">
        <w:rPr>
          <w:rFonts w:eastAsia="Times New Roman" w:cs="Calibri"/>
          <w:szCs w:val="23"/>
          <w:lang w:bidi="en-GB"/>
        </w:rPr>
        <w:t xml:space="preserve">. </w:t>
      </w:r>
    </w:p>
    <w:p w14:paraId="6880C4A4" w14:textId="77777777" w:rsidR="00014D32" w:rsidRPr="00110ED2" w:rsidRDefault="00014D32" w:rsidP="009F2EFF">
      <w:pPr>
        <w:keepNext/>
        <w:spacing w:before="360" w:after="120"/>
        <w:contextualSpacing/>
        <w:outlineLvl w:val="2"/>
        <w:rPr>
          <w:rFonts w:eastAsia="Times New Roman" w:cs="Calibri"/>
          <w:b/>
          <w:i/>
          <w:color w:val="008576"/>
          <w:szCs w:val="23"/>
        </w:rPr>
      </w:pPr>
      <w:r w:rsidRPr="00110ED2">
        <w:rPr>
          <w:rFonts w:eastAsia="Times New Roman" w:cs="Calibri"/>
          <w:b/>
          <w:i/>
          <w:color w:val="008576"/>
          <w:szCs w:val="23"/>
          <w:lang w:bidi="en-GB"/>
        </w:rPr>
        <w:t>Recommendations</w:t>
      </w:r>
    </w:p>
    <w:p w14:paraId="2F04B99F" w14:textId="53216BB5" w:rsidR="00014D32" w:rsidRPr="00110ED2" w:rsidRDefault="00014D32" w:rsidP="000B38ED">
      <w:pPr>
        <w:numPr>
          <w:ilvl w:val="0"/>
          <w:numId w:val="5"/>
        </w:numPr>
        <w:contextualSpacing/>
        <w:rPr>
          <w:rFonts w:eastAsia="Times New Roman" w:cs="Times New Roman"/>
        </w:rPr>
      </w:pPr>
      <w:r w:rsidRPr="00110ED2">
        <w:rPr>
          <w:rFonts w:eastAsia="Times New Roman" w:cs="Times New Roman"/>
          <w:lang w:bidi="en-GB"/>
        </w:rPr>
        <w:t>Carry out consistently proper gender impact assessments of legislative drafts.</w:t>
      </w:r>
    </w:p>
    <w:p w14:paraId="62F71526" w14:textId="67E7FE82" w:rsidR="00B85D59" w:rsidRPr="00E97AF2" w:rsidRDefault="00B85D59" w:rsidP="00797885">
      <w:pPr>
        <w:pStyle w:val="Nadpis2"/>
      </w:pPr>
      <w:bookmarkStart w:id="3" w:name="_Toc218516887"/>
      <w:r w:rsidRPr="00E97AF2">
        <w:rPr>
          <w:lang w:bidi="en-GB"/>
        </w:rPr>
        <w:t>Number of anti-discrimination claims brought by women and their success rate (Article 2 of the Convention)</w:t>
      </w:r>
      <w:bookmarkEnd w:id="3"/>
      <w:r w:rsidRPr="00E97AF2">
        <w:rPr>
          <w:lang w:bidi="en-GB"/>
        </w:rPr>
        <w:t xml:space="preserve">  </w:t>
      </w:r>
    </w:p>
    <w:p w14:paraId="3BF3479E" w14:textId="3D0D0EC1" w:rsidR="00B85D59" w:rsidRPr="00E97AF2" w:rsidRDefault="00B85D59"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In its list of issues, the Committee asked about the number of discrimination cases filed by women during the period under review and for more details on the sentences imposed on perpetrators, the reparations provided to victims and applications for exemptions from court fees (paragraph 5).</w:t>
      </w:r>
    </w:p>
    <w:p w14:paraId="7F0F590D" w14:textId="503AD1CB" w:rsidR="00B85D59" w:rsidRDefault="00B85D59"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I am currently undertaking a survey focusing on the decision-making of Czech courts on anti-discrimination disputes over the past five years. The survey report will be published in the first half of 2026. However, I already have some statistical data available.</w:t>
      </w:r>
    </w:p>
    <w:p w14:paraId="1A110013" w14:textId="41148194" w:rsidR="006D407E" w:rsidRPr="00BA6FE7" w:rsidRDefault="006D407E" w:rsidP="000B38ED">
      <w:pPr>
        <w:pStyle w:val="Zkladntext"/>
        <w:numPr>
          <w:ilvl w:val="0"/>
          <w:numId w:val="6"/>
        </w:numPr>
        <w:spacing w:line="360" w:lineRule="auto"/>
        <w:ind w:left="357" w:hanging="357"/>
        <w:rPr>
          <w:rFonts w:asciiTheme="minorHAnsi" w:hAnsiTheme="minorHAnsi" w:cstheme="minorHAnsi"/>
          <w:szCs w:val="23"/>
        </w:rPr>
      </w:pPr>
      <w:r>
        <w:rPr>
          <w:rFonts w:asciiTheme="minorHAnsi" w:hAnsiTheme="minorHAnsi" w:cstheme="minorHAnsi"/>
          <w:szCs w:val="23"/>
          <w:lang w:bidi="en-GB"/>
        </w:rPr>
        <w:t xml:space="preserve">Between </w:t>
      </w:r>
      <w:r w:rsidRPr="00A53279">
        <w:rPr>
          <w:lang w:bidi="en-GB"/>
        </w:rPr>
        <w:t xml:space="preserve">2020 and 2023, the courts issued a total of 107 first-instance decisions on discrimination claims. Of these, 46 were brought by women. However, only 5 of these claims alleged sex as a protected characteristic. Claims brought by women were fully granted in 9 cases and partially granted in 8 cases. As regards the relief awarded in these lawsuits, compensation for tangible damage was granted four times (in the average amount of EUR 2,875), compensation for intangible damage six times (in the average amount of EUR 2,638), public apologies twice, and private apologies five times (in some cases, more than one form of relief was granted). The costs of the proceedings were borne by the claimants in 21 cases </w:t>
      </w:r>
      <w:r w:rsidRPr="00A53279">
        <w:rPr>
          <w:lang w:bidi="en-GB"/>
        </w:rPr>
        <w:lastRenderedPageBreak/>
        <w:t>and by the defendants in 16 cases. The average costs of the proceedings were EUR 2,348 for the claimants and EUR 3,527 for the defendants.</w:t>
      </w:r>
    </w:p>
    <w:p w14:paraId="56070B0E" w14:textId="07B7F818" w:rsidR="00BA6FE7" w:rsidRDefault="004C030E" w:rsidP="00017409">
      <w:pPr>
        <w:pStyle w:val="Zkladntext"/>
        <w:numPr>
          <w:ilvl w:val="0"/>
          <w:numId w:val="6"/>
        </w:numPr>
        <w:spacing w:line="360" w:lineRule="auto"/>
        <w:rPr>
          <w:rFonts w:asciiTheme="minorHAnsi" w:hAnsiTheme="minorHAnsi" w:cstheme="minorHAnsi"/>
          <w:szCs w:val="23"/>
        </w:rPr>
      </w:pPr>
      <w:r>
        <w:rPr>
          <w:lang w:bidi="en-GB"/>
        </w:rPr>
        <w:t xml:space="preserve">Until 30 September 2017, the court fee for filing an anti-discrimination claim was determined as a percentage of the requested compensation for intangible damage. Following an amendment to Act No. 549/1991 Coll., on court fees, the fee for filing a claim equals EUR 41. However, anti-discrimination disputes are complicated and are rarely resolved in the first instance, and the fee for filing an appeal against the first-instance ruling in an anti-discrimination case has not changed. It continues to be determined as a percentage of the amount claimed – if </w:t>
      </w:r>
      <w:r w:rsidR="00933F33">
        <w:rPr>
          <w:lang w:bidi="en-GB"/>
        </w:rPr>
        <w:t>it is</w:t>
      </w:r>
      <w:r w:rsidR="00772617">
        <w:rPr>
          <w:lang w:bidi="en-GB"/>
        </w:rPr>
        <w:t xml:space="preserve"> more than EUR 8</w:t>
      </w:r>
      <w:r>
        <w:rPr>
          <w:lang w:bidi="en-GB"/>
        </w:rPr>
        <w:t>,223 in damages, the court fee i</w:t>
      </w:r>
      <w:r w:rsidR="00933F33">
        <w:rPr>
          <w:lang w:bidi="en-GB"/>
        </w:rPr>
        <w:t>s 1% of that</w:t>
      </w:r>
      <w:r>
        <w:rPr>
          <w:lang w:bidi="en-GB"/>
        </w:rPr>
        <w:t xml:space="preserve">. As I have long been pointing out, this </w:t>
      </w:r>
      <w:r w:rsidR="00017409" w:rsidRPr="00017409">
        <w:rPr>
          <w:lang w:bidi="en-GB"/>
        </w:rPr>
        <w:t xml:space="preserve">does </w:t>
      </w:r>
      <w:r w:rsidR="00017409">
        <w:rPr>
          <w:lang w:bidi="en-GB"/>
        </w:rPr>
        <w:t xml:space="preserve">not contribute to </w:t>
      </w:r>
      <w:r w:rsidR="00017409" w:rsidRPr="00017409">
        <w:rPr>
          <w:lang w:bidi="en-GB"/>
        </w:rPr>
        <w:t>effective protection of rights fo</w:t>
      </w:r>
      <w:r w:rsidR="00017409">
        <w:rPr>
          <w:lang w:bidi="en-GB"/>
        </w:rPr>
        <w:t>r all victims of discrimination</w:t>
      </w:r>
      <w:r>
        <w:rPr>
          <w:lang w:bidi="en-GB"/>
        </w:rPr>
        <w:t>.</w:t>
      </w:r>
      <w:r w:rsidR="00BA6FE7">
        <w:rPr>
          <w:rStyle w:val="Znakapoznpodarou"/>
          <w:rFonts w:asciiTheme="minorHAnsi" w:hAnsiTheme="minorHAnsi" w:cstheme="minorHAnsi"/>
          <w:szCs w:val="23"/>
          <w:lang w:bidi="en-GB"/>
        </w:rPr>
        <w:footnoteReference w:id="2"/>
      </w:r>
    </w:p>
    <w:p w14:paraId="281DCBE5" w14:textId="50B0817C" w:rsidR="00B85D59" w:rsidRPr="00E97AF2" w:rsidRDefault="00B85D59" w:rsidP="00797885">
      <w:pPr>
        <w:pStyle w:val="Nadpis3"/>
      </w:pPr>
      <w:r w:rsidRPr="00E97AF2">
        <w:rPr>
          <w:lang w:bidi="en-GB"/>
        </w:rPr>
        <w:t>Recommendations</w:t>
      </w:r>
    </w:p>
    <w:p w14:paraId="1A23E11E" w14:textId="5C56B58C" w:rsidR="00B85D59" w:rsidRPr="009F2EFF" w:rsidRDefault="00B85D59" w:rsidP="000B38ED">
      <w:pPr>
        <w:pStyle w:val="slovanseznam"/>
        <w:numPr>
          <w:ilvl w:val="0"/>
          <w:numId w:val="3"/>
        </w:numPr>
      </w:pPr>
      <w:r w:rsidRPr="009F2EFF">
        <w:rPr>
          <w:lang w:bidi="en-GB"/>
        </w:rPr>
        <w:t>Reduce the court fee for filing an appeal against the first-instance decision in an anti-discrimination case to the amount charged for filing an anti-discrimination claim, i.e. EUR 41.</w:t>
      </w:r>
    </w:p>
    <w:p w14:paraId="3D323969" w14:textId="4F6F750C" w:rsidR="00E4538F" w:rsidRPr="00E97AF2" w:rsidRDefault="00E4538F" w:rsidP="00797885">
      <w:pPr>
        <w:pStyle w:val="Nadpis2"/>
      </w:pPr>
      <w:bookmarkStart w:id="4" w:name="_Toc218516888"/>
      <w:r w:rsidRPr="00E97AF2">
        <w:rPr>
          <w:lang w:bidi="en-GB"/>
        </w:rPr>
        <w:t>Insufficient funding for non-profit organisations assisting victims of crime (Articles 2, 5 and 6 of the Convention)</w:t>
      </w:r>
      <w:bookmarkEnd w:id="4"/>
    </w:p>
    <w:p w14:paraId="4AD13674" w14:textId="135A2643" w:rsidR="00E4538F" w:rsidRPr="00E97AF2" w:rsidRDefault="00E4538F"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The lack of funding for organisations helping victims of crime (NGOs) has serious consequences for the position of victims of domestic and sexualised violence.</w:t>
      </w:r>
    </w:p>
    <w:p w14:paraId="5722DAA7" w14:textId="22D31A1D" w:rsidR="00E4538F" w:rsidRPr="00E97AF2" w:rsidRDefault="00E4538F"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Although the Victims of Crime Act (2013) foresaw annual subsidies of EUR 2 million, actual funding was significantly lower and was later further reduced. In 2026, a mere EUR 324,834 is planned for subsidies; this covers few of the services required (NGOs need at least double that amount to survive). There are already no NGOs operating in some regions and specialised services for victims of domestic and sexualised violence are only available in the largest metropolitan areas.</w:t>
      </w:r>
    </w:p>
    <w:p w14:paraId="6F2B22B0" w14:textId="4AAB9EC8" w:rsidR="00E4538F" w:rsidRPr="00E97AF2" w:rsidRDefault="00E4538F"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lastRenderedPageBreak/>
        <w:t>NGOs provide victims not only with counselling during criminal proceedings, but also with comprehensive services enabling to prevent secondary victimisation and to cope with the difficult situation. Insufficient funding makes it more difficult for victims to access help and it also increases the cost of aftercare for the government.</w:t>
      </w:r>
    </w:p>
    <w:p w14:paraId="64DEBAF6" w14:textId="76C79192" w:rsidR="00E4538F" w:rsidRPr="00ED2D75" w:rsidRDefault="00E4538F" w:rsidP="00797885">
      <w:pPr>
        <w:pStyle w:val="Nadpis3"/>
        <w:rPr>
          <w:highlight w:val="yellow"/>
        </w:rPr>
      </w:pPr>
      <w:r w:rsidRPr="00ED2D75">
        <w:rPr>
          <w:rStyle w:val="Siln"/>
          <w:b/>
          <w:lang w:bidi="en-GB"/>
        </w:rPr>
        <w:t>Recommendations</w:t>
      </w:r>
    </w:p>
    <w:p w14:paraId="4FB7677A" w14:textId="4A23A81F" w:rsidR="00E4538F" w:rsidRPr="009F2EFF" w:rsidRDefault="00E4538F" w:rsidP="000B38ED">
      <w:pPr>
        <w:pStyle w:val="slovanseznam"/>
        <w:numPr>
          <w:ilvl w:val="0"/>
          <w:numId w:val="8"/>
        </w:numPr>
      </w:pPr>
      <w:r w:rsidRPr="009F2EFF">
        <w:rPr>
          <w:lang w:bidi="en-GB"/>
        </w:rPr>
        <w:t>Increase the funding for the relevant subsidy title under the Victims of Crime Act to at least double the currently planned EUR 324,834 in 2026.</w:t>
      </w:r>
    </w:p>
    <w:p w14:paraId="5096672C" w14:textId="2749AD7E" w:rsidR="00E4538F" w:rsidRDefault="00E4538F" w:rsidP="00797885">
      <w:pPr>
        <w:pStyle w:val="Nadpis2"/>
      </w:pPr>
      <w:bookmarkStart w:id="5" w:name="_Toc218516889"/>
      <w:r w:rsidRPr="00987924">
        <w:rPr>
          <w:lang w:bidi="en-GB"/>
        </w:rPr>
        <w:t>Status of migrant women, detention of families with children (Articles 3 and 6 of the Convention)</w:t>
      </w:r>
      <w:bookmarkEnd w:id="5"/>
    </w:p>
    <w:p w14:paraId="3D3E687B" w14:textId="30E6D387" w:rsidR="00EB617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 xml:space="preserve">I found </w:t>
      </w:r>
      <w:r w:rsidR="002C0C84">
        <w:rPr>
          <w:rFonts w:asciiTheme="minorHAnsi" w:hAnsiTheme="minorHAnsi" w:cstheme="minorHAnsi"/>
          <w:szCs w:val="23"/>
          <w:lang w:bidi="en-GB"/>
        </w:rPr>
        <w:t xml:space="preserve">deficiencies in </w:t>
      </w:r>
      <w:r w:rsidR="00784257">
        <w:rPr>
          <w:rFonts w:asciiTheme="minorHAnsi" w:hAnsiTheme="minorHAnsi" w:cstheme="minorHAnsi"/>
          <w:szCs w:val="23"/>
          <w:lang w:bidi="en-GB"/>
        </w:rPr>
        <w:t xml:space="preserve">the </w:t>
      </w:r>
      <w:r w:rsidR="002C0C84">
        <w:rPr>
          <w:rFonts w:asciiTheme="minorHAnsi" w:hAnsiTheme="minorHAnsi" w:cstheme="minorHAnsi"/>
          <w:szCs w:val="23"/>
          <w:lang w:bidi="en-GB"/>
        </w:rPr>
        <w:t xml:space="preserve">recognition of </w:t>
      </w:r>
      <w:r w:rsidRPr="009F2EFF">
        <w:rPr>
          <w:rFonts w:asciiTheme="minorHAnsi" w:hAnsiTheme="minorHAnsi" w:cstheme="minorHAnsi"/>
          <w:szCs w:val="23"/>
          <w:lang w:bidi="en-GB"/>
        </w:rPr>
        <w:t xml:space="preserve">vulnerable </w:t>
      </w:r>
      <w:r w:rsidR="002C0C84">
        <w:rPr>
          <w:rFonts w:asciiTheme="minorHAnsi" w:hAnsiTheme="minorHAnsi" w:cstheme="minorHAnsi"/>
          <w:szCs w:val="23"/>
          <w:lang w:bidi="en-GB"/>
        </w:rPr>
        <w:t>migrant women</w:t>
      </w:r>
      <w:r w:rsidRPr="009F2EFF">
        <w:rPr>
          <w:rFonts w:asciiTheme="minorHAnsi" w:hAnsiTheme="minorHAnsi" w:cstheme="minorHAnsi"/>
          <w:szCs w:val="23"/>
          <w:lang w:bidi="en-GB"/>
        </w:rPr>
        <w:t xml:space="preserve">, such as victims of trafficking, in asylum </w:t>
      </w:r>
      <w:r w:rsidR="002C0C84">
        <w:rPr>
          <w:rFonts w:asciiTheme="minorHAnsi" w:hAnsiTheme="minorHAnsi" w:cstheme="minorHAnsi"/>
          <w:szCs w:val="23"/>
          <w:lang w:bidi="en-GB"/>
        </w:rPr>
        <w:t xml:space="preserve">and detention </w:t>
      </w:r>
      <w:r w:rsidRPr="009F2EFF">
        <w:rPr>
          <w:rFonts w:asciiTheme="minorHAnsi" w:hAnsiTheme="minorHAnsi" w:cstheme="minorHAnsi"/>
          <w:szCs w:val="23"/>
          <w:lang w:bidi="en-GB"/>
        </w:rPr>
        <w:t>procedures.</w:t>
      </w:r>
      <w:r w:rsidRPr="003D36A8">
        <w:rPr>
          <w:rFonts w:asciiTheme="minorHAnsi" w:eastAsiaTheme="minorHAnsi" w:hAnsiTheme="minorHAnsi" w:cstheme="minorBidi"/>
          <w:b/>
          <w:color w:val="008576"/>
          <w:szCs w:val="22"/>
          <w:vertAlign w:val="superscript"/>
          <w:lang w:bidi="en-GB"/>
        </w:rPr>
        <w:footnoteReference w:id="3"/>
      </w:r>
      <w:r w:rsidRPr="009F2EFF">
        <w:rPr>
          <w:rFonts w:asciiTheme="minorHAnsi" w:hAnsiTheme="minorHAnsi" w:cstheme="minorHAnsi"/>
          <w:szCs w:val="23"/>
          <w:lang w:bidi="en-GB"/>
        </w:rPr>
        <w:t xml:space="preserve"> Alternatives to detention were used only marginally for women</w:t>
      </w:r>
      <w:r w:rsidRPr="005F4330">
        <w:rPr>
          <w:rFonts w:asciiTheme="minorHAnsi" w:eastAsiaTheme="minorHAnsi" w:hAnsiTheme="minorHAnsi" w:cstheme="minorBidi"/>
          <w:b/>
          <w:color w:val="008576"/>
          <w:szCs w:val="22"/>
          <w:vertAlign w:val="superscript"/>
          <w:lang w:bidi="en-GB"/>
        </w:rPr>
        <w:footnoteReference w:id="4"/>
      </w:r>
      <w:r w:rsidRPr="009F2EFF">
        <w:rPr>
          <w:rFonts w:asciiTheme="minorHAnsi" w:hAnsiTheme="minorHAnsi" w:cstheme="minorHAnsi"/>
          <w:szCs w:val="23"/>
          <w:lang w:bidi="en-GB"/>
        </w:rPr>
        <w:t xml:space="preserve"> and families with children</w:t>
      </w:r>
      <w:r w:rsidRPr="003D36A8">
        <w:rPr>
          <w:rFonts w:asciiTheme="minorHAnsi" w:eastAsiaTheme="minorHAnsi" w:hAnsiTheme="minorHAnsi" w:cstheme="minorBidi"/>
          <w:b/>
          <w:color w:val="008576"/>
          <w:szCs w:val="22"/>
          <w:vertAlign w:val="superscript"/>
          <w:lang w:bidi="en-GB"/>
        </w:rPr>
        <w:footnoteReference w:id="5"/>
      </w:r>
      <w:r w:rsidR="002C0C84">
        <w:rPr>
          <w:rFonts w:asciiTheme="minorHAnsi" w:hAnsiTheme="minorHAnsi" w:cstheme="minorHAnsi"/>
          <w:szCs w:val="23"/>
          <w:lang w:bidi="en-GB"/>
        </w:rPr>
        <w:t>,</w:t>
      </w:r>
      <w:r w:rsidRPr="003D36A8">
        <w:rPr>
          <w:rFonts w:asciiTheme="minorHAnsi" w:eastAsiaTheme="minorHAnsi" w:hAnsiTheme="minorHAnsi" w:cstheme="minorBidi"/>
          <w:b/>
          <w:color w:val="008576"/>
          <w:szCs w:val="22"/>
          <w:vertAlign w:val="superscript"/>
          <w:lang w:bidi="en-GB"/>
        </w:rPr>
        <w:footnoteReference w:id="6"/>
      </w:r>
      <w:r w:rsidR="002C0C84">
        <w:rPr>
          <w:rFonts w:asciiTheme="minorHAnsi" w:hAnsiTheme="minorHAnsi" w:cstheme="minorHAnsi"/>
          <w:szCs w:val="23"/>
          <w:lang w:bidi="en-GB"/>
        </w:rPr>
        <w:t>.</w:t>
      </w:r>
      <w:r w:rsidRPr="009F2EFF">
        <w:rPr>
          <w:rFonts w:asciiTheme="minorHAnsi" w:hAnsiTheme="minorHAnsi" w:cstheme="minorHAnsi"/>
          <w:szCs w:val="23"/>
          <w:lang w:bidi="en-GB"/>
        </w:rPr>
        <w:t xml:space="preserve"> </w:t>
      </w:r>
      <w:r w:rsidR="002C0C84">
        <w:rPr>
          <w:rFonts w:asciiTheme="minorHAnsi" w:hAnsiTheme="minorHAnsi" w:cstheme="minorHAnsi"/>
          <w:szCs w:val="23"/>
          <w:lang w:bidi="en-GB"/>
        </w:rPr>
        <w:t xml:space="preserve">A </w:t>
      </w:r>
      <w:r w:rsidRPr="009F2EFF">
        <w:rPr>
          <w:rFonts w:asciiTheme="minorHAnsi" w:hAnsiTheme="minorHAnsi" w:cstheme="minorHAnsi"/>
          <w:szCs w:val="23"/>
          <w:lang w:bidi="en-GB"/>
        </w:rPr>
        <w:t xml:space="preserve">working group </w:t>
      </w:r>
      <w:r w:rsidR="002C0C84">
        <w:rPr>
          <w:rFonts w:asciiTheme="minorHAnsi" w:hAnsiTheme="minorHAnsi" w:cstheme="minorHAnsi"/>
          <w:szCs w:val="23"/>
          <w:lang w:bidi="en-GB"/>
        </w:rPr>
        <w:t xml:space="preserve">decided </w:t>
      </w:r>
      <w:r w:rsidRPr="009F2EFF">
        <w:rPr>
          <w:rFonts w:asciiTheme="minorHAnsi" w:hAnsiTheme="minorHAnsi" w:cstheme="minorHAnsi"/>
          <w:szCs w:val="23"/>
          <w:lang w:bidi="en-GB"/>
        </w:rPr>
        <w:t>to create a pilot programme in this regard</w:t>
      </w:r>
      <w:r w:rsidR="009B0CCD">
        <w:rPr>
          <w:rFonts w:asciiTheme="minorHAnsi" w:hAnsiTheme="minorHAnsi" w:cstheme="minorHAnsi"/>
          <w:szCs w:val="23"/>
          <w:lang w:bidi="en-GB"/>
        </w:rPr>
        <w:t>;</w:t>
      </w:r>
      <w:r w:rsidR="002C0C84">
        <w:rPr>
          <w:rFonts w:asciiTheme="minorHAnsi" w:hAnsiTheme="minorHAnsi" w:cstheme="minorHAnsi"/>
          <w:szCs w:val="23"/>
          <w:lang w:bidi="en-GB"/>
        </w:rPr>
        <w:t xml:space="preserve"> however, it was not</w:t>
      </w:r>
      <w:r w:rsidRPr="009F2EFF">
        <w:rPr>
          <w:rFonts w:asciiTheme="minorHAnsi" w:hAnsiTheme="minorHAnsi" w:cstheme="minorHAnsi"/>
          <w:szCs w:val="23"/>
          <w:lang w:bidi="en-GB"/>
        </w:rPr>
        <w:t xml:space="preserve"> launched as of December 2025.</w:t>
      </w:r>
    </w:p>
    <w:p w14:paraId="4F12FBEA" w14:textId="663833C6" w:rsidR="00EB617F" w:rsidRPr="00987C13" w:rsidRDefault="00987C13" w:rsidP="00987C13">
      <w:pPr>
        <w:pStyle w:val="Zkladntext"/>
        <w:numPr>
          <w:ilvl w:val="0"/>
          <w:numId w:val="6"/>
        </w:numPr>
        <w:spacing w:line="360" w:lineRule="auto"/>
        <w:ind w:left="357" w:hanging="357"/>
        <w:rPr>
          <w:rFonts w:asciiTheme="minorHAnsi" w:hAnsiTheme="minorHAnsi" w:cstheme="minorHAnsi"/>
          <w:szCs w:val="23"/>
        </w:rPr>
      </w:pPr>
      <w:r w:rsidRPr="00987C13">
        <w:rPr>
          <w:rFonts w:asciiTheme="minorHAnsi" w:hAnsiTheme="minorHAnsi" w:cstheme="minorHAnsi"/>
          <w:szCs w:val="23"/>
          <w:lang w:bidi="en-GB"/>
        </w:rPr>
        <w:t>Identification of child victims</w:t>
      </w:r>
      <w:r>
        <w:rPr>
          <w:rFonts w:asciiTheme="minorHAnsi" w:hAnsiTheme="minorHAnsi" w:cstheme="minorHAnsi"/>
          <w:szCs w:val="23"/>
          <w:lang w:bidi="en-GB"/>
        </w:rPr>
        <w:t xml:space="preserve"> of trafficking</w:t>
      </w:r>
      <w:r w:rsidRPr="00987C13">
        <w:rPr>
          <w:rFonts w:asciiTheme="minorHAnsi" w:hAnsiTheme="minorHAnsi" w:cstheme="minorHAnsi"/>
          <w:szCs w:val="23"/>
          <w:lang w:bidi="en-GB"/>
        </w:rPr>
        <w:t xml:space="preserve"> remains insufficient.</w:t>
      </w:r>
      <w:r w:rsidRPr="003D36A8">
        <w:rPr>
          <w:rFonts w:asciiTheme="minorHAnsi" w:eastAsiaTheme="minorHAnsi" w:hAnsiTheme="minorHAnsi" w:cstheme="minorBidi"/>
          <w:b/>
          <w:color w:val="008576"/>
          <w:szCs w:val="22"/>
          <w:vertAlign w:val="superscript"/>
          <w:lang w:bidi="en-GB"/>
        </w:rPr>
        <w:footnoteReference w:id="7"/>
      </w:r>
      <w:r>
        <w:rPr>
          <w:rFonts w:asciiTheme="minorHAnsi" w:hAnsiTheme="minorHAnsi" w:cstheme="minorHAnsi"/>
          <w:szCs w:val="23"/>
          <w:lang w:bidi="en-GB"/>
        </w:rPr>
        <w:t xml:space="preserve"> </w:t>
      </w:r>
      <w:r w:rsidR="002C0C84">
        <w:rPr>
          <w:rFonts w:asciiTheme="minorHAnsi" w:hAnsiTheme="minorHAnsi" w:cstheme="minorHAnsi"/>
          <w:szCs w:val="23"/>
          <w:lang w:bidi="en-GB"/>
        </w:rPr>
        <w:t>Child v</w:t>
      </w:r>
      <w:r w:rsidR="00E4538F" w:rsidRPr="009F2EFF">
        <w:rPr>
          <w:rFonts w:asciiTheme="minorHAnsi" w:hAnsiTheme="minorHAnsi" w:cstheme="minorHAnsi"/>
          <w:szCs w:val="23"/>
          <w:lang w:bidi="en-GB"/>
        </w:rPr>
        <w:t>ictims can be accommodated in the Facility for Children of Foreign Nationals</w:t>
      </w:r>
      <w:r>
        <w:rPr>
          <w:rFonts w:asciiTheme="minorHAnsi" w:hAnsiTheme="minorHAnsi" w:cstheme="minorHAnsi"/>
          <w:szCs w:val="23"/>
          <w:lang w:bidi="en-GB"/>
        </w:rPr>
        <w:t>, which,</w:t>
      </w:r>
      <w:r w:rsidR="00E4538F" w:rsidRPr="009F2EFF">
        <w:rPr>
          <w:rFonts w:asciiTheme="minorHAnsi" w:hAnsiTheme="minorHAnsi" w:cstheme="minorHAnsi"/>
          <w:szCs w:val="23"/>
          <w:lang w:bidi="en-GB"/>
        </w:rPr>
        <w:t xml:space="preserve"> however</w:t>
      </w:r>
      <w:r>
        <w:rPr>
          <w:rFonts w:asciiTheme="minorHAnsi" w:hAnsiTheme="minorHAnsi" w:cstheme="minorHAnsi"/>
          <w:szCs w:val="23"/>
          <w:lang w:bidi="en-GB"/>
        </w:rPr>
        <w:t>,</w:t>
      </w:r>
      <w:r w:rsidR="00E4538F" w:rsidRPr="009F2EFF">
        <w:rPr>
          <w:rFonts w:asciiTheme="minorHAnsi" w:hAnsiTheme="minorHAnsi" w:cstheme="minorHAnsi"/>
          <w:szCs w:val="23"/>
          <w:lang w:bidi="en-GB"/>
        </w:rPr>
        <w:t xml:space="preserve"> does not provide </w:t>
      </w:r>
      <w:r w:rsidR="002C0C84">
        <w:rPr>
          <w:rFonts w:asciiTheme="minorHAnsi" w:hAnsiTheme="minorHAnsi" w:cstheme="minorHAnsi"/>
          <w:szCs w:val="23"/>
          <w:lang w:bidi="en-GB"/>
        </w:rPr>
        <w:t xml:space="preserve">protected </w:t>
      </w:r>
      <w:r w:rsidR="00E4538F" w:rsidRPr="009F2EFF">
        <w:rPr>
          <w:rFonts w:asciiTheme="minorHAnsi" w:hAnsiTheme="minorHAnsi" w:cstheme="minorHAnsi"/>
          <w:szCs w:val="23"/>
          <w:lang w:bidi="en-GB"/>
        </w:rPr>
        <w:t xml:space="preserve">shelter. </w:t>
      </w:r>
      <w:r>
        <w:rPr>
          <w:rFonts w:asciiTheme="minorHAnsi" w:hAnsiTheme="minorHAnsi" w:cstheme="minorHAnsi"/>
          <w:szCs w:val="23"/>
          <w:lang w:bidi="en-GB"/>
        </w:rPr>
        <w:t>The</w:t>
      </w:r>
      <w:r w:rsidR="00E4538F" w:rsidRPr="009F2EFF">
        <w:rPr>
          <w:rFonts w:asciiTheme="minorHAnsi" w:hAnsiTheme="minorHAnsi" w:cstheme="minorHAnsi"/>
          <w:szCs w:val="23"/>
          <w:lang w:bidi="en-GB"/>
        </w:rPr>
        <w:t xml:space="preserve"> existing victim support programme </w:t>
      </w:r>
      <w:r w:rsidR="00E4538F" w:rsidRPr="00987C13">
        <w:rPr>
          <w:rFonts w:asciiTheme="minorHAnsi" w:hAnsiTheme="minorHAnsi" w:cstheme="minorHAnsi"/>
          <w:szCs w:val="23"/>
          <w:lang w:bidi="en-GB"/>
        </w:rPr>
        <w:t>is intended for adults only.</w:t>
      </w:r>
      <w:r w:rsidR="00E4538F" w:rsidRPr="005F4330">
        <w:rPr>
          <w:rFonts w:asciiTheme="minorHAnsi" w:eastAsiaTheme="minorHAnsi" w:hAnsiTheme="minorHAnsi" w:cstheme="minorBidi"/>
          <w:b/>
          <w:color w:val="008576"/>
          <w:szCs w:val="22"/>
          <w:vertAlign w:val="superscript"/>
          <w:lang w:bidi="en-GB"/>
        </w:rPr>
        <w:footnoteReference w:id="8"/>
      </w:r>
      <w:r w:rsidR="00E4538F" w:rsidRPr="00987C13">
        <w:rPr>
          <w:rFonts w:asciiTheme="minorHAnsi" w:eastAsiaTheme="minorHAnsi" w:hAnsiTheme="minorHAnsi" w:cstheme="minorBidi"/>
          <w:b/>
          <w:color w:val="008576"/>
          <w:szCs w:val="22"/>
          <w:vertAlign w:val="superscript"/>
          <w:lang w:bidi="en-GB"/>
        </w:rPr>
        <w:t xml:space="preserve"> </w:t>
      </w:r>
    </w:p>
    <w:p w14:paraId="39B1EE88" w14:textId="6F3104E4" w:rsidR="00E4538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Even after</w:t>
      </w:r>
      <w:r w:rsidR="000F3D19">
        <w:rPr>
          <w:rFonts w:asciiTheme="minorHAnsi" w:hAnsiTheme="minorHAnsi" w:cstheme="minorHAnsi"/>
          <w:szCs w:val="23"/>
          <w:lang w:bidi="en-GB"/>
        </w:rPr>
        <w:t xml:space="preserve"> a</w:t>
      </w:r>
      <w:r w:rsidRPr="009F2EFF">
        <w:rPr>
          <w:rFonts w:asciiTheme="minorHAnsi" w:hAnsiTheme="minorHAnsi" w:cstheme="minorHAnsi"/>
          <w:szCs w:val="23"/>
          <w:lang w:bidi="en-GB"/>
        </w:rPr>
        <w:t xml:space="preserve"> </w:t>
      </w:r>
      <w:r w:rsidR="00987C13">
        <w:rPr>
          <w:rFonts w:asciiTheme="minorHAnsi" w:hAnsiTheme="minorHAnsi" w:cstheme="minorHAnsi"/>
          <w:szCs w:val="23"/>
          <w:lang w:bidi="en-GB"/>
        </w:rPr>
        <w:t xml:space="preserve">longer stay </w:t>
      </w:r>
      <w:r w:rsidRPr="009F2EFF">
        <w:rPr>
          <w:rFonts w:asciiTheme="minorHAnsi" w:hAnsiTheme="minorHAnsi" w:cstheme="minorHAnsi"/>
          <w:szCs w:val="23"/>
          <w:lang w:bidi="en-GB"/>
        </w:rPr>
        <w:t xml:space="preserve">in the country, </w:t>
      </w:r>
      <w:r w:rsidR="00987C13">
        <w:rPr>
          <w:rFonts w:asciiTheme="minorHAnsi" w:hAnsiTheme="minorHAnsi" w:cstheme="minorHAnsi"/>
          <w:szCs w:val="23"/>
          <w:lang w:bidi="en-GB"/>
        </w:rPr>
        <w:t xml:space="preserve">Ukrainian </w:t>
      </w:r>
      <w:r w:rsidRPr="009F2EFF">
        <w:rPr>
          <w:rFonts w:asciiTheme="minorHAnsi" w:hAnsiTheme="minorHAnsi" w:cstheme="minorHAnsi"/>
          <w:szCs w:val="23"/>
          <w:lang w:bidi="en-GB"/>
        </w:rPr>
        <w:t>families with temporary protection – mostly women and children –</w:t>
      </w:r>
      <w:r w:rsidR="00987C13">
        <w:rPr>
          <w:rFonts w:asciiTheme="minorHAnsi" w:hAnsiTheme="minorHAnsi" w:cstheme="minorHAnsi"/>
          <w:szCs w:val="23"/>
          <w:lang w:bidi="en-GB"/>
        </w:rPr>
        <w:t xml:space="preserve"> </w:t>
      </w:r>
      <w:r w:rsidRPr="009F2EFF">
        <w:rPr>
          <w:rFonts w:asciiTheme="minorHAnsi" w:hAnsiTheme="minorHAnsi" w:cstheme="minorHAnsi"/>
          <w:szCs w:val="23"/>
          <w:lang w:bidi="en-GB"/>
        </w:rPr>
        <w:t xml:space="preserve">lack equal access to social protection, </w:t>
      </w:r>
      <w:r w:rsidR="00F2019A">
        <w:rPr>
          <w:rFonts w:asciiTheme="minorHAnsi" w:hAnsiTheme="minorHAnsi" w:cstheme="minorHAnsi"/>
          <w:szCs w:val="23"/>
          <w:lang w:bidi="en-GB"/>
        </w:rPr>
        <w:t>while</w:t>
      </w:r>
      <w:r w:rsidR="00F2019A" w:rsidRPr="009F2EFF">
        <w:rPr>
          <w:rFonts w:asciiTheme="minorHAnsi" w:hAnsiTheme="minorHAnsi" w:cstheme="minorHAnsi"/>
          <w:szCs w:val="23"/>
          <w:lang w:bidi="en-GB"/>
        </w:rPr>
        <w:t xml:space="preserve"> </w:t>
      </w:r>
      <w:r w:rsidRPr="009F2EFF">
        <w:rPr>
          <w:rFonts w:asciiTheme="minorHAnsi" w:hAnsiTheme="minorHAnsi" w:cstheme="minorHAnsi"/>
          <w:szCs w:val="23"/>
          <w:lang w:bidi="en-GB"/>
        </w:rPr>
        <w:t xml:space="preserve">the conditions for providing </w:t>
      </w:r>
      <w:r w:rsidRPr="009F2EFF">
        <w:rPr>
          <w:rFonts w:asciiTheme="minorHAnsi" w:hAnsiTheme="minorHAnsi" w:cstheme="minorHAnsi"/>
          <w:szCs w:val="23"/>
          <w:lang w:bidi="en-GB"/>
        </w:rPr>
        <w:lastRenderedPageBreak/>
        <w:t xml:space="preserve">humanitarian support have </w:t>
      </w:r>
      <w:r w:rsidR="00987C13">
        <w:rPr>
          <w:rFonts w:asciiTheme="minorHAnsi" w:hAnsiTheme="minorHAnsi" w:cstheme="minorHAnsi"/>
          <w:szCs w:val="23"/>
          <w:lang w:bidi="en-GB"/>
        </w:rPr>
        <w:t>tightened</w:t>
      </w:r>
      <w:r w:rsidRPr="009F2EFF">
        <w:rPr>
          <w:rFonts w:asciiTheme="minorHAnsi" w:hAnsiTheme="minorHAnsi" w:cstheme="minorHAnsi"/>
          <w:szCs w:val="23"/>
          <w:lang w:bidi="en-GB"/>
        </w:rPr>
        <w:t xml:space="preserve">. There was no functional system to identify vulnerable </w:t>
      </w:r>
      <w:r w:rsidR="00987C13">
        <w:rPr>
          <w:rFonts w:asciiTheme="minorHAnsi" w:hAnsiTheme="minorHAnsi" w:cstheme="minorHAnsi"/>
          <w:szCs w:val="23"/>
          <w:lang w:bidi="en-GB"/>
        </w:rPr>
        <w:t>separated</w:t>
      </w:r>
      <w:r w:rsidR="00987C13" w:rsidRPr="009F2EFF">
        <w:rPr>
          <w:rFonts w:asciiTheme="minorHAnsi" w:hAnsiTheme="minorHAnsi" w:cstheme="minorHAnsi"/>
          <w:szCs w:val="23"/>
          <w:lang w:bidi="en-GB"/>
        </w:rPr>
        <w:t xml:space="preserve"> </w:t>
      </w:r>
      <w:r w:rsidRPr="009F2EFF">
        <w:rPr>
          <w:rFonts w:asciiTheme="minorHAnsi" w:hAnsiTheme="minorHAnsi" w:cstheme="minorHAnsi"/>
          <w:szCs w:val="23"/>
          <w:lang w:bidi="en-GB"/>
        </w:rPr>
        <w:t>Ukrainian girls aged 15–18.</w:t>
      </w:r>
      <w:r w:rsidRPr="003D36A8">
        <w:rPr>
          <w:rFonts w:asciiTheme="minorHAnsi" w:eastAsiaTheme="minorHAnsi" w:hAnsiTheme="minorHAnsi" w:cstheme="minorBidi"/>
          <w:b/>
          <w:color w:val="008576"/>
          <w:szCs w:val="22"/>
          <w:vertAlign w:val="superscript"/>
          <w:lang w:bidi="en-GB"/>
        </w:rPr>
        <w:footnoteReference w:id="9"/>
      </w:r>
    </w:p>
    <w:p w14:paraId="7A18ABD9" w14:textId="2016350A" w:rsidR="00E4538F" w:rsidRPr="002E7F80" w:rsidRDefault="00E4538F" w:rsidP="00797885">
      <w:pPr>
        <w:pStyle w:val="Nadpis3"/>
      </w:pPr>
      <w:r w:rsidRPr="002E7F80">
        <w:rPr>
          <w:lang w:bidi="en-GB"/>
        </w:rPr>
        <w:t>Recommendations</w:t>
      </w:r>
    </w:p>
    <w:p w14:paraId="1F8598DF" w14:textId="77777777" w:rsidR="00E4538F" w:rsidRPr="002E7F80" w:rsidRDefault="00E4538F" w:rsidP="003D36A8">
      <w:pPr>
        <w:pStyle w:val="slovanseznam"/>
        <w:numPr>
          <w:ilvl w:val="0"/>
          <w:numId w:val="9"/>
        </w:numPr>
        <w:tabs>
          <w:tab w:val="left" w:pos="0"/>
          <w:tab w:val="left" w:pos="426"/>
        </w:tabs>
      </w:pPr>
      <w:r>
        <w:rPr>
          <w:lang w:bidi="en-GB"/>
        </w:rPr>
        <w:t>Improve the identification of and support for child victims of trafficking.</w:t>
      </w:r>
    </w:p>
    <w:p w14:paraId="6346725C" w14:textId="4BB1A666" w:rsidR="00E4538F" w:rsidRPr="002E7F80" w:rsidRDefault="00987C13" w:rsidP="000B38ED">
      <w:pPr>
        <w:pStyle w:val="slovanseznam"/>
        <w:numPr>
          <w:ilvl w:val="0"/>
          <w:numId w:val="9"/>
        </w:numPr>
      </w:pPr>
      <w:r>
        <w:rPr>
          <w:lang w:bidi="en-GB"/>
        </w:rPr>
        <w:t xml:space="preserve">Improve </w:t>
      </w:r>
      <w:r w:rsidR="00784257">
        <w:rPr>
          <w:lang w:bidi="en-GB"/>
        </w:rPr>
        <w:t xml:space="preserve">the </w:t>
      </w:r>
      <w:r>
        <w:rPr>
          <w:lang w:bidi="en-GB"/>
        </w:rPr>
        <w:t xml:space="preserve">recognition of </w:t>
      </w:r>
      <w:r w:rsidR="00E4538F">
        <w:rPr>
          <w:lang w:bidi="en-GB"/>
        </w:rPr>
        <w:t xml:space="preserve">vulnerable women in </w:t>
      </w:r>
      <w:r>
        <w:rPr>
          <w:lang w:bidi="en-GB"/>
        </w:rPr>
        <w:t xml:space="preserve">detention and asylum </w:t>
      </w:r>
      <w:r w:rsidR="00E4538F">
        <w:rPr>
          <w:lang w:bidi="en-GB"/>
        </w:rPr>
        <w:t>proceedings.</w:t>
      </w:r>
    </w:p>
    <w:p w14:paraId="209E1AFA" w14:textId="77777777" w:rsidR="00E4538F" w:rsidRPr="002E7F80" w:rsidRDefault="00E4538F" w:rsidP="000B38ED">
      <w:pPr>
        <w:pStyle w:val="slovanseznam"/>
        <w:numPr>
          <w:ilvl w:val="0"/>
          <w:numId w:val="9"/>
        </w:numPr>
      </w:pPr>
      <w:r>
        <w:rPr>
          <w:lang w:bidi="en-GB"/>
        </w:rPr>
        <w:t>Create functional alternatives to detention.</w:t>
      </w:r>
    </w:p>
    <w:p w14:paraId="5C91E69C" w14:textId="61444EC4" w:rsidR="000D6A9D" w:rsidRPr="000D6A9D" w:rsidRDefault="000D6A9D" w:rsidP="00797885">
      <w:pPr>
        <w:pStyle w:val="Nadpis2"/>
        <w:rPr>
          <w:rStyle w:val="pokyny"/>
          <w:color w:val="008576"/>
        </w:rPr>
      </w:pPr>
      <w:bookmarkStart w:id="6" w:name="_Toc218516890"/>
      <w:r w:rsidRPr="000D6A9D">
        <w:rPr>
          <w:rStyle w:val="pokyny"/>
          <w:color w:val="008576"/>
          <w:lang w:bidi="en-GB"/>
        </w:rPr>
        <w:t>Impact of maternity and parenthood on the employment of women (Article 11 of the Convention)</w:t>
      </w:r>
      <w:bookmarkEnd w:id="6"/>
    </w:p>
    <w:p w14:paraId="69630ADB" w14:textId="4F0A2FC6" w:rsidR="000D6A9D" w:rsidRPr="00E97AF2" w:rsidRDefault="000D6A9D"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The legislation prohibits unequal treatment on grounds of sex in employment and access to employment. In fact, however, significant inequalities persist in this area and efforts to reduce them have been unsuccessful in the long term.</w:t>
      </w:r>
    </w:p>
    <w:p w14:paraId="17A45F75" w14:textId="494D4674" w:rsidR="000D6A9D" w:rsidRPr="00E97AF2" w:rsidRDefault="000D6A9D"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 xml:space="preserve">Discrimination in employment is one of the issues most frequently raised in the submissions brought to me by women. </w:t>
      </w:r>
      <w:r w:rsidR="00F2019A">
        <w:rPr>
          <w:rFonts w:asciiTheme="minorHAnsi" w:hAnsiTheme="minorHAnsi" w:cstheme="minorHAnsi"/>
          <w:szCs w:val="23"/>
          <w:lang w:bidi="en-GB"/>
        </w:rPr>
        <w:t>T</w:t>
      </w:r>
      <w:r w:rsidRPr="00E97AF2">
        <w:rPr>
          <w:rFonts w:asciiTheme="minorHAnsi" w:hAnsiTheme="minorHAnsi" w:cstheme="minorHAnsi"/>
          <w:szCs w:val="23"/>
          <w:lang w:bidi="en-GB"/>
        </w:rPr>
        <w:t>here are recurring complaints of discrimination in recruitment, termination of employment in connection with maternity or return to employment after maternity and parental leave. On the basis of this anecdotal evidence, I decided to conduct a survey in 2023</w:t>
      </w:r>
      <w:r w:rsidR="009878F1">
        <w:rPr>
          <w:rFonts w:asciiTheme="minorHAnsi" w:hAnsiTheme="minorHAnsi" w:cstheme="minorHAnsi"/>
          <w:szCs w:val="23"/>
          <w:lang w:bidi="en-GB"/>
        </w:rPr>
        <w:t>.</w:t>
      </w:r>
      <w:r w:rsidRPr="003D36A8">
        <w:rPr>
          <w:rFonts w:asciiTheme="minorHAnsi" w:eastAsiaTheme="minorHAnsi" w:hAnsiTheme="minorHAnsi" w:cstheme="minorBidi"/>
          <w:b/>
          <w:color w:val="008576"/>
          <w:szCs w:val="22"/>
          <w:vertAlign w:val="superscript"/>
          <w:lang w:bidi="en-GB"/>
        </w:rPr>
        <w:footnoteReference w:id="10"/>
      </w:r>
    </w:p>
    <w:p w14:paraId="17EED490" w14:textId="0C405114" w:rsidR="000D6A9D" w:rsidRPr="00E97AF2" w:rsidRDefault="000D6A9D" w:rsidP="000B38ED">
      <w:pPr>
        <w:pStyle w:val="Zkladntext"/>
        <w:numPr>
          <w:ilvl w:val="0"/>
          <w:numId w:val="6"/>
        </w:numPr>
        <w:spacing w:line="360" w:lineRule="auto"/>
        <w:rPr>
          <w:rFonts w:asciiTheme="minorHAnsi" w:hAnsiTheme="minorHAnsi" w:cstheme="minorHAnsi"/>
          <w:szCs w:val="23"/>
        </w:rPr>
      </w:pPr>
      <w:r w:rsidRPr="00E97AF2">
        <w:rPr>
          <w:rFonts w:asciiTheme="minorHAnsi" w:hAnsiTheme="minorHAnsi" w:cstheme="minorHAnsi"/>
          <w:szCs w:val="23"/>
          <w:lang w:bidi="en-GB"/>
        </w:rPr>
        <w:t>I found out, among other things, that:</w:t>
      </w:r>
    </w:p>
    <w:p w14:paraId="405D4F9C" w14:textId="01CC5F03" w:rsidR="000D6A9D" w:rsidRPr="00E97AF2" w:rsidRDefault="000D6A9D" w:rsidP="00797885">
      <w:pPr>
        <w:pStyle w:val="Seznam"/>
        <w:spacing w:before="0" w:after="0" w:line="360" w:lineRule="auto"/>
        <w:ind w:left="992"/>
        <w:rPr>
          <w:rFonts w:asciiTheme="minorHAnsi" w:hAnsiTheme="minorHAnsi" w:cstheme="minorHAnsi"/>
          <w:sz w:val="23"/>
          <w:szCs w:val="23"/>
        </w:rPr>
      </w:pPr>
      <w:r w:rsidRPr="00E97AF2">
        <w:rPr>
          <w:rFonts w:asciiTheme="minorHAnsi" w:hAnsiTheme="minorHAnsi" w:cstheme="minorHAnsi"/>
          <w:sz w:val="23"/>
          <w:szCs w:val="23"/>
          <w:lang w:bidi="en-GB"/>
        </w:rPr>
        <w:t>61% of women had encountered prohibited questions in job interviews (e.g. about the number and age of their children);</w:t>
      </w:r>
    </w:p>
    <w:p w14:paraId="56C3EF75" w14:textId="005620E5" w:rsidR="000D6A9D" w:rsidRPr="00E97AF2" w:rsidRDefault="00C73740" w:rsidP="00797885">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only 30% of women would return to their original employer after maternity and parental leave, most often because they could not reconcile this employment with childcare;</w:t>
      </w:r>
    </w:p>
    <w:p w14:paraId="35C648E6" w14:textId="5D81B4FC" w:rsidR="000D6A9D" w:rsidRPr="00E97AF2" w:rsidRDefault="00C73740" w:rsidP="00797885">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one in six women had experienced a termination of employment as a result of pregnancy or maternity;</w:t>
      </w:r>
    </w:p>
    <w:p w14:paraId="12E780E4" w14:textId="3B841A6A" w:rsidR="000D6A9D" w:rsidRPr="00E97AF2" w:rsidRDefault="00C73740" w:rsidP="00797885">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lastRenderedPageBreak/>
        <w:t>in 96% of cases, women were the only ones to take parental leave, most often for financial reasons (the family could not afford the loss of the higher income of the other parent, usually the man);</w:t>
      </w:r>
    </w:p>
    <w:p w14:paraId="56485C6E" w14:textId="24AC1B18" w:rsidR="000D6A9D" w:rsidRDefault="00C73740" w:rsidP="00797885">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only 22% of women had returned to work before their child reached the age of three. One of the main barriers to returning to work earlier cited by the women was the inability to secure childcare.</w:t>
      </w:r>
    </w:p>
    <w:p w14:paraId="6904F4BF" w14:textId="3494ACE7" w:rsidR="006D407E" w:rsidRPr="00E97AF2" w:rsidRDefault="006D407E" w:rsidP="000B38ED">
      <w:pPr>
        <w:pStyle w:val="Zkladntext"/>
        <w:numPr>
          <w:ilvl w:val="0"/>
          <w:numId w:val="6"/>
        </w:numPr>
        <w:spacing w:line="360" w:lineRule="auto"/>
        <w:ind w:left="357" w:hanging="357"/>
        <w:rPr>
          <w:rFonts w:asciiTheme="minorHAnsi" w:hAnsiTheme="minorHAnsi" w:cstheme="minorHAnsi"/>
          <w:szCs w:val="23"/>
        </w:rPr>
      </w:pPr>
      <w:r>
        <w:rPr>
          <w:rFonts w:asciiTheme="minorHAnsi" w:hAnsiTheme="minorHAnsi" w:cstheme="minorHAnsi"/>
          <w:szCs w:val="23"/>
          <w:lang w:bidi="en-GB"/>
        </w:rPr>
        <w:t>The findings of this survey confirm the main known causes of the unequal position of men and women in the labour market – persistent stereotypes in the division of care and the lack of access to childcare facilities. A statutory guarantee of a place in such a facility for children from the age of three will take effect on 1 January 2026.</w:t>
      </w:r>
    </w:p>
    <w:p w14:paraId="2ED65D86" w14:textId="367216C8" w:rsidR="003D477F" w:rsidRPr="00E97AF2" w:rsidRDefault="001503A9" w:rsidP="00797885">
      <w:pPr>
        <w:pStyle w:val="Nadpis3"/>
        <w:rPr>
          <w:highlight w:val="yellow"/>
        </w:rPr>
      </w:pPr>
      <w:r w:rsidRPr="00E97AF2">
        <w:rPr>
          <w:lang w:bidi="en-GB"/>
        </w:rPr>
        <w:t>Recommendations</w:t>
      </w:r>
    </w:p>
    <w:p w14:paraId="73C427D1" w14:textId="77777777" w:rsidR="000D6A9D" w:rsidRPr="009F2EFF" w:rsidRDefault="000D6A9D" w:rsidP="000B38ED">
      <w:pPr>
        <w:pStyle w:val="slovanseznam"/>
        <w:numPr>
          <w:ilvl w:val="0"/>
          <w:numId w:val="10"/>
        </w:numPr>
      </w:pPr>
      <w:r w:rsidRPr="009F2EFF">
        <w:rPr>
          <w:lang w:bidi="en-GB"/>
        </w:rPr>
        <w:t>Introduce, as soon as possible, a guaranteed place in a childcare facility for children from the age of two, and prospectively also for children from the age of one.</w:t>
      </w:r>
    </w:p>
    <w:p w14:paraId="47387316" w14:textId="7B6E1B5C" w:rsidR="000D6A9D" w:rsidRPr="009F2EFF" w:rsidRDefault="000D6A9D" w:rsidP="000B38ED">
      <w:pPr>
        <w:pStyle w:val="slovanseznam"/>
        <w:numPr>
          <w:ilvl w:val="0"/>
          <w:numId w:val="10"/>
        </w:numPr>
      </w:pPr>
      <w:r w:rsidRPr="009F2EFF">
        <w:rPr>
          <w:lang w:bidi="en-GB"/>
        </w:rPr>
        <w:t>Introduce a non-transferable part of parental leave for the second parent (a “rotation bonus”) of a minimum duration of two months with appropriate compensation for lost earnings in accordance with Articles 5 (2) and 8 (3) of Directive (EU) 2019/1158 of the European Parliament and of the Council of 20 June 2019 on work-life balance for parents and carers.</w:t>
      </w:r>
    </w:p>
    <w:p w14:paraId="27AA22AA" w14:textId="278F1A11" w:rsidR="00E4538F" w:rsidRPr="00E97AF2" w:rsidRDefault="00E4538F" w:rsidP="00797885">
      <w:pPr>
        <w:pStyle w:val="Nadpis2"/>
      </w:pPr>
      <w:bookmarkStart w:id="7" w:name="_Toc218516891"/>
      <w:r w:rsidRPr="00E97AF2">
        <w:rPr>
          <w:lang w:bidi="en-GB"/>
        </w:rPr>
        <w:t>Impact of unavailable support on women carers (Articles 11, 13 and 14 of the Convention)</w:t>
      </w:r>
      <w:bookmarkEnd w:id="7"/>
    </w:p>
    <w:p w14:paraId="2037164B" w14:textId="6E57914E" w:rsidR="00844F7A"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The Convention on the Rights of Persons with Disabilities requires the State to ensure that people with disabilities have access to support enabling them to live independently (Article 19) and to enjoy an adequate standard of living and social protection (Article 28).</w:t>
      </w:r>
    </w:p>
    <w:p w14:paraId="439834B5" w14:textId="72BB1A49" w:rsidR="00E4538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 xml:space="preserve">The Czech Republic has long faced a shortage of outreach and non-residential social services and significant regional inequalities. Where services are lacking, care shifts to families – most </w:t>
      </w:r>
      <w:r w:rsidRPr="009F2EFF">
        <w:rPr>
          <w:rFonts w:asciiTheme="minorHAnsi" w:hAnsiTheme="minorHAnsi" w:cstheme="minorHAnsi"/>
          <w:szCs w:val="23"/>
          <w:lang w:bidi="en-GB"/>
        </w:rPr>
        <w:lastRenderedPageBreak/>
        <w:t>often to women, who make up the majority of informal carers.</w:t>
      </w:r>
      <w:r w:rsidR="00811839" w:rsidRPr="00FC3F58">
        <w:rPr>
          <w:rFonts w:asciiTheme="minorHAnsi" w:eastAsiaTheme="minorHAnsi" w:hAnsiTheme="minorHAnsi" w:cstheme="minorBidi"/>
          <w:b/>
          <w:color w:val="008576"/>
          <w:szCs w:val="22"/>
          <w:vertAlign w:val="superscript"/>
          <w:lang w:bidi="en-GB"/>
        </w:rPr>
        <w:footnoteReference w:id="11"/>
      </w:r>
      <w:r w:rsidRPr="009F2EFF">
        <w:rPr>
          <w:rFonts w:asciiTheme="minorHAnsi" w:hAnsiTheme="minorHAnsi" w:cstheme="minorHAnsi"/>
          <w:szCs w:val="23"/>
          <w:lang w:bidi="en-GB"/>
        </w:rPr>
        <w:t xml:space="preserve"> At the same time, there is no separate financial support for informal carers. The main source of funding is a care allowance, but this benefit is provided to the person being cared for and does not cover the real costs of care or the loss of the carer’s income. I have repeatedly drawn attention in my surveys </w:t>
      </w:r>
      <w:r w:rsidRPr="003D36A8">
        <w:rPr>
          <w:rFonts w:asciiTheme="minorHAnsi" w:eastAsiaTheme="minorHAnsi" w:hAnsiTheme="minorHAnsi" w:cstheme="minorBidi"/>
          <w:b/>
          <w:color w:val="008576"/>
          <w:szCs w:val="22"/>
          <w:vertAlign w:val="superscript"/>
          <w:lang w:bidi="en-GB"/>
        </w:rPr>
        <w:footnoteReference w:id="12"/>
      </w:r>
      <w:r w:rsidRPr="009F2EFF">
        <w:rPr>
          <w:rFonts w:asciiTheme="minorHAnsi" w:hAnsiTheme="minorHAnsi" w:cstheme="minorHAnsi"/>
          <w:szCs w:val="23"/>
          <w:lang w:bidi="en-GB"/>
        </w:rPr>
        <w:t xml:space="preserve"> to the lack of access to services and summarised the issue in my observations on the Autism-Europe collective complaint.</w:t>
      </w:r>
      <w:r w:rsidRPr="003D36A8">
        <w:rPr>
          <w:rFonts w:asciiTheme="minorHAnsi" w:eastAsiaTheme="minorHAnsi" w:hAnsiTheme="minorHAnsi" w:cstheme="minorBidi"/>
          <w:b/>
          <w:color w:val="008576"/>
          <w:szCs w:val="22"/>
          <w:vertAlign w:val="superscript"/>
          <w:lang w:bidi="en-GB"/>
        </w:rPr>
        <w:footnoteReference w:id="13"/>
      </w:r>
      <w:r w:rsidRPr="009F2EFF">
        <w:rPr>
          <w:rFonts w:asciiTheme="minorHAnsi" w:hAnsiTheme="minorHAnsi" w:cstheme="minorHAnsi"/>
          <w:szCs w:val="23"/>
          <w:lang w:bidi="en-GB"/>
        </w:rPr>
        <w:t xml:space="preserve"> Similarly, I recommend an increase in and regular valorisation of the long-term care allowance.</w:t>
      </w:r>
      <w:r w:rsidRPr="003D36A8">
        <w:rPr>
          <w:rFonts w:asciiTheme="minorHAnsi" w:eastAsiaTheme="minorHAnsi" w:hAnsiTheme="minorHAnsi" w:cstheme="minorBidi"/>
          <w:b/>
          <w:color w:val="008576"/>
          <w:szCs w:val="22"/>
          <w:vertAlign w:val="superscript"/>
          <w:lang w:bidi="en-GB"/>
        </w:rPr>
        <w:footnoteReference w:id="14"/>
      </w:r>
    </w:p>
    <w:p w14:paraId="412ACF0F" w14:textId="41DA0276" w:rsidR="00E4538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 xml:space="preserve">Caring women face a high risk of exhaustion, poverty, social isolation and long-term exclusion from the labour market. Unavailability of services increases the intensity of care and reduces the possibility of employment and rest. The low amount of the </w:t>
      </w:r>
      <w:proofErr w:type="spellStart"/>
      <w:r w:rsidRPr="009F2EFF">
        <w:rPr>
          <w:rFonts w:asciiTheme="minorHAnsi" w:hAnsiTheme="minorHAnsi" w:cstheme="minorHAnsi"/>
          <w:szCs w:val="23"/>
          <w:lang w:bidi="en-GB"/>
        </w:rPr>
        <w:t>care</w:t>
      </w:r>
      <w:proofErr w:type="spellEnd"/>
      <w:r w:rsidRPr="009F2EFF">
        <w:rPr>
          <w:rFonts w:asciiTheme="minorHAnsi" w:hAnsiTheme="minorHAnsi" w:cstheme="minorHAnsi"/>
          <w:szCs w:val="23"/>
          <w:lang w:bidi="en-GB"/>
        </w:rPr>
        <w:t xml:space="preserve"> allowance and the lack of valorisation mean that the costs of care are largely borne by carers themselves. The impacts are most severe for women caring for people with the highest levels of support needs, single mothers and women in regionally disadvantaged areas.</w:t>
      </w:r>
    </w:p>
    <w:p w14:paraId="22563AFB" w14:textId="21532604" w:rsidR="00E4538F" w:rsidRPr="00E97AF2" w:rsidRDefault="00E4538F" w:rsidP="00797885">
      <w:pPr>
        <w:pStyle w:val="Nadpis3"/>
      </w:pPr>
      <w:r w:rsidRPr="00E97AF2">
        <w:rPr>
          <w:lang w:bidi="en-GB"/>
        </w:rPr>
        <w:t>Recommendations</w:t>
      </w:r>
    </w:p>
    <w:p w14:paraId="6121826D" w14:textId="77777777" w:rsidR="00E4538F" w:rsidRPr="009F2EFF" w:rsidRDefault="00E4538F" w:rsidP="000B38ED">
      <w:pPr>
        <w:pStyle w:val="slovanseznam"/>
        <w:numPr>
          <w:ilvl w:val="0"/>
          <w:numId w:val="11"/>
        </w:numPr>
      </w:pPr>
      <w:r w:rsidRPr="009F2EFF">
        <w:rPr>
          <w:lang w:bidi="en-GB"/>
        </w:rPr>
        <w:t>Increase the capacity of outreach and non-residential social services and ensure their regional accessibility.</w:t>
      </w:r>
    </w:p>
    <w:p w14:paraId="5D95883B" w14:textId="77777777" w:rsidR="00E4538F" w:rsidRPr="009F2EFF" w:rsidRDefault="00E4538F" w:rsidP="000B38ED">
      <w:pPr>
        <w:pStyle w:val="slovanseznam"/>
        <w:numPr>
          <w:ilvl w:val="0"/>
          <w:numId w:val="11"/>
        </w:numPr>
      </w:pPr>
      <w:r w:rsidRPr="009F2EFF">
        <w:rPr>
          <w:lang w:bidi="en-GB"/>
        </w:rPr>
        <w:t xml:space="preserve">Increase and automatically valorise the </w:t>
      </w:r>
      <w:proofErr w:type="spellStart"/>
      <w:r w:rsidRPr="009F2EFF">
        <w:rPr>
          <w:lang w:bidi="en-GB"/>
        </w:rPr>
        <w:t>care</w:t>
      </w:r>
      <w:proofErr w:type="spellEnd"/>
      <w:r w:rsidRPr="009F2EFF">
        <w:rPr>
          <w:lang w:bidi="en-GB"/>
        </w:rPr>
        <w:t xml:space="preserve"> allowance.</w:t>
      </w:r>
    </w:p>
    <w:p w14:paraId="4C982A35" w14:textId="77777777" w:rsidR="00E4538F" w:rsidRPr="009F2EFF" w:rsidRDefault="00E4538F" w:rsidP="000B38ED">
      <w:pPr>
        <w:pStyle w:val="slovanseznam"/>
        <w:numPr>
          <w:ilvl w:val="0"/>
          <w:numId w:val="11"/>
        </w:numPr>
      </w:pPr>
      <w:r w:rsidRPr="009F2EFF">
        <w:rPr>
          <w:lang w:bidi="en-GB"/>
        </w:rPr>
        <w:t>Introduce a separate benefit or some other appropriate financial support for informal carers.</w:t>
      </w:r>
    </w:p>
    <w:p w14:paraId="049806E1" w14:textId="4D1FDBE6" w:rsidR="00E4538F" w:rsidRPr="009F2EFF" w:rsidRDefault="00E4538F" w:rsidP="000B38ED">
      <w:pPr>
        <w:pStyle w:val="slovanseznam"/>
        <w:numPr>
          <w:ilvl w:val="0"/>
          <w:numId w:val="11"/>
        </w:numPr>
      </w:pPr>
      <w:r w:rsidRPr="009F2EFF">
        <w:rPr>
          <w:lang w:bidi="en-GB"/>
        </w:rPr>
        <w:t>Recognise and reflect on the gender dimension of informal care in legislation and public policies.</w:t>
      </w:r>
    </w:p>
    <w:p w14:paraId="18A8FCAA" w14:textId="2095CEC7" w:rsidR="00E4538F" w:rsidRPr="00E97AF2" w:rsidRDefault="00E4538F" w:rsidP="00797885">
      <w:pPr>
        <w:pStyle w:val="Nadpis2"/>
      </w:pPr>
      <w:bookmarkStart w:id="8" w:name="_Toc218516892"/>
      <w:r w:rsidRPr="00E97AF2">
        <w:rPr>
          <w:lang w:bidi="en-GB"/>
        </w:rPr>
        <w:lastRenderedPageBreak/>
        <w:t>ME/CFS – women’s access to health care and social support (Articles 11 and 12 of the Convention)</w:t>
      </w:r>
      <w:bookmarkEnd w:id="8"/>
    </w:p>
    <w:p w14:paraId="0C6B095B" w14:textId="3AF6C428" w:rsidR="006D407E"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proofErr w:type="spellStart"/>
      <w:r w:rsidRPr="009F2EFF">
        <w:rPr>
          <w:rFonts w:asciiTheme="minorHAnsi" w:hAnsiTheme="minorHAnsi" w:cstheme="minorHAnsi"/>
          <w:szCs w:val="23"/>
          <w:lang w:bidi="en-GB"/>
        </w:rPr>
        <w:t>Myalgic</w:t>
      </w:r>
      <w:proofErr w:type="spellEnd"/>
      <w:r w:rsidRPr="009F2EFF">
        <w:rPr>
          <w:rFonts w:asciiTheme="minorHAnsi" w:hAnsiTheme="minorHAnsi" w:cstheme="minorHAnsi"/>
          <w:szCs w:val="23"/>
          <w:lang w:bidi="en-GB"/>
        </w:rPr>
        <w:t xml:space="preserve"> encephalomyelitis (ME/CFS) is a serious chronic disease with long-term functional consequences, and epidemiological studies have repeatedly confirmed its significantly higher prevalence among women.</w:t>
      </w:r>
    </w:p>
    <w:p w14:paraId="48FF5A91" w14:textId="43E39ACF" w:rsidR="00E4538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In the Czech Republic, however, the diagnosis and treatment of this disease show major systemic deficiencies. My findings indicate that patients often wait years for a diagnosis, undergo repeated examinations by multiple specialists without any co-ordination of care, and their difficulties are often downplayed or mistakenly subsumed under psychiatric diagnoses.</w:t>
      </w:r>
      <w:r w:rsidRPr="003D36A8">
        <w:rPr>
          <w:rFonts w:asciiTheme="minorHAnsi" w:hAnsiTheme="minorHAnsi"/>
          <w:b/>
          <w:color w:val="008576"/>
          <w:vertAlign w:val="superscript"/>
          <w:lang w:bidi="en-GB"/>
        </w:rPr>
        <w:footnoteReference w:id="15"/>
      </w:r>
    </w:p>
    <w:p w14:paraId="07424D90" w14:textId="6C386A4B" w:rsidR="00E4538F" w:rsidRPr="009F2EFF" w:rsidRDefault="00E4538F"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These failures have serious social and economic consequences. Patients with ME/CFS often lose the possibility of employment and a stable income. In addition, the lack of recognition of functional limitations hinders access to disability pensions and social protection.</w:t>
      </w:r>
    </w:p>
    <w:p w14:paraId="15A63B79" w14:textId="20A6309F" w:rsidR="00E4538F" w:rsidRPr="00E97AF2" w:rsidRDefault="00E4538F" w:rsidP="00797885">
      <w:pPr>
        <w:pStyle w:val="Nadpis3"/>
      </w:pPr>
      <w:r w:rsidRPr="00E97AF2">
        <w:rPr>
          <w:lang w:bidi="en-GB"/>
        </w:rPr>
        <w:t>Recommendations</w:t>
      </w:r>
    </w:p>
    <w:p w14:paraId="2544403D" w14:textId="6D03FCA0" w:rsidR="00E4538F" w:rsidRPr="009F2EFF" w:rsidRDefault="00E4538F" w:rsidP="000B38ED">
      <w:pPr>
        <w:pStyle w:val="slovanseznam"/>
        <w:numPr>
          <w:ilvl w:val="0"/>
          <w:numId w:val="12"/>
        </w:numPr>
      </w:pPr>
      <w:r w:rsidRPr="009F2EFF">
        <w:rPr>
          <w:lang w:bidi="en-GB"/>
        </w:rPr>
        <w:t>Establish guidelines for the diagnosis and treatment of ME/CFS.</w:t>
      </w:r>
    </w:p>
    <w:p w14:paraId="46612F3D" w14:textId="6163EAFA" w:rsidR="00E4538F" w:rsidRPr="009F2EFF" w:rsidRDefault="00E4538F" w:rsidP="000B38ED">
      <w:pPr>
        <w:pStyle w:val="slovanseznam"/>
        <w:numPr>
          <w:ilvl w:val="0"/>
          <w:numId w:val="12"/>
        </w:numPr>
      </w:pPr>
      <w:r w:rsidRPr="009F2EFF">
        <w:rPr>
          <w:lang w:bidi="en-GB"/>
        </w:rPr>
        <w:t>Build a network of specialised multidisciplinary workplaces.</w:t>
      </w:r>
    </w:p>
    <w:p w14:paraId="195E1127" w14:textId="43648026" w:rsidR="00E4538F" w:rsidRPr="009F2EFF" w:rsidRDefault="00E4538F" w:rsidP="000B38ED">
      <w:pPr>
        <w:pStyle w:val="slovanseznam"/>
        <w:numPr>
          <w:ilvl w:val="0"/>
          <w:numId w:val="12"/>
        </w:numPr>
      </w:pPr>
      <w:r w:rsidRPr="009F2EFF">
        <w:rPr>
          <w:lang w:bidi="en-GB"/>
        </w:rPr>
        <w:t>Reinforce the training of health professionals in this area.</w:t>
      </w:r>
    </w:p>
    <w:p w14:paraId="1C65D41E" w14:textId="5D2215C8" w:rsidR="00707E93" w:rsidRPr="00E97AF2" w:rsidRDefault="00707E93" w:rsidP="00797885">
      <w:pPr>
        <w:pStyle w:val="Nadpis2"/>
      </w:pPr>
      <w:bookmarkStart w:id="9" w:name="_Toc218516893"/>
      <w:r w:rsidRPr="00E97AF2">
        <w:rPr>
          <w:lang w:bidi="en-GB"/>
        </w:rPr>
        <w:t>Mental health of girls and young women and lack of access to health care (Article 12 of the Convention)</w:t>
      </w:r>
      <w:bookmarkEnd w:id="9"/>
    </w:p>
    <w:p w14:paraId="098737F4" w14:textId="6A7445C5" w:rsidR="00707E93" w:rsidRDefault="00707E93"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Children and young people aged 11–25 identify mental health as the most problematic area of their lives.</w:t>
      </w:r>
      <w:r w:rsidRPr="00FC3F58">
        <w:rPr>
          <w:rFonts w:asciiTheme="minorHAnsi" w:eastAsiaTheme="minorHAnsi" w:hAnsiTheme="minorHAnsi" w:cstheme="minorBidi"/>
          <w:b/>
          <w:color w:val="008576"/>
          <w:szCs w:val="22"/>
          <w:vertAlign w:val="superscript"/>
          <w:lang w:bidi="en-GB"/>
        </w:rPr>
        <w:footnoteReference w:id="16"/>
      </w:r>
      <w:r w:rsidRPr="00E97AF2">
        <w:rPr>
          <w:rFonts w:asciiTheme="minorHAnsi" w:hAnsiTheme="minorHAnsi" w:cstheme="minorHAnsi"/>
          <w:szCs w:val="23"/>
          <w:lang w:bidi="en-GB"/>
        </w:rPr>
        <w:t xml:space="preserve"> Cyberbullying and hate content on the internet is widespread, much of it directed at women.</w:t>
      </w:r>
      <w:r w:rsidRPr="00FC3F58">
        <w:rPr>
          <w:rFonts w:asciiTheme="minorHAnsi" w:eastAsiaTheme="minorHAnsi" w:hAnsiTheme="minorHAnsi" w:cstheme="minorBidi"/>
          <w:b/>
          <w:color w:val="008576"/>
          <w:szCs w:val="22"/>
          <w:vertAlign w:val="superscript"/>
          <w:lang w:bidi="en-GB"/>
        </w:rPr>
        <w:footnoteReference w:id="17"/>
      </w:r>
      <w:r w:rsidRPr="00E97AF2">
        <w:rPr>
          <w:rFonts w:asciiTheme="minorHAnsi" w:hAnsiTheme="minorHAnsi" w:cstheme="minorHAnsi"/>
          <w:szCs w:val="23"/>
          <w:lang w:bidi="en-GB"/>
        </w:rPr>
        <w:t xml:space="preserve"> In 2023, up to 40% of ninth-grade primary school students showed signs of moderate to severe depression and 30% exhibited signs of anxiety, with girls twice as likely </w:t>
      </w:r>
      <w:r w:rsidRPr="00E97AF2">
        <w:rPr>
          <w:rFonts w:asciiTheme="minorHAnsi" w:hAnsiTheme="minorHAnsi" w:cstheme="minorHAnsi"/>
          <w:szCs w:val="23"/>
          <w:lang w:bidi="en-GB"/>
        </w:rPr>
        <w:lastRenderedPageBreak/>
        <w:t>as boys to show these symptoms.</w:t>
      </w:r>
      <w:r w:rsidRPr="00FC3F58">
        <w:rPr>
          <w:rFonts w:asciiTheme="minorHAnsi" w:eastAsiaTheme="minorHAnsi" w:hAnsiTheme="minorHAnsi" w:cstheme="minorBidi"/>
          <w:b/>
          <w:color w:val="008576"/>
          <w:szCs w:val="22"/>
          <w:vertAlign w:val="superscript"/>
          <w:lang w:bidi="en-GB"/>
        </w:rPr>
        <w:footnoteReference w:id="18"/>
      </w:r>
      <w:r w:rsidRPr="00E97AF2">
        <w:rPr>
          <w:rFonts w:asciiTheme="minorHAnsi" w:hAnsiTheme="minorHAnsi" w:cstheme="minorHAnsi"/>
          <w:szCs w:val="23"/>
          <w:lang w:bidi="en-GB"/>
        </w:rPr>
        <w:t xml:space="preserve"> Girls are more prone to anorexia nervosa (with a girl-to-boy ratio of 10:1)</w:t>
      </w:r>
      <w:r w:rsidRPr="00FC3F58">
        <w:rPr>
          <w:rFonts w:asciiTheme="minorHAnsi" w:eastAsiaTheme="minorHAnsi" w:hAnsiTheme="minorHAnsi" w:cstheme="minorBidi"/>
          <w:b/>
          <w:color w:val="008576"/>
          <w:szCs w:val="22"/>
          <w:vertAlign w:val="superscript"/>
          <w:lang w:bidi="en-GB"/>
        </w:rPr>
        <w:footnoteReference w:id="19"/>
      </w:r>
      <w:r w:rsidRPr="00E97AF2">
        <w:rPr>
          <w:rFonts w:asciiTheme="minorHAnsi" w:hAnsiTheme="minorHAnsi" w:cstheme="minorHAnsi"/>
          <w:szCs w:val="23"/>
          <w:lang w:bidi="en-GB"/>
        </w:rPr>
        <w:t xml:space="preserve"> and to self-harm (roughly 3:1).</w:t>
      </w:r>
      <w:r w:rsidRPr="00FC3F58">
        <w:rPr>
          <w:rFonts w:asciiTheme="minorHAnsi" w:eastAsiaTheme="minorHAnsi" w:hAnsiTheme="minorHAnsi" w:cstheme="minorBidi"/>
          <w:b/>
          <w:color w:val="008576"/>
          <w:szCs w:val="22"/>
          <w:vertAlign w:val="superscript"/>
          <w:lang w:bidi="en-GB"/>
        </w:rPr>
        <w:footnoteReference w:id="20"/>
      </w:r>
    </w:p>
    <w:p w14:paraId="237A2FD5" w14:textId="4C59899C" w:rsidR="00707E93" w:rsidRDefault="00707E93" w:rsidP="000B38ED">
      <w:pPr>
        <w:pStyle w:val="Zkladntext"/>
        <w:numPr>
          <w:ilvl w:val="0"/>
          <w:numId w:val="6"/>
        </w:numPr>
        <w:spacing w:line="360" w:lineRule="auto"/>
        <w:ind w:left="357" w:hanging="357"/>
        <w:rPr>
          <w:rFonts w:asciiTheme="minorHAnsi" w:hAnsiTheme="minorHAnsi" w:cstheme="minorHAnsi"/>
          <w:szCs w:val="23"/>
        </w:rPr>
      </w:pPr>
      <w:r>
        <w:rPr>
          <w:rFonts w:asciiTheme="minorHAnsi" w:hAnsiTheme="minorHAnsi" w:cstheme="minorHAnsi"/>
          <w:szCs w:val="23"/>
          <w:lang w:bidi="en-GB"/>
        </w:rPr>
        <w:t>The persistent shortage of child psychiatrists, child clinical psychologists and child psychiatric beds is alarming in this context.</w:t>
      </w:r>
      <w:r w:rsidRPr="00FC3F58">
        <w:rPr>
          <w:rFonts w:asciiTheme="minorHAnsi" w:eastAsiaTheme="minorHAnsi" w:hAnsiTheme="minorHAnsi" w:cstheme="minorBidi"/>
          <w:b/>
          <w:color w:val="008576"/>
          <w:szCs w:val="22"/>
          <w:vertAlign w:val="superscript"/>
          <w:lang w:bidi="en-GB"/>
        </w:rPr>
        <w:footnoteReference w:id="21"/>
      </w:r>
      <w:r>
        <w:rPr>
          <w:rFonts w:asciiTheme="minorHAnsi" w:hAnsiTheme="minorHAnsi" w:cstheme="minorHAnsi"/>
          <w:szCs w:val="23"/>
          <w:lang w:bidi="en-GB"/>
        </w:rPr>
        <w:t xml:space="preserve"> There are only 157 child psychiatrists practicing in the whole country, and nearly half of them may retire within five years. There is a shortage of about 300 beds and 23 residential care facilities.</w:t>
      </w:r>
      <w:r w:rsidRPr="00FC3F58">
        <w:rPr>
          <w:rFonts w:asciiTheme="minorHAnsi" w:eastAsiaTheme="minorHAnsi" w:hAnsiTheme="minorHAnsi" w:cstheme="minorBidi"/>
          <w:b/>
          <w:color w:val="008576"/>
          <w:szCs w:val="22"/>
          <w:vertAlign w:val="superscript"/>
          <w:lang w:bidi="en-GB"/>
        </w:rPr>
        <w:footnoteReference w:id="22"/>
      </w:r>
    </w:p>
    <w:p w14:paraId="38D968B0" w14:textId="4DDA24B6" w:rsidR="006D407E" w:rsidRPr="005B64A0" w:rsidRDefault="006D407E" w:rsidP="000B38ED">
      <w:pPr>
        <w:pStyle w:val="Zkladntext"/>
        <w:numPr>
          <w:ilvl w:val="0"/>
          <w:numId w:val="6"/>
        </w:numPr>
        <w:spacing w:line="360" w:lineRule="auto"/>
        <w:ind w:left="357" w:hanging="357"/>
        <w:rPr>
          <w:rFonts w:asciiTheme="minorHAnsi" w:hAnsiTheme="minorHAnsi" w:cstheme="minorHAnsi"/>
          <w:szCs w:val="23"/>
        </w:rPr>
      </w:pPr>
      <w:r w:rsidRPr="005B64A0">
        <w:rPr>
          <w:rFonts w:asciiTheme="minorHAnsi" w:hAnsiTheme="minorHAnsi" w:cstheme="minorHAnsi"/>
          <w:szCs w:val="23"/>
          <w:lang w:bidi="en-GB"/>
        </w:rPr>
        <w:t>We are facing a shortage of other medical specialties for paediatric and adult patients, especially general practitioners</w:t>
      </w:r>
      <w:r w:rsidR="0068401B">
        <w:rPr>
          <w:rStyle w:val="Znakapoznpodarou"/>
          <w:rFonts w:asciiTheme="minorHAnsi" w:hAnsiTheme="minorHAnsi" w:cstheme="minorHAnsi"/>
          <w:szCs w:val="23"/>
          <w:lang w:bidi="en-GB"/>
        </w:rPr>
        <w:footnoteReference w:id="23"/>
      </w:r>
      <w:r w:rsidRPr="005B64A0">
        <w:rPr>
          <w:rFonts w:asciiTheme="minorHAnsi" w:hAnsiTheme="minorHAnsi" w:cstheme="minorHAnsi"/>
          <w:szCs w:val="23"/>
          <w:lang w:bidi="en-GB"/>
        </w:rPr>
        <w:t xml:space="preserve"> and dentists.</w:t>
      </w:r>
      <w:r w:rsidR="0068401B">
        <w:rPr>
          <w:rStyle w:val="Znakapoznpodarou"/>
          <w:rFonts w:asciiTheme="minorHAnsi" w:hAnsiTheme="minorHAnsi" w:cstheme="minorHAnsi"/>
          <w:szCs w:val="23"/>
          <w:lang w:bidi="en-GB"/>
        </w:rPr>
        <w:footnoteReference w:id="24"/>
      </w:r>
      <w:r w:rsidRPr="005B64A0">
        <w:rPr>
          <w:rFonts w:asciiTheme="minorHAnsi" w:hAnsiTheme="minorHAnsi" w:cstheme="minorHAnsi"/>
          <w:szCs w:val="23"/>
          <w:lang w:bidi="en-GB"/>
        </w:rPr>
        <w:t xml:space="preserve"> The elderly, young children and their carers (usually women) are often unable to travel to more distant surgeries. The individuals concerned are thus left without preventive check-ups, which increases the risk of late detection of diseases.</w:t>
      </w:r>
    </w:p>
    <w:p w14:paraId="3EAEDFBC" w14:textId="185DCC0E" w:rsidR="00707E93" w:rsidRPr="00E97AF2" w:rsidRDefault="00707E93" w:rsidP="00797885">
      <w:pPr>
        <w:pStyle w:val="Nadpis3"/>
      </w:pPr>
      <w:r w:rsidRPr="00E97AF2">
        <w:rPr>
          <w:lang w:bidi="en-GB"/>
        </w:rPr>
        <w:t>Recommendations</w:t>
      </w:r>
    </w:p>
    <w:p w14:paraId="55C9FDD2" w14:textId="77777777" w:rsidR="00707E93" w:rsidRPr="009F2EFF" w:rsidRDefault="00707E93" w:rsidP="000B38ED">
      <w:pPr>
        <w:pStyle w:val="slovanseznam"/>
        <w:numPr>
          <w:ilvl w:val="0"/>
          <w:numId w:val="13"/>
        </w:numPr>
      </w:pPr>
      <w:r w:rsidRPr="009F2EFF">
        <w:rPr>
          <w:lang w:bidi="en-GB"/>
        </w:rPr>
        <w:t>Reinforce child mental health care capacity.</w:t>
      </w:r>
    </w:p>
    <w:p w14:paraId="411B48EA" w14:textId="77777777" w:rsidR="00707E93" w:rsidRPr="009F2EFF" w:rsidRDefault="00707E93" w:rsidP="000B38ED">
      <w:pPr>
        <w:pStyle w:val="slovanseznam"/>
        <w:numPr>
          <w:ilvl w:val="0"/>
          <w:numId w:val="13"/>
        </w:numPr>
      </w:pPr>
      <w:r w:rsidRPr="009F2EFF">
        <w:rPr>
          <w:lang w:bidi="en-GB"/>
        </w:rPr>
        <w:t>Improve access to primary care in the regions.</w:t>
      </w:r>
    </w:p>
    <w:p w14:paraId="69EEE01A" w14:textId="71970CE8" w:rsidR="00BA4256" w:rsidRPr="00D658AF" w:rsidRDefault="00AC15AE" w:rsidP="00797885">
      <w:pPr>
        <w:pStyle w:val="Nadpis2"/>
      </w:pPr>
      <w:bookmarkStart w:id="10" w:name="_Toc218516894"/>
      <w:r>
        <w:rPr>
          <w:lang w:bidi="en-GB"/>
        </w:rPr>
        <w:lastRenderedPageBreak/>
        <w:t>Health care in connection with pregnancy and childbirth (Article 12 of the Convention)</w:t>
      </w:r>
      <w:bookmarkEnd w:id="10"/>
    </w:p>
    <w:p w14:paraId="26142006" w14:textId="63A12A82" w:rsidR="00BA4256" w:rsidRPr="009F2EFF" w:rsidRDefault="000F0AD1"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I have received numerous complaints from women regarding care during childbirth.</w:t>
      </w:r>
      <w:r w:rsidR="00BA4256" w:rsidRPr="00FC3F58">
        <w:rPr>
          <w:rFonts w:asciiTheme="minorHAnsi" w:eastAsiaTheme="minorHAnsi" w:hAnsiTheme="minorHAnsi" w:cstheme="minorBidi"/>
          <w:b/>
          <w:color w:val="008576"/>
          <w:szCs w:val="22"/>
          <w:vertAlign w:val="superscript"/>
          <w:lang w:bidi="en-GB"/>
        </w:rPr>
        <w:footnoteReference w:id="25"/>
      </w:r>
      <w:r w:rsidRPr="009F2EFF">
        <w:rPr>
          <w:rFonts w:asciiTheme="minorHAnsi" w:hAnsiTheme="minorHAnsi" w:cstheme="minorHAnsi"/>
          <w:szCs w:val="23"/>
          <w:lang w:bidi="en-GB"/>
        </w:rPr>
        <w:t xml:space="preserve"> The women objected to various procedures to which they had not given informed consent (vaginal examination, medication or preventive episiotomy, which was performed in 15% of the women giving births in 2024).</w:t>
      </w:r>
      <w:r w:rsidR="00BA4256" w:rsidRPr="00FC3F58">
        <w:rPr>
          <w:rFonts w:asciiTheme="minorHAnsi" w:eastAsiaTheme="minorHAnsi" w:hAnsiTheme="minorHAnsi" w:cstheme="minorBidi"/>
          <w:b/>
          <w:color w:val="008576"/>
          <w:szCs w:val="22"/>
          <w:vertAlign w:val="superscript"/>
          <w:lang w:bidi="en-GB"/>
        </w:rPr>
        <w:footnoteReference w:id="26"/>
      </w:r>
      <w:r w:rsidRPr="009F2EFF">
        <w:rPr>
          <w:rFonts w:asciiTheme="minorHAnsi" w:hAnsiTheme="minorHAnsi" w:cstheme="minorHAnsi"/>
          <w:szCs w:val="23"/>
          <w:lang w:bidi="en-GB"/>
        </w:rPr>
        <w:t xml:space="preserve"> Even more often, they pointed out that health professionals had not respected their birth plans. This also raises the issue of inadequate availability of midwifery care.</w:t>
      </w:r>
      <w:r w:rsidR="00BA4256" w:rsidRPr="00FC3F58">
        <w:rPr>
          <w:rFonts w:asciiTheme="minorHAnsi" w:eastAsiaTheme="minorHAnsi" w:hAnsiTheme="minorHAnsi" w:cstheme="minorBidi"/>
          <w:b/>
          <w:color w:val="008576"/>
          <w:szCs w:val="22"/>
          <w:vertAlign w:val="superscript"/>
          <w:lang w:bidi="en-GB"/>
        </w:rPr>
        <w:footnoteReference w:id="27"/>
      </w:r>
      <w:r w:rsidR="00BA4256" w:rsidRPr="00FC3F58">
        <w:rPr>
          <w:rFonts w:asciiTheme="minorHAnsi" w:eastAsiaTheme="minorHAnsi" w:hAnsiTheme="minorHAnsi" w:cstheme="minorBidi"/>
          <w:b/>
          <w:color w:val="008576"/>
          <w:szCs w:val="22"/>
          <w:vertAlign w:val="superscript"/>
          <w:lang w:bidi="en-GB"/>
        </w:rPr>
        <w:t xml:space="preserve"> </w:t>
      </w:r>
      <w:r w:rsidRPr="009F2EFF">
        <w:rPr>
          <w:rFonts w:asciiTheme="minorHAnsi" w:hAnsiTheme="minorHAnsi" w:cstheme="minorHAnsi"/>
          <w:szCs w:val="23"/>
          <w:lang w:bidi="en-GB"/>
        </w:rPr>
        <w:t xml:space="preserve">A specific area of the mothers’ grievances was their separation from their children immediately after birth and not allowing skin-to-skin contact (bonding). In 2022, bonding did not take place for more than one-third of </w:t>
      </w:r>
      <w:proofErr w:type="spellStart"/>
      <w:r w:rsidRPr="009F2EFF">
        <w:rPr>
          <w:rFonts w:asciiTheme="minorHAnsi" w:hAnsiTheme="minorHAnsi" w:cstheme="minorHAnsi"/>
          <w:szCs w:val="23"/>
          <w:lang w:bidi="en-GB"/>
        </w:rPr>
        <w:t>newborns</w:t>
      </w:r>
      <w:proofErr w:type="spellEnd"/>
      <w:r w:rsidRPr="009F2EFF">
        <w:rPr>
          <w:rFonts w:asciiTheme="minorHAnsi" w:hAnsiTheme="minorHAnsi" w:cstheme="minorHAnsi"/>
          <w:szCs w:val="23"/>
          <w:lang w:bidi="en-GB"/>
        </w:rPr>
        <w:t>.</w:t>
      </w:r>
      <w:r w:rsidR="00BA4256" w:rsidRPr="00FC3F58">
        <w:rPr>
          <w:rFonts w:asciiTheme="minorHAnsi" w:eastAsiaTheme="minorHAnsi" w:hAnsiTheme="minorHAnsi" w:cstheme="minorBidi"/>
          <w:b/>
          <w:color w:val="008576"/>
          <w:szCs w:val="22"/>
          <w:vertAlign w:val="superscript"/>
          <w:lang w:bidi="en-GB"/>
        </w:rPr>
        <w:footnoteReference w:id="28"/>
      </w:r>
    </w:p>
    <w:p w14:paraId="6D1D43EB" w14:textId="1BA7830E" w:rsidR="00BA4256" w:rsidRPr="009F2EFF" w:rsidRDefault="00BA4256"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Since 2019, the Government has been developing a strategy to reform maternity services towards respectful care. The strategy has yet to be adopted.</w:t>
      </w:r>
    </w:p>
    <w:p w14:paraId="11A5E2B6" w14:textId="2A405AEF" w:rsidR="001503A9" w:rsidRPr="00E97AF2" w:rsidRDefault="001503A9" w:rsidP="00797885">
      <w:pPr>
        <w:pStyle w:val="Nadpis3"/>
      </w:pPr>
      <w:r w:rsidRPr="00E97AF2">
        <w:rPr>
          <w:lang w:bidi="en-GB"/>
        </w:rPr>
        <w:t>Recommendations</w:t>
      </w:r>
    </w:p>
    <w:p w14:paraId="4613BF48" w14:textId="4EA7FBB4" w:rsidR="006A1742" w:rsidRPr="009F2EFF" w:rsidRDefault="00BA4256" w:rsidP="000B38ED">
      <w:pPr>
        <w:pStyle w:val="slovanseznam"/>
        <w:numPr>
          <w:ilvl w:val="0"/>
          <w:numId w:val="14"/>
        </w:numPr>
      </w:pPr>
      <w:r w:rsidRPr="009F2EFF">
        <w:rPr>
          <w:lang w:bidi="en-GB"/>
        </w:rPr>
        <w:t xml:space="preserve">Modernise Czech maternity care with an emphasis on the autonomy of women giving birth and on the human rights of women giving birth and </w:t>
      </w:r>
      <w:proofErr w:type="spellStart"/>
      <w:r w:rsidRPr="009F2EFF">
        <w:rPr>
          <w:lang w:bidi="en-GB"/>
        </w:rPr>
        <w:t>newborns</w:t>
      </w:r>
      <w:proofErr w:type="spellEnd"/>
      <w:r w:rsidRPr="009F2EFF">
        <w:rPr>
          <w:lang w:bidi="en-GB"/>
        </w:rPr>
        <w:t>.</w:t>
      </w:r>
    </w:p>
    <w:p w14:paraId="42B52116" w14:textId="5EE9D067" w:rsidR="00E70C09" w:rsidRPr="00E97AF2" w:rsidRDefault="00C77219" w:rsidP="00797885">
      <w:pPr>
        <w:pStyle w:val="Nadpis2"/>
      </w:pPr>
      <w:bookmarkStart w:id="11" w:name="_Toc218516895"/>
      <w:r w:rsidRPr="00E97AF2">
        <w:rPr>
          <w:lang w:bidi="en-GB"/>
        </w:rPr>
        <w:t>Compensation for unlawful sterilisations (Article 12 of the Convention)</w:t>
      </w:r>
      <w:bookmarkEnd w:id="11"/>
    </w:p>
    <w:p w14:paraId="49C0D5D7" w14:textId="36708A30" w:rsidR="00C77219" w:rsidRPr="00E97AF2" w:rsidRDefault="00C77219" w:rsidP="000B38ED">
      <w:pPr>
        <w:pStyle w:val="Zkladntext"/>
        <w:numPr>
          <w:ilvl w:val="0"/>
          <w:numId w:val="6"/>
        </w:numPr>
        <w:spacing w:line="360" w:lineRule="auto"/>
        <w:ind w:left="357" w:hanging="357"/>
        <w:rPr>
          <w:rFonts w:asciiTheme="minorHAnsi" w:hAnsiTheme="minorHAnsi" w:cstheme="minorHAnsi"/>
          <w:szCs w:val="23"/>
        </w:rPr>
      </w:pPr>
      <w:r w:rsidRPr="00E97AF2">
        <w:rPr>
          <w:rFonts w:asciiTheme="minorHAnsi" w:hAnsiTheme="minorHAnsi" w:cstheme="minorHAnsi"/>
          <w:szCs w:val="23"/>
          <w:lang w:bidi="en-GB"/>
        </w:rPr>
        <w:t>Since 1 January 2022</w:t>
      </w:r>
      <w:r w:rsidRPr="000B38ED">
        <w:rPr>
          <w:rStyle w:val="Znakapoznpodarou"/>
          <w:lang w:bidi="en-GB"/>
        </w:rPr>
        <w:footnoteReference w:id="29"/>
      </w:r>
      <w:r w:rsidRPr="00E97AF2">
        <w:rPr>
          <w:rFonts w:asciiTheme="minorHAnsi" w:hAnsiTheme="minorHAnsi" w:cstheme="minorHAnsi"/>
          <w:szCs w:val="23"/>
          <w:lang w:bidi="en-GB"/>
        </w:rPr>
        <w:t xml:space="preserve">, persons who were unlawfully sterilised in a medical facility in the territory of the present-day Czech Republic between 1 July 1966 and 31 March 2012 have been able to apply for a lump sum compensation of EUR 12,335. The original three-year period </w:t>
      </w:r>
      <w:r w:rsidRPr="00E97AF2">
        <w:rPr>
          <w:rFonts w:asciiTheme="minorHAnsi" w:hAnsiTheme="minorHAnsi" w:cstheme="minorHAnsi"/>
          <w:szCs w:val="23"/>
          <w:lang w:bidi="en-GB"/>
        </w:rPr>
        <w:lastRenderedPageBreak/>
        <w:t>for filing claims for compensation was extended by an amendment to the Act until 4 January 2027.</w:t>
      </w:r>
    </w:p>
    <w:p w14:paraId="029645F3" w14:textId="632FBF79" w:rsidR="0008702C" w:rsidRDefault="003D0501" w:rsidP="000B38ED">
      <w:pPr>
        <w:pStyle w:val="Zkladntext"/>
        <w:numPr>
          <w:ilvl w:val="0"/>
          <w:numId w:val="6"/>
        </w:numPr>
        <w:spacing w:line="360" w:lineRule="auto"/>
        <w:ind w:left="357" w:hanging="357"/>
        <w:rPr>
          <w:rFonts w:asciiTheme="minorHAnsi" w:hAnsiTheme="minorHAnsi" w:cstheme="minorHAnsi"/>
          <w:szCs w:val="23"/>
        </w:rPr>
      </w:pPr>
      <w:r>
        <w:rPr>
          <w:rFonts w:asciiTheme="minorHAnsi" w:hAnsiTheme="minorHAnsi" w:cstheme="minorHAnsi"/>
          <w:szCs w:val="23"/>
          <w:lang w:bidi="en-GB"/>
        </w:rPr>
        <w:t>I have received 185 complaints from women regarding the Ministry of Health’s handling of their claims for compensation. I opened an inquiry into 120 cases. In my inquiries, I have identified the following systemic deficiencies:</w:t>
      </w:r>
    </w:p>
    <w:p w14:paraId="06BD99F6" w14:textId="69EB97D8" w:rsidR="0008702C"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Poor and unhelpful communication of the Ministry with the applicants.</w:t>
      </w:r>
    </w:p>
    <w:p w14:paraId="7068D2E7" w14:textId="66FEEC02" w:rsidR="0008702C"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Long-term failure to deal with applications and appeals within the statutory time limits.</w:t>
      </w:r>
    </w:p>
    <w:p w14:paraId="4CE98E70" w14:textId="1500E5EC" w:rsidR="0008702C"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Automatic refusal of applications from applicants who lack evidence due to the shredding or destruction of medical records.</w:t>
      </w:r>
    </w:p>
    <w:p w14:paraId="7019DDFD" w14:textId="305AC4DF" w:rsidR="0008702C"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Discontinuation of proceedings on repeated applications on the grounds that they do not present any new facts, without their</w:t>
      </w:r>
      <w:r w:rsidR="00BA7763" w:rsidRPr="000F30B7">
        <w:rPr>
          <w:rFonts w:asciiTheme="minorHAnsi" w:hAnsiTheme="minorHAnsi" w:cstheme="minorHAnsi"/>
          <w:color w:val="333333"/>
          <w:sz w:val="23"/>
          <w:szCs w:val="23"/>
          <w:shd w:val="clear" w:color="auto" w:fill="FFFFFF"/>
          <w:lang w:bidi="en-GB"/>
        </w:rPr>
        <w:t xml:space="preserve"> proper reconsideration</w:t>
      </w:r>
      <w:r>
        <w:rPr>
          <w:rFonts w:asciiTheme="minorHAnsi" w:hAnsiTheme="minorHAnsi" w:cstheme="minorHAnsi"/>
          <w:sz w:val="23"/>
          <w:szCs w:val="23"/>
          <w:lang w:bidi="en-GB"/>
        </w:rPr>
        <w:t>.</w:t>
      </w:r>
    </w:p>
    <w:p w14:paraId="14F8D41C" w14:textId="2B11AEC0" w:rsidR="0008702C"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Failure to respect the current case law of administrative courts.</w:t>
      </w:r>
    </w:p>
    <w:p w14:paraId="05D8677C" w14:textId="2EFF8549" w:rsidR="00C77219" w:rsidRPr="00D73D13" w:rsidRDefault="00BA6FE7" w:rsidP="00D73D13">
      <w:pPr>
        <w:pStyle w:val="Seznam"/>
        <w:spacing w:before="0" w:after="0" w:line="360" w:lineRule="auto"/>
        <w:ind w:left="992"/>
        <w:rPr>
          <w:rFonts w:asciiTheme="minorHAnsi" w:hAnsiTheme="minorHAnsi" w:cstheme="minorHAnsi"/>
          <w:sz w:val="23"/>
          <w:szCs w:val="23"/>
        </w:rPr>
      </w:pPr>
      <w:r>
        <w:rPr>
          <w:rFonts w:asciiTheme="minorHAnsi" w:hAnsiTheme="minorHAnsi" w:cstheme="minorHAnsi"/>
          <w:sz w:val="23"/>
          <w:szCs w:val="23"/>
          <w:lang w:bidi="en-GB"/>
        </w:rPr>
        <w:t>Long-term staffing shortages in the department that handles compensation claims at the Ministry.</w:t>
      </w:r>
    </w:p>
    <w:p w14:paraId="5A06B35F" w14:textId="46B9EED0" w:rsidR="00C77219" w:rsidRPr="00D73D13" w:rsidRDefault="006240EF" w:rsidP="00D73D13">
      <w:pPr>
        <w:pStyle w:val="Zkladntext"/>
        <w:numPr>
          <w:ilvl w:val="0"/>
          <w:numId w:val="6"/>
        </w:numPr>
        <w:spacing w:line="360" w:lineRule="auto"/>
        <w:ind w:left="357" w:hanging="357"/>
      </w:pPr>
      <w:r w:rsidRPr="00D73D13">
        <w:rPr>
          <w:lang w:bidi="en-GB"/>
        </w:rPr>
        <w:t>I reported my findings to the Czech Government in 2024 and proposed remedial action.</w:t>
      </w:r>
      <w:r w:rsidR="00C77219" w:rsidRPr="00D73D13">
        <w:rPr>
          <w:rFonts w:asciiTheme="minorHAnsi" w:eastAsiaTheme="minorHAnsi" w:hAnsiTheme="minorHAnsi" w:cstheme="minorBidi"/>
          <w:b/>
          <w:color w:val="008576"/>
          <w:szCs w:val="22"/>
          <w:vertAlign w:val="superscript"/>
          <w:lang w:bidi="en-GB"/>
        </w:rPr>
        <w:footnoteReference w:id="30"/>
      </w:r>
      <w:r w:rsidRPr="00D73D13">
        <w:rPr>
          <w:lang w:bidi="en-GB"/>
        </w:rPr>
        <w:t xml:space="preserve"> Although the Ministry has expedited decision-making on the applications, it still does not comply with the statutory time limits, fails to follow case law and discontinues proceedings on repeated applications.</w:t>
      </w:r>
    </w:p>
    <w:p w14:paraId="4E1C2D9C" w14:textId="0AAA466D" w:rsidR="00C77219" w:rsidRPr="009F2EFF" w:rsidRDefault="00C77219" w:rsidP="000B38ED">
      <w:pPr>
        <w:pStyle w:val="Zkladntext"/>
        <w:numPr>
          <w:ilvl w:val="0"/>
          <w:numId w:val="6"/>
        </w:numPr>
        <w:spacing w:line="360" w:lineRule="auto"/>
        <w:ind w:left="357" w:hanging="357"/>
        <w:rPr>
          <w:rFonts w:asciiTheme="minorHAnsi" w:hAnsiTheme="minorHAnsi" w:cstheme="minorHAnsi"/>
          <w:szCs w:val="23"/>
        </w:rPr>
      </w:pPr>
      <w:r w:rsidRPr="009F2EFF">
        <w:rPr>
          <w:rFonts w:asciiTheme="minorHAnsi" w:hAnsiTheme="minorHAnsi" w:cstheme="minorHAnsi"/>
          <w:szCs w:val="23"/>
          <w:lang w:bidi="en-GB"/>
        </w:rPr>
        <w:t>The purpose of the Compensation for Unlawful Sterilisation Survivors Act is not fulfilled merely by the possibility to apply for compensation, but rather only by the application of the Act itself to specific cases. The Ministry is supposed to remedy the unacceptable interference by the State in fundamental human rights, not to aggravate it.</w:t>
      </w:r>
    </w:p>
    <w:p w14:paraId="6B613EC8" w14:textId="47D5F9F3" w:rsidR="001503A9" w:rsidRPr="00E97AF2" w:rsidRDefault="001503A9" w:rsidP="00797885">
      <w:pPr>
        <w:pStyle w:val="Nadpis3"/>
      </w:pPr>
      <w:r w:rsidRPr="00E97AF2">
        <w:rPr>
          <w:lang w:bidi="en-GB"/>
        </w:rPr>
        <w:t>Recommendations</w:t>
      </w:r>
    </w:p>
    <w:p w14:paraId="7664A471" w14:textId="675641EA" w:rsidR="00C77219" w:rsidRPr="009F2EFF" w:rsidRDefault="00C77219" w:rsidP="000B38ED">
      <w:pPr>
        <w:pStyle w:val="slovanseznam"/>
        <w:numPr>
          <w:ilvl w:val="0"/>
          <w:numId w:val="15"/>
        </w:numPr>
      </w:pPr>
      <w:r w:rsidRPr="009F2EFF">
        <w:rPr>
          <w:lang w:bidi="en-GB"/>
        </w:rPr>
        <w:t>Reinforce the staffing of the Ministry’s department that handles compensation claims.</w:t>
      </w:r>
    </w:p>
    <w:p w14:paraId="6F33204C" w14:textId="7FD836A3" w:rsidR="00C77219" w:rsidRPr="009F2EFF" w:rsidRDefault="00C77219" w:rsidP="000B38ED">
      <w:pPr>
        <w:pStyle w:val="slovanseznam"/>
        <w:numPr>
          <w:ilvl w:val="0"/>
          <w:numId w:val="15"/>
        </w:numPr>
      </w:pPr>
      <w:r w:rsidRPr="009F2EFF">
        <w:rPr>
          <w:lang w:bidi="en-GB"/>
        </w:rPr>
        <w:t>Ensure that the statutory time limits are complied with in proceedings on applications and appeals against refusals.</w:t>
      </w:r>
    </w:p>
    <w:p w14:paraId="150CA8C7" w14:textId="77777777" w:rsidR="00D73CED" w:rsidRDefault="00C77219" w:rsidP="000B38ED">
      <w:pPr>
        <w:pStyle w:val="slovanseznam"/>
        <w:numPr>
          <w:ilvl w:val="0"/>
          <w:numId w:val="15"/>
        </w:numPr>
      </w:pPr>
      <w:r w:rsidRPr="009F2EFF">
        <w:rPr>
          <w:lang w:bidi="en-GB"/>
        </w:rPr>
        <w:lastRenderedPageBreak/>
        <w:t>Require adherence to the current case law of administrative courts.</w:t>
      </w:r>
    </w:p>
    <w:p w14:paraId="1E4C3D40" w14:textId="0525C53F" w:rsidR="00C77219" w:rsidRPr="00D73CED" w:rsidRDefault="00C77219" w:rsidP="00D73CED">
      <w:pPr>
        <w:pStyle w:val="slovanseznam"/>
        <w:numPr>
          <w:ilvl w:val="0"/>
          <w:numId w:val="0"/>
        </w:numPr>
        <w:rPr>
          <w:sz w:val="2"/>
          <w:szCs w:val="2"/>
        </w:rPr>
      </w:pPr>
      <w:r w:rsidRPr="00D73CED">
        <w:rPr>
          <w:sz w:val="2"/>
          <w:szCs w:val="2"/>
          <w:lang w:bidi="en-GB"/>
        </w:rPr>
        <w:t>*</w:t>
      </w:r>
    </w:p>
    <w:p w14:paraId="6763CEB8" w14:textId="77777777" w:rsidR="003D477F" w:rsidRPr="00E97AF2" w:rsidRDefault="003D477F" w:rsidP="009F2EFF">
      <w:pPr>
        <w:pStyle w:val="Zkladntext"/>
        <w:spacing w:line="360" w:lineRule="auto"/>
        <w:rPr>
          <w:rFonts w:asciiTheme="minorHAnsi" w:hAnsiTheme="minorHAnsi" w:cstheme="minorHAnsi"/>
          <w:szCs w:val="23"/>
          <w:highlight w:val="yellow"/>
        </w:rPr>
      </w:pPr>
    </w:p>
    <w:sectPr w:rsidR="003D477F" w:rsidRPr="00E97AF2" w:rsidSect="008C3233">
      <w:footerReference w:type="default" r:id="rId9"/>
      <w:pgSz w:w="11906" w:h="16838" w:code="9"/>
      <w:pgMar w:top="1701" w:right="1440" w:bottom="1440" w:left="1440" w:header="658"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C027D" w14:textId="77777777" w:rsidR="00F60EB5" w:rsidRDefault="00F60EB5" w:rsidP="00D9796D">
      <w:pPr>
        <w:spacing w:after="0" w:line="240" w:lineRule="auto"/>
      </w:pPr>
      <w:r>
        <w:separator/>
      </w:r>
    </w:p>
  </w:endnote>
  <w:endnote w:type="continuationSeparator" w:id="0">
    <w:p w14:paraId="60FAABE6" w14:textId="77777777" w:rsidR="00F60EB5" w:rsidRDefault="00F60EB5" w:rsidP="00D9796D">
      <w:pPr>
        <w:spacing w:after="0" w:line="240" w:lineRule="auto"/>
      </w:pPr>
      <w:r>
        <w:continuationSeparator/>
      </w:r>
    </w:p>
  </w:endnote>
  <w:endnote w:type="continuationNotice" w:id="1">
    <w:p w14:paraId="50388CA0" w14:textId="77777777" w:rsidR="00F60EB5" w:rsidRDefault="00F60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9481497"/>
      <w:docPartObj>
        <w:docPartGallery w:val="Page Numbers (Bottom of Page)"/>
        <w:docPartUnique/>
      </w:docPartObj>
    </w:sdtPr>
    <w:sdtEndPr/>
    <w:sdtContent>
      <w:p w14:paraId="2A0CCB8B" w14:textId="670EE880" w:rsidR="007A5ED2" w:rsidRDefault="007A5ED2">
        <w:pPr>
          <w:pStyle w:val="Zpat"/>
          <w:jc w:val="center"/>
        </w:pPr>
        <w:r>
          <w:rPr>
            <w:lang w:bidi="en-GB"/>
          </w:rPr>
          <w:fldChar w:fldCharType="begin"/>
        </w:r>
        <w:r>
          <w:rPr>
            <w:lang w:bidi="en-GB"/>
          </w:rPr>
          <w:instrText>PAGE   \* MERGEFORMAT</w:instrText>
        </w:r>
        <w:r>
          <w:rPr>
            <w:lang w:bidi="en-GB"/>
          </w:rPr>
          <w:fldChar w:fldCharType="separate"/>
        </w:r>
        <w:r w:rsidR="00895CA0">
          <w:rPr>
            <w:noProof/>
            <w:lang w:bidi="en-GB"/>
          </w:rPr>
          <w:t>10</w:t>
        </w:r>
        <w:r>
          <w:rPr>
            <w:lang w:bidi="en-GB"/>
          </w:rPr>
          <w:fldChar w:fldCharType="end"/>
        </w:r>
      </w:p>
    </w:sdtContent>
  </w:sdt>
  <w:p w14:paraId="5626ED34" w14:textId="77777777" w:rsidR="007A5ED2" w:rsidRDefault="007A5ED2">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D11CD" w14:textId="77777777" w:rsidR="00F60EB5" w:rsidRDefault="00F60EB5" w:rsidP="00D9796D">
      <w:pPr>
        <w:spacing w:after="0" w:line="240" w:lineRule="auto"/>
      </w:pPr>
      <w:r>
        <w:separator/>
      </w:r>
    </w:p>
  </w:footnote>
  <w:footnote w:type="continuationSeparator" w:id="0">
    <w:p w14:paraId="431C1F2B" w14:textId="77777777" w:rsidR="00F60EB5" w:rsidRDefault="00F60EB5" w:rsidP="00D9796D">
      <w:pPr>
        <w:spacing w:after="0" w:line="240" w:lineRule="auto"/>
      </w:pPr>
      <w:r>
        <w:continuationSeparator/>
      </w:r>
    </w:p>
  </w:footnote>
  <w:footnote w:type="continuationNotice" w:id="1">
    <w:p w14:paraId="6325F771" w14:textId="77777777" w:rsidR="00F60EB5" w:rsidRDefault="00F60EB5">
      <w:pPr>
        <w:spacing w:after="0" w:line="240" w:lineRule="auto"/>
      </w:pPr>
    </w:p>
  </w:footnote>
  <w:footnote w:id="2">
    <w:p w14:paraId="61020B1A" w14:textId="4E0241A8" w:rsidR="00BA6FE7" w:rsidRDefault="00BA6FE7">
      <w:pPr>
        <w:pStyle w:val="Textpoznpodarou"/>
      </w:pPr>
      <w:r>
        <w:rPr>
          <w:rStyle w:val="Znakapoznpodarou"/>
          <w:lang w:bidi="en-GB"/>
        </w:rPr>
        <w:footnoteRef/>
      </w:r>
      <w:r>
        <w:rPr>
          <w:lang w:bidi="en-GB"/>
        </w:rPr>
        <w:t xml:space="preserve"> Ombudsman’s observations, </w:t>
      </w:r>
      <w:hyperlink r:id="rId1" w:history="1">
        <w:r w:rsidRPr="00BA6FE7">
          <w:rPr>
            <w:rStyle w:val="Hypertextovodkaz"/>
            <w:lang w:bidi="en-GB"/>
          </w:rPr>
          <w:t>File No. 45601/2019/S</w:t>
        </w:r>
      </w:hyperlink>
      <w:r>
        <w:rPr>
          <w:lang w:bidi="en-GB"/>
        </w:rPr>
        <w:t>.</w:t>
      </w:r>
      <w:r w:rsidR="00AF4D11">
        <w:rPr>
          <w:lang w:bidi="en-GB"/>
        </w:rPr>
        <w:t xml:space="preserve"> All my documents are a</w:t>
      </w:r>
      <w:r w:rsidR="00AF4D11" w:rsidRPr="00AF4D11">
        <w:rPr>
          <w:lang w:bidi="en-GB"/>
        </w:rPr>
        <w:t xml:space="preserve">vailable in the ESO database at </w:t>
      </w:r>
      <w:hyperlink r:id="rId2" w:history="1">
        <w:r w:rsidR="00AF4D11" w:rsidRPr="00062646">
          <w:rPr>
            <w:rStyle w:val="Hypertextovodkaz"/>
            <w:lang w:bidi="en-GB"/>
          </w:rPr>
          <w:t>https://eso.ochrance.cz/</w:t>
        </w:r>
      </w:hyperlink>
      <w:r w:rsidR="00AF4D11">
        <w:rPr>
          <w:lang w:bidi="en-GB"/>
        </w:rPr>
        <w:t xml:space="preserve"> </w:t>
      </w:r>
    </w:p>
  </w:footnote>
  <w:footnote w:id="3">
    <w:p w14:paraId="1F21AC8E" w14:textId="2577E102" w:rsidR="007A5ED2" w:rsidRPr="001D7383" w:rsidRDefault="007A5ED2" w:rsidP="00E23C76">
      <w:pPr>
        <w:pStyle w:val="Textpoznpodarou"/>
        <w:ind w:left="113" w:hanging="113"/>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report, </w:t>
      </w:r>
      <w:hyperlink r:id="rId3" w:history="1">
        <w:r w:rsidRPr="00635EDD">
          <w:rPr>
            <w:rStyle w:val="Hypertextovodkaz"/>
            <w:rFonts w:asciiTheme="minorHAnsi" w:hAnsiTheme="minorHAnsi" w:cstheme="minorHAnsi"/>
            <w:lang w:bidi="en-GB"/>
          </w:rPr>
          <w:t>File No. 6101/2019/VOP</w:t>
        </w:r>
      </w:hyperlink>
      <w:r w:rsidRPr="001D7383">
        <w:rPr>
          <w:lang w:bidi="en-GB"/>
        </w:rPr>
        <w:t xml:space="preserve">, </w:t>
      </w:r>
      <w:r w:rsidRPr="00635EDD">
        <w:rPr>
          <w:rFonts w:asciiTheme="minorHAnsi" w:hAnsiTheme="minorHAnsi" w:cstheme="minorHAnsi"/>
          <w:lang w:bidi="en-GB"/>
        </w:rPr>
        <w:t xml:space="preserve">Ombudsman’s statement, </w:t>
      </w:r>
      <w:hyperlink r:id="rId4" w:history="1">
        <w:r w:rsidRPr="00635EDD">
          <w:rPr>
            <w:rStyle w:val="Hypertextovodkaz"/>
            <w:rFonts w:asciiTheme="minorHAnsi" w:hAnsiTheme="minorHAnsi" w:cstheme="minorHAnsi"/>
            <w:lang w:bidi="en-GB"/>
          </w:rPr>
          <w:t>File No. 775/2020/VOP</w:t>
        </w:r>
      </w:hyperlink>
      <w:r w:rsidRPr="001D7383">
        <w:rPr>
          <w:lang w:bidi="en-GB"/>
        </w:rPr>
        <w:t>.</w:t>
      </w:r>
      <w:r>
        <w:rPr>
          <w:lang w:bidi="en-GB"/>
        </w:rPr>
        <w:t xml:space="preserve">  </w:t>
      </w:r>
    </w:p>
  </w:footnote>
  <w:footnote w:id="4">
    <w:p w14:paraId="2A0A1F79" w14:textId="034961E9" w:rsidR="007A5ED2" w:rsidRPr="001D7383" w:rsidRDefault="007A5ED2" w:rsidP="00465E8F">
      <w:pPr>
        <w:pStyle w:val="Textpoznpodarou"/>
      </w:pPr>
      <w:r w:rsidRPr="001D7383">
        <w:rPr>
          <w:rStyle w:val="Znakapoznpodarou"/>
          <w:rFonts w:asciiTheme="minorHAnsi" w:hAnsiTheme="minorHAnsi" w:cstheme="minorHAnsi"/>
          <w:lang w:bidi="en-GB"/>
        </w:rPr>
        <w:footnoteRef/>
      </w:r>
      <w:r w:rsidR="003364D9">
        <w:rPr>
          <w:rFonts w:asciiTheme="minorHAnsi" w:hAnsiTheme="minorHAnsi" w:cstheme="minorHAnsi"/>
          <w:lang w:bidi="en-GB"/>
        </w:rPr>
        <w:t xml:space="preserve"> Ombudsman’s letter, </w:t>
      </w:r>
      <w:hyperlink r:id="rId5" w:history="1">
        <w:r w:rsidRPr="00635EDD">
          <w:rPr>
            <w:rStyle w:val="Hypertextovodkaz"/>
            <w:rFonts w:asciiTheme="minorHAnsi" w:hAnsiTheme="minorHAnsi" w:cstheme="minorHAnsi"/>
            <w:lang w:bidi="en-GB"/>
          </w:rPr>
          <w:t>File No. 4683/2021/VOP</w:t>
        </w:r>
      </w:hyperlink>
      <w:r>
        <w:rPr>
          <w:lang w:bidi="en-GB"/>
        </w:rPr>
        <w:t>.</w:t>
      </w:r>
    </w:p>
  </w:footnote>
  <w:footnote w:id="5">
    <w:p w14:paraId="61662B03" w14:textId="2A65A475"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report, </w:t>
      </w:r>
      <w:hyperlink r:id="rId6" w:history="1">
        <w:r w:rsidRPr="00635EDD">
          <w:rPr>
            <w:rStyle w:val="Hypertextovodkaz"/>
            <w:rFonts w:asciiTheme="minorHAnsi" w:hAnsiTheme="minorHAnsi" w:cstheme="minorHAnsi"/>
            <w:lang w:bidi="en-GB"/>
          </w:rPr>
          <w:t xml:space="preserve">File No. </w:t>
        </w:r>
        <w:r w:rsidRPr="00635EDD">
          <w:rPr>
            <w:rStyle w:val="Hypertextovodkaz"/>
            <w:rFonts w:asciiTheme="minorHAnsi" w:hAnsiTheme="minorHAnsi" w:cstheme="minorHAnsi"/>
            <w:shd w:val="clear" w:color="auto" w:fill="FFFFFF"/>
            <w:lang w:bidi="en-GB"/>
          </w:rPr>
          <w:t>3127/2019/VOP</w:t>
        </w:r>
      </w:hyperlink>
      <w:r>
        <w:rPr>
          <w:color w:val="333333"/>
          <w:shd w:val="clear" w:color="auto" w:fill="FFFFFF"/>
          <w:lang w:bidi="en-GB"/>
        </w:rPr>
        <w:t>.</w:t>
      </w:r>
    </w:p>
  </w:footnote>
  <w:footnote w:id="6">
    <w:p w14:paraId="278D0BED" w14:textId="273843A7" w:rsidR="007A5ED2" w:rsidRPr="001D7383" w:rsidRDefault="007A5ED2" w:rsidP="00832289">
      <w:pPr>
        <w:pStyle w:val="Textpoznpodarou"/>
        <w:ind w:left="113" w:hanging="113"/>
      </w:pPr>
      <w:r w:rsidRPr="001D7383">
        <w:rPr>
          <w:rStyle w:val="Znakapoznpodarou"/>
          <w:rFonts w:asciiTheme="minorHAnsi" w:hAnsiTheme="minorHAnsi" w:cstheme="minorHAnsi"/>
          <w:lang w:bidi="en-GB"/>
        </w:rPr>
        <w:footnoteRef/>
      </w:r>
      <w:r w:rsidRPr="001D7383">
        <w:rPr>
          <w:lang w:bidi="en-GB"/>
        </w:rPr>
        <w:t xml:space="preserve"> </w:t>
      </w:r>
      <w:hyperlink r:id="rId7" w:history="1">
        <w:r w:rsidRPr="00537E5D">
          <w:rPr>
            <w:rStyle w:val="Hypertextovodkaz"/>
            <w:rFonts w:asciiTheme="minorHAnsi" w:hAnsiTheme="minorHAnsi" w:cstheme="minorHAnsi"/>
            <w:lang w:bidi="en-GB"/>
          </w:rPr>
          <w:t>Office of the Government of the Czech Republic, Resolution of the Government Council for Human Rights on the detention of minor children of foreign nationals of 25 October 2023</w:t>
        </w:r>
      </w:hyperlink>
      <w:r>
        <w:rPr>
          <w:rFonts w:asciiTheme="minorHAnsi" w:hAnsiTheme="minorHAnsi" w:cstheme="minorHAnsi"/>
          <w:lang w:bidi="en-GB"/>
        </w:rPr>
        <w:t>.</w:t>
      </w:r>
    </w:p>
  </w:footnote>
  <w:footnote w:id="7">
    <w:p w14:paraId="721372F9" w14:textId="77777777" w:rsidR="00987C13" w:rsidRPr="001D7383" w:rsidRDefault="00987C13" w:rsidP="00987C13">
      <w:pPr>
        <w:pStyle w:val="Textpoznpodarou"/>
        <w:ind w:left="113" w:hanging="113"/>
      </w:pPr>
      <w:r w:rsidRPr="001D7383">
        <w:rPr>
          <w:rStyle w:val="Znakapoznpodarou"/>
          <w:rFonts w:asciiTheme="minorHAnsi" w:hAnsiTheme="minorHAnsi" w:cstheme="minorHAnsi"/>
          <w:lang w:bidi="en-GB"/>
        </w:rPr>
        <w:footnoteRef/>
      </w:r>
      <w:r w:rsidRPr="001D7383">
        <w:rPr>
          <w:lang w:bidi="en-GB"/>
        </w:rPr>
        <w:t xml:space="preserve"> </w:t>
      </w:r>
      <w:hyperlink r:id="rId8" w:history="1">
        <w:r w:rsidRPr="00537E5D">
          <w:rPr>
            <w:rStyle w:val="Hypertextovodkaz"/>
            <w:rFonts w:asciiTheme="minorHAnsi" w:hAnsiTheme="minorHAnsi" w:cstheme="minorHAnsi"/>
            <w:lang w:bidi="en-GB"/>
          </w:rPr>
          <w:t>Group of Experts on Action against Trafficking in Human Beings: Report concerning the implementation of the Council of Europe Convention on Action against Trafficking in Human Beings by the Czech Republic, GRETA(2024)11, paragraph 164</w:t>
        </w:r>
      </w:hyperlink>
      <w:r w:rsidRPr="001D7383">
        <w:rPr>
          <w:lang w:bidi="en-GB"/>
        </w:rPr>
        <w:t>.</w:t>
      </w:r>
    </w:p>
  </w:footnote>
  <w:footnote w:id="8">
    <w:p w14:paraId="690F43E9" w14:textId="2A6511E1" w:rsidR="007A5ED2" w:rsidRPr="001D7383" w:rsidRDefault="007A5ED2" w:rsidP="00832289">
      <w:pPr>
        <w:pStyle w:val="Textpoznpodarou"/>
        <w:ind w:left="113" w:hanging="113"/>
      </w:pPr>
      <w:r w:rsidRPr="001D7383">
        <w:rPr>
          <w:rStyle w:val="Znakapoznpodarou"/>
          <w:rFonts w:asciiTheme="minorHAnsi" w:hAnsiTheme="minorHAnsi" w:cstheme="minorHAnsi"/>
          <w:lang w:bidi="en-GB"/>
        </w:rPr>
        <w:footnoteRef/>
      </w:r>
      <w:r w:rsidRPr="001D7383">
        <w:rPr>
          <w:lang w:bidi="en-GB"/>
        </w:rPr>
        <w:t xml:space="preserve"> </w:t>
      </w:r>
      <w:hyperlink r:id="rId9" w:anchor=":~:text=C%C3%ADlem%20Pro%C2%ADgramu%20je%20poskytnout%20t%C4%9Bmto%20ob%C4%9Btem%20podporu%20a,pachatel%C5%AF%20trestn%C3%BDch%20%C4%8Din%C5%AF%20souvisej%C3%ADc%C3%ADch%20s%20obcho%C2%ADdov%C3%A1n%C3%ADm%20s%20lidmi." w:history="1">
        <w:r w:rsidRPr="00537E5D">
          <w:rPr>
            <w:rStyle w:val="Hypertextovodkaz"/>
            <w:rFonts w:asciiTheme="minorHAnsi" w:hAnsiTheme="minorHAnsi" w:cstheme="minorHAnsi"/>
            <w:lang w:bidi="en-GB"/>
          </w:rPr>
          <w:t>Programme of Support and Protection of Victims of Trafficking in Human Beings – Ministry of the Interior of the Czech Republic</w:t>
        </w:r>
      </w:hyperlink>
      <w:r w:rsidRPr="001D7383">
        <w:rPr>
          <w:lang w:bidi="en-GB"/>
        </w:rPr>
        <w:t>.</w:t>
      </w:r>
    </w:p>
  </w:footnote>
  <w:footnote w:id="9">
    <w:p w14:paraId="51B38DD4" w14:textId="112D9A03"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letter, File Nos</w:t>
      </w:r>
      <w:hyperlink r:id="rId10" w:history="1">
        <w:r w:rsidRPr="00635EDD">
          <w:rPr>
            <w:rStyle w:val="Hypertextovodkaz"/>
            <w:rFonts w:asciiTheme="minorHAnsi" w:hAnsiTheme="minorHAnsi" w:cstheme="minorHAnsi"/>
            <w:lang w:bidi="en-GB"/>
          </w:rPr>
          <w:t>. 12715/2022/VOP, 11982/2022/VOP, 11981/2022/VOP</w:t>
        </w:r>
      </w:hyperlink>
      <w:r>
        <w:rPr>
          <w:lang w:bidi="en-GB"/>
        </w:rPr>
        <w:t>.</w:t>
      </w:r>
    </w:p>
  </w:footnote>
  <w:footnote w:id="10">
    <w:p w14:paraId="1F97D6DA" w14:textId="37274265"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survey report, </w:t>
      </w:r>
      <w:hyperlink r:id="rId11" w:history="1">
        <w:r w:rsidRPr="00635EDD">
          <w:rPr>
            <w:rStyle w:val="Hypertextovodkaz"/>
            <w:rFonts w:asciiTheme="minorHAnsi" w:hAnsiTheme="minorHAnsi" w:cstheme="minorHAnsi"/>
            <w:lang w:bidi="en-GB"/>
          </w:rPr>
          <w:t>File No. 30/2023/DIS</w:t>
        </w:r>
      </w:hyperlink>
      <w:r w:rsidRPr="001D7383">
        <w:rPr>
          <w:lang w:bidi="en-GB"/>
        </w:rPr>
        <w:t>, available</w:t>
      </w:r>
      <w:r w:rsidR="00D70271">
        <w:rPr>
          <w:lang w:bidi="en-GB"/>
        </w:rPr>
        <w:t xml:space="preserve"> in </w:t>
      </w:r>
      <w:hyperlink r:id="rId12" w:history="1">
        <w:r w:rsidR="00D70271" w:rsidRPr="00D70271">
          <w:rPr>
            <w:rStyle w:val="Hypertextovodkaz"/>
            <w:lang w:bidi="en-GB"/>
          </w:rPr>
          <w:t>English</w:t>
        </w:r>
      </w:hyperlink>
      <w:r w:rsidRPr="001D7383">
        <w:rPr>
          <w:lang w:bidi="en-GB"/>
        </w:rPr>
        <w:t>.</w:t>
      </w:r>
    </w:p>
  </w:footnote>
  <w:footnote w:id="11">
    <w:p w14:paraId="4C800642" w14:textId="56B31731" w:rsidR="00811839" w:rsidRPr="001D7383" w:rsidRDefault="00811839" w:rsidP="00811839">
      <w:pPr>
        <w:pStyle w:val="Textpoznpodarou"/>
        <w:rPr>
          <w:highlight w:val="yellow"/>
        </w:rPr>
      </w:pPr>
      <w:r w:rsidRPr="001D7383">
        <w:rPr>
          <w:rStyle w:val="Znakapoznpodarou"/>
          <w:rFonts w:asciiTheme="minorHAnsi" w:hAnsiTheme="minorHAnsi" w:cstheme="minorHAnsi"/>
          <w:lang w:bidi="en-GB"/>
        </w:rPr>
        <w:footnoteRef/>
      </w:r>
      <w:r>
        <w:rPr>
          <w:lang w:bidi="en-GB"/>
        </w:rPr>
        <w:t xml:space="preserve"> Cf. </w:t>
      </w:r>
      <w:hyperlink r:id="rId13" w:history="1">
        <w:r w:rsidRPr="00537E5D">
          <w:rPr>
            <w:rStyle w:val="Hypertextovodkaz"/>
            <w:rFonts w:asciiTheme="minorHAnsi" w:hAnsiTheme="minorHAnsi" w:cstheme="minorHAnsi"/>
            <w:lang w:bidi="en-GB"/>
          </w:rPr>
          <w:t>EASPD, Empowering Families and Informal Carers, Policy Paper</w:t>
        </w:r>
      </w:hyperlink>
      <w:r>
        <w:rPr>
          <w:lang w:bidi="en-GB"/>
        </w:rPr>
        <w:t xml:space="preserve">. </w:t>
      </w:r>
    </w:p>
  </w:footnote>
  <w:footnote w:id="12">
    <w:p w14:paraId="106A3C3E" w14:textId="4003C9A4" w:rsidR="007A5ED2" w:rsidRPr="001D7383" w:rsidRDefault="007A5ED2" w:rsidP="00465E8F">
      <w:pPr>
        <w:pStyle w:val="Textpoznpodarou"/>
      </w:pPr>
      <w:r w:rsidRPr="001D7383">
        <w:rPr>
          <w:rStyle w:val="Znakapoznpodarou"/>
          <w:rFonts w:asciiTheme="minorHAnsi" w:hAnsiTheme="minorHAnsi" w:cstheme="minorHAnsi"/>
          <w:lang w:bidi="en-GB"/>
        </w:rPr>
        <w:footnoteRef/>
      </w:r>
      <w:r>
        <w:rPr>
          <w:lang w:bidi="en-GB"/>
        </w:rPr>
        <w:t xml:space="preserve"> Ombudsman’s survey reports: PAS, </w:t>
      </w:r>
      <w:hyperlink r:id="rId14" w:history="1">
        <w:r w:rsidRPr="00152650">
          <w:rPr>
            <w:rStyle w:val="Hypertextovodkaz"/>
            <w:lang w:bidi="en-GB"/>
          </w:rPr>
          <w:t>File No. 45/2018/OZP/VV</w:t>
        </w:r>
      </w:hyperlink>
      <w:r>
        <w:rPr>
          <w:lang w:bidi="en-GB"/>
        </w:rPr>
        <w:t xml:space="preserve">; children with disabilities, </w:t>
      </w:r>
      <w:hyperlink r:id="rId15" w:history="1">
        <w:r w:rsidRPr="00152650">
          <w:rPr>
            <w:rStyle w:val="Hypertextovodkaz"/>
            <w:lang w:bidi="en-GB"/>
          </w:rPr>
          <w:t>File No. 11/2019/OZP/MPA</w:t>
        </w:r>
      </w:hyperlink>
      <w:r>
        <w:rPr>
          <w:lang w:bidi="en-GB"/>
        </w:rPr>
        <w:t xml:space="preserve">; deinstitutionalisation, </w:t>
      </w:r>
      <w:hyperlink r:id="rId16" w:history="1">
        <w:r w:rsidRPr="00152650">
          <w:rPr>
            <w:rStyle w:val="Hypertextovodkaz"/>
            <w:lang w:bidi="en-GB"/>
          </w:rPr>
          <w:t>File No. 27/2022/OZP/AN</w:t>
        </w:r>
      </w:hyperlink>
      <w:r>
        <w:rPr>
          <w:lang w:bidi="en-GB"/>
        </w:rPr>
        <w:t xml:space="preserve">; CRPD monitoring </w:t>
      </w:r>
      <w:hyperlink r:id="rId17" w:history="1">
        <w:r w:rsidRPr="00152650">
          <w:rPr>
            <w:rStyle w:val="Hypertextovodkaz"/>
            <w:lang w:bidi="en-GB"/>
          </w:rPr>
          <w:t>File No. 73/2024/OZP/PPO</w:t>
        </w:r>
      </w:hyperlink>
      <w:r>
        <w:rPr>
          <w:lang w:bidi="en-GB"/>
        </w:rPr>
        <w:t>.</w:t>
      </w:r>
    </w:p>
  </w:footnote>
  <w:footnote w:id="13">
    <w:p w14:paraId="5695D3AA" w14:textId="08364798" w:rsidR="007A5ED2" w:rsidRPr="001D7383" w:rsidRDefault="007A5ED2" w:rsidP="00465E8F">
      <w:pPr>
        <w:pStyle w:val="Textpoznpodarou"/>
      </w:pPr>
      <w:r w:rsidRPr="001D7383">
        <w:rPr>
          <w:rStyle w:val="Znakapoznpodarou"/>
          <w:rFonts w:asciiTheme="minorHAnsi" w:hAnsiTheme="minorHAnsi" w:cstheme="minorHAnsi"/>
          <w:lang w:bidi="en-GB"/>
        </w:rPr>
        <w:footnoteRef/>
      </w:r>
      <w:r w:rsidR="0029782F">
        <w:rPr>
          <w:lang w:bidi="en-GB"/>
        </w:rPr>
        <w:t xml:space="preserve"> Collective complaint No. 245/2025, submitted to the European Committee of Social Rights. </w:t>
      </w:r>
      <w:hyperlink r:id="rId18" w:history="1">
        <w:r w:rsidRPr="001D7383">
          <w:rPr>
            <w:rStyle w:val="Hypertextovodkaz"/>
            <w:rFonts w:asciiTheme="minorHAnsi" w:hAnsiTheme="minorHAnsi" w:cstheme="minorHAnsi"/>
            <w:lang w:bidi="en-GB"/>
          </w:rPr>
          <w:t>Ombudsman’s press release of 20 November 2025</w:t>
        </w:r>
      </w:hyperlink>
      <w:r w:rsidR="0029782F">
        <w:rPr>
          <w:lang w:bidi="en-GB"/>
        </w:rPr>
        <w:t>.</w:t>
      </w:r>
    </w:p>
  </w:footnote>
  <w:footnote w:id="14">
    <w:p w14:paraId="4CE602FD" w14:textId="02EF916D" w:rsidR="007A5ED2" w:rsidRPr="001D7383" w:rsidRDefault="007A5ED2" w:rsidP="00465E8F">
      <w:pPr>
        <w:pStyle w:val="Textpoznpodarou"/>
      </w:pPr>
      <w:r w:rsidRPr="001D7383">
        <w:rPr>
          <w:rStyle w:val="Znakapoznpodarou"/>
          <w:rFonts w:asciiTheme="minorHAnsi" w:hAnsiTheme="minorHAnsi" w:cstheme="minorHAnsi"/>
          <w:lang w:bidi="en-GB"/>
        </w:rPr>
        <w:footnoteRef/>
      </w:r>
      <w:r w:rsidR="001F39CC">
        <w:rPr>
          <w:rFonts w:asciiTheme="minorHAnsi" w:hAnsiTheme="minorHAnsi" w:cstheme="minorHAnsi"/>
          <w:lang w:bidi="en-GB"/>
        </w:rPr>
        <w:t xml:space="preserve"> </w:t>
      </w:r>
      <w:r w:rsidRPr="00635EDD">
        <w:rPr>
          <w:rFonts w:asciiTheme="minorHAnsi" w:hAnsiTheme="minorHAnsi" w:cstheme="minorHAnsi"/>
          <w:lang w:bidi="en-GB"/>
        </w:rPr>
        <w:t xml:space="preserve">Ombudsman’s Annual Report for 2022, </w:t>
      </w:r>
      <w:hyperlink r:id="rId19" w:history="1">
        <w:r w:rsidRPr="00635EDD">
          <w:rPr>
            <w:rStyle w:val="Hypertextovodkaz"/>
            <w:rFonts w:asciiTheme="minorHAnsi" w:hAnsiTheme="minorHAnsi" w:cstheme="minorHAnsi"/>
            <w:lang w:bidi="en-GB"/>
          </w:rPr>
          <w:t>File No. 12011/2023/S</w:t>
        </w:r>
      </w:hyperlink>
      <w:r w:rsidRPr="00635EDD">
        <w:rPr>
          <w:rStyle w:val="Hypertextovodkaz"/>
          <w:rFonts w:asciiTheme="minorHAnsi" w:hAnsiTheme="minorHAnsi" w:cstheme="minorHAnsi"/>
          <w:color w:val="000000" w:themeColor="text1"/>
          <w:u w:val="none"/>
          <w:lang w:bidi="en-GB"/>
        </w:rPr>
        <w:t>, p. 10</w:t>
      </w:r>
      <w:r>
        <w:rPr>
          <w:lang w:bidi="en-GB"/>
        </w:rPr>
        <w:t xml:space="preserve">; </w:t>
      </w:r>
      <w:hyperlink r:id="rId20" w:history="1">
        <w:r>
          <w:rPr>
            <w:rStyle w:val="Hypertextovodkaz"/>
            <w:rFonts w:asciiTheme="minorHAnsi" w:hAnsiTheme="minorHAnsi" w:cstheme="minorHAnsi"/>
            <w:lang w:bidi="en-GB"/>
          </w:rPr>
          <w:t>Ombudsman’s press release of 16 April 2024</w:t>
        </w:r>
      </w:hyperlink>
      <w:r>
        <w:rPr>
          <w:lang w:bidi="en-GB"/>
        </w:rPr>
        <w:t xml:space="preserve">. </w:t>
      </w:r>
    </w:p>
  </w:footnote>
  <w:footnote w:id="15">
    <w:p w14:paraId="48C4BE6A" w14:textId="210DC9EE"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recommendation, </w:t>
      </w:r>
      <w:hyperlink r:id="rId21" w:history="1">
        <w:r w:rsidRPr="00635EDD">
          <w:rPr>
            <w:rStyle w:val="Hypertextovodkaz"/>
            <w:rFonts w:asciiTheme="minorHAnsi" w:hAnsiTheme="minorHAnsi" w:cstheme="minorHAnsi"/>
            <w:lang w:bidi="en-GB"/>
          </w:rPr>
          <w:t>File No. 54/2024/OZP/PH</w:t>
        </w:r>
      </w:hyperlink>
      <w:r>
        <w:rPr>
          <w:lang w:bidi="en-GB"/>
        </w:rPr>
        <w:t>.</w:t>
      </w:r>
    </w:p>
  </w:footnote>
  <w:footnote w:id="16">
    <w:p w14:paraId="4EC91ADD" w14:textId="45F5B2C0"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635EDD">
        <w:rPr>
          <w:rFonts w:asciiTheme="minorHAnsi" w:hAnsiTheme="minorHAnsi" w:cstheme="minorHAnsi"/>
          <w:lang w:bidi="en-GB"/>
        </w:rPr>
        <w:t xml:space="preserve"> Ombudsman’s survey report, </w:t>
      </w:r>
      <w:hyperlink r:id="rId22" w:history="1">
        <w:r w:rsidRPr="00635EDD">
          <w:rPr>
            <w:rStyle w:val="Hypertextovodkaz"/>
            <w:rFonts w:asciiTheme="minorHAnsi" w:hAnsiTheme="minorHAnsi" w:cstheme="minorHAnsi"/>
            <w:lang w:bidi="en-GB"/>
          </w:rPr>
          <w:t>File No. 1827/2025/VOP/BJ</w:t>
        </w:r>
      </w:hyperlink>
      <w:r w:rsidRPr="00635EDD">
        <w:rPr>
          <w:rStyle w:val="Hypertextovodkaz"/>
          <w:rFonts w:asciiTheme="minorHAnsi" w:hAnsiTheme="minorHAnsi" w:cstheme="minorHAnsi"/>
          <w:color w:val="000000" w:themeColor="text1"/>
          <w:u w:val="none"/>
          <w:lang w:bidi="en-GB"/>
        </w:rPr>
        <w:t>.</w:t>
      </w:r>
    </w:p>
  </w:footnote>
  <w:footnote w:id="17">
    <w:p w14:paraId="141872AB" w14:textId="475735B7"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1D7383">
        <w:rPr>
          <w:lang w:bidi="en-GB"/>
        </w:rPr>
        <w:t xml:space="preserve"> </w:t>
      </w:r>
      <w:hyperlink r:id="rId23" w:history="1">
        <w:proofErr w:type="spellStart"/>
        <w:r w:rsidRPr="00CC0C71">
          <w:rPr>
            <w:rStyle w:val="Hypertextovodkaz"/>
            <w:lang w:bidi="en-GB"/>
          </w:rPr>
          <w:t>Ipsos</w:t>
        </w:r>
        <w:proofErr w:type="spellEnd"/>
        <w:r w:rsidRPr="00CC0C71">
          <w:rPr>
            <w:rStyle w:val="Hypertextovodkaz"/>
            <w:lang w:bidi="en-GB"/>
          </w:rPr>
          <w:t xml:space="preserve">, T-Mobile, In </w:t>
        </w:r>
        <w:proofErr w:type="spellStart"/>
        <w:r w:rsidRPr="00CC0C71">
          <w:rPr>
            <w:rStyle w:val="Hypertextovodkaz"/>
            <w:lang w:bidi="en-GB"/>
          </w:rPr>
          <w:t>Iustitia</w:t>
        </w:r>
        <w:proofErr w:type="spellEnd"/>
        <w:r w:rsidRPr="00CC0C71">
          <w:rPr>
            <w:rStyle w:val="Hypertextovodkaz"/>
            <w:lang w:bidi="en-GB"/>
          </w:rPr>
          <w:t>: Cyberbullying and Hate Content Online</w:t>
        </w:r>
      </w:hyperlink>
      <w:r w:rsidRPr="001D7383">
        <w:rPr>
          <w:lang w:bidi="en-GB"/>
        </w:rPr>
        <w:t>.</w:t>
      </w:r>
    </w:p>
  </w:footnote>
  <w:footnote w:id="18">
    <w:p w14:paraId="08F3D08F" w14:textId="66810663" w:rsidR="007A5ED2" w:rsidRPr="001D7383" w:rsidRDefault="007A5ED2" w:rsidP="00465E8F">
      <w:pPr>
        <w:pStyle w:val="Textpoznpodarou"/>
        <w:rPr>
          <w:highlight w:val="yellow"/>
        </w:rPr>
      </w:pPr>
      <w:r w:rsidRPr="001D7383">
        <w:rPr>
          <w:rStyle w:val="Znakapoznpodarou"/>
          <w:rFonts w:asciiTheme="minorHAnsi" w:hAnsiTheme="minorHAnsi" w:cstheme="minorHAnsi"/>
          <w:lang w:bidi="en-GB"/>
        </w:rPr>
        <w:footnoteRef/>
      </w:r>
      <w:r w:rsidRPr="001D7383">
        <w:rPr>
          <w:lang w:bidi="en-GB"/>
        </w:rPr>
        <w:t xml:space="preserve"> </w:t>
      </w:r>
      <w:hyperlink r:id="rId24" w:history="1">
        <w:r w:rsidRPr="001D7383">
          <w:rPr>
            <w:rStyle w:val="Hypertextovodkaz"/>
            <w:rFonts w:asciiTheme="minorHAnsi" w:hAnsiTheme="minorHAnsi" w:cstheme="minorHAnsi"/>
            <w:lang w:bidi="en-GB"/>
          </w:rPr>
          <w:t>National Institute of Mental Health: National Monitoring of Child and Adolescent Mental Health</w:t>
        </w:r>
      </w:hyperlink>
      <w:r w:rsidRPr="001D7383">
        <w:rPr>
          <w:lang w:bidi="en-GB"/>
        </w:rPr>
        <w:t>.</w:t>
      </w:r>
    </w:p>
  </w:footnote>
  <w:footnote w:id="19">
    <w:p w14:paraId="0C94A78A" w14:textId="6BE7849E" w:rsidR="007A5ED2" w:rsidRPr="001D7383" w:rsidRDefault="007A5ED2" w:rsidP="0077703E">
      <w:pPr>
        <w:pStyle w:val="Textpoznpodarou"/>
      </w:pPr>
      <w:r w:rsidRPr="001D7383">
        <w:rPr>
          <w:rStyle w:val="Znakapoznpodarou"/>
          <w:rFonts w:asciiTheme="minorHAnsi" w:hAnsiTheme="minorHAnsi" w:cstheme="minorHAnsi"/>
          <w:lang w:bidi="en-GB"/>
        </w:rPr>
        <w:footnoteRef/>
      </w:r>
      <w:r w:rsidRPr="001D7383">
        <w:rPr>
          <w:lang w:bidi="en-GB"/>
        </w:rPr>
        <w:t xml:space="preserve"> </w:t>
      </w:r>
      <w:proofErr w:type="spellStart"/>
      <w:r w:rsidRPr="001D7383">
        <w:rPr>
          <w:lang w:bidi="en-GB"/>
        </w:rPr>
        <w:t>Koutek</w:t>
      </w:r>
      <w:proofErr w:type="spellEnd"/>
      <w:r w:rsidRPr="001D7383">
        <w:rPr>
          <w:lang w:bidi="en-GB"/>
        </w:rPr>
        <w:t xml:space="preserve">, </w:t>
      </w:r>
      <w:proofErr w:type="spellStart"/>
      <w:r w:rsidRPr="001D7383">
        <w:rPr>
          <w:lang w:bidi="en-GB"/>
        </w:rPr>
        <w:t>Jiří</w:t>
      </w:r>
      <w:proofErr w:type="spellEnd"/>
      <w:r w:rsidRPr="001D7383">
        <w:rPr>
          <w:lang w:bidi="en-GB"/>
        </w:rPr>
        <w:t xml:space="preserve"> and </w:t>
      </w:r>
      <w:proofErr w:type="spellStart"/>
      <w:r w:rsidRPr="001D7383">
        <w:rPr>
          <w:lang w:bidi="en-GB"/>
        </w:rPr>
        <w:t>Kocourková</w:t>
      </w:r>
      <w:proofErr w:type="spellEnd"/>
      <w:r w:rsidRPr="001D7383">
        <w:rPr>
          <w:lang w:bidi="en-GB"/>
        </w:rPr>
        <w:t xml:space="preserve">, Jana: Eating Disorders in Childhood and Adolescence, </w:t>
      </w:r>
      <w:proofErr w:type="spellStart"/>
      <w:r w:rsidRPr="001D7383">
        <w:rPr>
          <w:lang w:bidi="en-GB"/>
        </w:rPr>
        <w:t>Česko-Slovenská</w:t>
      </w:r>
      <w:proofErr w:type="spellEnd"/>
      <w:r w:rsidRPr="001D7383">
        <w:rPr>
          <w:lang w:bidi="en-GB"/>
        </w:rPr>
        <w:t xml:space="preserve"> </w:t>
      </w:r>
      <w:proofErr w:type="spellStart"/>
      <w:r w:rsidRPr="001D7383">
        <w:rPr>
          <w:lang w:bidi="en-GB"/>
        </w:rPr>
        <w:t>pediatrie</w:t>
      </w:r>
      <w:proofErr w:type="spellEnd"/>
      <w:r w:rsidRPr="001D7383">
        <w:rPr>
          <w:lang w:bidi="en-GB"/>
        </w:rPr>
        <w:t xml:space="preserve"> (</w:t>
      </w:r>
      <w:r w:rsidRPr="001D7383">
        <w:rPr>
          <w:i/>
          <w:lang w:bidi="en-GB"/>
        </w:rPr>
        <w:t>magazine</w:t>
      </w:r>
      <w:r w:rsidRPr="001D7383">
        <w:rPr>
          <w:lang w:bidi="en-GB"/>
        </w:rPr>
        <w:t>) No. 3/2024.</w:t>
      </w:r>
    </w:p>
  </w:footnote>
  <w:footnote w:id="20">
    <w:p w14:paraId="3DEC0557" w14:textId="48F5623B"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1D7383">
        <w:rPr>
          <w:lang w:bidi="en-GB"/>
        </w:rPr>
        <w:t xml:space="preserve"> </w:t>
      </w:r>
      <w:hyperlink r:id="rId25" w:history="1">
        <w:proofErr w:type="spellStart"/>
        <w:r>
          <w:rPr>
            <w:rStyle w:val="Hypertextovodkaz"/>
            <w:rFonts w:asciiTheme="minorHAnsi" w:hAnsiTheme="minorHAnsi" w:cstheme="minorHAnsi"/>
            <w:lang w:bidi="en-GB"/>
          </w:rPr>
          <w:t>Veselý</w:t>
        </w:r>
        <w:proofErr w:type="spellEnd"/>
        <w:r>
          <w:rPr>
            <w:rStyle w:val="Hypertextovodkaz"/>
            <w:rFonts w:asciiTheme="minorHAnsi" w:hAnsiTheme="minorHAnsi" w:cstheme="minorHAnsi"/>
            <w:lang w:bidi="en-GB"/>
          </w:rPr>
          <w:t xml:space="preserve"> </w:t>
        </w:r>
        <w:r>
          <w:rPr>
            <w:rStyle w:val="Hypertextovodkaz"/>
            <w:rFonts w:asciiTheme="minorHAnsi" w:hAnsiTheme="minorHAnsi" w:cstheme="minorHAnsi"/>
            <w:i/>
            <w:lang w:bidi="en-GB"/>
          </w:rPr>
          <w:t>et al.</w:t>
        </w:r>
        <w:r>
          <w:rPr>
            <w:rStyle w:val="Hypertextovodkaz"/>
            <w:rFonts w:asciiTheme="minorHAnsi" w:hAnsiTheme="minorHAnsi" w:cstheme="minorHAnsi"/>
            <w:lang w:bidi="en-GB"/>
          </w:rPr>
          <w:t>: Non-Suicidal Self-Injury in Czech Adolescents</w:t>
        </w:r>
      </w:hyperlink>
      <w:r w:rsidRPr="001D7383">
        <w:rPr>
          <w:lang w:bidi="en-GB"/>
        </w:rPr>
        <w:t>.</w:t>
      </w:r>
    </w:p>
  </w:footnote>
  <w:footnote w:id="21">
    <w:p w14:paraId="2295BAE4" w14:textId="7C05DA7A" w:rsidR="007A5ED2" w:rsidRPr="001D7383" w:rsidRDefault="007A5ED2" w:rsidP="0077703E">
      <w:pPr>
        <w:pStyle w:val="Textpoznpodarou"/>
      </w:pPr>
      <w:r w:rsidRPr="001D7383">
        <w:rPr>
          <w:rStyle w:val="Znakapoznpodarou"/>
          <w:rFonts w:asciiTheme="minorHAnsi" w:hAnsiTheme="minorHAnsi" w:cstheme="minorHAnsi"/>
          <w:lang w:bidi="en-GB"/>
        </w:rPr>
        <w:footnoteRef/>
      </w:r>
      <w:r w:rsidRPr="00CC0C71">
        <w:rPr>
          <w:rFonts w:asciiTheme="minorHAnsi" w:hAnsiTheme="minorHAnsi" w:cstheme="minorHAnsi"/>
          <w:lang w:bidi="en-GB"/>
        </w:rPr>
        <w:t xml:space="preserve"> Ombudsman’s submission within the Universal Periodic Review, </w:t>
      </w:r>
      <w:hyperlink r:id="rId26" w:history="1">
        <w:r>
          <w:rPr>
            <w:rStyle w:val="Hypertextovodkaz"/>
            <w:rFonts w:asciiTheme="minorHAnsi" w:hAnsiTheme="minorHAnsi" w:cstheme="minorHAnsi"/>
            <w:lang w:bidi="en-GB"/>
          </w:rPr>
          <w:t>File No. 37491/2022/S</w:t>
        </w:r>
      </w:hyperlink>
      <w:r w:rsidRPr="00CC0C71">
        <w:rPr>
          <w:rFonts w:asciiTheme="minorHAnsi" w:hAnsiTheme="minorHAnsi" w:cstheme="minorHAnsi"/>
          <w:lang w:bidi="en-GB"/>
        </w:rPr>
        <w:t xml:space="preserve">, paragraph 21 </w:t>
      </w:r>
      <w:r w:rsidRPr="00CC0C71">
        <w:rPr>
          <w:rFonts w:asciiTheme="minorHAnsi" w:hAnsiTheme="minorHAnsi" w:cstheme="minorHAnsi"/>
          <w:i/>
          <w:lang w:bidi="en-GB"/>
        </w:rPr>
        <w:t>et seq</w:t>
      </w:r>
      <w:r w:rsidR="00D70271">
        <w:rPr>
          <w:rFonts w:asciiTheme="minorHAnsi" w:hAnsiTheme="minorHAnsi" w:cstheme="minorHAnsi"/>
          <w:i/>
          <w:lang w:bidi="en-GB"/>
        </w:rPr>
        <w:t>. A</w:t>
      </w:r>
      <w:r w:rsidR="00D70271" w:rsidRPr="00E23C76">
        <w:t>vailable in English</w:t>
      </w:r>
      <w:r w:rsidRPr="00E23C76">
        <w:t>.</w:t>
      </w:r>
    </w:p>
  </w:footnote>
  <w:footnote w:id="22">
    <w:p w14:paraId="652F7FF6" w14:textId="7B164047"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1D7383">
        <w:rPr>
          <w:lang w:bidi="en-GB"/>
        </w:rPr>
        <w:t xml:space="preserve"> </w:t>
      </w:r>
      <w:hyperlink r:id="rId27" w:history="1">
        <w:r w:rsidRPr="00CC0C71">
          <w:rPr>
            <w:rStyle w:val="Hypertextovodkaz"/>
            <w:rFonts w:asciiTheme="minorHAnsi" w:hAnsiTheme="minorHAnsi" w:cstheme="minorHAnsi"/>
            <w:lang w:bidi="en-GB"/>
          </w:rPr>
          <w:t>ČTK: Half of Child Psychiatrists May Retire Soon, 300 Beds Missing</w:t>
        </w:r>
      </w:hyperlink>
      <w:r w:rsidRPr="00CC0C71">
        <w:rPr>
          <w:rFonts w:asciiTheme="minorHAnsi" w:hAnsiTheme="minorHAnsi" w:cstheme="minorHAnsi"/>
          <w:lang w:bidi="en-GB"/>
        </w:rPr>
        <w:t>.</w:t>
      </w:r>
    </w:p>
  </w:footnote>
  <w:footnote w:id="23">
    <w:p w14:paraId="70D40EA8" w14:textId="457D0D5A" w:rsidR="007A5ED2" w:rsidRPr="0068401B" w:rsidRDefault="007A5ED2">
      <w:pPr>
        <w:pStyle w:val="Textpoznpodarou"/>
      </w:pPr>
      <w:r w:rsidRPr="0068401B">
        <w:rPr>
          <w:rStyle w:val="Znakapoznpodarou"/>
          <w:lang w:bidi="en-GB"/>
        </w:rPr>
        <w:footnoteRef/>
      </w:r>
      <w:r w:rsidRPr="0068401B">
        <w:rPr>
          <w:lang w:bidi="en-GB"/>
        </w:rPr>
        <w:t xml:space="preserve"> </w:t>
      </w:r>
      <w:hyperlink r:id="rId28" w:history="1">
        <w:r w:rsidRPr="00425D39">
          <w:rPr>
            <w:rStyle w:val="Hypertextovodkaz"/>
            <w:lang w:bidi="en-GB"/>
          </w:rPr>
          <w:t>ČT24: A Critical Shortage of Paediatricians in the Czech Republic</w:t>
        </w:r>
        <w:r w:rsidRPr="00425D39">
          <w:rPr>
            <w:rStyle w:val="Hypertextovodkaz"/>
            <w:u w:val="none"/>
            <w:lang w:bidi="en-GB"/>
          </w:rPr>
          <w:t>.</w:t>
        </w:r>
      </w:hyperlink>
    </w:p>
  </w:footnote>
  <w:footnote w:id="24">
    <w:p w14:paraId="285D6CD5" w14:textId="6FEE7B92" w:rsidR="007A5ED2" w:rsidRDefault="007A5ED2">
      <w:pPr>
        <w:pStyle w:val="Textpoznpodarou"/>
      </w:pPr>
      <w:r>
        <w:rPr>
          <w:rStyle w:val="Znakapoznpodarou"/>
          <w:lang w:bidi="en-GB"/>
        </w:rPr>
        <w:footnoteRef/>
      </w:r>
      <w:r>
        <w:rPr>
          <w:lang w:bidi="en-GB"/>
        </w:rPr>
        <w:t xml:space="preserve"> </w:t>
      </w:r>
      <w:hyperlink r:id="rId29" w:history="1">
        <w:r w:rsidRPr="0068401B">
          <w:rPr>
            <w:rStyle w:val="Hypertextovodkaz"/>
            <w:lang w:bidi="en-GB"/>
          </w:rPr>
          <w:t>ČT24: Hundreds of Thousands of People in the Czech Republic Don’t Have a Dentist</w:t>
        </w:r>
      </w:hyperlink>
      <w:r>
        <w:rPr>
          <w:lang w:bidi="en-GB"/>
        </w:rPr>
        <w:t>.</w:t>
      </w:r>
    </w:p>
  </w:footnote>
  <w:footnote w:id="25">
    <w:p w14:paraId="655E84E0" w14:textId="782ADC27"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CC0C71">
        <w:rPr>
          <w:rFonts w:asciiTheme="minorHAnsi" w:hAnsiTheme="minorHAnsi" w:cstheme="minorHAnsi"/>
          <w:lang w:bidi="en-GB"/>
        </w:rPr>
        <w:t xml:space="preserve"> Ombudsman’s Annual Report for 2022, </w:t>
      </w:r>
      <w:hyperlink r:id="rId30" w:history="1">
        <w:r w:rsidRPr="00CC0C71">
          <w:rPr>
            <w:rStyle w:val="Hypertextovodkaz"/>
            <w:rFonts w:asciiTheme="minorHAnsi" w:hAnsiTheme="minorHAnsi" w:cstheme="minorHAnsi"/>
            <w:lang w:bidi="en-GB"/>
          </w:rPr>
          <w:t>File No. 12011/2023/S</w:t>
        </w:r>
      </w:hyperlink>
      <w:r w:rsidRPr="00CC0C71">
        <w:rPr>
          <w:rStyle w:val="Hypertextovodkaz"/>
          <w:rFonts w:asciiTheme="minorHAnsi" w:hAnsiTheme="minorHAnsi" w:cstheme="minorHAnsi"/>
          <w:color w:val="000000" w:themeColor="text1"/>
          <w:u w:val="none"/>
          <w:lang w:bidi="en-GB"/>
        </w:rPr>
        <w:t>.</w:t>
      </w:r>
      <w:r w:rsidR="0070545C" w:rsidDel="0070545C">
        <w:t xml:space="preserve"> </w:t>
      </w:r>
    </w:p>
  </w:footnote>
  <w:footnote w:id="26">
    <w:p w14:paraId="761C6787" w14:textId="39921B3D"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1D7383">
        <w:rPr>
          <w:lang w:bidi="en-GB"/>
        </w:rPr>
        <w:t xml:space="preserve"> </w:t>
      </w:r>
      <w:hyperlink r:id="rId31" w:history="1">
        <w:r w:rsidRPr="001D7383">
          <w:rPr>
            <w:rStyle w:val="Hypertextovodkaz"/>
            <w:rFonts w:asciiTheme="minorHAnsi" w:hAnsiTheme="minorHAnsi" w:cstheme="minorHAnsi"/>
            <w:lang w:bidi="en-GB"/>
          </w:rPr>
          <w:t>National Health Information Portal (NHIP): Selected Indicators of Health Care in Czech Maternity Hospitals – Data Summary</w:t>
        </w:r>
      </w:hyperlink>
      <w:r w:rsidRPr="00097A00">
        <w:rPr>
          <w:rStyle w:val="Hypertextovodkaz"/>
          <w:rFonts w:asciiTheme="minorHAnsi" w:hAnsiTheme="minorHAnsi" w:cstheme="minorHAnsi"/>
          <w:color w:val="000000" w:themeColor="text1"/>
          <w:u w:val="none"/>
          <w:lang w:bidi="en-GB"/>
        </w:rPr>
        <w:t>.</w:t>
      </w:r>
    </w:p>
  </w:footnote>
  <w:footnote w:id="27">
    <w:p w14:paraId="3ABCA44C" w14:textId="6CAF074F" w:rsidR="007A5ED2" w:rsidRPr="001D7383" w:rsidRDefault="007A5ED2" w:rsidP="00465E8F">
      <w:pPr>
        <w:pStyle w:val="Textpoznpodarou"/>
        <w:rPr>
          <w:highlight w:val="yellow"/>
        </w:rPr>
      </w:pPr>
      <w:r w:rsidRPr="001D7383">
        <w:rPr>
          <w:rStyle w:val="Znakapoznpodarou"/>
          <w:rFonts w:asciiTheme="minorHAnsi" w:hAnsiTheme="minorHAnsi" w:cstheme="minorHAnsi"/>
          <w:lang w:bidi="en-GB"/>
        </w:rPr>
        <w:footnoteRef/>
      </w:r>
      <w:r w:rsidRPr="001D7383">
        <w:rPr>
          <w:lang w:bidi="en-GB"/>
        </w:rPr>
        <w:t xml:space="preserve"> </w:t>
      </w:r>
      <w:hyperlink r:id="rId32" w:history="1">
        <w:r w:rsidRPr="001D7383">
          <w:rPr>
            <w:rStyle w:val="Hypertextovodkaz"/>
            <w:rFonts w:asciiTheme="minorHAnsi" w:hAnsiTheme="minorHAnsi" w:cstheme="minorHAnsi"/>
            <w:lang w:bidi="en-GB"/>
          </w:rPr>
          <w:t>Ombudsman’s press release of 22 June 2018</w:t>
        </w:r>
      </w:hyperlink>
      <w:r w:rsidRPr="00097A00">
        <w:rPr>
          <w:rStyle w:val="Hypertextovodkaz"/>
          <w:rFonts w:asciiTheme="minorHAnsi" w:hAnsiTheme="minorHAnsi" w:cstheme="minorHAnsi"/>
          <w:color w:val="000000" w:themeColor="text1"/>
          <w:u w:val="none"/>
          <w:lang w:bidi="en-GB"/>
        </w:rPr>
        <w:t>.</w:t>
      </w:r>
    </w:p>
  </w:footnote>
  <w:footnote w:id="28">
    <w:p w14:paraId="71F7D3FE" w14:textId="64F061F2" w:rsidR="007A5ED2" w:rsidRPr="001D7383" w:rsidRDefault="007A5ED2" w:rsidP="00465E8F">
      <w:pPr>
        <w:pStyle w:val="Textpoznpodarou"/>
        <w:rPr>
          <w:highlight w:val="yellow"/>
        </w:rPr>
      </w:pPr>
      <w:r w:rsidRPr="001D7383">
        <w:rPr>
          <w:rStyle w:val="Znakapoznpodarou"/>
          <w:rFonts w:asciiTheme="minorHAnsi" w:hAnsiTheme="minorHAnsi" w:cstheme="minorHAnsi"/>
          <w:lang w:bidi="en-GB"/>
        </w:rPr>
        <w:footnoteRef/>
      </w:r>
      <w:r w:rsidRPr="001D7383">
        <w:rPr>
          <w:lang w:bidi="en-GB"/>
        </w:rPr>
        <w:t xml:space="preserve"> </w:t>
      </w:r>
      <w:hyperlink r:id="rId33" w:history="1">
        <w:r w:rsidRPr="001D7383">
          <w:rPr>
            <w:rStyle w:val="Hypertextovodkaz"/>
            <w:rFonts w:asciiTheme="minorHAnsi" w:hAnsiTheme="minorHAnsi" w:cstheme="minorHAnsi"/>
            <w:lang w:bidi="en-GB"/>
          </w:rPr>
          <w:t xml:space="preserve">NHIP: </w:t>
        </w:r>
        <w:proofErr w:type="spellStart"/>
        <w:r w:rsidRPr="001D7383">
          <w:rPr>
            <w:rStyle w:val="Hypertextovodkaz"/>
            <w:rFonts w:asciiTheme="minorHAnsi" w:hAnsiTheme="minorHAnsi" w:cstheme="minorHAnsi"/>
            <w:lang w:bidi="en-GB"/>
          </w:rPr>
          <w:t>Newborns</w:t>
        </w:r>
        <w:proofErr w:type="spellEnd"/>
        <w:r w:rsidRPr="001D7383">
          <w:rPr>
            <w:rStyle w:val="Hypertextovodkaz"/>
            <w:rFonts w:asciiTheme="minorHAnsi" w:hAnsiTheme="minorHAnsi" w:cstheme="minorHAnsi"/>
            <w:lang w:bidi="en-GB"/>
          </w:rPr>
          <w:t xml:space="preserve"> and Care in the Delivery Room</w:t>
        </w:r>
      </w:hyperlink>
      <w:r w:rsidRPr="00097A00">
        <w:rPr>
          <w:rStyle w:val="Hypertextovodkaz"/>
          <w:rFonts w:asciiTheme="minorHAnsi" w:hAnsiTheme="minorHAnsi" w:cstheme="minorHAnsi"/>
          <w:color w:val="000000" w:themeColor="text1"/>
          <w:u w:val="none"/>
          <w:lang w:bidi="en-GB"/>
        </w:rPr>
        <w:t>.</w:t>
      </w:r>
    </w:p>
  </w:footnote>
  <w:footnote w:id="29">
    <w:p w14:paraId="2A0E9B4E" w14:textId="0DB3E015"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1D7383">
        <w:rPr>
          <w:lang w:bidi="en-GB"/>
        </w:rPr>
        <w:t xml:space="preserve"> Act No. 297/2021 Coll., on the provision of a one-off compensation for survivors of unlawful sterilisation and on the amendment of certain related laws.</w:t>
      </w:r>
    </w:p>
  </w:footnote>
  <w:footnote w:id="30">
    <w:p w14:paraId="08861A5D" w14:textId="601DF376" w:rsidR="007A5ED2" w:rsidRPr="001D7383" w:rsidRDefault="007A5ED2" w:rsidP="00465E8F">
      <w:pPr>
        <w:pStyle w:val="Textpoznpodarou"/>
      </w:pPr>
      <w:r w:rsidRPr="001D7383">
        <w:rPr>
          <w:rStyle w:val="Znakapoznpodarou"/>
          <w:rFonts w:asciiTheme="minorHAnsi" w:hAnsiTheme="minorHAnsi" w:cstheme="minorHAnsi"/>
          <w:lang w:bidi="en-GB"/>
        </w:rPr>
        <w:footnoteRef/>
      </w:r>
      <w:r w:rsidRPr="00A51952">
        <w:rPr>
          <w:rFonts w:asciiTheme="minorHAnsi" w:hAnsiTheme="minorHAnsi" w:cstheme="minorHAnsi"/>
          <w:lang w:bidi="en-GB"/>
        </w:rPr>
        <w:t xml:space="preserve"> Ombudsman’s sanction, </w:t>
      </w:r>
      <w:hyperlink r:id="rId34" w:history="1">
        <w:r w:rsidRPr="00A51952">
          <w:rPr>
            <w:rStyle w:val="Hypertextovodkaz"/>
            <w:rFonts w:asciiTheme="minorHAnsi" w:hAnsiTheme="minorHAnsi" w:cstheme="minorHAnsi"/>
            <w:lang w:bidi="en-GB"/>
          </w:rPr>
          <w:t>File No. 9/2024/SZD</w:t>
        </w:r>
      </w:hyperlink>
      <w:r w:rsidRPr="00A51952">
        <w:rPr>
          <w:rStyle w:val="Hypertextovodkaz"/>
          <w:rFonts w:asciiTheme="minorHAnsi" w:hAnsiTheme="minorHAnsi" w:cstheme="minorHAnsi"/>
          <w:color w:val="000000" w:themeColor="text1"/>
          <w:u w:val="none"/>
          <w:lang w:bidi="en-GB"/>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C0D1" w14:textId="34DA6147" w:rsidR="007A5ED2" w:rsidRDefault="00F60EB5">
    <w:pPr>
      <w:pStyle w:val="Zhlav"/>
    </w:pPr>
    <w:r>
      <w:rPr>
        <w:noProof/>
        <w:lang w:bidi="en-GB"/>
      </w:rPr>
      <w:pict w14:anchorId="35B67C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2.9pt;margin-top:0;width:176.6pt;height:41.45pt;z-index:251658240;mso-position-horizontal:absolute;mso-position-horizontal-relative:page;mso-position-vertical:absolute;mso-position-vertical-relative:text">
          <v:imagedata r:id="rId1" o:title="ombudsman_logo_EN"/>
          <w10:wrap type="square" anchorx="page"/>
        </v:shape>
      </w:pict>
    </w:r>
    <w:r w:rsidR="007A5ED2">
      <w:rPr>
        <w:lang w:bidi="en-GB"/>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E110B00A"/>
    <w:lvl w:ilvl="0">
      <w:start w:val="1"/>
      <w:numFmt w:val="decimal"/>
      <w:pStyle w:val="slovanseznam"/>
      <w:lvlText w:val="[%1]"/>
      <w:lvlJc w:val="left"/>
      <w:pPr>
        <w:ind w:left="360" w:hanging="360"/>
      </w:pPr>
      <w:rPr>
        <w:rFonts w:ascii="Arial" w:hAnsi="Arial" w:hint="default"/>
        <w:b w:val="0"/>
        <w:i w:val="0"/>
        <w:sz w:val="24"/>
      </w:rPr>
    </w:lvl>
  </w:abstractNum>
  <w:abstractNum w:abstractNumId="1" w15:restartNumberingAfterBreak="0">
    <w:nsid w:val="04A029F0"/>
    <w:multiLevelType w:val="hybridMultilevel"/>
    <w:tmpl w:val="0F3E1C2A"/>
    <w:lvl w:ilvl="0" w:tplc="5EEA8BD0">
      <w:numFmt w:val="bullet"/>
      <w:lvlText w:val=""/>
      <w:lvlJc w:val="left"/>
      <w:pPr>
        <w:ind w:left="720" w:hanging="360"/>
      </w:pPr>
      <w:rPr>
        <w:rFonts w:ascii="Symbol" w:eastAsia="Times New Roman" w:hAnsi="Symbol" w:cstheme="minorHAns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1F35C8"/>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A9320C0"/>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BA94BBE"/>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32B7435"/>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9D93363"/>
    <w:multiLevelType w:val="hybridMultilevel"/>
    <w:tmpl w:val="BFF83550"/>
    <w:lvl w:ilvl="0" w:tplc="A912BBA6">
      <w:start w:val="1"/>
      <w:numFmt w:val="upperLetter"/>
      <w:pStyle w:val="Nadpis2"/>
      <w:lvlText w:val="%1."/>
      <w:lvlJc w:val="left"/>
      <w:pPr>
        <w:ind w:left="360" w:hanging="360"/>
      </w:pPr>
      <w:rPr>
        <w:specVanish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C783CC9"/>
    <w:multiLevelType w:val="hybridMultilevel"/>
    <w:tmpl w:val="5C1E81A6"/>
    <w:lvl w:ilvl="0" w:tplc="743484CE">
      <w:start w:val="1"/>
      <w:numFmt w:val="bullet"/>
      <w:pStyle w:val="Seznam"/>
      <w:lvlText w:val=""/>
      <w:lvlJc w:val="left"/>
      <w:pPr>
        <w:ind w:left="993" w:hanging="567"/>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8" w15:restartNumberingAfterBreak="0">
    <w:nsid w:val="36E22F5A"/>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3DFF25F5"/>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8E83534"/>
    <w:multiLevelType w:val="hybridMultilevel"/>
    <w:tmpl w:val="A022A048"/>
    <w:lvl w:ilvl="0" w:tplc="04050011">
      <w:start w:val="1"/>
      <w:numFmt w:val="decimal"/>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15:restartNumberingAfterBreak="0">
    <w:nsid w:val="542022C9"/>
    <w:multiLevelType w:val="hybridMultilevel"/>
    <w:tmpl w:val="B988091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F906FCA"/>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95F3C48"/>
    <w:multiLevelType w:val="hybridMultilevel"/>
    <w:tmpl w:val="16BC8BFE"/>
    <w:lvl w:ilvl="0" w:tplc="0405000F">
      <w:start w:val="1"/>
      <w:numFmt w:val="decimal"/>
      <w:lvlText w:val="%1."/>
      <w:lvlJc w:val="left"/>
      <w:pPr>
        <w:ind w:left="720" w:hanging="360"/>
      </w:pPr>
    </w:lvl>
    <w:lvl w:ilvl="1" w:tplc="04050005">
      <w:start w:val="1"/>
      <w:numFmt w:val="bullet"/>
      <w:lvlText w:val=""/>
      <w:lvlJc w:val="left"/>
      <w:pPr>
        <w:ind w:left="786" w:hanging="360"/>
      </w:pPr>
      <w:rPr>
        <w:rFonts w:ascii="Wingdings" w:hAnsi="Wingding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D6F0083"/>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730C6DBD"/>
    <w:multiLevelType w:val="hybridMultilevel"/>
    <w:tmpl w:val="469C463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7"/>
  </w:num>
  <w:num w:numId="3">
    <w:abstractNumId w:val="5"/>
  </w:num>
  <w:num w:numId="4">
    <w:abstractNumId w:val="6"/>
  </w:num>
  <w:num w:numId="5">
    <w:abstractNumId w:val="10"/>
  </w:num>
  <w:num w:numId="6">
    <w:abstractNumId w:val="11"/>
  </w:num>
  <w:num w:numId="7">
    <w:abstractNumId w:val="13"/>
  </w:num>
  <w:num w:numId="8">
    <w:abstractNumId w:val="14"/>
  </w:num>
  <w:num w:numId="9">
    <w:abstractNumId w:val="8"/>
  </w:num>
  <w:num w:numId="10">
    <w:abstractNumId w:val="2"/>
  </w:num>
  <w:num w:numId="11">
    <w:abstractNumId w:val="4"/>
  </w:num>
  <w:num w:numId="12">
    <w:abstractNumId w:val="3"/>
  </w:num>
  <w:num w:numId="13">
    <w:abstractNumId w:val="9"/>
  </w:num>
  <w:num w:numId="14">
    <w:abstractNumId w:val="15"/>
  </w:num>
  <w:num w:numId="15">
    <w:abstractNumId w:val="12"/>
  </w:num>
  <w:num w:numId="16">
    <w:abstractNumId w:val="1"/>
  </w:num>
  <w:num w:numId="1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624"/>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E2"/>
    <w:rsid w:val="000038F7"/>
    <w:rsid w:val="00014D32"/>
    <w:rsid w:val="00017409"/>
    <w:rsid w:val="000201DB"/>
    <w:rsid w:val="000204EF"/>
    <w:rsid w:val="00026294"/>
    <w:rsid w:val="000340CD"/>
    <w:rsid w:val="000458B4"/>
    <w:rsid w:val="000632E6"/>
    <w:rsid w:val="000664AC"/>
    <w:rsid w:val="00082BAE"/>
    <w:rsid w:val="00085C55"/>
    <w:rsid w:val="0008702C"/>
    <w:rsid w:val="00097A00"/>
    <w:rsid w:val="000A2E8F"/>
    <w:rsid w:val="000A44B1"/>
    <w:rsid w:val="000A4F3A"/>
    <w:rsid w:val="000A5274"/>
    <w:rsid w:val="000B38ED"/>
    <w:rsid w:val="000B482E"/>
    <w:rsid w:val="000B56F7"/>
    <w:rsid w:val="000B5E35"/>
    <w:rsid w:val="000C2D6A"/>
    <w:rsid w:val="000D11DD"/>
    <w:rsid w:val="000D3954"/>
    <w:rsid w:val="000D6A9D"/>
    <w:rsid w:val="000F0AD1"/>
    <w:rsid w:val="000F1B47"/>
    <w:rsid w:val="000F30B7"/>
    <w:rsid w:val="000F3D19"/>
    <w:rsid w:val="000F6E44"/>
    <w:rsid w:val="000F7B3E"/>
    <w:rsid w:val="00102314"/>
    <w:rsid w:val="001066D7"/>
    <w:rsid w:val="00120091"/>
    <w:rsid w:val="00120AB1"/>
    <w:rsid w:val="0012411A"/>
    <w:rsid w:val="00140C46"/>
    <w:rsid w:val="00144FC5"/>
    <w:rsid w:val="001503A9"/>
    <w:rsid w:val="00150504"/>
    <w:rsid w:val="00152650"/>
    <w:rsid w:val="00164E16"/>
    <w:rsid w:val="001805EE"/>
    <w:rsid w:val="00194FC0"/>
    <w:rsid w:val="001A05B8"/>
    <w:rsid w:val="001A7231"/>
    <w:rsid w:val="001B0AC5"/>
    <w:rsid w:val="001B5A2A"/>
    <w:rsid w:val="001C696C"/>
    <w:rsid w:val="001C7A41"/>
    <w:rsid w:val="001D294E"/>
    <w:rsid w:val="001D7383"/>
    <w:rsid w:val="001E0E6F"/>
    <w:rsid w:val="001E73E4"/>
    <w:rsid w:val="001F1ADA"/>
    <w:rsid w:val="001F211C"/>
    <w:rsid w:val="001F39CC"/>
    <w:rsid w:val="001F4353"/>
    <w:rsid w:val="00207B2B"/>
    <w:rsid w:val="00216983"/>
    <w:rsid w:val="00221087"/>
    <w:rsid w:val="0023506A"/>
    <w:rsid w:val="0025342E"/>
    <w:rsid w:val="002624B2"/>
    <w:rsid w:val="00266F7C"/>
    <w:rsid w:val="00271E48"/>
    <w:rsid w:val="00272744"/>
    <w:rsid w:val="00273A08"/>
    <w:rsid w:val="00282C0C"/>
    <w:rsid w:val="00283C72"/>
    <w:rsid w:val="002871D2"/>
    <w:rsid w:val="002944C7"/>
    <w:rsid w:val="002970DA"/>
    <w:rsid w:val="0029782F"/>
    <w:rsid w:val="002A1C0C"/>
    <w:rsid w:val="002A73CB"/>
    <w:rsid w:val="002B00DF"/>
    <w:rsid w:val="002C0C84"/>
    <w:rsid w:val="002C5F68"/>
    <w:rsid w:val="002D0680"/>
    <w:rsid w:val="002E3C79"/>
    <w:rsid w:val="002E5C28"/>
    <w:rsid w:val="002E7F80"/>
    <w:rsid w:val="002F002C"/>
    <w:rsid w:val="002F1827"/>
    <w:rsid w:val="0030247F"/>
    <w:rsid w:val="00310884"/>
    <w:rsid w:val="00315E71"/>
    <w:rsid w:val="00327502"/>
    <w:rsid w:val="003364D9"/>
    <w:rsid w:val="00336DF7"/>
    <w:rsid w:val="0034179C"/>
    <w:rsid w:val="00363314"/>
    <w:rsid w:val="003650BB"/>
    <w:rsid w:val="0036645C"/>
    <w:rsid w:val="00366E03"/>
    <w:rsid w:val="00384228"/>
    <w:rsid w:val="00390D3A"/>
    <w:rsid w:val="003915BC"/>
    <w:rsid w:val="003A5877"/>
    <w:rsid w:val="003B1D27"/>
    <w:rsid w:val="003B6614"/>
    <w:rsid w:val="003C220F"/>
    <w:rsid w:val="003D0501"/>
    <w:rsid w:val="003D1FFB"/>
    <w:rsid w:val="003D36A8"/>
    <w:rsid w:val="003D477F"/>
    <w:rsid w:val="003D5E45"/>
    <w:rsid w:val="003D5FA4"/>
    <w:rsid w:val="003D6A49"/>
    <w:rsid w:val="003D7104"/>
    <w:rsid w:val="003D7603"/>
    <w:rsid w:val="003E55C5"/>
    <w:rsid w:val="003F569F"/>
    <w:rsid w:val="00402245"/>
    <w:rsid w:val="00402998"/>
    <w:rsid w:val="00404ED1"/>
    <w:rsid w:val="00407DD0"/>
    <w:rsid w:val="00410285"/>
    <w:rsid w:val="004149BD"/>
    <w:rsid w:val="0041602B"/>
    <w:rsid w:val="004200B1"/>
    <w:rsid w:val="0042025D"/>
    <w:rsid w:val="00423147"/>
    <w:rsid w:val="00425D39"/>
    <w:rsid w:val="00433608"/>
    <w:rsid w:val="00437574"/>
    <w:rsid w:val="00440AB8"/>
    <w:rsid w:val="004419E2"/>
    <w:rsid w:val="004423F1"/>
    <w:rsid w:val="00456925"/>
    <w:rsid w:val="00460A3F"/>
    <w:rsid w:val="00465E8F"/>
    <w:rsid w:val="00467B7D"/>
    <w:rsid w:val="004766B6"/>
    <w:rsid w:val="00482C74"/>
    <w:rsid w:val="00485F64"/>
    <w:rsid w:val="00486B2F"/>
    <w:rsid w:val="004A419D"/>
    <w:rsid w:val="004A7E6C"/>
    <w:rsid w:val="004C030E"/>
    <w:rsid w:val="004C4F02"/>
    <w:rsid w:val="004D7BDB"/>
    <w:rsid w:val="004E0A48"/>
    <w:rsid w:val="004E2252"/>
    <w:rsid w:val="004E7B5C"/>
    <w:rsid w:val="004F68D7"/>
    <w:rsid w:val="00500170"/>
    <w:rsid w:val="00512B0C"/>
    <w:rsid w:val="00515EAA"/>
    <w:rsid w:val="005205BF"/>
    <w:rsid w:val="00531D42"/>
    <w:rsid w:val="00533A00"/>
    <w:rsid w:val="00537E5D"/>
    <w:rsid w:val="005401F3"/>
    <w:rsid w:val="00544AD7"/>
    <w:rsid w:val="0054673F"/>
    <w:rsid w:val="005550F5"/>
    <w:rsid w:val="00575E9D"/>
    <w:rsid w:val="00584CA3"/>
    <w:rsid w:val="005914EA"/>
    <w:rsid w:val="005938BE"/>
    <w:rsid w:val="005944FA"/>
    <w:rsid w:val="00595C20"/>
    <w:rsid w:val="005A18D1"/>
    <w:rsid w:val="005A2BC4"/>
    <w:rsid w:val="005A3BC1"/>
    <w:rsid w:val="005B204F"/>
    <w:rsid w:val="005B64A0"/>
    <w:rsid w:val="005C358D"/>
    <w:rsid w:val="005E423E"/>
    <w:rsid w:val="005E7C20"/>
    <w:rsid w:val="005F4330"/>
    <w:rsid w:val="005F7944"/>
    <w:rsid w:val="0060162E"/>
    <w:rsid w:val="00613E2B"/>
    <w:rsid w:val="00615093"/>
    <w:rsid w:val="006240EF"/>
    <w:rsid w:val="006357C8"/>
    <w:rsid w:val="00635AED"/>
    <w:rsid w:val="00635C78"/>
    <w:rsid w:val="00635EDD"/>
    <w:rsid w:val="00642E14"/>
    <w:rsid w:val="006454BF"/>
    <w:rsid w:val="00647080"/>
    <w:rsid w:val="006505C3"/>
    <w:rsid w:val="00652CDA"/>
    <w:rsid w:val="006653D3"/>
    <w:rsid w:val="00666DA9"/>
    <w:rsid w:val="006744B6"/>
    <w:rsid w:val="006817DF"/>
    <w:rsid w:val="0068401B"/>
    <w:rsid w:val="00686715"/>
    <w:rsid w:val="006A1742"/>
    <w:rsid w:val="006B2E23"/>
    <w:rsid w:val="006C67DB"/>
    <w:rsid w:val="006C7F28"/>
    <w:rsid w:val="006D0D1F"/>
    <w:rsid w:val="006D407E"/>
    <w:rsid w:val="006D681C"/>
    <w:rsid w:val="006E607C"/>
    <w:rsid w:val="00701734"/>
    <w:rsid w:val="0070545C"/>
    <w:rsid w:val="00707E93"/>
    <w:rsid w:val="0071122E"/>
    <w:rsid w:val="00712413"/>
    <w:rsid w:val="00714465"/>
    <w:rsid w:val="0072673B"/>
    <w:rsid w:val="007326EE"/>
    <w:rsid w:val="007455CF"/>
    <w:rsid w:val="00755876"/>
    <w:rsid w:val="00755AD9"/>
    <w:rsid w:val="007579D2"/>
    <w:rsid w:val="00762083"/>
    <w:rsid w:val="00772617"/>
    <w:rsid w:val="00773582"/>
    <w:rsid w:val="0077703E"/>
    <w:rsid w:val="0077741E"/>
    <w:rsid w:val="00784257"/>
    <w:rsid w:val="00787C68"/>
    <w:rsid w:val="0079154C"/>
    <w:rsid w:val="00791D5E"/>
    <w:rsid w:val="00797885"/>
    <w:rsid w:val="007A127A"/>
    <w:rsid w:val="007A3EBD"/>
    <w:rsid w:val="007A5ED2"/>
    <w:rsid w:val="007A6A2A"/>
    <w:rsid w:val="007A7E89"/>
    <w:rsid w:val="007B0273"/>
    <w:rsid w:val="007B5E2A"/>
    <w:rsid w:val="007B6B6A"/>
    <w:rsid w:val="007C4B1A"/>
    <w:rsid w:val="007E73F2"/>
    <w:rsid w:val="007F37FA"/>
    <w:rsid w:val="00802BF8"/>
    <w:rsid w:val="00805881"/>
    <w:rsid w:val="00805BE2"/>
    <w:rsid w:val="00811839"/>
    <w:rsid w:val="0081770F"/>
    <w:rsid w:val="00832289"/>
    <w:rsid w:val="00834104"/>
    <w:rsid w:val="00842F43"/>
    <w:rsid w:val="00844F7A"/>
    <w:rsid w:val="00847588"/>
    <w:rsid w:val="00847AB8"/>
    <w:rsid w:val="0085383F"/>
    <w:rsid w:val="0086177F"/>
    <w:rsid w:val="00872A89"/>
    <w:rsid w:val="00875C05"/>
    <w:rsid w:val="00880E44"/>
    <w:rsid w:val="00884322"/>
    <w:rsid w:val="00884436"/>
    <w:rsid w:val="008868D1"/>
    <w:rsid w:val="00887434"/>
    <w:rsid w:val="00890770"/>
    <w:rsid w:val="0089545E"/>
    <w:rsid w:val="00895CA0"/>
    <w:rsid w:val="008A3E7D"/>
    <w:rsid w:val="008B126F"/>
    <w:rsid w:val="008B13D1"/>
    <w:rsid w:val="008C1AAC"/>
    <w:rsid w:val="008C3233"/>
    <w:rsid w:val="008D1731"/>
    <w:rsid w:val="008D2265"/>
    <w:rsid w:val="008D6136"/>
    <w:rsid w:val="008E0915"/>
    <w:rsid w:val="008E0F2B"/>
    <w:rsid w:val="008F05EC"/>
    <w:rsid w:val="008F36B4"/>
    <w:rsid w:val="008F4B19"/>
    <w:rsid w:val="00902A30"/>
    <w:rsid w:val="0090481B"/>
    <w:rsid w:val="0090505E"/>
    <w:rsid w:val="009134C6"/>
    <w:rsid w:val="00922A40"/>
    <w:rsid w:val="00932704"/>
    <w:rsid w:val="00933F33"/>
    <w:rsid w:val="00943A63"/>
    <w:rsid w:val="00952298"/>
    <w:rsid w:val="009576DA"/>
    <w:rsid w:val="009603B6"/>
    <w:rsid w:val="00962B5A"/>
    <w:rsid w:val="00962CEA"/>
    <w:rsid w:val="0096560B"/>
    <w:rsid w:val="00966ABA"/>
    <w:rsid w:val="009807C4"/>
    <w:rsid w:val="00982513"/>
    <w:rsid w:val="00984ED5"/>
    <w:rsid w:val="009864AD"/>
    <w:rsid w:val="009878F1"/>
    <w:rsid w:val="00987C13"/>
    <w:rsid w:val="00990E17"/>
    <w:rsid w:val="009928DD"/>
    <w:rsid w:val="00992A29"/>
    <w:rsid w:val="00992D0A"/>
    <w:rsid w:val="009B0B25"/>
    <w:rsid w:val="009B0CCD"/>
    <w:rsid w:val="009B2044"/>
    <w:rsid w:val="009B4FDB"/>
    <w:rsid w:val="009B7CF6"/>
    <w:rsid w:val="009C0697"/>
    <w:rsid w:val="009C06E9"/>
    <w:rsid w:val="009C37B8"/>
    <w:rsid w:val="009D41F1"/>
    <w:rsid w:val="009E0254"/>
    <w:rsid w:val="009E2B05"/>
    <w:rsid w:val="009E4F2E"/>
    <w:rsid w:val="009E4FD4"/>
    <w:rsid w:val="009E7000"/>
    <w:rsid w:val="009F2EFF"/>
    <w:rsid w:val="00A02801"/>
    <w:rsid w:val="00A0339E"/>
    <w:rsid w:val="00A16A1D"/>
    <w:rsid w:val="00A17A6A"/>
    <w:rsid w:val="00A24ABE"/>
    <w:rsid w:val="00A26E23"/>
    <w:rsid w:val="00A37DAE"/>
    <w:rsid w:val="00A401E7"/>
    <w:rsid w:val="00A51952"/>
    <w:rsid w:val="00A53279"/>
    <w:rsid w:val="00A610FE"/>
    <w:rsid w:val="00A64995"/>
    <w:rsid w:val="00A64EB7"/>
    <w:rsid w:val="00A779BA"/>
    <w:rsid w:val="00A859BF"/>
    <w:rsid w:val="00A86132"/>
    <w:rsid w:val="00AA57CA"/>
    <w:rsid w:val="00AB0D15"/>
    <w:rsid w:val="00AC15AE"/>
    <w:rsid w:val="00AC3879"/>
    <w:rsid w:val="00AC413F"/>
    <w:rsid w:val="00AD2D78"/>
    <w:rsid w:val="00AD339B"/>
    <w:rsid w:val="00AE124D"/>
    <w:rsid w:val="00AF4D11"/>
    <w:rsid w:val="00AF7961"/>
    <w:rsid w:val="00B05FF2"/>
    <w:rsid w:val="00B358B4"/>
    <w:rsid w:val="00B40E5A"/>
    <w:rsid w:val="00B417B4"/>
    <w:rsid w:val="00B60878"/>
    <w:rsid w:val="00B64703"/>
    <w:rsid w:val="00B72C45"/>
    <w:rsid w:val="00B85D59"/>
    <w:rsid w:val="00BA4256"/>
    <w:rsid w:val="00BA4638"/>
    <w:rsid w:val="00BA6FE7"/>
    <w:rsid w:val="00BA7763"/>
    <w:rsid w:val="00BB73D4"/>
    <w:rsid w:val="00BC0CD9"/>
    <w:rsid w:val="00BC2286"/>
    <w:rsid w:val="00BC2535"/>
    <w:rsid w:val="00BC3952"/>
    <w:rsid w:val="00BC4A01"/>
    <w:rsid w:val="00BE1087"/>
    <w:rsid w:val="00BE1718"/>
    <w:rsid w:val="00BF014C"/>
    <w:rsid w:val="00BF03F2"/>
    <w:rsid w:val="00BF06C4"/>
    <w:rsid w:val="00BF7794"/>
    <w:rsid w:val="00C1169D"/>
    <w:rsid w:val="00C16D7E"/>
    <w:rsid w:val="00C207C5"/>
    <w:rsid w:val="00C22F3E"/>
    <w:rsid w:val="00C416BD"/>
    <w:rsid w:val="00C629CC"/>
    <w:rsid w:val="00C67924"/>
    <w:rsid w:val="00C7086B"/>
    <w:rsid w:val="00C71B97"/>
    <w:rsid w:val="00C73740"/>
    <w:rsid w:val="00C77219"/>
    <w:rsid w:val="00C77DBC"/>
    <w:rsid w:val="00C8456B"/>
    <w:rsid w:val="00C87D18"/>
    <w:rsid w:val="00C96D2E"/>
    <w:rsid w:val="00CA0B08"/>
    <w:rsid w:val="00CA3DD7"/>
    <w:rsid w:val="00CB40C1"/>
    <w:rsid w:val="00CB6EEB"/>
    <w:rsid w:val="00CB7008"/>
    <w:rsid w:val="00CC0C71"/>
    <w:rsid w:val="00CC2D1E"/>
    <w:rsid w:val="00CC5A48"/>
    <w:rsid w:val="00CC7C40"/>
    <w:rsid w:val="00CD0CD3"/>
    <w:rsid w:val="00CD2DD1"/>
    <w:rsid w:val="00CD4B25"/>
    <w:rsid w:val="00CF5CA3"/>
    <w:rsid w:val="00CF7D39"/>
    <w:rsid w:val="00D048B3"/>
    <w:rsid w:val="00D35CBE"/>
    <w:rsid w:val="00D4155E"/>
    <w:rsid w:val="00D41DAD"/>
    <w:rsid w:val="00D43A16"/>
    <w:rsid w:val="00D46ED4"/>
    <w:rsid w:val="00D658AF"/>
    <w:rsid w:val="00D70271"/>
    <w:rsid w:val="00D73CED"/>
    <w:rsid w:val="00D73D13"/>
    <w:rsid w:val="00D84F5D"/>
    <w:rsid w:val="00D8596F"/>
    <w:rsid w:val="00D90B14"/>
    <w:rsid w:val="00D9796D"/>
    <w:rsid w:val="00DA0A47"/>
    <w:rsid w:val="00DB209D"/>
    <w:rsid w:val="00DB39A5"/>
    <w:rsid w:val="00DC3015"/>
    <w:rsid w:val="00DC5283"/>
    <w:rsid w:val="00DD3901"/>
    <w:rsid w:val="00DD46E9"/>
    <w:rsid w:val="00DD5695"/>
    <w:rsid w:val="00DD7029"/>
    <w:rsid w:val="00DE037E"/>
    <w:rsid w:val="00DF0C67"/>
    <w:rsid w:val="00DF1E1C"/>
    <w:rsid w:val="00DF1FFB"/>
    <w:rsid w:val="00DF77BB"/>
    <w:rsid w:val="00E04C6B"/>
    <w:rsid w:val="00E11BC0"/>
    <w:rsid w:val="00E16535"/>
    <w:rsid w:val="00E23C76"/>
    <w:rsid w:val="00E23F10"/>
    <w:rsid w:val="00E302CE"/>
    <w:rsid w:val="00E32E84"/>
    <w:rsid w:val="00E34111"/>
    <w:rsid w:val="00E4538F"/>
    <w:rsid w:val="00E53A3F"/>
    <w:rsid w:val="00E64D2D"/>
    <w:rsid w:val="00E66D05"/>
    <w:rsid w:val="00E70C09"/>
    <w:rsid w:val="00E718F7"/>
    <w:rsid w:val="00E7784A"/>
    <w:rsid w:val="00E810C5"/>
    <w:rsid w:val="00E825A3"/>
    <w:rsid w:val="00E85053"/>
    <w:rsid w:val="00E87D6C"/>
    <w:rsid w:val="00E911A4"/>
    <w:rsid w:val="00E9253A"/>
    <w:rsid w:val="00E94822"/>
    <w:rsid w:val="00E97234"/>
    <w:rsid w:val="00E97AF2"/>
    <w:rsid w:val="00EB617F"/>
    <w:rsid w:val="00EB64A5"/>
    <w:rsid w:val="00EC604A"/>
    <w:rsid w:val="00EC7A9D"/>
    <w:rsid w:val="00ED2D75"/>
    <w:rsid w:val="00ED6C3F"/>
    <w:rsid w:val="00EE0DB8"/>
    <w:rsid w:val="00F01F56"/>
    <w:rsid w:val="00F03E64"/>
    <w:rsid w:val="00F15374"/>
    <w:rsid w:val="00F15D79"/>
    <w:rsid w:val="00F16D99"/>
    <w:rsid w:val="00F17C23"/>
    <w:rsid w:val="00F2019A"/>
    <w:rsid w:val="00F20EE1"/>
    <w:rsid w:val="00F440C3"/>
    <w:rsid w:val="00F60EB5"/>
    <w:rsid w:val="00F61C7E"/>
    <w:rsid w:val="00F635B9"/>
    <w:rsid w:val="00F64871"/>
    <w:rsid w:val="00F74D2A"/>
    <w:rsid w:val="00F755A2"/>
    <w:rsid w:val="00F844F8"/>
    <w:rsid w:val="00F869F8"/>
    <w:rsid w:val="00F955D7"/>
    <w:rsid w:val="00F95B9A"/>
    <w:rsid w:val="00FA3F4D"/>
    <w:rsid w:val="00FA54B7"/>
    <w:rsid w:val="00FB569F"/>
    <w:rsid w:val="00FB5815"/>
    <w:rsid w:val="00FC3F58"/>
    <w:rsid w:val="00FC7A88"/>
    <w:rsid w:val="00FD43DD"/>
    <w:rsid w:val="00FD6409"/>
    <w:rsid w:val="00FD68D8"/>
    <w:rsid w:val="00FD7FC7"/>
    <w:rsid w:val="00FE0AB8"/>
    <w:rsid w:val="00FE10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64FD"/>
  <w15:chartTrackingRefBased/>
  <w15:docId w15:val="{F6C34696-D89C-418C-BF8C-ECE515BD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200" w:after="200" w:line="360" w:lineRule="auto"/>
        <w:ind w:left="357"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97AF2"/>
    <w:rPr>
      <w:sz w:val="23"/>
    </w:rPr>
  </w:style>
  <w:style w:type="paragraph" w:styleId="Nadpis1">
    <w:name w:val="heading 1"/>
    <w:basedOn w:val="Normln"/>
    <w:next w:val="Normln"/>
    <w:link w:val="Nadpis1Char"/>
    <w:autoRedefine/>
    <w:uiPriority w:val="9"/>
    <w:qFormat/>
    <w:rsid w:val="000340CD"/>
    <w:pPr>
      <w:keepNext/>
      <w:keepLines/>
      <w:pBdr>
        <w:bottom w:val="single" w:sz="8" w:space="1" w:color="008576"/>
      </w:pBdr>
      <w:spacing w:before="240" w:after="0"/>
      <w:ind w:left="0" w:firstLine="0"/>
      <w:jc w:val="left"/>
      <w:outlineLvl w:val="0"/>
    </w:pPr>
    <w:rPr>
      <w:rFonts w:ascii="Calibri" w:eastAsiaTheme="majorEastAsia" w:hAnsi="Calibri" w:cstheme="majorBidi"/>
      <w:color w:val="008576"/>
      <w:sz w:val="32"/>
      <w:szCs w:val="32"/>
    </w:rPr>
  </w:style>
  <w:style w:type="paragraph" w:styleId="Nadpis2">
    <w:name w:val="heading 2"/>
    <w:basedOn w:val="Nadpis1"/>
    <w:next w:val="Zkladntext"/>
    <w:link w:val="Nadpis2Char"/>
    <w:autoRedefine/>
    <w:uiPriority w:val="2"/>
    <w:qFormat/>
    <w:rsid w:val="00797885"/>
    <w:pPr>
      <w:keepLines w:val="0"/>
      <w:numPr>
        <w:numId w:val="4"/>
      </w:numPr>
      <w:spacing w:before="720" w:after="240" w:line="276" w:lineRule="auto"/>
      <w:ind w:left="357" w:hanging="357"/>
      <w:contextualSpacing/>
      <w:jc w:val="both"/>
      <w:outlineLvl w:val="1"/>
    </w:pPr>
    <w:rPr>
      <w:rFonts w:asciiTheme="minorHAnsi" w:eastAsia="Times New Roman" w:hAnsiTheme="minorHAnsi" w:cstheme="minorHAnsi"/>
      <w:b/>
      <w:sz w:val="26"/>
      <w:szCs w:val="23"/>
      <w:lang w:eastAsia="cs-CZ"/>
    </w:rPr>
  </w:style>
  <w:style w:type="paragraph" w:styleId="Nadpis3">
    <w:name w:val="heading 3"/>
    <w:basedOn w:val="Nadpis2"/>
    <w:next w:val="Zkladntext"/>
    <w:link w:val="Nadpis3Char"/>
    <w:autoRedefine/>
    <w:uiPriority w:val="2"/>
    <w:qFormat/>
    <w:rsid w:val="00E4538F"/>
    <w:pPr>
      <w:numPr>
        <w:numId w:val="0"/>
      </w:numPr>
      <w:pBdr>
        <w:bottom w:val="none" w:sz="0" w:space="0" w:color="auto"/>
      </w:pBdr>
      <w:spacing w:before="360" w:after="120"/>
      <w:outlineLvl w:val="2"/>
    </w:pPr>
    <w:rPr>
      <w:rFonts w:eastAsiaTheme="minorHAnsi"/>
      <w:i/>
      <w:sz w:val="23"/>
      <w:lang w:eastAsia="en-US"/>
    </w:rPr>
  </w:style>
  <w:style w:type="paragraph" w:styleId="Nadpis4">
    <w:name w:val="heading 4"/>
    <w:basedOn w:val="Nadpis2"/>
    <w:next w:val="Zkladntext"/>
    <w:link w:val="Nadpis4Char"/>
    <w:uiPriority w:val="2"/>
    <w:qFormat/>
    <w:rsid w:val="003915BC"/>
    <w:pPr>
      <w:numPr>
        <w:numId w:val="0"/>
      </w:numPr>
      <w:outlineLvl w:val="3"/>
    </w:pPr>
    <w:rPr>
      <w:rFonts w:eastAsiaTheme="minorEastAsia" w:cstheme="minorBidi"/>
      <w:bCs/>
      <w:szCs w:val="28"/>
    </w:rPr>
  </w:style>
  <w:style w:type="paragraph" w:styleId="Nadpis5">
    <w:name w:val="heading 5"/>
    <w:basedOn w:val="Normln"/>
    <w:next w:val="Normln"/>
    <w:link w:val="Nadpis5Char"/>
    <w:uiPriority w:val="99"/>
    <w:semiHidden/>
    <w:rsid w:val="00D9796D"/>
    <w:pPr>
      <w:spacing w:before="240" w:after="60" w:line="240" w:lineRule="auto"/>
      <w:ind w:left="1440" w:hanging="360"/>
      <w:outlineLvl w:val="4"/>
    </w:pPr>
    <w:rPr>
      <w:rFonts w:ascii="Calibri" w:eastAsia="Times New Roman" w:hAnsi="Calibri" w:cs="Times New Roman"/>
      <w:b/>
      <w:bCs/>
      <w:i/>
      <w:iCs/>
      <w:sz w:val="26"/>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9796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9796D"/>
  </w:style>
  <w:style w:type="paragraph" w:styleId="Zpat">
    <w:name w:val="footer"/>
    <w:basedOn w:val="Normln"/>
    <w:link w:val="ZpatChar"/>
    <w:uiPriority w:val="99"/>
    <w:unhideWhenUsed/>
    <w:rsid w:val="00D9796D"/>
    <w:pPr>
      <w:tabs>
        <w:tab w:val="center" w:pos="4536"/>
        <w:tab w:val="right" w:pos="9072"/>
      </w:tabs>
      <w:spacing w:after="0" w:line="240" w:lineRule="auto"/>
    </w:pPr>
  </w:style>
  <w:style w:type="character" w:customStyle="1" w:styleId="ZpatChar">
    <w:name w:val="Zápatí Char"/>
    <w:basedOn w:val="Standardnpsmoodstavce"/>
    <w:link w:val="Zpat"/>
    <w:uiPriority w:val="99"/>
    <w:rsid w:val="00D9796D"/>
  </w:style>
  <w:style w:type="character" w:styleId="Odkaznakoment">
    <w:name w:val="annotation reference"/>
    <w:basedOn w:val="Standardnpsmoodstavce"/>
    <w:uiPriority w:val="99"/>
    <w:semiHidden/>
    <w:unhideWhenUsed/>
    <w:rsid w:val="00D9796D"/>
    <w:rPr>
      <w:sz w:val="16"/>
      <w:szCs w:val="16"/>
    </w:rPr>
  </w:style>
  <w:style w:type="paragraph" w:styleId="Textkomente">
    <w:name w:val="annotation text"/>
    <w:basedOn w:val="Normln"/>
    <w:link w:val="TextkomenteChar"/>
    <w:uiPriority w:val="99"/>
    <w:unhideWhenUsed/>
    <w:rsid w:val="00D9796D"/>
    <w:pPr>
      <w:spacing w:line="240" w:lineRule="auto"/>
    </w:pPr>
    <w:rPr>
      <w:sz w:val="20"/>
      <w:szCs w:val="20"/>
    </w:rPr>
  </w:style>
  <w:style w:type="character" w:customStyle="1" w:styleId="TextkomenteChar">
    <w:name w:val="Text komentáře Char"/>
    <w:basedOn w:val="Standardnpsmoodstavce"/>
    <w:link w:val="Textkomente"/>
    <w:uiPriority w:val="99"/>
    <w:rsid w:val="00D9796D"/>
    <w:rPr>
      <w:sz w:val="20"/>
      <w:szCs w:val="20"/>
    </w:rPr>
  </w:style>
  <w:style w:type="paragraph" w:styleId="Pedmtkomente">
    <w:name w:val="annotation subject"/>
    <w:basedOn w:val="Textkomente"/>
    <w:next w:val="Textkomente"/>
    <w:link w:val="PedmtkomenteChar"/>
    <w:uiPriority w:val="99"/>
    <w:semiHidden/>
    <w:unhideWhenUsed/>
    <w:rsid w:val="00D9796D"/>
    <w:rPr>
      <w:b/>
      <w:bCs/>
    </w:rPr>
  </w:style>
  <w:style w:type="character" w:customStyle="1" w:styleId="PedmtkomenteChar">
    <w:name w:val="Předmět komentáře Char"/>
    <w:basedOn w:val="TextkomenteChar"/>
    <w:link w:val="Pedmtkomente"/>
    <w:uiPriority w:val="99"/>
    <w:semiHidden/>
    <w:rsid w:val="00D9796D"/>
    <w:rPr>
      <w:b/>
      <w:bCs/>
      <w:sz w:val="20"/>
      <w:szCs w:val="20"/>
    </w:rPr>
  </w:style>
  <w:style w:type="paragraph" w:styleId="Textbubliny">
    <w:name w:val="Balloon Text"/>
    <w:basedOn w:val="Normln"/>
    <w:link w:val="TextbublinyChar"/>
    <w:uiPriority w:val="99"/>
    <w:semiHidden/>
    <w:unhideWhenUsed/>
    <w:rsid w:val="00D9796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796D"/>
    <w:rPr>
      <w:rFonts w:ascii="Segoe UI" w:hAnsi="Segoe UI" w:cs="Segoe UI"/>
      <w:sz w:val="18"/>
      <w:szCs w:val="18"/>
    </w:rPr>
  </w:style>
  <w:style w:type="character" w:customStyle="1" w:styleId="Nadpis2Char">
    <w:name w:val="Nadpis 2 Char"/>
    <w:basedOn w:val="Standardnpsmoodstavce"/>
    <w:link w:val="Nadpis2"/>
    <w:uiPriority w:val="2"/>
    <w:rsid w:val="00797885"/>
    <w:rPr>
      <w:rFonts w:eastAsia="Times New Roman" w:cstheme="minorHAnsi"/>
      <w:b/>
      <w:color w:val="008576"/>
      <w:sz w:val="26"/>
      <w:szCs w:val="23"/>
      <w:lang w:eastAsia="cs-CZ"/>
    </w:rPr>
  </w:style>
  <w:style w:type="character" w:customStyle="1" w:styleId="Nadpis3Char">
    <w:name w:val="Nadpis 3 Char"/>
    <w:basedOn w:val="Standardnpsmoodstavce"/>
    <w:link w:val="Nadpis3"/>
    <w:uiPriority w:val="2"/>
    <w:rsid w:val="00ED2D75"/>
    <w:rPr>
      <w:rFonts w:cstheme="minorHAnsi"/>
      <w:b/>
      <w:i/>
      <w:color w:val="008576"/>
      <w:sz w:val="23"/>
      <w:szCs w:val="23"/>
    </w:rPr>
  </w:style>
  <w:style w:type="character" w:customStyle="1" w:styleId="Nadpis4Char">
    <w:name w:val="Nadpis 4 Char"/>
    <w:basedOn w:val="Standardnpsmoodstavce"/>
    <w:link w:val="Nadpis4"/>
    <w:uiPriority w:val="2"/>
    <w:rsid w:val="003915BC"/>
    <w:rPr>
      <w:rFonts w:eastAsiaTheme="minorEastAsia"/>
      <w:b/>
      <w:bCs/>
      <w:color w:val="008576"/>
      <w:sz w:val="26"/>
      <w:szCs w:val="28"/>
      <w:lang w:eastAsia="cs-CZ"/>
    </w:rPr>
  </w:style>
  <w:style w:type="character" w:customStyle="1" w:styleId="Nadpis5Char">
    <w:name w:val="Nadpis 5 Char"/>
    <w:basedOn w:val="Standardnpsmoodstavce"/>
    <w:link w:val="Nadpis5"/>
    <w:uiPriority w:val="99"/>
    <w:semiHidden/>
    <w:rsid w:val="00D9796D"/>
    <w:rPr>
      <w:rFonts w:ascii="Calibri" w:eastAsia="Times New Roman" w:hAnsi="Calibri" w:cs="Times New Roman"/>
      <w:b/>
      <w:bCs/>
      <w:i/>
      <w:iCs/>
      <w:sz w:val="26"/>
      <w:szCs w:val="26"/>
      <w:lang w:eastAsia="cs-CZ"/>
    </w:rPr>
  </w:style>
  <w:style w:type="paragraph" w:styleId="Zkladntext">
    <w:name w:val="Body Text"/>
    <w:basedOn w:val="Normln"/>
    <w:link w:val="ZkladntextChar"/>
    <w:rsid w:val="00D9796D"/>
    <w:pPr>
      <w:spacing w:line="252" w:lineRule="auto"/>
    </w:pPr>
    <w:rPr>
      <w:rFonts w:ascii="Calibri" w:eastAsia="Times New Roman" w:hAnsi="Calibri" w:cs="Times New Roman"/>
      <w:szCs w:val="24"/>
      <w:lang w:eastAsia="cs-CZ"/>
    </w:rPr>
  </w:style>
  <w:style w:type="character" w:customStyle="1" w:styleId="ZkladntextChar">
    <w:name w:val="Základní text Char"/>
    <w:basedOn w:val="Standardnpsmoodstavce"/>
    <w:link w:val="Zkladntext"/>
    <w:rsid w:val="00D9796D"/>
    <w:rPr>
      <w:rFonts w:ascii="Calibri" w:eastAsia="Times New Roman" w:hAnsi="Calibri" w:cs="Times New Roman"/>
      <w:sz w:val="23"/>
      <w:szCs w:val="24"/>
      <w:lang w:eastAsia="cs-CZ"/>
    </w:rPr>
  </w:style>
  <w:style w:type="character" w:customStyle="1" w:styleId="Nadpis1Char">
    <w:name w:val="Nadpis 1 Char"/>
    <w:basedOn w:val="Standardnpsmoodstavce"/>
    <w:link w:val="Nadpis1"/>
    <w:uiPriority w:val="9"/>
    <w:rsid w:val="000340CD"/>
    <w:rPr>
      <w:rFonts w:ascii="Calibri" w:eastAsiaTheme="majorEastAsia" w:hAnsi="Calibri" w:cstheme="majorBidi"/>
      <w:color w:val="008576"/>
      <w:sz w:val="32"/>
      <w:szCs w:val="32"/>
    </w:rPr>
  </w:style>
  <w:style w:type="paragraph" w:styleId="Nadpisobsahu">
    <w:name w:val="TOC Heading"/>
    <w:basedOn w:val="Nadpis1"/>
    <w:next w:val="Normln"/>
    <w:uiPriority w:val="39"/>
    <w:unhideWhenUsed/>
    <w:qFormat/>
    <w:rsid w:val="003D477F"/>
    <w:pPr>
      <w:pBdr>
        <w:bottom w:val="none" w:sz="0" w:space="0" w:color="auto"/>
      </w:pBdr>
      <w:spacing w:line="259" w:lineRule="auto"/>
      <w:outlineLvl w:val="9"/>
    </w:pPr>
    <w:rPr>
      <w:color w:val="2E74B5" w:themeColor="accent1" w:themeShade="BF"/>
      <w:lang w:eastAsia="cs-CZ"/>
    </w:rPr>
  </w:style>
  <w:style w:type="paragraph" w:styleId="Obsah1">
    <w:name w:val="toc 1"/>
    <w:basedOn w:val="Normln"/>
    <w:next w:val="Normln"/>
    <w:autoRedefine/>
    <w:uiPriority w:val="39"/>
    <w:unhideWhenUsed/>
    <w:rsid w:val="003D477F"/>
    <w:pPr>
      <w:spacing w:before="240" w:after="120"/>
      <w:ind w:left="0"/>
      <w:jc w:val="left"/>
    </w:pPr>
    <w:rPr>
      <w:rFonts w:cstheme="minorHAnsi"/>
      <w:b/>
      <w:bCs/>
      <w:sz w:val="20"/>
      <w:szCs w:val="20"/>
    </w:rPr>
  </w:style>
  <w:style w:type="character" w:styleId="Hypertextovodkaz">
    <w:name w:val="Hyperlink"/>
    <w:basedOn w:val="Standardnpsmoodstavce"/>
    <w:uiPriority w:val="99"/>
    <w:unhideWhenUsed/>
    <w:rsid w:val="003B1D27"/>
    <w:rPr>
      <w:color w:val="008576"/>
      <w:u w:val="single"/>
    </w:rPr>
  </w:style>
  <w:style w:type="paragraph" w:styleId="Odstavecseseznamem">
    <w:name w:val="List Paragraph"/>
    <w:basedOn w:val="Normln"/>
    <w:uiPriority w:val="34"/>
    <w:qFormat/>
    <w:rsid w:val="006A1742"/>
    <w:pPr>
      <w:ind w:left="720"/>
      <w:contextualSpacing/>
    </w:pPr>
  </w:style>
  <w:style w:type="paragraph" w:styleId="Obsah2">
    <w:name w:val="toc 2"/>
    <w:basedOn w:val="Normln"/>
    <w:next w:val="Normln"/>
    <w:autoRedefine/>
    <w:uiPriority w:val="39"/>
    <w:unhideWhenUsed/>
    <w:rsid w:val="00613E2B"/>
    <w:pPr>
      <w:spacing w:before="120" w:after="0"/>
      <w:ind w:left="230"/>
      <w:jc w:val="left"/>
    </w:pPr>
    <w:rPr>
      <w:rFonts w:cstheme="minorHAnsi"/>
      <w:i/>
      <w:iCs/>
      <w:sz w:val="20"/>
      <w:szCs w:val="20"/>
    </w:rPr>
  </w:style>
  <w:style w:type="character" w:customStyle="1" w:styleId="pokyny">
    <w:name w:val="pokyny"/>
    <w:basedOn w:val="Standardnpsmoodstavce"/>
    <w:rsid w:val="000D6A9D"/>
    <w:rPr>
      <w:color w:val="FF0000"/>
    </w:rPr>
  </w:style>
  <w:style w:type="paragraph" w:styleId="Textpoznpodarou">
    <w:name w:val="footnote text"/>
    <w:aliases w:val="Char,Footnote Text Char,Char Char1,studie-poznámka pod čarou Char,Char Char Char1,Char Char Char Char Char,Char Char Char Char1"/>
    <w:basedOn w:val="Normln"/>
    <w:link w:val="TextpoznpodarouChar"/>
    <w:uiPriority w:val="99"/>
    <w:qFormat/>
    <w:rsid w:val="0077703E"/>
    <w:pPr>
      <w:spacing w:before="120" w:after="0" w:line="240" w:lineRule="auto"/>
      <w:ind w:left="187" w:hanging="187"/>
      <w:jc w:val="left"/>
    </w:pPr>
    <w:rPr>
      <w:rFonts w:ascii="Calibri" w:hAnsi="Calibri"/>
      <w:sz w:val="20"/>
      <w:szCs w:val="20"/>
    </w:rPr>
  </w:style>
  <w:style w:type="character" w:customStyle="1" w:styleId="TextpoznpodarouChar">
    <w:name w:val="Text pozn. pod čarou Char"/>
    <w:aliases w:val="Char Char,Footnote Text Char Char,Char Char1 Char,studie-poznámka pod čarou Char Char,Char Char Char1 Char,Char Char Char Char Char Char,Char Char Char Char1 Char"/>
    <w:basedOn w:val="Standardnpsmoodstavce"/>
    <w:link w:val="Textpoznpodarou"/>
    <w:uiPriority w:val="99"/>
    <w:qFormat/>
    <w:rsid w:val="0077703E"/>
    <w:rPr>
      <w:rFonts w:ascii="Calibri" w:hAnsi="Calibri"/>
      <w:sz w:val="20"/>
      <w:szCs w:val="20"/>
    </w:rPr>
  </w:style>
  <w:style w:type="character" w:styleId="Znakapoznpodarou">
    <w:name w:val="footnote reference"/>
    <w:basedOn w:val="Standardnpsmoodstavce"/>
    <w:uiPriority w:val="99"/>
    <w:rsid w:val="00CF5CA3"/>
    <w:rPr>
      <w:b/>
      <w:color w:val="008576"/>
      <w:vertAlign w:val="superscript"/>
    </w:rPr>
  </w:style>
  <w:style w:type="paragraph" w:customStyle="1" w:styleId="zhlav-kontakt">
    <w:name w:val="záhlaví-kontakt"/>
    <w:basedOn w:val="Normln"/>
    <w:uiPriority w:val="1"/>
    <w:semiHidden/>
    <w:rsid w:val="000D6A9D"/>
    <w:pPr>
      <w:spacing w:after="0" w:line="240" w:lineRule="auto"/>
      <w:jc w:val="center"/>
      <w:outlineLvl w:val="0"/>
    </w:pPr>
    <w:rPr>
      <w:rFonts w:ascii="Calibri" w:hAnsi="Calibri" w:cs="Arial"/>
      <w:bCs/>
      <w:i/>
      <w:iCs/>
      <w:sz w:val="20"/>
      <w:szCs w:val="24"/>
    </w:rPr>
  </w:style>
  <w:style w:type="paragraph" w:styleId="Seznam">
    <w:name w:val="List"/>
    <w:basedOn w:val="Zkladntext"/>
    <w:uiPriority w:val="9"/>
    <w:qFormat/>
    <w:rsid w:val="000D6A9D"/>
    <w:pPr>
      <w:numPr>
        <w:numId w:val="2"/>
      </w:numPr>
      <w:spacing w:before="120" w:after="120" w:line="320" w:lineRule="exact"/>
    </w:pPr>
    <w:rPr>
      <w:rFonts w:eastAsia="Calibri" w:cstheme="minorBidi"/>
      <w:sz w:val="24"/>
      <w:szCs w:val="22"/>
      <w:lang w:eastAsia="en-US"/>
    </w:rPr>
  </w:style>
  <w:style w:type="paragraph" w:styleId="Normlnweb">
    <w:name w:val="Normal (Web)"/>
    <w:basedOn w:val="Normln"/>
    <w:uiPriority w:val="99"/>
    <w:unhideWhenUsed/>
    <w:rsid w:val="00BA425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slovanseznam">
    <w:name w:val="List Number"/>
    <w:basedOn w:val="Normln"/>
    <w:uiPriority w:val="99"/>
    <w:unhideWhenUsed/>
    <w:rsid w:val="0079154C"/>
    <w:pPr>
      <w:numPr>
        <w:numId w:val="1"/>
      </w:numPr>
      <w:contextualSpacing/>
    </w:pPr>
  </w:style>
  <w:style w:type="character" w:styleId="Siln">
    <w:name w:val="Strong"/>
    <w:aliases w:val="Tučné"/>
    <w:basedOn w:val="Standardnpsmoodstavce"/>
    <w:uiPriority w:val="2"/>
    <w:qFormat/>
    <w:rsid w:val="00D4155E"/>
    <w:rPr>
      <w:b/>
      <w:bCs/>
    </w:rPr>
  </w:style>
  <w:style w:type="character" w:styleId="Sledovanodkaz">
    <w:name w:val="FollowedHyperlink"/>
    <w:basedOn w:val="Standardnpsmoodstavce"/>
    <w:uiPriority w:val="99"/>
    <w:semiHidden/>
    <w:unhideWhenUsed/>
    <w:rsid w:val="00DB209D"/>
    <w:rPr>
      <w:color w:val="954F72" w:themeColor="followedHyperlink"/>
      <w:u w:val="single"/>
    </w:rPr>
  </w:style>
  <w:style w:type="paragraph" w:styleId="Obsah3">
    <w:name w:val="toc 3"/>
    <w:basedOn w:val="Normln"/>
    <w:next w:val="Normln"/>
    <w:autoRedefine/>
    <w:uiPriority w:val="39"/>
    <w:unhideWhenUsed/>
    <w:rsid w:val="00BF014C"/>
    <w:pPr>
      <w:spacing w:before="0" w:after="0"/>
      <w:ind w:left="460"/>
      <w:jc w:val="left"/>
    </w:pPr>
    <w:rPr>
      <w:rFonts w:cstheme="minorHAnsi"/>
      <w:sz w:val="20"/>
      <w:szCs w:val="20"/>
    </w:rPr>
  </w:style>
  <w:style w:type="paragraph" w:styleId="Textvysvtlivek">
    <w:name w:val="endnote text"/>
    <w:basedOn w:val="Normln"/>
    <w:link w:val="TextvysvtlivekChar"/>
    <w:uiPriority w:val="99"/>
    <w:semiHidden/>
    <w:unhideWhenUsed/>
    <w:rsid w:val="0031088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310884"/>
    <w:rPr>
      <w:sz w:val="20"/>
      <w:szCs w:val="20"/>
    </w:rPr>
  </w:style>
  <w:style w:type="character" w:styleId="Odkaznavysvtlivky">
    <w:name w:val="endnote reference"/>
    <w:basedOn w:val="Standardnpsmoodstavce"/>
    <w:uiPriority w:val="99"/>
    <w:semiHidden/>
    <w:unhideWhenUsed/>
    <w:rsid w:val="00310884"/>
    <w:rPr>
      <w:vertAlign w:val="superscript"/>
    </w:rPr>
  </w:style>
  <w:style w:type="paragraph" w:customStyle="1" w:styleId="Styl1">
    <w:name w:val="Styl1"/>
    <w:basedOn w:val="Nadpis2"/>
    <w:link w:val="Styl1Char"/>
    <w:qFormat/>
    <w:rsid w:val="009F2EFF"/>
    <w:pPr>
      <w:numPr>
        <w:numId w:val="0"/>
      </w:numPr>
      <w:spacing w:before="0"/>
      <w:ind w:left="357" w:hanging="357"/>
    </w:pPr>
  </w:style>
  <w:style w:type="character" w:customStyle="1" w:styleId="Styl1Char">
    <w:name w:val="Styl1 Char"/>
    <w:basedOn w:val="Nadpis2Char"/>
    <w:link w:val="Styl1"/>
    <w:rsid w:val="009F2EFF"/>
    <w:rPr>
      <w:rFonts w:eastAsia="Times New Roman" w:cstheme="minorHAnsi"/>
      <w:b/>
      <w:color w:val="008576"/>
      <w:sz w:val="26"/>
      <w:szCs w:val="23"/>
      <w:lang w:eastAsia="cs-CZ"/>
    </w:rPr>
  </w:style>
  <w:style w:type="paragraph" w:styleId="Obsah4">
    <w:name w:val="toc 4"/>
    <w:basedOn w:val="Normln"/>
    <w:next w:val="Normln"/>
    <w:autoRedefine/>
    <w:uiPriority w:val="39"/>
    <w:unhideWhenUsed/>
    <w:rsid w:val="000D11DD"/>
    <w:pPr>
      <w:spacing w:before="0" w:after="0"/>
      <w:ind w:left="690"/>
      <w:jc w:val="left"/>
    </w:pPr>
    <w:rPr>
      <w:rFonts w:cstheme="minorHAnsi"/>
      <w:sz w:val="20"/>
      <w:szCs w:val="20"/>
    </w:rPr>
  </w:style>
  <w:style w:type="paragraph" w:styleId="Obsah5">
    <w:name w:val="toc 5"/>
    <w:basedOn w:val="Normln"/>
    <w:next w:val="Normln"/>
    <w:autoRedefine/>
    <w:uiPriority w:val="39"/>
    <w:unhideWhenUsed/>
    <w:rsid w:val="000D11DD"/>
    <w:pPr>
      <w:spacing w:before="0" w:after="0"/>
      <w:ind w:left="920"/>
      <w:jc w:val="left"/>
    </w:pPr>
    <w:rPr>
      <w:rFonts w:cstheme="minorHAnsi"/>
      <w:sz w:val="20"/>
      <w:szCs w:val="20"/>
    </w:rPr>
  </w:style>
  <w:style w:type="paragraph" w:styleId="Obsah6">
    <w:name w:val="toc 6"/>
    <w:basedOn w:val="Normln"/>
    <w:next w:val="Normln"/>
    <w:autoRedefine/>
    <w:uiPriority w:val="39"/>
    <w:unhideWhenUsed/>
    <w:rsid w:val="000D11DD"/>
    <w:pPr>
      <w:spacing w:before="0" w:after="0"/>
      <w:ind w:left="1150"/>
      <w:jc w:val="left"/>
    </w:pPr>
    <w:rPr>
      <w:rFonts w:cstheme="minorHAnsi"/>
      <w:sz w:val="20"/>
      <w:szCs w:val="20"/>
    </w:rPr>
  </w:style>
  <w:style w:type="paragraph" w:styleId="Obsah7">
    <w:name w:val="toc 7"/>
    <w:basedOn w:val="Normln"/>
    <w:next w:val="Normln"/>
    <w:autoRedefine/>
    <w:uiPriority w:val="39"/>
    <w:unhideWhenUsed/>
    <w:rsid w:val="000D11DD"/>
    <w:pPr>
      <w:spacing w:before="0" w:after="0"/>
      <w:ind w:left="1380"/>
      <w:jc w:val="left"/>
    </w:pPr>
    <w:rPr>
      <w:rFonts w:cstheme="minorHAnsi"/>
      <w:sz w:val="20"/>
      <w:szCs w:val="20"/>
    </w:rPr>
  </w:style>
  <w:style w:type="paragraph" w:styleId="Obsah8">
    <w:name w:val="toc 8"/>
    <w:basedOn w:val="Normln"/>
    <w:next w:val="Normln"/>
    <w:autoRedefine/>
    <w:uiPriority w:val="39"/>
    <w:unhideWhenUsed/>
    <w:rsid w:val="000D11DD"/>
    <w:pPr>
      <w:spacing w:before="0" w:after="0"/>
      <w:ind w:left="1610"/>
      <w:jc w:val="left"/>
    </w:pPr>
    <w:rPr>
      <w:rFonts w:cstheme="minorHAnsi"/>
      <w:sz w:val="20"/>
      <w:szCs w:val="20"/>
    </w:rPr>
  </w:style>
  <w:style w:type="paragraph" w:styleId="Obsah9">
    <w:name w:val="toc 9"/>
    <w:basedOn w:val="Normln"/>
    <w:next w:val="Normln"/>
    <w:autoRedefine/>
    <w:uiPriority w:val="39"/>
    <w:unhideWhenUsed/>
    <w:rsid w:val="000D11DD"/>
    <w:pPr>
      <w:spacing w:before="0" w:after="0"/>
      <w:ind w:left="1840"/>
      <w:jc w:val="left"/>
    </w:pPr>
    <w:rPr>
      <w:rFonts w:cstheme="minorHAnsi"/>
      <w:sz w:val="20"/>
      <w:szCs w:val="20"/>
    </w:rPr>
  </w:style>
  <w:style w:type="paragraph" w:styleId="Revize">
    <w:name w:val="Revision"/>
    <w:hidden/>
    <w:uiPriority w:val="99"/>
    <w:semiHidden/>
    <w:rsid w:val="00C73740"/>
    <w:pPr>
      <w:spacing w:before="0" w:after="0" w:line="240" w:lineRule="auto"/>
      <w:ind w:left="0" w:firstLine="0"/>
      <w:jc w:val="left"/>
    </w:pPr>
    <w:rPr>
      <w:sz w:val="23"/>
    </w:rPr>
  </w:style>
  <w:style w:type="character" w:customStyle="1" w:styleId="UnresolvedMention">
    <w:name w:val="Unresolved Mention"/>
    <w:basedOn w:val="Standardnpsmoodstavce"/>
    <w:uiPriority w:val="99"/>
    <w:semiHidden/>
    <w:unhideWhenUsed/>
    <w:rsid w:val="000C2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35917">
      <w:bodyDiv w:val="1"/>
      <w:marLeft w:val="0"/>
      <w:marRight w:val="0"/>
      <w:marTop w:val="0"/>
      <w:marBottom w:val="0"/>
      <w:divBdr>
        <w:top w:val="none" w:sz="0" w:space="0" w:color="auto"/>
        <w:left w:val="none" w:sz="0" w:space="0" w:color="auto"/>
        <w:bottom w:val="none" w:sz="0" w:space="0" w:color="auto"/>
        <w:right w:val="none" w:sz="0" w:space="0" w:color="auto"/>
      </w:divBdr>
    </w:div>
    <w:div w:id="173494812">
      <w:bodyDiv w:val="1"/>
      <w:marLeft w:val="0"/>
      <w:marRight w:val="0"/>
      <w:marTop w:val="0"/>
      <w:marBottom w:val="0"/>
      <w:divBdr>
        <w:top w:val="none" w:sz="0" w:space="0" w:color="auto"/>
        <w:left w:val="none" w:sz="0" w:space="0" w:color="auto"/>
        <w:bottom w:val="none" w:sz="0" w:space="0" w:color="auto"/>
        <w:right w:val="none" w:sz="0" w:space="0" w:color="auto"/>
      </w:divBdr>
    </w:div>
    <w:div w:id="588663750">
      <w:bodyDiv w:val="1"/>
      <w:marLeft w:val="0"/>
      <w:marRight w:val="0"/>
      <w:marTop w:val="0"/>
      <w:marBottom w:val="0"/>
      <w:divBdr>
        <w:top w:val="none" w:sz="0" w:space="0" w:color="auto"/>
        <w:left w:val="none" w:sz="0" w:space="0" w:color="auto"/>
        <w:bottom w:val="none" w:sz="0" w:space="0" w:color="auto"/>
        <w:right w:val="none" w:sz="0" w:space="0" w:color="auto"/>
      </w:divBdr>
    </w:div>
    <w:div w:id="916792044">
      <w:bodyDiv w:val="1"/>
      <w:marLeft w:val="0"/>
      <w:marRight w:val="0"/>
      <w:marTop w:val="0"/>
      <w:marBottom w:val="0"/>
      <w:divBdr>
        <w:top w:val="none" w:sz="0" w:space="0" w:color="auto"/>
        <w:left w:val="none" w:sz="0" w:space="0" w:color="auto"/>
        <w:bottom w:val="none" w:sz="0" w:space="0" w:color="auto"/>
        <w:right w:val="none" w:sz="0" w:space="0" w:color="auto"/>
      </w:divBdr>
    </w:div>
    <w:div w:id="1287540691">
      <w:bodyDiv w:val="1"/>
      <w:marLeft w:val="0"/>
      <w:marRight w:val="0"/>
      <w:marTop w:val="0"/>
      <w:marBottom w:val="0"/>
      <w:divBdr>
        <w:top w:val="none" w:sz="0" w:space="0" w:color="auto"/>
        <w:left w:val="none" w:sz="0" w:space="0" w:color="auto"/>
        <w:bottom w:val="none" w:sz="0" w:space="0" w:color="auto"/>
        <w:right w:val="none" w:sz="0" w:space="0" w:color="auto"/>
      </w:divBdr>
    </w:div>
    <w:div w:id="1375347663">
      <w:bodyDiv w:val="1"/>
      <w:marLeft w:val="0"/>
      <w:marRight w:val="0"/>
      <w:marTop w:val="0"/>
      <w:marBottom w:val="0"/>
      <w:divBdr>
        <w:top w:val="none" w:sz="0" w:space="0" w:color="auto"/>
        <w:left w:val="none" w:sz="0" w:space="0" w:color="auto"/>
        <w:bottom w:val="none" w:sz="0" w:space="0" w:color="auto"/>
        <w:right w:val="none" w:sz="0" w:space="0" w:color="auto"/>
      </w:divBdr>
    </w:div>
    <w:div w:id="1622298331">
      <w:bodyDiv w:val="1"/>
      <w:marLeft w:val="0"/>
      <w:marRight w:val="0"/>
      <w:marTop w:val="0"/>
      <w:marBottom w:val="0"/>
      <w:divBdr>
        <w:top w:val="none" w:sz="0" w:space="0" w:color="auto"/>
        <w:left w:val="none" w:sz="0" w:space="0" w:color="auto"/>
        <w:bottom w:val="none" w:sz="0" w:space="0" w:color="auto"/>
        <w:right w:val="none" w:sz="0" w:space="0" w:color="auto"/>
      </w:divBdr>
    </w:div>
    <w:div w:id="1658531558">
      <w:bodyDiv w:val="1"/>
      <w:marLeft w:val="0"/>
      <w:marRight w:val="0"/>
      <w:marTop w:val="0"/>
      <w:marBottom w:val="0"/>
      <w:divBdr>
        <w:top w:val="none" w:sz="0" w:space="0" w:color="auto"/>
        <w:left w:val="none" w:sz="0" w:space="0" w:color="auto"/>
        <w:bottom w:val="none" w:sz="0" w:space="0" w:color="auto"/>
        <w:right w:val="none" w:sz="0" w:space="0" w:color="auto"/>
      </w:divBdr>
    </w:div>
    <w:div w:id="1722170474">
      <w:bodyDiv w:val="1"/>
      <w:marLeft w:val="0"/>
      <w:marRight w:val="0"/>
      <w:marTop w:val="0"/>
      <w:marBottom w:val="0"/>
      <w:divBdr>
        <w:top w:val="none" w:sz="0" w:space="0" w:color="auto"/>
        <w:left w:val="none" w:sz="0" w:space="0" w:color="auto"/>
        <w:bottom w:val="none" w:sz="0" w:space="0" w:color="auto"/>
        <w:right w:val="none" w:sz="0" w:space="0" w:color="auto"/>
      </w:divBdr>
    </w:div>
    <w:div w:id="1946426833">
      <w:bodyDiv w:val="1"/>
      <w:marLeft w:val="0"/>
      <w:marRight w:val="0"/>
      <w:marTop w:val="0"/>
      <w:marBottom w:val="0"/>
      <w:divBdr>
        <w:top w:val="none" w:sz="0" w:space="0" w:color="auto"/>
        <w:left w:val="none" w:sz="0" w:space="0" w:color="auto"/>
        <w:bottom w:val="none" w:sz="0" w:space="0" w:color="auto"/>
        <w:right w:val="none" w:sz="0" w:space="0" w:color="auto"/>
      </w:divBdr>
    </w:div>
    <w:div w:id="208498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rm.coe.int/greta-report-on-the-implementation-of-the-council-of-europe-convention/1680b1ea58" TargetMode="External"/><Relationship Id="rId13" Type="http://schemas.openxmlformats.org/officeDocument/2006/relationships/hyperlink" Target="https://easpd.eu/fileadmin/user_upload/Publications/Policy_Papers/2025-Oct16-Empowering_Families_and_Informal_Carers-Digital.pdf" TargetMode="External"/><Relationship Id="rId18" Type="http://schemas.openxmlformats.org/officeDocument/2006/relationships/hyperlink" Target="https://www.ochrance.cz/aktualne/cesko_celi_mezinarodni_stiznosti_kvuli_porusovani_prav_lidi_s_postizenim-_zastupce_ombudsmana_dlouhodobe_poukazuje_na_stejne_problemy_a_tlaci_na_zmeny/" TargetMode="External"/><Relationship Id="rId26" Type="http://schemas.openxmlformats.org/officeDocument/2006/relationships/hyperlink" Target="https://eso.ochrance.cz/Nalezene/Edit/10604" TargetMode="External"/><Relationship Id="rId3" Type="http://schemas.openxmlformats.org/officeDocument/2006/relationships/hyperlink" Target="https://eso.ochrance.cz/Nalezene/Edit/8432" TargetMode="External"/><Relationship Id="rId21" Type="http://schemas.openxmlformats.org/officeDocument/2006/relationships/hyperlink" Target="https://eso.ochrance.cz/Nalezene/Edit/13176" TargetMode="External"/><Relationship Id="rId34" Type="http://schemas.openxmlformats.org/officeDocument/2006/relationships/hyperlink" Target="https://eso.ochrance.cz/Nalezene/Edit/13234" TargetMode="External"/><Relationship Id="rId7" Type="http://schemas.openxmlformats.org/officeDocument/2006/relationships/hyperlink" Target="https://www.google.com/url?sa=t&amp;rct=j&amp;q=&amp;esrc=s&amp;source=web&amp;cd=&amp;ved=2ahUKEwj1y_n46LKRAxWxh_0HHafKMvQQFnoECBwQAQ&amp;url=https%3A%2F%2Fvlada.gov.cz%2Fassets%2Fppov%2Frlp%2Fcinnost-rady%2Fzasedani-rady%2FUsneseni---detence-nezletilych-cizincu.docx&amp;usg=AOvVaw1l_V6gWvTgIzUIRqDepISg&amp;opi=89978449" TargetMode="External"/><Relationship Id="rId12" Type="http://schemas.openxmlformats.org/officeDocument/2006/relationships/hyperlink" Target="https://www.ochrance.cz/uploads-import/ESO/Brozura%20Tehotenstvi%20a%20materstvi%20na%20pracovisti%202023%20EN%2006-23%20online.pdf" TargetMode="External"/><Relationship Id="rId17" Type="http://schemas.openxmlformats.org/officeDocument/2006/relationships/hyperlink" Target="https://www.ochrance.cz/dokument/jak_cesko_plni_sve_povinnosti_z_umluvy_o_pravech_osob_se_zdravotnim_postizenim/analyza_s_vyuzitim_lidskopravnich_ukazatelu.pdf" TargetMode="External"/><Relationship Id="rId25" Type="http://schemas.openxmlformats.org/officeDocument/2006/relationships/hyperlink" Target="https://www.researchgate.net/publication/396236182_Nonsuicidal_Self-Injury_in_Czech_Adolescents" TargetMode="External"/><Relationship Id="rId33" Type="http://schemas.openxmlformats.org/officeDocument/2006/relationships/hyperlink" Target="https://www.nzip.cz/data/1705-novorozenci-pece-porodni-sal-otevrena-data" TargetMode="External"/><Relationship Id="rId2" Type="http://schemas.openxmlformats.org/officeDocument/2006/relationships/hyperlink" Target="https://eso.ochrance.cz/" TargetMode="External"/><Relationship Id="rId16" Type="http://schemas.openxmlformats.org/officeDocument/2006/relationships/hyperlink" Target="https://www.ochrance.cz/uploads-import/ESO/27-2022-OZP-vyzkum.pdf" TargetMode="External"/><Relationship Id="rId20" Type="http://schemas.openxmlformats.org/officeDocument/2006/relationships/hyperlink" Target="https://www.ochrance.cz/aktualne/po_zvyseni_prispevku_na_peci_je_nutne_zajistit_i_jeho_pravidelnou_valorizaci/" TargetMode="External"/><Relationship Id="rId29" Type="http://schemas.openxmlformats.org/officeDocument/2006/relationships/hyperlink" Target="https://ct24.ceskatelevize.cz/clanek/domaci/statisice-lidi-v-cesku-nemaji-zubare-podle-stomatologicke-komory-je-ale-dentistu-dost-11613" TargetMode="External"/><Relationship Id="rId1" Type="http://schemas.openxmlformats.org/officeDocument/2006/relationships/hyperlink" Target="https://eso.ochrance.cz/Nalezene/Edit/7924" TargetMode="External"/><Relationship Id="rId6" Type="http://schemas.openxmlformats.org/officeDocument/2006/relationships/hyperlink" Target="https://eso.ochrance.cz/Nalezene/Edit/9702" TargetMode="External"/><Relationship Id="rId11" Type="http://schemas.openxmlformats.org/officeDocument/2006/relationships/hyperlink" Target="https://eso.ochrance.cz/Nalezene/Edit/11734" TargetMode="External"/><Relationship Id="rId24" Type="http://schemas.openxmlformats.org/officeDocument/2006/relationships/hyperlink" Target="https://dzda.cz/wp-content/uploads/2024/05/Metodika-monitoringu-DZDA.pdf" TargetMode="External"/><Relationship Id="rId32" Type="http://schemas.openxmlformats.org/officeDocument/2006/relationships/hyperlink" Target="https://www.ochrance.cz/aktualne/zeny-maji-pravo-na-hrazenou-peci-porodnich-asistentek/" TargetMode="External"/><Relationship Id="rId5" Type="http://schemas.openxmlformats.org/officeDocument/2006/relationships/hyperlink" Target="https://eso.ochrance.cz/Nalezene/Edit/9558" TargetMode="External"/><Relationship Id="rId15" Type="http://schemas.openxmlformats.org/officeDocument/2006/relationships/hyperlink" Target="https://www.ochrance.cz/uploads-import/CRPD/Vyzkumy/11-2019_Vyzkum_soc-sluzby-pro-deti-s-postizenim.pdf" TargetMode="External"/><Relationship Id="rId23" Type="http://schemas.openxmlformats.org/officeDocument/2006/relationships/hyperlink" Target="https://assets.nationbuilder.com/zamanzelstvi/pages/3104/attachments/original/1747940563/Ipsos_pro_T-Mobile_S%CC%8Cikana_a_Nena%CC%81vistne%CC%81_projevy_%281%29.pdf?1747940563" TargetMode="External"/><Relationship Id="rId28" Type="http://schemas.openxmlformats.org/officeDocument/2006/relationships/hyperlink" Target="https://ct24.ceskatelevize.cz/clanek/domaci/v-cesku-je-kriticky-nedostatek-pediatru-profesni-organizace-volaji-po-systemovych-opatrenich-5321" TargetMode="External"/><Relationship Id="rId10" Type="http://schemas.openxmlformats.org/officeDocument/2006/relationships/hyperlink" Target="https://eso.ochrance.cz/Nalezene/Edit/11086" TargetMode="External"/><Relationship Id="rId19" Type="http://schemas.openxmlformats.org/officeDocument/2006/relationships/hyperlink" Target="https://www.ochrance.cz/dokument/zpravy_pro_poslaneckou_snemovnu_2022/vyrocni-zprava-2022.pdf" TargetMode="External"/><Relationship Id="rId31" Type="http://schemas.openxmlformats.org/officeDocument/2006/relationships/hyperlink" Target="https://www.nzip.cz/data/1650-ukazatele-pece-porodnice-datovy-souhrn" TargetMode="External"/><Relationship Id="rId4" Type="http://schemas.openxmlformats.org/officeDocument/2006/relationships/hyperlink" Target="https://eso.ochrance.cz/Nalezene/Edit/7882" TargetMode="External"/><Relationship Id="rId9" Type="http://schemas.openxmlformats.org/officeDocument/2006/relationships/hyperlink" Target="https://mv.gov.cz/clanek/program-podpory-a-ochrany-obeti-obchodovani-s-lidmi.aspx" TargetMode="External"/><Relationship Id="rId14" Type="http://schemas.openxmlformats.org/officeDocument/2006/relationships/hyperlink" Target="https://www.ochrance.cz/uploads-import/ESO/45_2018_OZP_VV_VYZKUMNA_ZPRAVA-final.pdf" TargetMode="External"/><Relationship Id="rId22" Type="http://schemas.openxmlformats.org/officeDocument/2006/relationships/hyperlink" Target="https://eso.ochrance.cz/Nalezene/Edit/13744" TargetMode="External"/><Relationship Id="rId27" Type="http://schemas.openxmlformats.org/officeDocument/2006/relationships/hyperlink" Target="https://www.ceskenoviny.cz/zpravy/pulka-detskych-psychiatru-muze-jit-brzy-do-penze-chybi-300-luzek/2720016?utm_source=chatgpt.com" TargetMode="External"/><Relationship Id="rId30" Type="http://schemas.openxmlformats.org/officeDocument/2006/relationships/hyperlink" Target="https://www.ochrance.cz/dokument/zpravy_pro_poslaneckou_snemovnu_2022/vyrocni-zprava-2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9033-ACAF-47AD-AD30-B52A86FAE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2983</Words>
  <Characters>16019</Characters>
  <Application>Microsoft Office Word</Application>
  <DocSecurity>0</DocSecurity>
  <Lines>271</Lines>
  <Paragraphs>119</Paragraphs>
  <ScaleCrop>false</ScaleCrop>
  <HeadingPairs>
    <vt:vector size="2" baseType="variant">
      <vt:variant>
        <vt:lpstr>Název</vt:lpstr>
      </vt:variant>
      <vt:variant>
        <vt:i4>1</vt:i4>
      </vt:variant>
    </vt:vector>
  </HeadingPairs>
  <TitlesOfParts>
    <vt:vector size="1" baseType="lpstr">
      <vt:lpstr/>
    </vt:vector>
  </TitlesOfParts>
  <Company>HP Inc.</Company>
  <LinksUpToDate>false</LinksUpToDate>
  <CharactersWithSpaces>18883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Kružlicová Kristína, Mgr. LL.M.</dc:creator>
  <cp:keywords/>
  <dc:description/>
  <cp:lastModifiedBy>KVOP</cp:lastModifiedBy>
  <cp:revision>28</cp:revision>
  <cp:lastPrinted>2025-12-16T11:04:00Z</cp:lastPrinted>
  <dcterms:created xsi:type="dcterms:W3CDTF">2026-01-05T13:50:00Z</dcterms:created>
  <dcterms:modified xsi:type="dcterms:W3CDTF">2026-01-05T17:21:00Z</dcterms:modified>
</cp:coreProperties>
</file>