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45D0" w:rsidRPr="006F4CE2" w:rsidRDefault="006745D0" w:rsidP="006F4CE2">
      <w:pPr>
        <w:spacing w:line="360" w:lineRule="auto"/>
        <w:ind w:left="720" w:hanging="360"/>
        <w:jc w:val="both"/>
        <w:rPr>
          <w:rFonts w:ascii="Book Antiqua" w:hAnsi="Book Antiqua"/>
          <w:b/>
          <w:bCs/>
        </w:rPr>
      </w:pPr>
      <w:r w:rsidRPr="006F4CE2">
        <w:rPr>
          <w:rFonts w:ascii="Book Antiqua" w:hAnsi="Book Antiqua"/>
          <w:b/>
          <w:bCs/>
        </w:rPr>
        <w:t xml:space="preserve">COMMENTS ON </w:t>
      </w:r>
      <w:r w:rsidR="00853744" w:rsidRPr="006F4CE2">
        <w:rPr>
          <w:rFonts w:ascii="Book Antiqua" w:hAnsi="Book Antiqua"/>
          <w:b/>
          <w:bCs/>
        </w:rPr>
        <w:t xml:space="preserve">PAKISTAN’S COMPLIANCE WITH ICCPR </w:t>
      </w:r>
    </w:p>
    <w:p w:rsidR="00853744" w:rsidRPr="006F4CE2" w:rsidRDefault="00853744" w:rsidP="006F4CE2">
      <w:pPr>
        <w:spacing w:line="360" w:lineRule="auto"/>
        <w:ind w:left="720" w:hanging="360"/>
        <w:jc w:val="both"/>
        <w:rPr>
          <w:rFonts w:ascii="Book Antiqua" w:hAnsi="Book Antiqua"/>
          <w:b/>
          <w:bCs/>
        </w:rPr>
      </w:pPr>
    </w:p>
    <w:p w:rsidR="00B8211B" w:rsidRPr="006F4CE2" w:rsidRDefault="00145F93" w:rsidP="006F4CE2">
      <w:pPr>
        <w:pStyle w:val="ListParagraph"/>
        <w:numPr>
          <w:ilvl w:val="0"/>
          <w:numId w:val="3"/>
        </w:numPr>
        <w:spacing w:line="360" w:lineRule="auto"/>
        <w:jc w:val="both"/>
        <w:rPr>
          <w:rFonts w:ascii="Book Antiqua" w:hAnsi="Book Antiqua"/>
          <w:b/>
          <w:bCs/>
        </w:rPr>
      </w:pPr>
      <w:r w:rsidRPr="006F4CE2">
        <w:rPr>
          <w:rFonts w:ascii="Book Antiqua" w:hAnsi="Book Antiqua"/>
          <w:b/>
          <w:bCs/>
        </w:rPr>
        <w:t xml:space="preserve">Constitutional and Legal Framework within which the Covenant is implemented: </w:t>
      </w:r>
    </w:p>
    <w:p w:rsidR="00145F93" w:rsidRPr="006F4CE2" w:rsidRDefault="00145F93" w:rsidP="006F4CE2">
      <w:pPr>
        <w:pStyle w:val="ListParagraph"/>
        <w:spacing w:line="360" w:lineRule="auto"/>
        <w:jc w:val="both"/>
        <w:rPr>
          <w:rFonts w:ascii="Book Antiqua" w:hAnsi="Book Antiqua"/>
          <w:b/>
          <w:bCs/>
        </w:rPr>
      </w:pPr>
    </w:p>
    <w:p w:rsidR="00944CB2" w:rsidRPr="006F4CE2" w:rsidRDefault="00944CB2" w:rsidP="006F4CE2">
      <w:pPr>
        <w:pStyle w:val="ListParagraph"/>
        <w:numPr>
          <w:ilvl w:val="0"/>
          <w:numId w:val="6"/>
        </w:numPr>
        <w:spacing w:line="360" w:lineRule="auto"/>
        <w:jc w:val="both"/>
        <w:rPr>
          <w:rFonts w:ascii="Book Antiqua" w:hAnsi="Book Antiqua"/>
        </w:rPr>
      </w:pPr>
      <w:r w:rsidRPr="006F4CE2">
        <w:rPr>
          <w:rFonts w:ascii="Book Antiqua" w:hAnsi="Book Antiqua"/>
          <w:b/>
          <w:bCs/>
        </w:rPr>
        <w:t xml:space="preserve">Legislation and Application of Covenant Provisions: </w:t>
      </w:r>
      <w:r w:rsidR="00145F93" w:rsidRPr="006F4CE2">
        <w:rPr>
          <w:rFonts w:ascii="Book Antiqua" w:hAnsi="Book Antiqua"/>
        </w:rPr>
        <w:t>The Constitution of Pakistan is silent on the direct application of International Human Rights Convention and therefore some courts are inclined towards accepting International Conventions as directly binding and applicable whereas most courts are still reluctant to apply a convention without a domestic incorporating statute implementing it. Most human rights legislations in Pakistan are also devoid of any mention of the corresponding convention right acceded by Pakistan and therefore in interpreting and applying the provisions of such human rights legislations, the courts remain reluctant. The</w:t>
      </w:r>
      <w:r w:rsidR="008D059C" w:rsidRPr="006F4CE2">
        <w:rPr>
          <w:rFonts w:ascii="Book Antiqua" w:hAnsi="Book Antiqua"/>
        </w:rPr>
        <w:t xml:space="preserve"> </w:t>
      </w:r>
      <w:r w:rsidR="00145F93" w:rsidRPr="006F4CE2">
        <w:rPr>
          <w:rFonts w:ascii="Book Antiqua" w:hAnsi="Book Antiqua"/>
        </w:rPr>
        <w:t xml:space="preserve">Acts mentioned in the </w:t>
      </w:r>
      <w:proofErr w:type="spellStart"/>
      <w:r w:rsidR="00145F93" w:rsidRPr="006F4CE2">
        <w:rPr>
          <w:rFonts w:ascii="Book Antiqua" w:hAnsi="Book Antiqua"/>
        </w:rPr>
        <w:t>GoP</w:t>
      </w:r>
      <w:proofErr w:type="spellEnd"/>
      <w:r w:rsidR="00145F93" w:rsidRPr="006F4CE2">
        <w:rPr>
          <w:rFonts w:ascii="Book Antiqua" w:hAnsi="Book Antiqua"/>
        </w:rPr>
        <w:t xml:space="preserve"> state report fail to mention the corresponding convention right in their preamble</w:t>
      </w:r>
      <w:r w:rsidR="008D059C" w:rsidRPr="006F4CE2">
        <w:rPr>
          <w:rFonts w:ascii="Book Antiqua" w:hAnsi="Book Antiqua"/>
        </w:rPr>
        <w:t xml:space="preserve"> and thus their interpretation by local courts </w:t>
      </w:r>
      <w:r w:rsidR="0042351E" w:rsidRPr="006F4CE2">
        <w:rPr>
          <w:rFonts w:ascii="Book Antiqua" w:hAnsi="Book Antiqua"/>
        </w:rPr>
        <w:t xml:space="preserve">is not subject to compliance with convention rights again. </w:t>
      </w:r>
    </w:p>
    <w:p w:rsidR="00944CB2" w:rsidRPr="006F4CE2" w:rsidRDefault="00944CB2" w:rsidP="006F4CE2">
      <w:pPr>
        <w:pStyle w:val="ListParagraph"/>
        <w:spacing w:line="360" w:lineRule="auto"/>
        <w:ind w:left="1080"/>
        <w:jc w:val="both"/>
        <w:rPr>
          <w:rFonts w:ascii="Book Antiqua" w:hAnsi="Book Antiqua"/>
        </w:rPr>
      </w:pPr>
    </w:p>
    <w:p w:rsidR="00145F93" w:rsidRPr="006F4CE2" w:rsidRDefault="0042351E" w:rsidP="006F4CE2">
      <w:pPr>
        <w:pStyle w:val="ListParagraph"/>
        <w:spacing w:line="360" w:lineRule="auto"/>
        <w:ind w:left="1080"/>
        <w:jc w:val="both"/>
        <w:rPr>
          <w:rFonts w:ascii="Book Antiqua" w:hAnsi="Book Antiqua"/>
        </w:rPr>
      </w:pPr>
      <w:r w:rsidRPr="006F4CE2">
        <w:rPr>
          <w:rFonts w:ascii="Book Antiqua" w:hAnsi="Book Antiqua"/>
        </w:rPr>
        <w:t xml:space="preserve">It is incumbent on the legislature to rectify this ambiguity by promulgating a law recognizing the </w:t>
      </w:r>
      <w:r w:rsidR="00944CB2" w:rsidRPr="006F4CE2">
        <w:rPr>
          <w:rFonts w:ascii="Book Antiqua" w:hAnsi="Book Antiqua"/>
        </w:rPr>
        <w:t xml:space="preserve">direct application of international conventions, and ensure that future human rights regulations purportedly promulgated in pursuance of International conventions, should specify the convention in the preamble. </w:t>
      </w:r>
    </w:p>
    <w:p w:rsidR="00944CB2" w:rsidRPr="006F4CE2" w:rsidRDefault="00944CB2" w:rsidP="006F4CE2">
      <w:pPr>
        <w:spacing w:line="360" w:lineRule="auto"/>
        <w:jc w:val="both"/>
        <w:rPr>
          <w:rFonts w:ascii="Book Antiqua" w:hAnsi="Book Antiqua"/>
          <w:b/>
          <w:bCs/>
        </w:rPr>
      </w:pPr>
    </w:p>
    <w:p w:rsidR="007369AB" w:rsidRPr="006F4CE2" w:rsidRDefault="007369AB" w:rsidP="006F4CE2">
      <w:pPr>
        <w:pStyle w:val="ListParagraph"/>
        <w:spacing w:line="360" w:lineRule="auto"/>
        <w:jc w:val="both"/>
        <w:rPr>
          <w:rFonts w:ascii="Book Antiqua" w:hAnsi="Book Antiqua"/>
        </w:rPr>
      </w:pPr>
    </w:p>
    <w:p w:rsidR="00A561B8" w:rsidRPr="006F4CE2" w:rsidRDefault="00944CB2" w:rsidP="006F4CE2">
      <w:pPr>
        <w:pStyle w:val="ListParagraph"/>
        <w:numPr>
          <w:ilvl w:val="0"/>
          <w:numId w:val="9"/>
        </w:numPr>
        <w:spacing w:line="360" w:lineRule="auto"/>
        <w:jc w:val="both"/>
        <w:rPr>
          <w:rFonts w:ascii="Book Antiqua" w:hAnsi="Book Antiqua"/>
          <w:b/>
          <w:bCs/>
          <w:u w:val="single"/>
          <w:lang w:val="en-GB"/>
        </w:rPr>
      </w:pPr>
      <w:r w:rsidRPr="006F4CE2">
        <w:rPr>
          <w:rFonts w:ascii="Book Antiqua" w:hAnsi="Book Antiqua"/>
          <w:b/>
          <w:bCs/>
        </w:rPr>
        <w:t xml:space="preserve">National Human Rights Institution: </w:t>
      </w:r>
    </w:p>
    <w:p w:rsidR="00EF04B6" w:rsidRPr="006F4CE2" w:rsidRDefault="00EF04B6" w:rsidP="006F4CE2">
      <w:pPr>
        <w:pStyle w:val="ListParagraph"/>
        <w:spacing w:line="360" w:lineRule="auto"/>
        <w:ind w:left="1080"/>
        <w:jc w:val="both"/>
        <w:rPr>
          <w:rFonts w:ascii="Book Antiqua" w:hAnsi="Book Antiqua"/>
          <w:b/>
          <w:bCs/>
          <w:u w:val="single"/>
          <w:lang w:val="en-GB"/>
        </w:rPr>
      </w:pPr>
      <w:r w:rsidRPr="006F4CE2">
        <w:rPr>
          <w:rFonts w:ascii="Book Antiqua" w:hAnsi="Book Antiqua"/>
          <w:b/>
          <w:bCs/>
          <w:u w:val="single"/>
          <w:lang w:val="en-GB"/>
        </w:rPr>
        <w:t xml:space="preserve">Paris Principles </w:t>
      </w:r>
    </w:p>
    <w:p w:rsidR="00EF04B6" w:rsidRPr="006F4CE2" w:rsidRDefault="00EF04B6" w:rsidP="006F4CE2">
      <w:pPr>
        <w:pStyle w:val="ListParagraph"/>
        <w:spacing w:line="360" w:lineRule="auto"/>
        <w:ind w:left="1440"/>
        <w:jc w:val="both"/>
        <w:rPr>
          <w:rFonts w:ascii="Book Antiqua" w:hAnsi="Book Antiqua"/>
          <w:lang w:val="en-GB"/>
        </w:rPr>
      </w:pPr>
      <w:r w:rsidRPr="006F4CE2">
        <w:rPr>
          <w:rFonts w:ascii="Book Antiqua" w:hAnsi="Book Antiqua"/>
          <w:lang w:val="en-GB"/>
        </w:rPr>
        <w:t xml:space="preserve">The Paris principles relating to the Status of National Institutions attribute great responsibility and competency to National Human Rights Institutions (NRHIs) with the aim to promote and harmonize national legislation of a country with international human rights </w:t>
      </w:r>
      <w:r w:rsidRPr="006F4CE2">
        <w:rPr>
          <w:rFonts w:ascii="Book Antiqua" w:hAnsi="Book Antiqua"/>
          <w:lang w:val="en-GB"/>
        </w:rPr>
        <w:lastRenderedPageBreak/>
        <w:t xml:space="preserve">instruments and their effective implementation. Despite having passed legislation setting up statutory bodies such as the National Commission on the Status of Women and the National Commission on the Rights of Child, Pakistan has failed to establish a National Commission on the Rights of Minorities through an Act of Parliament that has rendered minorities bereft of the legitimacy and authority of a statutory body thus, causing non-seriousness and inaction when it relates to issues of minorities. The current National Commission for Minorities (NCM) plays a pivotal role for creating interfaith harmony in the country however, it has been established under the Ministry of Religious Affairs and Interfaith whereas, the bill for the statute establishing an NHRI for minorities has been pending before the House since quite a while. The issues relating to minorities is saturated heavily in the South of Punjab and interior Sindh where the lobbying for such a statute is most prevalent but as of yet, it is to no avail. </w:t>
      </w:r>
    </w:p>
    <w:p w:rsidR="00EF04B6" w:rsidRPr="006F4CE2" w:rsidRDefault="00EF04B6" w:rsidP="006F4CE2">
      <w:pPr>
        <w:pStyle w:val="ListParagraph"/>
        <w:spacing w:line="360" w:lineRule="auto"/>
        <w:ind w:left="1440"/>
        <w:jc w:val="both"/>
        <w:rPr>
          <w:rFonts w:ascii="Book Antiqua" w:hAnsi="Book Antiqua"/>
          <w:lang w:val="en-GB"/>
        </w:rPr>
      </w:pPr>
      <w:r w:rsidRPr="006F4CE2">
        <w:rPr>
          <w:rFonts w:ascii="Book Antiqua" w:hAnsi="Book Antiqua"/>
          <w:lang w:val="en-GB"/>
        </w:rPr>
        <w:t xml:space="preserve">The Punjab Commission on the Status of Women (PCSW) was created through a statutory act as an oversight body to ensure that laws, policies and regulations of the Punjab provincial government are in line with international human rights standards, including but not limited to, promotion of women’s empowerment, women’s economic development and eradication of all forms of discrimination against women. PCSW was initiated with its founding chairperson, Ms. Fauzia </w:t>
      </w:r>
      <w:proofErr w:type="spellStart"/>
      <w:r w:rsidRPr="006F4CE2">
        <w:rPr>
          <w:rFonts w:ascii="Book Antiqua" w:hAnsi="Book Antiqua"/>
          <w:lang w:val="en-GB"/>
        </w:rPr>
        <w:t>Viqar</w:t>
      </w:r>
      <w:proofErr w:type="spellEnd"/>
      <w:r w:rsidRPr="006F4CE2">
        <w:rPr>
          <w:rFonts w:ascii="Book Antiqua" w:hAnsi="Book Antiqua"/>
          <w:lang w:val="en-GB"/>
        </w:rPr>
        <w:t xml:space="preserve">, a prominent personality in the development and human rights sector however, it is noteworthy that subsequent to the end of her tenure in 2019, PCSW has been left without a chairperson and its members under 10 districts being left vacant. Despite the Commission still being operational through its publications and annual reports, it is severely hindered and cannot achieve its mandate satisfactorily without a chairperson fulfilling its role and it is highly recommended to the Punjab government to afford the importance this issue deserves and overcome such a huge lapse of governance by promptly appointing a suitable and eligible chairperson. </w:t>
      </w:r>
    </w:p>
    <w:p w:rsidR="00EF04B6" w:rsidRPr="006F4CE2" w:rsidRDefault="00EF04B6" w:rsidP="006F4CE2">
      <w:pPr>
        <w:pStyle w:val="ListParagraph"/>
        <w:spacing w:line="360" w:lineRule="auto"/>
        <w:ind w:left="1440"/>
        <w:jc w:val="both"/>
        <w:rPr>
          <w:rFonts w:ascii="Book Antiqua" w:hAnsi="Book Antiqua"/>
          <w:u w:val="single"/>
          <w:lang w:val="en-GB"/>
        </w:rPr>
      </w:pPr>
      <w:r w:rsidRPr="006F4CE2">
        <w:rPr>
          <w:rFonts w:ascii="Book Antiqua" w:hAnsi="Book Antiqua"/>
          <w:b/>
          <w:bCs/>
          <w:u w:val="single"/>
          <w:lang w:val="en-GB"/>
        </w:rPr>
        <w:lastRenderedPageBreak/>
        <w:t>Civil and economic rights:</w:t>
      </w:r>
      <w:r w:rsidRPr="006F4CE2">
        <w:rPr>
          <w:rFonts w:ascii="Book Antiqua" w:hAnsi="Book Antiqua"/>
          <w:lang w:val="en-GB"/>
        </w:rPr>
        <w:t xml:space="preserve"> In 2023, the Federal </w:t>
      </w:r>
      <w:proofErr w:type="spellStart"/>
      <w:r w:rsidRPr="006F4CE2">
        <w:rPr>
          <w:rFonts w:ascii="Book Antiqua" w:hAnsi="Book Antiqua"/>
          <w:lang w:val="en-GB"/>
        </w:rPr>
        <w:t>Shariat</w:t>
      </w:r>
      <w:proofErr w:type="spellEnd"/>
      <w:r w:rsidRPr="006F4CE2">
        <w:rPr>
          <w:rFonts w:ascii="Book Antiqua" w:hAnsi="Book Antiqua"/>
          <w:lang w:val="en-GB"/>
        </w:rPr>
        <w:t xml:space="preserve"> Court of Pakistan passed a judgement rendering several provisions of the Transgender Persons (Protection of Rights) Act 2018 (“the Act”) as </w:t>
      </w:r>
      <w:proofErr w:type="spellStart"/>
      <w:r w:rsidRPr="006F4CE2">
        <w:rPr>
          <w:rFonts w:ascii="Book Antiqua" w:hAnsi="Book Antiqua"/>
          <w:lang w:val="en-GB"/>
        </w:rPr>
        <w:t>unIslamic</w:t>
      </w:r>
      <w:proofErr w:type="spellEnd"/>
      <w:r w:rsidRPr="006F4CE2">
        <w:rPr>
          <w:rFonts w:ascii="Book Antiqua" w:hAnsi="Book Antiqua"/>
          <w:lang w:val="en-GB"/>
        </w:rPr>
        <w:t xml:space="preserve"> and therefore, void. In 2018, the Act for transgender persons was passed mainly recognising them as citizens of Pakistan and affording them basic rights as promised under the Constitution to every person, the Act was a special law to streamline those provisions and allow transgender persons to enjoy the same protections. However, reminiscent to the journey of several other progressive legislations in Pakistan, it was met with disagreement by members of the right and fundamentalists whereby the matter was brought before the </w:t>
      </w:r>
      <w:proofErr w:type="spellStart"/>
      <w:r w:rsidRPr="006F4CE2">
        <w:rPr>
          <w:rFonts w:ascii="Book Antiqua" w:hAnsi="Book Antiqua"/>
          <w:lang w:val="en-GB"/>
        </w:rPr>
        <w:t>Shariat</w:t>
      </w:r>
      <w:proofErr w:type="spellEnd"/>
      <w:r w:rsidRPr="006F4CE2">
        <w:rPr>
          <w:rFonts w:ascii="Book Antiqua" w:hAnsi="Book Antiqua"/>
          <w:lang w:val="en-GB"/>
        </w:rPr>
        <w:t xml:space="preserve"> court for the striking down various sections, including the definition of “transgender” which came under contention when said fundamentalists accused the beneficiaries of this law from misusing the definition to promote same sex relationships.</w:t>
      </w:r>
    </w:p>
    <w:p w:rsidR="007369AB" w:rsidRPr="006F4CE2" w:rsidRDefault="007369AB" w:rsidP="006F4CE2">
      <w:pPr>
        <w:pStyle w:val="ListParagraph"/>
        <w:spacing w:line="360" w:lineRule="auto"/>
        <w:jc w:val="both"/>
        <w:rPr>
          <w:rFonts w:ascii="Book Antiqua" w:hAnsi="Book Antiqua"/>
        </w:rPr>
      </w:pPr>
    </w:p>
    <w:p w:rsidR="00944CB2" w:rsidRPr="006F4CE2" w:rsidRDefault="007369AB" w:rsidP="006F4CE2">
      <w:pPr>
        <w:pStyle w:val="ListParagraph"/>
        <w:numPr>
          <w:ilvl w:val="0"/>
          <w:numId w:val="3"/>
        </w:numPr>
        <w:spacing w:line="360" w:lineRule="auto"/>
        <w:jc w:val="both"/>
        <w:rPr>
          <w:rFonts w:ascii="Book Antiqua" w:hAnsi="Book Antiqua"/>
        </w:rPr>
      </w:pPr>
      <w:r w:rsidRPr="006F4CE2">
        <w:rPr>
          <w:rFonts w:ascii="Book Antiqua" w:hAnsi="Book Antiqua"/>
          <w:b/>
          <w:bCs/>
        </w:rPr>
        <w:t xml:space="preserve">Non-Discrimination: </w:t>
      </w:r>
    </w:p>
    <w:p w:rsidR="007369AB" w:rsidRPr="006F4CE2" w:rsidRDefault="007369AB" w:rsidP="006F4CE2">
      <w:pPr>
        <w:pStyle w:val="ListParagraph"/>
        <w:spacing w:line="360" w:lineRule="auto"/>
        <w:ind w:left="1080"/>
        <w:jc w:val="both"/>
        <w:rPr>
          <w:rFonts w:ascii="Book Antiqua" w:hAnsi="Book Antiqua"/>
          <w:b/>
          <w:bCs/>
        </w:rPr>
      </w:pPr>
    </w:p>
    <w:p w:rsidR="007369AB" w:rsidRPr="006F4CE2" w:rsidRDefault="007369AB" w:rsidP="006F4CE2">
      <w:pPr>
        <w:spacing w:line="360" w:lineRule="auto"/>
        <w:ind w:left="720"/>
        <w:jc w:val="both"/>
        <w:rPr>
          <w:rFonts w:ascii="Book Antiqua" w:hAnsi="Book Antiqua"/>
          <w:b/>
          <w:bCs/>
        </w:rPr>
      </w:pPr>
      <w:r w:rsidRPr="006F4CE2">
        <w:rPr>
          <w:rFonts w:ascii="Book Antiqua" w:hAnsi="Book Antiqua"/>
        </w:rPr>
        <w:t xml:space="preserve">Invidious and intersectional discrimination remains an alien concept in Pakistan. Apart from novel cases in Pakistan jurisprudence the concept has not been explored and applied with the same efficacy as in comparative counterparts and therefore most legislative instruments and subsidiary legislation remains indirectly discriminatory towards members of minorities and women. Constitutional provisions and statutory laws discriminating against religious minorities remain prevalent. </w:t>
      </w:r>
    </w:p>
    <w:p w:rsidR="00EF04B6" w:rsidRPr="006F4CE2" w:rsidRDefault="007369AB" w:rsidP="006F4CE2">
      <w:pPr>
        <w:pStyle w:val="ListParagraph"/>
        <w:spacing w:line="360" w:lineRule="auto"/>
        <w:jc w:val="both"/>
        <w:rPr>
          <w:rFonts w:ascii="Book Antiqua" w:hAnsi="Book Antiqua"/>
        </w:rPr>
      </w:pPr>
      <w:r w:rsidRPr="006F4CE2">
        <w:rPr>
          <w:rFonts w:ascii="Book Antiqua" w:hAnsi="Book Antiqua"/>
        </w:rPr>
        <w:t xml:space="preserve">In addition to laws, government policies specifically discriminate against religious minorities such as provincial and federal service rules and policies which allow lowest cadre jobs to be specifically reserved for Christians, thus further abrogating their dignity </w:t>
      </w:r>
    </w:p>
    <w:p w:rsidR="00EF04B6" w:rsidRPr="006F4CE2" w:rsidRDefault="00EF04B6" w:rsidP="006F4CE2">
      <w:pPr>
        <w:pStyle w:val="ListParagraph"/>
        <w:spacing w:line="360" w:lineRule="auto"/>
        <w:jc w:val="both"/>
        <w:rPr>
          <w:rFonts w:ascii="Book Antiqua" w:hAnsi="Book Antiqua"/>
          <w:b/>
          <w:bCs/>
        </w:rPr>
      </w:pPr>
    </w:p>
    <w:p w:rsidR="007369AB" w:rsidRPr="006F4CE2" w:rsidRDefault="007369AB" w:rsidP="006F4CE2">
      <w:pPr>
        <w:pStyle w:val="ListParagraph"/>
        <w:numPr>
          <w:ilvl w:val="0"/>
          <w:numId w:val="3"/>
        </w:numPr>
        <w:spacing w:line="360" w:lineRule="auto"/>
        <w:jc w:val="both"/>
        <w:rPr>
          <w:rFonts w:ascii="Book Antiqua" w:hAnsi="Book Antiqua"/>
        </w:rPr>
      </w:pPr>
      <w:r w:rsidRPr="006F4CE2">
        <w:rPr>
          <w:rFonts w:ascii="Book Antiqua" w:hAnsi="Book Antiqua"/>
          <w:b/>
          <w:bCs/>
        </w:rPr>
        <w:t xml:space="preserve">Gender Equality: </w:t>
      </w:r>
      <w:r w:rsidRPr="006F4CE2">
        <w:rPr>
          <w:rFonts w:ascii="Book Antiqua" w:hAnsi="Book Antiqua"/>
        </w:rPr>
        <w:t xml:space="preserve">Although new promising pieces of legislations were introduced such as the Enforcement of Women’s Property Rights Act 2021 </w:t>
      </w:r>
      <w:r w:rsidRPr="006F4CE2">
        <w:rPr>
          <w:rFonts w:ascii="Book Antiqua" w:hAnsi="Book Antiqua"/>
        </w:rPr>
        <w:lastRenderedPageBreak/>
        <w:t xml:space="preserve">which allowed women to approach the Women’s Ombudsperson for recovery of their property, but recent judgments by the Islamabad High Court followed by the Lahore High Court, have declared the entire law to be unconstitutional on the basis of lack of due process provisions in the law. This is a prime example of invidious discrimination where provisions which were copied from other special laws such as the Land Revenue Act including similar powers to the Revenue officer, were promulgated for the </w:t>
      </w:r>
      <w:proofErr w:type="spellStart"/>
      <w:r w:rsidRPr="006F4CE2">
        <w:rPr>
          <w:rFonts w:ascii="Book Antiqua" w:hAnsi="Book Antiqua"/>
        </w:rPr>
        <w:t>Ombusdperson</w:t>
      </w:r>
      <w:proofErr w:type="spellEnd"/>
      <w:r w:rsidRPr="006F4CE2">
        <w:rPr>
          <w:rFonts w:ascii="Book Antiqua" w:hAnsi="Book Antiqua"/>
        </w:rPr>
        <w:t xml:space="preserve"> but only the latter was struck down. </w:t>
      </w:r>
      <w:r w:rsidR="0091659B" w:rsidRPr="006F4CE2">
        <w:rPr>
          <w:rFonts w:ascii="Book Antiqua" w:hAnsi="Book Antiqua"/>
        </w:rPr>
        <w:t xml:space="preserve">Sexual harassment laws have also undergone change at the Federal level which expanded the definition of harassment to include </w:t>
      </w:r>
      <w:proofErr w:type="spellStart"/>
      <w:proofErr w:type="gramStart"/>
      <w:r w:rsidR="0091659B" w:rsidRPr="006F4CE2">
        <w:rPr>
          <w:rFonts w:ascii="Book Antiqua" w:hAnsi="Book Antiqua"/>
        </w:rPr>
        <w:t>non sexual</w:t>
      </w:r>
      <w:proofErr w:type="spellEnd"/>
      <w:proofErr w:type="gramEnd"/>
      <w:r w:rsidR="0091659B" w:rsidRPr="006F4CE2">
        <w:rPr>
          <w:rFonts w:ascii="Book Antiqua" w:hAnsi="Book Antiqua"/>
        </w:rPr>
        <w:t xml:space="preserve"> harassment and also gender discrimination, the provinces have unfortunately failed to follow suit and therefore it is incumbent on the provinces to do the same. </w:t>
      </w:r>
    </w:p>
    <w:p w:rsidR="0091659B" w:rsidRPr="006F4CE2" w:rsidRDefault="0091659B" w:rsidP="006F4CE2">
      <w:pPr>
        <w:pStyle w:val="ListParagraph"/>
        <w:spacing w:line="360" w:lineRule="auto"/>
        <w:jc w:val="both"/>
        <w:rPr>
          <w:rFonts w:ascii="Book Antiqua" w:hAnsi="Book Antiqua"/>
        </w:rPr>
      </w:pPr>
      <w:r w:rsidRPr="006F4CE2">
        <w:rPr>
          <w:rFonts w:ascii="Book Antiqua" w:hAnsi="Book Antiqua"/>
        </w:rPr>
        <w:t xml:space="preserve">In a welcome case the Lahore High Court has struck down the minimum age of 16 for a girl in the Child Marriage restraint Act as discriminatory to the minimum age of the boy which is 18 and therefore the Court has further directed the legislature to increase the minimum age of the girl as well. This falls short of the required remedy of declaring an underage marriage as null and void which the present law including the High Court judgment fail to do and therefore even though underage marriage is a crime but the marriage itself remains intact. </w:t>
      </w:r>
    </w:p>
    <w:p w:rsidR="00EF04B6" w:rsidRPr="006F4CE2" w:rsidRDefault="00EF04B6" w:rsidP="006F4CE2">
      <w:pPr>
        <w:pStyle w:val="ListParagraph"/>
        <w:spacing w:line="360" w:lineRule="auto"/>
        <w:jc w:val="both"/>
        <w:rPr>
          <w:rFonts w:ascii="Book Antiqua" w:hAnsi="Book Antiqua"/>
        </w:rPr>
      </w:pPr>
      <w:r w:rsidRPr="006F4CE2">
        <w:rPr>
          <w:rFonts w:ascii="Book Antiqua" w:hAnsi="Book Antiqua"/>
        </w:rPr>
        <w:t xml:space="preserve">Lack of additional protected grounds in the nondiscrimination clause of the constitution which presently only recognizes gender as a protected ground, has enabled intersectional discrimination and fails to protect women from minority communities. </w:t>
      </w:r>
    </w:p>
    <w:p w:rsidR="00EF04B6" w:rsidRPr="006F4CE2" w:rsidRDefault="00EF04B6" w:rsidP="006F4CE2">
      <w:pPr>
        <w:pStyle w:val="ListParagraph"/>
        <w:numPr>
          <w:ilvl w:val="0"/>
          <w:numId w:val="3"/>
        </w:numPr>
        <w:spacing w:line="360" w:lineRule="auto"/>
        <w:jc w:val="both"/>
        <w:rPr>
          <w:rFonts w:ascii="Book Antiqua" w:hAnsi="Book Antiqua"/>
          <w:u w:val="single"/>
          <w:lang w:val="en-GB"/>
        </w:rPr>
      </w:pPr>
      <w:r w:rsidRPr="006F4CE2">
        <w:rPr>
          <w:rFonts w:ascii="Book Antiqua" w:hAnsi="Book Antiqua"/>
          <w:b/>
          <w:bCs/>
          <w:u w:val="single"/>
          <w:lang w:val="en-GB"/>
        </w:rPr>
        <w:t>Women right’s and right to life:</w:t>
      </w:r>
      <w:r w:rsidRPr="006F4CE2">
        <w:rPr>
          <w:rFonts w:ascii="Book Antiqua" w:hAnsi="Book Antiqua"/>
          <w:lang w:val="en-GB"/>
        </w:rPr>
        <w:t xml:space="preserve"> In 2024, the Honourable Supreme Court of Pakistan passed a judgement with 2:1 majority with an enlightening dissenting note from Hon. J Ayesha Malik that overturned the conviction awarded for rape and awarded the complainant (a woman) and the offender with the charge of fornication on the basis that the court found likeliness of a pre-existing relationship between the parties. In creating this precedent, the court fails to acknowledge the Protection of Women (Criminal Laws Amendment) Act 2006 that bars any complaint of rape to be transferred into a charge of fornication </w:t>
      </w:r>
      <w:r w:rsidRPr="006F4CE2">
        <w:rPr>
          <w:rFonts w:ascii="Book Antiqua" w:hAnsi="Book Antiqua"/>
          <w:lang w:val="en-GB"/>
        </w:rPr>
        <w:lastRenderedPageBreak/>
        <w:t xml:space="preserve">under the Criminal Procedure Code 1898 and harm it will cause to women as it did in the 80s after passing of the Zina (Hudood) Ordinance in 1979 that led to thousands of women being incarcerated upon failure to prove rape which led to them being charged with a conviction of committing </w:t>
      </w:r>
      <w:proofErr w:type="spellStart"/>
      <w:r w:rsidRPr="006F4CE2">
        <w:rPr>
          <w:rFonts w:ascii="Book Antiqua" w:hAnsi="Book Antiqua"/>
          <w:lang w:val="en-GB"/>
        </w:rPr>
        <w:t>zina</w:t>
      </w:r>
      <w:proofErr w:type="spellEnd"/>
      <w:r w:rsidRPr="006F4CE2">
        <w:rPr>
          <w:rFonts w:ascii="Book Antiqua" w:hAnsi="Book Antiqua"/>
          <w:lang w:val="en-GB"/>
        </w:rPr>
        <w:t xml:space="preserve"> (fornication). Moreover, the court in the aforesaid judgement (</w:t>
      </w:r>
      <w:proofErr w:type="spellStart"/>
      <w:r w:rsidRPr="006F4CE2">
        <w:rPr>
          <w:rFonts w:ascii="Book Antiqua" w:hAnsi="Book Antiqua"/>
          <w:lang w:val="en-GB"/>
        </w:rPr>
        <w:t>Crl.p</w:t>
      </w:r>
      <w:proofErr w:type="spellEnd"/>
      <w:r w:rsidRPr="006F4CE2">
        <w:rPr>
          <w:rFonts w:ascii="Book Antiqua" w:hAnsi="Book Antiqua"/>
          <w:lang w:val="en-GB"/>
        </w:rPr>
        <w:t xml:space="preserve">. 725/2023) passed this judgement in the absence of the complainant, rendering her devoid of the opportunity to even defend herself against the charges furnished against her, in light of the fact that the offender himself never took this </w:t>
      </w:r>
      <w:proofErr w:type="spellStart"/>
      <w:r w:rsidRPr="006F4CE2">
        <w:rPr>
          <w:rFonts w:ascii="Book Antiqua" w:hAnsi="Book Antiqua"/>
          <w:lang w:val="en-GB"/>
        </w:rPr>
        <w:t>defense</w:t>
      </w:r>
      <w:proofErr w:type="spellEnd"/>
      <w:r w:rsidRPr="006F4CE2">
        <w:rPr>
          <w:rFonts w:ascii="Book Antiqua" w:hAnsi="Book Antiqua"/>
          <w:lang w:val="en-GB"/>
        </w:rPr>
        <w:t xml:space="preserve"> during trial stage and appeal that the relationship between the parties was consensual. </w:t>
      </w:r>
    </w:p>
    <w:p w:rsidR="00EF04B6" w:rsidRPr="006F4CE2" w:rsidRDefault="00EF04B6" w:rsidP="006F4CE2">
      <w:pPr>
        <w:pStyle w:val="ListParagraph"/>
        <w:spacing w:line="360" w:lineRule="auto"/>
        <w:jc w:val="both"/>
        <w:rPr>
          <w:rFonts w:ascii="Book Antiqua" w:hAnsi="Book Antiqua"/>
          <w:b/>
          <w:bCs/>
          <w:lang w:val="en-GB"/>
        </w:rPr>
      </w:pPr>
    </w:p>
    <w:p w:rsidR="00EF04B6" w:rsidRPr="006F4CE2" w:rsidRDefault="00EF04B6" w:rsidP="006F4CE2">
      <w:pPr>
        <w:pStyle w:val="ListParagraph"/>
        <w:spacing w:line="360" w:lineRule="auto"/>
        <w:jc w:val="both"/>
        <w:rPr>
          <w:rFonts w:ascii="Book Antiqua" w:hAnsi="Book Antiqua"/>
          <w:lang w:val="en-GB"/>
        </w:rPr>
      </w:pPr>
      <w:r w:rsidRPr="006F4CE2">
        <w:rPr>
          <w:rFonts w:ascii="Book Antiqua" w:hAnsi="Book Antiqua"/>
          <w:lang w:val="en-GB"/>
        </w:rPr>
        <w:t xml:space="preserve">The Anti-rape (Investigation and Trial) Act 2021 was passed as an Act of Parliament elevating it from an Ordinance which was promulgated in response to the heinous ‘motorway gang rape’ incident that took place on Lahore Bypass against a mother in the company of her minor children. The Act intended to strengthen the criminal justice system against the prevalence of sexual and gender-based violence by providing a parallel system to cater victims of sexual abuse through establishment of Anti-rape Crises Cells, special investigating units in the police, Special courts and Special prosecutors, alongside other victim and witness related protections. Whilst criminal law adopts an approach of ‘accused is the favourite child of the law’, this law was specifically designed with a victim-centric approach being cognizant of the sensitivities and trauma surrounding sexual abuse cases. The Special Committee under this Act has worked tirelessly to effectuate the implementation of its provisions, and the change is reflected in the rise of conviction rate in rape cases to 5% from the previously negligible 2.5% in Punjab with a marginal rise in Sindh having a 15% conviction rate. Despite the government’s efforts in prioritising the implementation of the Anti-rape Act 2021, it is a bitter reality that judgements such as </w:t>
      </w:r>
      <w:proofErr w:type="spellStart"/>
      <w:r w:rsidRPr="006F4CE2">
        <w:rPr>
          <w:rFonts w:ascii="Book Antiqua" w:hAnsi="Book Antiqua"/>
          <w:lang w:val="en-GB"/>
        </w:rPr>
        <w:t>Crl</w:t>
      </w:r>
      <w:proofErr w:type="spellEnd"/>
      <w:r w:rsidRPr="006F4CE2">
        <w:rPr>
          <w:rFonts w:ascii="Book Antiqua" w:hAnsi="Book Antiqua"/>
          <w:lang w:val="en-GB"/>
        </w:rPr>
        <w:t xml:space="preserve">. P. 725/2023 by the Apex court of the country undoubtedly plays a deteriorative role towards the rights and protections of sexual violence survivors. </w:t>
      </w:r>
    </w:p>
    <w:p w:rsidR="0091659B" w:rsidRPr="006F4CE2" w:rsidRDefault="00EF04B6" w:rsidP="006F4CE2">
      <w:pPr>
        <w:spacing w:line="360" w:lineRule="auto"/>
        <w:ind w:left="720"/>
        <w:jc w:val="both"/>
        <w:rPr>
          <w:rFonts w:ascii="Book Antiqua" w:hAnsi="Book Antiqua"/>
          <w:lang w:val="en-GB"/>
        </w:rPr>
      </w:pPr>
      <w:r w:rsidRPr="006F4CE2">
        <w:rPr>
          <w:rFonts w:ascii="Book Antiqua" w:hAnsi="Book Antiqua"/>
          <w:lang w:val="en-GB"/>
        </w:rPr>
        <w:t xml:space="preserve">The Punjab Violence Against Women Act 2016 was enacted for the protection and prevention against domestic violence. The Act was passed in 2016 </w:t>
      </w:r>
      <w:r w:rsidRPr="006F4CE2">
        <w:rPr>
          <w:rFonts w:ascii="Book Antiqua" w:hAnsi="Book Antiqua"/>
          <w:lang w:val="en-GB"/>
        </w:rPr>
        <w:lastRenderedPageBreak/>
        <w:t xml:space="preserve">however, its implementation was severely hindered by an odd addition of Section 1 (3) which left the enforcement of the Act contingent upon notification by the government based on various areas and districts of Punjab. Due to this hinderance, the Act was only notified in Multan from 2016 to 2022 after which finally a notification came which enforced the law in Lahore district in Punjab and soon after others. The abhorrence of this provision rendered domestic violence victims with no relief despite the existence of a special law enacted </w:t>
      </w:r>
      <w:proofErr w:type="gramStart"/>
      <w:r w:rsidRPr="006F4CE2">
        <w:rPr>
          <w:rFonts w:ascii="Book Antiqua" w:hAnsi="Book Antiqua"/>
          <w:lang w:val="en-GB"/>
        </w:rPr>
        <w:t>especially</w:t>
      </w:r>
      <w:proofErr w:type="gramEnd"/>
      <w:r w:rsidRPr="006F4CE2">
        <w:rPr>
          <w:rFonts w:ascii="Book Antiqua" w:hAnsi="Book Antiqua"/>
          <w:lang w:val="en-GB"/>
        </w:rPr>
        <w:t xml:space="preserve"> to prevent the abuse that such victims were suffering. The family court judges, the competent court appointed under the 2016 Act, would simply refuse to take cognizance of complaints filed under the Act simply due to the absence a government notification. It was vehemently condemned by members of the civil society as Pakistan is already an over-legislated country and steps like these further added to the outcome of non-implementation leading to non-change. The government has now notified shelter homes in 36 districts with notified District Women Protection Officers in Punjab. </w:t>
      </w:r>
    </w:p>
    <w:p w:rsidR="0091659B" w:rsidRPr="006F4CE2" w:rsidRDefault="0091659B" w:rsidP="006F4CE2">
      <w:pPr>
        <w:pStyle w:val="ListParagraph"/>
        <w:numPr>
          <w:ilvl w:val="0"/>
          <w:numId w:val="3"/>
        </w:numPr>
        <w:spacing w:line="360" w:lineRule="auto"/>
        <w:jc w:val="both"/>
        <w:rPr>
          <w:rFonts w:ascii="Book Antiqua" w:hAnsi="Book Antiqua"/>
        </w:rPr>
      </w:pPr>
      <w:r w:rsidRPr="006F4CE2">
        <w:rPr>
          <w:rFonts w:ascii="Book Antiqua" w:hAnsi="Book Antiqua"/>
          <w:b/>
          <w:bCs/>
        </w:rPr>
        <w:t xml:space="preserve">Right to Privacy: </w:t>
      </w:r>
      <w:r w:rsidRPr="006F4CE2">
        <w:rPr>
          <w:rFonts w:ascii="Book Antiqua" w:hAnsi="Book Antiqua"/>
        </w:rPr>
        <w:t xml:space="preserve">The right to privacy provided in the Pakistan constitution is limited to the privacy of the home and even though there is a judgment of the Supreme Court from 1998 which specifically expands the scope to limit phone tapping, it does not do enough to promulgate a privacy of person test as is provided in comparative jurisdictions. This has enabled the Government of Pakistan to infringe on the privacy rights of individuals with impunity and has recently led to specific executive orders authorizing intelligence agencies to tap any person’s phone conversations which is a blatant infringement of the privacy of individuals. </w:t>
      </w:r>
    </w:p>
    <w:p w:rsidR="0091659B" w:rsidRPr="006F4CE2" w:rsidRDefault="0091659B" w:rsidP="006F4CE2">
      <w:pPr>
        <w:pStyle w:val="ListParagraph"/>
        <w:spacing w:line="360" w:lineRule="auto"/>
        <w:jc w:val="both"/>
        <w:rPr>
          <w:rFonts w:ascii="Book Antiqua" w:hAnsi="Book Antiqua"/>
        </w:rPr>
      </w:pPr>
    </w:p>
    <w:p w:rsidR="0091659B" w:rsidRPr="006F4CE2" w:rsidRDefault="0091659B" w:rsidP="006F4CE2">
      <w:pPr>
        <w:pStyle w:val="ListParagraph"/>
        <w:numPr>
          <w:ilvl w:val="0"/>
          <w:numId w:val="3"/>
        </w:numPr>
        <w:spacing w:line="360" w:lineRule="auto"/>
        <w:jc w:val="both"/>
        <w:rPr>
          <w:rFonts w:ascii="Book Antiqua" w:hAnsi="Book Antiqua"/>
        </w:rPr>
      </w:pPr>
      <w:r w:rsidRPr="006F4CE2">
        <w:rPr>
          <w:rFonts w:ascii="Book Antiqua" w:hAnsi="Book Antiqua"/>
          <w:b/>
          <w:bCs/>
        </w:rPr>
        <w:t>Freedom of Association:</w:t>
      </w:r>
      <w:r w:rsidRPr="006F4CE2">
        <w:rPr>
          <w:rFonts w:ascii="Book Antiqua" w:hAnsi="Book Antiqua"/>
        </w:rPr>
        <w:t xml:space="preserve"> A number of attempts have been made by the government to curb freedom of association of individuals especially NGO’s under the guise of FATF regulations even though the measures enacted specifically infringe upon the regulations themselves. These include promulgation of policies requiring all NGOs taking foreign aid, to register with the Government EAD department and sign memorandums which will enable the</w:t>
      </w:r>
      <w:r w:rsidR="00EF04B6" w:rsidRPr="006F4CE2">
        <w:rPr>
          <w:rFonts w:ascii="Book Antiqua" w:hAnsi="Book Antiqua"/>
        </w:rPr>
        <w:t xml:space="preserve"> government to monitor the daily activities and funding of NGO’s, Sindh </w:t>
      </w:r>
      <w:r w:rsidR="00EF04B6" w:rsidRPr="006F4CE2">
        <w:rPr>
          <w:rFonts w:ascii="Book Antiqua" w:hAnsi="Book Antiqua"/>
        </w:rPr>
        <w:lastRenderedPageBreak/>
        <w:t xml:space="preserve">and Lahore High Court have struck down the policies as unconstitutional but the Government has further promulgated statutes including the Charities Acts of all four provinces whereby through a newly enacted Charities Commission all NGOs regardless of their previous registration structure, are further required to register and sign a memorandum with the Charities Commission. </w:t>
      </w:r>
    </w:p>
    <w:p w:rsidR="00EF04B6" w:rsidRPr="006F4CE2" w:rsidRDefault="00EF04B6" w:rsidP="006F4CE2">
      <w:pPr>
        <w:pStyle w:val="ListParagraph"/>
        <w:spacing w:line="360" w:lineRule="auto"/>
        <w:jc w:val="both"/>
        <w:rPr>
          <w:rFonts w:ascii="Book Antiqua" w:hAnsi="Book Antiqua"/>
        </w:rPr>
      </w:pPr>
    </w:p>
    <w:p w:rsidR="00EF04B6" w:rsidRPr="006F4CE2" w:rsidRDefault="00EF04B6" w:rsidP="006F4CE2">
      <w:pPr>
        <w:pStyle w:val="ListParagraph"/>
        <w:numPr>
          <w:ilvl w:val="0"/>
          <w:numId w:val="3"/>
        </w:numPr>
        <w:spacing w:line="360" w:lineRule="auto"/>
        <w:jc w:val="both"/>
        <w:rPr>
          <w:rFonts w:ascii="Book Antiqua" w:hAnsi="Book Antiqua"/>
          <w:b/>
          <w:bCs/>
          <w:u w:val="single"/>
          <w:lang w:val="en-GB"/>
        </w:rPr>
      </w:pPr>
      <w:r w:rsidRPr="006F4CE2">
        <w:rPr>
          <w:rFonts w:ascii="Book Antiqua" w:hAnsi="Book Antiqua"/>
          <w:b/>
          <w:bCs/>
        </w:rPr>
        <w:t xml:space="preserve">Rights of the Child: </w:t>
      </w:r>
      <w:r w:rsidRPr="006F4CE2">
        <w:rPr>
          <w:rFonts w:ascii="Book Antiqua" w:hAnsi="Book Antiqua"/>
          <w:lang w:val="en-GB"/>
        </w:rPr>
        <w:t xml:space="preserve">The Juvenile Justice System Act 2018 (“JJSA”) was enacted to provide a special law aiming to provide procedures for the protection of minors and children that are involved with the legal justice system and to ensure to social reintegration of juveniles into the community. However, till date the Rules for the have not been formulated that handicaps the entire law within itself as implementation of any legislative document is contingent upon its rules that guides the executive in application and building of infrastructure that allows, in this case juveniles, to benefit from the protective measures and procedures provided in this law. Some of the protective measures entails the setting up of juvenile courts, only one child court is currently operational in Lahore with other districts completely neglected and cases involving minors being tried in normal courts alongside adult accused and offenders. Protection of identity and arrest procedures for juveniles are negligibly adopted by the law enforcement agencies as the age of juvenile is often determined at a later stage in trial or investigation. The Punjab Domestic Workers Act 2019 under Section 3 applies a prohibition on a child under the age of 15 years to be allowed to work in a household in any capacity however, this is a cause for concern with the view that a child is not allowed to apply for a CNIC or driver’s license before the age of majority, as defined in the Majority Act, but the Act allows a child over the age of 15 years to be employed as a domestic worker in a largely unregulated work environment where the chance of exploitation and abuse is very high. </w:t>
      </w:r>
    </w:p>
    <w:p w:rsidR="00EF04B6" w:rsidRPr="006F4CE2" w:rsidRDefault="00EF04B6" w:rsidP="006F4CE2">
      <w:pPr>
        <w:pStyle w:val="ListParagraph"/>
        <w:spacing w:line="360" w:lineRule="auto"/>
        <w:jc w:val="both"/>
        <w:rPr>
          <w:rFonts w:ascii="Book Antiqua" w:hAnsi="Book Antiqua"/>
          <w:lang w:val="en-GB"/>
        </w:rPr>
      </w:pPr>
    </w:p>
    <w:p w:rsidR="00EF04B6" w:rsidRPr="006F4CE2" w:rsidRDefault="00EF04B6" w:rsidP="006F4CE2">
      <w:pPr>
        <w:pStyle w:val="ListParagraph"/>
        <w:spacing w:line="360" w:lineRule="auto"/>
        <w:jc w:val="both"/>
        <w:rPr>
          <w:rFonts w:ascii="Book Antiqua" w:hAnsi="Book Antiqua"/>
          <w:lang w:val="en-GB"/>
        </w:rPr>
      </w:pPr>
      <w:r w:rsidRPr="006F4CE2">
        <w:rPr>
          <w:rFonts w:ascii="Book Antiqua" w:hAnsi="Book Antiqua"/>
          <w:lang w:val="en-GB"/>
        </w:rPr>
        <w:t xml:space="preserve">In March 2024, the Lahore High Court passed a judgment authored by Hon. J </w:t>
      </w:r>
      <w:proofErr w:type="spellStart"/>
      <w:r w:rsidRPr="006F4CE2">
        <w:rPr>
          <w:rFonts w:ascii="Book Antiqua" w:hAnsi="Book Antiqua"/>
          <w:lang w:val="en-GB"/>
        </w:rPr>
        <w:t>Shahid</w:t>
      </w:r>
      <w:proofErr w:type="spellEnd"/>
      <w:r w:rsidRPr="006F4CE2">
        <w:rPr>
          <w:rFonts w:ascii="Book Antiqua" w:hAnsi="Book Antiqua"/>
          <w:lang w:val="en-GB"/>
        </w:rPr>
        <w:t xml:space="preserve"> Karim rendering the discrimination between marriageable ages of male and female as unconstitutional. The Child Marriage Restraint Act 1929 (“Child </w:t>
      </w:r>
      <w:r w:rsidRPr="006F4CE2">
        <w:rPr>
          <w:rFonts w:ascii="Book Antiqua" w:hAnsi="Book Antiqua"/>
          <w:lang w:val="en-GB"/>
        </w:rPr>
        <w:lastRenderedPageBreak/>
        <w:t xml:space="preserve">Act”) was impugned before the court as being discriminatory and in contravention to the Constitution as the Punjab iteration differs between the marriageable ages of a male and female child – a male can marry after 18 years of age and a female can marry after attaining 16 years of age. Even though this was a welcomed step by civil society and human rights defenders as the first stride towards eradicating the prevalence of child marriage in the society, the Punjab government who was given a direction of furnishing a report regarding a legislative amendment within 15 days of the judgement, has made no efforts in abiding by the court’s direction whilst the law remains unchanged. </w:t>
      </w:r>
    </w:p>
    <w:p w:rsidR="00EF04B6" w:rsidRPr="006F4CE2" w:rsidRDefault="00EF04B6" w:rsidP="006F4CE2">
      <w:pPr>
        <w:pStyle w:val="ListParagraph"/>
        <w:spacing w:line="360" w:lineRule="auto"/>
        <w:jc w:val="both"/>
        <w:rPr>
          <w:rFonts w:ascii="Book Antiqua" w:hAnsi="Book Antiqua"/>
          <w:b/>
          <w:bCs/>
          <w:lang w:val="en-GB"/>
        </w:rPr>
      </w:pPr>
    </w:p>
    <w:p w:rsidR="00EF04B6" w:rsidRPr="006F4CE2" w:rsidRDefault="00EF04B6" w:rsidP="006F4CE2">
      <w:pPr>
        <w:pStyle w:val="ListParagraph"/>
        <w:numPr>
          <w:ilvl w:val="0"/>
          <w:numId w:val="3"/>
        </w:numPr>
        <w:spacing w:line="360" w:lineRule="auto"/>
        <w:jc w:val="both"/>
        <w:rPr>
          <w:rFonts w:ascii="Book Antiqua" w:hAnsi="Book Antiqua"/>
          <w:b/>
          <w:bCs/>
          <w:lang w:val="en-GB"/>
        </w:rPr>
      </w:pPr>
      <w:r w:rsidRPr="006F4CE2">
        <w:rPr>
          <w:rFonts w:ascii="Book Antiqua" w:hAnsi="Book Antiqua"/>
          <w:b/>
          <w:bCs/>
          <w:lang w:val="en-GB"/>
        </w:rPr>
        <w:t xml:space="preserve">Minority rights: </w:t>
      </w:r>
    </w:p>
    <w:p w:rsidR="006F4CE2" w:rsidRDefault="00EF04B6" w:rsidP="006F4CE2">
      <w:pPr>
        <w:pStyle w:val="ListParagraph"/>
        <w:spacing w:line="360" w:lineRule="auto"/>
        <w:jc w:val="both"/>
        <w:rPr>
          <w:rFonts w:ascii="Book Antiqua" w:hAnsi="Book Antiqua"/>
          <w:b/>
          <w:bCs/>
          <w:lang w:val="en-GB"/>
        </w:rPr>
      </w:pPr>
      <w:r w:rsidRPr="006F4CE2">
        <w:rPr>
          <w:rFonts w:ascii="Book Antiqua" w:hAnsi="Book Antiqua"/>
          <w:lang w:val="en-GB"/>
        </w:rPr>
        <w:t xml:space="preserve">In the end of 2021, the Punjab government made it obligatory for any person entering into a </w:t>
      </w:r>
      <w:proofErr w:type="spellStart"/>
      <w:r w:rsidRPr="006F4CE2">
        <w:rPr>
          <w:rFonts w:ascii="Book Antiqua" w:hAnsi="Book Antiqua"/>
          <w:lang w:val="en-GB"/>
        </w:rPr>
        <w:t>Nikkah</w:t>
      </w:r>
      <w:proofErr w:type="spellEnd"/>
      <w:r w:rsidRPr="006F4CE2">
        <w:rPr>
          <w:rFonts w:ascii="Book Antiqua" w:hAnsi="Book Antiqua"/>
          <w:lang w:val="en-GB"/>
        </w:rPr>
        <w:t xml:space="preserve"> to sign an oath of the finality of Prophethood (</w:t>
      </w:r>
      <w:proofErr w:type="spellStart"/>
      <w:r w:rsidRPr="006F4CE2">
        <w:rPr>
          <w:rFonts w:ascii="Book Antiqua" w:hAnsi="Book Antiqua"/>
          <w:i/>
          <w:iCs/>
          <w:lang w:val="en-GB"/>
        </w:rPr>
        <w:t>Khatm</w:t>
      </w:r>
      <w:proofErr w:type="spellEnd"/>
      <w:r w:rsidRPr="006F4CE2">
        <w:rPr>
          <w:rFonts w:ascii="Book Antiqua" w:hAnsi="Book Antiqua"/>
          <w:i/>
          <w:iCs/>
          <w:lang w:val="en-GB"/>
        </w:rPr>
        <w:t>-e-</w:t>
      </w:r>
      <w:proofErr w:type="spellStart"/>
      <w:r w:rsidRPr="006F4CE2">
        <w:rPr>
          <w:rFonts w:ascii="Book Antiqua" w:hAnsi="Book Antiqua"/>
          <w:i/>
          <w:iCs/>
          <w:lang w:val="en-GB"/>
        </w:rPr>
        <w:t>Nabuwwat</w:t>
      </w:r>
      <w:proofErr w:type="spellEnd"/>
      <w:r w:rsidRPr="006F4CE2">
        <w:rPr>
          <w:rFonts w:ascii="Book Antiqua" w:hAnsi="Book Antiqua"/>
          <w:lang w:val="en-GB"/>
        </w:rPr>
        <w:t xml:space="preserve">), this was seen as a form to discourage marriage between Muslims and non-Muslims, especially members of the </w:t>
      </w:r>
      <w:proofErr w:type="spellStart"/>
      <w:r w:rsidRPr="006F4CE2">
        <w:rPr>
          <w:rFonts w:ascii="Book Antiqua" w:hAnsi="Book Antiqua"/>
          <w:lang w:val="en-GB"/>
        </w:rPr>
        <w:t>Ahmaddiya</w:t>
      </w:r>
      <w:proofErr w:type="spellEnd"/>
      <w:r w:rsidRPr="006F4CE2">
        <w:rPr>
          <w:rFonts w:ascii="Book Antiqua" w:hAnsi="Book Antiqua"/>
          <w:lang w:val="en-GB"/>
        </w:rPr>
        <w:t xml:space="preserve"> community and to further identify </w:t>
      </w:r>
      <w:proofErr w:type="spellStart"/>
      <w:r w:rsidRPr="006F4CE2">
        <w:rPr>
          <w:rFonts w:ascii="Book Antiqua" w:hAnsi="Book Antiqua"/>
          <w:lang w:val="en-GB"/>
        </w:rPr>
        <w:t>Ahmedis</w:t>
      </w:r>
      <w:proofErr w:type="spellEnd"/>
      <w:r w:rsidRPr="006F4CE2">
        <w:rPr>
          <w:rFonts w:ascii="Book Antiqua" w:hAnsi="Book Antiqua"/>
          <w:lang w:val="en-GB"/>
        </w:rPr>
        <w:t xml:space="preserve">. </w:t>
      </w:r>
      <w:proofErr w:type="spellStart"/>
      <w:r w:rsidRPr="006F4CE2">
        <w:rPr>
          <w:rFonts w:ascii="Book Antiqua" w:hAnsi="Book Antiqua"/>
          <w:lang w:val="en-GB"/>
        </w:rPr>
        <w:t>Ahmedis</w:t>
      </w:r>
      <w:proofErr w:type="spellEnd"/>
      <w:r w:rsidRPr="006F4CE2">
        <w:rPr>
          <w:rFonts w:ascii="Book Antiqua" w:hAnsi="Book Antiqua"/>
          <w:lang w:val="en-GB"/>
        </w:rPr>
        <w:t xml:space="preserve"> are a community that faces abuse and suffer the brunt of vigilantism from the majority community as it is and subsequent to this mandatory requirement in the </w:t>
      </w:r>
      <w:proofErr w:type="spellStart"/>
      <w:r w:rsidRPr="006F4CE2">
        <w:rPr>
          <w:rFonts w:ascii="Book Antiqua" w:hAnsi="Book Antiqua"/>
          <w:lang w:val="en-GB"/>
        </w:rPr>
        <w:t>Nikkahnama</w:t>
      </w:r>
      <w:proofErr w:type="spellEnd"/>
      <w:r w:rsidRPr="006F4CE2">
        <w:rPr>
          <w:rFonts w:ascii="Book Antiqua" w:hAnsi="Book Antiqua"/>
          <w:lang w:val="en-GB"/>
        </w:rPr>
        <w:t xml:space="preserve">, they undoubtedly face more harassment and contravention to their right to profess religion and religious freedom. </w:t>
      </w:r>
      <w:proofErr w:type="spellStart"/>
      <w:r w:rsidRPr="006F4CE2">
        <w:rPr>
          <w:rFonts w:ascii="Book Antiqua" w:hAnsi="Book Antiqua"/>
          <w:lang w:val="en-GB"/>
        </w:rPr>
        <w:t>Ahmedis</w:t>
      </w:r>
      <w:proofErr w:type="spellEnd"/>
      <w:r w:rsidRPr="006F4CE2">
        <w:rPr>
          <w:rFonts w:ascii="Book Antiqua" w:hAnsi="Book Antiqua"/>
          <w:lang w:val="en-GB"/>
        </w:rPr>
        <w:t xml:space="preserve"> are often faced with grassroot level abuses such as arson of their property and homes, desecration of their places of worship and desecration of their graveyards by members of the majority faith and the law enforcement agencies do little to none to</w:t>
      </w:r>
      <w:r w:rsidRPr="006F4CE2">
        <w:rPr>
          <w:rFonts w:ascii="Book Antiqua" w:hAnsi="Book Antiqua"/>
          <w:b/>
          <w:bCs/>
          <w:lang w:val="en-GB"/>
        </w:rPr>
        <w:t xml:space="preserve"> help these citizens. </w:t>
      </w:r>
    </w:p>
    <w:p w:rsidR="006F4CE2" w:rsidRDefault="006F4CE2" w:rsidP="006F4CE2">
      <w:pPr>
        <w:pStyle w:val="ListParagraph"/>
        <w:spacing w:line="360" w:lineRule="auto"/>
        <w:jc w:val="both"/>
        <w:rPr>
          <w:rFonts w:ascii="Book Antiqua" w:hAnsi="Book Antiqua"/>
        </w:rPr>
      </w:pPr>
    </w:p>
    <w:p w:rsidR="006F4CE2" w:rsidRPr="006F4CE2" w:rsidRDefault="006F4CE2" w:rsidP="006F4CE2">
      <w:pPr>
        <w:pStyle w:val="ListParagraph"/>
        <w:spacing w:line="360" w:lineRule="auto"/>
        <w:jc w:val="both"/>
        <w:rPr>
          <w:rFonts w:ascii="Book Antiqua" w:hAnsi="Book Antiqua"/>
          <w:b/>
          <w:bCs/>
          <w:lang w:val="en-GB"/>
        </w:rPr>
      </w:pPr>
      <w:bookmarkStart w:id="0" w:name="_GoBack"/>
      <w:bookmarkEnd w:id="0"/>
      <w:r w:rsidRPr="006F4CE2">
        <w:rPr>
          <w:rFonts w:ascii="Book Antiqua" w:hAnsi="Book Antiqua"/>
        </w:rPr>
        <w:t xml:space="preserve">The Supreme Court is the final arbiter and a fundamental pillar of the Constitution in Pakistan Previously, the Supreme Court rulings in blasphemy cases have had an immense impact on the rights of minorities by correcting the miscarriage of justice d by overturning death convictions awarded by lower courts. </w:t>
      </w:r>
      <w:proofErr w:type="spellStart"/>
      <w:r w:rsidRPr="006F4CE2">
        <w:rPr>
          <w:rFonts w:ascii="Book Antiqua" w:hAnsi="Book Antiqua"/>
        </w:rPr>
        <w:t>Mubarik</w:t>
      </w:r>
      <w:proofErr w:type="spellEnd"/>
      <w:r w:rsidRPr="006F4CE2">
        <w:rPr>
          <w:rFonts w:ascii="Book Antiqua" w:hAnsi="Book Antiqua"/>
        </w:rPr>
        <w:t xml:space="preserve"> Sani Vs State : In February 2024 the Supreme Court but admitted to bail </w:t>
      </w:r>
      <w:proofErr w:type="spellStart"/>
      <w:r w:rsidRPr="006F4CE2">
        <w:rPr>
          <w:rFonts w:ascii="Book Antiqua" w:hAnsi="Book Antiqua"/>
        </w:rPr>
        <w:t>Mubarik</w:t>
      </w:r>
      <w:proofErr w:type="spellEnd"/>
      <w:r w:rsidRPr="006F4CE2">
        <w:rPr>
          <w:rFonts w:ascii="Book Antiqua" w:hAnsi="Book Antiqua"/>
        </w:rPr>
        <w:t xml:space="preserve"> Sani, an Ahmadi accused of blasphemy for distributing a proscribed book under the Punjab Holy Quran  (printing and Recording) Amendment Act 2021 on grounds that his conviction was </w:t>
      </w:r>
      <w:r w:rsidRPr="006F4CE2">
        <w:rPr>
          <w:rFonts w:ascii="Book Antiqua" w:hAnsi="Book Antiqua"/>
        </w:rPr>
        <w:lastRenderedPageBreak/>
        <w:t xml:space="preserve">retrospective for a crime that  was criminalized after the offence had been committed. He had served 13 months  in prison when the offence carried  a maximum punishment of 6 months. A review petition was filed by the government of Punjab following a campaign against the Chief Justice and Supreme Court by religious parties. In the review the Court held that while </w:t>
      </w:r>
      <w:proofErr w:type="spellStart"/>
      <w:r w:rsidRPr="006F4CE2">
        <w:rPr>
          <w:rFonts w:ascii="Book Antiqua" w:hAnsi="Book Antiqua"/>
        </w:rPr>
        <w:t>Ahmedis</w:t>
      </w:r>
      <w:proofErr w:type="spellEnd"/>
      <w:r w:rsidRPr="006F4CE2">
        <w:rPr>
          <w:rFonts w:ascii="Book Antiqua" w:hAnsi="Book Antiqua"/>
        </w:rPr>
        <w:t xml:space="preserve"> are not allowed to proclaim themselves as Muslims they were allowed to practice their beliefs within the confines of their worship places and houses. Ultimately, under the pressure of religious elements the government filed  a Criminal Miscellaneous application to expunge some parts of the judgement (which stated that </w:t>
      </w:r>
      <w:proofErr w:type="spellStart"/>
      <w:r w:rsidRPr="006F4CE2">
        <w:rPr>
          <w:rFonts w:ascii="Book Antiqua" w:hAnsi="Book Antiqua"/>
        </w:rPr>
        <w:t>Ahmedi’s</w:t>
      </w:r>
      <w:proofErr w:type="spellEnd"/>
      <w:r w:rsidRPr="006F4CE2">
        <w:rPr>
          <w:rFonts w:ascii="Book Antiqua" w:hAnsi="Book Antiqua"/>
        </w:rPr>
        <w:t xml:space="preserve"> could practice their beliefs in privacy). The Supreme Court under pressure expunged the controversial parts of the judgement without having the defendant present. This has  set a dangerous precedent, firstly  by eroding the finality of the judicial decision by reviewing it decision twice first by a judicial review and then an application by way of CMA. Secondly, it has strengthened the control of religious parties on the institutions. This ruling has derogated from the August Court’s previous  evolved caselaw upholding the rule of law and judicial independence on the rights of minorities and the writ of the state to protect them. </w:t>
      </w:r>
    </w:p>
    <w:p w:rsidR="006F4CE2" w:rsidRPr="006F4CE2" w:rsidRDefault="006F4CE2" w:rsidP="006F4CE2">
      <w:pPr>
        <w:pStyle w:val="ListParagraph"/>
        <w:spacing w:line="360" w:lineRule="auto"/>
        <w:jc w:val="both"/>
        <w:rPr>
          <w:rFonts w:ascii="Book Antiqua" w:hAnsi="Book Antiqua"/>
          <w:b/>
          <w:bCs/>
          <w:lang w:val="en-GB"/>
        </w:rPr>
      </w:pPr>
    </w:p>
    <w:p w:rsidR="00EF04B6" w:rsidRPr="006F4CE2" w:rsidRDefault="00EF04B6" w:rsidP="006F4CE2">
      <w:pPr>
        <w:pStyle w:val="ListParagraph"/>
        <w:spacing w:line="360" w:lineRule="auto"/>
        <w:jc w:val="both"/>
        <w:rPr>
          <w:rFonts w:ascii="Book Antiqua" w:hAnsi="Book Antiqua"/>
          <w:b/>
          <w:bCs/>
        </w:rPr>
      </w:pPr>
    </w:p>
    <w:p w:rsidR="006745D0" w:rsidRPr="006F4CE2" w:rsidRDefault="006745D0" w:rsidP="006F4CE2">
      <w:pPr>
        <w:pStyle w:val="ListParagraph"/>
        <w:numPr>
          <w:ilvl w:val="0"/>
          <w:numId w:val="3"/>
        </w:numPr>
        <w:spacing w:line="360" w:lineRule="auto"/>
        <w:jc w:val="both"/>
        <w:rPr>
          <w:rFonts w:ascii="Book Antiqua" w:hAnsi="Book Antiqua"/>
        </w:rPr>
      </w:pPr>
      <w:r w:rsidRPr="006F4CE2">
        <w:rPr>
          <w:rFonts w:ascii="Book Antiqua" w:hAnsi="Book Antiqua"/>
          <w:b/>
          <w:bCs/>
        </w:rPr>
        <w:t>Prisoner’s Rights</w:t>
      </w:r>
      <w:r w:rsidR="007275C4" w:rsidRPr="006F4CE2">
        <w:rPr>
          <w:rFonts w:ascii="Book Antiqua" w:hAnsi="Book Antiqua"/>
          <w:b/>
          <w:bCs/>
        </w:rPr>
        <w:t xml:space="preserve"> and Right to Fair trial</w:t>
      </w:r>
      <w:r w:rsidRPr="006F4CE2">
        <w:rPr>
          <w:rFonts w:ascii="Book Antiqua" w:hAnsi="Book Antiqua"/>
          <w:b/>
          <w:bCs/>
        </w:rPr>
        <w:t xml:space="preserve">: </w:t>
      </w:r>
      <w:r w:rsidRPr="006F4CE2">
        <w:rPr>
          <w:rFonts w:ascii="Book Antiqua" w:hAnsi="Book Antiqua"/>
        </w:rPr>
        <w:t>Punjab has a total of 43 prisons with the capacity to contain 37,217 prisoners. The current population of prisoners in these prisons is 59,904 with a total of 43,037 under-trial prisoners. These figures show the travesty of injustice being done against prisoners trapping them into confined spaces. Such conditions amount to a violation of due process (Article 10A Constitution) as prisoners are forced to spend inexplainable time periods in incarcerated often owing to prolonged trials, delayed appeals and court delays before forums of appeal. In average a person awarded the death penalty spends 7 years in prison before being heard at the appellate forum whilst majority of these appeals lead to acquittal or commuting of sentences. The criminal justice system is in dire need of administrative reforms to expedite completion of trials.</w:t>
      </w:r>
    </w:p>
    <w:p w:rsidR="00EF04B6" w:rsidRPr="006F4CE2" w:rsidRDefault="00EF04B6" w:rsidP="006F4CE2">
      <w:pPr>
        <w:pStyle w:val="ListParagraph"/>
        <w:spacing w:line="360" w:lineRule="auto"/>
        <w:jc w:val="both"/>
        <w:rPr>
          <w:rFonts w:ascii="Book Antiqua" w:hAnsi="Book Antiqua"/>
          <w:b/>
          <w:bCs/>
          <w:u w:val="single"/>
          <w:lang w:val="en-GB"/>
        </w:rPr>
      </w:pPr>
    </w:p>
    <w:p w:rsidR="00EF04B6" w:rsidRPr="006F4CE2" w:rsidRDefault="00EF04B6" w:rsidP="006F4CE2">
      <w:pPr>
        <w:pStyle w:val="ListParagraph"/>
        <w:spacing w:line="360" w:lineRule="auto"/>
        <w:jc w:val="both"/>
        <w:rPr>
          <w:rFonts w:ascii="Book Antiqua" w:hAnsi="Book Antiqua"/>
          <w:b/>
          <w:bCs/>
          <w:lang w:val="en-GB"/>
        </w:rPr>
      </w:pPr>
    </w:p>
    <w:p w:rsidR="00EF04B6" w:rsidRPr="006F4CE2" w:rsidRDefault="00EF04B6" w:rsidP="006F4CE2">
      <w:pPr>
        <w:pStyle w:val="ListParagraph"/>
        <w:spacing w:line="360" w:lineRule="auto"/>
        <w:jc w:val="both"/>
        <w:rPr>
          <w:rFonts w:ascii="Book Antiqua" w:hAnsi="Book Antiqua"/>
          <w:b/>
          <w:bCs/>
        </w:rPr>
      </w:pPr>
    </w:p>
    <w:sectPr w:rsidR="00EF04B6" w:rsidRPr="006F4CE2" w:rsidSect="00637AF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90E7E" w:rsidRDefault="00290E7E" w:rsidP="006745D0">
      <w:r>
        <w:separator/>
      </w:r>
    </w:p>
  </w:endnote>
  <w:endnote w:type="continuationSeparator" w:id="0">
    <w:p w:rsidR="00290E7E" w:rsidRDefault="00290E7E" w:rsidP="006745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90E7E" w:rsidRDefault="00290E7E" w:rsidP="006745D0">
      <w:r>
        <w:separator/>
      </w:r>
    </w:p>
  </w:footnote>
  <w:footnote w:type="continuationSeparator" w:id="0">
    <w:p w:rsidR="00290E7E" w:rsidRDefault="00290E7E" w:rsidP="006745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65BD7"/>
    <w:multiLevelType w:val="hybridMultilevel"/>
    <w:tmpl w:val="4A7CCD10"/>
    <w:lvl w:ilvl="0" w:tplc="22E40B5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4982D7B"/>
    <w:multiLevelType w:val="hybridMultilevel"/>
    <w:tmpl w:val="A42CC27C"/>
    <w:lvl w:ilvl="0" w:tplc="E3305A4C">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E41BA2"/>
    <w:multiLevelType w:val="hybridMultilevel"/>
    <w:tmpl w:val="27F6928A"/>
    <w:lvl w:ilvl="0" w:tplc="EBA00EA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D047742"/>
    <w:multiLevelType w:val="hybridMultilevel"/>
    <w:tmpl w:val="72D24E80"/>
    <w:lvl w:ilvl="0" w:tplc="483ECA1E">
      <w:start w:val="1"/>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533C5F07"/>
    <w:multiLevelType w:val="hybridMultilevel"/>
    <w:tmpl w:val="D9A8C2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B20100"/>
    <w:multiLevelType w:val="hybridMultilevel"/>
    <w:tmpl w:val="43544D2A"/>
    <w:lvl w:ilvl="0" w:tplc="929C11B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E3024A2"/>
    <w:multiLevelType w:val="hybridMultilevel"/>
    <w:tmpl w:val="D7A6B7F6"/>
    <w:lvl w:ilvl="0" w:tplc="7C867D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EDE3030"/>
    <w:multiLevelType w:val="hybridMultilevel"/>
    <w:tmpl w:val="D146111E"/>
    <w:lvl w:ilvl="0" w:tplc="FAE6F6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4844E73"/>
    <w:multiLevelType w:val="hybridMultilevel"/>
    <w:tmpl w:val="FB2C76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7"/>
  </w:num>
  <w:num w:numId="5">
    <w:abstractNumId w:val="3"/>
  </w:num>
  <w:num w:numId="6">
    <w:abstractNumId w:val="5"/>
  </w:num>
  <w:num w:numId="7">
    <w:abstractNumId w:val="0"/>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6"/>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1B"/>
    <w:rsid w:val="00145F93"/>
    <w:rsid w:val="00290E7E"/>
    <w:rsid w:val="0042351E"/>
    <w:rsid w:val="00637AF8"/>
    <w:rsid w:val="0064393D"/>
    <w:rsid w:val="00672DFF"/>
    <w:rsid w:val="006745D0"/>
    <w:rsid w:val="006B6FD3"/>
    <w:rsid w:val="006F4CE2"/>
    <w:rsid w:val="007275C4"/>
    <w:rsid w:val="007369AB"/>
    <w:rsid w:val="007E1915"/>
    <w:rsid w:val="00853744"/>
    <w:rsid w:val="008602AE"/>
    <w:rsid w:val="008D059C"/>
    <w:rsid w:val="009049D2"/>
    <w:rsid w:val="00914818"/>
    <w:rsid w:val="0091659B"/>
    <w:rsid w:val="00944CB2"/>
    <w:rsid w:val="00A561B8"/>
    <w:rsid w:val="00B81F97"/>
    <w:rsid w:val="00B8211B"/>
    <w:rsid w:val="00C81FE7"/>
    <w:rsid w:val="00D54A6F"/>
    <w:rsid w:val="00DE64A6"/>
    <w:rsid w:val="00EF04B6"/>
    <w:rsid w:val="00F8419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6842FE80"/>
  <w15:chartTrackingRefBased/>
  <w15:docId w15:val="{D922ADA9-C6E6-814A-ABB5-D38137C7A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6F4CE2"/>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211B"/>
    <w:pPr>
      <w:ind w:left="720"/>
      <w:contextualSpacing/>
    </w:pPr>
  </w:style>
  <w:style w:type="paragraph" w:styleId="Header">
    <w:name w:val="header"/>
    <w:basedOn w:val="Normal"/>
    <w:link w:val="HeaderChar"/>
    <w:uiPriority w:val="99"/>
    <w:unhideWhenUsed/>
    <w:rsid w:val="006745D0"/>
    <w:pPr>
      <w:tabs>
        <w:tab w:val="center" w:pos="4680"/>
        <w:tab w:val="right" w:pos="9360"/>
      </w:tabs>
    </w:pPr>
  </w:style>
  <w:style w:type="character" w:customStyle="1" w:styleId="HeaderChar">
    <w:name w:val="Header Char"/>
    <w:basedOn w:val="DefaultParagraphFont"/>
    <w:link w:val="Header"/>
    <w:uiPriority w:val="99"/>
    <w:rsid w:val="006745D0"/>
  </w:style>
  <w:style w:type="paragraph" w:styleId="Footer">
    <w:name w:val="footer"/>
    <w:basedOn w:val="Normal"/>
    <w:link w:val="FooterChar"/>
    <w:uiPriority w:val="99"/>
    <w:unhideWhenUsed/>
    <w:rsid w:val="006745D0"/>
    <w:pPr>
      <w:tabs>
        <w:tab w:val="center" w:pos="4680"/>
        <w:tab w:val="right" w:pos="9360"/>
      </w:tabs>
    </w:pPr>
  </w:style>
  <w:style w:type="character" w:customStyle="1" w:styleId="FooterChar">
    <w:name w:val="Footer Char"/>
    <w:basedOn w:val="DefaultParagraphFont"/>
    <w:link w:val="Footer"/>
    <w:uiPriority w:val="99"/>
    <w:rsid w:val="006745D0"/>
  </w:style>
  <w:style w:type="paragraph" w:styleId="NoSpacing">
    <w:name w:val="No Spacing"/>
    <w:uiPriority w:val="1"/>
    <w:qFormat/>
    <w:rsid w:val="006F4CE2"/>
  </w:style>
  <w:style w:type="character" w:customStyle="1" w:styleId="Heading2Char">
    <w:name w:val="Heading 2 Char"/>
    <w:basedOn w:val="DefaultParagraphFont"/>
    <w:link w:val="Heading2"/>
    <w:uiPriority w:val="9"/>
    <w:rsid w:val="006F4CE2"/>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0" ma:contentTypeDescription="Create a new document." ma:contentTypeScope="" ma:versionID="c7473d22715c354a911c6e5ac56bedf7">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7353edd2849960c8a315ced5813ef6a6"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A79D43-F149-4A19-981C-AE34E1DA7D8A}"/>
</file>

<file path=customXml/itemProps2.xml><?xml version="1.0" encoding="utf-8"?>
<ds:datastoreItem xmlns:ds="http://schemas.openxmlformats.org/officeDocument/2006/customXml" ds:itemID="{6C79E7A6-7B8F-4CDE-B07F-A956B9943C0B}"/>
</file>

<file path=docProps/app.xml><?xml version="1.0" encoding="utf-8"?>
<Properties xmlns="http://schemas.openxmlformats.org/officeDocument/2006/extended-properties" xmlns:vt="http://schemas.openxmlformats.org/officeDocument/2006/docPropsVTypes">
  <Template>Normal.dotm</Template>
  <TotalTime>4</TotalTime>
  <Pages>10</Pages>
  <Words>2865</Words>
  <Characters>16336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Ans Mashood</dc:creator>
  <cp:keywords/>
  <dc:description/>
  <cp:lastModifiedBy>Microsoft Office User</cp:lastModifiedBy>
  <cp:revision>4</cp:revision>
  <dcterms:created xsi:type="dcterms:W3CDTF">2024-09-16T14:52:00Z</dcterms:created>
  <dcterms:modified xsi:type="dcterms:W3CDTF">2024-09-16T15:20:00Z</dcterms:modified>
</cp:coreProperties>
</file>